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p>
    <w:p>
      <w:pPr>
        <w:widowControl w:val="0"/>
        <w:wordWrap/>
        <w:adjustRightInd w:val="0"/>
        <w:snapToGrid w:val="0"/>
        <w:spacing w:beforeAutospacing="0" w:afterAutospacing="0" w:line="560" w:lineRule="exact"/>
        <w:ind w:left="0" w:leftChars="0" w:right="0" w:firstLine="0" w:firstLineChars="0"/>
        <w:jc w:val="center"/>
        <w:textAlignment w:val="auto"/>
        <w:outlineLvl w:val="9"/>
        <w:rPr>
          <w:rFonts w:hint="eastAsia" w:ascii="宋体" w:hAnsi="宋体" w:eastAsia="方正小标宋简体" w:cs="方正小标宋简体"/>
          <w:color w:val="000000"/>
          <w:sz w:val="36"/>
          <w:szCs w:val="36"/>
          <w:lang w:eastAsia="zh-CN"/>
        </w:rPr>
      </w:pPr>
    </w:p>
    <w:p>
      <w:pPr>
        <w:pStyle w:val="44"/>
        <w:wordWrap/>
        <w:spacing w:line="560" w:lineRule="exact"/>
        <w:jc w:val="center"/>
        <w:textAlignment w:val="auto"/>
        <w:rPr>
          <w:rFonts w:hint="eastAsia" w:ascii="宋体" w:hAnsi="宋体" w:eastAsia="方正小标宋简体" w:cs="方正小标宋简体"/>
          <w:color w:val="000000"/>
          <w:w w:val="95"/>
          <w:kern w:val="2"/>
          <w:sz w:val="44"/>
          <w:szCs w:val="44"/>
          <w:lang w:val="en-US" w:eastAsia="zh-CN" w:bidi="ar-SA"/>
        </w:rPr>
      </w:pPr>
      <w:r>
        <w:rPr>
          <w:rFonts w:hint="eastAsia" w:ascii="宋体" w:hAnsi="宋体" w:eastAsia="方正小标宋简体" w:cs="方正小标宋简体"/>
          <w:color w:val="000000"/>
          <w:w w:val="95"/>
          <w:kern w:val="2"/>
          <w:sz w:val="44"/>
          <w:szCs w:val="44"/>
          <w:lang w:val="en-US" w:eastAsia="zh-CN" w:bidi="ar-SA"/>
        </w:rPr>
        <w:t>广东省新型冠状病毒肺炎疫情防控工作</w:t>
      </w: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方正小标宋简体" w:cs="方正小标宋简体"/>
          <w:color w:val="000000"/>
          <w:kern w:val="2"/>
          <w:sz w:val="52"/>
          <w:szCs w:val="52"/>
          <w:lang w:val="en-US" w:eastAsia="zh-CN" w:bidi="ar-SA"/>
        </w:rPr>
      </w:pP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方正小标宋简体" w:cs="方正小标宋简体"/>
          <w:color w:val="000000"/>
          <w:kern w:val="2"/>
          <w:sz w:val="52"/>
          <w:szCs w:val="52"/>
          <w:lang w:val="en-US" w:eastAsia="zh-CN" w:bidi="ar-SA"/>
        </w:rPr>
      </w:pPr>
      <w:r>
        <w:rPr>
          <w:rFonts w:hint="eastAsia" w:ascii="宋体" w:hAnsi="宋体" w:eastAsia="方正小标宋简体" w:cs="方正小标宋简体"/>
          <w:color w:val="000000"/>
          <w:kern w:val="2"/>
          <w:sz w:val="52"/>
          <w:szCs w:val="52"/>
          <w:lang w:val="en-US" w:eastAsia="zh-CN" w:bidi="ar-SA"/>
        </w:rPr>
        <w:t>法 律 法 规 汇 编</w:t>
      </w:r>
    </w:p>
    <w:p>
      <w:pPr>
        <w:pStyle w:val="44"/>
        <w:wordWrap/>
        <w:spacing w:line="560" w:lineRule="exact"/>
        <w:textAlignment w:val="auto"/>
        <w:rPr>
          <w:rFonts w:hint="eastAsia" w:ascii="方正小标宋简体" w:hAnsi="方正小标宋简体" w:eastAsia="方正小标宋简体"/>
          <w:sz w:val="52"/>
        </w:rPr>
      </w:pPr>
    </w:p>
    <w:p>
      <w:pPr>
        <w:pStyle w:val="44"/>
        <w:wordWrap/>
        <w:spacing w:line="560" w:lineRule="exact"/>
        <w:jc w:val="center"/>
        <w:textAlignment w:val="auto"/>
        <w:rPr>
          <w:rFonts w:hint="eastAsia" w:ascii="宋体" w:hAnsi="宋体" w:eastAsia="方正小标宋简体" w:cs="方正小标宋简体"/>
          <w:color w:val="000000"/>
          <w:w w:val="95"/>
          <w:kern w:val="2"/>
          <w:sz w:val="32"/>
          <w:szCs w:val="32"/>
          <w:lang w:val="en-US" w:eastAsia="zh-CN" w:bidi="ar-SA"/>
        </w:rPr>
      </w:pPr>
      <w:r>
        <w:rPr>
          <w:rFonts w:hint="eastAsia" w:ascii="宋体" w:hAnsi="宋体" w:eastAsia="方正小标宋简体" w:cs="方正小标宋简体"/>
          <w:color w:val="000000"/>
          <w:w w:val="95"/>
          <w:kern w:val="2"/>
          <w:sz w:val="32"/>
          <w:szCs w:val="32"/>
          <w:lang w:val="en-US" w:eastAsia="zh-CN" w:bidi="ar-SA"/>
        </w:rPr>
        <w:t>（第 四 版）</w:t>
      </w:r>
    </w:p>
    <w:p>
      <w:pPr>
        <w:pStyle w:val="44"/>
        <w:wordWrap/>
        <w:spacing w:line="560" w:lineRule="exact"/>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ordWrap/>
        <w:spacing w:line="560" w:lineRule="exact"/>
        <w:jc w:val="center"/>
        <w:textAlignment w:val="auto"/>
        <w:rPr>
          <w:rFonts w:hint="eastAsia" w:ascii="方正小标宋简体" w:hAnsi="方正小标宋简体" w:eastAsia="方正小标宋简体"/>
          <w:sz w:val="48"/>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p>
    <w:p>
      <w:pPr>
        <w:pStyle w:val="44"/>
        <w:widowControl w:val="0"/>
        <w:wordWrap/>
        <w:adjustRightInd/>
        <w:snapToGrid/>
        <w:spacing w:line="560" w:lineRule="exact"/>
        <w:ind w:left="0" w:leftChars="0" w:right="2064" w:rightChars="645" w:firstLine="2067" w:firstLineChars="572"/>
        <w:jc w:val="distribute"/>
        <w:textAlignment w:val="auto"/>
        <w:outlineLvl w:val="9"/>
        <w:rPr>
          <w:rFonts w:hint="eastAsia" w:ascii="楷体_GB2312" w:hAnsi="楷体_GB2312" w:eastAsia="楷体_GB2312"/>
          <w:b/>
          <w:bCs/>
          <w:sz w:val="36"/>
          <w:lang w:eastAsia="zh-CN"/>
        </w:rPr>
      </w:pPr>
      <w:r>
        <w:rPr>
          <w:rFonts w:hint="eastAsia" w:ascii="楷体_GB2312" w:hAnsi="楷体_GB2312" w:eastAsia="楷体_GB2312"/>
          <w:b/>
          <w:bCs/>
          <w:sz w:val="36"/>
          <w:lang w:eastAsia="zh-CN"/>
        </w:rPr>
        <w:t>省人大法制委员会</w:t>
      </w:r>
    </w:p>
    <w:p>
      <w:pPr>
        <w:pStyle w:val="44"/>
        <w:widowControl w:val="0"/>
        <w:wordWrap/>
        <w:adjustRightInd/>
        <w:snapToGrid/>
        <w:spacing w:line="560" w:lineRule="exact"/>
        <w:ind w:left="0" w:leftChars="0" w:firstLine="0" w:firstLineChars="0"/>
        <w:jc w:val="center"/>
        <w:textAlignment w:val="auto"/>
        <w:outlineLvl w:val="9"/>
        <w:rPr>
          <w:rFonts w:hint="eastAsia" w:ascii="楷体_GB2312" w:hAnsi="楷体_GB2312" w:eastAsia="楷体_GB2312"/>
          <w:b/>
          <w:bCs/>
          <w:sz w:val="36"/>
          <w:lang w:eastAsia="zh-CN"/>
        </w:rPr>
      </w:pPr>
      <w:r>
        <w:rPr>
          <w:rFonts w:hint="eastAsia" w:ascii="楷体_GB2312" w:hAnsi="楷体_GB2312" w:eastAsia="楷体_GB2312"/>
          <w:b/>
          <w:bCs/>
          <w:sz w:val="36"/>
        </w:rPr>
        <w:t>省人大常委会</w:t>
      </w:r>
      <w:r>
        <w:rPr>
          <w:rFonts w:hint="eastAsia" w:ascii="楷体_GB2312" w:hAnsi="楷体_GB2312" w:eastAsia="楷体_GB2312"/>
          <w:b/>
          <w:bCs/>
          <w:sz w:val="36"/>
          <w:lang w:eastAsia="zh-CN"/>
        </w:rPr>
        <w:t>法制工作委员会</w:t>
      </w: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楷体_GB2312"/>
          <w:b/>
          <w:bCs/>
          <w:sz w:val="36"/>
          <w:lang w:val="en-US" w:eastAsia="zh-CN"/>
        </w:rPr>
      </w:pPr>
      <w:r>
        <w:rPr>
          <w:rFonts w:hint="eastAsia" w:ascii="宋体" w:hAnsi="宋体" w:eastAsia="楷体_GB2312"/>
          <w:b/>
          <w:bCs/>
          <w:sz w:val="36"/>
          <w:lang w:val="en-US" w:eastAsia="zh-CN"/>
        </w:rPr>
        <w:t>2021年6月</w:t>
      </w:r>
    </w:p>
    <w:p>
      <w:pPr>
        <w:pStyle w:val="44"/>
        <w:widowControl w:val="0"/>
        <w:wordWrap/>
        <w:adjustRightInd/>
        <w:snapToGrid/>
        <w:spacing w:line="560" w:lineRule="exact"/>
        <w:ind w:left="0" w:leftChars="0" w:right="0" w:firstLine="0" w:firstLineChars="0"/>
        <w:jc w:val="center"/>
        <w:textAlignment w:val="auto"/>
        <w:outlineLvl w:val="9"/>
        <w:rPr>
          <w:rFonts w:hint="eastAsia" w:ascii="宋体" w:hAnsi="宋体" w:eastAsia="楷体_GB2312"/>
          <w:b/>
          <w:bCs/>
          <w:sz w:val="36"/>
          <w:lang w:val="en-US" w:eastAsia="zh-CN"/>
        </w:rPr>
      </w:pPr>
    </w:p>
    <w:p>
      <w:pPr>
        <w:widowControl w:val="0"/>
        <w:wordWrap/>
        <w:overflowPunct w:val="0"/>
        <w:adjustRightInd w:val="0"/>
        <w:snapToGrid/>
        <w:spacing w:line="590" w:lineRule="exact"/>
        <w:ind w:left="0" w:leftChars="0" w:right="0"/>
        <w:jc w:val="center"/>
        <w:textAlignment w:val="auto"/>
        <w:outlineLvl w:val="9"/>
        <w:rPr>
          <w:rFonts w:hint="eastAsia" w:ascii="宋体" w:hAnsi="宋体" w:eastAsia="方正小标宋简体" w:cs="方正小标宋简体"/>
          <w:spacing w:val="0"/>
          <w:sz w:val="42"/>
          <w:szCs w:val="42"/>
          <w:lang w:val="en-US" w:eastAsia="zh-CN"/>
        </w:rPr>
      </w:pPr>
      <w:r>
        <w:rPr>
          <w:rFonts w:hint="eastAsia" w:ascii="宋体" w:hAnsi="宋体" w:eastAsia="方正小标宋简体" w:cs="方正小标宋简体"/>
          <w:spacing w:val="0"/>
          <w:sz w:val="42"/>
          <w:szCs w:val="42"/>
          <w:lang w:val="en-US" w:eastAsia="zh-CN"/>
        </w:rPr>
        <w:br w:type="page"/>
      </w:r>
    </w:p>
    <w:p>
      <w:pPr>
        <w:widowControl w:val="0"/>
        <w:wordWrap/>
        <w:overflowPunct w:val="0"/>
        <w:adjustRightInd w:val="0"/>
        <w:snapToGrid/>
        <w:spacing w:line="590" w:lineRule="exact"/>
        <w:ind w:left="0" w:leftChars="0" w:right="0"/>
        <w:jc w:val="center"/>
        <w:textAlignment w:val="auto"/>
        <w:outlineLvl w:val="9"/>
        <w:rPr>
          <w:rFonts w:hint="eastAsia" w:ascii="楷体_GB2312" w:hAnsi="楷体_GB2312" w:eastAsia="楷体_GB2312" w:cs="楷体_GB2312"/>
          <w:sz w:val="32"/>
          <w:szCs w:val="32"/>
          <w:lang w:val="en-US" w:eastAsia="zh-CN"/>
        </w:rPr>
      </w:pPr>
      <w:r>
        <w:rPr>
          <w:rFonts w:hint="eastAsia" w:ascii="宋体" w:hAnsi="宋体" w:eastAsia="方正小标宋简体" w:cs="方正小标宋简体"/>
          <w:spacing w:val="0"/>
          <w:sz w:val="42"/>
          <w:szCs w:val="42"/>
          <w:lang w:val="en-US" w:eastAsia="zh-CN"/>
        </w:rPr>
        <w:t>说  明</w:t>
      </w:r>
    </w:p>
    <w:p>
      <w:pPr>
        <w:pStyle w:val="7"/>
        <w:rPr>
          <w:rFonts w:hint="eastAsia"/>
          <w:lang w:val="en-US" w:eastAsia="zh-CN"/>
        </w:rPr>
      </w:pPr>
    </w:p>
    <w:p>
      <w:pPr>
        <w:pStyle w:val="18"/>
        <w:widowControl/>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right="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为深入贯彻落实习近平总书记关于疫情防控工作的重要讲话和重要指示精神，</w:t>
      </w:r>
      <w:r>
        <w:rPr>
          <w:rFonts w:hint="eastAsia" w:ascii="仿宋_GB2312" w:hAnsi="仿宋_GB2312" w:eastAsia="仿宋_GB2312" w:cs="仿宋_GB2312"/>
          <w:sz w:val="32"/>
          <w:szCs w:val="32"/>
          <w:lang w:val="en-US" w:eastAsia="zh-CN"/>
        </w:rPr>
        <w:t>保障我省</w:t>
      </w:r>
      <w:r>
        <w:rPr>
          <w:rFonts w:hint="eastAsia" w:ascii="仿宋_GB2312" w:hAnsi="仿宋_GB2312" w:cs="仿宋_GB2312"/>
          <w:sz w:val="32"/>
          <w:szCs w:val="32"/>
          <w:lang w:val="en-US" w:eastAsia="zh-CN"/>
        </w:rPr>
        <w:t>统筹推进</w:t>
      </w:r>
      <w:r>
        <w:rPr>
          <w:rFonts w:hint="eastAsia" w:ascii="仿宋_GB2312" w:hAnsi="仿宋_GB2312" w:eastAsia="仿宋_GB2312" w:cs="仿宋_GB2312"/>
          <w:sz w:val="32"/>
          <w:szCs w:val="32"/>
          <w:lang w:val="en-US" w:eastAsia="zh-CN"/>
        </w:rPr>
        <w:t>疫情防控工作</w:t>
      </w:r>
      <w:r>
        <w:rPr>
          <w:rFonts w:hint="eastAsia" w:ascii="仿宋_GB2312" w:hAnsi="仿宋_GB2312" w:cs="仿宋_GB2312"/>
          <w:sz w:val="32"/>
          <w:szCs w:val="32"/>
          <w:lang w:val="en-US" w:eastAsia="zh-CN"/>
        </w:rPr>
        <w:t>和经济社会发展</w:t>
      </w:r>
      <w:r>
        <w:rPr>
          <w:rFonts w:hint="eastAsia" w:ascii="仿宋_GB2312" w:hAnsi="仿宋_GB2312" w:eastAsia="仿宋_GB2312" w:cs="仿宋_GB2312"/>
          <w:sz w:val="32"/>
          <w:szCs w:val="32"/>
          <w:lang w:val="en-US" w:eastAsia="zh-CN"/>
        </w:rPr>
        <w:t>依法科学有序开展，</w:t>
      </w:r>
      <w:r>
        <w:rPr>
          <w:rFonts w:hint="eastAsia" w:ascii="仿宋_GB2312" w:hAnsi="仿宋_GB2312" w:eastAsia="仿宋_GB2312" w:cs="仿宋_GB2312"/>
          <w:kern w:val="2"/>
          <w:sz w:val="32"/>
          <w:szCs w:val="32"/>
          <w:lang w:val="en-US" w:eastAsia="zh-CN" w:bidi="ar-SA"/>
        </w:rPr>
        <w:t>省人大常委会</w:t>
      </w:r>
      <w:r>
        <w:rPr>
          <w:rFonts w:hint="eastAsia" w:ascii="仿宋_GB2312" w:hAnsi="仿宋_GB2312" w:cs="仿宋_GB2312"/>
          <w:sz w:val="32"/>
          <w:szCs w:val="32"/>
          <w:lang w:val="en-US" w:eastAsia="zh-CN"/>
        </w:rPr>
        <w:t>先后</w:t>
      </w:r>
      <w:r>
        <w:rPr>
          <w:rFonts w:hint="eastAsia" w:ascii="仿宋_GB2312" w:hAnsi="仿宋_GB2312" w:cs="仿宋_GB2312"/>
          <w:kern w:val="2"/>
          <w:sz w:val="32"/>
          <w:szCs w:val="32"/>
          <w:lang w:val="en-US" w:eastAsia="zh-CN" w:bidi="ar-SA"/>
        </w:rPr>
        <w:t>于</w:t>
      </w:r>
      <w:r>
        <w:rPr>
          <w:rFonts w:hint="eastAsia" w:ascii="宋体" w:hAnsi="宋体" w:eastAsia="宋体" w:cs="宋体"/>
          <w:sz w:val="32"/>
          <w:szCs w:val="32"/>
          <w:lang w:val="en-US" w:eastAsia="zh-CN"/>
        </w:rPr>
        <w:t>2020</w:t>
      </w:r>
      <w:r>
        <w:rPr>
          <w:rFonts w:hint="eastAsia" w:ascii="仿宋_GB2312" w:hAnsi="仿宋_GB2312" w:eastAsia="仿宋_GB2312" w:cs="仿宋_GB2312"/>
          <w:sz w:val="32"/>
          <w:szCs w:val="32"/>
          <w:lang w:val="en-US" w:eastAsia="zh-CN"/>
        </w:rPr>
        <w:t>年</w:t>
      </w:r>
      <w:r>
        <w:rPr>
          <w:rFonts w:hint="eastAsia" w:ascii="宋体" w:hAnsi="宋体" w:eastAsia="宋体" w:cs="宋体"/>
          <w:sz w:val="32"/>
          <w:szCs w:val="32"/>
          <w:lang w:val="en-US" w:eastAsia="zh-CN"/>
        </w:rPr>
        <w:t>1</w:t>
      </w:r>
      <w:r>
        <w:rPr>
          <w:rFonts w:hint="eastAsia" w:ascii="仿宋_GB2312" w:hAnsi="仿宋_GB2312" w:eastAsia="仿宋_GB2312" w:cs="仿宋_GB2312"/>
          <w:sz w:val="32"/>
          <w:szCs w:val="32"/>
          <w:lang w:val="en-US" w:eastAsia="zh-CN"/>
        </w:rPr>
        <w:t>月</w:t>
      </w:r>
      <w:r>
        <w:rPr>
          <w:rFonts w:hint="eastAsia" w:ascii="宋体" w:hAnsi="宋体" w:eastAsia="宋体" w:cs="宋体"/>
          <w:sz w:val="32"/>
          <w:szCs w:val="32"/>
          <w:lang w:val="en-US" w:eastAsia="zh-CN"/>
        </w:rPr>
        <w:t>31</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宋体" w:hAnsi="宋体" w:eastAsia="宋体" w:cs="宋体"/>
          <w:sz w:val="32"/>
          <w:szCs w:val="32"/>
          <w:lang w:val="en-US" w:eastAsia="zh-CN"/>
        </w:rPr>
        <w:t>2</w:t>
      </w:r>
      <w:r>
        <w:rPr>
          <w:rFonts w:hint="eastAsia" w:ascii="仿宋_GB2312" w:hAnsi="仿宋_GB2312" w:cs="仿宋_GB2312"/>
          <w:sz w:val="32"/>
          <w:szCs w:val="32"/>
          <w:lang w:val="en-US" w:eastAsia="zh-CN"/>
        </w:rPr>
        <w:t>月</w:t>
      </w:r>
      <w:r>
        <w:rPr>
          <w:rFonts w:hint="eastAsia" w:ascii="宋体" w:hAnsi="宋体" w:eastAsia="宋体" w:cs="宋体"/>
          <w:sz w:val="32"/>
          <w:szCs w:val="32"/>
          <w:lang w:val="en-US" w:eastAsia="zh-CN"/>
        </w:rPr>
        <w:t>17</w:t>
      </w:r>
      <w:r>
        <w:rPr>
          <w:rFonts w:hint="eastAsia" w:ascii="仿宋_GB2312" w:hAnsi="仿宋_GB2312" w:cs="仿宋_GB2312"/>
          <w:sz w:val="32"/>
          <w:szCs w:val="32"/>
          <w:lang w:val="en-US" w:eastAsia="zh-CN"/>
        </w:rPr>
        <w:t>日、</w:t>
      </w:r>
      <w:r>
        <w:rPr>
          <w:rFonts w:hint="eastAsia" w:ascii="宋体" w:hAnsi="宋体" w:eastAsia="宋体" w:cs="宋体"/>
          <w:sz w:val="32"/>
          <w:szCs w:val="32"/>
          <w:lang w:val="en-US" w:eastAsia="zh-CN"/>
        </w:rPr>
        <w:t>4</w:t>
      </w:r>
      <w:r>
        <w:rPr>
          <w:rFonts w:hint="eastAsia" w:ascii="仿宋_GB2312" w:hAnsi="仿宋_GB2312" w:cs="仿宋_GB2312"/>
          <w:sz w:val="32"/>
          <w:szCs w:val="32"/>
          <w:lang w:val="en-US" w:eastAsia="zh-CN"/>
        </w:rPr>
        <w:t>月</w:t>
      </w:r>
      <w:r>
        <w:rPr>
          <w:rFonts w:hint="eastAsia" w:ascii="宋体" w:hAnsi="宋体" w:eastAsia="宋体" w:cs="宋体"/>
          <w:sz w:val="32"/>
          <w:szCs w:val="32"/>
          <w:lang w:val="en-US" w:eastAsia="zh-CN"/>
        </w:rPr>
        <w:t>13</w:t>
      </w:r>
      <w:r>
        <w:rPr>
          <w:rFonts w:hint="eastAsia" w:ascii="仿宋_GB2312" w:hAnsi="仿宋_GB2312" w:cs="仿宋_GB2312"/>
          <w:sz w:val="32"/>
          <w:szCs w:val="32"/>
          <w:lang w:val="en-US" w:eastAsia="zh-CN"/>
        </w:rPr>
        <w:t>日组织</w:t>
      </w:r>
      <w:r>
        <w:rPr>
          <w:rFonts w:hint="eastAsia" w:ascii="仿宋_GB2312" w:hAnsi="仿宋_GB2312" w:eastAsia="仿宋_GB2312" w:cs="仿宋_GB2312"/>
          <w:kern w:val="2"/>
          <w:sz w:val="32"/>
          <w:szCs w:val="32"/>
          <w:lang w:val="en-US" w:eastAsia="zh-CN" w:bidi="ar-SA"/>
        </w:rPr>
        <w:t>编纂发布了</w:t>
      </w:r>
      <w:r>
        <w:rPr>
          <w:rFonts w:hint="eastAsia" w:ascii="仿宋_GB2312" w:hAnsi="仿宋_GB2312" w:eastAsia="仿宋_GB2312" w:cs="仿宋_GB2312"/>
          <w:sz w:val="32"/>
          <w:szCs w:val="32"/>
          <w:lang w:val="en-US" w:eastAsia="zh-CN"/>
        </w:rPr>
        <w:t>《广东省新型冠状病毒肺炎疫情防控</w:t>
      </w:r>
      <w:r>
        <w:rPr>
          <w:rFonts w:hint="eastAsia" w:ascii="仿宋_GB2312" w:hAnsi="仿宋_GB2312" w:cs="仿宋_GB2312"/>
          <w:sz w:val="32"/>
          <w:szCs w:val="32"/>
          <w:lang w:val="en-US" w:eastAsia="zh-CN"/>
        </w:rPr>
        <w:t>工作</w:t>
      </w:r>
      <w:r>
        <w:rPr>
          <w:rFonts w:hint="eastAsia" w:ascii="仿宋_GB2312" w:hAnsi="仿宋_GB2312" w:eastAsia="仿宋_GB2312" w:cs="仿宋_GB2312"/>
          <w:sz w:val="32"/>
          <w:szCs w:val="32"/>
          <w:lang w:val="en-US" w:eastAsia="zh-CN"/>
        </w:rPr>
        <w:t>法律法规汇编》</w:t>
      </w:r>
      <w:r>
        <w:rPr>
          <w:rFonts w:hint="eastAsia" w:ascii="仿宋_GB2312" w:hAnsi="仿宋_GB2312" w:cs="仿宋_GB2312"/>
          <w:sz w:val="32"/>
          <w:szCs w:val="32"/>
          <w:lang w:val="en-US" w:eastAsia="zh-CN"/>
        </w:rPr>
        <w:t>第一版、第二版和</w:t>
      </w:r>
      <w:r>
        <w:rPr>
          <w:rFonts w:hint="eastAsia" w:ascii="仿宋_GB2312" w:hAnsi="仿宋_GB2312" w:eastAsia="仿宋_GB2312" w:cs="仿宋_GB2312"/>
          <w:sz w:val="32"/>
          <w:szCs w:val="32"/>
          <w:lang w:val="en-US" w:eastAsia="zh-CN"/>
        </w:rPr>
        <w:t>第</w:t>
      </w:r>
      <w:r>
        <w:rPr>
          <w:rFonts w:hint="eastAsia" w:ascii="仿宋_GB2312" w:hAnsi="仿宋_GB2312" w:cs="仿宋_GB2312"/>
          <w:sz w:val="32"/>
          <w:szCs w:val="32"/>
          <w:lang w:val="en-US" w:eastAsia="zh-CN"/>
        </w:rPr>
        <w:t>三</w:t>
      </w:r>
      <w:r>
        <w:rPr>
          <w:rFonts w:hint="eastAsia" w:ascii="仿宋_GB2312" w:hAnsi="仿宋_GB2312" w:eastAsia="仿宋_GB2312" w:cs="仿宋_GB2312"/>
          <w:sz w:val="32"/>
          <w:szCs w:val="32"/>
          <w:lang w:val="en-US" w:eastAsia="zh-CN"/>
        </w:rPr>
        <w:t>版。</w:t>
      </w:r>
      <w:r>
        <w:rPr>
          <w:rFonts w:hint="eastAsia" w:ascii="仿宋_GB2312" w:hAnsi="仿宋_GB2312" w:eastAsia="仿宋_GB2312" w:cs="仿宋_GB2312"/>
          <w:kern w:val="2"/>
          <w:sz w:val="32"/>
          <w:szCs w:val="32"/>
          <w:lang w:val="en-US" w:eastAsia="zh-CN" w:bidi="ar-SA"/>
        </w:rPr>
        <w:t>近</w:t>
      </w:r>
      <w:r>
        <w:rPr>
          <w:rFonts w:hint="eastAsia" w:ascii="仿宋_GB2312" w:hAnsi="仿宋_GB2312" w:cs="仿宋_GB2312"/>
          <w:kern w:val="2"/>
          <w:sz w:val="32"/>
          <w:szCs w:val="32"/>
          <w:lang w:val="en-US" w:eastAsia="zh-CN" w:bidi="ar-SA"/>
        </w:rPr>
        <w:t>期，我们</w:t>
      </w:r>
      <w:r>
        <w:rPr>
          <w:rFonts w:hint="eastAsia" w:ascii="仿宋_GB2312" w:hAnsi="仿宋_GB2312" w:eastAsia="仿宋_GB2312" w:cs="仿宋_GB2312"/>
          <w:sz w:val="32"/>
          <w:szCs w:val="32"/>
          <w:lang w:val="en-US" w:eastAsia="zh-CN"/>
        </w:rPr>
        <w:t>进一步梳理疫情防控有关法律法规</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sz w:val="32"/>
          <w:szCs w:val="32"/>
          <w:lang w:val="en-US" w:eastAsia="zh-CN"/>
        </w:rPr>
        <w:t>在第</w:t>
      </w:r>
      <w:r>
        <w:rPr>
          <w:rFonts w:hint="eastAsia" w:ascii="仿宋_GB2312" w:hAnsi="仿宋_GB2312" w:cs="仿宋_GB2312"/>
          <w:sz w:val="32"/>
          <w:szCs w:val="32"/>
          <w:lang w:val="en-US" w:eastAsia="zh-CN"/>
        </w:rPr>
        <w:t>三</w:t>
      </w:r>
      <w:r>
        <w:rPr>
          <w:rFonts w:hint="eastAsia" w:ascii="仿宋_GB2312" w:hAnsi="仿宋_GB2312" w:eastAsia="仿宋_GB2312" w:cs="仿宋_GB2312"/>
          <w:sz w:val="32"/>
          <w:szCs w:val="32"/>
          <w:lang w:val="en-US" w:eastAsia="zh-CN"/>
        </w:rPr>
        <w:t>版基础上</w:t>
      </w:r>
      <w:r>
        <w:rPr>
          <w:rFonts w:hint="eastAsia" w:ascii="仿宋_GB2312" w:hAnsi="仿宋_GB2312" w:cs="仿宋_GB2312"/>
          <w:sz w:val="32"/>
          <w:szCs w:val="32"/>
          <w:lang w:val="en-US" w:eastAsia="zh-CN"/>
        </w:rPr>
        <w:t>进一步</w:t>
      </w:r>
      <w:r>
        <w:rPr>
          <w:rFonts w:hint="eastAsia" w:ascii="仿宋_GB2312" w:hAnsi="仿宋_GB2312" w:eastAsia="仿宋_GB2312" w:cs="仿宋_GB2312"/>
          <w:sz w:val="32"/>
          <w:szCs w:val="32"/>
          <w:lang w:val="en-US" w:eastAsia="zh-CN"/>
        </w:rPr>
        <w:t>作了补充完善，</w:t>
      </w:r>
      <w:r>
        <w:rPr>
          <w:rFonts w:hint="eastAsia" w:ascii="仿宋_GB2312" w:hAnsi="仿宋_GB2312" w:cs="仿宋_GB2312"/>
          <w:sz w:val="32"/>
          <w:szCs w:val="32"/>
          <w:lang w:val="en-US" w:eastAsia="zh-CN"/>
        </w:rPr>
        <w:t>更新了已修改的《刑法》《野生动物保护法》《固体废物污染环境保护法》《行政处罚法》、</w:t>
      </w:r>
      <w:r>
        <w:rPr>
          <w:rFonts w:hint="eastAsia" w:ascii="仿宋_GB2312" w:hAnsi="仿宋_GB2312" w:eastAsia="仿宋_GB2312" w:cs="仿宋_GB2312"/>
          <w:sz w:val="32"/>
          <w:szCs w:val="32"/>
          <w:lang w:val="en-US" w:eastAsia="zh-CN"/>
        </w:rPr>
        <w:t>增加了</w:t>
      </w:r>
      <w:r>
        <w:rPr>
          <w:rFonts w:hint="eastAsia" w:ascii="仿宋_GB2312" w:hAnsi="仿宋_GB2312" w:cs="仿宋_GB2312"/>
          <w:sz w:val="32"/>
          <w:szCs w:val="32"/>
          <w:lang w:val="en-US" w:eastAsia="zh-CN"/>
        </w:rPr>
        <w:t>新制定的《反食品浪费法</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出口</w:t>
      </w:r>
      <w:r>
        <w:rPr>
          <w:rFonts w:hint="eastAsia" w:ascii="仿宋_GB2312" w:hAnsi="仿宋_GB2312" w:eastAsia="仿宋_GB2312" w:cs="仿宋_GB2312"/>
          <w:sz w:val="32"/>
          <w:szCs w:val="32"/>
          <w:lang w:val="en-US" w:eastAsia="zh-CN"/>
        </w:rPr>
        <w:t>管制法》《广东省人民代表大会常务委员会关于制止餐饮浪费的决定》</w:t>
      </w:r>
      <w:r>
        <w:rPr>
          <w:rFonts w:hint="eastAsia" w:ascii="仿宋_GB2312" w:hAnsi="仿宋_GB2312" w:eastAsia="仿宋_GB2312" w:cs="仿宋_GB2312"/>
          <w:b w:val="0"/>
          <w:i w:val="0"/>
          <w:color w:val="000000"/>
          <w:sz w:val="32"/>
          <w:szCs w:val="32"/>
          <w:lang w:eastAsia="zh-CN"/>
        </w:rPr>
        <w:t>《</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_GB2312" w:hAnsi="仿宋_GB2312" w:eastAsia="仿宋_GB2312" w:cs="仿宋_GB2312"/>
          <w:kern w:val="2"/>
          <w:sz w:val="32"/>
          <w:szCs w:val="44"/>
          <w:lang w:val="en-US" w:eastAsia="zh-CN" w:bidi="ar-SA"/>
        </w:rPr>
        <w:t>关于进一步做好冷链食品追溯管理工作的通知</w:t>
      </w:r>
      <w:r>
        <w:rPr>
          <w:rFonts w:hint="eastAsia" w:ascii="仿宋_GB2312" w:hAnsi="仿宋_GB2312" w:eastAsia="仿宋_GB2312" w:cs="仿宋_GB2312"/>
          <w:b w:val="0"/>
          <w:i w:val="0"/>
          <w:color w:val="000000"/>
          <w:sz w:val="32"/>
          <w:szCs w:val="32"/>
          <w:lang w:val="en-US" w:eastAsia="zh-CN"/>
        </w:rPr>
        <w:t xml:space="preserve"> </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_GB2312" w:hAnsi="仿宋_GB2312" w:eastAsia="仿宋_GB2312" w:cs="仿宋_GB2312"/>
          <w:b w:val="0"/>
          <w:bCs w:val="0"/>
          <w:kern w:val="2"/>
          <w:sz w:val="32"/>
          <w:szCs w:val="44"/>
          <w:lang w:val="en-US" w:eastAsia="zh-CN" w:bidi="ar-SA"/>
        </w:rPr>
        <w:t>关于印发全员新型冠状病毒核酸检测组织实施指南的通知</w:t>
      </w:r>
      <w:r>
        <w:rPr>
          <w:rFonts w:hint="eastAsia" w:ascii="仿宋_GB2312" w:hAnsi="仿宋_GB2312" w:eastAsia="仿宋_GB2312" w:cs="仿宋_GB2312"/>
          <w:sz w:val="32"/>
          <w:szCs w:val="32"/>
          <w:lang w:val="en-US" w:eastAsia="zh-CN"/>
        </w:rPr>
        <w:t>》等有关法律法规规章规范性文件</w:t>
      </w:r>
      <w:r>
        <w:rPr>
          <w:rFonts w:hint="eastAsia" w:ascii="宋体" w:hAnsi="宋体" w:eastAsia="宋体" w:cs="宋体"/>
          <w:sz w:val="32"/>
          <w:szCs w:val="32"/>
          <w:lang w:val="en-US" w:eastAsia="zh-CN"/>
        </w:rPr>
        <w:t>24</w:t>
      </w:r>
      <w:r>
        <w:rPr>
          <w:rFonts w:hint="eastAsia" w:ascii="仿宋_GB2312" w:hAnsi="仿宋_GB2312" w:eastAsia="仿宋_GB2312" w:cs="仿宋_GB2312"/>
          <w:sz w:val="32"/>
          <w:szCs w:val="32"/>
          <w:lang w:val="en-US" w:eastAsia="zh-CN"/>
        </w:rPr>
        <w:t>部，删减了已废止失效的《民法总则》《合同法》《物权法》《侵权责任法》《广东省政务公开条例》等</w:t>
      </w:r>
      <w:r>
        <w:rPr>
          <w:rFonts w:hint="eastAsia" w:ascii="宋体" w:hAnsi="宋体" w:eastAsia="宋体" w:cs="宋体"/>
          <w:sz w:val="32"/>
          <w:szCs w:val="32"/>
          <w:lang w:val="en-US" w:eastAsia="zh-CN"/>
        </w:rPr>
        <w:t>5</w:t>
      </w:r>
      <w:r>
        <w:rPr>
          <w:rFonts w:hint="eastAsia" w:ascii="仿宋_GB2312" w:hAnsi="仿宋_GB2312" w:eastAsia="仿宋_GB2312" w:cs="仿宋_GB2312"/>
          <w:sz w:val="32"/>
          <w:szCs w:val="32"/>
          <w:lang w:val="en-US" w:eastAsia="zh-CN"/>
        </w:rPr>
        <w:t>部法律法规，合共收录</w:t>
      </w:r>
      <w:r>
        <w:rPr>
          <w:rFonts w:hint="eastAsia" w:ascii="宋体" w:hAnsi="宋体" w:eastAsia="宋体" w:cs="宋体"/>
          <w:sz w:val="32"/>
          <w:szCs w:val="32"/>
          <w:lang w:val="en-US" w:eastAsia="zh-CN"/>
        </w:rPr>
        <w:t>189</w:t>
      </w:r>
      <w:r>
        <w:rPr>
          <w:rFonts w:hint="eastAsia" w:ascii="仿宋_GB2312" w:hAnsi="仿宋_GB2312" w:eastAsia="仿宋_GB2312" w:cs="仿宋_GB2312"/>
          <w:sz w:val="32"/>
          <w:szCs w:val="32"/>
          <w:lang w:val="en-US" w:eastAsia="zh-CN"/>
        </w:rPr>
        <w:t>部，形成了汇编第四版，现予发布</w:t>
      </w:r>
      <w:r>
        <w:rPr>
          <w:rFonts w:hint="eastAsia" w:ascii="仿宋_GB2312" w:hAnsi="仿宋_GB2312" w:eastAsia="仿宋_GB2312" w:cs="仿宋_GB2312"/>
          <w:kern w:val="2"/>
          <w:sz w:val="32"/>
          <w:szCs w:val="32"/>
          <w:lang w:val="en-US" w:eastAsia="zh-CN" w:bidi="ar-SA"/>
        </w:rPr>
        <w:t>。由于编纂时间紧、工作人员能力水平有限，本版亦难免还存在不足。欢迎人大代表和各界人士提出宝贵意见。</w:t>
      </w:r>
    </w:p>
    <w:p>
      <w:pPr>
        <w:widowControl/>
        <w:spacing w:beforeLines="0" w:afterLines="0" w:line="560" w:lineRule="exact"/>
        <w:ind w:left="120" w:firstLine="640" w:firstLineChars="200"/>
        <w:jc w:val="left"/>
        <w:rPr>
          <w:rFonts w:hint="eastAsia" w:ascii="宋体" w:hAnsi="宋体" w:eastAsia="宋体" w:cs="宋体"/>
          <w:b w:val="0"/>
          <w:i w:val="0"/>
          <w:color w:val="000000"/>
          <w:sz w:val="28"/>
          <w:szCs w:val="28"/>
          <w:u w:val="none"/>
        </w:rPr>
      </w:pPr>
      <w:r>
        <w:rPr>
          <w:rFonts w:hint="eastAsia" w:ascii="仿宋_GB2312" w:hAnsi="仿宋_GB2312" w:cs="仿宋_GB2312"/>
          <w:kern w:val="0"/>
          <w:sz w:val="32"/>
          <w:szCs w:val="32"/>
          <w:lang w:val="en-US" w:eastAsia="zh-CN"/>
        </w:rPr>
        <w:t>本汇编的WPS格式文档，可于</w:t>
      </w:r>
      <w:r>
        <w:rPr>
          <w:rFonts w:hint="eastAsia" w:ascii="仿宋_GB2312" w:hAnsi="仿宋_GB2312" w:eastAsia="仿宋_GB2312" w:cs="仿宋_GB2312"/>
          <w:kern w:val="0"/>
          <w:sz w:val="32"/>
          <w:szCs w:val="32"/>
          <w:lang w:val="en-US" w:eastAsia="zh-CN"/>
        </w:rPr>
        <w:t>电子邮箱</w:t>
      </w:r>
      <w:r>
        <w:rPr>
          <w:rFonts w:hint="eastAsia" w:ascii="仿宋_GB2312" w:hAnsi="仿宋_GB2312" w:eastAsia="仿宋_GB2312" w:cs="仿宋_GB2312"/>
          <w:b w:val="0"/>
          <w:i w:val="0"/>
          <w:color w:val="000000"/>
          <w:kern w:val="0"/>
          <w:sz w:val="32"/>
          <w:szCs w:val="32"/>
          <w:u w:val="none"/>
          <w:lang w:val="en-US" w:eastAsia="zh-CN"/>
        </w:rPr>
        <w:t>fgwbgk@gdrd.cn</w:t>
      </w:r>
      <w:r>
        <w:rPr>
          <w:rFonts w:hint="eastAsia" w:ascii="仿宋_GB2312" w:hAnsi="仿宋_GB2312" w:cs="仿宋_GB2312"/>
          <w:kern w:val="0"/>
          <w:sz w:val="32"/>
          <w:szCs w:val="32"/>
          <w:lang w:val="en-US" w:eastAsia="zh-CN"/>
        </w:rPr>
        <w:t>(密码：</w:t>
      </w:r>
      <w:r>
        <w:rPr>
          <w:rFonts w:hint="eastAsia" w:ascii="仿宋_GB2312" w:hAnsi="仿宋_GB2312" w:eastAsia="仿宋_GB2312" w:cs="仿宋_GB2312"/>
          <w:b w:val="0"/>
          <w:i w:val="0"/>
          <w:color w:val="000000"/>
          <w:kern w:val="0"/>
          <w:sz w:val="32"/>
          <w:szCs w:val="32"/>
          <w:u w:val="none"/>
          <w:lang w:val="en-US" w:eastAsia="zh-CN"/>
        </w:rPr>
        <w:t>fgwb409#</w:t>
      </w:r>
      <w:r>
        <w:rPr>
          <w:rFonts w:hint="eastAsia" w:ascii="仿宋_GB2312" w:hAnsi="仿宋_GB2312" w:cs="仿宋_GB2312"/>
          <w:kern w:val="0"/>
          <w:sz w:val="32"/>
          <w:szCs w:val="32"/>
          <w:lang w:val="en-US" w:eastAsia="zh-CN"/>
        </w:rPr>
        <w:t>）下载</w:t>
      </w:r>
      <w:r>
        <w:rPr>
          <w:rFonts w:hint="eastAsia" w:ascii="仿宋_GB2312" w:hAnsi="仿宋_GB2312" w:cs="仿宋_GB2312"/>
          <w:kern w:val="0"/>
          <w:sz w:val="32"/>
          <w:szCs w:val="32"/>
          <w:lang w:val="en-US" w:eastAsia="zh-CN" w:bidi="ar-SA"/>
        </w:rPr>
        <w:t>。</w:t>
      </w:r>
    </w:p>
    <w:p>
      <w:pPr>
        <w:pStyle w:val="18"/>
        <w:widowControl/>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left="0" w:right="0" w:firstLine="640" w:firstLineChars="200"/>
        <w:jc w:val="left"/>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（联系电话：</w:t>
      </w:r>
      <w:r>
        <w:rPr>
          <w:rFonts w:hint="eastAsia" w:ascii="宋体" w:hAnsi="宋体" w:eastAsia="宋体" w:cs="宋体"/>
          <w:kern w:val="0"/>
          <w:sz w:val="32"/>
          <w:szCs w:val="32"/>
          <w:highlight w:val="none"/>
          <w:lang w:val="en-US" w:eastAsia="zh-CN" w:bidi="ar-SA"/>
        </w:rPr>
        <w:t>020—37866846</w:t>
      </w:r>
      <w:r>
        <w:rPr>
          <w:rFonts w:hint="eastAsia" w:ascii="仿宋_GB2312" w:hAnsi="仿宋_GB2312" w:eastAsia="仿宋_GB2312" w:cs="仿宋_GB2312"/>
          <w:kern w:val="0"/>
          <w:sz w:val="32"/>
          <w:szCs w:val="32"/>
          <w:lang w:val="en-US" w:eastAsia="zh-CN" w:bidi="ar-SA"/>
        </w:rPr>
        <w:t xml:space="preserve"> 电子邮箱：</w:t>
      </w:r>
      <w:r>
        <w:rPr>
          <w:rFonts w:hint="eastAsia" w:ascii="仿宋_GB2312" w:hAnsi="仿宋_GB2312" w:cs="仿宋_GB2312"/>
          <w:kern w:val="0"/>
          <w:sz w:val="32"/>
          <w:szCs w:val="32"/>
          <w:highlight w:val="none"/>
          <w:lang w:val="en-US" w:eastAsia="zh-CN" w:bidi="ar-SA"/>
        </w:rPr>
        <w:t>bascc@gdrd.cn</w:t>
      </w:r>
      <w:r>
        <w:rPr>
          <w:rFonts w:hint="eastAsia" w:ascii="仿宋_GB2312" w:hAnsi="仿宋_GB2312" w:eastAsia="仿宋_GB2312" w:cs="仿宋_GB2312"/>
          <w:kern w:val="0"/>
          <w:sz w:val="32"/>
          <w:szCs w:val="32"/>
          <w:lang w:val="en-US" w:eastAsia="zh-CN" w:bidi="ar-SA"/>
        </w:rPr>
        <w:t>）</w:t>
      </w:r>
    </w:p>
    <w:p>
      <w:pPr>
        <w:pStyle w:val="44"/>
        <w:widowControl w:val="0"/>
        <w:wordWrap/>
        <w:adjustRightInd/>
        <w:snapToGrid/>
        <w:spacing w:line="560" w:lineRule="exact"/>
        <w:ind w:left="0" w:leftChars="0" w:right="0" w:firstLine="0" w:firstLineChars="0"/>
        <w:jc w:val="both"/>
        <w:textAlignment w:val="auto"/>
        <w:outlineLvl w:val="9"/>
        <w:rPr>
          <w:rFonts w:hint="eastAsia" w:ascii="宋体" w:hAnsi="宋体" w:eastAsia="楷体_GB2312"/>
          <w:b/>
          <w:bCs/>
          <w:sz w:val="36"/>
          <w:lang w:val="en-US" w:eastAsia="zh-CN"/>
        </w:rPr>
      </w:pPr>
    </w:p>
    <w:p>
      <w:pPr>
        <w:widowControl w:val="0"/>
        <w:wordWrap/>
        <w:overflowPunct w:val="0"/>
        <w:adjustRightInd w:val="0"/>
        <w:snapToGrid/>
        <w:spacing w:beforeAutospacing="0" w:afterAutospacing="0" w:line="560" w:lineRule="exact"/>
        <w:ind w:left="0" w:leftChars="0" w:right="0" w:firstLine="640" w:firstLineChars="200"/>
        <w:jc w:val="both"/>
        <w:textAlignment w:val="auto"/>
        <w:outlineLvl w:val="9"/>
        <w:rPr>
          <w:rFonts w:hint="eastAsia" w:ascii="黑体" w:hAnsi="黑体" w:eastAsia="黑体" w:cs="黑体"/>
          <w:color w:val="000000"/>
          <w:sz w:val="32"/>
          <w:szCs w:val="32"/>
          <w:lang w:eastAsia="zh-CN"/>
        </w:rPr>
      </w:pPr>
      <w:r>
        <w:rPr>
          <w:rFonts w:hint="eastAsia" w:ascii="黑体" w:hAnsi="黑体" w:eastAsia="黑体" w:cs="黑体"/>
          <w:color w:val="000000"/>
          <w:sz w:val="32"/>
          <w:szCs w:val="32"/>
          <w:lang w:eastAsia="zh-CN"/>
        </w:rPr>
        <w:br w:type="page"/>
      </w:r>
    </w:p>
    <w:p>
      <w:pPr>
        <w:widowControl w:val="0"/>
        <w:wordWrap/>
        <w:overflowPunct w:val="0"/>
        <w:adjustRightInd w:val="0"/>
        <w:snapToGrid/>
        <w:spacing w:beforeAutospacing="0" w:afterAutospacing="0" w:line="560" w:lineRule="exact"/>
        <w:ind w:left="0" w:leftChars="0" w:right="0" w:firstLine="1040" w:firstLineChars="200"/>
        <w:jc w:val="center"/>
        <w:textAlignment w:val="auto"/>
        <w:outlineLvl w:val="9"/>
        <w:rPr>
          <w:rFonts w:hint="eastAsia" w:ascii="宋体" w:hAnsi="宋体" w:eastAsia="方正小标宋简体" w:cs="方正小标宋简体"/>
          <w:color w:val="000000"/>
          <w:kern w:val="2"/>
          <w:sz w:val="52"/>
          <w:szCs w:val="52"/>
          <w:lang w:val="en-US" w:eastAsia="zh-CN" w:bidi="ar-SA"/>
        </w:rPr>
      </w:pPr>
    </w:p>
    <w:p>
      <w:pPr>
        <w:widowControl w:val="0"/>
        <w:wordWrap/>
        <w:overflowPunct w:val="0"/>
        <w:adjustRightInd w:val="0"/>
        <w:snapToGrid/>
        <w:spacing w:beforeAutospacing="0" w:afterAutospacing="0" w:line="560" w:lineRule="exact"/>
        <w:ind w:left="0" w:leftChars="0" w:right="0" w:firstLine="0" w:firstLineChars="0"/>
        <w:jc w:val="center"/>
        <w:textAlignment w:val="auto"/>
        <w:outlineLvl w:val="9"/>
        <w:rPr>
          <w:rFonts w:hint="eastAsia" w:ascii="宋体" w:hAnsi="宋体" w:eastAsia="方正小标宋简体" w:cs="方正小标宋简体"/>
          <w:color w:val="000000"/>
          <w:kern w:val="2"/>
          <w:sz w:val="44"/>
          <w:szCs w:val="44"/>
          <w:lang w:val="en-US" w:eastAsia="zh-CN" w:bidi="ar-SA"/>
        </w:rPr>
      </w:pPr>
      <w:r>
        <w:rPr>
          <w:rFonts w:hint="eastAsia" w:ascii="宋体" w:hAnsi="宋体" w:eastAsia="方正小标宋简体" w:cs="方正小标宋简体"/>
          <w:color w:val="000000"/>
          <w:kern w:val="2"/>
          <w:sz w:val="44"/>
          <w:szCs w:val="44"/>
          <w:lang w:val="en-US" w:eastAsia="zh-CN" w:bidi="ar-SA"/>
        </w:rPr>
        <w:t>目  录</w:t>
      </w:r>
    </w:p>
    <w:p>
      <w:pPr>
        <w:widowControl w:val="0"/>
        <w:wordWrap/>
        <w:overflowPunct w:val="0"/>
        <w:adjustRightInd w:val="0"/>
        <w:snapToGrid/>
        <w:spacing w:beforeAutospacing="0" w:afterAutospacing="0" w:line="560" w:lineRule="exact"/>
        <w:ind w:left="0" w:leftChars="0" w:right="0" w:firstLine="1040" w:firstLineChars="200"/>
        <w:jc w:val="both"/>
        <w:textAlignment w:val="auto"/>
        <w:outlineLvl w:val="9"/>
        <w:rPr>
          <w:rFonts w:hint="eastAsia" w:ascii="宋体" w:hAnsi="宋体" w:eastAsia="方正小标宋简体" w:cs="方正小标宋简体"/>
          <w:color w:val="000000"/>
          <w:kern w:val="2"/>
          <w:sz w:val="52"/>
          <w:szCs w:val="52"/>
          <w:lang w:val="en-US" w:eastAsia="zh-CN" w:bidi="ar-SA"/>
        </w:rPr>
      </w:pPr>
    </w:p>
    <w:p>
      <w:pPr>
        <w:pStyle w:val="14"/>
        <w:widowControl w:val="0"/>
        <w:tabs>
          <w:tab w:val="right" w:leader="dot" w:pos="8788"/>
        </w:tabs>
        <w:wordWrap/>
        <w:snapToGrid/>
        <w:spacing w:line="560" w:lineRule="exact"/>
        <w:ind w:left="0" w:leftChars="0" w:firstLine="0" w:firstLineChars="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一、法律（43部）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 w:val="32"/>
          <w:szCs w:val="32"/>
          <w:lang w:eastAsia="zh-CN"/>
        </w:rPr>
        <w:fldChar w:fldCharType="begin"/>
      </w:r>
      <w:r>
        <w:rPr>
          <w:rFonts w:hint="eastAsia" w:ascii="仿宋" w:hAnsi="仿宋" w:eastAsia="仿宋" w:cs="仿宋"/>
          <w:color w:val="000000"/>
          <w:sz w:val="32"/>
          <w:szCs w:val="32"/>
          <w:lang w:eastAsia="zh-CN"/>
        </w:rPr>
        <w:instrText xml:space="preserve">TOC \o "1-3" \h \u </w:instrText>
      </w:r>
      <w:r>
        <w:rPr>
          <w:rFonts w:hint="eastAsia" w:ascii="仿宋" w:hAnsi="仿宋" w:eastAsia="仿宋" w:cs="仿宋"/>
          <w:color w:val="000000"/>
          <w:sz w:val="32"/>
          <w:szCs w:val="32"/>
          <w:lang w:eastAsia="zh-CN"/>
        </w:rPr>
        <w:fldChar w:fldCharType="separate"/>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_Toc28871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中华人民共和国传染病防治法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_Toc28871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_Toc13757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中华人民共和国突发事件应对法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_Toc13757 </w:instrText>
      </w:r>
      <w:r>
        <w:rPr>
          <w:rFonts w:hint="eastAsia" w:ascii="仿宋" w:hAnsi="仿宋" w:eastAsia="仿宋" w:cs="仿宋"/>
        </w:rPr>
        <w:fldChar w:fldCharType="separate"/>
      </w:r>
      <w:r>
        <w:rPr>
          <w:rFonts w:hint="eastAsia" w:ascii="仿宋" w:hAnsi="仿宋" w:eastAsia="仿宋" w:cs="仿宋"/>
        </w:rPr>
        <w:t>29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_Toc12935 </w:instrText>
      </w:r>
      <w:r>
        <w:rPr>
          <w:rFonts w:hint="eastAsia" w:ascii="仿宋" w:hAnsi="仿宋" w:eastAsia="仿宋" w:cs="仿宋"/>
          <w:szCs w:val="32"/>
          <w:lang w:eastAsia="zh-CN"/>
        </w:rPr>
        <w:fldChar w:fldCharType="separate"/>
      </w:r>
      <w:r>
        <w:rPr>
          <w:rFonts w:hint="eastAsia" w:ascii="仿宋" w:hAnsi="仿宋" w:eastAsia="仿宋" w:cs="仿宋"/>
          <w:lang w:eastAsia="zh-CN"/>
        </w:rPr>
        <w:t>中华人民共和国基本医疗卫生与健康促进法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_Toc12935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_Toc20378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eastAsia="zh-CN"/>
        </w:rPr>
        <w:t>中华人民共和国执业医师法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_Toc20378 </w:instrText>
      </w:r>
      <w:r>
        <w:rPr>
          <w:rFonts w:hint="eastAsia" w:ascii="仿宋" w:hAnsi="仿宋" w:eastAsia="仿宋" w:cs="仿宋"/>
        </w:rPr>
        <w:fldChar w:fldCharType="separate"/>
      </w:r>
      <w:r>
        <w:rPr>
          <w:rFonts w:hint="eastAsia" w:ascii="仿宋" w:hAnsi="仿宋" w:eastAsia="仿宋" w:cs="仿宋"/>
        </w:rPr>
        <w:t>76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_Toc6850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eastAsia="zh-CN"/>
        </w:rPr>
        <w:t>中华人民共和国食品安全法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_Toc6850 </w:instrText>
      </w:r>
      <w:r>
        <w:rPr>
          <w:rFonts w:hint="eastAsia" w:ascii="仿宋" w:hAnsi="仿宋" w:eastAsia="仿宋" w:cs="仿宋"/>
        </w:rPr>
        <w:fldChar w:fldCharType="separate"/>
      </w:r>
      <w:r>
        <w:rPr>
          <w:rFonts w:hint="eastAsia" w:ascii="仿宋" w:hAnsi="仿宋" w:eastAsia="仿宋" w:cs="仿宋"/>
        </w:rPr>
        <w:t>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_Toc31765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w:t>
      </w:r>
      <w:r>
        <w:rPr>
          <w:rFonts w:hint="eastAsia" w:ascii="仿宋" w:hAnsi="仿宋" w:eastAsia="仿宋" w:cs="仿宋"/>
          <w:kern w:val="0"/>
          <w:szCs w:val="44"/>
        </w:rPr>
        <w:t>药品管理法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_Toc31765 </w:instrText>
      </w:r>
      <w:r>
        <w:rPr>
          <w:rFonts w:hint="eastAsia" w:ascii="仿宋" w:hAnsi="仿宋" w:eastAsia="仿宋" w:cs="仿宋"/>
        </w:rPr>
        <w:fldChar w:fldCharType="separate"/>
      </w:r>
      <w:r>
        <w:rPr>
          <w:rFonts w:hint="eastAsia" w:ascii="仿宋" w:hAnsi="仿宋" w:eastAsia="仿宋" w:cs="仿宋"/>
        </w:rPr>
        <w:t>146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_Toc20970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中华人民共和国疫苗管理法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_Toc20970 </w:instrText>
      </w:r>
      <w:r>
        <w:rPr>
          <w:rFonts w:hint="eastAsia" w:ascii="仿宋" w:hAnsi="仿宋" w:eastAsia="仿宋" w:cs="仿宋"/>
        </w:rPr>
        <w:fldChar w:fldCharType="separate"/>
      </w:r>
      <w:r>
        <w:rPr>
          <w:rFonts w:hint="eastAsia" w:ascii="仿宋" w:hAnsi="仿宋" w:eastAsia="仿宋" w:cs="仿宋"/>
        </w:rPr>
        <w:t>188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_Toc23661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中华人民共和国中医药法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_Toc23661 </w:instrText>
      </w:r>
      <w:r>
        <w:rPr>
          <w:rFonts w:hint="eastAsia" w:ascii="仿宋" w:hAnsi="仿宋" w:eastAsia="仿宋" w:cs="仿宋"/>
        </w:rPr>
        <w:fldChar w:fldCharType="separate"/>
      </w:r>
      <w:r>
        <w:rPr>
          <w:rFonts w:hint="eastAsia" w:ascii="仿宋" w:hAnsi="仿宋" w:eastAsia="仿宋" w:cs="仿宋"/>
        </w:rPr>
        <w:t>224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_Toc27793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中华人民共和国国境卫生检疫法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_Toc27793 </w:instrText>
      </w:r>
      <w:r>
        <w:rPr>
          <w:rFonts w:hint="eastAsia" w:ascii="仿宋" w:hAnsi="仿宋" w:eastAsia="仿宋" w:cs="仿宋"/>
        </w:rPr>
        <w:fldChar w:fldCharType="separate"/>
      </w:r>
      <w:r>
        <w:rPr>
          <w:rFonts w:hint="eastAsia" w:ascii="仿宋" w:hAnsi="仿宋" w:eastAsia="仿宋" w:cs="仿宋"/>
        </w:rPr>
        <w:t>240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_Toc29198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中华人民共和国野生动物保护法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_Toc29198 </w:instrText>
      </w:r>
      <w:r>
        <w:rPr>
          <w:rFonts w:hint="eastAsia" w:ascii="仿宋" w:hAnsi="仿宋" w:eastAsia="仿宋" w:cs="仿宋"/>
        </w:rPr>
        <w:fldChar w:fldCharType="separate"/>
      </w:r>
      <w:r>
        <w:rPr>
          <w:rFonts w:hint="eastAsia" w:ascii="仿宋" w:hAnsi="仿宋" w:eastAsia="仿宋" w:cs="仿宋"/>
        </w:rPr>
        <w:t>247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_Toc12551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全国人民代表大会常务委员会关于全面禁止非法野生动物交易、革除滥食野生动物陋习、切实保障人民群众生命健康安全的决定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_Toc12551 </w:instrText>
      </w:r>
      <w:r>
        <w:rPr>
          <w:rFonts w:hint="eastAsia" w:ascii="仿宋" w:hAnsi="仿宋" w:eastAsia="仿宋" w:cs="仿宋"/>
        </w:rPr>
        <w:fldChar w:fldCharType="separate"/>
      </w:r>
      <w:r>
        <w:rPr>
          <w:rFonts w:hint="eastAsia" w:ascii="仿宋" w:hAnsi="仿宋" w:eastAsia="仿宋" w:cs="仿宋"/>
        </w:rPr>
        <w:t>265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中华人民共和国生物安全法</w:t>
      </w:r>
      <w:r>
        <w:rPr>
          <w:rFonts w:hint="eastAsia" w:ascii="仿宋" w:hAnsi="仿宋" w:eastAsia="仿宋" w:cs="仿宋"/>
        </w:rPr>
        <w:tab/>
      </w:r>
      <w:r>
        <w:rPr>
          <w:rFonts w:hint="eastAsia" w:ascii="仿宋" w:hAnsi="仿宋" w:eastAsia="仿宋" w:cs="仿宋"/>
          <w:lang w:val="en-US" w:eastAsia="zh-CN"/>
        </w:rPr>
        <w:t>2</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68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中华人民共和国反食品浪费法</w:t>
      </w:r>
      <w:r>
        <w:rPr>
          <w:rFonts w:hint="eastAsia" w:ascii="仿宋" w:hAnsi="仿宋" w:eastAsia="仿宋" w:cs="仿宋"/>
        </w:rPr>
        <w:tab/>
      </w:r>
      <w:r>
        <w:rPr>
          <w:rFonts w:hint="eastAsia" w:ascii="仿宋" w:hAnsi="仿宋" w:eastAsia="仿宋" w:cs="仿宋"/>
          <w:lang w:val="en-US" w:eastAsia="zh-CN"/>
        </w:rPr>
        <w:t>2</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89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中华人民共和国出口管制法</w:t>
      </w:r>
      <w:r>
        <w:rPr>
          <w:rFonts w:hint="eastAsia" w:ascii="仿宋" w:hAnsi="仿宋" w:eastAsia="仿宋" w:cs="仿宋"/>
        </w:rPr>
        <w:tab/>
      </w:r>
      <w:r>
        <w:rPr>
          <w:rFonts w:hint="eastAsia" w:ascii="仿宋" w:hAnsi="仿宋" w:eastAsia="仿宋" w:cs="仿宋"/>
          <w:lang w:val="en-US" w:eastAsia="zh-CN"/>
        </w:rPr>
        <w:t>2</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98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_Toc29243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中华人民共和国渔业法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312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_Toc12020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中华人民共和国畜牧法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324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_Toc18365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中华人民共和国动物防疫法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343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_Toc24752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中华人民共和国大气污染防治法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_Toc24752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lang w:val="en-US" w:eastAsia="zh-CN"/>
        </w:rPr>
        <w:t>7</w:t>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_Toc15201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中华人民共和国水污染防治法</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_Toc15201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lang w:val="en-US" w:eastAsia="zh-CN"/>
        </w:rPr>
        <w:t>1</w:t>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_Toc3172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中华人民共和国固体废物污染环境防治法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_Toc3172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lang w:val="en-US" w:eastAsia="zh-CN"/>
        </w:rPr>
        <w:t>4</w:t>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_Toc16649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中华人民共和国进出口商品检验法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_Toc16649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_Toc2880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中华人民共和国旅游法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_Toc2880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92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_Toc5784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中华人民共和国出境入境管理法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_Toc5784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_Toc3910 </w:instrText>
      </w:r>
      <w:r>
        <w:rPr>
          <w:rFonts w:hint="eastAsia" w:ascii="仿宋" w:hAnsi="仿宋" w:eastAsia="仿宋" w:cs="仿宋"/>
          <w:szCs w:val="32"/>
          <w:lang w:eastAsia="zh-CN"/>
        </w:rPr>
        <w:fldChar w:fldCharType="separate"/>
      </w:r>
      <w:r>
        <w:rPr>
          <w:rFonts w:hint="eastAsia" w:ascii="仿宋" w:hAnsi="仿宋" w:eastAsia="仿宋" w:cs="仿宋"/>
          <w:bCs w:val="0"/>
          <w:kern w:val="0"/>
          <w:szCs w:val="44"/>
          <w:lang w:val="en-US" w:eastAsia="zh-CN" w:bidi="ar-SA"/>
        </w:rPr>
        <w:t>中华人民共和国进出境动植物检疫法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_Toc3910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_Toc2828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中华人民共和国治安管理处罚法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_Toc2828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_Toc1142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中华人民共和国行政处罚法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_Toc1142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_Toc14199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中华人民共和国行政强制法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611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_Toc20581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中华人民共和国行政复议法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632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_Toc8906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中华人民共和国网络安全法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647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_Toc29538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中华人民共和国消费者权益保护法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668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_Toc18625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中华人民共和国广告法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686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_Toc223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中华人民共和国产品质量法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709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_Toc18122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中华人民共和国价格法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726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_Toc9576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中华人民共和国社会保险法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737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_Toc18139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eastAsia="zh-CN"/>
        </w:rPr>
        <w:t>中华人民共和国劳动法</w:t>
      </w:r>
      <w:r>
        <w:rPr>
          <w:rFonts w:hint="eastAsia" w:ascii="仿宋" w:hAnsi="仿宋" w:eastAsia="仿宋" w:cs="仿宋"/>
          <w:kern w:val="0"/>
          <w:szCs w:val="32"/>
          <w:lang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760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_Toc32587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中华人民共和国劳动合同法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_Toc32587 </w:instrText>
      </w:r>
      <w:r>
        <w:rPr>
          <w:rFonts w:hint="eastAsia" w:ascii="仿宋" w:hAnsi="仿宋" w:eastAsia="仿宋" w:cs="仿宋"/>
        </w:rPr>
        <w:fldChar w:fldCharType="separate"/>
      </w:r>
      <w:r>
        <w:rPr>
          <w:rFonts w:hint="eastAsia" w:ascii="仿宋" w:hAnsi="仿宋" w:eastAsia="仿宋" w:cs="仿宋"/>
        </w:rPr>
        <w:t>780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_Toc16789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中华人民共和国慈善法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_Toc16789 </w:instrText>
      </w:r>
      <w:r>
        <w:rPr>
          <w:rFonts w:hint="eastAsia" w:ascii="仿宋" w:hAnsi="仿宋" w:eastAsia="仿宋" w:cs="仿宋"/>
        </w:rPr>
        <w:fldChar w:fldCharType="separate"/>
      </w:r>
      <w:r>
        <w:rPr>
          <w:rFonts w:hint="eastAsia" w:ascii="仿宋" w:hAnsi="仿宋" w:eastAsia="仿宋" w:cs="仿宋"/>
        </w:rPr>
        <w:t>806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_Toc12828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中华人民共和国红十字会法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_Toc12828 </w:instrText>
      </w:r>
      <w:r>
        <w:rPr>
          <w:rFonts w:hint="eastAsia" w:ascii="仿宋" w:hAnsi="仿宋" w:eastAsia="仿宋" w:cs="仿宋"/>
        </w:rPr>
        <w:fldChar w:fldCharType="separate"/>
      </w:r>
      <w:r>
        <w:rPr>
          <w:rFonts w:hint="eastAsia" w:ascii="仿宋" w:hAnsi="仿宋" w:eastAsia="仿宋" w:cs="仿宋"/>
        </w:rPr>
        <w:t>832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_Toc3013 </w:instrText>
      </w:r>
      <w:r>
        <w:rPr>
          <w:rFonts w:hint="eastAsia" w:ascii="仿宋" w:hAnsi="仿宋" w:eastAsia="仿宋" w:cs="仿宋"/>
          <w:szCs w:val="32"/>
          <w:lang w:eastAsia="zh-CN"/>
        </w:rPr>
        <w:fldChar w:fldCharType="separate"/>
      </w:r>
      <w:r>
        <w:rPr>
          <w:rFonts w:hint="eastAsia" w:ascii="仿宋" w:hAnsi="仿宋" w:eastAsia="仿宋" w:cs="仿宋"/>
          <w:bCs w:val="0"/>
          <w:kern w:val="2"/>
          <w:szCs w:val="44"/>
          <w:lang w:val="en-US" w:eastAsia="zh-CN" w:bidi="ar-SA"/>
        </w:rPr>
        <w:t>中华人民共和国公益事业捐赠法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_Toc3013 </w:instrText>
      </w:r>
      <w:r>
        <w:rPr>
          <w:rFonts w:hint="eastAsia" w:ascii="仿宋" w:hAnsi="仿宋" w:eastAsia="仿宋" w:cs="仿宋"/>
        </w:rPr>
        <w:fldChar w:fldCharType="separate"/>
      </w:r>
      <w:r>
        <w:rPr>
          <w:rFonts w:hint="eastAsia" w:ascii="仿宋" w:hAnsi="仿宋" w:eastAsia="仿宋" w:cs="仿宋"/>
        </w:rPr>
        <w:t>841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_Toc18622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中华人民共和国刑法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_Toc18622 </w:instrText>
      </w:r>
      <w:r>
        <w:rPr>
          <w:rFonts w:hint="eastAsia" w:ascii="仿宋" w:hAnsi="仿宋" w:eastAsia="仿宋" w:cs="仿宋"/>
        </w:rPr>
        <w:fldChar w:fldCharType="separate"/>
      </w:r>
      <w:r>
        <w:rPr>
          <w:rFonts w:hint="eastAsia" w:ascii="仿宋" w:hAnsi="仿宋" w:eastAsia="仿宋" w:cs="仿宋"/>
        </w:rPr>
        <w:t>848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_Toc4331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中华人民共和国刑事诉讼法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_Toc4331 </w:instrText>
      </w:r>
      <w:r>
        <w:rPr>
          <w:rFonts w:hint="eastAsia" w:ascii="仿宋" w:hAnsi="仿宋" w:eastAsia="仿宋" w:cs="仿宋"/>
        </w:rPr>
        <w:fldChar w:fldCharType="separate"/>
      </w:r>
      <w:r>
        <w:rPr>
          <w:rFonts w:hint="eastAsia" w:ascii="仿宋" w:hAnsi="仿宋" w:eastAsia="仿宋" w:cs="仿宋"/>
        </w:rPr>
        <w:t>965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_Toc25673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中华人民共和国民事诉讼法</w:t>
      </w:r>
      <w:r>
        <w:rPr>
          <w:rFonts w:hint="eastAsia" w:ascii="仿宋" w:hAnsi="仿宋" w:eastAsia="仿宋" w:cs="仿宋"/>
          <w:kern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_Toc25673 </w:instrText>
      </w:r>
      <w:r>
        <w:rPr>
          <w:rFonts w:hint="eastAsia" w:ascii="仿宋" w:hAnsi="仿宋" w:eastAsia="仿宋" w:cs="仿宋"/>
        </w:rPr>
        <w:fldChar w:fldCharType="separate"/>
      </w:r>
      <w:r>
        <w:rPr>
          <w:rFonts w:hint="eastAsia" w:ascii="仿宋" w:hAnsi="仿宋" w:eastAsia="仿宋" w:cs="仿宋"/>
        </w:rPr>
        <w:t>1048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_Toc10990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中华人民共和国行政诉讼法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_Toc10990 </w:instrText>
      </w:r>
      <w:r>
        <w:rPr>
          <w:rFonts w:hint="eastAsia" w:ascii="仿宋" w:hAnsi="仿宋" w:eastAsia="仿宋" w:cs="仿宋"/>
        </w:rPr>
        <w:fldChar w:fldCharType="separate"/>
      </w:r>
      <w:r>
        <w:rPr>
          <w:rFonts w:hint="eastAsia" w:ascii="仿宋" w:hAnsi="仿宋" w:eastAsia="仿宋" w:cs="仿宋"/>
        </w:rPr>
        <w:t>1116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eastAsia="zh-CN"/>
        </w:rPr>
      </w:pP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二、行政法规（29部）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_Toc1912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中华人民共和国传染病防治法实施办法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_Toc1912 </w:instrText>
      </w:r>
      <w:r>
        <w:rPr>
          <w:rFonts w:hint="eastAsia" w:ascii="仿宋" w:hAnsi="仿宋" w:eastAsia="仿宋" w:cs="仿宋"/>
        </w:rPr>
        <w:fldChar w:fldCharType="separate"/>
      </w:r>
      <w:r>
        <w:rPr>
          <w:rFonts w:hint="eastAsia" w:ascii="仿宋" w:hAnsi="仿宋" w:eastAsia="仿宋" w:cs="仿宋"/>
        </w:rPr>
        <w:t>1143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_Toc18525 </w:instrText>
      </w:r>
      <w:r>
        <w:rPr>
          <w:rFonts w:hint="eastAsia" w:ascii="仿宋" w:hAnsi="仿宋" w:eastAsia="仿宋" w:cs="仿宋"/>
          <w:szCs w:val="32"/>
          <w:lang w:eastAsia="zh-CN"/>
        </w:rPr>
        <w:fldChar w:fldCharType="separate"/>
      </w:r>
      <w:r>
        <w:rPr>
          <w:rFonts w:hint="eastAsia" w:ascii="仿宋" w:hAnsi="仿宋" w:eastAsia="仿宋" w:cs="仿宋"/>
          <w:kern w:val="0"/>
          <w:szCs w:val="44"/>
        </w:rPr>
        <w:t>疫苗流通和预防接种管理条例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_Toc18525 </w:instrText>
      </w:r>
      <w:r>
        <w:rPr>
          <w:rFonts w:hint="eastAsia" w:ascii="仿宋" w:hAnsi="仿宋" w:eastAsia="仿宋" w:cs="仿宋"/>
        </w:rPr>
        <w:fldChar w:fldCharType="separate"/>
      </w:r>
      <w:r>
        <w:rPr>
          <w:rFonts w:hint="eastAsia" w:ascii="仿宋" w:hAnsi="仿宋" w:eastAsia="仿宋" w:cs="仿宋"/>
        </w:rPr>
        <w:t>1165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_Toc2641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中华人民共和国中医药条例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_Toc2641 </w:instrText>
      </w:r>
      <w:r>
        <w:rPr>
          <w:rFonts w:hint="eastAsia" w:ascii="仿宋" w:hAnsi="仿宋" w:eastAsia="仿宋" w:cs="仿宋"/>
        </w:rPr>
        <w:fldChar w:fldCharType="separate"/>
      </w:r>
      <w:r>
        <w:rPr>
          <w:rFonts w:hint="eastAsia" w:ascii="仿宋" w:hAnsi="仿宋" w:eastAsia="仿宋" w:cs="仿宋"/>
        </w:rPr>
        <w:t>1187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_Toc24061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中华人民共和国陆生野生动物保护实施条例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_Toc24061 </w:instrText>
      </w:r>
      <w:r>
        <w:rPr>
          <w:rFonts w:hint="eastAsia" w:ascii="仿宋" w:hAnsi="仿宋" w:eastAsia="仿宋" w:cs="仿宋"/>
        </w:rPr>
        <w:fldChar w:fldCharType="separate"/>
      </w:r>
      <w:r>
        <w:rPr>
          <w:rFonts w:hint="eastAsia" w:ascii="仿宋" w:hAnsi="仿宋" w:eastAsia="仿宋" w:cs="仿宋"/>
        </w:rPr>
        <w:t>1196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_Toc24596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中华人民共和国水生野生动物保护实施条例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_Toc24596 </w:instrText>
      </w:r>
      <w:r>
        <w:rPr>
          <w:rFonts w:hint="eastAsia" w:ascii="仿宋" w:hAnsi="仿宋" w:eastAsia="仿宋" w:cs="仿宋"/>
        </w:rPr>
        <w:fldChar w:fldCharType="separate"/>
      </w:r>
      <w:r>
        <w:rPr>
          <w:rFonts w:hint="eastAsia" w:ascii="仿宋" w:hAnsi="仿宋" w:eastAsia="仿宋" w:cs="仿宋"/>
        </w:rPr>
        <w:t>1209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_Toc17770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_Toc27075 </w:instrText>
      </w:r>
      <w:r>
        <w:rPr>
          <w:rFonts w:hint="eastAsia" w:ascii="仿宋" w:hAnsi="仿宋" w:eastAsia="仿宋" w:cs="仿宋"/>
          <w:szCs w:val="32"/>
          <w:lang w:eastAsia="zh-CN"/>
        </w:rPr>
        <w:fldChar w:fldCharType="separate"/>
      </w:r>
      <w:r>
        <w:rPr>
          <w:rFonts w:hint="eastAsia" w:ascii="仿宋" w:hAnsi="仿宋" w:eastAsia="仿宋" w:cs="仿宋"/>
          <w:szCs w:val="44"/>
        </w:rPr>
        <w:t>濒危野生动植物进出口管理条例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_Toc27075 </w:instrText>
      </w:r>
      <w:r>
        <w:rPr>
          <w:rFonts w:hint="eastAsia" w:ascii="仿宋" w:hAnsi="仿宋" w:eastAsia="仿宋" w:cs="仿宋"/>
        </w:rPr>
        <w:fldChar w:fldCharType="separate"/>
      </w:r>
      <w:r>
        <w:rPr>
          <w:rFonts w:hint="eastAsia" w:ascii="仿宋" w:hAnsi="仿宋" w:eastAsia="仿宋" w:cs="仿宋"/>
        </w:rPr>
        <w:t>1219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_Toc31253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中华人民共和国渔业法实施细则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_Toc31253 </w:instrText>
      </w:r>
      <w:r>
        <w:rPr>
          <w:rFonts w:hint="eastAsia" w:ascii="仿宋" w:hAnsi="仿宋" w:eastAsia="仿宋" w:cs="仿宋"/>
        </w:rPr>
        <w:fldChar w:fldCharType="separate"/>
      </w:r>
      <w:r>
        <w:rPr>
          <w:rFonts w:hint="eastAsia" w:ascii="仿宋" w:hAnsi="仿宋" w:eastAsia="仿宋" w:cs="仿宋"/>
        </w:rPr>
        <w:t>1226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_Toc8635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中华人民共和国国境卫生检疫法实施细则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_Toc8635 </w:instrText>
      </w:r>
      <w:r>
        <w:rPr>
          <w:rFonts w:hint="eastAsia" w:ascii="仿宋" w:hAnsi="仿宋" w:eastAsia="仿宋" w:cs="仿宋"/>
        </w:rPr>
        <w:fldChar w:fldCharType="separate"/>
      </w:r>
      <w:r>
        <w:rPr>
          <w:rFonts w:hint="eastAsia" w:ascii="仿宋" w:hAnsi="仿宋" w:eastAsia="仿宋" w:cs="仿宋"/>
        </w:rPr>
        <w:t>1236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_Toc28393 </w:instrText>
      </w:r>
      <w:r>
        <w:rPr>
          <w:rFonts w:hint="eastAsia" w:ascii="仿宋" w:hAnsi="仿宋" w:eastAsia="仿宋" w:cs="仿宋"/>
          <w:szCs w:val="32"/>
          <w:lang w:eastAsia="zh-CN"/>
        </w:rPr>
        <w:fldChar w:fldCharType="separate"/>
      </w:r>
      <w:r>
        <w:rPr>
          <w:rFonts w:hint="eastAsia" w:ascii="仿宋" w:hAnsi="仿宋" w:eastAsia="仿宋" w:cs="仿宋"/>
          <w:szCs w:val="44"/>
        </w:rPr>
        <w:t>中华人民共和国</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_Toc4400 </w:instrText>
      </w:r>
      <w:r>
        <w:rPr>
          <w:rFonts w:hint="eastAsia" w:ascii="仿宋" w:hAnsi="仿宋" w:eastAsia="仿宋" w:cs="仿宋"/>
          <w:szCs w:val="32"/>
          <w:lang w:eastAsia="zh-CN"/>
        </w:rPr>
        <w:fldChar w:fldCharType="separate"/>
      </w:r>
      <w:r>
        <w:rPr>
          <w:rFonts w:hint="eastAsia" w:ascii="仿宋" w:hAnsi="仿宋" w:eastAsia="仿宋" w:cs="仿宋"/>
          <w:szCs w:val="44"/>
        </w:rPr>
        <w:t>进出境动植物检疫法实施条例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_Toc4400 </w:instrText>
      </w:r>
      <w:r>
        <w:rPr>
          <w:rFonts w:hint="eastAsia" w:ascii="仿宋" w:hAnsi="仿宋" w:eastAsia="仿宋" w:cs="仿宋"/>
        </w:rPr>
        <w:fldChar w:fldCharType="separate"/>
      </w:r>
      <w:r>
        <w:rPr>
          <w:rFonts w:hint="eastAsia" w:ascii="仿宋" w:hAnsi="仿宋" w:eastAsia="仿宋" w:cs="仿宋"/>
        </w:rPr>
        <w:t>1267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_Toc19031 </w:instrText>
      </w:r>
      <w:r>
        <w:rPr>
          <w:rFonts w:hint="eastAsia" w:ascii="仿宋" w:hAnsi="仿宋" w:eastAsia="仿宋" w:cs="仿宋"/>
          <w:szCs w:val="32"/>
          <w:lang w:eastAsia="zh-CN"/>
        </w:rPr>
        <w:fldChar w:fldCharType="separate"/>
      </w:r>
      <w:r>
        <w:rPr>
          <w:rFonts w:hint="eastAsia" w:ascii="仿宋" w:hAnsi="仿宋" w:eastAsia="仿宋" w:cs="仿宋"/>
          <w:bCs/>
          <w:szCs w:val="44"/>
        </w:rPr>
        <w:t>突发公共卫生事件应急条例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_Toc19031 </w:instrText>
      </w:r>
      <w:r>
        <w:rPr>
          <w:rFonts w:hint="eastAsia" w:ascii="仿宋" w:hAnsi="仿宋" w:eastAsia="仿宋" w:cs="仿宋"/>
        </w:rPr>
        <w:fldChar w:fldCharType="separate"/>
      </w:r>
      <w:r>
        <w:rPr>
          <w:rFonts w:hint="eastAsia" w:ascii="仿宋" w:hAnsi="仿宋" w:eastAsia="仿宋" w:cs="仿宋"/>
        </w:rPr>
        <w:t>1286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_Toc18072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医疗纠纷预防和处理条例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_Toc18072 </w:instrText>
      </w:r>
      <w:r>
        <w:rPr>
          <w:rFonts w:hint="eastAsia" w:ascii="仿宋" w:hAnsi="仿宋" w:eastAsia="仿宋" w:cs="仿宋"/>
        </w:rPr>
        <w:fldChar w:fldCharType="separate"/>
      </w:r>
      <w:r>
        <w:rPr>
          <w:rFonts w:hint="eastAsia" w:ascii="仿宋" w:hAnsi="仿宋" w:eastAsia="仿宋" w:cs="仿宋"/>
        </w:rPr>
        <w:t>1300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_Toc935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医疗事故处理条例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_Toc935 </w:instrText>
      </w:r>
      <w:r>
        <w:rPr>
          <w:rFonts w:hint="eastAsia" w:ascii="仿宋" w:hAnsi="仿宋" w:eastAsia="仿宋" w:cs="仿宋"/>
        </w:rPr>
        <w:fldChar w:fldCharType="separate"/>
      </w:r>
      <w:r>
        <w:rPr>
          <w:rFonts w:hint="eastAsia" w:ascii="仿宋" w:hAnsi="仿宋" w:eastAsia="仿宋" w:cs="仿宋"/>
        </w:rPr>
        <w:t>1315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_Toc31803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医疗机构管理条例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_Toc31803 </w:instrText>
      </w:r>
      <w:r>
        <w:rPr>
          <w:rFonts w:hint="eastAsia" w:ascii="仿宋" w:hAnsi="仿宋" w:eastAsia="仿宋" w:cs="仿宋"/>
        </w:rPr>
        <w:fldChar w:fldCharType="separate"/>
      </w:r>
      <w:r>
        <w:rPr>
          <w:rFonts w:hint="eastAsia" w:ascii="仿宋" w:hAnsi="仿宋" w:eastAsia="仿宋" w:cs="仿宋"/>
        </w:rPr>
        <w:t>1335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_Toc29609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医疗器械监督管理条例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_Toc29609 </w:instrText>
      </w:r>
      <w:r>
        <w:rPr>
          <w:rFonts w:hint="eastAsia" w:ascii="仿宋" w:hAnsi="仿宋" w:eastAsia="仿宋" w:cs="仿宋"/>
        </w:rPr>
        <w:fldChar w:fldCharType="separate"/>
      </w:r>
      <w:r>
        <w:rPr>
          <w:rFonts w:hint="eastAsia" w:ascii="仿宋" w:hAnsi="仿宋" w:eastAsia="仿宋" w:cs="仿宋"/>
        </w:rPr>
        <w:t>1345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_Toc22667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医疗废物管理条例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_Toc22667 </w:instrText>
      </w:r>
      <w:r>
        <w:rPr>
          <w:rFonts w:hint="eastAsia" w:ascii="仿宋" w:hAnsi="仿宋" w:eastAsia="仿宋" w:cs="仿宋"/>
        </w:rPr>
        <w:fldChar w:fldCharType="separate"/>
      </w:r>
      <w:r>
        <w:rPr>
          <w:rFonts w:hint="eastAsia" w:ascii="仿宋" w:hAnsi="仿宋" w:eastAsia="仿宋" w:cs="仿宋"/>
        </w:rPr>
        <w:t>1373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_Toc15440 </w:instrText>
      </w:r>
      <w:r>
        <w:rPr>
          <w:rFonts w:hint="eastAsia" w:ascii="仿宋" w:hAnsi="仿宋" w:eastAsia="仿宋" w:cs="仿宋"/>
          <w:szCs w:val="32"/>
          <w:lang w:eastAsia="zh-CN"/>
        </w:rPr>
        <w:fldChar w:fldCharType="separate"/>
      </w:r>
      <w:r>
        <w:rPr>
          <w:rFonts w:hint="eastAsia" w:ascii="仿宋" w:hAnsi="仿宋" w:eastAsia="仿宋" w:cs="仿宋"/>
          <w:bCs/>
          <w:szCs w:val="44"/>
        </w:rPr>
        <w:t>重大动物疫情应急条例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_Toc15440 </w:instrText>
      </w:r>
      <w:r>
        <w:rPr>
          <w:rFonts w:hint="eastAsia" w:ascii="仿宋" w:hAnsi="仿宋" w:eastAsia="仿宋" w:cs="仿宋"/>
        </w:rPr>
        <w:fldChar w:fldCharType="separate"/>
      </w:r>
      <w:r>
        <w:rPr>
          <w:rFonts w:hint="eastAsia" w:ascii="仿宋" w:hAnsi="仿宋" w:eastAsia="仿宋" w:cs="仿宋"/>
        </w:rPr>
        <w:t>1388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_Toc15856 </w:instrText>
      </w:r>
      <w:r>
        <w:rPr>
          <w:rFonts w:hint="eastAsia" w:ascii="仿宋" w:hAnsi="仿宋" w:eastAsia="仿宋" w:cs="仿宋"/>
          <w:szCs w:val="32"/>
          <w:lang w:eastAsia="zh-CN"/>
        </w:rPr>
        <w:fldChar w:fldCharType="separate"/>
      </w:r>
      <w:r>
        <w:rPr>
          <w:rFonts w:hint="eastAsia" w:ascii="仿宋" w:hAnsi="仿宋" w:eastAsia="仿宋" w:cs="仿宋"/>
          <w:szCs w:val="44"/>
        </w:rPr>
        <w:t>畜禽规模养殖污染防治条例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_Toc15856 </w:instrText>
      </w:r>
      <w:r>
        <w:rPr>
          <w:rFonts w:hint="eastAsia" w:ascii="仿宋" w:hAnsi="仿宋" w:eastAsia="仿宋" w:cs="仿宋"/>
        </w:rPr>
        <w:fldChar w:fldCharType="separate"/>
      </w:r>
      <w:r>
        <w:rPr>
          <w:rFonts w:hint="eastAsia" w:ascii="仿宋" w:hAnsi="仿宋" w:eastAsia="仿宋" w:cs="仿宋"/>
        </w:rPr>
        <w:t>1400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_Toc17846 </w:instrText>
      </w:r>
      <w:r>
        <w:rPr>
          <w:rFonts w:hint="eastAsia" w:ascii="仿宋" w:hAnsi="仿宋" w:eastAsia="仿宋" w:cs="仿宋"/>
          <w:szCs w:val="32"/>
          <w:lang w:eastAsia="zh-CN"/>
        </w:rPr>
        <w:fldChar w:fldCharType="separate"/>
      </w:r>
      <w:r>
        <w:rPr>
          <w:rFonts w:hint="eastAsia" w:ascii="仿宋" w:hAnsi="仿宋" w:eastAsia="仿宋" w:cs="仿宋"/>
          <w:szCs w:val="44"/>
        </w:rPr>
        <w:t>生猪屠宰管理条例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_Toc17846 </w:instrText>
      </w:r>
      <w:r>
        <w:rPr>
          <w:rFonts w:hint="eastAsia" w:ascii="仿宋" w:hAnsi="仿宋" w:eastAsia="仿宋" w:cs="仿宋"/>
        </w:rPr>
        <w:fldChar w:fldCharType="separate"/>
      </w:r>
      <w:r>
        <w:rPr>
          <w:rFonts w:hint="eastAsia" w:ascii="仿宋" w:hAnsi="仿宋" w:eastAsia="仿宋" w:cs="仿宋"/>
        </w:rPr>
        <w:t>1410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_Toc17555 </w:instrText>
      </w:r>
      <w:r>
        <w:rPr>
          <w:rFonts w:hint="eastAsia" w:ascii="仿宋" w:hAnsi="仿宋" w:eastAsia="仿宋" w:cs="仿宋"/>
          <w:szCs w:val="32"/>
          <w:lang w:eastAsia="zh-CN"/>
        </w:rPr>
        <w:fldChar w:fldCharType="separate"/>
      </w:r>
      <w:r>
        <w:rPr>
          <w:rFonts w:hint="eastAsia" w:ascii="仿宋" w:hAnsi="仿宋" w:eastAsia="仿宋" w:cs="仿宋"/>
          <w:bCs w:val="0"/>
          <w:lang w:eastAsia="zh-CN"/>
        </w:rPr>
        <w:t>病原微生物实验室生物安全管理条例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_Toc17555 </w:instrText>
      </w:r>
      <w:r>
        <w:rPr>
          <w:rFonts w:hint="eastAsia" w:ascii="仿宋" w:hAnsi="仿宋" w:eastAsia="仿宋" w:cs="仿宋"/>
        </w:rPr>
        <w:fldChar w:fldCharType="separate"/>
      </w:r>
      <w:r>
        <w:rPr>
          <w:rFonts w:hint="eastAsia" w:ascii="仿宋" w:hAnsi="仿宋" w:eastAsia="仿宋" w:cs="仿宋"/>
        </w:rPr>
        <w:t>1420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_Toc9559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中华人民共和国食品安全法实施条例</w:t>
      </w:r>
      <w:r>
        <w:rPr>
          <w:rFonts w:hint="eastAsia" w:ascii="仿宋" w:hAnsi="仿宋" w:eastAsia="仿宋" w:cs="仿宋"/>
          <w:bCs/>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_Toc9559 </w:instrText>
      </w:r>
      <w:r>
        <w:rPr>
          <w:rFonts w:hint="eastAsia" w:ascii="仿宋" w:hAnsi="仿宋" w:eastAsia="仿宋" w:cs="仿宋"/>
        </w:rPr>
        <w:fldChar w:fldCharType="separate"/>
      </w:r>
      <w:r>
        <w:rPr>
          <w:rFonts w:hint="eastAsia" w:ascii="仿宋" w:hAnsi="仿宋" w:eastAsia="仿宋" w:cs="仿宋"/>
        </w:rPr>
        <w:t>1444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_Toc7478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中华人民共和国药品管理法实施条例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_Toc7478 </w:instrText>
      </w:r>
      <w:r>
        <w:rPr>
          <w:rFonts w:hint="eastAsia" w:ascii="仿宋" w:hAnsi="仿宋" w:eastAsia="仿宋" w:cs="仿宋"/>
        </w:rPr>
        <w:fldChar w:fldCharType="separate"/>
      </w:r>
      <w:r>
        <w:rPr>
          <w:rFonts w:hint="eastAsia" w:ascii="仿宋" w:hAnsi="仿宋" w:eastAsia="仿宋" w:cs="仿宋"/>
        </w:rPr>
        <w:t>1465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_Toc13253 </w:instrText>
      </w:r>
      <w:r>
        <w:rPr>
          <w:rFonts w:hint="eastAsia" w:ascii="仿宋" w:hAnsi="仿宋" w:eastAsia="仿宋" w:cs="仿宋"/>
          <w:szCs w:val="32"/>
          <w:lang w:eastAsia="zh-CN"/>
        </w:rPr>
        <w:fldChar w:fldCharType="separate"/>
      </w:r>
      <w:r>
        <w:rPr>
          <w:rFonts w:hint="eastAsia" w:ascii="仿宋" w:hAnsi="仿宋" w:eastAsia="仿宋" w:cs="仿宋"/>
          <w:bCs/>
          <w:szCs w:val="44"/>
        </w:rPr>
        <w:t>公共场所卫生管理条例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_Toc13253 </w:instrText>
      </w:r>
      <w:r>
        <w:rPr>
          <w:rFonts w:hint="eastAsia" w:ascii="仿宋" w:hAnsi="仿宋" w:eastAsia="仿宋" w:cs="仿宋"/>
        </w:rPr>
        <w:fldChar w:fldCharType="separate"/>
      </w:r>
      <w:r>
        <w:rPr>
          <w:rFonts w:hint="eastAsia" w:ascii="仿宋" w:hAnsi="仿宋" w:eastAsia="仿宋" w:cs="仿宋"/>
        </w:rPr>
        <w:t>1488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_Toc20353 </w:instrText>
      </w:r>
      <w:r>
        <w:rPr>
          <w:rFonts w:hint="eastAsia" w:ascii="仿宋" w:hAnsi="仿宋" w:eastAsia="仿宋" w:cs="仿宋"/>
          <w:szCs w:val="32"/>
          <w:lang w:eastAsia="zh-CN"/>
        </w:rPr>
        <w:fldChar w:fldCharType="separate"/>
      </w:r>
      <w:r>
        <w:rPr>
          <w:rFonts w:hint="eastAsia" w:ascii="仿宋" w:hAnsi="仿宋" w:eastAsia="仿宋" w:cs="仿宋"/>
          <w:bCs/>
          <w:szCs w:val="44"/>
        </w:rPr>
        <w:t>国内交通卫生检疫条例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_Toc20353 </w:instrText>
      </w:r>
      <w:r>
        <w:rPr>
          <w:rFonts w:hint="eastAsia" w:ascii="仿宋" w:hAnsi="仿宋" w:eastAsia="仿宋" w:cs="仿宋"/>
        </w:rPr>
        <w:fldChar w:fldCharType="separate"/>
      </w:r>
      <w:r>
        <w:rPr>
          <w:rFonts w:hint="eastAsia" w:ascii="仿宋" w:hAnsi="仿宋" w:eastAsia="仿宋" w:cs="仿宋"/>
        </w:rPr>
        <w:t>1493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_Toc4168 </w:instrText>
      </w:r>
      <w:r>
        <w:rPr>
          <w:rFonts w:hint="eastAsia" w:ascii="仿宋" w:hAnsi="仿宋" w:eastAsia="仿宋" w:cs="仿宋"/>
          <w:szCs w:val="32"/>
          <w:lang w:eastAsia="zh-CN"/>
        </w:rPr>
        <w:fldChar w:fldCharType="separate"/>
      </w:r>
      <w:r>
        <w:rPr>
          <w:rFonts w:hint="eastAsia" w:ascii="仿宋" w:hAnsi="仿宋" w:eastAsia="仿宋" w:cs="仿宋"/>
          <w:bCs/>
          <w:szCs w:val="44"/>
        </w:rPr>
        <w:t>城市市容和环境卫生管理条例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_Toc4168 </w:instrText>
      </w:r>
      <w:r>
        <w:rPr>
          <w:rFonts w:hint="eastAsia" w:ascii="仿宋" w:hAnsi="仿宋" w:eastAsia="仿宋" w:cs="仿宋"/>
        </w:rPr>
        <w:fldChar w:fldCharType="separate"/>
      </w:r>
      <w:r>
        <w:rPr>
          <w:rFonts w:hint="eastAsia" w:ascii="仿宋" w:hAnsi="仿宋" w:eastAsia="仿宋" w:cs="仿宋"/>
        </w:rPr>
        <w:t>1499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_Toc15216 </w:instrText>
      </w:r>
      <w:r>
        <w:rPr>
          <w:rFonts w:hint="eastAsia" w:ascii="仿宋" w:hAnsi="仿宋" w:eastAsia="仿宋" w:cs="仿宋"/>
          <w:szCs w:val="32"/>
          <w:lang w:eastAsia="zh-CN"/>
        </w:rPr>
        <w:fldChar w:fldCharType="separate"/>
      </w:r>
      <w:r>
        <w:rPr>
          <w:rFonts w:hint="eastAsia" w:ascii="仿宋" w:hAnsi="仿宋" w:eastAsia="仿宋" w:cs="仿宋"/>
          <w:bCs/>
          <w:szCs w:val="44"/>
        </w:rPr>
        <w:t>护士条例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_Toc15216 </w:instrText>
      </w:r>
      <w:r>
        <w:rPr>
          <w:rFonts w:hint="eastAsia" w:ascii="仿宋" w:hAnsi="仿宋" w:eastAsia="仿宋" w:cs="仿宋"/>
        </w:rPr>
        <w:fldChar w:fldCharType="separate"/>
      </w:r>
      <w:r>
        <w:rPr>
          <w:rFonts w:hint="eastAsia" w:ascii="仿宋" w:hAnsi="仿宋" w:eastAsia="仿宋" w:cs="仿宋"/>
        </w:rPr>
        <w:t>1509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_Toc13616 </w:instrText>
      </w:r>
      <w:r>
        <w:rPr>
          <w:rFonts w:hint="eastAsia" w:ascii="仿宋" w:hAnsi="仿宋" w:eastAsia="仿宋" w:cs="仿宋"/>
          <w:szCs w:val="32"/>
          <w:lang w:eastAsia="zh-CN"/>
        </w:rPr>
        <w:fldChar w:fldCharType="separate"/>
      </w:r>
      <w:r>
        <w:rPr>
          <w:rFonts w:hint="eastAsia" w:ascii="仿宋" w:hAnsi="仿宋" w:eastAsia="仿宋" w:cs="仿宋"/>
          <w:bCs/>
          <w:szCs w:val="44"/>
        </w:rPr>
        <w:t>职工带薪年休假条例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_Toc13616 </w:instrText>
      </w:r>
      <w:r>
        <w:rPr>
          <w:rFonts w:hint="eastAsia" w:ascii="仿宋" w:hAnsi="仿宋" w:eastAsia="仿宋" w:cs="仿宋"/>
        </w:rPr>
        <w:fldChar w:fldCharType="separate"/>
      </w:r>
      <w:r>
        <w:rPr>
          <w:rFonts w:hint="eastAsia" w:ascii="仿宋" w:hAnsi="仿宋" w:eastAsia="仿宋" w:cs="仿宋"/>
        </w:rPr>
        <w:t>1518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_Toc19254 </w:instrText>
      </w:r>
      <w:r>
        <w:rPr>
          <w:rFonts w:hint="eastAsia" w:ascii="仿宋" w:hAnsi="仿宋" w:eastAsia="仿宋" w:cs="仿宋"/>
          <w:szCs w:val="32"/>
          <w:lang w:eastAsia="zh-CN"/>
        </w:rPr>
        <w:fldChar w:fldCharType="separate"/>
      </w:r>
      <w:r>
        <w:rPr>
          <w:rFonts w:hint="eastAsia" w:ascii="仿宋" w:hAnsi="仿宋" w:eastAsia="仿宋" w:cs="仿宋"/>
          <w:bCs/>
          <w:szCs w:val="44"/>
        </w:rPr>
        <w:t>工伤保险条例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_Toc19254 </w:instrText>
      </w:r>
      <w:r>
        <w:rPr>
          <w:rFonts w:hint="eastAsia" w:ascii="仿宋" w:hAnsi="仿宋" w:eastAsia="仿宋" w:cs="仿宋"/>
        </w:rPr>
        <w:fldChar w:fldCharType="separate"/>
      </w:r>
      <w:r>
        <w:rPr>
          <w:rFonts w:hint="eastAsia" w:ascii="仿宋" w:hAnsi="仿宋" w:eastAsia="仿宋" w:cs="仿宋"/>
        </w:rPr>
        <w:t>1521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_Toc24704 </w:instrText>
      </w:r>
      <w:r>
        <w:rPr>
          <w:rFonts w:hint="eastAsia" w:ascii="仿宋" w:hAnsi="仿宋" w:eastAsia="仿宋" w:cs="仿宋"/>
          <w:szCs w:val="32"/>
          <w:lang w:eastAsia="zh-CN"/>
        </w:rPr>
        <w:fldChar w:fldCharType="separate"/>
      </w:r>
      <w:r>
        <w:rPr>
          <w:rFonts w:hint="eastAsia" w:ascii="仿宋" w:hAnsi="仿宋" w:eastAsia="仿宋" w:cs="仿宋"/>
          <w:bCs/>
          <w:szCs w:val="44"/>
        </w:rPr>
        <w:t>中华人民共和国政府信息公开条例</w:t>
      </w:r>
      <w:r>
        <w:rPr>
          <w:rFonts w:hint="eastAsia" w:ascii="仿宋" w:hAnsi="仿宋" w:eastAsia="仿宋" w:cs="仿宋"/>
          <w:kern w:val="0"/>
          <w:szCs w:val="32"/>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_Toc24704 </w:instrText>
      </w:r>
      <w:r>
        <w:rPr>
          <w:rFonts w:hint="eastAsia" w:ascii="仿宋" w:hAnsi="仿宋" w:eastAsia="仿宋" w:cs="仿宋"/>
        </w:rPr>
        <w:fldChar w:fldCharType="separate"/>
      </w:r>
      <w:r>
        <w:rPr>
          <w:rFonts w:hint="eastAsia" w:ascii="仿宋" w:hAnsi="仿宋" w:eastAsia="仿宋" w:cs="仿宋"/>
        </w:rPr>
        <w:t>1541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_Toc24704 </w:instrText>
      </w:r>
      <w:r>
        <w:rPr>
          <w:rFonts w:hint="eastAsia" w:ascii="仿宋" w:hAnsi="仿宋" w:eastAsia="仿宋" w:cs="仿宋"/>
          <w:szCs w:val="32"/>
          <w:lang w:eastAsia="zh-CN"/>
        </w:rPr>
        <w:fldChar w:fldCharType="separate"/>
      </w:r>
      <w:r>
        <w:rPr>
          <w:rFonts w:hint="eastAsia" w:ascii="仿宋" w:hAnsi="仿宋" w:eastAsia="仿宋" w:cs="仿宋"/>
          <w:bCs/>
          <w:szCs w:val="44"/>
          <w:lang w:eastAsia="zh-CN"/>
        </w:rPr>
        <w:t>娱乐场所管理</w:t>
      </w:r>
      <w:r>
        <w:rPr>
          <w:rFonts w:hint="eastAsia" w:ascii="仿宋" w:hAnsi="仿宋" w:eastAsia="仿宋" w:cs="仿宋"/>
          <w:bCs/>
          <w:szCs w:val="44"/>
        </w:rPr>
        <w:t>条例</w:t>
      </w:r>
      <w:r>
        <w:rPr>
          <w:rFonts w:hint="eastAsia" w:ascii="仿宋" w:hAnsi="仿宋" w:eastAsia="仿宋" w:cs="仿宋"/>
          <w:kern w:val="0"/>
          <w:szCs w:val="32"/>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_Toc24704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56</w:t>
      </w:r>
    </w:p>
    <w:p>
      <w:pPr>
        <w:rPr>
          <w:rFonts w:hint="eastAsia"/>
          <w:lang w:eastAsia="zh-CN"/>
        </w:rPr>
      </w:pP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三、司法解释</w:t>
      </w:r>
      <w:r>
        <w:rPr>
          <w:rFonts w:hint="eastAsia" w:ascii="黑体" w:hAnsi="黑体" w:eastAsia="黑体" w:cs="黑体"/>
          <w:color w:val="000000"/>
          <w:sz w:val="32"/>
          <w:szCs w:val="32"/>
          <w:highlight w:val="none"/>
          <w:lang w:val="en-US" w:eastAsia="zh-CN"/>
        </w:rPr>
        <w:t>和司法文件</w:t>
      </w:r>
      <w:r>
        <w:rPr>
          <w:rFonts w:hint="eastAsia" w:ascii="黑体" w:hAnsi="黑体" w:eastAsia="黑体" w:cs="黑体"/>
          <w:color w:val="000000"/>
          <w:sz w:val="32"/>
          <w:szCs w:val="32"/>
          <w:lang w:val="en-US" w:eastAsia="zh-CN"/>
        </w:rPr>
        <w:t>（</w:t>
      </w:r>
      <w:r>
        <w:rPr>
          <w:rFonts w:hint="eastAsia" w:ascii="黑体" w:hAnsi="黑体" w:eastAsia="黑体" w:cs="黑体"/>
          <w:color w:val="000000"/>
          <w:sz w:val="32"/>
          <w:szCs w:val="32"/>
          <w:u w:val="none"/>
          <w:lang w:val="en-US" w:eastAsia="zh-CN"/>
        </w:rPr>
        <w:t>8</w:t>
      </w:r>
      <w:r>
        <w:rPr>
          <w:rFonts w:hint="eastAsia" w:ascii="黑体" w:hAnsi="黑体" w:eastAsia="黑体" w:cs="黑体"/>
          <w:color w:val="000000"/>
          <w:sz w:val="32"/>
          <w:szCs w:val="32"/>
          <w:lang w:val="en-US" w:eastAsia="zh-CN"/>
        </w:rPr>
        <w:t>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_Toc14077 </w:instrText>
      </w:r>
      <w:r>
        <w:rPr>
          <w:rFonts w:hint="eastAsia" w:ascii="仿宋" w:hAnsi="仿宋" w:eastAsia="仿宋" w:cs="仿宋"/>
          <w:szCs w:val="32"/>
          <w:lang w:eastAsia="zh-CN"/>
        </w:rPr>
        <w:fldChar w:fldCharType="separate"/>
      </w:r>
      <w:r>
        <w:rPr>
          <w:rFonts w:hint="eastAsia" w:ascii="仿宋" w:hAnsi="仿宋" w:eastAsia="仿宋" w:cs="仿宋"/>
          <w:bCs/>
          <w:szCs w:val="44"/>
        </w:rPr>
        <w:t>最高人民法院</w:t>
      </w:r>
      <w:r>
        <w:rPr>
          <w:rFonts w:hint="eastAsia" w:ascii="仿宋" w:hAnsi="仿宋" w:eastAsia="仿宋" w:cs="仿宋"/>
          <w:bCs/>
          <w:szCs w:val="44"/>
          <w:lang w:val="en-US" w:eastAsia="zh-CN"/>
        </w:rPr>
        <w:t xml:space="preserve"> </w:t>
      </w:r>
      <w:r>
        <w:rPr>
          <w:rFonts w:hint="eastAsia" w:ascii="仿宋" w:hAnsi="仿宋" w:eastAsia="仿宋" w:cs="仿宋"/>
          <w:bCs/>
          <w:szCs w:val="44"/>
        </w:rPr>
        <w:t>最高人民检察院</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_Toc23335 </w:instrText>
      </w:r>
      <w:r>
        <w:rPr>
          <w:rFonts w:hint="eastAsia" w:ascii="仿宋" w:hAnsi="仿宋" w:eastAsia="仿宋" w:cs="仿宋"/>
          <w:szCs w:val="32"/>
          <w:lang w:eastAsia="zh-CN"/>
        </w:rPr>
        <w:fldChar w:fldCharType="separate"/>
      </w:r>
      <w:r>
        <w:rPr>
          <w:rFonts w:hint="eastAsia" w:ascii="仿宋" w:hAnsi="仿宋" w:eastAsia="仿宋" w:cs="仿宋"/>
          <w:bCs/>
          <w:szCs w:val="44"/>
        </w:rPr>
        <w:t>关于办理妨害预防、控制突发传染病疫情等</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_Toc30652 </w:instrText>
      </w:r>
      <w:r>
        <w:rPr>
          <w:rFonts w:hint="eastAsia" w:ascii="仿宋" w:hAnsi="仿宋" w:eastAsia="仿宋" w:cs="仿宋"/>
          <w:szCs w:val="32"/>
          <w:lang w:eastAsia="zh-CN"/>
        </w:rPr>
        <w:fldChar w:fldCharType="separate"/>
      </w:r>
      <w:r>
        <w:rPr>
          <w:rFonts w:hint="eastAsia" w:ascii="仿宋" w:hAnsi="仿宋" w:eastAsia="仿宋" w:cs="仿宋"/>
          <w:bCs/>
          <w:szCs w:val="44"/>
        </w:rPr>
        <w:t>灾害的刑事案件具体应用法律若干问题的解释</w:t>
      </w:r>
      <w:r>
        <w:rPr>
          <w:rFonts w:hint="eastAsia" w:ascii="仿宋" w:hAnsi="仿宋" w:eastAsia="仿宋" w:cs="仿宋"/>
          <w:bCs/>
          <w:szCs w:val="44"/>
          <w:lang w:val="en-US" w:eastAsia="zh-CN"/>
        </w:rPr>
        <w:t xml:space="preserve"> </w:t>
      </w:r>
      <w:r>
        <w:rPr>
          <w:rFonts w:hint="eastAsia" w:ascii="仿宋" w:hAnsi="仿宋" w:eastAsia="仿宋" w:cs="仿宋"/>
          <w:szCs w:val="44"/>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_Toc30652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_Toc18165 </w:instrText>
      </w:r>
      <w:r>
        <w:rPr>
          <w:rFonts w:hint="eastAsia" w:ascii="仿宋" w:hAnsi="仿宋" w:eastAsia="仿宋" w:cs="仿宋"/>
          <w:szCs w:val="32"/>
          <w:lang w:eastAsia="zh-CN"/>
        </w:rPr>
        <w:fldChar w:fldCharType="separate"/>
      </w:r>
      <w:r>
        <w:rPr>
          <w:rFonts w:hint="eastAsia" w:ascii="仿宋" w:hAnsi="仿宋" w:eastAsia="仿宋" w:cs="仿宋"/>
          <w:bCs/>
          <w:szCs w:val="44"/>
          <w:lang w:val="zh-CN"/>
        </w:rPr>
        <w:t>最高人民法院关于审理破坏野生动物资源</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_Toc27086 </w:instrText>
      </w:r>
      <w:r>
        <w:rPr>
          <w:rFonts w:hint="eastAsia" w:ascii="仿宋" w:hAnsi="仿宋" w:eastAsia="仿宋" w:cs="仿宋"/>
          <w:szCs w:val="32"/>
          <w:lang w:eastAsia="zh-CN"/>
        </w:rPr>
        <w:fldChar w:fldCharType="separate"/>
      </w:r>
      <w:r>
        <w:rPr>
          <w:rFonts w:hint="eastAsia" w:ascii="仿宋" w:hAnsi="仿宋" w:eastAsia="仿宋" w:cs="仿宋"/>
          <w:bCs/>
          <w:szCs w:val="44"/>
          <w:lang w:val="zh-CN"/>
        </w:rPr>
        <w:t>刑事案件具体应用法律若干问题的解释</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1576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_Toc4452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最高人民法院 最高人民检察院</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_Toc25900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关于办理生产、销售伪劣商品刑事案件</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_Toc22887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 xml:space="preserve">具体应用法律若干问题的解释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1580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_Toc113 </w:instrText>
      </w:r>
      <w:r>
        <w:rPr>
          <w:rFonts w:hint="eastAsia" w:ascii="仿宋" w:hAnsi="仿宋" w:eastAsia="仿宋" w:cs="仿宋"/>
          <w:szCs w:val="32"/>
          <w:lang w:eastAsia="zh-CN"/>
        </w:rPr>
        <w:fldChar w:fldCharType="separate"/>
      </w:r>
      <w:r>
        <w:rPr>
          <w:rFonts w:hint="eastAsia" w:ascii="仿宋" w:hAnsi="仿宋" w:eastAsia="仿宋" w:cs="仿宋"/>
          <w:szCs w:val="44"/>
        </w:rPr>
        <w:t>最高人民法院</w:t>
      </w:r>
      <w:r>
        <w:rPr>
          <w:rFonts w:hint="eastAsia" w:ascii="仿宋" w:hAnsi="仿宋" w:eastAsia="仿宋" w:cs="仿宋"/>
          <w:szCs w:val="44"/>
          <w:lang w:val="en-US" w:eastAsia="zh-CN"/>
        </w:rPr>
        <w:t xml:space="preserve"> </w:t>
      </w:r>
      <w:r>
        <w:rPr>
          <w:rFonts w:hint="eastAsia" w:ascii="仿宋" w:hAnsi="仿宋" w:eastAsia="仿宋" w:cs="仿宋"/>
          <w:szCs w:val="44"/>
        </w:rPr>
        <w:t>最高人民检察院</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_Toc18645 </w:instrText>
      </w:r>
      <w:r>
        <w:rPr>
          <w:rFonts w:hint="eastAsia" w:ascii="仿宋" w:hAnsi="仿宋" w:eastAsia="仿宋" w:cs="仿宋"/>
          <w:szCs w:val="32"/>
          <w:lang w:eastAsia="zh-CN"/>
        </w:rPr>
        <w:fldChar w:fldCharType="separate"/>
      </w:r>
      <w:r>
        <w:rPr>
          <w:rFonts w:hint="eastAsia" w:ascii="仿宋" w:hAnsi="仿宋" w:eastAsia="仿宋" w:cs="仿宋"/>
          <w:szCs w:val="44"/>
        </w:rPr>
        <w:t>关于办理利用信息网络实施诽谤等刑事案件</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_Toc7446 </w:instrText>
      </w:r>
      <w:r>
        <w:rPr>
          <w:rFonts w:hint="eastAsia" w:ascii="仿宋" w:hAnsi="仿宋" w:eastAsia="仿宋" w:cs="仿宋"/>
          <w:szCs w:val="32"/>
          <w:lang w:eastAsia="zh-CN"/>
        </w:rPr>
        <w:fldChar w:fldCharType="separate"/>
      </w:r>
      <w:r>
        <w:rPr>
          <w:rFonts w:hint="eastAsia" w:ascii="仿宋" w:hAnsi="仿宋" w:eastAsia="仿宋" w:cs="仿宋"/>
          <w:szCs w:val="44"/>
        </w:rPr>
        <w:t>适用法律若干问题的解释</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1585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_Toc9784 </w:instrText>
      </w:r>
      <w:r>
        <w:rPr>
          <w:rFonts w:hint="eastAsia" w:ascii="仿宋" w:hAnsi="仿宋" w:eastAsia="仿宋" w:cs="仿宋"/>
          <w:szCs w:val="32"/>
          <w:lang w:eastAsia="zh-CN"/>
        </w:rPr>
        <w:fldChar w:fldCharType="separate"/>
      </w:r>
      <w:r>
        <w:rPr>
          <w:rFonts w:hint="eastAsia" w:ascii="仿宋" w:hAnsi="仿宋" w:eastAsia="仿宋" w:cs="仿宋"/>
          <w:szCs w:val="44"/>
        </w:rPr>
        <w:t>最高人民法院关于审理利用信息网络侵害人身权益民事纠纷案件适用法律若干问题的规定</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1589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_Toc3727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最高人民法院 最高人民检察院 公安部 司法部关于依法惩治妨害新型冠状病毒感染肺炎</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_Toc18948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疫情防控违法犯罪的意见</w:t>
      </w:r>
      <w:r>
        <w:rPr>
          <w:rFonts w:hint="eastAsia" w:ascii="仿宋" w:hAnsi="仿宋" w:eastAsia="仿宋" w:cs="仿宋"/>
          <w:i w:val="0"/>
          <w:caps w:val="0"/>
          <w:spacing w:val="0"/>
          <w:szCs w:val="44"/>
          <w:shd w:val="clear" w:color="050000" w:fill="FFFFFF"/>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1596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_Toc31523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最高人民法院 最高人民检察院 公安部 司法部 海关总署关于进一步加强国境卫生检疫工作 依法惩治妨害国境卫生检疫违法犯罪的意见</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1605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t>【新增</w:t>
      </w:r>
      <w:r>
        <w:rPr>
          <w:rFonts w:hint="eastAsia" w:ascii="仿宋" w:hAnsi="仿宋" w:eastAsia="仿宋" w:cs="仿宋"/>
          <w:color w:val="000000"/>
          <w:szCs w:val="32"/>
          <w:lang w:val="en-US" w:eastAsia="zh-CN"/>
        </w:rPr>
        <w:t>1件</w:t>
      </w:r>
      <w:r>
        <w:rPr>
          <w:rFonts w:hint="eastAsia" w:ascii="仿宋" w:hAnsi="仿宋" w:eastAsia="仿宋" w:cs="仿宋"/>
          <w:color w:val="000000"/>
          <w:szCs w:val="32"/>
          <w:lang w:eastAsia="zh-CN"/>
        </w:rPr>
        <w:t>】</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_Toc31523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shd w:val="clear" w:color="050000" w:fill="FFFFFF"/>
        </w:rPr>
        <w:t>最高人民法院关于</w:t>
      </w:r>
      <w:r>
        <w:rPr>
          <w:rFonts w:hint="eastAsia" w:ascii="仿宋" w:hAnsi="仿宋" w:eastAsia="仿宋" w:cs="仿宋"/>
          <w:i w:val="0"/>
          <w:caps w:val="0"/>
          <w:spacing w:val="0"/>
          <w:szCs w:val="44"/>
          <w:shd w:val="clear" w:color="050000" w:fill="FFFFFF"/>
          <w:lang w:eastAsia="zh-CN"/>
        </w:rPr>
        <w:t>适用《中华人民共和国民法典》时间效力的若干规定</w:t>
      </w:r>
      <w:r>
        <w:rPr>
          <w:rFonts w:hint="eastAsia" w:ascii="仿宋" w:hAnsi="仿宋" w:eastAsia="仿宋" w:cs="仿宋"/>
        </w:rPr>
        <w:tab/>
      </w:r>
      <w:r>
        <w:rPr>
          <w:rFonts w:hint="eastAsia" w:ascii="仿宋" w:hAnsi="仿宋" w:eastAsia="仿宋" w:cs="仿宋"/>
          <w:lang w:val="en-US" w:eastAsia="zh-CN"/>
        </w:rPr>
        <w:t xml:space="preserve"> 1</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val="en-US" w:eastAsia="zh-CN"/>
        </w:rPr>
        <w:t>610</w:t>
      </w:r>
    </w:p>
    <w:p>
      <w:pPr>
        <w:rPr>
          <w:rFonts w:hint="eastAsia"/>
          <w:lang w:eastAsia="zh-CN"/>
        </w:rPr>
      </w:pP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【新增4件】四、部门规章和规范性文件（46部）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_Toc14973 </w:instrText>
      </w:r>
      <w:r>
        <w:rPr>
          <w:rFonts w:hint="eastAsia" w:ascii="仿宋" w:hAnsi="仿宋" w:eastAsia="仿宋" w:cs="仿宋"/>
          <w:szCs w:val="32"/>
          <w:lang w:eastAsia="zh-CN"/>
        </w:rPr>
        <w:fldChar w:fldCharType="separate"/>
      </w:r>
      <w:r>
        <w:rPr>
          <w:rFonts w:hint="eastAsia" w:ascii="仿宋" w:hAnsi="仿宋" w:eastAsia="仿宋" w:cs="仿宋"/>
          <w:bCs/>
          <w:szCs w:val="44"/>
        </w:rPr>
        <w:t>国境口岸突发公共卫生事件出入境检验</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_Toc19642 </w:instrText>
      </w:r>
      <w:r>
        <w:rPr>
          <w:rFonts w:hint="eastAsia" w:ascii="仿宋" w:hAnsi="仿宋" w:eastAsia="仿宋" w:cs="仿宋"/>
          <w:szCs w:val="32"/>
          <w:lang w:eastAsia="zh-CN"/>
        </w:rPr>
        <w:fldChar w:fldCharType="separate"/>
      </w:r>
      <w:r>
        <w:rPr>
          <w:rFonts w:hint="eastAsia" w:ascii="仿宋" w:hAnsi="仿宋" w:eastAsia="仿宋" w:cs="仿宋"/>
          <w:bCs/>
          <w:szCs w:val="44"/>
        </w:rPr>
        <w:t>检疫应急处理规定</w:t>
      </w:r>
      <w:r>
        <w:rPr>
          <w:rFonts w:hint="eastAsia" w:ascii="仿宋" w:hAnsi="仿宋" w:eastAsia="仿宋" w:cs="仿宋"/>
          <w:bCs/>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1616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_Toc3031 </w:instrText>
      </w:r>
      <w:r>
        <w:rPr>
          <w:rFonts w:hint="eastAsia" w:ascii="仿宋" w:hAnsi="仿宋" w:eastAsia="仿宋" w:cs="仿宋"/>
          <w:szCs w:val="32"/>
          <w:lang w:eastAsia="zh-CN"/>
        </w:rPr>
        <w:fldChar w:fldCharType="separate"/>
      </w:r>
      <w:r>
        <w:rPr>
          <w:rFonts w:hint="eastAsia" w:ascii="仿宋" w:hAnsi="仿宋" w:eastAsia="仿宋" w:cs="仿宋"/>
          <w:szCs w:val="44"/>
        </w:rPr>
        <w:t>动物检疫管理办法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1625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_Toc30969 </w:instrText>
      </w:r>
      <w:r>
        <w:rPr>
          <w:rFonts w:hint="eastAsia" w:ascii="仿宋" w:hAnsi="仿宋" w:eastAsia="仿宋" w:cs="仿宋"/>
          <w:szCs w:val="32"/>
          <w:lang w:eastAsia="zh-CN"/>
        </w:rPr>
        <w:fldChar w:fldCharType="separate"/>
      </w:r>
      <w:r>
        <w:rPr>
          <w:rFonts w:hint="eastAsia" w:ascii="仿宋" w:hAnsi="仿宋" w:eastAsia="仿宋" w:cs="仿宋"/>
          <w:szCs w:val="44"/>
        </w:rPr>
        <w:t>出入境邮轮检疫管理办法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1639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_Toc20053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企业职工带薪年休假实施办法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1652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_Toc25445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突发公共卫生事件与传染病疫情监测</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_Toc25209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信息报告管理办法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1656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_Toc29023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医疗机构传染病预检分诊管理办法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1669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_Toc2938 </w:instrText>
      </w:r>
      <w:r>
        <w:rPr>
          <w:rFonts w:hint="eastAsia" w:ascii="仿宋" w:hAnsi="仿宋" w:eastAsia="仿宋" w:cs="仿宋"/>
          <w:szCs w:val="32"/>
          <w:lang w:eastAsia="zh-CN"/>
        </w:rPr>
        <w:fldChar w:fldCharType="separate"/>
      </w:r>
      <w:r>
        <w:rPr>
          <w:rFonts w:hint="eastAsia" w:ascii="仿宋" w:hAnsi="仿宋" w:eastAsia="仿宋" w:cs="仿宋"/>
          <w:szCs w:val="44"/>
        </w:rPr>
        <w:t>医院感染管理办法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1672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_Toc26420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突发公共卫生事件交通应急规定</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1683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_Toc6808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国家突发公共事件总体应急预案</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1700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_Toc7842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国家突发公共事件医疗卫生救援应急预案</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1711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_Toc8725 </w:instrText>
      </w:r>
      <w:r>
        <w:rPr>
          <w:rFonts w:hint="eastAsia" w:ascii="仿宋" w:hAnsi="仿宋" w:eastAsia="仿宋" w:cs="仿宋"/>
          <w:szCs w:val="32"/>
          <w:lang w:eastAsia="zh-CN"/>
        </w:rPr>
        <w:fldChar w:fldCharType="separate"/>
      </w:r>
      <w:r>
        <w:rPr>
          <w:rFonts w:hint="eastAsia" w:ascii="仿宋" w:hAnsi="仿宋" w:eastAsia="仿宋" w:cs="仿宋"/>
          <w:szCs w:val="44"/>
        </w:rPr>
        <w:t>公共场所卫生管理条例实施细则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_Toc8725 </w:instrText>
      </w:r>
      <w:r>
        <w:rPr>
          <w:rFonts w:hint="eastAsia" w:ascii="仿宋" w:hAnsi="仿宋" w:eastAsia="仿宋" w:cs="仿宋"/>
        </w:rPr>
        <w:fldChar w:fldCharType="separate"/>
      </w:r>
      <w:r>
        <w:rPr>
          <w:rFonts w:hint="eastAsia" w:ascii="仿宋" w:hAnsi="仿宋" w:eastAsia="仿宋" w:cs="仿宋"/>
        </w:rPr>
        <w:t>172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_Toc27255 </w:instrText>
      </w:r>
      <w:r>
        <w:rPr>
          <w:rFonts w:hint="eastAsia" w:ascii="仿宋" w:hAnsi="仿宋" w:eastAsia="仿宋" w:cs="仿宋"/>
          <w:szCs w:val="32"/>
          <w:lang w:eastAsia="zh-CN"/>
        </w:rPr>
        <w:fldChar w:fldCharType="separate"/>
      </w:r>
      <w:r>
        <w:rPr>
          <w:rFonts w:hint="eastAsia" w:ascii="仿宋" w:hAnsi="仿宋" w:eastAsia="仿宋" w:cs="仿宋"/>
          <w:szCs w:val="44"/>
        </w:rPr>
        <w:t>消毒管理办法</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1737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_Toc21713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中华人民共和国国家卫生健康委员会</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_Toc22583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公告</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_Toc8151 </w:instrText>
      </w:r>
      <w:r>
        <w:rPr>
          <w:rFonts w:hint="eastAsia" w:ascii="仿宋" w:hAnsi="仿宋" w:eastAsia="仿宋" w:cs="仿宋"/>
          <w:szCs w:val="32"/>
          <w:lang w:eastAsia="zh-CN"/>
        </w:rPr>
        <w:fldChar w:fldCharType="separate"/>
      </w:r>
      <w:r>
        <w:rPr>
          <w:rFonts w:hint="eastAsia" w:ascii="仿宋" w:hAnsi="仿宋" w:eastAsia="仿宋" w:cs="仿宋"/>
          <w:kern w:val="2"/>
          <w:szCs w:val="32"/>
          <w:lang w:val="en-US" w:eastAsia="zh-CN" w:bidi="ar-SA"/>
        </w:rPr>
        <w:t xml:space="preserve">2020年第1号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1746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_Toc18417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国家卫生健康委办公厅关于加强新型冠状病毒感染的肺炎重症病例医疗救治工作的通知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_Toc18417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_Toc13672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人力资源社会保障部 财政部 国家卫生健康委关于因履行工作职责感染新型冠状病毒肺炎的医护及相关工作人员有关保障问题的通知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1750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_Toc21409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国家卫生健康委办公厅 民政部办公厅 公安部办公厅关于印发新型冠状病毒感染的肺炎患者遗体处置工作指引(试行)的通知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1752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_Toc15685 </w:instrText>
      </w:r>
      <w:r>
        <w:rPr>
          <w:rFonts w:hint="eastAsia" w:ascii="仿宋" w:hAnsi="仿宋" w:eastAsia="仿宋" w:cs="仿宋"/>
          <w:szCs w:val="32"/>
          <w:lang w:eastAsia="zh-CN"/>
        </w:rPr>
        <w:fldChar w:fldCharType="separate"/>
      </w:r>
      <w:r>
        <w:rPr>
          <w:rFonts w:hint="eastAsia" w:ascii="仿宋" w:hAnsi="仿宋" w:eastAsia="仿宋" w:cs="仿宋"/>
          <w:szCs w:val="44"/>
        </w:rPr>
        <w:t>中央应对新型冠状病毒感染肺炎疫情工作领导小组关于全面落实进一步保护关心爱护医务人员若干措施的通知</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1758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_Toc2781 </w:instrText>
      </w:r>
      <w:r>
        <w:rPr>
          <w:rFonts w:hint="eastAsia" w:ascii="仿宋" w:hAnsi="仿宋" w:eastAsia="仿宋" w:cs="仿宋"/>
          <w:szCs w:val="32"/>
          <w:lang w:eastAsia="zh-CN"/>
        </w:rPr>
        <w:fldChar w:fldCharType="separate"/>
      </w:r>
      <w:r>
        <w:rPr>
          <w:rFonts w:hint="eastAsia" w:ascii="仿宋" w:hAnsi="仿宋" w:eastAsia="仿宋" w:cs="仿宋"/>
          <w:szCs w:val="44"/>
        </w:rPr>
        <w:t>国务院应对新型冠状病毒肺炎疫情联防联控机制关于进一步推进分区分级恢复正常医疗服务工作的通知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1762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_Toc15421 </w:instrText>
      </w:r>
      <w:r>
        <w:rPr>
          <w:rFonts w:hint="eastAsia" w:ascii="仿宋" w:hAnsi="仿宋" w:eastAsia="仿宋" w:cs="仿宋"/>
          <w:szCs w:val="32"/>
          <w:lang w:eastAsia="zh-CN"/>
        </w:rPr>
        <w:fldChar w:fldCharType="separate"/>
      </w:r>
      <w:r>
        <w:rPr>
          <w:rFonts w:hint="eastAsia" w:ascii="仿宋" w:hAnsi="仿宋" w:eastAsia="仿宋" w:cs="仿宋"/>
          <w:bCs/>
          <w:szCs w:val="44"/>
          <w:lang w:val="en-US" w:eastAsia="zh-CN"/>
        </w:rPr>
        <w:t>财政部 国家卫生健康委 国家医疗保障局 国家中医药管理局关于印发基本公共卫生服务等5项补助资金管理办法的通知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1767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_Toc27798 </w:instrText>
      </w:r>
      <w:r>
        <w:rPr>
          <w:rFonts w:hint="eastAsia" w:ascii="仿宋" w:hAnsi="仿宋" w:eastAsia="仿宋" w:cs="仿宋"/>
          <w:szCs w:val="32"/>
          <w:lang w:eastAsia="zh-CN"/>
        </w:rPr>
        <w:fldChar w:fldCharType="separate"/>
      </w:r>
      <w:r>
        <w:rPr>
          <w:rFonts w:hint="eastAsia" w:ascii="仿宋" w:hAnsi="仿宋" w:eastAsia="仿宋" w:cs="仿宋"/>
          <w:bCs/>
          <w:szCs w:val="44"/>
        </w:rPr>
        <w:t>国家医疗保障局 财政部关于做好</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_Toc5459 </w:instrText>
      </w:r>
      <w:r>
        <w:rPr>
          <w:rFonts w:hint="eastAsia" w:ascii="仿宋" w:hAnsi="仿宋" w:eastAsia="仿宋" w:cs="仿宋"/>
          <w:szCs w:val="32"/>
          <w:lang w:eastAsia="zh-CN"/>
        </w:rPr>
        <w:fldChar w:fldCharType="separate"/>
      </w:r>
      <w:r>
        <w:rPr>
          <w:rFonts w:hint="eastAsia" w:ascii="仿宋" w:hAnsi="仿宋" w:eastAsia="仿宋" w:cs="仿宋"/>
          <w:bCs/>
          <w:szCs w:val="44"/>
        </w:rPr>
        <w:t>新型冠状病毒感染的肺炎疫情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_Toc6195 </w:instrText>
      </w:r>
      <w:r>
        <w:rPr>
          <w:rFonts w:hint="eastAsia" w:ascii="仿宋" w:hAnsi="仿宋" w:eastAsia="仿宋" w:cs="仿宋"/>
          <w:szCs w:val="32"/>
          <w:lang w:eastAsia="zh-CN"/>
        </w:rPr>
        <w:fldChar w:fldCharType="separate"/>
      </w:r>
      <w:r>
        <w:rPr>
          <w:rFonts w:hint="eastAsia" w:ascii="仿宋" w:hAnsi="仿宋" w:eastAsia="仿宋" w:cs="仿宋"/>
          <w:bCs/>
          <w:szCs w:val="44"/>
        </w:rPr>
        <w:t>医疗保障的通知</w:t>
      </w:r>
      <w:r>
        <w:rPr>
          <w:rFonts w:hint="eastAsia" w:ascii="仿宋" w:hAnsi="仿宋" w:eastAsia="仿宋" w:cs="仿宋"/>
          <w:bCs/>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1789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val="en-US" w:eastAsia="zh-CN"/>
        </w:rPr>
        <w:t>国务院</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_Toc22779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highlight w:val="none"/>
          <w:lang w:val="en-US" w:eastAsia="zh-CN" w:bidi="ar-SA"/>
        </w:rPr>
        <w:t>应对新型冠状病毒感染的肺炎疫情联防联控工作机制关</w:t>
      </w:r>
      <w:r>
        <w:rPr>
          <w:rFonts w:hint="eastAsia" w:ascii="仿宋" w:hAnsi="仿宋" w:eastAsia="仿宋" w:cs="仿宋"/>
          <w:bCs/>
          <w:kern w:val="44"/>
          <w:szCs w:val="44"/>
          <w:lang w:val="en-US" w:eastAsia="zh-CN" w:bidi="ar-SA"/>
        </w:rPr>
        <w:t>于严格预防通过交通工具传播新型冠状病毒感染的肺炎的通知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1791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_Toc14429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国家卫生健康委办公厅关于进一步加强县域新型冠状病毒感染的肺炎医疗救治工作的通知</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1795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_Toc31541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民政部 国家卫生健康委</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_Toc32039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关于进一步动员城乡社区组织开展新型冠状病毒感染的肺炎疫情防控工作的紧急通知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1798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_Toc3987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国务院应对新型冠状病毒感染的肺炎疫情联防联控机制关于进一步做好农村地区新型冠状病毒感染的肺炎疫情防控工作的通知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1804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_Toc26746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国家卫生健康委基层司</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_Toc25202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关于进一步做好基层医疗卫生机构防控新型</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_Toc1778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 xml:space="preserve">冠状病毒感染的肺炎疫情工作的通知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1807</w:t>
      </w:r>
    </w:p>
    <w:p>
      <w:pPr>
        <w:pStyle w:val="14"/>
        <w:widowControl w:val="0"/>
        <w:tabs>
          <w:tab w:val="right" w:leader="dot" w:pos="8788"/>
        </w:tabs>
        <w:wordWrap/>
        <w:adjustRightInd/>
        <w:snapToGrid/>
        <w:spacing w:line="560" w:lineRule="exact"/>
        <w:ind w:left="640" w:leftChars="0" w:hanging="640" w:hangingChars="200"/>
        <w:textAlignment w:val="auto"/>
        <w:outlineLvl w:val="9"/>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_Toc16617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lang w:val="en-US" w:eastAsia="zh-CN"/>
        </w:rPr>
        <w:t>中国人民银行 财政部 银保监会 证监会 外汇局</w:t>
      </w:r>
      <w:r>
        <w:rPr>
          <w:rFonts w:hint="eastAsia" w:ascii="仿宋" w:hAnsi="仿宋" w:eastAsia="仿宋" w:cs="仿宋"/>
          <w:bCs/>
          <w:i w:val="0"/>
          <w:caps w:val="0"/>
          <w:spacing w:val="0"/>
          <w:szCs w:val="44"/>
          <w:shd w:val="clear" w:color="060000" w:fill="FFFFFF"/>
        </w:rPr>
        <w:t>关于进一步强化金融支持防控新型冠状病毒感染肺炎疫情的通知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1810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_Toc16525 </w:instrText>
      </w:r>
      <w:r>
        <w:rPr>
          <w:rFonts w:hint="eastAsia" w:ascii="仿宋" w:hAnsi="仿宋" w:eastAsia="仿宋" w:cs="仿宋"/>
          <w:szCs w:val="32"/>
          <w:lang w:eastAsia="zh-CN"/>
        </w:rPr>
        <w:fldChar w:fldCharType="separate"/>
      </w:r>
      <w:r>
        <w:rPr>
          <w:rFonts w:hint="eastAsia" w:ascii="仿宋" w:hAnsi="仿宋" w:eastAsia="仿宋" w:cs="仿宋"/>
          <w:kern w:val="0"/>
          <w:szCs w:val="44"/>
          <w:highlight w:val="none"/>
          <w:lang w:val="en-US" w:eastAsia="zh-CN"/>
        </w:rPr>
        <w:t>生态环境部办公厅关</w:t>
      </w:r>
      <w:r>
        <w:rPr>
          <w:rFonts w:hint="eastAsia" w:ascii="仿宋" w:hAnsi="仿宋" w:eastAsia="仿宋" w:cs="仿宋"/>
          <w:kern w:val="0"/>
          <w:szCs w:val="44"/>
          <w:lang w:val="en-US" w:eastAsia="zh-CN"/>
        </w:rPr>
        <w:t>于做好新型冠状病毒</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_Toc3386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感染的肺炎疫情医疗污水和城镇污水监管工作</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_Toc2006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rPr>
        <w:t>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1820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_Toc27596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国务院应对新型冠状病毒肺炎疫情联防联控机制关于依法科学精准做好新冠肺炎疫情防控工作的通知</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i w:val="0"/>
          <w:caps w:val="0"/>
          <w:spacing w:val="0"/>
          <w:szCs w:val="32"/>
          <w:shd w:val="clear" w:color="050000" w:fill="FFFFFF"/>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1829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_Toc9080 </w:instrText>
      </w:r>
      <w:r>
        <w:rPr>
          <w:rFonts w:hint="eastAsia" w:ascii="仿宋" w:hAnsi="仿宋" w:eastAsia="仿宋" w:cs="仿宋"/>
          <w:szCs w:val="32"/>
          <w:lang w:eastAsia="zh-CN"/>
        </w:rPr>
        <w:fldChar w:fldCharType="separate"/>
      </w:r>
      <w:r>
        <w:rPr>
          <w:rFonts w:hint="eastAsia" w:ascii="仿宋" w:hAnsi="仿宋" w:eastAsia="仿宋" w:cs="仿宋"/>
          <w:szCs w:val="44"/>
        </w:rPr>
        <w:t>国务院应对新型冠状病毒肺炎疫情联防联控机制关于印发公众科学戴口罩指引</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_Toc29945 </w:instrText>
      </w:r>
      <w:r>
        <w:rPr>
          <w:rFonts w:hint="eastAsia" w:ascii="仿宋" w:hAnsi="仿宋" w:eastAsia="仿宋" w:cs="仿宋"/>
          <w:szCs w:val="32"/>
          <w:lang w:eastAsia="zh-CN"/>
        </w:rPr>
        <w:fldChar w:fldCharType="separate"/>
      </w:r>
      <w:r>
        <w:rPr>
          <w:rFonts w:hint="eastAsia" w:ascii="仿宋" w:hAnsi="仿宋" w:eastAsia="仿宋" w:cs="仿宋"/>
          <w:szCs w:val="44"/>
        </w:rPr>
        <w:t>的通知</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1908</w:t>
      </w:r>
    </w:p>
    <w:p>
      <w:pPr>
        <w:widowControl w:val="0"/>
        <w:wordWrap/>
        <w:adjustRightInd/>
        <w:snapToGrid/>
        <w:spacing w:line="560" w:lineRule="exact"/>
        <w:textAlignment w:val="auto"/>
        <w:rPr>
          <w:rFonts w:hint="eastAsia" w:ascii="仿宋" w:hAnsi="仿宋" w:eastAsia="仿宋" w:cs="仿宋"/>
          <w:kern w:val="2"/>
          <w:sz w:val="32"/>
          <w:szCs w:val="44"/>
          <w:lang w:val="en-US" w:eastAsia="zh-CN" w:bidi="ar-SA"/>
        </w:rPr>
      </w:pPr>
      <w:r>
        <w:rPr>
          <w:rFonts w:hint="eastAsia" w:ascii="仿宋" w:hAnsi="仿宋" w:eastAsia="仿宋" w:cs="仿宋"/>
          <w:b/>
          <w:bCs/>
          <w:kern w:val="2"/>
          <w:sz w:val="32"/>
          <w:szCs w:val="44"/>
          <w:lang w:val="en-US" w:eastAsia="zh-CN" w:bidi="ar-SA"/>
        </w:rPr>
        <w:t>（新增）</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 w:hAnsi="仿宋" w:eastAsia="仿宋" w:cs="仿宋"/>
          <w:kern w:val="2"/>
          <w:sz w:val="32"/>
          <w:szCs w:val="44"/>
          <w:lang w:val="en-US" w:eastAsia="zh-CN" w:bidi="ar-SA"/>
        </w:rPr>
        <w:t>关于进一步做好冷链食品追溯管理工作的通知1912</w:t>
      </w:r>
    </w:p>
    <w:p>
      <w:pPr>
        <w:pStyle w:val="4"/>
        <w:widowControl w:val="0"/>
        <w:wordWrap/>
        <w:adjustRightInd/>
        <w:snapToGrid/>
        <w:spacing w:line="560" w:lineRule="exact"/>
        <w:ind w:left="1928" w:hanging="1928" w:hangingChars="600"/>
        <w:textAlignment w:val="auto"/>
        <w:rPr>
          <w:rFonts w:hint="eastAsia" w:ascii="仿宋" w:hAnsi="仿宋" w:eastAsia="仿宋" w:cs="仿宋"/>
          <w:b w:val="0"/>
          <w:bCs w:val="0"/>
          <w:kern w:val="2"/>
          <w:sz w:val="32"/>
          <w:szCs w:val="44"/>
          <w:lang w:val="en-US" w:eastAsia="zh-CN" w:bidi="ar-SA"/>
        </w:rPr>
      </w:pPr>
      <w:r>
        <w:rPr>
          <w:rFonts w:hint="eastAsia" w:ascii="仿宋" w:hAnsi="仿宋" w:eastAsia="仿宋" w:cs="仿宋"/>
          <w:kern w:val="2"/>
          <w:sz w:val="32"/>
          <w:szCs w:val="44"/>
          <w:lang w:val="en-US" w:eastAsia="zh-CN" w:bidi="ar-SA"/>
        </w:rPr>
        <w:t>（新增）</w:t>
      </w:r>
      <w:r>
        <w:rPr>
          <w:rFonts w:hint="eastAsia" w:ascii="仿宋_GB2312" w:hAnsi="仿宋_GB2312" w:eastAsia="仿宋_GB2312" w:cs="仿宋_GB2312"/>
          <w:b w:val="0"/>
          <w:bCs w:val="0"/>
          <w:sz w:val="32"/>
          <w:szCs w:val="32"/>
          <w:lang w:val="en-US" w:eastAsia="zh-CN"/>
        </w:rPr>
        <w:t>国务院应对新型冠状病毒肺炎疫情联防联控机制</w:t>
      </w:r>
      <w:r>
        <w:rPr>
          <w:rFonts w:hint="eastAsia" w:ascii="仿宋_GB2312" w:hAnsi="仿宋_GB2312" w:cs="仿宋_GB2312"/>
          <w:b w:val="0"/>
          <w:bCs w:val="0"/>
          <w:sz w:val="32"/>
          <w:szCs w:val="32"/>
          <w:lang w:val="en-US" w:eastAsia="zh-CN"/>
        </w:rPr>
        <w:t>医疗救治</w:t>
      </w:r>
      <w:r>
        <w:rPr>
          <w:rFonts w:hint="eastAsia" w:ascii="仿宋_GB2312" w:hAnsi="仿宋_GB2312" w:eastAsia="仿宋_GB2312" w:cs="仿宋_GB2312"/>
          <w:b w:val="0"/>
          <w:bCs w:val="0"/>
          <w:sz w:val="32"/>
          <w:szCs w:val="32"/>
          <w:lang w:val="en-US" w:eastAsia="zh-CN"/>
        </w:rPr>
        <w:t>组</w:t>
      </w:r>
      <w:r>
        <w:rPr>
          <w:rFonts w:hint="eastAsia" w:ascii="仿宋" w:hAnsi="仿宋" w:eastAsia="仿宋" w:cs="仿宋"/>
          <w:b w:val="0"/>
          <w:bCs w:val="0"/>
          <w:kern w:val="2"/>
          <w:sz w:val="32"/>
          <w:szCs w:val="44"/>
          <w:lang w:val="en-US" w:eastAsia="zh-CN" w:bidi="ar-SA"/>
        </w:rPr>
        <w:t>关于保障群众基本就医需求并做好医疗机构感染防控工作的通知1916</w:t>
      </w:r>
    </w:p>
    <w:p>
      <w:pPr>
        <w:widowControl w:val="0"/>
        <w:wordWrap/>
        <w:adjustRightInd/>
        <w:snapToGrid/>
        <w:spacing w:line="560" w:lineRule="exact"/>
        <w:ind w:left="1928" w:hanging="1928" w:hangingChars="600"/>
        <w:textAlignment w:val="auto"/>
        <w:rPr>
          <w:rFonts w:hint="eastAsia" w:ascii="仿宋" w:hAnsi="仿宋" w:eastAsia="仿宋" w:cs="仿宋"/>
          <w:b w:val="0"/>
          <w:bCs w:val="0"/>
          <w:kern w:val="2"/>
          <w:sz w:val="32"/>
          <w:szCs w:val="44"/>
          <w:lang w:val="en-US" w:eastAsia="zh-CN" w:bidi="ar-SA"/>
        </w:rPr>
      </w:pPr>
      <w:r>
        <w:rPr>
          <w:rFonts w:hint="eastAsia" w:ascii="仿宋" w:hAnsi="仿宋" w:eastAsia="仿宋" w:cs="仿宋"/>
          <w:b/>
          <w:bCs/>
          <w:kern w:val="2"/>
          <w:sz w:val="32"/>
          <w:szCs w:val="44"/>
          <w:lang w:val="en-US" w:eastAsia="zh-CN" w:bidi="ar-SA"/>
        </w:rPr>
        <w:t>（新增）</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 w:hAnsi="仿宋" w:eastAsia="仿宋" w:cs="仿宋"/>
          <w:b w:val="0"/>
          <w:bCs w:val="0"/>
          <w:kern w:val="2"/>
          <w:sz w:val="32"/>
          <w:szCs w:val="44"/>
          <w:lang w:val="en-US" w:eastAsia="zh-CN" w:bidi="ar-SA"/>
        </w:rPr>
        <w:t>关于印发全员新型冠状病毒核酸检测组织实施指南的通知1919</w:t>
      </w:r>
    </w:p>
    <w:p>
      <w:pPr>
        <w:widowControl w:val="0"/>
        <w:wordWrap/>
        <w:adjustRightInd/>
        <w:snapToGrid/>
        <w:spacing w:line="560" w:lineRule="exact"/>
        <w:ind w:left="1928" w:hanging="1928" w:hangingChars="600"/>
        <w:textAlignment w:val="auto"/>
        <w:rPr>
          <w:rFonts w:hint="eastAsia" w:ascii="仿宋" w:hAnsi="仿宋" w:eastAsia="仿宋" w:cs="仿宋"/>
          <w:b w:val="0"/>
          <w:bCs w:val="0"/>
          <w:kern w:val="2"/>
          <w:sz w:val="32"/>
          <w:szCs w:val="44"/>
          <w:lang w:val="en-US" w:eastAsia="zh-CN" w:bidi="ar-SA"/>
        </w:rPr>
      </w:pPr>
      <w:r>
        <w:rPr>
          <w:rFonts w:hint="eastAsia" w:ascii="仿宋" w:hAnsi="仿宋" w:eastAsia="仿宋" w:cs="仿宋"/>
          <w:b/>
          <w:bCs/>
          <w:kern w:val="2"/>
          <w:sz w:val="32"/>
          <w:szCs w:val="44"/>
          <w:lang w:val="en-US" w:eastAsia="zh-CN" w:bidi="ar-SA"/>
        </w:rPr>
        <w:t>（新增）</w:t>
      </w:r>
      <w:r>
        <w:rPr>
          <w:rFonts w:hint="eastAsia" w:ascii="仿宋_GB2312" w:hAnsi="仿宋_GB2312" w:eastAsia="仿宋_GB2312" w:cs="仿宋_GB2312"/>
          <w:sz w:val="32"/>
          <w:szCs w:val="32"/>
          <w:lang w:val="en-US" w:eastAsia="zh-CN"/>
        </w:rPr>
        <w:t>国务院应对新型冠状病毒肺炎疫情联防联控机制综合组</w:t>
      </w:r>
      <w:r>
        <w:rPr>
          <w:rFonts w:hint="eastAsia" w:ascii="仿宋" w:hAnsi="仿宋" w:eastAsia="仿宋" w:cs="仿宋"/>
          <w:b w:val="0"/>
          <w:bCs w:val="0"/>
          <w:kern w:val="2"/>
          <w:sz w:val="32"/>
          <w:szCs w:val="44"/>
          <w:lang w:val="en-US" w:eastAsia="zh-CN" w:bidi="ar-SA"/>
        </w:rPr>
        <w:t>关于做好在内地的港澳同胞接种新冠病毒疫苗有关工作的通知1920</w:t>
      </w:r>
    </w:p>
    <w:p>
      <w:pPr>
        <w:widowControl w:val="0"/>
        <w:wordWrap/>
        <w:adjustRightInd/>
        <w:snapToGrid/>
        <w:spacing w:line="560" w:lineRule="exact"/>
        <w:ind w:left="1928" w:hanging="1920" w:hangingChars="6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_Toc27996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市场监管总局关于坚决维护防疫用品市场价格秩序的公告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1922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_Toc31276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市场监管总局关于新型冠状病毒感染肺炎疫情防控期间查处哄抬价格违法行为的指导意见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1924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_Toc31680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国家药监局关于严厉打击制售假劣药品医疗器械违法行为切实保障新型冠状病毒感染肺炎疫情防控药品医疗器械安全的通知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1929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_Toc8492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市场监管总局关于疫情防控期间严厉打击口罩等防控物资生产领域价格违法行为的紧急通知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1934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_Toc3041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11"/>
          <w:kern w:val="0"/>
          <w:szCs w:val="44"/>
          <w:shd w:val="clear" w:color="060000" w:fill="FFFFFF"/>
          <w:lang w:val="en-US" w:eastAsia="zh-CN"/>
        </w:rPr>
        <w:t>市场监管总局 农业农村部 国家林草局</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_Toc28295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kern w:val="0"/>
          <w:szCs w:val="44"/>
          <w:shd w:val="clear" w:color="060000" w:fill="FFFFFF"/>
          <w:lang w:val="en-US" w:eastAsia="zh-CN"/>
        </w:rPr>
        <w:t>关于加强野生动物市场监管积极做好疫情防控工作的紧急通知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1937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_Toc822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市场监管总局 农业农村部 国家林草局</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_Toc24692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关于禁止野生动物交易的公告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1939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_Toc17232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农业农村部农产品质量安全监管司</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_Toc1445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关于进一步加强新冠肺炎疫情防控期间</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_Toc11734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农产品质量安全工作的通知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1940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_Toc24881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国家林</w:t>
      </w:r>
      <w:r>
        <w:rPr>
          <w:rFonts w:hint="eastAsia" w:ascii="仿宋" w:hAnsi="仿宋" w:eastAsia="仿宋" w:cs="仿宋"/>
          <w:bCs/>
          <w:i w:val="0"/>
          <w:caps w:val="0"/>
          <w:spacing w:val="0"/>
          <w:szCs w:val="44"/>
          <w:shd w:val="clear" w:color="060000" w:fill="FFFFFF"/>
          <w:lang w:val="en-US" w:eastAsia="zh-CN"/>
        </w:rPr>
        <w:t>草</w:t>
      </w:r>
      <w:r>
        <w:rPr>
          <w:rFonts w:hint="eastAsia" w:ascii="仿宋" w:hAnsi="仿宋" w:eastAsia="仿宋" w:cs="仿宋"/>
          <w:bCs/>
          <w:i w:val="0"/>
          <w:caps w:val="0"/>
          <w:spacing w:val="0"/>
          <w:szCs w:val="44"/>
          <w:shd w:val="clear" w:color="060000" w:fill="FFFFFF"/>
        </w:rPr>
        <w:t>局关于贯彻落实《全国人民代表大会常务委员会关于全面禁止非法野生动物交易、革除滥食野生动物陋习、切实保障人民群众生命健康安全的决定》的通知</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1946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_Toc8325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农业农村部关于贯彻落实《全国人民代表大会常务委员会关于全面禁止非法野生动物交易、革除滥食野生动物陋习、切实保障人民群众生命健康安全的决定》进一步加强水生野生动物保护管理的通知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1952</w:t>
      </w:r>
    </w:p>
    <w:p>
      <w:pPr>
        <w:pStyle w:val="14"/>
        <w:widowControl w:val="0"/>
        <w:tabs>
          <w:tab w:val="right" w:leader="dot" w:pos="8788"/>
        </w:tabs>
        <w:wordWrap/>
        <w:adjustRightInd/>
        <w:snapToGrid/>
        <w:spacing w:line="560" w:lineRule="exact"/>
        <w:ind w:left="960" w:leftChars="0" w:hanging="960" w:hangingChars="3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_Toc15343 </w:instrText>
      </w:r>
      <w:r>
        <w:rPr>
          <w:rFonts w:hint="eastAsia" w:ascii="仿宋" w:hAnsi="仿宋" w:eastAsia="仿宋" w:cs="仿宋"/>
          <w:szCs w:val="32"/>
          <w:lang w:eastAsia="zh-CN"/>
        </w:rPr>
        <w:fldChar w:fldCharType="separate"/>
      </w:r>
      <w:r>
        <w:rPr>
          <w:rFonts w:hint="eastAsia" w:ascii="仿宋" w:hAnsi="仿宋" w:eastAsia="仿宋" w:cs="仿宋"/>
          <w:szCs w:val="44"/>
        </w:rPr>
        <w:t>交通运输部关于进一步依法加强野生动物运输管理工作的通知</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1956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_Toc7344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人力资源社会保障部 教育部 财政部</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_Toc25571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交通运输部 国家卫生健康委关于做好疫情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_Toc2711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防控期间有关就业工作的通知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_Toc2711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_Toc14212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人力资源社会保障部办公厅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_Toc19408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关于妥善处理新型冠状病毒感染的肺炎</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_Toc805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疫情防控期间劳动关系问题的通知</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_Toc805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_Toc28716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国务院办公厅关于应对新冠肺炎疫情影响</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_Toc24818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强化稳就业举措的实施意见</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_Toc24818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eastAsia="zh-CN"/>
        </w:rPr>
      </w:pPr>
    </w:p>
    <w:p>
      <w:pPr>
        <w:pStyle w:val="14"/>
        <w:widowControl w:val="0"/>
        <w:numPr>
          <w:ilvl w:val="0"/>
          <w:numId w:val="2"/>
        </w:numPr>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本省地方性法规（28部）【新增4部，删减1部】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_Toc21569 </w:instrText>
      </w:r>
      <w:r>
        <w:rPr>
          <w:rFonts w:hint="eastAsia" w:ascii="仿宋" w:hAnsi="仿宋" w:eastAsia="仿宋" w:cs="仿宋"/>
          <w:szCs w:val="32"/>
          <w:lang w:eastAsia="zh-CN"/>
        </w:rPr>
        <w:fldChar w:fldCharType="separate"/>
      </w:r>
      <w:r>
        <w:rPr>
          <w:rFonts w:hint="eastAsia" w:ascii="仿宋" w:hAnsi="仿宋" w:eastAsia="仿宋" w:cs="仿宋"/>
          <w:bCs/>
          <w:szCs w:val="44"/>
        </w:rPr>
        <w:t>广东省突发公共卫生事件应急办法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_Toc21569 </w:instrText>
      </w:r>
      <w:r>
        <w:rPr>
          <w:rFonts w:hint="eastAsia" w:ascii="仿宋" w:hAnsi="仿宋" w:eastAsia="仿宋" w:cs="仿宋"/>
        </w:rPr>
        <w:fldChar w:fldCharType="separate"/>
      </w:r>
      <w:r>
        <w:rPr>
          <w:rFonts w:hint="eastAsia" w:ascii="仿宋" w:hAnsi="仿宋" w:eastAsia="仿宋" w:cs="仿宋"/>
        </w:rPr>
        <w:t>197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_Toc8668 </w:instrText>
      </w:r>
      <w:r>
        <w:rPr>
          <w:rFonts w:hint="eastAsia" w:ascii="仿宋" w:hAnsi="仿宋" w:eastAsia="仿宋" w:cs="仿宋"/>
          <w:szCs w:val="32"/>
          <w:lang w:eastAsia="zh-CN"/>
        </w:rPr>
        <w:fldChar w:fldCharType="separate"/>
      </w:r>
      <w:r>
        <w:rPr>
          <w:rFonts w:hint="eastAsia" w:ascii="仿宋" w:hAnsi="仿宋" w:eastAsia="仿宋" w:cs="仿宋"/>
          <w:szCs w:val="44"/>
        </w:rPr>
        <w:t>广东省突发事件应对条例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_Toc8668 </w:instrText>
      </w:r>
      <w:r>
        <w:rPr>
          <w:rFonts w:hint="eastAsia" w:ascii="仿宋" w:hAnsi="仿宋" w:eastAsia="仿宋" w:cs="仿宋"/>
        </w:rPr>
        <w:fldChar w:fldCharType="separate"/>
      </w:r>
      <w:r>
        <w:rPr>
          <w:rFonts w:hint="eastAsia" w:ascii="仿宋" w:hAnsi="仿宋" w:eastAsia="仿宋" w:cs="仿宋"/>
        </w:rPr>
        <w:t>198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_Toc6442 </w:instrText>
      </w:r>
      <w:r>
        <w:rPr>
          <w:rFonts w:hint="eastAsia" w:ascii="仿宋" w:hAnsi="仿宋" w:eastAsia="仿宋" w:cs="仿宋"/>
          <w:szCs w:val="32"/>
          <w:lang w:eastAsia="zh-CN"/>
        </w:rPr>
        <w:fldChar w:fldCharType="separate"/>
      </w:r>
      <w:r>
        <w:rPr>
          <w:rFonts w:hint="eastAsia" w:ascii="仿宋" w:hAnsi="仿宋" w:eastAsia="仿宋" w:cs="仿宋"/>
          <w:szCs w:val="44"/>
        </w:rPr>
        <w:t>广东省人民代表大会常务委员会关于依法防控新型冠状病毒肺炎疫情切实保障人民群众生命健康安全的决定</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2001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t>广东省人民代表大会常务委员会关于制止餐饮浪费的决定</w:t>
      </w:r>
      <w:r>
        <w:rPr>
          <w:rFonts w:hint="eastAsia" w:ascii="仿宋" w:hAnsi="仿宋" w:eastAsia="仿宋" w:cs="仿宋"/>
          <w:color w:val="000000"/>
          <w:szCs w:val="32"/>
          <w:lang w:val="en-US" w:eastAsia="zh-CN"/>
        </w:rPr>
        <w:t>2009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_Toc20180 </w:instrText>
      </w:r>
      <w:r>
        <w:rPr>
          <w:rFonts w:hint="eastAsia" w:ascii="仿宋" w:hAnsi="仿宋" w:eastAsia="仿宋" w:cs="仿宋"/>
          <w:szCs w:val="32"/>
          <w:lang w:eastAsia="zh-CN"/>
        </w:rPr>
        <w:fldChar w:fldCharType="separate"/>
      </w:r>
      <w:r>
        <w:rPr>
          <w:rFonts w:hint="eastAsia" w:ascii="仿宋" w:hAnsi="仿宋" w:eastAsia="仿宋" w:cs="仿宋"/>
          <w:bCs/>
          <w:szCs w:val="44"/>
        </w:rPr>
        <w:t>广东省发展中医条例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_Toc20180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lang w:val="en-US" w:eastAsia="zh-CN"/>
        </w:rPr>
        <w:t>1</w:t>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_Toc26438 </w:instrText>
      </w:r>
      <w:r>
        <w:rPr>
          <w:rFonts w:hint="eastAsia" w:ascii="仿宋" w:hAnsi="仿宋" w:eastAsia="仿宋" w:cs="仿宋"/>
          <w:szCs w:val="32"/>
          <w:lang w:eastAsia="zh-CN"/>
        </w:rPr>
        <w:fldChar w:fldCharType="separate"/>
      </w:r>
      <w:r>
        <w:rPr>
          <w:rFonts w:hint="eastAsia" w:ascii="仿宋" w:hAnsi="仿宋" w:eastAsia="仿宋" w:cs="仿宋"/>
          <w:bCs/>
          <w:kern w:val="2"/>
          <w:szCs w:val="44"/>
          <w:lang w:val="en-US" w:eastAsia="zh-CN" w:bidi="ar-SA"/>
        </w:rPr>
        <w:t>广东省岭南中药材保护条例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_Toc26438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_Toc3344 </w:instrText>
      </w:r>
      <w:r>
        <w:rPr>
          <w:rFonts w:hint="eastAsia" w:ascii="仿宋" w:hAnsi="仿宋" w:eastAsia="仿宋" w:cs="仿宋"/>
          <w:szCs w:val="32"/>
          <w:lang w:eastAsia="zh-CN"/>
        </w:rPr>
        <w:fldChar w:fldCharType="separate"/>
      </w:r>
      <w:r>
        <w:rPr>
          <w:rFonts w:hint="eastAsia" w:ascii="仿宋" w:hAnsi="仿宋" w:eastAsia="仿宋" w:cs="仿宋"/>
          <w:szCs w:val="44"/>
        </w:rPr>
        <w:t>广东省爱国卫生工作条例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_Toc3344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_Toc17700 </w:instrText>
      </w:r>
      <w:r>
        <w:rPr>
          <w:rFonts w:hint="eastAsia" w:ascii="仿宋" w:hAnsi="仿宋" w:eastAsia="仿宋" w:cs="仿宋"/>
          <w:szCs w:val="32"/>
          <w:lang w:eastAsia="zh-CN"/>
        </w:rPr>
        <w:fldChar w:fldCharType="separate"/>
      </w:r>
      <w:r>
        <w:rPr>
          <w:rFonts w:hint="eastAsia" w:ascii="仿宋" w:hAnsi="仿宋" w:eastAsia="仿宋" w:cs="仿宋"/>
          <w:szCs w:val="44"/>
          <w:lang w:val="en-US" w:eastAsia="zh-CN"/>
        </w:rPr>
        <w:t>广东省医疗废物管理条例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_Toc17700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_Toc17149 </w:instrText>
      </w:r>
      <w:r>
        <w:rPr>
          <w:rFonts w:hint="eastAsia" w:ascii="仿宋" w:hAnsi="仿宋" w:eastAsia="仿宋" w:cs="仿宋"/>
          <w:szCs w:val="32"/>
          <w:lang w:eastAsia="zh-CN"/>
        </w:rPr>
        <w:fldChar w:fldCharType="separate"/>
      </w:r>
      <w:r>
        <w:rPr>
          <w:rFonts w:hint="eastAsia" w:ascii="仿宋" w:hAnsi="仿宋" w:eastAsia="仿宋" w:cs="仿宋"/>
          <w:kern w:val="0"/>
          <w:szCs w:val="44"/>
          <w:lang w:val="en-US" w:eastAsia="zh-CN" w:bidi="ar-SA"/>
        </w:rPr>
        <w:t>广东省野生动物保护管理条例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_Toc17149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68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_Toc11319 </w:instrText>
      </w:r>
      <w:r>
        <w:rPr>
          <w:rFonts w:hint="eastAsia" w:ascii="仿宋" w:hAnsi="仿宋" w:eastAsia="仿宋" w:cs="仿宋"/>
          <w:szCs w:val="32"/>
          <w:lang w:eastAsia="zh-CN"/>
        </w:rPr>
        <w:fldChar w:fldCharType="separate"/>
      </w:r>
      <w:r>
        <w:rPr>
          <w:rFonts w:hint="eastAsia" w:ascii="仿宋" w:hAnsi="仿宋" w:eastAsia="仿宋" w:cs="仿宋"/>
          <w:szCs w:val="44"/>
        </w:rPr>
        <w:t>广东省渔业管理条例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_Toc11319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_Toc31977 </w:instrText>
      </w:r>
      <w:r>
        <w:rPr>
          <w:rFonts w:hint="eastAsia" w:ascii="仿宋" w:hAnsi="仿宋" w:eastAsia="仿宋" w:cs="仿宋"/>
          <w:szCs w:val="32"/>
          <w:lang w:eastAsia="zh-CN"/>
        </w:rPr>
        <w:fldChar w:fldCharType="separate"/>
      </w:r>
      <w:r>
        <w:rPr>
          <w:rFonts w:hint="eastAsia" w:ascii="仿宋" w:hAnsi="仿宋" w:eastAsia="仿宋" w:cs="仿宋"/>
          <w:szCs w:val="44"/>
          <w:lang w:eastAsia="zh-CN"/>
        </w:rPr>
        <w:t>广东省动物防疫条例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_Toc31977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099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_Toc1955 </w:instrText>
      </w:r>
      <w:r>
        <w:rPr>
          <w:rFonts w:hint="eastAsia" w:ascii="仿宋" w:hAnsi="仿宋" w:eastAsia="仿宋" w:cs="仿宋"/>
          <w:szCs w:val="32"/>
          <w:lang w:eastAsia="zh-CN"/>
        </w:rPr>
        <w:fldChar w:fldCharType="separate"/>
      </w:r>
      <w:r>
        <w:rPr>
          <w:rFonts w:hint="eastAsia" w:ascii="仿宋" w:hAnsi="仿宋" w:eastAsia="仿宋" w:cs="仿宋"/>
          <w:bCs/>
          <w:szCs w:val="44"/>
        </w:rPr>
        <w:t>广东省实验动物管理条例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_Toc1955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_Toc1718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市场监管</w:t>
      </w:r>
      <w:r>
        <w:rPr>
          <w:rFonts w:hint="eastAsia" w:ascii="仿宋" w:hAnsi="仿宋" w:eastAsia="仿宋" w:cs="仿宋"/>
          <w:szCs w:val="44"/>
        </w:rPr>
        <w:t>条例</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_Toc1718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_Toc27964 </w:instrText>
      </w:r>
      <w:r>
        <w:rPr>
          <w:rFonts w:hint="eastAsia" w:ascii="仿宋" w:hAnsi="仿宋" w:eastAsia="仿宋" w:cs="仿宋"/>
          <w:szCs w:val="32"/>
          <w:lang w:eastAsia="zh-CN"/>
        </w:rPr>
        <w:fldChar w:fldCharType="separate"/>
      </w:r>
      <w:r>
        <w:rPr>
          <w:rFonts w:hint="eastAsia" w:ascii="仿宋" w:hAnsi="仿宋" w:eastAsia="仿宋" w:cs="仿宋"/>
          <w:szCs w:val="44"/>
        </w:rPr>
        <w:t>广东省租赁房屋治安管理规定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_Toc27964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_Toc11130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广东省流动人口服务管理条例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_Toc11130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_Toc9343 </w:instrText>
      </w:r>
      <w:r>
        <w:rPr>
          <w:rFonts w:hint="eastAsia" w:ascii="仿宋" w:hAnsi="仿宋" w:eastAsia="仿宋" w:cs="仿宋"/>
          <w:szCs w:val="32"/>
          <w:lang w:eastAsia="zh-CN"/>
        </w:rPr>
        <w:fldChar w:fldCharType="separate"/>
      </w:r>
      <w:r>
        <w:rPr>
          <w:rFonts w:hint="eastAsia" w:ascii="仿宋" w:hAnsi="仿宋" w:eastAsia="仿宋" w:cs="仿宋"/>
          <w:kern w:val="2"/>
          <w:szCs w:val="32"/>
          <w:lang w:val="en-US" w:eastAsia="zh-CN" w:bidi="ar-SA"/>
        </w:rPr>
        <w:t>广东省大气污染防治条例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_Toc9343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_Toc17061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固体废物污染环境防治</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_Toc17061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_Toc11297 </w:instrText>
      </w:r>
      <w:r>
        <w:rPr>
          <w:rFonts w:hint="eastAsia" w:ascii="仿宋" w:hAnsi="仿宋" w:eastAsia="仿宋" w:cs="仿宋"/>
          <w:szCs w:val="32"/>
          <w:lang w:eastAsia="zh-CN"/>
        </w:rPr>
        <w:fldChar w:fldCharType="separate"/>
      </w:r>
      <w:r>
        <w:rPr>
          <w:rFonts w:hint="eastAsia" w:ascii="仿宋" w:hAnsi="仿宋" w:eastAsia="仿宋" w:cs="仿宋"/>
          <w:szCs w:val="44"/>
          <w:lang w:val="en-US" w:eastAsia="zh-CN"/>
        </w:rPr>
        <w:t>广东省食品安全条例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_Toc11297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198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_Toc1415 </w:instrText>
      </w:r>
      <w:r>
        <w:rPr>
          <w:rFonts w:hint="eastAsia" w:ascii="仿宋" w:hAnsi="仿宋" w:eastAsia="仿宋" w:cs="仿宋"/>
          <w:szCs w:val="32"/>
          <w:lang w:eastAsia="zh-CN"/>
        </w:rPr>
        <w:fldChar w:fldCharType="separate"/>
      </w:r>
      <w:r>
        <w:rPr>
          <w:rFonts w:hint="eastAsia" w:ascii="仿宋" w:hAnsi="仿宋" w:eastAsia="仿宋" w:cs="仿宋"/>
          <w:szCs w:val="44"/>
          <w:shd w:val="clear" w:color="auto" w:fill="FFFFFF"/>
        </w:rPr>
        <w:t>广东省</w:t>
      </w:r>
      <w:r>
        <w:rPr>
          <w:rFonts w:hint="eastAsia" w:ascii="仿宋" w:hAnsi="仿宋" w:eastAsia="仿宋" w:cs="仿宋"/>
          <w:szCs w:val="44"/>
          <w:shd w:val="clear" w:color="auto" w:fill="FFFFFF"/>
          <w:lang w:eastAsia="zh-CN"/>
        </w:rPr>
        <w:t>红十字会条例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_Toc1415 </w:instrText>
      </w:r>
      <w:r>
        <w:rPr>
          <w:rFonts w:hint="eastAsia" w:ascii="仿宋" w:hAnsi="仿宋" w:eastAsia="仿宋" w:cs="仿宋"/>
        </w:rPr>
        <w:fldChar w:fldCharType="separate"/>
      </w:r>
      <w:r>
        <w:rPr>
          <w:rFonts w:hint="eastAsia" w:ascii="仿宋" w:hAnsi="仿宋" w:eastAsia="仿宋" w:cs="仿宋"/>
        </w:rPr>
        <w:t>222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广东省工资支付条例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_Toc210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33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_Toc8742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广东省工伤保险条例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_Toc8742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_Toc18304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广东省实施《中华人民共和国消费者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_Toc14857 </w:instrText>
      </w:r>
      <w:r>
        <w:rPr>
          <w:rFonts w:hint="eastAsia" w:ascii="仿宋" w:hAnsi="仿宋" w:eastAsia="仿宋" w:cs="仿宋"/>
          <w:szCs w:val="32"/>
          <w:lang w:eastAsia="zh-CN"/>
        </w:rPr>
        <w:fldChar w:fldCharType="separate"/>
      </w:r>
      <w:r>
        <w:rPr>
          <w:rFonts w:hint="eastAsia" w:ascii="仿宋" w:hAnsi="仿宋" w:eastAsia="仿宋" w:cs="仿宋"/>
          <w:szCs w:val="44"/>
        </w:rPr>
        <w:t>权益保护法》办法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_Toc14857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_Toc31248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广东省实施《中华人民共和国价格法》办法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_Toc31248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广东省产品质量监督条例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02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t>广东省水污染防治条例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231</w:t>
      </w:r>
      <w:r>
        <w:rPr>
          <w:rFonts w:hint="eastAsia" w:ascii="仿宋" w:hAnsi="仿宋" w:eastAsia="仿宋" w:cs="仿宋"/>
        </w:rPr>
        <w:fldChar w:fldCharType="end"/>
      </w:r>
      <w:r>
        <w:rPr>
          <w:rFonts w:hint="eastAsia" w:ascii="仿宋" w:hAnsi="仿宋" w:eastAsia="仿宋" w:cs="仿宋"/>
          <w:lang w:val="en-US" w:eastAsia="zh-CN"/>
        </w:rPr>
        <w:t>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粮食安全保障</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城乡生活垃圾管理</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56</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_Toc25940 </w:instrText>
      </w:r>
      <w:r>
        <w:rPr>
          <w:rFonts w:hint="eastAsia" w:ascii="仿宋" w:hAnsi="仿宋" w:eastAsia="仿宋" w:cs="仿宋"/>
          <w:szCs w:val="32"/>
          <w:lang w:eastAsia="zh-CN"/>
        </w:rPr>
        <w:fldChar w:fldCharType="separate"/>
      </w:r>
      <w:r>
        <w:rPr>
          <w:rFonts w:hint="eastAsia" w:ascii="仿宋" w:hAnsi="仿宋" w:eastAsia="仿宋" w:cs="仿宋"/>
          <w:szCs w:val="44"/>
        </w:rPr>
        <w:t>广东省</w:t>
      </w:r>
      <w:r>
        <w:rPr>
          <w:rFonts w:hint="eastAsia" w:ascii="仿宋" w:hAnsi="仿宋" w:eastAsia="仿宋" w:cs="仿宋"/>
          <w:szCs w:val="44"/>
          <w:lang w:eastAsia="zh-CN"/>
        </w:rPr>
        <w:t>查处生产销售假冒伪劣商品违法</w:t>
      </w:r>
      <w:r>
        <w:rPr>
          <w:rFonts w:hint="eastAsia" w:ascii="仿宋" w:hAnsi="仿宋" w:eastAsia="仿宋" w:cs="仿宋"/>
          <w:szCs w:val="44"/>
        </w:rPr>
        <w:t>条例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_Toc25940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75</w:t>
      </w:r>
    </w:p>
    <w:p>
      <w:pPr>
        <w:pStyle w:val="14"/>
        <w:widowControl w:val="0"/>
        <w:tabs>
          <w:tab w:val="right" w:leader="dot" w:pos="8788"/>
        </w:tabs>
        <w:wordWrap/>
        <w:adjustRightInd/>
        <w:snapToGrid/>
        <w:spacing w:line="560" w:lineRule="exact"/>
        <w:ind w:left="640" w:hanging="640" w:hangingChars="200"/>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【新增11件】六、本省政府规章和规范性文件（35部）</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_Toc22448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广东省病媒生物预防控制管理规定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_Toc22448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97</w:t>
      </w:r>
    </w:p>
    <w:p>
      <w:pPr>
        <w:ind w:left="1285" w:hanging="1285" w:hangingChars="400"/>
        <w:rPr>
          <w:rFonts w:hint="eastAsia" w:eastAsia="仿宋_GB2312"/>
          <w:lang w:val="en-US" w:eastAsia="zh-CN"/>
        </w:rPr>
      </w:pPr>
      <w:r>
        <w:rPr>
          <w:rFonts w:hint="eastAsia" w:ascii="仿宋" w:hAnsi="仿宋" w:eastAsia="仿宋" w:cs="仿宋"/>
          <w:b/>
          <w:bCs/>
          <w:color w:val="000000"/>
          <w:sz w:val="32"/>
          <w:szCs w:val="32"/>
          <w:lang w:eastAsia="zh-CN"/>
        </w:rPr>
        <w:t>（新增）</w:t>
      </w:r>
      <w:r>
        <w:rPr>
          <w:rFonts w:hint="eastAsia"/>
        </w:rPr>
        <w:t>广东省人民政府关于印发广东省疫苗安全事件应急预案（试行）的通知</w:t>
      </w:r>
      <w:r>
        <w:rPr>
          <w:rFonts w:hint="eastAsia"/>
          <w:lang w:val="en-US" w:eastAsia="zh-CN"/>
        </w:rPr>
        <w:t>2403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_Toc403 </w:instrText>
      </w:r>
      <w:r>
        <w:rPr>
          <w:rFonts w:hint="eastAsia" w:ascii="仿宋" w:hAnsi="仿宋" w:eastAsia="仿宋" w:cs="仿宋"/>
          <w:szCs w:val="32"/>
          <w:lang w:eastAsia="zh-CN"/>
        </w:rPr>
        <w:fldChar w:fldCharType="separate"/>
      </w:r>
      <w:r>
        <w:rPr>
          <w:rFonts w:hint="eastAsia" w:ascii="仿宋_GB2312" w:hAnsi="仿宋_GB2312" w:eastAsia="仿宋_GB2312" w:cs="仿宋_GB2312"/>
          <w:bCs/>
          <w:kern w:val="44"/>
          <w:szCs w:val="44"/>
          <w:lang w:val="en-US" w:eastAsia="zh-CN" w:bidi="ar-SA"/>
        </w:rPr>
        <w:t>广东省突发事件应急补偿管理暂行办法</w:t>
      </w:r>
      <w:r>
        <w:rPr>
          <w:rFonts w:hint="eastAsia" w:ascii="仿宋_GB2312" w:hAnsi="仿宋_GB2312" w:cs="仿宋_GB2312"/>
          <w:bCs/>
          <w:kern w:val="44"/>
          <w:szCs w:val="44"/>
          <w:lang w:val="en-US" w:eastAsia="zh-CN" w:bidi="ar-SA"/>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_Toc403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28</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1285" w:right="0" w:hanging="1285" w:hangingChars="400"/>
        <w:jc w:val="both"/>
        <w:rPr>
          <w:rFonts w:hint="eastAsia" w:ascii="仿宋" w:hAnsi="仿宋" w:eastAsia="仿宋" w:cs="仿宋"/>
          <w:b/>
          <w:bCs/>
          <w:color w:val="000000"/>
          <w:sz w:val="32"/>
          <w:szCs w:val="32"/>
          <w:lang w:eastAsia="zh-CN"/>
        </w:rPr>
      </w:pPr>
      <w:r>
        <w:rPr>
          <w:rFonts w:hint="eastAsia" w:ascii="仿宋" w:hAnsi="仿宋" w:eastAsia="仿宋" w:cs="仿宋"/>
          <w:b/>
          <w:bCs/>
          <w:color w:val="000000"/>
          <w:sz w:val="32"/>
          <w:szCs w:val="32"/>
          <w:lang w:eastAsia="zh-CN"/>
        </w:rPr>
        <w:t>（规章）</w:t>
      </w:r>
      <w:r>
        <w:rPr>
          <w:rFonts w:hint="eastAsia" w:ascii="仿宋" w:hAnsi="仿宋" w:eastAsia="仿宋" w:cs="仿宋"/>
          <w:color w:val="000000"/>
          <w:sz w:val="32"/>
          <w:szCs w:val="32"/>
          <w:lang w:eastAsia="zh-CN"/>
        </w:rPr>
        <w:fldChar w:fldCharType="begin"/>
      </w:r>
      <w:r>
        <w:rPr>
          <w:rFonts w:hint="eastAsia" w:ascii="仿宋" w:hAnsi="仿宋" w:eastAsia="仿宋" w:cs="仿宋"/>
          <w:sz w:val="32"/>
          <w:szCs w:val="32"/>
          <w:lang w:eastAsia="zh-CN"/>
        </w:rPr>
        <w:instrText xml:space="preserve"> HYPERLINK \l _Toc15364 </w:instrText>
      </w:r>
      <w:r>
        <w:rPr>
          <w:rFonts w:hint="eastAsia" w:ascii="仿宋" w:hAnsi="仿宋" w:eastAsia="仿宋" w:cs="仿宋"/>
          <w:sz w:val="32"/>
          <w:szCs w:val="32"/>
          <w:lang w:eastAsia="zh-CN"/>
        </w:rPr>
        <w:fldChar w:fldCharType="separate"/>
      </w:r>
      <w:r>
        <w:rPr>
          <w:rFonts w:hint="eastAsia" w:ascii="仿宋_GB2312" w:hAnsi="仿宋_GB2312" w:eastAsia="仿宋_GB2312" w:cs="仿宋_GB2312"/>
          <w:bCs/>
          <w:i w:val="0"/>
          <w:caps w:val="0"/>
          <w:spacing w:val="0"/>
          <w:sz w:val="32"/>
          <w:szCs w:val="32"/>
          <w:shd w:val="clear" w:color="070000" w:fill="FFFFFF"/>
        </w:rPr>
        <w:t>广东省医疗纠纷预防与处理办法</w:t>
      </w:r>
      <w:r>
        <w:rPr>
          <w:rFonts w:hint="eastAsia" w:ascii="宋体" w:hAnsi="宋体" w:eastAsia="宋体" w:cs="宋体"/>
          <w:bCs/>
          <w:i w:val="0"/>
          <w:caps w:val="0"/>
          <w:spacing w:val="0"/>
          <w:sz w:val="32"/>
          <w:szCs w:val="32"/>
          <w:shd w:val="clear" w:color="070000" w:fill="FFFFFF"/>
          <w:lang w:val="en-US" w:eastAsia="zh-CN"/>
        </w:rPr>
        <w:t>2435</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tab/>
      </w:r>
      <w:r>
        <w:rPr>
          <w:rFonts w:hint="eastAsia" w:ascii="仿宋" w:hAnsi="仿宋" w:eastAsia="仿宋" w:cs="仿宋"/>
          <w:sz w:val="32"/>
          <w:szCs w:val="32"/>
        </w:rPr>
        <w:tab/>
      </w:r>
      <w:r>
        <w:rPr>
          <w:rFonts w:hint="eastAsia" w:ascii="仿宋" w:hAnsi="仿宋" w:eastAsia="仿宋" w:cs="仿宋"/>
          <w:color w:val="000000"/>
          <w:sz w:val="32"/>
          <w:szCs w:val="32"/>
          <w:lang w:eastAsia="zh-CN"/>
        </w:rPr>
        <w:fldChar w:fldCharType="end"/>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1285" w:right="0" w:hanging="1285" w:hangingChars="400"/>
        <w:jc w:val="both"/>
        <w:rPr>
          <w:rFonts w:hint="eastAsia" w:ascii="仿宋" w:hAnsi="仿宋" w:eastAsia="仿宋" w:cs="仿宋"/>
          <w:bCs/>
          <w:kern w:val="44"/>
          <w:sz w:val="32"/>
          <w:szCs w:val="44"/>
          <w:lang w:val="en-US" w:eastAsia="zh-CN" w:bidi="ar-SA"/>
        </w:rPr>
      </w:pPr>
      <w:r>
        <w:rPr>
          <w:rFonts w:hint="eastAsia" w:ascii="仿宋" w:hAnsi="仿宋" w:eastAsia="仿宋" w:cs="仿宋"/>
          <w:b/>
          <w:bCs/>
          <w:color w:val="000000"/>
          <w:sz w:val="32"/>
          <w:szCs w:val="32"/>
          <w:lang w:eastAsia="zh-CN"/>
        </w:rPr>
        <w:t>（新增）</w:t>
      </w:r>
      <w:r>
        <w:rPr>
          <w:rFonts w:hint="eastAsia" w:ascii="仿宋" w:hAnsi="仿宋" w:eastAsia="仿宋" w:cs="仿宋"/>
          <w:bCs/>
          <w:kern w:val="44"/>
          <w:sz w:val="32"/>
          <w:szCs w:val="44"/>
          <w:lang w:val="en-US" w:eastAsia="zh-CN" w:bidi="ar-SA"/>
        </w:rPr>
        <w:t>广东省人民政府办公厅转发省卫生健康委、人力资源社会保障厅、财政厅关于做好一线医务人员及其家属保障工作若干措施的通知2453</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1928" w:right="0" w:hanging="1928" w:hangingChars="600"/>
        <w:jc w:val="both"/>
        <w:rPr>
          <w:rFonts w:hint="eastAsia"/>
          <w:b/>
          <w:bCs/>
          <w:lang w:val="en-US"/>
        </w:rPr>
      </w:pPr>
      <w:r>
        <w:rPr>
          <w:rFonts w:hint="eastAsia" w:ascii="仿宋" w:hAnsi="仿宋" w:eastAsia="仿宋" w:cs="仿宋"/>
          <w:b/>
          <w:bCs/>
          <w:color w:val="000000"/>
          <w:sz w:val="32"/>
          <w:szCs w:val="32"/>
          <w:lang w:eastAsia="zh-CN"/>
        </w:rPr>
        <w:t>（新增）</w:t>
      </w:r>
      <w:r>
        <w:rPr>
          <w:rFonts w:hint="eastAsia" w:ascii="仿宋" w:hAnsi="仿宋" w:eastAsia="仿宋" w:cs="仿宋"/>
          <w:bCs/>
          <w:kern w:val="44"/>
          <w:sz w:val="32"/>
          <w:szCs w:val="44"/>
          <w:lang w:val="en-US" w:eastAsia="zh-CN" w:bidi="ar-SA"/>
        </w:rPr>
        <w:t>广东省人民政府办公厅关于一视同仁做好疫情防控有关工作的通知2458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_Toc26806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广东省突发公共事件总体应急预案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_Toc26806 </w:instrText>
      </w:r>
      <w:r>
        <w:rPr>
          <w:rFonts w:hint="eastAsia" w:ascii="仿宋" w:hAnsi="仿宋" w:eastAsia="仿宋" w:cs="仿宋"/>
        </w:rPr>
        <w:fldChar w:fldCharType="separate"/>
      </w:r>
      <w:r>
        <w:rPr>
          <w:rFonts w:hint="eastAsia" w:ascii="仿宋" w:hAnsi="仿宋" w:eastAsia="仿宋" w:cs="仿宋"/>
        </w:rPr>
        <w:t>246</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_Toc3541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广东省推出防控新型冠状病毒感染的肺炎疫情一级响应16条措施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_Toc3541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_Toc13331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广东省新型冠状病毒感染的肺炎疫情</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_Toc20733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防控指挥部办公室通告</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_Toc6658 </w:instrText>
      </w:r>
      <w:r>
        <w:rPr>
          <w:rFonts w:hint="eastAsia" w:ascii="仿宋" w:hAnsi="仿宋" w:eastAsia="仿宋" w:cs="仿宋"/>
          <w:szCs w:val="32"/>
          <w:lang w:eastAsia="zh-CN"/>
        </w:rPr>
        <w:fldChar w:fldCharType="separate"/>
      </w:r>
      <w:r>
        <w:rPr>
          <w:rFonts w:hint="eastAsia" w:ascii="仿宋" w:hAnsi="仿宋" w:eastAsia="仿宋" w:cs="仿宋"/>
          <w:kern w:val="0"/>
          <w:szCs w:val="32"/>
          <w:lang w:val="en-US" w:eastAsia="zh-CN"/>
        </w:rPr>
        <w:t xml:space="preserve">2020第2号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_Toc6658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76</w:t>
      </w:r>
    </w:p>
    <w:p>
      <w:pPr>
        <w:ind w:left="1285" w:hanging="1285" w:hangingChars="400"/>
        <w:rPr>
          <w:rFonts w:hint="eastAsia" w:ascii="仿宋" w:hAnsi="仿宋" w:eastAsia="仿宋" w:cs="仿宋"/>
          <w:bCs/>
          <w:kern w:val="44"/>
          <w:sz w:val="32"/>
          <w:szCs w:val="44"/>
          <w:lang w:val="en-US" w:eastAsia="zh-CN" w:bidi="ar-SA"/>
        </w:rPr>
      </w:pPr>
      <w:r>
        <w:rPr>
          <w:rFonts w:hint="eastAsia" w:ascii="仿宋" w:hAnsi="仿宋" w:eastAsia="仿宋" w:cs="仿宋"/>
          <w:b/>
          <w:bCs w:val="0"/>
          <w:kern w:val="44"/>
          <w:sz w:val="32"/>
          <w:szCs w:val="44"/>
          <w:lang w:val="en-US" w:eastAsia="zh-CN" w:bidi="ar-SA"/>
        </w:rPr>
        <w:t>（新增）</w:t>
      </w:r>
      <w:r>
        <w:rPr>
          <w:rFonts w:hint="eastAsia" w:ascii="仿宋" w:hAnsi="仿宋" w:eastAsia="仿宋" w:cs="仿宋"/>
          <w:bCs/>
          <w:kern w:val="44"/>
          <w:sz w:val="32"/>
          <w:szCs w:val="44"/>
          <w:lang w:val="en-US" w:eastAsia="zh-CN" w:bidi="ar-SA"/>
        </w:rPr>
        <w:t>广东省工业和信息化厅等九厅局印发《关于应对疫情影响加大对中小企业支持力度的若干政策措施》的通知2479</w:t>
      </w:r>
    </w:p>
    <w:p>
      <w:pPr>
        <w:pStyle w:val="14"/>
        <w:widowControl w:val="0"/>
        <w:tabs>
          <w:tab w:val="right" w:leader="dot" w:pos="8788"/>
        </w:tabs>
        <w:wordWrap/>
        <w:adjustRightInd/>
        <w:snapToGrid/>
        <w:spacing w:line="560" w:lineRule="exact"/>
        <w:ind w:left="64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_Toc19746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广东省住房和城乡建设厅关于进一步加强城市生活垃圾、污水及市容环境卫生管理工作的</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_Toc16667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紧急通知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_Toc16667 </w:instrText>
      </w:r>
      <w:r>
        <w:rPr>
          <w:rFonts w:hint="eastAsia" w:ascii="仿宋" w:hAnsi="仿宋" w:eastAsia="仿宋" w:cs="仿宋"/>
        </w:rPr>
        <w:fldChar w:fldCharType="separate"/>
      </w:r>
      <w:r>
        <w:rPr>
          <w:rFonts w:hint="eastAsia" w:ascii="仿宋" w:hAnsi="仿宋" w:eastAsia="仿宋" w:cs="仿宋"/>
        </w:rPr>
        <w:t>249</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_Toc2311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广东省住房和城乡建设厅关于加强废弃口罩</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_Toc21676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管理做好新型冠状病毒感染的肺炎防范</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_Toc6830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有关工作的紧急通知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_Toc6830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494</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_Toc21579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广东省住房和城乡建设厅关于印发新型冠状</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_Toc12600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病毒感染肺炎疫情防控工作指引的通知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_Toc12600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497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_Toc14098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广东省住房和城乡建设厅关于印发《广东省物业管理区域新型冠状病毒感染的肺炎疫情防控工作指引（试行）》的通知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_Toc14098 </w:instrText>
      </w:r>
      <w:r>
        <w:rPr>
          <w:rFonts w:hint="eastAsia" w:ascii="仿宋" w:hAnsi="仿宋" w:eastAsia="仿宋" w:cs="仿宋"/>
        </w:rPr>
        <w:fldChar w:fldCharType="separate"/>
      </w:r>
      <w:r>
        <w:rPr>
          <w:rFonts w:hint="eastAsia" w:ascii="仿宋" w:hAnsi="仿宋" w:eastAsia="仿宋" w:cs="仿宋"/>
        </w:rPr>
        <w:t>250</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_Toc25046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广东省人力资源和社会保障厅关于积极应对新型冠状病毒感染肺炎疫情做好劳动关系</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_Toc13822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相关工作的通知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_Toc13822 </w:instrText>
      </w:r>
      <w:r>
        <w:rPr>
          <w:rFonts w:hint="eastAsia" w:ascii="仿宋" w:hAnsi="仿宋" w:eastAsia="仿宋" w:cs="仿宋"/>
        </w:rPr>
        <w:fldChar w:fldCharType="separate"/>
      </w:r>
      <w:r>
        <w:rPr>
          <w:rFonts w:hint="eastAsia" w:ascii="仿宋" w:hAnsi="仿宋" w:eastAsia="仿宋" w:cs="仿宋"/>
        </w:rPr>
        <w:t>251</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_Toc24535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广东省人力资源和社会保障厅 广东省财政厅 广东省卫生健康委员会转发人力资源社会保障部 财政部 国家卫生健康委关于因履行工作</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_Toc17484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职责感染新型冠状病毒肺炎的医护及相关</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_Toc12833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en-US" w:eastAsia="zh-CN" w:bidi="ar-SA"/>
        </w:rPr>
        <w:t xml:space="preserve">工作人员有关保障问题的通知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_Toc12833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15</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t>广东省防控新型冠状病毒感染的肺炎疫情工作领导小组办公室</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_Toc4981 </w:instrText>
      </w:r>
      <w:r>
        <w:rPr>
          <w:rFonts w:hint="eastAsia" w:ascii="仿宋" w:hAnsi="仿宋" w:eastAsia="仿宋" w:cs="仿宋"/>
          <w:szCs w:val="32"/>
          <w:lang w:eastAsia="zh-CN"/>
        </w:rPr>
        <w:fldChar w:fldCharType="separate"/>
      </w:r>
      <w:r>
        <w:rPr>
          <w:rFonts w:hint="eastAsia" w:ascii="仿宋" w:hAnsi="仿宋" w:eastAsia="仿宋" w:cs="仿宋"/>
          <w:lang w:val="en-US" w:eastAsia="zh-CN"/>
        </w:rPr>
        <w:t xml:space="preserve">关于印发广东省新型冠状病毒感染的肺炎重点场所预防控制工作指引的通知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_Toc4981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val="en-US" w:eastAsia="zh-CN"/>
        </w:rPr>
        <w:t>广东省市场监管领域防控</w:t>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_Toc14768 </w:instrText>
      </w:r>
      <w:r>
        <w:rPr>
          <w:rFonts w:hint="eastAsia" w:ascii="仿宋" w:hAnsi="仿宋" w:eastAsia="仿宋" w:cs="仿宋"/>
          <w:szCs w:val="32"/>
          <w:lang w:eastAsia="zh-CN"/>
        </w:rPr>
        <w:fldChar w:fldCharType="separate"/>
      </w:r>
      <w:r>
        <w:rPr>
          <w:rFonts w:hint="eastAsia" w:ascii="仿宋" w:hAnsi="仿宋" w:eastAsia="仿宋" w:cs="仿宋"/>
          <w:bCs w:val="0"/>
          <w:kern w:val="44"/>
          <w:szCs w:val="44"/>
          <w:lang w:val="en-US" w:eastAsia="zh-CN" w:bidi="ar-SA"/>
        </w:rPr>
        <w:t>新型冠状病毒感染的肺炎疫情工作领导小组办公室关于强化食品经营监管做好疫情防控的</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_Toc18507 </w:instrText>
      </w:r>
      <w:r>
        <w:rPr>
          <w:rFonts w:hint="eastAsia" w:ascii="仿宋" w:hAnsi="仿宋" w:eastAsia="仿宋" w:cs="仿宋"/>
          <w:szCs w:val="32"/>
          <w:lang w:eastAsia="zh-CN"/>
        </w:rPr>
        <w:fldChar w:fldCharType="separate"/>
      </w:r>
      <w:r>
        <w:rPr>
          <w:rFonts w:hint="eastAsia" w:ascii="仿宋" w:hAnsi="仿宋" w:eastAsia="仿宋" w:cs="仿宋"/>
          <w:bCs w:val="0"/>
          <w:kern w:val="44"/>
          <w:szCs w:val="44"/>
          <w:lang w:val="en-US" w:eastAsia="zh-CN" w:bidi="ar-SA"/>
        </w:rPr>
        <w:t xml:space="preserve">公告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_Toc18507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_Toc14538 </w:instrText>
      </w:r>
      <w:r>
        <w:rPr>
          <w:rFonts w:hint="eastAsia" w:ascii="仿宋" w:hAnsi="仿宋" w:eastAsia="仿宋" w:cs="仿宋"/>
          <w:szCs w:val="32"/>
          <w:lang w:eastAsia="zh-CN"/>
        </w:rPr>
        <w:fldChar w:fldCharType="separate"/>
      </w:r>
      <w:r>
        <w:rPr>
          <w:rFonts w:hint="eastAsia" w:ascii="仿宋" w:hAnsi="仿宋" w:eastAsia="仿宋" w:cs="仿宋"/>
          <w:lang w:val="zh-CN" w:eastAsia="zh-CN"/>
        </w:rPr>
        <w:t>广东省市场监管领域防控新型冠状病毒肺炎疫情工作领导小组办公室关于从严打击哄抬物价、囤积居奇、强制搭售等违法行为的公告</w:t>
      </w:r>
      <w:r>
        <w:rPr>
          <w:rFonts w:hint="eastAsia" w:ascii="仿宋" w:hAnsi="仿宋" w:eastAsia="仿宋" w:cs="仿宋"/>
          <w:lang w:val="en-US" w:eastAsia="zh-CN"/>
        </w:rPr>
        <w:t xml:space="preserve"> </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_Toc14538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53</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_Toc29129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zh-CN" w:eastAsia="zh-CN" w:bidi="ar-SA"/>
        </w:rPr>
        <w:t>广东省市场监管领域防控新型冠状病毒肺炎疫情工作领导小组办公室关于加强野生动物经营行为监管做好疫情防控工作</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_Toc18694 </w:instrText>
      </w:r>
      <w:r>
        <w:rPr>
          <w:rFonts w:hint="eastAsia" w:ascii="仿宋" w:hAnsi="仿宋" w:eastAsia="仿宋" w:cs="仿宋"/>
          <w:szCs w:val="32"/>
          <w:lang w:eastAsia="zh-CN"/>
        </w:rPr>
        <w:fldChar w:fldCharType="separate"/>
      </w:r>
      <w:r>
        <w:rPr>
          <w:rFonts w:hint="eastAsia" w:ascii="仿宋" w:hAnsi="仿宋" w:eastAsia="仿宋" w:cs="仿宋"/>
          <w:bCs/>
          <w:kern w:val="44"/>
          <w:szCs w:val="44"/>
          <w:lang w:val="zh-CN" w:eastAsia="zh-CN" w:bidi="ar-SA"/>
        </w:rPr>
        <w:t>的公告</w:t>
      </w:r>
      <w:r>
        <w:rPr>
          <w:rFonts w:hint="eastAsia" w:ascii="仿宋" w:hAnsi="仿宋" w:eastAsia="仿宋" w:cs="仿宋"/>
        </w:rPr>
        <w:tab/>
      </w:r>
      <w:r>
        <w:rPr>
          <w:rFonts w:hint="eastAsia" w:ascii="仿宋" w:hAnsi="仿宋" w:eastAsia="仿宋" w:cs="仿宋"/>
          <w:lang w:val="en-US" w:eastAsia="zh-CN"/>
        </w:rPr>
        <w:t xml:space="preserve">  </w:t>
      </w:r>
      <w:r>
        <w:rPr>
          <w:rFonts w:hint="eastAsia" w:ascii="仿宋" w:hAnsi="仿宋" w:eastAsia="仿宋" w:cs="仿宋"/>
        </w:rPr>
        <w:fldChar w:fldCharType="begin"/>
      </w:r>
      <w:r>
        <w:rPr>
          <w:rFonts w:hint="eastAsia" w:ascii="仿宋" w:hAnsi="仿宋" w:eastAsia="仿宋" w:cs="仿宋"/>
        </w:rPr>
        <w:instrText xml:space="preserve"> PAGEREF _Toc18694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54</w:t>
      </w:r>
    </w:p>
    <w:p>
      <w:pPr>
        <w:rPr>
          <w:rFonts w:hint="eastAsia" w:eastAsia="仿宋_GB2312"/>
          <w:lang w:val="en-US" w:eastAsia="zh-CN"/>
        </w:rPr>
      </w:pPr>
      <w:r>
        <w:rPr>
          <w:rFonts w:hint="eastAsia"/>
          <w:b/>
          <w:bCs/>
          <w:lang w:eastAsia="zh-CN"/>
        </w:rPr>
        <w:t>（新增）</w:t>
      </w:r>
      <w:r>
        <w:rPr>
          <w:rFonts w:hint="eastAsia"/>
        </w:rPr>
        <w:t>广东省市场监督管理局关于对从事冷藏冷冻食品贮存服务的非食品生产经营者备案的通告</w:t>
      </w:r>
      <w:r>
        <w:rPr>
          <w:rFonts w:hint="eastAsia"/>
          <w:lang w:val="en-US" w:eastAsia="zh-CN"/>
        </w:rPr>
        <w:t xml:space="preserve"> </w:t>
      </w:r>
      <w:r>
        <w:rPr>
          <w:rFonts w:hint="eastAsia" w:ascii="宋体" w:hAnsi="宋体" w:eastAsia="宋体" w:cs="宋体"/>
          <w:lang w:val="en-US" w:eastAsia="zh-CN"/>
        </w:rPr>
        <w:t>2555</w:t>
      </w:r>
    </w:p>
    <w:p>
      <w:pPr>
        <w:ind w:left="1285" w:hanging="1285" w:hangingChars="400"/>
        <w:rPr>
          <w:rFonts w:hint="eastAsia" w:eastAsia="仿宋_GB2312"/>
          <w:lang w:val="en-US" w:eastAsia="zh-CN"/>
        </w:rPr>
      </w:pPr>
      <w:r>
        <w:rPr>
          <w:rFonts w:hint="eastAsia"/>
          <w:b/>
          <w:bCs/>
          <w:lang w:eastAsia="zh-CN"/>
        </w:rPr>
        <w:t>（新增）</w:t>
      </w:r>
      <w:r>
        <w:rPr>
          <w:rFonts w:hint="eastAsia"/>
        </w:rPr>
        <w:t>广东省市场监督管理局关于印发《广东省市场监督管理局关于广东省食品相关产品生产企业监督检查的管理办法》的通知</w:t>
      </w:r>
      <w:r>
        <w:rPr>
          <w:rFonts w:hint="eastAsia" w:ascii="宋体" w:hAnsi="宋体" w:eastAsia="宋体" w:cs="宋体"/>
          <w:lang w:val="en-US" w:eastAsia="zh-CN"/>
        </w:rPr>
        <w:t>2558</w:t>
      </w:r>
    </w:p>
    <w:p>
      <w:pPr>
        <w:pStyle w:val="14"/>
        <w:widowControl w:val="0"/>
        <w:tabs>
          <w:tab w:val="right" w:leader="dot" w:pos="8788"/>
        </w:tabs>
        <w:wordWrap/>
        <w:adjustRightInd/>
        <w:snapToGrid/>
        <w:spacing w:line="560" w:lineRule="exact"/>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_Toc6033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广东省人民政府关于印发广东省进一步稳定和促进就业若干政策措施的通知</w:t>
      </w:r>
      <w:r>
        <w:rPr>
          <w:rFonts w:hint="eastAsia" w:ascii="仿宋" w:hAnsi="仿宋" w:eastAsia="仿宋" w:cs="仿宋"/>
          <w:bCs/>
          <w:i w:val="0"/>
          <w:caps w:val="0"/>
          <w:spacing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_Toc6033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59</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_Toc9518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广东省人民政府关于印发应对新型冠状病毒感染的肺炎疫情支持企业复工复产</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_Toc10190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rPr>
        <w:t>若干政策措施的通知</w:t>
      </w:r>
      <w:r>
        <w:rPr>
          <w:rFonts w:hint="eastAsia" w:ascii="仿宋" w:hAnsi="仿宋" w:eastAsia="仿宋" w:cs="仿宋"/>
          <w:bCs/>
          <w:i w:val="0"/>
          <w:caps w:val="0"/>
          <w:spacing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_Toc10190 </w:instrText>
      </w:r>
      <w:r>
        <w:rPr>
          <w:rFonts w:hint="eastAsia" w:ascii="仿宋" w:hAnsi="仿宋" w:eastAsia="仿宋" w:cs="仿宋"/>
        </w:rPr>
        <w:fldChar w:fldCharType="separate"/>
      </w:r>
      <w:r>
        <w:rPr>
          <w:rFonts w:hint="eastAsia" w:ascii="仿宋" w:hAnsi="仿宋" w:eastAsia="仿宋" w:cs="仿宋"/>
        </w:rPr>
        <w:t>257</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_Toc24725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rPr>
        <w:t>广东省司法厅关于遵守疫情防控</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_Toc25213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rPr>
        <w:t>有关法律规定的通告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_Toc25213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78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_Toc19832 </w:instrText>
      </w:r>
      <w:r>
        <w:rPr>
          <w:rFonts w:hint="eastAsia" w:ascii="仿宋" w:hAnsi="仿宋" w:eastAsia="仿宋" w:cs="仿宋"/>
          <w:szCs w:val="32"/>
          <w:lang w:eastAsia="zh-CN"/>
        </w:rPr>
        <w:fldChar w:fldCharType="separate"/>
      </w:r>
      <w:r>
        <w:rPr>
          <w:rFonts w:hint="eastAsia" w:ascii="仿宋" w:hAnsi="仿宋" w:eastAsia="仿宋" w:cs="仿宋"/>
          <w:bCs/>
          <w:caps w:val="0"/>
          <w:spacing w:val="0"/>
          <w:szCs w:val="44"/>
        </w:rPr>
        <w:t>广东省农业农村厅关于加强水生野生动物管理的通告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_Toc19832 </w:instrText>
      </w:r>
      <w:r>
        <w:rPr>
          <w:rFonts w:hint="eastAsia" w:ascii="仿宋" w:hAnsi="仿宋" w:eastAsia="仿宋" w:cs="仿宋"/>
        </w:rPr>
        <w:fldChar w:fldCharType="separate"/>
      </w:r>
      <w:r>
        <w:rPr>
          <w:rFonts w:hint="eastAsia" w:ascii="仿宋" w:hAnsi="仿宋" w:eastAsia="仿宋" w:cs="仿宋"/>
        </w:rPr>
        <w:t>258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1</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_Toc6683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广东省人民政府办公厅关于进一步加强</w:t>
      </w:r>
      <w:r>
        <w:rPr>
          <w:rFonts w:hint="eastAsia" w:ascii="仿宋" w:hAnsi="仿宋" w:eastAsia="仿宋" w:cs="仿宋"/>
          <w:color w:val="000000"/>
          <w:szCs w:val="32"/>
          <w:lang w:eastAsia="zh-CN"/>
        </w:rPr>
        <w:fldChar w:fldCharType="end"/>
      </w: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_Toc11369 </w:instrText>
      </w:r>
      <w:r>
        <w:rPr>
          <w:rFonts w:hint="eastAsia" w:ascii="仿宋" w:hAnsi="仿宋" w:eastAsia="仿宋" w:cs="仿宋"/>
          <w:szCs w:val="32"/>
          <w:lang w:eastAsia="zh-CN"/>
        </w:rPr>
        <w:fldChar w:fldCharType="separate"/>
      </w:r>
      <w:r>
        <w:rPr>
          <w:rFonts w:hint="eastAsia" w:ascii="仿宋" w:hAnsi="仿宋" w:eastAsia="仿宋" w:cs="仿宋"/>
          <w:bCs/>
          <w:i w:val="0"/>
          <w:caps w:val="0"/>
          <w:spacing w:val="0"/>
          <w:szCs w:val="44"/>
          <w:shd w:val="clear" w:color="060000" w:fill="FFFFFF"/>
        </w:rPr>
        <w:t>野生动物保护管理工作的通知</w:t>
      </w:r>
      <w:r>
        <w:rPr>
          <w:rFonts w:hint="eastAsia" w:ascii="仿宋" w:hAnsi="仿宋" w:eastAsia="仿宋" w:cs="仿宋"/>
          <w:bCs/>
          <w:i w:val="0"/>
          <w:caps w:val="0"/>
          <w:spacing w:val="0"/>
          <w:szCs w:val="44"/>
          <w:shd w:val="clear" w:color="060000" w:fill="FFFFFF"/>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_Toc11369 </w:instrText>
      </w:r>
      <w:r>
        <w:rPr>
          <w:rFonts w:hint="eastAsia" w:ascii="仿宋" w:hAnsi="仿宋" w:eastAsia="仿宋" w:cs="仿宋"/>
        </w:rPr>
        <w:fldChar w:fldCharType="separate"/>
      </w:r>
      <w:r>
        <w:rPr>
          <w:rFonts w:hint="eastAsia" w:ascii="仿宋" w:hAnsi="仿宋" w:eastAsia="仿宋" w:cs="仿宋"/>
        </w:rPr>
        <w:t>258</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_Toc27151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广东省公安厅关于依法严厉打击涉野生动物违法犯罪行为的通告</w:t>
      </w:r>
      <w:r>
        <w:rPr>
          <w:rFonts w:hint="eastAsia" w:ascii="仿宋" w:hAnsi="仿宋" w:eastAsia="仿宋" w:cs="仿宋"/>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_Toc27151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86</w:t>
      </w:r>
    </w:p>
    <w:p>
      <w:pPr>
        <w:pStyle w:val="14"/>
        <w:widowControl w:val="0"/>
        <w:tabs>
          <w:tab w:val="right" w:leader="dot" w:pos="8788"/>
        </w:tabs>
        <w:wordWrap/>
        <w:adjustRightInd/>
        <w:snapToGrid/>
        <w:spacing w:line="560" w:lineRule="exact"/>
        <w:ind w:left="640" w:leftChars="0" w:hanging="640" w:hangingChars="200"/>
        <w:textAlignment w:val="auto"/>
        <w:rPr>
          <w:rFonts w:hint="eastAsia" w:eastAsia="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_Toc31711 </w:instrText>
      </w:r>
      <w:r>
        <w:rPr>
          <w:rFonts w:hint="eastAsia" w:ascii="仿宋" w:hAnsi="仿宋" w:eastAsia="仿宋" w:cs="仿宋"/>
          <w:szCs w:val="32"/>
          <w:lang w:eastAsia="zh-CN"/>
        </w:rPr>
        <w:fldChar w:fldCharType="separate"/>
      </w:r>
      <w:r>
        <w:rPr>
          <w:rFonts w:hint="eastAsia" w:ascii="仿宋" w:hAnsi="仿宋" w:eastAsia="仿宋" w:cs="仿宋"/>
          <w:kern w:val="2"/>
          <w:szCs w:val="44"/>
          <w:lang w:val="en-US" w:eastAsia="zh-CN" w:bidi="ar-SA"/>
        </w:rPr>
        <w:t xml:space="preserve">广东省卫生厅关于印发广东省法定传染病疫情和突发公共卫生事件信息发布方案的通知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_Toc31711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88</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Cs w:val="32"/>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_Toc11482 </w:instrText>
      </w:r>
      <w:r>
        <w:rPr>
          <w:rFonts w:hint="eastAsia" w:ascii="仿宋" w:hAnsi="仿宋" w:eastAsia="仿宋" w:cs="仿宋"/>
          <w:szCs w:val="32"/>
          <w:lang w:eastAsia="zh-CN"/>
        </w:rPr>
        <w:fldChar w:fldCharType="separate"/>
      </w:r>
      <w:r>
        <w:rPr>
          <w:rFonts w:hint="eastAsia" w:ascii="仿宋" w:hAnsi="仿宋" w:eastAsia="仿宋" w:cs="仿宋"/>
          <w:i w:val="0"/>
          <w:caps w:val="0"/>
          <w:spacing w:val="0"/>
          <w:szCs w:val="44"/>
        </w:rPr>
        <w:t>广东省新冠肺炎防控指挥办疫情防控组关于印发广东省公共交通新冠肺炎疫情防控工作指引的通知</w:t>
      </w:r>
      <w:r>
        <w:rPr>
          <w:rFonts w:hint="eastAsia" w:ascii="仿宋" w:hAnsi="仿宋" w:eastAsia="仿宋" w:cs="仿宋"/>
          <w:i w:val="0"/>
          <w:caps w:val="0"/>
          <w:spacing w:val="0"/>
          <w:szCs w:val="44"/>
          <w:lang w:val="en-US" w:eastAsia="zh-CN"/>
        </w:rPr>
        <w:t xml:space="preserve"> </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_Toc11482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596</w:t>
      </w:r>
    </w:p>
    <w:p>
      <w:pPr>
        <w:ind w:left="1285" w:hanging="1285" w:hangingChars="400"/>
        <w:rPr>
          <w:rFonts w:hint="eastAsia" w:eastAsia="仿宋_GB2312"/>
          <w:lang w:val="en-US" w:eastAsia="zh-CN"/>
        </w:rPr>
      </w:pPr>
      <w:r>
        <w:rPr>
          <w:rFonts w:hint="eastAsia"/>
          <w:b/>
          <w:bCs/>
          <w:lang w:eastAsia="zh-CN"/>
        </w:rPr>
        <w:t>（新增）</w:t>
      </w:r>
      <w:r>
        <w:rPr>
          <w:rFonts w:hint="eastAsia"/>
        </w:rPr>
        <w:t>广东省新冠肺炎防控指挥办疫情防控组关于印发广东省园区新冠肺炎疫情常态化防控工作指引的通知</w:t>
      </w:r>
      <w:r>
        <w:rPr>
          <w:rFonts w:hint="eastAsia" w:ascii="宋体" w:hAnsi="宋体" w:eastAsia="宋体" w:cs="宋体"/>
          <w:lang w:val="en-US" w:eastAsia="zh-CN"/>
        </w:rPr>
        <w:t>2645</w:t>
      </w:r>
    </w:p>
    <w:p>
      <w:pPr>
        <w:ind w:left="1285" w:hanging="1285" w:hangingChars="400"/>
        <w:rPr>
          <w:rFonts w:hint="eastAsia" w:eastAsia="仿宋_GB2312"/>
          <w:lang w:val="en-US" w:eastAsia="zh-CN"/>
        </w:rPr>
      </w:pPr>
      <w:r>
        <w:rPr>
          <w:rFonts w:hint="eastAsia"/>
          <w:b/>
          <w:bCs/>
          <w:lang w:eastAsia="zh-CN"/>
        </w:rPr>
        <w:t>（新增）</w:t>
      </w:r>
      <w:r>
        <w:rPr>
          <w:rFonts w:hint="eastAsia"/>
        </w:rPr>
        <w:t>广东省新冠肺炎防控指挥办疫情防控组关于印发《广东省大型群众性活动新冠肺炎疫情常态化防控工作指引》的通知</w:t>
      </w:r>
      <w:r>
        <w:rPr>
          <w:rFonts w:hint="eastAsia" w:ascii="宋体" w:hAnsi="宋体" w:eastAsia="宋体" w:cs="宋体"/>
          <w:lang w:val="en-US" w:eastAsia="zh-CN"/>
        </w:rPr>
        <w:t>2658</w:t>
      </w:r>
    </w:p>
    <w:p>
      <w:pPr>
        <w:ind w:left="1285" w:hanging="1285" w:hangingChars="400"/>
        <w:rPr>
          <w:rFonts w:hint="eastAsia" w:ascii="仿宋" w:hAnsi="仿宋" w:eastAsia="仿宋_GB2312" w:cs="仿宋"/>
          <w:color w:val="000000"/>
          <w:szCs w:val="32"/>
          <w:lang w:val="en-US" w:eastAsia="zh-CN"/>
        </w:rPr>
      </w:pPr>
      <w:r>
        <w:rPr>
          <w:rFonts w:hint="eastAsia"/>
          <w:b/>
          <w:bCs/>
          <w:lang w:eastAsia="zh-CN"/>
        </w:rPr>
        <w:t>（新增）</w:t>
      </w:r>
      <w:r>
        <w:rPr>
          <w:rFonts w:hint="eastAsia"/>
        </w:rPr>
        <w:t>广东省新冠肺炎防控指挥办疫情防控组关于印发广东省月子服务机构新冠肺炎疫情常态化防控工作指引（第二版）的通知</w:t>
      </w:r>
      <w:r>
        <w:rPr>
          <w:rFonts w:hint="eastAsia" w:ascii="宋体" w:hAnsi="宋体" w:eastAsia="宋体" w:cs="宋体"/>
          <w:lang w:val="en-US" w:eastAsia="zh-CN"/>
        </w:rPr>
        <w:t>2666</w:t>
      </w:r>
    </w:p>
    <w:p>
      <w:pPr>
        <w:ind w:left="1285" w:hanging="1280" w:hangingChars="400"/>
        <w:rPr>
          <w:rFonts w:hint="eastAsia" w:ascii="仿宋" w:hAnsi="仿宋" w:eastAsia="仿宋" w:cs="仿宋"/>
          <w:lang w:val="en-US" w:eastAsia="zh-CN"/>
        </w:rPr>
      </w:pPr>
      <w:r>
        <w:rPr>
          <w:rFonts w:hint="eastAsia" w:ascii="仿宋" w:hAnsi="仿宋" w:eastAsia="仿宋" w:cs="仿宋"/>
          <w:color w:val="000000"/>
          <w:szCs w:val="32"/>
          <w:lang w:eastAsia="zh-CN"/>
        </w:rPr>
        <w:fldChar w:fldCharType="begin"/>
      </w:r>
      <w:r>
        <w:rPr>
          <w:rFonts w:hint="eastAsia" w:ascii="仿宋" w:hAnsi="仿宋" w:eastAsia="仿宋" w:cs="仿宋"/>
          <w:szCs w:val="32"/>
          <w:lang w:eastAsia="zh-CN"/>
        </w:rPr>
        <w:instrText xml:space="preserve"> HYPERLINK \l _Toc13173 </w:instrText>
      </w:r>
      <w:r>
        <w:rPr>
          <w:rFonts w:hint="eastAsia" w:ascii="仿宋" w:hAnsi="仿宋" w:eastAsia="仿宋" w:cs="仿宋"/>
          <w:szCs w:val="32"/>
          <w:lang w:eastAsia="zh-CN"/>
        </w:rPr>
        <w:fldChar w:fldCharType="separate"/>
      </w:r>
      <w:r>
        <w:rPr>
          <w:rFonts w:hint="eastAsia" w:ascii="仿宋" w:hAnsi="仿宋" w:eastAsia="仿宋" w:cs="仿宋"/>
          <w:szCs w:val="44"/>
        </w:rPr>
        <w:t>广东省公安厅关于依法严厉打击新型冠状病毒感染肺炎疫情防控期间违法犯罪的通告</w:t>
      </w:r>
      <w:r>
        <w:rPr>
          <w:rFonts w:hint="eastAsia" w:ascii="仿宋" w:hAnsi="仿宋" w:eastAsia="仿宋" w:cs="仿宋"/>
          <w:szCs w:val="44"/>
          <w:lang w:val="en-US" w:eastAsia="zh-CN"/>
        </w:rPr>
        <w:t xml:space="preserve">  </w:t>
      </w:r>
      <w:r>
        <w:rPr>
          <w:rFonts w:hint="eastAsia" w:ascii="仿宋" w:hAnsi="仿宋" w:eastAsia="仿宋" w:cs="仿宋"/>
          <w:color w:val="000000"/>
          <w:szCs w:val="32"/>
          <w:lang w:eastAsia="zh-CN"/>
        </w:rPr>
        <w:fldChar w:fldCharType="end"/>
      </w:r>
      <w:r>
        <w:rPr>
          <w:rFonts w:hint="eastAsia" w:ascii="仿宋" w:hAnsi="仿宋" w:eastAsia="仿宋" w:cs="仿宋"/>
          <w:lang w:val="en-US" w:eastAsia="zh-CN"/>
        </w:rPr>
        <w:t>2674</w:t>
      </w:r>
    </w:p>
    <w:p>
      <w:pPr>
        <w:ind w:left="1285" w:hanging="1280" w:hangingChars="400"/>
        <w:rPr>
          <w:rFonts w:hint="eastAsia" w:eastAsia="仿宋_GB2312"/>
          <w:lang w:val="en-US" w:eastAsia="zh-CN"/>
        </w:rPr>
      </w:pPr>
      <w:r>
        <w:rPr>
          <w:rFonts w:hint="eastAsia" w:ascii="仿宋" w:hAnsi="仿宋" w:eastAsia="仿宋" w:cs="仿宋"/>
          <w:color w:val="000000"/>
          <w:szCs w:val="32"/>
          <w:lang w:eastAsia="zh-CN"/>
        </w:rPr>
        <w:fldChar w:fldCharType="end"/>
      </w:r>
      <w:r>
        <w:rPr>
          <w:rFonts w:hint="eastAsia" w:ascii="仿宋" w:hAnsi="仿宋" w:eastAsia="仿宋" w:cs="仿宋"/>
          <w:b/>
          <w:bCs/>
          <w:color w:val="000000"/>
          <w:szCs w:val="32"/>
          <w:lang w:eastAsia="zh-CN"/>
        </w:rPr>
        <w:t>（新增）</w:t>
      </w:r>
      <w:r>
        <w:rPr>
          <w:rFonts w:hint="eastAsia"/>
        </w:rPr>
        <w:t>广东省老龄工作办公室关于做好老年人冬春季新冠肺炎疫情防控工作的通知</w:t>
      </w:r>
      <w:r>
        <w:rPr>
          <w:rFonts w:hint="eastAsia" w:ascii="宋体" w:hAnsi="宋体" w:eastAsia="宋体" w:cs="宋体"/>
          <w:lang w:val="en-US" w:eastAsia="zh-CN"/>
        </w:rPr>
        <w:t>2677</w:t>
      </w:r>
    </w:p>
    <w:p>
      <w:pPr>
        <w:pStyle w:val="14"/>
        <w:widowControl w:val="0"/>
        <w:tabs>
          <w:tab w:val="right" w:leader="dot" w:pos="8788"/>
        </w:tabs>
        <w:wordWrap/>
        <w:adjustRightInd/>
        <w:snapToGrid/>
        <w:spacing w:line="560" w:lineRule="exact"/>
        <w:ind w:left="640" w:leftChars="0" w:hanging="640" w:hangingChars="200"/>
        <w:textAlignment w:val="auto"/>
        <w:rPr>
          <w:rFonts w:hint="eastAsia" w:ascii="仿宋" w:hAnsi="仿宋" w:eastAsia="仿宋" w:cs="仿宋"/>
          <w:color w:val="000000"/>
          <w:sz w:val="32"/>
          <w:szCs w:val="32"/>
          <w:lang w:eastAsia="zh-CN"/>
        </w:rPr>
      </w:pPr>
    </w:p>
    <w:p>
      <w:pPr>
        <w:pStyle w:val="33"/>
        <w:wordWrap/>
        <w:spacing w:line="560" w:lineRule="exact"/>
        <w:ind w:firstLine="0" w:firstLineChars="0"/>
        <w:textAlignment w:val="auto"/>
        <w:sectPr>
          <w:headerReference r:id="rId4" w:type="default"/>
          <w:footerReference r:id="rId6" w:type="default"/>
          <w:headerReference r:id="rId5" w:type="even"/>
          <w:footerReference r:id="rId7" w:type="even"/>
          <w:pgSz w:w="11850" w:h="16783"/>
          <w:pgMar w:top="1984" w:right="1531" w:bottom="1871" w:left="1531" w:header="851" w:footer="1361" w:gutter="0"/>
          <w:pgNumType w:start="1"/>
          <w:cols w:space="720" w:num="1"/>
          <w:rtlGutter w:val="0"/>
          <w:docGrid w:type="lines" w:linePitch="445" w:charSpace="0"/>
        </w:sectPr>
      </w:pPr>
    </w:p>
    <w:p>
      <w:pPr>
        <w:widowControl w:val="0"/>
        <w:wordWrap/>
        <w:overflowPunct w:val="0"/>
        <w:spacing w:beforeAutospacing="0" w:afterAutospacing="0" w:line="560" w:lineRule="exact"/>
        <w:jc w:val="center"/>
        <w:textAlignment w:val="auto"/>
        <w:outlineLvl w:val="0"/>
        <w:rPr>
          <w:rFonts w:ascii="宋体" w:hAnsi="宋体" w:eastAsia="宋体" w:cs="宋体"/>
          <w:kern w:val="0"/>
          <w:sz w:val="44"/>
          <w:szCs w:val="44"/>
        </w:rPr>
      </w:pPr>
      <w:bookmarkStart w:id="0" w:name="_Toc28871"/>
      <w:r>
        <w:rPr>
          <w:rFonts w:hint="eastAsia" w:ascii="宋体" w:hAnsi="宋体" w:eastAsia="宋体" w:cs="宋体"/>
          <w:kern w:val="0"/>
          <w:sz w:val="44"/>
          <w:szCs w:val="44"/>
        </w:rPr>
        <w:t>中华人民共和国传染病防治法</w:t>
      </w:r>
      <w:bookmarkEnd w:id="0"/>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kern w:val="0"/>
          <w:szCs w:val="32"/>
        </w:rPr>
      </w:pPr>
      <w:r>
        <w:rPr>
          <w:rFonts w:hint="eastAsia" w:ascii="宋体" w:hAnsi="宋体" w:eastAsia="楷体_GB2312" w:cs="楷体_GB2312"/>
          <w:kern w:val="0"/>
          <w:szCs w:val="32"/>
        </w:rPr>
        <w:t>（1989年2月21日第七届全国人民代表大会常务委员会第六次会议通过　2004年8月28日第十届全国人民代表大会常务委员会第十一次会议修订　根据2013年6月29日第十二届全国人民代表大会常务委员会第三次会议《关于修改&lt;中华人民共和国文物保护法&gt;等十二部法律的决定》修正）</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传染病预防</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疫情报告、通报和公布</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疫情控制</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医疗救治</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监督管理</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保障措施</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第八章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第九章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为了预防、控制和消除传染病的发生与流行，保障人体健康和公共卫生，制定本法。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国家对传染病防治实行预防为主的方针，防治结合、分类管理、依靠科学、依靠群众。</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本法规定的传染病分为甲类、乙类和丙类。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甲类传染病是指:鼠疫、霍乱。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乙类传染病是指:传染性非典型肺炎、艾滋病、病毒性肝炎、脊髓灰质炎、人感染高致病性禽流感、麻疹、流行性出血热、狂犬病、流行性乙型脑炎、登革热、炭疽、细菌性和阿米巴性痢疾、肺结核、伤寒和副伤寒、流行性脑脊髓膜炎、百日咳、白喉、新生儿破伤风、猩红热、布鲁氏菌病、淋病、梅毒、钩端螺旋体病、血吸虫病、疟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丙类传染病是指:流行性感冒、流行性腮腺炎、风疹、急性出血性结膜炎、麻风病、流行性和地方性斑疹伤寒、黑热病、包虫病、丝虫病，除霍乱、细菌性和阿米巴性痢疾、伤寒和副伤寒以外的感染性腹泻病。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国务院卫生行政部门根据传染病暴发、流行情况和危害程度，可以决定增加、减少或者调整乙类、丙类传染病病种并予以公布。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对乙类传染病中传染性非典型肺炎、炭疽中的肺炭疽和人感染高致病性禽流感，采取本法所称甲类传染病的预防、控制措施。其他乙类传染病和突发原因不明的传染病需要采取本法所称甲类传染病的预防、控制措施的，由国务院卫生行政部门及时报经国务院批准后予以公布、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需要解除依照前款规定采取的甲类传染病预防、控制措施的，由国务院卫生行政部门报经国务院批准后予以公布。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省、自治区、直辖市人民政府对本行政区域内常见、多发的其他地方性传染病，可以根据情况决定按照乙类或者丙类传染病管理并予以公布，报国务院卫生行政部门备案。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各级人民政府领导传染病防治工作。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县级以上人民政府制定传染病防治规划并组织实施，建立健全传染病防治的疾病预防控制、医疗救治和监督管理体系。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国务院卫生行政部门主管全国传染病防治及其监督管理工作。县级以上地方人民政府卫生行政部门负责本行政区域内的传染病防治及其监督管理工作。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县级以上人民政府其他部门在各自的职责范围内负责传染病防治工作。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军队的传染病防治工作，依照本法和国家有关规定办理，由中国人民解放军卫生主管部门实施监督管理。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各级疾病预防控制机构承担传染病监测、预测、流行病学调查、疫情报告以及其他预防、控制工作。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医疗机构承担与医疗救治有关的传染病防治工作和责任区域内的传染病预防工作。城市社区和农村基层医疗机构在疾病预防控制机构的指导下，承担城市社区、农村基层相应的传染病防治工作。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国家发展现代医学和中医药等传统医学，支持和鼓励开展传染病防治的科学研究，提高传染病防治的科学技术水平。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国家支持和鼓励开展传染病防治的国际合作。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国家支持和鼓励单位和个人参与传染病防治工作。各级人民政府应当完善有关制度，方便单位和个人参与防治传染病的宣传教育、疫情报告、志愿服务和捐赠活动。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居民委员会、村民委员会应当组织居民、村民参与社区、农村的传染病预防与控制活动。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国家开展预防传染病的健康教育。新闻媒体应当无偿开展传染病防治和公共卫生教育的公益宣传。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各级各类学校应当对学生进行健康知识和传染病预防知识的教育。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医学院校应当加强预防医学教育和科学研究，对在校学生以及其他与传染病防治相关人员进行预防医学教育和培训，为传染病防治工作提供技术支持。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疾病预防控制机构、医疗机构应当定期对其工作人员进行传染病防治知识、技能的培训。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对在传染病防治工作中做出显著成绩和贡献的单位和个人，给予表彰和奖励。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对因参与传染病防治工作致病、致残、死亡的人员，按照有关规定给予补助、抚恤。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在中华人民共和国领域内的一切单位和个人，必须接受疾病预防控制机构、医疗机构有关传染病的调查、检验、采集样本、隔离治疗等预防、控制措施，如实提供有关情况。疾病预防控制机构、医疗机构不得泄露涉及个人隐私的有关信息、资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卫生行政部门以及其他有关部门、疾病预防控制机构和医疗机构因违法实施行政管理或者预防、控制措施，侵犯单位和个人合法权益的，有关单位和个人可以依法申请行政复议或者提起诉讼。</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传染病预防</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各级人民政府组织开展群众性卫生活动，进行预防传染病的健康教育，倡导文明健康的生活方式，提高公众对传染病的防治意识和应对能力，加强环境卫生建设，消除鼠害和蚊、蝇等病媒生物的危害。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各级人民政府农业、水利、林业行政部门按照职责分工负责指导和组织消除农田、湖区、河流、牧场、林区的鼠害与血吸虫危害，以及其他传播传染病的动物和病媒生物的危害。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铁路、交通、民用航空行政部门负责组织消除交通工具以及相关场所的鼠害和蚊、蝇等病媒生物的危害。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地方各级人民政府应当有计划地建设和改造公共卫生设施，改善饮用水卫生条件，对污水、污物、粪便进行无害化处置。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家实行有计划的预防接种制度。国务院卫生行政部门和省、自治区、直辖市人民政府卫生行政部门，根据传染病预防、控制的需要，制定传染病预防接种规划并组织实施。用于预防接种的疫苗必须符合国家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国家对儿童实行预防接种证制度。国家免疫规划项目的预防接种实行免费。医疗机构、疾病预防控制机构与儿童的监护人应当相互配合，保证儿童及时接受预防接种。具体办法由国务院制定。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国家和社会应当关心、帮助传染病病人、病原携带者和疑似传染病病人，使其得到及时救治。任何单位和个人不得歧视传染病病人、病原携带者和疑似传染病病人。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传染病病人、病原携带者和疑似传染病病人，在治愈前或者在排除传染病嫌疑前，不得从事法律、行政法规和国务院卫生行政部门规定禁止从事的易使该传染病扩散的工作。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国家建立传染病监测制度。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国务院卫生行政部门制定国家传染病监测规划和方案。省、自治区、直辖市人民政府卫生行政部门根据国家传染病监测规划和方案，制定本行政区域的传染病监测计划和工作方案。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各级疾病预防控制机构对传染病的发生、流行以及影响其发生、流行的因素，进行监测；对国外发生、国内尚未发生的传染病或者国内新发生的传染病，进行监测。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各级疾病预防控制机构在传染病预防控制中履行下列职责: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（一）实施传染病预防控制规划、计划和方案；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（二）收集、分析和报告传染病监测信息，预测传染病的发生、流行趋势；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（三）开展对传染病疫情和突发公共卫生事件的流行病学调查、现场处理及其效果评价；</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（四）开展传染病实验室检测、诊断、病原学鉴定；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（五）实施免疫规划，负责预防性生物制品的使用管理；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（六）开展健康教育、咨询，普及传染病防治知识；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（七）指导、培训下级疾病预防控制机构及其工作人员开展传染病监测工作；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（八）开展传染病防治应用性研究和卫生评价，提供技术咨询。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省级疾病预防控制机构负责对传染病发生、流行以及分布进行监测，对重大传染病流行趋势进行预测，提出预防控制对策，参与并指导对暴发的疫情进行调查处理，开展传染病病原学鉴定，建立检测质量控制体系，开展应用性研究和卫生评价。</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设区的市和县级疾病预防控制机构负责传染病预防控制规划、方案的落实，组织实施免疫、消毒、控制病媒生物的危害，普及传染病防治知识，负责本地区疫情和突发公共卫生事件监测、报告，开展流行病学调查和常见病原微生物检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国家建立传染病预警制度。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国务院卫生行政部门和省、自治区、直辖市人民政府根据传染病发生、流行趋势的预测，及时发出传染病预警，根据情况予以公布。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县级以上地方人民政府应当制定传染病预防、控制预案，报上一级人民政府备案。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传染病预防、控制预案应当包括以下主要内容: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（一）传染病预防控制指挥部的组成和相关部门的职责；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（二）传染病的监测、信息收集、分析、报告、通报制度；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（三）疾病预防控制机构、医疗机构在发生传染病疫情时的任务与职责；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（四）传染病暴发、流行情况的分级以及相应的应急工作方案；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（五）传染病预防、疫点疫区现场控制，应急设施、设备、救治药品和医疗器械以及其他物资和技术的储备与调用。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地方人民政府和疾病预防控制机构接到国务院卫生行政部门或者省、自治区、直辖市人民政府发出的传染病预警后，应当按照传染病预防、控制预案，采取相应的预防、控制措施。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医疗机构必须严格执行国务院卫生行政部门规定的管理制度、操作规范，防止传染病的医源性感染和医院感染。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确定专门的部门或者人员，承担传染病疫情报告、本单位的传染病预防、控制以及责任区域内的传染病预防工作；承担医疗活动中与医院感染有关的危险因素监测、安全防护、消毒、隔离和医疗废物处置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疾病预防控制机构应当指定专门人员负责对医疗机构内传染病预防工作进行指导、考核，开展流行病学调查。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疾病预防控制机构、医疗机构的实验室和从事病原微生物实验的单位，应当符合国家规定的条件和技术标准，建立严格的监督管理制度，对传染病病原体样本按照规定的措施实行严格监督管理，严防传染病病原体的实验室感染和病原微生物的扩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采供血机构、生物制品生产单位必须严格执行国家有关规定，保证血液、血液制品的质量。禁止非法采集血液或者组织他人出卖血液。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疾病预防控制机构、医疗机构使用血液和血液制品，必须遵守国家有关规定，防止因输入血液、使用血液制品引起经血液传播疾病的发生。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各级人民政府应当加强艾滋病的防治工作，采取预防、控制措施，防止艾滋病的传播。具体办法由国务院制定。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县级以上人民政府农业、林业行政部门以及其他有关部门，依据各自的职责负责与人畜共患传染病有关的动物传染病的防治管理工作。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与人畜共患传染病有关的野生动物、家畜家禽，经检疫合格后，方可出售、运输。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国家建立传染病菌种、毒种库。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对传染病菌种、毒种和传染病检测样本的采集、保藏、携带、运输和使用实行分类管理，建立健全严格的管理制度。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对可能导致甲类传染病传播的以及国务院卫生行政部门规定的菌种、毒种和传染病检测样本，确需采集、保藏、携带、运输和使用的，须经省级以上人民政府卫生行政部门批准。具体办法由国务院制定。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对被传染病病原体污染的污水、污物、场所和物品，有关单位和个人必须在疾病预防控制机构的指导下或者按照其提出的卫生要求，进行严格消毒处理；拒绝消毒处理的，由当地卫生行政部门或者疾病预防控制机构进行强制消毒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在国家确认的自然疫源地计划兴建水利、交通、旅游、能源等大型建设项目的，应当事先由省级以上疾病预防控制机构对施工环境进行卫生调查。建设单位应当根据疾病预防控制机构的意见，采取必要的传染病预防、控制措施。施工期间，建设单位应当设专人负责工地上的卫生防疫工作。工程竣工后，疾病预防控制机构应当对可能发生的传染病进行监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用于传染病防治的消毒产品、饮用水供水单位供应的饮用水和涉及饮用水卫生安全的产品，应当符合国家卫生标准和卫生规范。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饮用水供水单位从事生产或者供应活动，应当依法取得卫生许可证。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生产用于传染病防治的消毒产品的单位和生产用于传染病防治的消毒产品，应当经省级以上人民政府卫生行政部门审批。具体办法由国务院制定。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疫情报告、通报和公布</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疾病预防控制机构、医疗机构和采供血机构及其执行职务的人员发现本法规定的传染病疫情或者发现其他传染病暴发、流行以及突发原因不明的传染病时，应当遵循疫情报告属地管理原则，按照国务院规定的或者国务院卫生行政部门规定的内容、程序、方式和时限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军队医疗机构向社会公众提供医疗服务，发现前款规定的传染病疫情时，应当按照国务院卫生行政部门的规定报告。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任何单位和个人发现传染病病人或者疑似传染病病人时，应当及时向附近的疾病预防控制机构或者医疗机构报告。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港口、机场、铁路疾病预防控制机构以及国境卫生检疫机关发现甲类传染病病人、病原携带者、疑似传染病病人时，应当按照国家有关规定立即向国境口岸所在地的疾病预防控制机构或者所在地县级以上地方人民政府卫生行政部门报告并互相通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疾病预防控制机构应当主动收集、分析、调查、核实传染病疫情信息。接到甲类、乙类传染病疫情报告或者发现传染病暴发、流行时，应当立即报告当地卫生行政部门，由当地卫生行政部门立即报告当地人民政府，同时报告上级卫生行政部门和国务院卫生行政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疾病预防控制机构应当设立或者指定专门的部门、人员负责传染病疫情信息管理工作，及时对疫情报告进行核实、分析。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县级以上地方人民政府卫生行政部门应当及时向本行政区域内的疾病预防控制机构和医疗机构通报传染病疫情以及监测、预警的相关信息。接到通报的疾病预防控制机构和医疗机构应当及时告知本单位的有关人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国务院卫生行政部门应当及时向国务院其他有关部门和各省、自治区、直辖市人民政府卫生行政部门通报全国传染病疫情以及监测、预警的相关信息。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毗邻的以及相关的地方人民政府卫生行政部门，应当及时互相通报本行政区域的传染病疫情以及监测、预警的相关信息。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县级以上人民政府有关部门发现传染病疫情时，应当及时向同级人民政府卫生行政部门通报。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中国人民解放军卫生主管部门发现传染病疫情时，应当向国务院卫生行政部门通报。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动物防疫机构和疾病预防控制机构，应当及时互相通报动物间和人间发生的人畜共患传染病疫情以及相关信息。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依照本法的规定负有传染病疫情报告职责的人民政府有关部门、疾病预防控制机构、医疗机构、采供血机构及其工作人员，不得隐瞒、谎报、缓报传染病疫情。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国家建立传染病疫情信息公布制度。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国务院卫生行政部门定期公布全国传染病疫情信息。省、自治区、直辖市人民政府卫生行政部门定期公布本行政区域的传染病疫情信息。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传染病暴发、流行时，国务院卫生行政部门负责向社会公布传染病疫情信息，并可以授权省、自治区、直辖市人民政府卫生行政部门向社会公布本行政区域的传染病疫情信息。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公布传染病疫情信息应当及时、准确。</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疫情控制</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医疗机构发现甲类传染病时，应当及时采取下列措施: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（一）对病人、病原携带者，予以隔离治疗，隔离期限根据医学检查结果确定；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（二）对疑似病人，确诊前在指定场所单独隔离治疗；</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（三）对医疗机构内的病人、病原携带者、疑似病人的密切接触者，在指定场所进行医学观察和采取其他必要的预防措施。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拒绝隔离治疗或者隔离期未满擅自脱离隔离治疗的，可以由公安机关协助医疗机构采取强制隔离治疗措施。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医疗机构发现乙类或者丙类传染病病人，应当根据病情采取必要的治疗和控制传播措施。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医疗机构对本单位内被传染病病原体污染的场所、物品以及医疗废物，必须依照法律、法规的规定实施消毒和无害化处置。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疾病预防控制机构发现传染病疫情或者接到传染病疫情报告时，应当及时采取下列措施: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传染病疫情进行流行病学调查，根据调查情况提出划定疫点、疫区的建议，对被污染的场所进行卫生处理，对密切接触者，在指定场所进行医学观察和采取其他必要的预防措施，并向卫生行政部门提出疫情控制方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（二）传染病暴发、流行时，对疫点、疫区进行卫生处理，向卫生行政部门提出疫情控制方案，并按照卫生行政部门的要求采取措施；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（三）指导下级疾病预防控制机构实施传染病预防、控制措施，组织、指导有关单位对传染病疫情的处理。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对已经发生甲类传染病病例的场所或者该场所内的特定区域的人员，所在地的县级以上地方人民政府可以实施隔离措施，并同时向上一级人民政府报告；接到报告的上级人民政府应当即时作出是否批准的决定。上级人民政府作出不予批准决定的，实施隔离措施的人民政府应当立即解除隔离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在隔离期间，实施隔离措施的人民政府应当对被隔离人员提供生活保障；被隔离人员有工作单位的，所在单位不得停止支付其隔离期间的工作报酬。</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隔离措施的解除，由原决定机关决定并宣布。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传染病暴发、流行时，县级以上地方人民政府应当立即组织力量，按照预防、控制预案进行防治，切断传染病的传播途径，必要时，报经上一级人民政府决定，可以采取下列紧急措施并予以公告: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（一）限制或者停止集市、影剧院演出或者其他人群聚集的活动；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（二）停工、停业、停课；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（三）封闭或者封存被传染病病原体污染的公共饮用水源、食品以及相关物品；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（四）控制或者扑杀染疫野生动物、家畜家禽；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（五）封闭可能造成传染病扩散的场所。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上级人民政府接到下级人民政府关于采取前款所列紧急措施的报告时，应当即时作出决定。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紧急措施的解除，由原决定机关决定并宣布。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甲类、乙类传染病暴发、流行时，县级以上地方人民政府报经上一级人民政府决定，可以宣布本行政区域部分或者全部为疫区；国务院可以决定并宣布跨省、自治区、直辖市的疫区。县级以上地方人民政府可以在疫区内采取本法第四十二条规定的紧急措施，并可以对出入疫区的人员、物资和交通工具实施卫生检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可以决定对本行政区域内的甲类传染病疫区实施封锁；但是，封锁大、中城市的疫区或者封锁跨省、自治区、直辖市的疫区，以及封锁疫区导致中断干线交通或者封锁国境的，由国务院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疫区封锁的解除，由原决定机关决定并宣布。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发生甲类传染病时，为了防止该传染病通过交通工具及其乘运的人员、物资传播，可以实施交通卫生检疫。具体办法由国务院制定。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传染病暴发、流行时，根据传染病疫情控制的需要，国务院有权在全国范围或者跨省、自治区、直辖市范围内，县级以上地方人民政府有权在本行政区域内紧急调集人员或者调用储备物资，临时征用房屋、交通工具以及相关设施、设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紧急调集人员的，应当按照规定给予合理报酬。临时征用房屋、交通工具以及相关设施、设备的，应当依法给予补偿；能返还的，应当及时返还。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患甲类传染病、炭疽死亡的，应当将尸体立即进行卫生处理，就近火化。患其他传染病死亡的，必要时，应当将尸体进行卫生处理后火化或者按照规定深埋。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为了查找传染病病因，医疗机构在必要时可以按照国务院卫生行政部门的规定，对传染病病人尸体或者疑似传染病病人尸体进行解剖查验，并应当告知死者家属。</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疫区中被传染病病原体污染或者可能被传染病病原体污染的物品，经消毒可以使用的，应当在当地疾病预防控制机构的指导下，进行消毒处理后，方可使用、出售和运输。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发生传染病疫情时，疾病预防控制机构和省级以上人民政府卫生行政部门指派的其他与传染病有关的专业技术机构，可以进入传染病疫点、疫区进行调查、采集样本、技术分析和检验。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传染病暴发、流行时，药品和医疗器械生产、供应单位应当及时生产、供应防治传染病的药品和医疗器械。铁路、交通、民用航空经营单位必须优先运送处理传染病疫情的人员以及防治传染病的药品和医疗器械。县级以上人民政府有关部门应当做好组织协调工作。</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医疗救治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县级以上人民政府应当加强和完善传染病医疗救治服务网络的建设，指定具备传染病救治条件和能力的医疗机构承担传染病救治任务，或者根据传染病救治需要设置传染病医院。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医疗机构的基本标准、建筑设计和服务流程，应当符合预防传染病医院感染的要求。</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医疗机构应当按照规定对使用的医疗器械进行消毒；对按照规定一次使用的医疗器具，应当在使用后予以销毁。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医疗机构应当按照国务院卫生行政部门规定的传染病诊断标准和治疗要求，采取相应措施，提高传染病医疗救治能力。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医疗机构应当对传染病病人或者疑似传染病病人提供医疗救护、现场救援和接诊治疗，书写病历记录以及其他有关资料，并妥善保管。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医疗机构应当实行传染病预检、分诊制度；对传染病病人、疑似传染病病人，应当引导至相对隔离的分诊点进行初诊。医疗机构不具备相应救治能力的，应当将患者及其病历记录复印件一并转至具备相应救治能力的医疗机构。具体办法由国务院卫生行政部门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监督管理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县级以上人民政府卫生行政部门对传染病防治工作履行下列监督检查职责: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（一）对下级人民政府卫生行政部门履行本法规定的传染病防治职责进行监督检查；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（二）对疾病预防控制机构、医疗机构的传染病防治工作进行监督检查；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（三）对采供血机构的采供血活动进行监督检查；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（四）对用于传染病防治的消毒产品及其生产单位进行监督检查，并对饮用水供水单位从事生产或者供应活动以及涉及饮用水卫生安全的产品进行监督检查；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（五）对传染病菌种、毒种和传染病检测样本的采集、保藏、携带、运输、使用进行监督检查；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（六）对公共场所和有关单位的卫生条件和传染病预防、控制措施进行监督检查。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省级以上人民政府卫生行政部门负责组织对传染病防治重大事项的处理。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县级以上人民政府卫生行政部门在履行监督检查职责时，有权进入被检查单位和传染病疫情发生现场调查取证，查阅或者复制有关的资料和采集样本。被检查单位应当予以配合，不得拒绝、阻挠。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县级以上地方人民政府卫生行政部门在履行监督检查职责时，发现被传染病病原体污染的公共饮用水源、食品以及相关物品，如不及时采取控制措施可能导致传染病传播、流行的，可以采取封闭公共饮用水源、封存食品以及相关物品或者暂停销售的临时控制措施，并予以检验或者进行消毒。经检验，属于被污染的食品，应当予以销毁；对未被污染的食品或者经消毒后可以使用的物品，应当解除控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卫生行政部门工作人员依法执行职务时，应当不少于两人，并出示执法证件，填写卫生执法文书。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卫生执法文书经核对无误后，应当由卫生执法人员和当事人签名。当事人拒绝签名的，卫生执法人员应当注明情况。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卫生行政部门应当依法建立健全内部监督制度，对其工作人员依据法定职权和程序履行职责的情况进行监督。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上级卫生行政部门发现下级卫生行政部门不及时处理职责范围内的事项或者不履行职责的，应当责令纠正或者直接予以处理。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卫生行政部门及其工作人员履行职责，应当自觉接受社会和公民的监督。单位和个人有权向上级人民政府及其卫生行政部门举报违反本法的行为。接到举报的有关人民政府或者其卫生行政部门，应当及时调查处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保障措施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国家将传染病防治工作纳入国民经济和社会发展计划，县级以上地方人民政府将传染病防治工作纳入本行政区域的国民经济和社会发展计划。</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县级以上地方人民政府按照本级政府职责负责本行政区域内传染病预防、控制、监督工作的日常经费。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国务院卫生行政部门会同国务院有关部门，根据传染病流行趋势，确定全国传染病预防、控制、救治、监测、预测、预警、监督检查等项目。中央财政对困难地区实施重大传染病防治项目给予补助。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省、自治区、直辖市人民政府根据本行政区域内传染病流行趋势，在国务院卫生行政部门确定的项目范围内，确定传染病预防、控制、监督等项目，并保障项目的实施经费。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国家加强基层传染病防治体系建设，扶持贫困地区和少数民族地区的传染病防治工作。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地方各级人民政府应当保障城市社区、农村基层传染病预防工作的经费。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国家对患有特定传染病的困难人群实行医疗救助，减免医疗费用。具体办法由国务院卫生行政部门会同国务院财政部门等部门制定。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县级以上人民政府负责储备防治传染病的药品、医疗器械和其他物资，以备调用。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对从事传染病预防、医疗、科研、教学、现场处理疫情的人员，以及在生产、工作中接触传染病病原体的其他人员，有关单位应当按照国家规定，采取有效的卫生防护措施和医疗保健措施，并给予适当的津贴。</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第八章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地方各级人民政府未依照本法的规定履行报告职责，或者隐瞒、谎报、缓报传染病疫情，或者在传染病暴发、流行时，未及时组织救治、采取控制措施的，由上级人民政府责令改正，通报批评；造成传染病传播、流行或者其他严重后果的，对负有责任的主管人员，依法给予行政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县级以上人民政府卫生行政部门违反本法规定，有下列情形之一的，由本级人民政府、上级人民政府卫生行政部门责令改正，通报批评；造成传染病传播、流行或者其他严重后果的，对负有责任的主管人员和其他直接责任人员，依法给予行政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（一）未依法履行传染病疫情通报、报告或者公布职责，或者隐瞒、谎报、缓报传染病疫情的；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（二）发生或者可能发生传染病传播时未及时采取预防、控制措施的；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（三）未依法履行监督检查职责，或者发现违法行为不及时查处的；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（四）未及时调查、处理单位和个人对下级卫生行政部门不履行传染病防治职责的举报的；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（五）违反本法的其他失职、渎职行为。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县级以上人民政府有关部门未依照本法的规定履行传染病防治和保障职责的，由本级人民政府或者上级人民政府有关部门责令改正，通报批评；造成传染病传播、流行或者其他严重后果的，对负有责任的主管人员和其他直接责任人员，依法给予行政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（一）未依法履行传染病监测职责的；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（二）未依法履行传染病疫情报告、通报职责，或者隐瞒、谎报、缓报传染病疫情的；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（三）未主动收集传染病疫情信息，或者对传染病疫情信息和疫情报告未及时进行分析、调查、核实的；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（四）发现传染病疫情时，未依据职责及时采取本法规定的措施的；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（五）故意泄露传染病病人、病原携带者、疑似传染病病人、密切接触者涉及个人隐私的有关信息、资料的。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（一）未按照规定承担本单位的传染病预防、控制工作、医院感染控制任务和责任区域内的传染病预防工作的；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（二）未按照规定报告传染病疫情，或者隐瞒、谎报、缓报传染病疫情的；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（三）发现传染病疫情时，未按照规定对传染病病人、疑似传染病病人提供医疗救护、现场救援、接诊、转诊的，或者拒绝接受转诊的；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（四）未按照规定对本单位内被传染病病原体污染的场所、物品以及医疗废物实施消毒或者无害化处置的；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（五）未按照规定对医疗器械进行消毒，或者对按照规定一次使用的医疗器具未予销毁，再次使用的；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（六）在医疗救治过程中未按照规定保管医学记录资料的；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（七）故意泄露传染病病人、病原携带者、疑似传染病病人、密切接触者涉及个人隐私的有关信息、资料的。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采供血机构未按照规定报告传染病疫情，或者隐瞒、谎报、缓报传染病疫情，或者未执行国家有关规定，导致因输入血液引起经血液传播疾病发生的，由县级以上人民政府卫生行政部门责令改正，通报批评，给予警告；造成传染病传播、流行或者其他严重后果的，对负有责任的主管人员和其他直接责任人员，依法给予降级、撤职、开除的处分，并可以依法吊销采供血机构的执业许可证；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非法采集血液或者组织他人出卖血液的，由县级以上人民政府卫生行政部门予以取缔，没收违法所得，可以并处十万元以下的罚款；构成犯罪的，依法追究刑事责任。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Arial"/>
          <w:kern w:val="0"/>
          <w:szCs w:val="32"/>
        </w:rPr>
        <w:t>　国境卫生检疫机关、动物防疫机构未依法履行传染病疫情通报职责的，由有关部门在各自职责范围内责令改正，通报批评；造成传染病传播、流行或者其他严重后果的，对负有责任的主管人员和其他直接责任人员，依法给予降级、撤职、开除的处分；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第七十二条</w:t>
      </w:r>
      <w:r>
        <w:rPr>
          <w:rFonts w:hint="eastAsia" w:ascii="宋体" w:hAnsi="宋体" w:cs="Arial"/>
          <w:kern w:val="0"/>
          <w:szCs w:val="32"/>
        </w:rPr>
        <w:t>　铁路、交通、民用航空经营单位未依照本法的规定优先运送处理传染病疫情的人员以及防治传染病的药品和医疗器械的，由有关部门责令限期改正，给予警告；造成严重后果的，对负有责任的主管人员和其他直接责任人员，依法给予降级、撤职、开除的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第七十三条</w:t>
      </w:r>
      <w:r>
        <w:rPr>
          <w:rFonts w:hint="eastAsia" w:ascii="宋体" w:hAnsi="宋体" w:cs="Arial"/>
          <w:kern w:val="0"/>
          <w:szCs w:val="32"/>
        </w:rPr>
        <w:t>　违反本法规定，有下列情形之一，导致或者可能导致传染病传播、流行的，由县级以上人民政府卫生行政部门责令限期改正，没收违法所得，可以并处五万元以下的罚款；已取得许可证的，原发证部门可以依法暂扣或者吊销许可证；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（一）饮用水供水单位供应的饮用水不符合国家卫生标准和卫生规范的；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（二）涉及饮用水卫生安全的产品不符合国家卫生标准和卫生规范的；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（三）用于传染病防治的消毒产品不符合国家卫生标准和卫生规范的；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（四）出售、运输疫区中被传染病病原体污染或者可能被传染病病原体污染的物品，未进行消毒处理的；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（五）生物制品生产单位生产的血液制品不符合国家质量标准的。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第七十四条</w:t>
      </w:r>
      <w:r>
        <w:rPr>
          <w:rFonts w:hint="eastAsia" w:ascii="宋体" w:hAnsi="宋体" w:cs="Arial"/>
          <w:kern w:val="0"/>
          <w:szCs w:val="32"/>
        </w:rPr>
        <w:t>　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（一）疾病预防控制机构、医疗机构和从事病原微生物实验的单位，不符合国家规定的条件和技术标准，对传染病病原体样本未按照规定进行严格管理，造成实验室感染和病原微生物扩散的；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（二）违反国家有关规定，采集、保藏、携带、运输和使用传染病菌种、毒种和传染病检测样本的；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（三）疾病预防控制机构、医疗机构未执行国家有关规定，导致因输入血液、使用血液制品引起经血液传播疾病发生的。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第七十五条</w:t>
      </w:r>
      <w:r>
        <w:rPr>
          <w:rFonts w:hint="eastAsia" w:ascii="宋体" w:hAnsi="宋体" w:cs="Arial"/>
          <w:kern w:val="0"/>
          <w:szCs w:val="32"/>
        </w:rPr>
        <w:t>　未经检疫出售、运输与人畜共患传染病有关的野生动物、家畜家禽的，由县级以上地方人民政府畜牧兽医行政部门责令停止违法行为，并依法给予行政处罚。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第七十六条</w:t>
      </w:r>
      <w:r>
        <w:rPr>
          <w:rFonts w:hint="eastAsia" w:ascii="宋体" w:hAnsi="宋体" w:cs="Arial"/>
          <w:kern w:val="0"/>
          <w:szCs w:val="32"/>
        </w:rPr>
        <w:t>　在国家确认的自然疫源地兴建水利、交通、旅游、能源等大型建设项目，未经卫生调查进行施工的，或者未按照疾病预防控制机构的意见采取必要的传染病预防、控制措施的，由县级以上人民政府卫生行政部门责令限期改正，给予警告，处五千元以上三万元以下的罚款；逾期不改正的，处三万元以上十万元以下的罚款，并可以提请有关人民政府依据职责权限，责令停建、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第七十七条</w:t>
      </w:r>
      <w:r>
        <w:rPr>
          <w:rFonts w:hint="eastAsia" w:ascii="宋体" w:hAnsi="宋体" w:cs="Arial"/>
          <w:kern w:val="0"/>
          <w:szCs w:val="32"/>
        </w:rPr>
        <w:t>　单位和个人违反本法规定，导致传染病传播、流行，给他人人身、财产造成损害的，应当依法承担民事责任。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第九章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第七十八条</w:t>
      </w:r>
      <w:r>
        <w:rPr>
          <w:rFonts w:hint="eastAsia" w:ascii="宋体" w:hAnsi="宋体" w:cs="Arial"/>
          <w:kern w:val="0"/>
          <w:szCs w:val="32"/>
        </w:rPr>
        <w:t>　本法中下列用语的含义: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（一）传染病病人、疑似传染病病人:指根据国务院卫生行政部门发布的《中华人民共和国传染病防治法规定管理的传染病诊断标准》，符合传染病病人和疑似传染病病人诊断标准的人。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（二）病原携带者:指感染病原体无临床症状但能排出病原体的人。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（三）流行病学调查:指对人群中疾病或者健康状况的分布及其决定因素进行调查研究，提出疾病预防控制措施及保健对策。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（四）疫点:指病原体从传染源向周围播散的范围较小或者单个疫源地。</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（五）疫区:指传染病在人群中暴发、流行，其病原体向周围播散时所能波及的地区。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（六）人畜共患传染病:指人与脊椎动物共同罹患的传染病，如鼠疫、狂犬病、血吸虫病等。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（七）自然疫源地:指某些可引起人类传染病的病原体在自然界的野生动物中长期存在和循环的地区。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（八）病媒生物:指能够将病原体从人或者其他动物传播给人的生物，如蚊、蝇、蚤类等。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（九）医源性感染:指在医学服务中，因病原体传播引起的感染。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（十一）实验室感染:指从事实验室工作时，因接触病原体所致的感染。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（十二）菌种、毒种:指可能引起本法规定的传染病发生的细菌菌种、病毒毒种。</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（十三）消毒:指用化学、物理、生物的方法杀灭或者消除环境中的病原微生物。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（十四）疾病预防控制机构:指从事疾病预防控制活动的疾病预防控制中心以及与上述机构业务活动相同的单位。</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（十五）医疗机构:指按照《医疗机构管理条例》取得医疗机构执业许可证，从事疾病诊断、治疗活动的机构。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第七十九条</w:t>
      </w:r>
      <w:r>
        <w:rPr>
          <w:rFonts w:hint="eastAsia" w:ascii="宋体" w:hAnsi="宋体" w:cs="Arial"/>
          <w:kern w:val="0"/>
          <w:szCs w:val="32"/>
        </w:rPr>
        <w:t>　传染病防治中有关食品、药品、血液、水、医疗废物和病原微生物的管理以及动物防疫和国境卫生检疫，本法未规定的，分别适用其他有关法律、行政法规的规定。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第八十条</w:t>
      </w:r>
      <w:r>
        <w:rPr>
          <w:rFonts w:hint="eastAsia" w:ascii="宋体" w:hAnsi="宋体" w:cs="Arial"/>
          <w:kern w:val="0"/>
          <w:szCs w:val="32"/>
        </w:rPr>
        <w:t>　本法自2004年12月1日起施行。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1" w:name="_Toc13757"/>
      <w:r>
        <w:rPr>
          <w:rFonts w:hint="eastAsia" w:ascii="宋体" w:hAnsi="宋体" w:eastAsia="宋体" w:cs="宋体"/>
          <w:kern w:val="0"/>
          <w:sz w:val="44"/>
          <w:szCs w:val="44"/>
        </w:rPr>
        <w:t>中华人民共和国突发事件应对法</w:t>
      </w:r>
      <w:bookmarkEnd w:id="1"/>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44"/>
          <w:szCs w:val="44"/>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（2007年8月30日第十届全国人民代表大会常务委员会第二十九次会议通过）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二章　预防与应急准备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三章　监测与预警</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四章　应急处置与救援</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五章　事后恢复与重建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六章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七章　附则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一条</w:t>
      </w:r>
      <w:r>
        <w:rPr>
          <w:rFonts w:hint="eastAsia" w:ascii="宋体" w:hAnsi="宋体" w:cs="Arial"/>
          <w:kern w:val="0"/>
          <w:szCs w:val="32"/>
        </w:rPr>
        <w:t>　为了预防和减少突发事件的发生，控制、减轻和消除突发事件引起的严重社会危害，规范突发事件应对活动，保护人民生命财产安全，维护国家安全、公共安全、环境安全和社会秩序，制定本法。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二条</w:t>
      </w:r>
      <w:r>
        <w:rPr>
          <w:rFonts w:hint="eastAsia" w:ascii="宋体" w:hAnsi="宋体" w:cs="Arial"/>
          <w:kern w:val="0"/>
          <w:szCs w:val="32"/>
        </w:rPr>
        <w:t>　突发事件的预防与应急准备、监测与预警、应急处置与救援、事后恢复与重建等应对活动，适用本法。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三条</w:t>
      </w:r>
      <w:r>
        <w:rPr>
          <w:rFonts w:hint="eastAsia" w:ascii="宋体" w:hAnsi="宋体" w:cs="Arial"/>
          <w:kern w:val="0"/>
          <w:szCs w:val="32"/>
        </w:rPr>
        <w:t>　本法所称突发事件，是指突然发生，造成或者可能造成严重社会危害，需要采取应急处置措施予以应对的自然灾害、事故灾难、公共卫生事件和社会安全事件。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按照社会危害程度、影响范围等因素，自然灾害、事故灾难、公共卫生事件分为特别重大、重大、较大和一般四级。法律、行政法规或者国务院另有规定的，从其规定。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突发事件的分级标准由国务院或者国务院确定的部门制定。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四条</w:t>
      </w:r>
      <w:r>
        <w:rPr>
          <w:rFonts w:hint="eastAsia" w:ascii="宋体" w:hAnsi="宋体" w:cs="Arial"/>
          <w:kern w:val="0"/>
          <w:szCs w:val="32"/>
        </w:rPr>
        <w:t>　国家建立统一领导、综合协调、分类管理、分级负责、属地管理为主的应急管理体制。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五条</w:t>
      </w:r>
      <w:r>
        <w:rPr>
          <w:rFonts w:hint="eastAsia" w:ascii="宋体" w:hAnsi="宋体" w:cs="Arial"/>
          <w:kern w:val="0"/>
          <w:szCs w:val="32"/>
        </w:rPr>
        <w:t>　突发事件应对工作实行预防为主、预防与应急相结合的原则。国家建立重大突发事件风险评估体系，对可能发生的突发事件进行综合性评估，减少重大突发事件的发生，最大限度地减轻重大突发事件的影响。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六条</w:t>
      </w:r>
      <w:r>
        <w:rPr>
          <w:rFonts w:hint="eastAsia" w:ascii="宋体" w:hAnsi="宋体" w:cs="Arial"/>
          <w:kern w:val="0"/>
          <w:szCs w:val="32"/>
        </w:rPr>
        <w:t>　国家建立有效的社会动员机制，增强全民的公共安全和防范风险的意识，提高全社会的避险救助能力。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七条</w:t>
      </w:r>
      <w:r>
        <w:rPr>
          <w:rFonts w:hint="eastAsia" w:ascii="宋体" w:hAnsi="宋体" w:cs="Arial"/>
          <w:kern w:val="0"/>
          <w:szCs w:val="32"/>
        </w:rPr>
        <w:t>　县级人民政府对本行政区域内突发事件的应对工作负责；涉及两个以上行政区域的，由有关行政区域共同的上一级人民政府负责，或者由各有关行政区域的上一级人民政府共同负责。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突发事件发生后，发生地县级人民政府应当立即采取措施控制事态发展，组织开展应急救援和处置工作，并立即向上一级人民政府报告，必要时可以越级上报。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突发事件发生地县级人民政府不能消除或者不能有效控制突发事件引起的严重社会危害的，应当及时向上级人民政府报告。上级人民政府应当及时采取措施，统一领导应急处置工作。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法律、行政法规规定由国务院有关部门对突发事件的应对工作负责的，从其规定；地方人民政府应当积极配合并提供必要的支持。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八条</w:t>
      </w:r>
      <w:r>
        <w:rPr>
          <w:rFonts w:hint="eastAsia" w:ascii="宋体" w:hAnsi="宋体" w:cs="Arial"/>
          <w:kern w:val="0"/>
          <w:szCs w:val="32"/>
        </w:rPr>
        <w:t>　国务院在总理领导下研究、决定和部署特别重大突发事件的应对工作；根据实际需要，设立国家突发事件应急指挥机构，负责突发事件应对工作；必要时，国务院可以派出工作组指导有关工作。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设立由本级人民政府主要负责人、相关部门负责人、驻当地中国人民解放军和中国人民武装警察部队有关负责人组成的突发事件应急指挥机构，统一领导、协调本级人民政府各有关部门和下级人民政府开展突发事件应对工作；根据实际需要，设立相关类别突发事件应急指挥机构，组织、协调、指挥突发事件应对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上级人民政府主管部门应当在各自职责范围内，指导、协助下级人民政府及其相应部门做好有关突发事件的应对工作。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九条</w:t>
      </w:r>
      <w:r>
        <w:rPr>
          <w:rFonts w:hint="eastAsia" w:ascii="宋体" w:hAnsi="宋体" w:cs="Arial"/>
          <w:kern w:val="0"/>
          <w:szCs w:val="32"/>
        </w:rPr>
        <w:t>　国务院和县级以上地方各级人民政府是突发事件应对工作的行政领导机关，其办事机构及具体职责由国务院规定。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十条</w:t>
      </w:r>
      <w:r>
        <w:rPr>
          <w:rFonts w:hint="eastAsia" w:ascii="宋体" w:hAnsi="宋体" w:cs="Arial"/>
          <w:kern w:val="0"/>
          <w:szCs w:val="32"/>
        </w:rPr>
        <w:t>　有关人民政府及其部门作出的应对突发事件的决定、命令，应当及时公布。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十一条</w:t>
      </w:r>
      <w:r>
        <w:rPr>
          <w:rFonts w:hint="eastAsia" w:ascii="宋体" w:hAnsi="宋体" w:cs="Arial"/>
          <w:kern w:val="0"/>
          <w:szCs w:val="32"/>
        </w:rPr>
        <w:t>　有关人民政府及其部门采取的应对突发事件的措施，应当与突发事件可能造成的社会危害的性质、程度和范围相适应；有多种措施可供选择的，应当选择有利于最大程度地保护公民、法人和其他组织权益的措施。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公民、法人和其他组织有义务参与突发事件应对工作。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十二条</w:t>
      </w:r>
      <w:r>
        <w:rPr>
          <w:rFonts w:hint="eastAsia" w:ascii="宋体" w:hAnsi="宋体" w:cs="Arial"/>
          <w:kern w:val="0"/>
          <w:szCs w:val="32"/>
        </w:rPr>
        <w:t>　有关人民政府及其部门为应对突发事件，可以征用单位和个人的财产。被征用的财产在使用完毕或者突发事件应急处置工作结束后，应当及时返还。财产被征用或者征用后毁损、灭失的，应当给予补偿。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十三条</w:t>
      </w:r>
      <w:r>
        <w:rPr>
          <w:rFonts w:hint="eastAsia" w:ascii="宋体" w:hAnsi="宋体" w:cs="Arial"/>
          <w:kern w:val="0"/>
          <w:szCs w:val="32"/>
        </w:rPr>
        <w:t>　因采取突发事件应对措施，诉讼、行政复议、仲裁活动不能正常进行的，适用有关时效中止和程序中止的规定，但法律另有规定的除外。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十四条</w:t>
      </w:r>
      <w:r>
        <w:rPr>
          <w:rFonts w:hint="eastAsia" w:ascii="宋体" w:hAnsi="宋体" w:cs="Arial"/>
          <w:kern w:val="0"/>
          <w:szCs w:val="32"/>
        </w:rPr>
        <w:t>　中国人民解放军、中国人民武装警察部队和民兵组织依照本法和其他有关法律、行政法规、军事法规的规定以及国务院、中央军事委员会的命令，参加突发事件的应急救援和处置工作。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十五条</w:t>
      </w:r>
      <w:r>
        <w:rPr>
          <w:rFonts w:hint="eastAsia" w:ascii="宋体" w:hAnsi="宋体" w:cs="Arial"/>
          <w:kern w:val="0"/>
          <w:szCs w:val="32"/>
        </w:rPr>
        <w:t>　中华人民共和国政府在突发事件的预防、监测与预警、应急处置与救援、事后恢复与重建等方面，同外国政府和有关国际组织开展合作与交流。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十六条</w:t>
      </w:r>
      <w:r>
        <w:rPr>
          <w:rFonts w:hint="eastAsia" w:ascii="宋体" w:hAnsi="宋体" w:cs="Arial"/>
          <w:kern w:val="0"/>
          <w:szCs w:val="32"/>
        </w:rPr>
        <w:t>　县级以上人民政府作出应对突发事件的决定、命令，应当报本级人民代表大会常务委员会备案；突发事件应急处置工作结束后，应当向本级人民代表大会常务委员会作出专项工作报告。</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预防与应急准备</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十七条</w:t>
      </w:r>
      <w:r>
        <w:rPr>
          <w:rFonts w:hint="eastAsia" w:ascii="宋体" w:hAnsi="宋体" w:cs="Arial"/>
          <w:kern w:val="0"/>
          <w:szCs w:val="32"/>
        </w:rPr>
        <w:t>　国家建立健全突发事件应急预案体系。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国务院制定国家突发事件总体应急预案，组织制定国家突发事件专项应急预案；国务院有关部门根据各自的职责和国务院相关应急预案，制定国家突发事件部门应急预案。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地方各级人民政府和县级以上地方各级人民政府有关部门根据有关法律、法规、规章、上级人民政府及其有关部门的应急预案以及本地区的实际情况，制定相应的突发事件应急预案。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应急预案制定机关应当根据实际需要和情势变化，适时修订应急预案。应急预案的制定、修订程序由国务院规定。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十八条</w:t>
      </w:r>
      <w:r>
        <w:rPr>
          <w:rFonts w:hint="eastAsia" w:ascii="宋体" w:hAnsi="宋体" w:cs="Arial"/>
          <w:kern w:val="0"/>
          <w:szCs w:val="32"/>
        </w:rPr>
        <w:t>　应急预案应当根据本法和其他有关法律、法规的规定，针对突发事件的性质、特点和可能造成的社会危害，具体规定突发事件应急管理工作的组织指挥体系与职责和突发事件的预防与预警机制、处置程序、应急保障措施以及事后恢复与重建措施等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十九条</w:t>
      </w:r>
      <w:r>
        <w:rPr>
          <w:rFonts w:hint="eastAsia" w:ascii="宋体" w:hAnsi="宋体" w:cs="Arial"/>
          <w:kern w:val="0"/>
          <w:szCs w:val="32"/>
        </w:rPr>
        <w:t>　城乡规划应当符合预防、处置突发事件的需要，统筹安排应对突发事件所必需的设备和基础设施建设，合理确定应急避难场所。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二十条</w:t>
      </w:r>
      <w:r>
        <w:rPr>
          <w:rFonts w:hint="eastAsia" w:ascii="宋体" w:hAnsi="宋体" w:cs="Arial"/>
          <w:kern w:val="0"/>
          <w:szCs w:val="32"/>
        </w:rPr>
        <w:t>　县级人民政府应当对本行政区域内容易引发自然灾害、事故灾难和公共卫生事件的危险源、危险区域进行调查、登记、风险评估，定期进行检查、监控，并责令有关单位采取安全防范措施。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省级和设区的市级人民政府应当对本行政区域内容易引发特别重大、重大突发事件的危险源、危险区域进行调查、登记、风险评估，组织进行检查、监控，并责令有关单位采取安全防范措施。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县级以上地方各级人民政府按照本法规定登记的危险源、危险区域，应当按照国家规定及时向社会公布。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二十一条</w:t>
      </w:r>
      <w:r>
        <w:rPr>
          <w:rFonts w:hint="eastAsia" w:ascii="宋体" w:hAnsi="宋体" w:cs="Arial"/>
          <w:kern w:val="0"/>
          <w:szCs w:val="32"/>
        </w:rPr>
        <w:t>　县级人民政府及其有关部门、乡级人民政府、街道办事处、居民委员会、村民委员会应当及时调解处理可能引发社会安全事件的矛盾纠纷。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二十二条</w:t>
      </w:r>
      <w:r>
        <w:rPr>
          <w:rFonts w:hint="eastAsia" w:ascii="宋体" w:hAnsi="宋体" w:cs="Arial"/>
          <w:kern w:val="0"/>
          <w:szCs w:val="32"/>
        </w:rPr>
        <w:t>　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二十三条</w:t>
      </w:r>
      <w:r>
        <w:rPr>
          <w:rFonts w:hint="eastAsia" w:ascii="宋体" w:hAnsi="宋体" w:cs="Arial"/>
          <w:kern w:val="0"/>
          <w:szCs w:val="32"/>
        </w:rPr>
        <w:t>　矿山、建筑施工单位和易燃易爆物品、危险化学品、放射性物品等危险物品的生产、经营、储运、使用单位，应当制定具体应急预案，并对生产经营场所、有危险物品的建筑物、构筑物及周边环境开展隐患排查，及时采取措施消除隐患，防止发生突发事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二十四条</w:t>
      </w:r>
      <w:r>
        <w:rPr>
          <w:rFonts w:hint="eastAsia" w:ascii="宋体" w:hAnsi="宋体" w:cs="Arial"/>
          <w:kern w:val="0"/>
          <w:szCs w:val="32"/>
        </w:rPr>
        <w:t>　公共交通工具、公共场所和其他人员密集场所的经营单位或者管理单位应当制定具体应急预案，为交通工具和有关场所配备报警装置和必要的应急救援设备、设施，注明其使用方法，并显著标明安全撤离的通道、路线，保证安全通道、出口的畅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有关单位应当定期检测、维护其报警装置和应急救援设备、设施，使其处于良好状态，确保正常使用。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二十五条</w:t>
      </w:r>
      <w:r>
        <w:rPr>
          <w:rFonts w:hint="eastAsia" w:ascii="宋体" w:hAnsi="宋体" w:cs="Arial"/>
          <w:kern w:val="0"/>
          <w:szCs w:val="32"/>
        </w:rPr>
        <w:t>　县级以上人民政府应当建立健全突发事件应急管理培训制度，对人民政府及其有关部门负有处置突发事件职责的工作人员定期进行培训。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二十六条</w:t>
      </w:r>
      <w:r>
        <w:rPr>
          <w:rFonts w:hint="eastAsia" w:ascii="宋体" w:hAnsi="宋体" w:cs="Arial"/>
          <w:kern w:val="0"/>
          <w:szCs w:val="32"/>
        </w:rPr>
        <w:t>　县级以上人民政府应当整合应急资源，建立或者确定综合性应急救援队伍。人民政府有关部门可以根据实际需要设立专业应急救援队伍。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县级以上人民政府及其有关部门可以建立由成年志愿者组成的应急救援队伍。单位应当建立由本单位职工组成的专职或者兼职应急救援队伍。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县级以上人民政府应当加强专业应急救援队伍与非专业应急救援队伍的合作，联合培训、联合演练，提高合成应急、协同应急的能力。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二十七条</w:t>
      </w:r>
      <w:r>
        <w:rPr>
          <w:rFonts w:hint="eastAsia" w:ascii="宋体" w:hAnsi="宋体" w:cs="Arial"/>
          <w:kern w:val="0"/>
          <w:szCs w:val="32"/>
        </w:rPr>
        <w:t>　国务院有关部门、县级以上地方各级人民政府及其有关部门、有关单位应当为专业应急救援人员购买人身意外伤害保险，配备必要的防护装备和器材，减少应急救援人员的人身风险。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二十八条</w:t>
      </w:r>
      <w:r>
        <w:rPr>
          <w:rFonts w:hint="eastAsia" w:ascii="宋体" w:hAnsi="宋体" w:cs="Arial"/>
          <w:kern w:val="0"/>
          <w:szCs w:val="32"/>
        </w:rPr>
        <w:t>　中国人民解放军、中国人民武装警察部队和民兵组织应当有计划地组织开展应急救援的专门训练。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二十九条</w:t>
      </w:r>
      <w:r>
        <w:rPr>
          <w:rFonts w:hint="eastAsia" w:ascii="宋体" w:hAnsi="宋体" w:cs="Arial"/>
          <w:kern w:val="0"/>
          <w:szCs w:val="32"/>
        </w:rPr>
        <w:t>　县级人民政府及其有关部门、乡级人民政府、街道办事处应当组织开展应急知识的宣传普及活动和必要的应急演练。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居民委员会、村民委员会、企业事业单位应当根据所在地人民政府的要求，结合各自的实际情况，开展有关突发事件应急知识的宣传普及活动和必要的应急演练。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新闻媒体应当无偿开展突发事件预防与应急、自救与互救知识的公益宣传。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三十条</w:t>
      </w:r>
      <w:r>
        <w:rPr>
          <w:rFonts w:hint="eastAsia" w:ascii="宋体" w:hAnsi="宋体" w:cs="Arial"/>
          <w:kern w:val="0"/>
          <w:szCs w:val="32"/>
        </w:rPr>
        <w:t>　各级各类学校应当把应急知识教育纳入教学内容，对学生进行应急知识教育，培养学生的安全意识和自救与互救能力。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教育主管部门应当对学校开展应急知识教育进行指导和监督。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三十一条</w:t>
      </w:r>
      <w:r>
        <w:rPr>
          <w:rFonts w:hint="eastAsia" w:ascii="宋体" w:hAnsi="宋体" w:cs="Arial"/>
          <w:kern w:val="0"/>
          <w:szCs w:val="32"/>
        </w:rPr>
        <w:t>　国务院和县级以上地方各级人民政府应当采取财政措施，保障突发事件应对工作所需经费。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三十二条</w:t>
      </w:r>
      <w:r>
        <w:rPr>
          <w:rFonts w:hint="eastAsia" w:ascii="宋体" w:hAnsi="宋体" w:cs="Arial"/>
          <w:kern w:val="0"/>
          <w:szCs w:val="32"/>
        </w:rPr>
        <w:t>　国家建立健全应急物资储备保障制度，完善重要应急物资的监管、生产、储备、调拨和紧急配送体系。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设区的市级以上人民政府和突发事件易发、多发地区的县级人民政府应当建立应急救援物资、生活必需品和应急处置装备的储备制度。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县级以上地方各级人民政府应当根据本地区的实际情况，与有关企业签订协议，保障应急救援物资、生活必需品和应急处置装备的生产、供给。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三十三条</w:t>
      </w:r>
      <w:r>
        <w:rPr>
          <w:rFonts w:hint="eastAsia" w:ascii="宋体" w:hAnsi="宋体" w:cs="Arial"/>
          <w:kern w:val="0"/>
          <w:szCs w:val="32"/>
        </w:rPr>
        <w:t>　国家建立健全应急通信保障体系，完善公用通信网，建立有线与无线相结合、基础电信网络与机动通信系统相配套的应急通信系统，确保突发事件应对工作的通信畅通。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三十四条</w:t>
      </w:r>
      <w:r>
        <w:rPr>
          <w:rFonts w:hint="eastAsia" w:ascii="宋体" w:hAnsi="宋体" w:cs="Arial"/>
          <w:kern w:val="0"/>
          <w:szCs w:val="32"/>
        </w:rPr>
        <w:t>　国家鼓励公民、法人和其他组织为人民政府应对突发事件工作提供物资、资金、技术支持和捐赠。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三十五条</w:t>
      </w:r>
      <w:r>
        <w:rPr>
          <w:rFonts w:hint="eastAsia" w:ascii="宋体" w:hAnsi="宋体" w:cs="Arial"/>
          <w:kern w:val="0"/>
          <w:szCs w:val="32"/>
        </w:rPr>
        <w:t>　国家发展保险事业，建立国家财政支持的巨灾风险保险体系，并鼓励单位和公民参加保险。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三十六条</w:t>
      </w:r>
      <w:r>
        <w:rPr>
          <w:rFonts w:hint="eastAsia" w:ascii="宋体" w:hAnsi="宋体" w:cs="Arial"/>
          <w:kern w:val="0"/>
          <w:szCs w:val="32"/>
        </w:rPr>
        <w:t>　国家鼓励、扶持具备相应条件的教学科研机构培养应急管理专门人才，鼓励、扶持教学科研机构和有关企业研究开发用于突发事件预防、监测、预警、应急处置与救援的新技术、新设备和新工具。</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监测与预警</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三十七条</w:t>
      </w:r>
      <w:r>
        <w:rPr>
          <w:rFonts w:hint="eastAsia" w:ascii="宋体" w:hAnsi="宋体" w:cs="Arial"/>
          <w:kern w:val="0"/>
          <w:szCs w:val="32"/>
        </w:rPr>
        <w:t>　国务院建立全国统一的突发事件信息系统。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应当建立或者确定本地区统一的突发事件信息系统，汇集、储存、分析、传输有关突发事件的信息，并与上级人民政府及其有关部门、下级人民政府及其有关部门、专业机构和监测网点的突发事件信息系统实现互联互通，加强跨部门、跨地区的信息交流与情报合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三十八条</w:t>
      </w:r>
      <w:r>
        <w:rPr>
          <w:rFonts w:hint="eastAsia" w:ascii="宋体" w:hAnsi="宋体" w:cs="Arial"/>
          <w:kern w:val="0"/>
          <w:szCs w:val="32"/>
        </w:rPr>
        <w:t>　县级以上人民政府及其有关部门、专业机构应当通过多种途径收集突发事件信息。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县级人民政府应当在居民委员会、村民委员会和有关单位建立专职或者兼职信息报告员制度。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获悉突发事件信息的公民、法人或者其他组织，应当立即向所在地人民政府、有关主管部门或者指定的专业机构报告。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三十九条</w:t>
      </w:r>
      <w:r>
        <w:rPr>
          <w:rFonts w:hint="eastAsia" w:ascii="宋体" w:hAnsi="宋体" w:cs="Arial"/>
          <w:kern w:val="0"/>
          <w:szCs w:val="32"/>
        </w:rPr>
        <w:t>　地方各级人民政府应当按照国家有关规定向上级人民政府报送突发事件信息。县级以上人民政府有关主管部门应当向本级人民政府相关部门通报突发事件信息。专业机构、监测网点和信息报告员应当及时向所在地人民政府及其有关主管部门报告突发事件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有关单位和人员报送、报告突发事件信息，应当做到及时、客观、真实，不得迟报、谎报、瞒报、漏报。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四十条</w:t>
      </w:r>
      <w:r>
        <w:rPr>
          <w:rFonts w:hint="eastAsia" w:ascii="宋体" w:hAnsi="宋体" w:cs="Arial"/>
          <w:kern w:val="0"/>
          <w:szCs w:val="32"/>
        </w:rPr>
        <w:t>　县级以上地方各级人民政府应当及时汇总分析突发事件隐患和预警信息，必要时组织相关部门、专业技术人员、专家学者进行会商，对发生突发事件的可能性及其可能造成的影响进行评估；认为可能发生重大或者特别重大突发事件的，应当立即向上级人民政府报告，并向上级人民政府有关部门、当地驻军和可能受到危害的毗邻或者相关地区的人民政府通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四十一条</w:t>
      </w:r>
      <w:r>
        <w:rPr>
          <w:rFonts w:hint="eastAsia" w:ascii="宋体" w:hAnsi="宋体" w:cs="Arial"/>
          <w:kern w:val="0"/>
          <w:szCs w:val="32"/>
        </w:rPr>
        <w:t>　国家建立健全突发事件监测制度。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及其有关部门应当根据自然灾害、事故灾难和公共卫生事件的种类和特点，建立健全基础信息数据库，完善监测网络，划分监测区域，确定监测点，明确监测项目，提供必要的设备、设施，配备专职或者兼职人员，对可能发生的突发事件进行监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四十二条</w:t>
      </w:r>
      <w:r>
        <w:rPr>
          <w:rFonts w:hint="eastAsia" w:ascii="宋体" w:hAnsi="宋体" w:cs="Arial"/>
          <w:kern w:val="0"/>
          <w:szCs w:val="32"/>
        </w:rPr>
        <w:t>　国家建立健全突发事件预警制度。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可以预警的自然灾害、事故灾难和公共卫生事件的预警级别，按照突发事件发生的紧急程度、发展势态和可能造成的危害程度分为一级、二级、三级和四级，分别用红色、橙色、黄色和蓝色标示，一级为最高级别。</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预警级别的划分标准由国务院或者国务院确定的部门制定。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四十三条</w:t>
      </w:r>
      <w:r>
        <w:rPr>
          <w:rFonts w:hint="eastAsia" w:ascii="宋体" w:hAnsi="宋体" w:cs="Arial"/>
          <w:kern w:val="0"/>
          <w:szCs w:val="32"/>
        </w:rPr>
        <w:t>　可以预警的自然灾害、事故灾难或者公共卫生事件即将发生或者发生的可能性增大时，县级以上地方各级人民政府应当根据有关法律、行政法规和国务院规定的权限和程序，发布相应级别的警报，决定并宣布有关地区进入预警期，同时向上一级人民政府报告，必要时可以越级上报，并向当地驻军和可能受到危害的毗邻或者相关地区的人民政府通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四十四条</w:t>
      </w:r>
      <w:r>
        <w:rPr>
          <w:rFonts w:hint="eastAsia" w:ascii="宋体" w:hAnsi="宋体" w:cs="Arial"/>
          <w:kern w:val="0"/>
          <w:szCs w:val="32"/>
        </w:rPr>
        <w:t>　发布三级、四级警报，宣布进入预警期后，县级以上地方各级人民政府应当根据即将发生的突发事件的特点和可能造成的危害，采取下列措施：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（一）启动应急预案；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（二）责令有关部门、专业机构、监测网点和负有特定职责的人员及时收集、报告有关信息，向社会公布反映突发事件信息</w:t>
      </w:r>
      <w:r>
        <w:rPr>
          <w:rFonts w:hint="eastAsia" w:ascii="宋体" w:hAnsi="宋体" w:cs="Arial"/>
          <w:spacing w:val="-6"/>
          <w:kern w:val="0"/>
          <w:szCs w:val="32"/>
        </w:rPr>
        <w:t>的渠道，加强对突发事件发生、发展情况的监测、预报和预警工作；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（三）组织有关部门和机构、专业技术人员、有关专家学者，随时对突发事件信息进行分析评估，预测发生突发事件可能性的大小、影响范围和强度以及可能发生的突发事件的级别；</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（四）定时向社会发布与公众有关的突发事件预测信息和分析评估结果，并对相关信息的报道工作进行管理；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（五）及时按照有关规定向社会发布可能受到突发事件危害的警告，宣传避免、减轻危害的常识，公布咨询电话。</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四十五条</w:t>
      </w:r>
      <w:r>
        <w:rPr>
          <w:rFonts w:hint="eastAsia" w:ascii="宋体" w:hAnsi="宋体" w:cs="Arial"/>
          <w:kern w:val="0"/>
          <w:szCs w:val="32"/>
        </w:rPr>
        <w:t>　发布一级、二级警报，宣布进入预警期后，县级以上地方各级人民政府除采取本法第四十四条　规定的措施外，还应当针对即将发生的突发事件的特点和可能造成的危害，采取下列一项或者多项措施：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（一）责令应急救援队伍、负有特定职责的人员进入待命状态，并动员后备人员做好参加应急救援和处置工作的准备；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（二）调集应急救援所需物资、设备、工具，准备应急设施和避难场所，并确保其处于良好状态、随时可以投入正常使用；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（三）加强对重点单位、重要部位和重要基础设施的安全保卫，维护社会治安秩序；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（四）采取必要措施，确保交通、通信、供水、排水、供电、供气、供热等公共设施的安全和正常运行；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（五）及时向社会发布有关采取特定措施避免或者减轻危害的建议、劝告；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（六）转移、疏散或者撤离易受突发事件危害的人员并予以妥善安置，转移重要财产；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（七）关闭或者限制使用易受突发事件危害的场所，控制或者限制容易导致危害扩大的公共场所的活动；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（八）法律、法规、规章规定的其他必要的防范性、保护性措施。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四十六条</w:t>
      </w:r>
      <w:r>
        <w:rPr>
          <w:rFonts w:hint="eastAsia" w:ascii="宋体" w:hAnsi="宋体" w:cs="Arial"/>
          <w:kern w:val="0"/>
          <w:szCs w:val="32"/>
        </w:rPr>
        <w:t>　对即将发生或者已经发生的社会安全事件，县级以上地方各级人民政府及其有关主管部门应当按照规定向上一级人民政府及其有关主管部门报告，必要时可以越级上报。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四十七条</w:t>
      </w:r>
      <w:r>
        <w:rPr>
          <w:rFonts w:hint="eastAsia" w:ascii="宋体" w:hAnsi="宋体" w:cs="Arial"/>
          <w:kern w:val="0"/>
          <w:szCs w:val="32"/>
        </w:rPr>
        <w:t>　发布突发事件警报的人民政府应当根据事态的发展，按照有关规定适时调整预警级别并重新发布。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有事实证明不可能发生突发事件或者危险已经解除的，发布警报的人民政府应当立即宣布解除警报，终止预警期，并解除已经采取的有关措施。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应急处置与救援</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四十八条</w:t>
      </w:r>
      <w:r>
        <w:rPr>
          <w:rFonts w:hint="eastAsia" w:ascii="宋体" w:hAnsi="宋体" w:cs="Arial"/>
          <w:kern w:val="0"/>
          <w:szCs w:val="32"/>
        </w:rPr>
        <w:t>　突发事件发生后，履行统一领导职责或者组织处置突发事件的人民政府应当针对其性质、特点和危害程度，立即组织有关部门，调动应急救援队伍和社会力量，依照本章的规定和有关法律、法规、规章的规定采取应急处置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四十九条</w:t>
      </w:r>
      <w:r>
        <w:rPr>
          <w:rFonts w:hint="eastAsia" w:ascii="宋体" w:hAnsi="宋体" w:cs="Arial"/>
          <w:kern w:val="0"/>
          <w:szCs w:val="32"/>
        </w:rPr>
        <w:t>　自然灾害、事故灾难或者公共卫生事件发生后，履行统一领导职责的人民政府可以采取下列一项或者多项应急处置措施：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（一）组织营救和救治受害人员，疏散、撤离并妥善安置受到威胁的人员以及采取其他救助措施；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（二）迅速控制危险源，标明危险区域，封锁危险场所，划定警戒区，实行交通管制以及其他控制措施；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（三）立即抢修被损坏的交通、通信、供水、排水、供电、供气、供热等公共设施，向受到危害的人员提供避难场所和生活必需品，实施医疗救护和卫生防疫以及其他保障措施；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（四）禁止或者限制使用有关设备、设施，关闭或者限制使用有关场所，中止人员密集的活动或者可能导致危害扩大的生产经营活动以及采取其他保护措施；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（五）启用本级人民政府设置的财政预备费和储备的应急救援物资，必要时调用其他急需物资、设备、设施、工具；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（六）组织公民参加应急救援和处置工作，要求具有特定专长的人员提供服务；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（七）保障食品、饮用水、燃料等基本生活必需品的供应；</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（八）依法从严惩处囤积居奇、哄抬物价、制假售假等扰乱市场秩序的行为，稳定市场价格，维护市场秩序；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（九）依法从严惩处哄抢财物、干扰破坏应急处置工作等扰乱社会秩序的行为，维护社会治安；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（十）采取防止发生次生、衍生事件的必要措施。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五十条</w:t>
      </w:r>
      <w:r>
        <w:rPr>
          <w:rFonts w:hint="eastAsia" w:ascii="宋体" w:hAnsi="宋体" w:cs="Arial"/>
          <w:kern w:val="0"/>
          <w:szCs w:val="32"/>
        </w:rPr>
        <w:t>　社会安全事件发生后，组织处置工作的人民政府应当立即组织有关部门并由公安机关针对事件的性质和特点，依照有关法律、行政法规和国家其他有关规定，采取下列一项或者多项应急处置措施：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（一）强制隔离使用器械相互对抗或者以暴力行为参与冲突的当事人，妥善解决现场纠纷和争端，控制事态发展；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（二）对特定区域内的建筑物、交通工具、设备、设施以及燃料、燃气、电力、水的供应进行控制；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（三）封锁有关场所、道路，查验现场人员的身份证件，限制有关公共场所内的活动；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　（四）加强对易受冲击的核心机关和单位的警卫，在国家机关、军事机关、国家通讯社、广播电台、电视台、外国驻华使领馆等单位附近设置临时警戒线；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（五）法律、行政法规和国务院规定的其他必要措施。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严重危害社会治安秩序的事件发生时，公安机关应当立即依法出动警力，根据现场情况依法采取相应的强制性措施，尽快使社会秩序恢复正常。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五十一条</w:t>
      </w:r>
      <w:r>
        <w:rPr>
          <w:rFonts w:hint="eastAsia" w:ascii="宋体" w:hAnsi="宋体" w:cs="Arial"/>
          <w:kern w:val="0"/>
          <w:szCs w:val="32"/>
        </w:rPr>
        <w:t>　发生突发事件，严重影响国民经济正常运行时，国务院或者国务院授权的有关主管部门可以采取保障、控制等必要的应急措施，保障人民群众的基本生活需要，最大限度地减轻突发事件的影响。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五十二条</w:t>
      </w:r>
      <w:r>
        <w:rPr>
          <w:rFonts w:hint="eastAsia" w:ascii="宋体" w:hAnsi="宋体" w:cs="Arial"/>
          <w:kern w:val="0"/>
          <w:szCs w:val="32"/>
        </w:rPr>
        <w:t>　履行统一领导职责或者组织处置突发事件的人民政府，必要时可以向单位和个人征用应急救援所需设备、设施、场地、交通工具和其他物资，请求其他地方人民政府提供人力、物力、财力或者技术支援，要求生产、供应生活必需品和应急救援物资的企业组织生产、保证供给，要求提供医疗、交通等公共服务的组织提供相应的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履行统一领导职责或者组织处置突发事件的人民政府，应当组织协调运输经营单位，优先运送处置突发事件所需物资、设备、工具、应急救援人员和受到突发事件危害的人员。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五十三条</w:t>
      </w:r>
      <w:r>
        <w:rPr>
          <w:rFonts w:hint="eastAsia" w:ascii="宋体" w:hAnsi="宋体" w:cs="Arial"/>
          <w:kern w:val="0"/>
          <w:szCs w:val="32"/>
        </w:rPr>
        <w:t>　履行统一领导职责或者组织处置突发事件的人民政府，应当按照有关规定统一、准确、及时发布有关突发事件事态发展和应急处置工作的信息。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五十四条</w:t>
      </w:r>
      <w:r>
        <w:rPr>
          <w:rFonts w:hint="eastAsia" w:ascii="宋体" w:hAnsi="宋体" w:cs="Arial"/>
          <w:kern w:val="0"/>
          <w:szCs w:val="32"/>
        </w:rPr>
        <w:t>　任何单位和个人不得编造、传播有关突发事件事态发展或者应急处置工作的虚假信息。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五十五条</w:t>
      </w:r>
      <w:r>
        <w:rPr>
          <w:rFonts w:hint="eastAsia" w:ascii="宋体" w:hAnsi="宋体" w:cs="Arial"/>
          <w:kern w:val="0"/>
          <w:szCs w:val="32"/>
        </w:rPr>
        <w:t>　突发事件发生地的居民委员会、村民委员会和其他组织应当按照当地人民政府的决定、命令，进行宣传动员，组织群众开展自救和互救，协助维护社会秩序。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五十六条</w:t>
      </w:r>
      <w:r>
        <w:rPr>
          <w:rFonts w:hint="eastAsia" w:ascii="宋体" w:hAnsi="宋体" w:cs="Arial"/>
          <w:kern w:val="0"/>
          <w:szCs w:val="32"/>
        </w:rPr>
        <w:t>　受到自然灾害危害或者发生事故灾难、公共卫生事件的单位，应当立即组织本单位应急救援队伍和工作人员营救受害人员，疏散、撤离、安置受到威胁的人员，控制危险源，标明危险区域，封锁危险场所，并采取其他防止危害扩大的必要措施，同时向所在地县级人民政府报告；对因本单位的问题引发的或者主体是本单位人员的社会安全事件，有关单位应当按照规定上报情况，并迅速派出负责人赶赴现场开展劝解、疏导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突发事件发生地的其他单位应当服从人民政府发布的决定、命令，配合人民政府采取的应急处置措施，做好本单位的应急救援工作，并积极组织人员参加所在地的应急救援和处置工作。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五十七条</w:t>
      </w:r>
      <w:r>
        <w:rPr>
          <w:rFonts w:hint="eastAsia" w:ascii="宋体" w:hAnsi="宋体" w:cs="Arial"/>
          <w:kern w:val="0"/>
          <w:szCs w:val="32"/>
        </w:rPr>
        <w:t>　突发事件发生地的公民应当服从人民政府、居民委员会、村民委员会或者所属单位的指挥和安排，配合人民政府采取的应急处置措施，积极参加应急救援工作，协助维护社会秩序。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事后恢复与重建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五十八条</w:t>
      </w:r>
      <w:r>
        <w:rPr>
          <w:rFonts w:hint="eastAsia" w:ascii="宋体" w:hAnsi="宋体" w:cs="Arial"/>
          <w:kern w:val="0"/>
          <w:szCs w:val="32"/>
        </w:rPr>
        <w:t>　突发事件的威胁和危害得到控制或者消除后，履行统一领导职责或者组织处置突发事件的人民政府应当停止执行依照本法规定采取的应急处置措施，同时采取或者继续实施必要措施，防止发生自然灾害、事故灾难、公共卫生事件的次生、衍生事件或者重新引发社会安全事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五十九条</w:t>
      </w:r>
      <w:r>
        <w:rPr>
          <w:rFonts w:hint="eastAsia" w:ascii="宋体" w:hAnsi="宋体" w:cs="Arial"/>
          <w:kern w:val="0"/>
          <w:szCs w:val="32"/>
        </w:rPr>
        <w:t>　突发事件应急处置工作结束后，履行统一领导职责的人民政府应当立即组织对突发事件造成的损失进行评估，组织受影响地区尽快恢复生产、生活、工作和社会秩序，制定恢复重建计划，并向上一级人民政府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受突发事件影响地区的人民政府应当及时组织和协调公安、交通、铁路、民航、邮电、建设等有关部门恢复社会治安秩序，尽快修复被损坏的交通、通信、供水、排水、供电、供气、供热等公共设施。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六十条</w:t>
      </w:r>
      <w:r>
        <w:rPr>
          <w:rFonts w:hint="eastAsia" w:ascii="宋体" w:hAnsi="宋体" w:cs="Arial"/>
          <w:kern w:val="0"/>
          <w:szCs w:val="32"/>
        </w:rPr>
        <w:t>　受突发事件影响地区的人民政府开展恢复重建工作需要上一级人民政府支持的，可以向上一级人民政府提出请求。上一级人民政府应当根据受影响地区遭受的损失和实际情况，提供资金、物资支持和技术指导，组织其他地区提供资金、物资和人力支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六十一条</w:t>
      </w:r>
      <w:r>
        <w:rPr>
          <w:rFonts w:hint="eastAsia" w:ascii="宋体" w:hAnsi="宋体" w:cs="Arial"/>
          <w:kern w:val="0"/>
          <w:szCs w:val="32"/>
        </w:rPr>
        <w:t>　国务院根据受突发事件影响地区遭受损失的情况，制定扶持该地区有关行业发展的优惠政策。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受突发事件影响地区的人民政府应当根据本地区遭受损失的情况，制定救助、补偿、抚慰、抚恤、安置等善后工作计划并组织实施，妥善解决因处置突发事件引发的矛盾和纠纷。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公民参加应急救援工作或者协助维护社会秩序期间，其在本单位的工资待遇和福利不变；表现突出、成绩显著的，由县级以上人民政府给予表彰或者奖励。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县级以上人民政府对在应急救援工作中伤亡的人员依法给予抚恤。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六十二条</w:t>
      </w:r>
      <w:r>
        <w:rPr>
          <w:rFonts w:hint="eastAsia" w:ascii="宋体" w:hAnsi="宋体" w:cs="Arial"/>
          <w:kern w:val="0"/>
          <w:szCs w:val="32"/>
        </w:rPr>
        <w:t>　履行统一领导职责的人民政府应当及时查明突发事件的发生经过和原因，总结突发事件应急处置工作的经验教训，制定改进措施，并向上一级人民政府提出报告。</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法律责任</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六十三条</w:t>
      </w:r>
      <w:r>
        <w:rPr>
          <w:rFonts w:hint="eastAsia" w:ascii="宋体" w:hAnsi="宋体" w:cs="Arial"/>
          <w:kern w:val="0"/>
          <w:szCs w:val="32"/>
        </w:rPr>
        <w:t>　地方各级人民政府和县级以上各级人民政府有关部门违反本法规定，不履行法定职责的，由其上级行政机关或者监察机关责令改正；有下列情形之一的，根据情节对直接负责的主管人员和其他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（一）未按规定采取预防措施，导致发生突发事件，或者未采取必要的防范措施，导致发生次生、衍生事件的；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（二）迟报、谎报、瞒报、漏报有关突发事件的信息，或者通报、报送、公布虚假信息，造成后果的；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（三）未按规定及时发布突发事件警报、采取预警期的措施，导致损害发生的；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（四）未按规定及时采取措施处置突发事件或者处置不当，造成后果的；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（五）不服从上级人民政府对突发事件应急处置工作的统一领导、指挥和协调的；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（六）未及时组织开展生产自救、恢复重建等善后工作的；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（七）截留、挪用、私分或者变相私分应急救援资金、物资的；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（八）不及时归还征用的单位和个人的财产，或者对被征用财产的单位和个人不按规定给予补偿的。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六十四条</w:t>
      </w:r>
      <w:r>
        <w:rPr>
          <w:rFonts w:hint="eastAsia" w:ascii="宋体" w:hAnsi="宋体" w:cs="Arial"/>
          <w:kern w:val="0"/>
          <w:szCs w:val="32"/>
        </w:rPr>
        <w:t>　有关单位有下列情形之一的，由所在地履行统一领导职责的人民政府责令停产停业，暂扣或者吊销许可证或者营业执照，并处五万元以上二十万元以下的罚款；构成违反治安管理行为的，由公安机关依法给予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（一）未按规定采取预防措施，导致发生严重突发事件的；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（二）未及时消除已发现的可能引发突发事件的隐患，导致发生严重突发事件的；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（三）未做好应急设备、设施日常维护、检测工作，导致发生严重突发事件或者突发事件危害扩大的；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（四）突发事件发生后，不及时组织开展应急救援工作，造成严重后果的。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前款规定的行为，其他法律、行政法规规定由人民政府有关部门依法决定处罚的，从其规定。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六十五条</w:t>
      </w:r>
      <w:r>
        <w:rPr>
          <w:rFonts w:hint="eastAsia" w:ascii="宋体" w:hAnsi="宋体" w:cs="Arial"/>
          <w:kern w:val="0"/>
          <w:szCs w:val="32"/>
        </w:rPr>
        <w:t>　违反本法规定，编造并传播有关突发事件事态发展或者应急处置工作的虚假信息，或者明知是有关突发事件事态发展或者应急处置工作的虚假信息而进行传播的，责令改正，给予警告；造成严重后果的，依法暂停其业务活动或者吊销其执业许可证；负有直接责任的人员是国家工作人员的，还应当对其依法给予处分；构成违反治安管理行为的，由公安机关依法给予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六十六条</w:t>
      </w:r>
      <w:r>
        <w:rPr>
          <w:rFonts w:hint="eastAsia" w:ascii="宋体" w:hAnsi="宋体" w:cs="Arial"/>
          <w:kern w:val="0"/>
          <w:szCs w:val="32"/>
        </w:rPr>
        <w:t>　单位或者个人违反本法规定，不服从所在地人民政府及其有关部门发布的决定、命令或者不配合其依法采取的措施，构成违反治安管理行为的，由公安机关依法给予处罚。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六十七条</w:t>
      </w:r>
      <w:r>
        <w:rPr>
          <w:rFonts w:hint="eastAsia" w:ascii="宋体" w:hAnsi="宋体" w:cs="Arial"/>
          <w:kern w:val="0"/>
          <w:szCs w:val="32"/>
        </w:rPr>
        <w:t>　单位或者个人违反本法规定，导致突发事件发生或者危害扩大，给他人人身、财产造成损害的，应当依法承担民事责任。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六十八条</w:t>
      </w:r>
      <w:r>
        <w:rPr>
          <w:rFonts w:hint="eastAsia" w:ascii="宋体" w:hAnsi="宋体" w:cs="Arial"/>
          <w:kern w:val="0"/>
          <w:szCs w:val="32"/>
        </w:rPr>
        <w:t>　违反本法规定，构成犯罪的，依法追究刑事责任。</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附则</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六十九条</w:t>
      </w:r>
      <w:r>
        <w:rPr>
          <w:rFonts w:hint="eastAsia" w:ascii="宋体" w:hAnsi="宋体" w:cs="Arial"/>
          <w:kern w:val="0"/>
          <w:szCs w:val="32"/>
        </w:rPr>
        <w:t>　发生特别重大突发事件，对人民生命财产安全、国家安全、公共安全、环境安全或者社会秩序构成重大威胁，采取本法和其他有关法律、法规、规章规定的应急处置措施不能消除或者有效控制、减轻其严重社会危害，需要进入紧急状态的，由全国人民代表大会常务委员会或者国务院依照宪法和其他有关法律规定的权限和程序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紧急状态期间采取的非常措施，依照有关法律规定执行或者由全国人民代表大会常务委员会另行规定。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七十条</w:t>
      </w:r>
      <w:r>
        <w:rPr>
          <w:rFonts w:hint="eastAsia" w:ascii="宋体" w:hAnsi="宋体" w:cs="Arial"/>
          <w:kern w:val="0"/>
          <w:szCs w:val="32"/>
        </w:rPr>
        <w:t>　本法自2007年11月1日起施行。</w:t>
      </w:r>
    </w:p>
    <w:p>
      <w:pPr>
        <w:pStyle w:val="4"/>
        <w:wordWrap/>
        <w:spacing w:before="0" w:after="0" w:line="560" w:lineRule="exact"/>
        <w:jc w:val="center"/>
        <w:textAlignment w:val="auto"/>
        <w:outlineLvl w:val="0"/>
        <w:rPr>
          <w:rFonts w:hint="eastAsia" w:ascii="Times New Roman" w:hAnsi="Times New Roman" w:eastAsia="宋体"/>
          <w:b w:val="0"/>
          <w:lang w:eastAsia="zh-CN"/>
        </w:rPr>
      </w:pPr>
      <w:r>
        <w:rPr>
          <w:rFonts w:hint="eastAsia" w:ascii="宋体" w:hAnsi="宋体" w:eastAsia="宋体" w:cs="宋体"/>
          <w:kern w:val="0"/>
          <w:sz w:val="44"/>
          <w:szCs w:val="44"/>
          <w:lang w:eastAsia="zh-CN"/>
        </w:rPr>
        <w:br w:type="page"/>
      </w:r>
      <w:bookmarkStart w:id="2" w:name="_Toc6700"/>
      <w:bookmarkStart w:id="3" w:name="_Toc12935"/>
      <w:bookmarkStart w:id="4" w:name="_Toc30832"/>
      <w:bookmarkStart w:id="5" w:name="_Toc7536"/>
      <w:bookmarkStart w:id="6" w:name="_Toc26377"/>
      <w:bookmarkStart w:id="7" w:name="_Toc14729"/>
      <w:bookmarkStart w:id="8" w:name="_Toc4875"/>
      <w:bookmarkStart w:id="9" w:name="_Toc13124"/>
      <w:bookmarkStart w:id="10" w:name="_Toc31940"/>
      <w:bookmarkStart w:id="11" w:name="_Toc28539"/>
      <w:r>
        <w:rPr>
          <w:rFonts w:hint="eastAsia" w:ascii="Times New Roman" w:hAnsi="Times New Roman" w:eastAsia="宋体"/>
          <w:b w:val="0"/>
          <w:lang w:eastAsia="zh-CN"/>
        </w:rPr>
        <w:t>中华人民共和国基本医疗卫生与健康促进法</w:t>
      </w:r>
      <w:bookmarkEnd w:id="2"/>
      <w:bookmarkEnd w:id="3"/>
      <w:bookmarkEnd w:id="4"/>
      <w:bookmarkEnd w:id="5"/>
      <w:bookmarkEnd w:id="6"/>
      <w:bookmarkEnd w:id="7"/>
      <w:bookmarkEnd w:id="8"/>
      <w:bookmarkEnd w:id="9"/>
      <w:bookmarkEnd w:id="10"/>
      <w:bookmarkEnd w:id="11"/>
    </w:p>
    <w:p>
      <w:pPr>
        <w:wordWrap/>
        <w:spacing w:line="560" w:lineRule="exact"/>
        <w:textAlignment w:val="auto"/>
        <w:rPr>
          <w:rFonts w:hint="eastAsia"/>
          <w:lang w:eastAsia="zh-CN"/>
        </w:rPr>
      </w:pPr>
    </w:p>
    <w:p>
      <w:pPr>
        <w:widowControl/>
        <w:wordWrap/>
        <w:spacing w:before="0" w:beforeAutospacing="0" w:after="0" w:afterAutospacing="0" w:line="560" w:lineRule="exact"/>
        <w:ind w:left="0" w:right="0" w:firstLine="739" w:firstLineChars="231"/>
        <w:jc w:val="left"/>
        <w:textAlignment w:val="auto"/>
        <w:rPr>
          <w:rFonts w:hint="eastAsia" w:ascii="楷体_GB2312" w:hAnsi="楷体_GB2312" w:eastAsia="楷体_GB2312" w:cs="楷体_GB2312"/>
          <w:kern w:val="0"/>
          <w:sz w:val="32"/>
          <w:szCs w:val="32"/>
          <w:shd w:val="clear" w:color="040000" w:fill="FFFFFF"/>
          <w:lang w:val="en-US" w:eastAsia="zh-CN"/>
        </w:rPr>
      </w:pPr>
      <w:r>
        <w:rPr>
          <w:rFonts w:hint="eastAsia" w:ascii="楷体_GB2312" w:hAnsi="楷体_GB2312" w:eastAsia="楷体_GB2312" w:cs="楷体_GB2312"/>
          <w:kern w:val="0"/>
          <w:sz w:val="32"/>
          <w:szCs w:val="32"/>
          <w:shd w:val="clear" w:color="040000" w:fill="FFFFFF"/>
          <w:lang w:val="en-US" w:eastAsia="zh-CN"/>
        </w:rPr>
        <w:t>（2019年12月28日第十三届全国人民代表大会常务委员会第十五次会议通过）</w:t>
      </w:r>
    </w:p>
    <w:p>
      <w:pPr>
        <w:widowControl/>
        <w:wordWrap/>
        <w:spacing w:before="0" w:beforeAutospacing="0" w:after="0" w:afterAutospacing="0" w:line="560" w:lineRule="exact"/>
        <w:ind w:left="0" w:right="0" w:firstLine="739" w:firstLineChars="231"/>
        <w:jc w:val="left"/>
        <w:textAlignment w:val="auto"/>
        <w:rPr>
          <w:rFonts w:hint="eastAsia" w:ascii="楷体_GB2312" w:hAnsi="楷体_GB2312" w:eastAsia="楷体_GB2312" w:cs="楷体_GB2312"/>
          <w:kern w:val="0"/>
          <w:sz w:val="32"/>
          <w:szCs w:val="32"/>
          <w:shd w:val="clear" w:color="040000" w:fill="FFFFFF"/>
          <w:lang w:val="en-US" w:eastAsia="zh-CN"/>
        </w:rPr>
      </w:pPr>
    </w:p>
    <w:p>
      <w:pPr>
        <w:widowControl/>
        <w:wordWrap/>
        <w:adjustRightInd/>
        <w:snapToGrid/>
        <w:spacing w:before="0" w:beforeAutospacing="0" w:after="0" w:afterAutospacing="0" w:line="560" w:lineRule="exact"/>
        <w:ind w:left="0" w:leftChars="0" w:right="0" w:firstLine="420"/>
        <w:jc w:val="center"/>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目　录</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第一章　总　　则</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第二章　基本医疗卫生服务</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第三章　医疗卫生机构</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第四章　医疗卫生人员</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第五章　药品供应保障</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第六章　健康促进</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第七章　资金保障</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第八章　监督管理</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shd w:val="clear" w:color="040000" w:fill="FFFFFF"/>
          <w:lang w:val="en-US" w:eastAsia="zh-CN"/>
        </w:rPr>
        <w:t>第九章　法律责任</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shd w:val="clear" w:color="040000" w:fill="FFFFFF"/>
          <w:lang w:val="en-US" w:eastAsia="zh-CN"/>
        </w:rPr>
      </w:pPr>
      <w:r>
        <w:rPr>
          <w:rFonts w:hint="eastAsia" w:ascii="楷体_GB2312" w:hAnsi="楷体_GB2312" w:eastAsia="楷体_GB2312" w:cs="楷体_GB2312"/>
          <w:kern w:val="0"/>
          <w:sz w:val="32"/>
          <w:szCs w:val="32"/>
          <w:shd w:val="clear" w:color="040000" w:fill="FFFFFF"/>
          <w:lang w:val="en-US" w:eastAsia="zh-CN"/>
        </w:rPr>
        <w:t>第十章　附　　则</w:t>
      </w:r>
    </w:p>
    <w:p>
      <w:pPr>
        <w:widowControl/>
        <w:wordWrap/>
        <w:adjustRightInd/>
        <w:snapToGrid/>
        <w:spacing w:before="0" w:beforeAutospacing="0" w:after="0" w:afterAutospacing="0" w:line="560" w:lineRule="exact"/>
        <w:ind w:left="0" w:right="0" w:firstLine="640" w:firstLineChars="200"/>
        <w:jc w:val="both"/>
        <w:textAlignment w:val="auto"/>
        <w:outlineLvl w:val="9"/>
        <w:rPr>
          <w:rFonts w:hint="eastAsia" w:ascii="楷体_GB2312" w:hAnsi="楷体_GB2312" w:eastAsia="楷体_GB2312" w:cs="楷体_GB2312"/>
          <w:kern w:val="0"/>
          <w:sz w:val="32"/>
          <w:szCs w:val="32"/>
          <w:shd w:val="clear" w:color="040000" w:fill="FFFFFF"/>
          <w:lang w:val="en-US" w:eastAsia="zh-CN"/>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为了发展医疗卫生与健康事业，保障公民享有基本医疗卫生服务，提高公民健康水平，推进健康中国建设，根据宪法，制定本法。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第二条　</w:t>
      </w:r>
      <w:r>
        <w:rPr>
          <w:rFonts w:hint="eastAsia" w:ascii="仿宋_GB2312" w:hAnsi="仿宋_GB2312" w:eastAsia="仿宋_GB2312" w:cs="仿宋_GB2312"/>
          <w:sz w:val="32"/>
          <w:szCs w:val="32"/>
        </w:rPr>
        <w:t>从事医疗卫生、健康促进及其监督管理活动，适用本法。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第三条　</w:t>
      </w:r>
      <w:r>
        <w:rPr>
          <w:rFonts w:hint="eastAsia" w:ascii="仿宋_GB2312" w:hAnsi="仿宋_GB2312" w:eastAsia="仿宋_GB2312" w:cs="仿宋_GB2312"/>
          <w:sz w:val="32"/>
          <w:szCs w:val="32"/>
        </w:rPr>
        <w:t>医疗卫生与健康事业应当坚持以人民为中心，为人民健康服务。</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医疗卫生事业应当坚持公益性原则。</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第四条</w:t>
      </w:r>
      <w:r>
        <w:rPr>
          <w:rFonts w:hint="eastAsia" w:ascii="仿宋_GB2312" w:hAnsi="仿宋_GB2312" w:eastAsia="仿宋_GB2312" w:cs="仿宋_GB2312"/>
          <w:sz w:val="32"/>
          <w:szCs w:val="32"/>
        </w:rPr>
        <w:t>　国家和社会尊重、保护公民的健康权。</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国家实施健康中国战略，普及健康生活，优化健康服务，完善健康保障，建设健康环境，发展健康产业，提升公民全生命周期健康水平。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国家建立健康教育制度，保障公民获得健康教育的权利，提高公民的健康素养。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公民依法享有从国家和社会获得基本医疗卫生服务的权利。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国家建立基本医疗卫生制度，建立健全医疗卫生服务体系，保护和实现公民获得基本医疗卫生服务的权利。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各级人民政府应当把人民健康放在优先发展的战略地位，将健康理念融入各项政策，坚持预防为主，完善健康促进工作体系，组织实施健康促进的规划和行动，推进全民健身，建立健康影响评估制度，将公民主要健康指标改善情况纳入政府目标责任考核。</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全社会应当共同关心和支持医疗卫生与健康事业的发展。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国务院和地方各级人民政府领导医疗卫生与健康促进工作。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国务院卫生健康主管部门负责统筹协调全国医疗卫生与健康促进工作。国务院其他有关部门在各自职责范围内负责有关的医疗卫生与健康促进工作。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县级以上地方人民政府卫生健康主管部门负责统筹协调本行政区域医疗卫生与健康促进工作。县级以上地方人民政府其他有关部门在各自职责范围内负责有关的医疗卫生与健康促进工作。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第八条　</w:t>
      </w:r>
      <w:r>
        <w:rPr>
          <w:rFonts w:hint="eastAsia" w:ascii="仿宋_GB2312" w:hAnsi="仿宋_GB2312" w:eastAsia="仿宋_GB2312" w:cs="仿宋_GB2312"/>
          <w:sz w:val="32"/>
          <w:szCs w:val="32"/>
        </w:rPr>
        <w:t>国家加强医学基础科学研究，鼓励医学科学技术创新，支持临床医学发展，促进医学科技成果的转化和应用，推进医疗卫生与信息技术融合发展，推广医疗卫生适宜技术，提高医疗卫生服务质量。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国家发展医学教育，完善适应医疗卫生事业发展需要的医学教育体系，大力培养医疗卫生人才。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国家大力发展中医药事业，坚持中西医并重、传承与创新相结合，发挥中医药在医疗卫生与健康事业中的独特作用。</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第十条　</w:t>
      </w:r>
      <w:r>
        <w:rPr>
          <w:rFonts w:hint="eastAsia" w:ascii="仿宋_GB2312" w:hAnsi="仿宋_GB2312" w:eastAsia="仿宋_GB2312" w:cs="仿宋_GB2312"/>
          <w:sz w:val="32"/>
          <w:szCs w:val="32"/>
        </w:rPr>
        <w:t>国家合理规划和配置医疗卫生资源，以基层为重点，采取多种措施优先支持县级以下医疗卫生机构发展，提高其医疗卫生服务能力。</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第十一条</w:t>
      </w:r>
      <w:r>
        <w:rPr>
          <w:rFonts w:hint="eastAsia" w:ascii="仿宋_GB2312" w:hAnsi="仿宋_GB2312" w:eastAsia="仿宋_GB2312" w:cs="仿宋_GB2312"/>
          <w:sz w:val="32"/>
          <w:szCs w:val="32"/>
        </w:rPr>
        <w:t>　国家加大对医疗卫生与健康事业的财政投入，通过增加转移支付等方式重点扶持革命老区、民族地区、边疆地区和经济欠发达地区发展医疗卫生与健康事业。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第十二条</w:t>
      </w:r>
      <w:r>
        <w:rPr>
          <w:rFonts w:hint="eastAsia" w:ascii="仿宋_GB2312" w:hAnsi="仿宋_GB2312" w:eastAsia="仿宋_GB2312" w:cs="仿宋_GB2312"/>
          <w:sz w:val="32"/>
          <w:szCs w:val="32"/>
        </w:rPr>
        <w:t>　国家鼓励和支持公民、法人和其他组织通过依法举办机构和捐赠、资助等方式，参与医疗卫生与健康事业，满足公民多样化、差异化、个性化健康需求。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公民、法人和其他组织捐赠财产用于医疗卫生与健康事业的，依法享受税收优惠。</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第十三条</w:t>
      </w:r>
      <w:r>
        <w:rPr>
          <w:rFonts w:hint="eastAsia" w:ascii="仿宋_GB2312" w:hAnsi="仿宋_GB2312" w:eastAsia="仿宋_GB2312" w:cs="仿宋_GB2312"/>
          <w:sz w:val="32"/>
          <w:szCs w:val="32"/>
        </w:rPr>
        <w:t>　对在医疗卫生与健康事业中做出突出贡献的组织和个人，按照国家规定给予表彰、奖励。</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国家鼓励和支持医疗卫生与健康促进领域的对外交流合作。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开展医疗卫生与健康促进对外交流合作活动，应当遵守法律、法规，维护国家主权、安全和社会公共利益。</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基本医疗卫生服务</w:t>
      </w:r>
    </w:p>
    <w:p>
      <w:pPr>
        <w:wordWrap/>
        <w:spacing w:line="560" w:lineRule="exact"/>
        <w:ind w:firstLine="640" w:firstLineChars="200"/>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第十五条</w:t>
      </w:r>
      <w:r>
        <w:rPr>
          <w:rFonts w:hint="eastAsia" w:ascii="仿宋_GB2312" w:hAnsi="仿宋_GB2312" w:eastAsia="仿宋_GB2312" w:cs="仿宋_GB2312"/>
          <w:sz w:val="32"/>
          <w:szCs w:val="32"/>
        </w:rPr>
        <w:t>　基本医疗卫生服务，是指维护人体健康所必需、与经济社会发展水平相适应、公民可公平获得的，采用适宜药物、适宜技术、适宜设备提供的疾病预防、诊断、治疗、护理和康复等服务。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基本医疗卫生服务包括基本公共卫生服务和基本医疗服务。基本公共卫生服务由国家免费提供。</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第十六条</w:t>
      </w:r>
      <w:r>
        <w:rPr>
          <w:rFonts w:hint="eastAsia" w:ascii="仿宋_GB2312" w:hAnsi="仿宋_GB2312" w:eastAsia="仿宋_GB2312" w:cs="仿宋_GB2312"/>
          <w:sz w:val="32"/>
          <w:szCs w:val="32"/>
        </w:rPr>
        <w:t>　国家采取措施，保障公民享有安全有效的基本公共卫生服务，控制影响健康的危险因素，提高疾病的预防控制水平。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国家基本公共卫生服务项目由国务院卫生健康主管部门会同国务院财政部门、中医药主管部门等共同确定。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省、自治区、直辖市人民政府可以在国家基本公共卫生服务项目基础上，补充确定本行政区域的基本公共卫生服务项目，并报国务院卫生健康主管部门备案。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第十七条</w:t>
      </w:r>
      <w:r>
        <w:rPr>
          <w:rFonts w:hint="eastAsia" w:ascii="仿宋_GB2312" w:hAnsi="仿宋_GB2312" w:eastAsia="仿宋_GB2312" w:cs="仿宋_GB2312"/>
          <w:sz w:val="32"/>
          <w:szCs w:val="32"/>
        </w:rPr>
        <w:t>　国务院和省、自治区、直辖市人民政府可以将针对重点地区、重点疾病和特定人群的服务内容纳入基本公共卫生服务项目并组织实施。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县级以上地方人民政府针对本行政区域重大疾病和主要健康危险因素，开展专项防控工作。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第十八条</w:t>
      </w:r>
      <w:r>
        <w:rPr>
          <w:rFonts w:hint="eastAsia" w:ascii="仿宋_GB2312" w:hAnsi="仿宋_GB2312" w:eastAsia="仿宋_GB2312" w:cs="仿宋_GB2312"/>
          <w:sz w:val="32"/>
          <w:szCs w:val="32"/>
        </w:rPr>
        <w:t>　县级以上人民政府通过举办专业公共卫生机构、基层医疗卫生机构和医院，或者从其他医疗卫生机构购买服务的方式提供基本公共卫生服务。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第十九条　</w:t>
      </w:r>
      <w:r>
        <w:rPr>
          <w:rFonts w:hint="eastAsia" w:ascii="仿宋_GB2312" w:hAnsi="仿宋_GB2312" w:eastAsia="仿宋_GB2312" w:cs="仿宋_GB2312"/>
          <w:sz w:val="32"/>
          <w:szCs w:val="32"/>
        </w:rPr>
        <w:t>国家建立健全突发事件卫生应急体系，制定和完善应急预案，组织开展突发事件的医疗救治、卫生学调查处置和心理援助等卫生应急工作，有效控制和消除危害。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第二十条</w:t>
      </w:r>
      <w:r>
        <w:rPr>
          <w:rFonts w:hint="eastAsia" w:ascii="仿宋_GB2312" w:hAnsi="仿宋_GB2312" w:eastAsia="仿宋_GB2312" w:cs="仿宋_GB2312"/>
          <w:sz w:val="32"/>
          <w:szCs w:val="32"/>
        </w:rPr>
        <w:t>　国家建立传染病防控制度，制定传染病防治规划并组织实施，加强传染病监测预警，坚持预防为主、防治结合，联防联控、群防群控、源头防控、综合治理，阻断传播途径，保护易感人群，降低传染病的危害。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任何组织和个人应当接受、配合医疗卫生机构为预防、控制、消除传染病危害依法采取的调查、检验、采集样本、隔离治疗、医学观察等措施。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第二十一条</w:t>
      </w:r>
      <w:r>
        <w:rPr>
          <w:rFonts w:hint="eastAsia" w:ascii="仿宋_GB2312" w:hAnsi="仿宋_GB2312" w:eastAsia="仿宋_GB2312" w:cs="仿宋_GB2312"/>
          <w:sz w:val="32"/>
          <w:szCs w:val="32"/>
        </w:rPr>
        <w:t>　国家实行预防接种制度，加强免疫规划工作。居民有依法接种免疫规划疫苗的权利和义务。政府向居民免费提供免疫规划疫苗。</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第二十二条</w:t>
      </w:r>
      <w:r>
        <w:rPr>
          <w:rFonts w:hint="eastAsia" w:ascii="仿宋_GB2312" w:hAnsi="仿宋_GB2312" w:eastAsia="仿宋_GB2312" w:cs="仿宋_GB2312"/>
          <w:sz w:val="32"/>
          <w:szCs w:val="32"/>
        </w:rPr>
        <w:t>　国家建立慢性非传染性疾病防控与管理制度，对慢性非传染性疾病及其致病危险因素开展监测、调查和综合防控干预，及时发现高危人群，为患者和高危人群提供诊疗、早期干预、随访管理和健康教育等服务。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第二十三条</w:t>
      </w:r>
      <w:r>
        <w:rPr>
          <w:rFonts w:hint="eastAsia" w:ascii="仿宋_GB2312" w:hAnsi="仿宋_GB2312" w:eastAsia="仿宋_GB2312" w:cs="仿宋_GB2312"/>
          <w:sz w:val="32"/>
          <w:szCs w:val="32"/>
        </w:rPr>
        <w:t>　国家加强职业健康保护。县级以上人民政府应当制定职业病防治规划，建立健全职业健康工作机制，加强职业健康监督管理，提高职业病综合防治能力和水平。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用人单位应当控制职业病危害因素，采取工程技术、个体防护和健康管理等综合治理措施，改善工作环境和劳动条件。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第二十四条</w:t>
      </w:r>
      <w:r>
        <w:rPr>
          <w:rFonts w:hint="eastAsia" w:ascii="仿宋_GB2312" w:hAnsi="仿宋_GB2312" w:eastAsia="仿宋_GB2312" w:cs="仿宋_GB2312"/>
          <w:sz w:val="32"/>
          <w:szCs w:val="32"/>
        </w:rPr>
        <w:t>　国家发展妇幼保健事业，建立健全妇幼健康服务体系，为妇女、儿童提供保健及常见病防治服务，保障妇女、儿童健康。</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国家采取措施，为公民提供婚前保健、孕产期保健等服务，促进生殖健康，预防出生缺陷。</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第二十五条</w:t>
      </w:r>
      <w:r>
        <w:rPr>
          <w:rFonts w:hint="eastAsia" w:ascii="仿宋_GB2312" w:hAnsi="仿宋_GB2312" w:eastAsia="仿宋_GB2312" w:cs="仿宋_GB2312"/>
          <w:sz w:val="32"/>
          <w:szCs w:val="32"/>
        </w:rPr>
        <w:t>　国家发展老年人保健事业。国务院和省、自治区、直辖市人民政府应当将老年人健康管理和常见病预防等纳入基本公共卫生服务项目。</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第二十六条</w:t>
      </w:r>
      <w:r>
        <w:rPr>
          <w:rFonts w:hint="eastAsia" w:ascii="仿宋_GB2312" w:hAnsi="仿宋_GB2312" w:eastAsia="仿宋_GB2312" w:cs="仿宋_GB2312"/>
          <w:sz w:val="32"/>
          <w:szCs w:val="32"/>
        </w:rPr>
        <w:t>　国家发展残疾预防和残疾人康复事业，完善残疾预防和残疾人康复及其保障体系，采取措施为残疾人提供基本康复服务。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县级以上人民政府应当优先开展残疾儿童康复工作，实行康复与教育相结合。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第二十七条</w:t>
      </w:r>
      <w:r>
        <w:rPr>
          <w:rFonts w:hint="eastAsia" w:ascii="仿宋_GB2312" w:hAnsi="仿宋_GB2312" w:eastAsia="仿宋_GB2312" w:cs="仿宋_GB2312"/>
          <w:sz w:val="32"/>
          <w:szCs w:val="32"/>
        </w:rPr>
        <w:t>　国家建立健全院前急救体系，为急危重症患者提供及时、规范、有效的急救服务。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卫生健康主管部门、红十字会等有关部门、组织应当积极开展急救培训，普及急救知识，鼓励医疗卫生人员、经过急救培训的人员积极参与公共场所急救服务。公共场所应当按照规定配备必要的急救设备、设施。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急救中心（站）不得以未付费为由拒绝或者拖延为急危重症患者提供急救服务。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第二十八条</w:t>
      </w:r>
      <w:r>
        <w:rPr>
          <w:rFonts w:hint="eastAsia" w:ascii="仿宋_GB2312" w:hAnsi="仿宋_GB2312" w:eastAsia="仿宋_GB2312" w:cs="仿宋_GB2312"/>
          <w:sz w:val="32"/>
          <w:szCs w:val="32"/>
        </w:rPr>
        <w:t>　国家发展精神卫生事业，建设完善精神卫生服务体系，维护和增进公民心理健康，预防、治疗精神障碍。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加强心理健康服务体系和人才队伍建设，促进心理健康教育、心理评估、心理咨询与心理治疗服务的有效衔接，设立为公众提供公益服务的心理援助热线，加强未成年人、残疾人和老年人等重点人群心理健康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第二十九条</w:t>
      </w:r>
      <w:r>
        <w:rPr>
          <w:rFonts w:hint="eastAsia" w:ascii="仿宋_GB2312" w:hAnsi="仿宋_GB2312" w:eastAsia="仿宋_GB2312" w:cs="仿宋_GB2312"/>
          <w:sz w:val="32"/>
          <w:szCs w:val="32"/>
        </w:rPr>
        <w:t>　基本医疗服务主要由政府举办的医疗卫生机构提供。鼓励社会力量举办的医疗卫生机构提供基本医疗服务。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第三十条</w:t>
      </w:r>
      <w:r>
        <w:rPr>
          <w:rFonts w:hint="eastAsia" w:ascii="仿宋_GB2312" w:hAnsi="仿宋_GB2312" w:eastAsia="仿宋_GB2312" w:cs="仿宋_GB2312"/>
          <w:sz w:val="32"/>
          <w:szCs w:val="32"/>
        </w:rPr>
        <w:t>　国家推进基本医疗服务实行分级诊疗制度，引导非急诊患者首先到基层医疗卫生机构就诊，实行首诊负责制和转诊审核责任制，逐步建立基层首诊、双向转诊、急慢分治、上下联动的机制，并与基本医疗保险制度相衔接。</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县级以上地方人民政府根据本行政区域医疗卫生需求，整合区域内政府举办的医疗卫生资源，因地制宜建立医疗联合体等协同联动的医疗服务合作机制。鼓励社会力量举办的医疗卫生机构参与医疗服务合作机制。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第三十一条</w:t>
      </w:r>
      <w:r>
        <w:rPr>
          <w:rFonts w:hint="eastAsia" w:ascii="仿宋_GB2312" w:hAnsi="仿宋_GB2312" w:eastAsia="仿宋_GB2312" w:cs="仿宋_GB2312"/>
          <w:sz w:val="32"/>
          <w:szCs w:val="32"/>
        </w:rPr>
        <w:t>　国家推进基层医疗卫生机构实行家庭医生签约服务，建立家庭医生服务团队，与居民签订协议，根据居民健康状况和医疗需求提供基本医疗卫生服务。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第三十二条</w:t>
      </w:r>
      <w:r>
        <w:rPr>
          <w:rFonts w:hint="eastAsia" w:ascii="仿宋_GB2312" w:hAnsi="仿宋_GB2312" w:eastAsia="仿宋_GB2312" w:cs="仿宋_GB2312"/>
          <w:sz w:val="32"/>
          <w:szCs w:val="32"/>
        </w:rPr>
        <w:t>　公民接受医疗卫生服务，对病情、诊疗方案、医疗风险、医疗费用等事项依法享有知情同意的权利。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需要实施手术、特殊检查、特殊治疗的，医疗卫生人员应当及时向患者说明医疗风险、替代医疗方案等情况，并取得其同意；不能或者不宜向患者说明的，应当向患者的近亲属说明，并取得其同意。法律另有规定的，依照其规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开展药物、医疗器械临床试验和其他医学研究应当遵守医学伦理规范，依法通过伦理审查，取得知情同意。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第三十三条</w:t>
      </w:r>
      <w:r>
        <w:rPr>
          <w:rFonts w:hint="eastAsia" w:ascii="仿宋_GB2312" w:hAnsi="仿宋_GB2312" w:eastAsia="仿宋_GB2312" w:cs="仿宋_GB2312"/>
          <w:sz w:val="32"/>
          <w:szCs w:val="32"/>
        </w:rPr>
        <w:t>　公民接受医疗卫生服务，应当受到尊重。医疗卫生机构、医疗卫生人员应当关心爱护、平等对待患者，尊重患者人格尊严，保护患者隐私。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公民接受医疗卫生服务，应当遵守诊疗制度和医疗卫生服务秩序，尊重医疗卫生人员。</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医疗卫生机构</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第三十四条</w:t>
      </w:r>
      <w:r>
        <w:rPr>
          <w:rFonts w:hint="eastAsia" w:ascii="仿宋_GB2312" w:hAnsi="仿宋_GB2312" w:eastAsia="仿宋_GB2312" w:cs="仿宋_GB2312"/>
          <w:sz w:val="32"/>
          <w:szCs w:val="32"/>
        </w:rPr>
        <w:t>　国家建立健全由基层医疗卫生机构、医院、专业公共卫生机构等组成的城乡全覆盖、功能互补、连续协同的医疗卫生服务体系。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国家加强县级医院、乡镇卫生院、村卫生室、社区卫生服务中心（站）和专业公共卫生机构等的建设，建立健全农村医疗卫生服务网络和城市社区卫生服务网络。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第三十五条</w:t>
      </w:r>
      <w:r>
        <w:rPr>
          <w:rFonts w:hint="eastAsia" w:ascii="仿宋_GB2312" w:hAnsi="仿宋_GB2312" w:eastAsia="仿宋_GB2312" w:cs="仿宋_GB2312"/>
          <w:sz w:val="32"/>
          <w:szCs w:val="32"/>
        </w:rPr>
        <w:t>　基层医疗卫生机构主要提供预防、保健、健康教育、疾病管理，为居民建立健康档案，常见病、多发病的诊疗以及部分疾病的康复、护理，接收医院转诊患者，向医院转诊超出自身服务能力的患者等基本医疗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主要提供疾病诊治，特别是急危重症和疑难病症的诊疗，突发事件医疗处置和救援以及健康教育等医疗卫生服务，并开展医学教育、医疗卫生人员培训、医学科学研究和对基层医疗卫生机构的业务指导等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专业公共卫生机构主要提供传染病、慢性非传染性疾病、职业病、地方病等疾病预防控制和健康教育、妇幼保健、精神卫生、院前急救、采供血、食品安全风险监测评估、出生缺陷防治等公共卫生服务。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第三十六条</w:t>
      </w:r>
      <w:r>
        <w:rPr>
          <w:rFonts w:hint="eastAsia" w:ascii="仿宋_GB2312" w:hAnsi="仿宋_GB2312" w:eastAsia="仿宋_GB2312" w:cs="仿宋_GB2312"/>
          <w:sz w:val="32"/>
          <w:szCs w:val="32"/>
        </w:rPr>
        <w:t>　各级各类医疗卫生机构应当分工合作，为公民提供预防、保健、治疗、护理、康复、安宁疗护等全方位全周期的医疗卫生服务。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各级人民政府采取措施支持医疗卫生机构与养老机构、儿童福利机构、社区组织建立协作机制，为老年人、孤残儿童提供安全、便捷的医疗和健康服务。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第三十七条</w:t>
      </w:r>
      <w:r>
        <w:rPr>
          <w:rFonts w:hint="eastAsia" w:ascii="仿宋_GB2312" w:hAnsi="仿宋_GB2312" w:eastAsia="仿宋_GB2312" w:cs="仿宋_GB2312"/>
          <w:sz w:val="32"/>
          <w:szCs w:val="32"/>
        </w:rPr>
        <w:t>　县级以上人民政府应当制定并落实医疗卫生服务体系规划，科学配置医疗卫生资源，举办医疗卫生机构，为公民获得基本医疗卫生服务提供保障。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政府举办医疗卫生机构，应当考虑本行政区域人口、经济社会发展状况、医疗卫生资源、健康危险因素、发病率、患病率以及紧急救治需求等情况。</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第三十八条</w:t>
      </w:r>
      <w:r>
        <w:rPr>
          <w:rFonts w:hint="eastAsia" w:ascii="仿宋_GB2312" w:hAnsi="仿宋_GB2312" w:eastAsia="仿宋_GB2312" w:cs="仿宋_GB2312"/>
          <w:sz w:val="32"/>
          <w:szCs w:val="32"/>
        </w:rPr>
        <w:t>　举办医疗机构，应当具备下列条件，按照国家有关规定办理审批或者备案手续：</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（一）有符合规定的名称、组织机构和场所；</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（二）有与其开展的业务相适应的经费、设施、设备和医疗卫生人员；</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（三）有相应的规章制度；</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（四）能够独立承担民事责任;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（五）法律、行政法规规定的其他条件。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医疗机构依法取得执业许可证。禁止伪造、变造、买卖、出租、出借医疗机构执业许可证。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各级各类医疗卫生机构的具体条件和配置应当符合国务院卫生健康主管部门制定的医疗卫生机构标准。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第三十九条</w:t>
      </w:r>
      <w:r>
        <w:rPr>
          <w:rFonts w:hint="eastAsia" w:ascii="仿宋_GB2312" w:hAnsi="仿宋_GB2312" w:eastAsia="仿宋_GB2312" w:cs="仿宋_GB2312"/>
          <w:sz w:val="32"/>
          <w:szCs w:val="32"/>
        </w:rPr>
        <w:t>　国家对医疗卫生机构实行分类管理。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医疗卫生服务体系坚持以非营利性医疗卫生机构为主体、营利性医疗卫生机构为补充。政府举办非营利性医疗卫生机构，在基本医疗卫生事业中发挥主导作用，保障基本医疗卫生服务公平可及。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以政府资金、捐赠资产举办或者参与举办的医疗卫生机构不得设立为营利性医疗卫生机构。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医疗卫生机构不得对外出租、承包医疗科室。非营利性医疗卫生机构不得向出资人、举办者分配或者变相分配收益。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第四十条</w:t>
      </w:r>
      <w:r>
        <w:rPr>
          <w:rFonts w:hint="eastAsia" w:ascii="仿宋_GB2312" w:hAnsi="仿宋_GB2312" w:eastAsia="仿宋_GB2312" w:cs="仿宋_GB2312"/>
          <w:sz w:val="32"/>
          <w:szCs w:val="32"/>
        </w:rPr>
        <w:t>　政府举办的医疗卫生机构应当坚持公益性质，所有收支均纳入预算管理，按照医疗卫生服务体系规划合理设置并控制规模。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国家鼓励政府举办的医疗卫生机构与社会力量合作举办非营利性医疗卫生机构。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政府举办的医疗卫生机构不得与其他组织投资设立非独立法人资格的医疗卫生机构，不得与社会资本合作举办营利性医疗卫生机构。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第四十一条</w:t>
      </w:r>
      <w:r>
        <w:rPr>
          <w:rFonts w:hint="eastAsia" w:ascii="仿宋_GB2312" w:hAnsi="仿宋_GB2312" w:eastAsia="仿宋_GB2312" w:cs="仿宋_GB2312"/>
          <w:sz w:val="32"/>
          <w:szCs w:val="32"/>
        </w:rPr>
        <w:t>　国家采取多种措施，鼓励和引导社会力量依法举办医疗卫生机构，支持和规范社会力量举办的医疗卫生机构与政府举办的医疗卫生机构开展多种类型的医疗业务、学科建设、人才培养等合作。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社会力量举办的医疗卫生机构在基本医疗保险定点、重点专科建设、科研教学、等级评审、特定医疗技术准入、医疗卫生人员职称评定等方面享有与政府举办的医疗卫生机构同等的权利。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力量可以选择设立非营利性或者营利性医疗卫生机构。社会力量举办的非营利性医疗卫生机构按照规定享受与政府举办的医疗卫生机构同等的税收、财政补助、用地、用水、用电、用气、用热等政策，并依法接受监督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第四十二条</w:t>
      </w:r>
      <w:r>
        <w:rPr>
          <w:rFonts w:hint="eastAsia" w:ascii="仿宋_GB2312" w:hAnsi="仿宋_GB2312" w:eastAsia="仿宋_GB2312" w:cs="仿宋_GB2312"/>
          <w:sz w:val="32"/>
          <w:szCs w:val="32"/>
        </w:rPr>
        <w:t>　国家以建成的医疗卫生机构为基础，合理规划与设置国家医学中心和国家、省级区域性医疗中心，诊治疑难重症，研究攻克重大医学难题，培养高层次医疗卫生人才。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第四十三条</w:t>
      </w:r>
      <w:r>
        <w:rPr>
          <w:rFonts w:hint="eastAsia" w:ascii="仿宋_GB2312" w:hAnsi="仿宋_GB2312" w:eastAsia="仿宋_GB2312" w:cs="仿宋_GB2312"/>
          <w:sz w:val="32"/>
          <w:szCs w:val="32"/>
        </w:rPr>
        <w:t>　医疗卫生机构应当遵守法律、法规、规章，建立健全内部质量管理和控制制度，对医疗卫生服务质量负责。</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医疗卫生机构应当按照临床诊疗指南、临床技术操作规范和行业标准以及医学伦理规范等有关要求，合理进行检查、用药、诊疗，加强医疗卫生安全风险防范，优化服务流程，持续改进医疗卫生服务质量。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第四十四条</w:t>
      </w:r>
      <w:r>
        <w:rPr>
          <w:rFonts w:hint="eastAsia" w:ascii="仿宋_GB2312" w:hAnsi="仿宋_GB2312" w:eastAsia="仿宋_GB2312" w:cs="仿宋_GB2312"/>
          <w:sz w:val="32"/>
          <w:szCs w:val="32"/>
        </w:rPr>
        <w:t>　国家对医疗卫生技术的临床应用进行分类管理，对技术难度大、医疗风险高，服务能力、人员专业技术水平要求较高的医疗卫生技术实行严格管理。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医疗卫生机构开展医疗卫生技术临床应用，应当与其功能任务相适应，遵循科学、安全、规范、有效、经济的原则，并符合伦理。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第四十五条</w:t>
      </w:r>
      <w:r>
        <w:rPr>
          <w:rFonts w:hint="eastAsia" w:ascii="仿宋_GB2312" w:hAnsi="仿宋_GB2312" w:eastAsia="仿宋_GB2312" w:cs="仿宋_GB2312"/>
          <w:sz w:val="32"/>
          <w:szCs w:val="32"/>
        </w:rPr>
        <w:t>　国家建立权责清晰、管理科学、治理完善、运行高效、监督有力的现代医院管理制度。</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医院应当制定章程，建立和完善法人治理结构，提高医疗卫生服务能力和运行效率。</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第四十六条</w:t>
      </w:r>
      <w:r>
        <w:rPr>
          <w:rFonts w:hint="eastAsia" w:ascii="仿宋_GB2312" w:hAnsi="仿宋_GB2312" w:eastAsia="仿宋_GB2312" w:cs="仿宋_GB2312"/>
          <w:sz w:val="32"/>
          <w:szCs w:val="32"/>
        </w:rPr>
        <w:t>　医疗卫生机构执业场所是提供医疗卫生服务的公共场所，任何组织或者个人不得扰乱其秩序。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第四十七条</w:t>
      </w:r>
      <w:r>
        <w:rPr>
          <w:rFonts w:hint="eastAsia" w:ascii="仿宋_GB2312" w:hAnsi="仿宋_GB2312" w:eastAsia="仿宋_GB2312" w:cs="仿宋_GB2312"/>
          <w:sz w:val="32"/>
          <w:szCs w:val="32"/>
        </w:rPr>
        <w:t>　国家完善医疗风险分担机制，鼓励医疗机构参加医疗责任保险或者建立医疗风险基金，鼓励患者参加医疗意外保险。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第四十八条</w:t>
      </w:r>
      <w:r>
        <w:rPr>
          <w:rFonts w:hint="eastAsia" w:ascii="仿宋_GB2312" w:hAnsi="仿宋_GB2312" w:eastAsia="仿宋_GB2312" w:cs="仿宋_GB2312"/>
          <w:sz w:val="32"/>
          <w:szCs w:val="32"/>
        </w:rPr>
        <w:t>　国家鼓励医疗卫生机构不断改进预防、保健、诊断、治疗、护理和康复的技术、设备与服务，支持开发适合基层和边远地区应用的医疗卫生技术。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第四十九条</w:t>
      </w:r>
      <w:r>
        <w:rPr>
          <w:rFonts w:hint="eastAsia" w:ascii="仿宋_GB2312" w:hAnsi="仿宋_GB2312" w:eastAsia="仿宋_GB2312" w:cs="仿宋_GB2312"/>
          <w:sz w:val="32"/>
          <w:szCs w:val="32"/>
        </w:rPr>
        <w:t>　国家推进全民健康信息化，推动健康医疗大数据、人工智能等的应用发展，加快医疗卫生信息基础设施建设，制定健康医疗数据采集、存储、分析和应用的技术标准，运用信息技术促进优质医疗卫生资源的普及与共享。</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县级以上人民政府及其有关部门应当采取措施，推进信息技术在医疗卫生领域和医学教育中的应用，支持探索发展医疗卫生服务新模式、新业态。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国家采取措施，推进医疗卫生机构建立健全医疗卫生信息交流和信息安全制度，应用信息技术开展远程医疗服务，构建线上线下一体化医疗服务模式。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第五十条　</w:t>
      </w:r>
      <w:r>
        <w:rPr>
          <w:rFonts w:hint="eastAsia" w:ascii="仿宋_GB2312" w:hAnsi="仿宋_GB2312" w:eastAsia="仿宋_GB2312" w:cs="仿宋_GB2312"/>
          <w:sz w:val="32"/>
          <w:szCs w:val="32"/>
        </w:rPr>
        <w:t>发生自然灾害、事故灾难、公共卫生事件和社会安全事件等严重威胁人民群众生命健康的突发事件时，医疗卫生机构、医疗卫生人员应当服从政府部门的调遣，参与卫生应急处置和医疗救治。对致病、致残、死亡的参与人员，按照规定给予工伤或者抚恤、烈士褒扬等相关待遇。</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医疗卫生人员</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第五十一条</w:t>
      </w:r>
      <w:r>
        <w:rPr>
          <w:rFonts w:hint="eastAsia" w:ascii="仿宋_GB2312" w:hAnsi="仿宋_GB2312" w:eastAsia="仿宋_GB2312" w:cs="仿宋_GB2312"/>
          <w:sz w:val="32"/>
          <w:szCs w:val="32"/>
        </w:rPr>
        <w:t>　医疗卫生人员应当弘扬敬佑生命、救死扶伤、甘于奉献、大爱无疆的崇高职业精神，遵守行业规范，恪守医德，努力提高专业水平和服务质量。</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医疗卫生行业组织、医疗卫生机构、医学院校应当加强对医疗卫生人员的医德医风教育。</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第五十二条</w:t>
      </w:r>
      <w:r>
        <w:rPr>
          <w:rFonts w:hint="eastAsia" w:ascii="仿宋_GB2312" w:hAnsi="仿宋_GB2312" w:eastAsia="仿宋_GB2312" w:cs="仿宋_GB2312"/>
          <w:sz w:val="32"/>
          <w:szCs w:val="32"/>
        </w:rPr>
        <w:t>　国家制定医疗卫生人员培养规划，建立适应行业特点和社会需求的医疗卫生人员培养机制和供需平衡机制，完善医学院校教育、毕业后教育和继续教育体系，建立健全住院医师、专科医师规范化培训制度，建立规模适宜、结构合理、分布均衡的医疗卫生队伍。</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国家加强全科医生的培养和使用。全科医生主要提供常见病、多发病的诊疗和转诊、预防、保健、康复，以及慢性病管理、健康管理等服务。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第五十三条</w:t>
      </w:r>
      <w:r>
        <w:rPr>
          <w:rFonts w:hint="eastAsia" w:ascii="仿宋_GB2312" w:hAnsi="仿宋_GB2312" w:eastAsia="仿宋_GB2312" w:cs="仿宋_GB2312"/>
          <w:sz w:val="32"/>
          <w:szCs w:val="32"/>
        </w:rPr>
        <w:t>　国家对医师、护士等医疗卫生人员依法实行执业注册制度。医疗卫生人员应当依法取得相应的职业资格。</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第五十四条</w:t>
      </w:r>
      <w:r>
        <w:rPr>
          <w:rFonts w:hint="eastAsia" w:ascii="仿宋_GB2312" w:hAnsi="仿宋_GB2312" w:eastAsia="仿宋_GB2312" w:cs="仿宋_GB2312"/>
          <w:sz w:val="32"/>
          <w:szCs w:val="32"/>
        </w:rPr>
        <w:t>　医疗卫生人员应当遵循医学科学规律，遵守有关临床诊疗技术规范和各项操作规范以及医学伦理规范，使用适宜技术和药物，合理诊疗，因病施治，不得对患者实施过度医疗。</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医疗卫生人员不得利用职务之便索要、非法收受财物或者牟取其他不正当利益。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第五十五条</w:t>
      </w:r>
      <w:r>
        <w:rPr>
          <w:rFonts w:hint="eastAsia" w:ascii="仿宋_GB2312" w:hAnsi="仿宋_GB2312" w:eastAsia="仿宋_GB2312" w:cs="仿宋_GB2312"/>
          <w:sz w:val="32"/>
          <w:szCs w:val="32"/>
        </w:rPr>
        <w:t>　国家建立健全符合医疗卫生行业特点的人事、薪酬、奖励制度，体现医疗卫生人员职业特点和技术劳动价值。</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对从事传染病防治、放射医学和精神卫生工作以及其他在特殊岗位工作的医疗卫生人员，应当按照国家规定给予适当的津贴。津贴标准应当定期调整。</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第五十六条</w:t>
      </w:r>
      <w:r>
        <w:rPr>
          <w:rFonts w:hint="eastAsia" w:ascii="仿宋_GB2312" w:hAnsi="仿宋_GB2312" w:eastAsia="仿宋_GB2312" w:cs="仿宋_GB2312"/>
          <w:sz w:val="32"/>
          <w:szCs w:val="32"/>
        </w:rPr>
        <w:t>　国家建立医疗卫生人员定期到基层和艰苦边远地区从事医疗卫生工作制度。</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国家采取定向免费培养、对口支援、退休返聘等措施，加强基层和艰苦边远地区医疗卫生队伍建设。</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执业医师晋升为副高级技术职称的，应当有累计一年以上在县级以下或者对口支援的医疗卫生机构提供医疗卫生服务的经历。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对在基层和艰苦边远地区工作的医疗卫生人员，在薪酬津贴、职称评定、职业发展、教育培训和表彰奖励等方面实行优惠待遇。</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国家加强乡村医疗卫生队伍建设，建立县乡村上下贯通的职业发展机制，完善对乡村医疗卫生人员的服务收入多渠道补助机制和养老政策。</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第五十七条</w:t>
      </w:r>
      <w:r>
        <w:rPr>
          <w:rFonts w:hint="eastAsia" w:ascii="仿宋_GB2312" w:hAnsi="仿宋_GB2312" w:eastAsia="仿宋_GB2312" w:cs="仿宋_GB2312"/>
          <w:sz w:val="32"/>
          <w:szCs w:val="32"/>
        </w:rPr>
        <w:t>　全社会应当关心、尊重医疗卫生人员，维护良好安全的医疗卫生服务秩序，共同构建和谐医患关系。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医疗卫生人员的人身安全、人格尊严不受侵犯，其合法权益受法律保护。禁止任何组织或者个人威胁、危害医疗卫生人员人身安全，侵犯医疗卫生人员人格尊严。</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国家采取措施，保障医疗卫生人员执业环境。</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药品供应保障</w:t>
      </w:r>
    </w:p>
    <w:p>
      <w:pPr>
        <w:wordWrap/>
        <w:spacing w:line="560" w:lineRule="exact"/>
        <w:textAlignment w:val="auto"/>
        <w:rPr>
          <w:rFonts w:hint="eastAsia" w:ascii="仿宋_GB2312" w:hAnsi="仿宋_GB2312" w:eastAsia="仿宋_GB2312" w:cs="仿宋_GB2312"/>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第五十八条</w:t>
      </w:r>
      <w:r>
        <w:rPr>
          <w:rFonts w:hint="eastAsia" w:ascii="仿宋_GB2312" w:hAnsi="仿宋_GB2312" w:eastAsia="仿宋_GB2312" w:cs="仿宋_GB2312"/>
          <w:sz w:val="32"/>
          <w:szCs w:val="32"/>
        </w:rPr>
        <w:t>　国家完善药品供应保障制度，建立工作协调机制，保障药品的安全、有效、可及。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第五十九条</w:t>
      </w:r>
      <w:r>
        <w:rPr>
          <w:rFonts w:hint="eastAsia" w:ascii="仿宋_GB2312" w:hAnsi="仿宋_GB2312" w:eastAsia="仿宋_GB2312" w:cs="仿宋_GB2312"/>
          <w:sz w:val="32"/>
          <w:szCs w:val="32"/>
        </w:rPr>
        <w:t>　国家实施基本药物制度，遴选适当数量的基本药物品种，满足疾病防治基本用药需求。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国家公布基本药物目录，根据药品临床应用实践、药品标准变化、药品新上市情况等，对基本药物目录进行动态调整。</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基本药物按照规定优先纳入基本医疗保险药品目录。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国家提高基本药物的供给能力，强化基本药物质量监管，确保基本药物公平可及、合理使用。</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第六十条</w:t>
      </w:r>
      <w:r>
        <w:rPr>
          <w:rFonts w:hint="eastAsia" w:ascii="仿宋_GB2312" w:hAnsi="仿宋_GB2312" w:eastAsia="仿宋_GB2312" w:cs="仿宋_GB2312"/>
          <w:sz w:val="32"/>
          <w:szCs w:val="32"/>
        </w:rPr>
        <w:t>　国家建立健全以临床需求为导向的药品审评审批制度，支持临床急需药品、儿童用药品和防治罕见病、重大疾病等药品的研制、生产，满足疾病防治需求。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第六十一条</w:t>
      </w:r>
      <w:r>
        <w:rPr>
          <w:rFonts w:hint="eastAsia" w:ascii="仿宋_GB2312" w:hAnsi="仿宋_GB2312" w:eastAsia="仿宋_GB2312" w:cs="仿宋_GB2312"/>
          <w:sz w:val="32"/>
          <w:szCs w:val="32"/>
        </w:rPr>
        <w:t>　国家建立健全药品研制、生产、流通、使用全过程追溯制度，加强药品管理，保证药品质量。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第六十二条</w:t>
      </w:r>
      <w:r>
        <w:rPr>
          <w:rFonts w:hint="eastAsia" w:ascii="仿宋_GB2312" w:hAnsi="仿宋_GB2312" w:eastAsia="仿宋_GB2312" w:cs="仿宋_GB2312"/>
          <w:sz w:val="32"/>
          <w:szCs w:val="32"/>
        </w:rPr>
        <w:t>　国家建立健全药品价格监测体系，开展成本价格调查，加强药品价格监督检查，依法查处价格垄断、价格欺诈、不正当竞争等违法行为，维护药品价格秩序。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国家加强药品分类采购管理和指导。参加药品采购投标的投标人不得以低于成本的报价竞标，不得以欺诈、串通投标、滥用市场支配地位等方式竞标。</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第六十三条</w:t>
      </w:r>
      <w:r>
        <w:rPr>
          <w:rFonts w:hint="eastAsia" w:ascii="仿宋_GB2312" w:hAnsi="仿宋_GB2312" w:eastAsia="仿宋_GB2312" w:cs="仿宋_GB2312"/>
          <w:sz w:val="32"/>
          <w:szCs w:val="32"/>
        </w:rPr>
        <w:t>　国家建立中央与地方两级医药储备，用于保障重大灾情、疫情及其他突发事件等应急需要。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第六十四条</w:t>
      </w:r>
      <w:r>
        <w:rPr>
          <w:rFonts w:hint="eastAsia" w:ascii="仿宋_GB2312" w:hAnsi="仿宋_GB2312" w:eastAsia="仿宋_GB2312" w:cs="仿宋_GB2312"/>
          <w:sz w:val="32"/>
          <w:szCs w:val="32"/>
        </w:rPr>
        <w:t>　国家建立健全药品供求监测体系，及时收集和汇总分析药品供求信息，定期公布药品生产、流通、使用等情况。</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第六十五条</w:t>
      </w:r>
      <w:r>
        <w:rPr>
          <w:rFonts w:hint="eastAsia" w:ascii="仿宋_GB2312" w:hAnsi="仿宋_GB2312" w:eastAsia="仿宋_GB2312" w:cs="仿宋_GB2312"/>
          <w:sz w:val="32"/>
          <w:szCs w:val="32"/>
        </w:rPr>
        <w:t>　国家加强对医疗器械的管理，完善医疗器械的标准和规范，提高医疗器械的安全有效水平。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国务院卫生健康主管部门和省、自治区、直辖市人民政府卫生健康主管部门应当根据技术的先进性、适宜性和可及性，编制大型医用设备配置规划，促进区域内医用设备合理配置、充分共享。</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第六十六条</w:t>
      </w:r>
      <w:r>
        <w:rPr>
          <w:rFonts w:hint="eastAsia" w:ascii="仿宋_GB2312" w:hAnsi="仿宋_GB2312" w:eastAsia="仿宋_GB2312" w:cs="仿宋_GB2312"/>
          <w:sz w:val="32"/>
          <w:szCs w:val="32"/>
        </w:rPr>
        <w:t>　国家加强中药的保护与发展，充分体现中药的特色和优势，发挥其在预防、保健、医疗、康复中的作用。</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健康促进</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第六十七条</w:t>
      </w:r>
      <w:r>
        <w:rPr>
          <w:rFonts w:hint="eastAsia" w:ascii="仿宋_GB2312" w:hAnsi="仿宋_GB2312" w:eastAsia="仿宋_GB2312" w:cs="仿宋_GB2312"/>
          <w:sz w:val="32"/>
          <w:szCs w:val="32"/>
        </w:rPr>
        <w:t>　各级人民政府应当加强健康教育工作及其专业人才培养，建立健康知识和技能核心信息发布制度，普及健康科学知识，向公众提供科学、准确的健康信息。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卫生、教育、体育、宣传等机构、基层群众性自治组织和社会组织应当开展健康知识的宣传和普及。医疗卫生人员在提供医疗卫生服务时，应当对患者开展健康教育。新闻媒体应当开展健康知识的公益宣传。健康知识的宣传应当科学、准确。</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第六十八条</w:t>
      </w:r>
      <w:r>
        <w:rPr>
          <w:rFonts w:hint="eastAsia" w:ascii="仿宋_GB2312" w:hAnsi="仿宋_GB2312" w:eastAsia="仿宋_GB2312" w:cs="仿宋_GB2312"/>
          <w:sz w:val="32"/>
          <w:szCs w:val="32"/>
        </w:rPr>
        <w:t>　国家将健康教育纳入国民教育体系。学校应当利用多种形式实施健康教育，普及健康知识、科学健身知识、急救知识和技能，提高学生主动防病的意识，培养学生良好的卫生习惯和健康的行为习惯，减少、改善学生近视、肥胖等不良健康状况。</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学校应当按照规定开设体育与健康课程，组织学生开展广播体操、眼保健操、体能锻炼等活动。</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学校按照规定配备校医，建立和完善卫生室、保健室等。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县级以上人民政府教育主管部门应当按照规定将学生体质健康水平纳入学校考核体系。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第六十九条</w:t>
      </w:r>
      <w:r>
        <w:rPr>
          <w:rFonts w:hint="eastAsia" w:ascii="仿宋_GB2312" w:hAnsi="仿宋_GB2312" w:eastAsia="仿宋_GB2312" w:cs="仿宋_GB2312"/>
          <w:sz w:val="32"/>
          <w:szCs w:val="32"/>
        </w:rPr>
        <w:t>　公民是自己健康的第一责任人，树立和践行对自己健康负责的健康管理理念，主动学习健康知识，提高健康素养，加强健康管理。倡导家庭成员相互关爱，形成符合自身和家庭特点的健康生活方式。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公民应当尊重他人的健康权利和利益，不得损害他人健康和社会公共利益。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第七十条　</w:t>
      </w:r>
      <w:r>
        <w:rPr>
          <w:rFonts w:hint="eastAsia" w:ascii="仿宋_GB2312" w:hAnsi="仿宋_GB2312" w:eastAsia="仿宋_GB2312" w:cs="仿宋_GB2312"/>
          <w:sz w:val="32"/>
          <w:szCs w:val="32"/>
        </w:rPr>
        <w:t>国家组织居民健康状况调查和统计，开展体质监测，对健康绩效进行评估，并根据评估结果制定、完善与健康相关的法律、法规、政策和规划。</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第七十一条</w:t>
      </w:r>
      <w:r>
        <w:rPr>
          <w:rFonts w:hint="eastAsia" w:ascii="仿宋_GB2312" w:hAnsi="仿宋_GB2312" w:eastAsia="仿宋_GB2312" w:cs="仿宋_GB2312"/>
          <w:sz w:val="32"/>
          <w:szCs w:val="32"/>
        </w:rPr>
        <w:t>　国家建立疾病和健康危险因素监测、调查和风险评估制度。县级以上人民政府及其有关部门针对影响健康的主要问题，组织开展健康危险因素研究，制定综合防治措施。</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国家加强影响健康的环境问题预防和治理，组织开展环境质量对健康影响的研究，采取措施预防和控制与环境问题有关的疾病。</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第七十二条　</w:t>
      </w:r>
      <w:r>
        <w:rPr>
          <w:rFonts w:hint="eastAsia" w:ascii="仿宋_GB2312" w:hAnsi="仿宋_GB2312" w:eastAsia="仿宋_GB2312" w:cs="仿宋_GB2312"/>
          <w:sz w:val="32"/>
          <w:szCs w:val="32"/>
        </w:rPr>
        <w:t>国家大力开展爱国卫生运动，鼓励和支持开展爱国卫生月等群众性卫生与健康活动，依靠和动员群众控制和消除健康危险因素，改善环境卫生状况，建设健康城市、健康村镇、健康社区。</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第七十三条</w:t>
      </w:r>
      <w:r>
        <w:rPr>
          <w:rFonts w:hint="eastAsia" w:ascii="仿宋_GB2312" w:hAnsi="仿宋_GB2312" w:eastAsia="仿宋_GB2312" w:cs="仿宋_GB2312"/>
          <w:sz w:val="32"/>
          <w:szCs w:val="32"/>
        </w:rPr>
        <w:t>　国家建立科学、严格的食品、饮用水安全监督管理制度，提高安全水平。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第七十四条</w:t>
      </w:r>
      <w:r>
        <w:rPr>
          <w:rFonts w:hint="eastAsia" w:ascii="仿宋_GB2312" w:hAnsi="仿宋_GB2312" w:eastAsia="仿宋_GB2312" w:cs="仿宋_GB2312"/>
          <w:sz w:val="32"/>
          <w:szCs w:val="32"/>
        </w:rPr>
        <w:t>　国家建立营养状况监测制度，实施经济欠发达地区、重点人群营养干预计划，开展未成年人和老年人营养改善行动，倡导健康饮食习惯，减少不健康饮食引起的疾病风险。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第七十五条</w:t>
      </w:r>
      <w:r>
        <w:rPr>
          <w:rFonts w:hint="eastAsia" w:ascii="仿宋_GB2312" w:hAnsi="仿宋_GB2312" w:eastAsia="仿宋_GB2312" w:cs="仿宋_GB2312"/>
          <w:sz w:val="32"/>
          <w:szCs w:val="32"/>
        </w:rPr>
        <w:t>　国家发展全民健身事业，完善覆盖城乡的全民健身公共服务体系，加强公共体育设施建设，组织开展和支持全民健身活动，加强全民健身指导服务，普及科学健身知识和方法。</w:t>
      </w:r>
    </w:p>
    <w:p>
      <w:pPr>
        <w:wordWrap/>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国家鼓励单位的体育场地设施向公众开放。</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第七十六条</w:t>
      </w:r>
      <w:r>
        <w:rPr>
          <w:rFonts w:hint="eastAsia" w:ascii="仿宋_GB2312" w:hAnsi="仿宋_GB2312" w:eastAsia="仿宋_GB2312" w:cs="仿宋_GB2312"/>
          <w:sz w:val="32"/>
          <w:szCs w:val="32"/>
        </w:rPr>
        <w:t>　国家制定并实施未成年人、妇女、老年人、残疾人等的健康工作计划，加强重点人群健康服务。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国家推动长期护理保障工作，鼓励发展长期护理保险。</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第七十七条</w:t>
      </w:r>
      <w:r>
        <w:rPr>
          <w:rFonts w:hint="eastAsia" w:ascii="仿宋_GB2312" w:hAnsi="仿宋_GB2312" w:eastAsia="仿宋_GB2312" w:cs="仿宋_GB2312"/>
          <w:sz w:val="32"/>
          <w:szCs w:val="32"/>
        </w:rPr>
        <w:t>　国家完善公共场所卫生管理制度。县级以上人民政府卫生健康等主管部门应当加强对公共场所的卫生监督。公共场所卫生监督信息应当依法向社会公开。</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公共场所经营单位应当建立健全并严格实施卫生管理制度，保证其经营活动持续符合国家对公共场所的卫生要求。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第七十八条</w:t>
      </w:r>
      <w:r>
        <w:rPr>
          <w:rFonts w:hint="eastAsia" w:ascii="仿宋_GB2312" w:hAnsi="仿宋_GB2312" w:eastAsia="仿宋_GB2312" w:cs="仿宋_GB2312"/>
          <w:sz w:val="32"/>
          <w:szCs w:val="32"/>
        </w:rPr>
        <w:t>　国家采取措施，减少吸烟对公民健康的危害。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公共场所控制吸烟，强化监督执法。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烟草制品包装应当印制带有说明吸烟危害的警示。</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禁止向未成年人出售烟酒。</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第七十九条　</w:t>
      </w:r>
      <w:r>
        <w:rPr>
          <w:rFonts w:hint="eastAsia" w:ascii="仿宋_GB2312" w:hAnsi="仿宋_GB2312" w:eastAsia="仿宋_GB2312" w:cs="仿宋_GB2312"/>
          <w:sz w:val="32"/>
          <w:szCs w:val="32"/>
        </w:rPr>
        <w:t>用人单位应当为职工创造有益于健康的环境和条件，严格执行劳动安全卫生等相关规定，积极组织职工开展健身活动，保护职工健康。</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国家鼓励用人单位开展职工健康指导工作。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国家提倡用人单位为职工定期开展健康检查。法律、法规对健康检查有规定的，依照其规定。</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资金保障</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第八十条</w:t>
      </w:r>
      <w:r>
        <w:rPr>
          <w:rFonts w:hint="eastAsia" w:ascii="仿宋_GB2312" w:hAnsi="仿宋_GB2312" w:eastAsia="仿宋_GB2312" w:cs="仿宋_GB2312"/>
          <w:sz w:val="32"/>
          <w:szCs w:val="32"/>
        </w:rPr>
        <w:t>　各级人民政府应当切实履行发展医疗卫生与健康事业的职责，建立与经济社会发展、财政状况和健康指标相适应的医疗卫生与健康事业投入机制，将医疗卫生与健康促进经费纳入本级政府预算，按照规定主要用于保障基本医疗服务、公共卫生服务、基本医疗保障和政府举办的医疗卫生机构建设和运行发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第八十一条</w:t>
      </w:r>
      <w:r>
        <w:rPr>
          <w:rFonts w:hint="eastAsia" w:ascii="仿宋_GB2312" w:hAnsi="仿宋_GB2312" w:eastAsia="仿宋_GB2312" w:cs="仿宋_GB2312"/>
          <w:sz w:val="32"/>
          <w:szCs w:val="32"/>
        </w:rPr>
        <w:t>　县级以上人民政府通过预算、审计、监督执法、社会监督等方式，加强资金的监督管理。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第八十二条</w:t>
      </w:r>
      <w:r>
        <w:rPr>
          <w:rFonts w:hint="eastAsia" w:ascii="仿宋_GB2312" w:hAnsi="仿宋_GB2312" w:eastAsia="仿宋_GB2312" w:cs="仿宋_GB2312"/>
          <w:sz w:val="32"/>
          <w:szCs w:val="32"/>
        </w:rPr>
        <w:t>　基本医疗服务费用主要由基本医疗保险基金和个人支付。国家依法多渠道筹集基本医疗保险基金，逐步完善基本医疗保险可持续筹资和保障水平调整机制。</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公民有依法参加基本医疗保险的权利和义务。用人单位和职工按照国家规定缴纳职工基本医疗保险费。城乡居民按照规定缴纳城乡居民基本医疗保险费。</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第八十三条</w:t>
      </w:r>
      <w:r>
        <w:rPr>
          <w:rFonts w:hint="eastAsia" w:ascii="仿宋_GB2312" w:hAnsi="仿宋_GB2312" w:eastAsia="仿宋_GB2312" w:cs="仿宋_GB2312"/>
          <w:sz w:val="32"/>
          <w:szCs w:val="32"/>
        </w:rPr>
        <w:t>　国家建立以基本医疗保险为主体，商业健康保险、医疗救助、职工互助医疗和医疗慈善服务等为补充的、多层次的医疗保障体系。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国家鼓励发展商业健康保险，满足人民群众多样化健康保障需求。</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国家完善医疗救助制度，保障符合条件的困难群众获得基本医疗服务。</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第八十四条</w:t>
      </w:r>
      <w:r>
        <w:rPr>
          <w:rFonts w:hint="eastAsia" w:ascii="仿宋_GB2312" w:hAnsi="仿宋_GB2312" w:eastAsia="仿宋_GB2312" w:cs="仿宋_GB2312"/>
          <w:sz w:val="32"/>
          <w:szCs w:val="32"/>
        </w:rPr>
        <w:t>　国家建立健全基本医疗保险经办机构与协议定点医疗卫生机构之间的协商谈判机制，科学合理确定基本医疗保险基金支付标准和支付方式，引导医疗卫生机构合理诊疗，促进患者有序流动，提高基本医疗保险基金使用效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第八十五条</w:t>
      </w:r>
      <w:r>
        <w:rPr>
          <w:rFonts w:hint="eastAsia" w:ascii="仿宋_GB2312" w:hAnsi="仿宋_GB2312" w:eastAsia="仿宋_GB2312" w:cs="仿宋_GB2312"/>
          <w:sz w:val="32"/>
          <w:szCs w:val="32"/>
        </w:rPr>
        <w:t>　基本医疗保险基金支付范围由国务院医疗保障主管部门组织制定，并应当听取国务院卫生健康主管部门、中医药主管部门、药品监督管理部门、财政部门等的意见。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省、自治区、直辖市人民政府可以按照国家有关规定，补充确定本行政区域基本医疗保险基金支付的具体项目和标准，并报国务院医疗保障主管部门备案。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医疗保障主管部门应当对纳入支付范围的基本医疗保险药品目录、诊疗项目、医疗服务设施标准等组织开展循证医学和经济性评价，并应当听取国务院卫生健康主管部门、中医药主管部门、药品监督管理部门、财政部门等有关方面的意见。评价结果应当作为调整基本医疗保险基金支付范围的依据。</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监督管理</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第八十六条</w:t>
      </w:r>
      <w:r>
        <w:rPr>
          <w:rFonts w:hint="eastAsia" w:ascii="仿宋_GB2312" w:hAnsi="仿宋_GB2312" w:eastAsia="仿宋_GB2312" w:cs="仿宋_GB2312"/>
          <w:sz w:val="32"/>
          <w:szCs w:val="32"/>
        </w:rPr>
        <w:t>　国家建立健全机构自治、行业自律、政府监管、社会监督相结合的医疗卫生综合监督管理体系。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县级以上人民政府卫生健康主管部门对医疗卫生行业实行属地化、全行业监督管理。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第八十七条</w:t>
      </w:r>
      <w:r>
        <w:rPr>
          <w:rFonts w:hint="eastAsia" w:ascii="仿宋_GB2312" w:hAnsi="仿宋_GB2312" w:eastAsia="仿宋_GB2312" w:cs="仿宋_GB2312"/>
          <w:sz w:val="32"/>
          <w:szCs w:val="32"/>
        </w:rPr>
        <w:t>　县级以上人民政府医疗保障主管部门应当提高医疗保障监管能力和水平，对纳入基本医疗保险基金支付范围的医疗服务行为和医疗费用加强监督管理，确保基本医疗保险基金合理使用、安全可控。</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第八十八条</w:t>
      </w:r>
      <w:r>
        <w:rPr>
          <w:rFonts w:hint="eastAsia" w:ascii="仿宋_GB2312" w:hAnsi="仿宋_GB2312" w:eastAsia="仿宋_GB2312" w:cs="仿宋_GB2312"/>
          <w:sz w:val="32"/>
          <w:szCs w:val="32"/>
        </w:rPr>
        <w:t>　县级以上人民政府应当组织卫生健康、医疗保障、药品监督管理、发展改革、财政等部门建立沟通协商机制，加强制度衔接和工作配合，提高医疗卫生资源使用效率和保障水平。</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第八十九条</w:t>
      </w:r>
      <w:r>
        <w:rPr>
          <w:rFonts w:hint="eastAsia" w:ascii="仿宋_GB2312" w:hAnsi="仿宋_GB2312" w:eastAsia="仿宋_GB2312" w:cs="仿宋_GB2312"/>
          <w:sz w:val="32"/>
          <w:szCs w:val="32"/>
        </w:rPr>
        <w:t>　县级以上人民政府应当定期向本级人民代表大会或者其常务委员会报告基本医疗卫生与健康促进工作，依法接受监督。</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第九十条</w:t>
      </w:r>
      <w:r>
        <w:rPr>
          <w:rFonts w:hint="eastAsia" w:ascii="仿宋_GB2312" w:hAnsi="仿宋_GB2312" w:eastAsia="仿宋_GB2312" w:cs="仿宋_GB2312"/>
          <w:sz w:val="32"/>
          <w:szCs w:val="32"/>
        </w:rPr>
        <w:t>　县级以上人民政府有关部门未履行医疗卫生与健康促进工作相关职责的，本级人民政府或者上级人民政府有关部门应当对其主要负责人进行约谈。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地方人民政府未履行医疗卫生与健康促进工作相关职责的，上级人民政府应当对其主要负责人进行约谈。</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被约谈的部门和地方人民政府应当立即采取措施，进行整改。</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约谈情况和整改情况应当纳入有关部门和地方人民政府工作评议、考核记录。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第九十一条</w:t>
      </w:r>
      <w:r>
        <w:rPr>
          <w:rFonts w:hint="eastAsia" w:ascii="仿宋_GB2312" w:hAnsi="仿宋_GB2312" w:eastAsia="仿宋_GB2312" w:cs="仿宋_GB2312"/>
          <w:sz w:val="32"/>
          <w:szCs w:val="32"/>
        </w:rPr>
        <w:t>　县级以上地方人民政府卫生健康主管部门应当建立医疗卫生机构绩效评估制度，组织对医疗卫生机构的服务质量、医疗技术、药品和医用设备使用等情况进行评估。评估应当吸收行业组织和公众参与。评估结果应当以适当方式向社会公开，作为评价医疗卫生机构和卫生监管的重要依据。</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第九十二条</w:t>
      </w:r>
      <w:r>
        <w:rPr>
          <w:rFonts w:hint="eastAsia" w:ascii="仿宋_GB2312" w:hAnsi="仿宋_GB2312" w:eastAsia="仿宋_GB2312" w:cs="仿宋_GB2312"/>
          <w:sz w:val="32"/>
          <w:szCs w:val="32"/>
        </w:rPr>
        <w:t>　国家保护公民个人健康信息，确保公民个人健康信息安全。任何组织或者个人不得非法收集、使用、加工、传输公民个人健康信息，不得非法买卖、提供或者公开公民个人健康信息。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第九十三条</w:t>
      </w:r>
      <w:r>
        <w:rPr>
          <w:rFonts w:hint="eastAsia" w:ascii="仿宋_GB2312" w:hAnsi="仿宋_GB2312" w:eastAsia="仿宋_GB2312" w:cs="仿宋_GB2312"/>
          <w:sz w:val="32"/>
          <w:szCs w:val="32"/>
        </w:rPr>
        <w:t>　县级以上人民政府卫生健康主管部门、医疗保障主管部门应当建立医疗卫生机构、人员等信用记录制度，纳入全国信用信息共享平台，按照国家规定实施联合惩戒。</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第九十四条</w:t>
      </w:r>
      <w:r>
        <w:rPr>
          <w:rFonts w:hint="eastAsia" w:ascii="仿宋_GB2312" w:hAnsi="仿宋_GB2312" w:eastAsia="仿宋_GB2312" w:cs="仿宋_GB2312"/>
          <w:sz w:val="32"/>
          <w:szCs w:val="32"/>
        </w:rPr>
        <w:t>　县级以上地方人民政府卫生健康主管部门及其委托的卫生健康监督机构，依法开展本行政区域医疗卫生等行政执法工作。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第九十五条　</w:t>
      </w:r>
      <w:r>
        <w:rPr>
          <w:rFonts w:hint="eastAsia" w:ascii="仿宋_GB2312" w:hAnsi="仿宋_GB2312" w:eastAsia="仿宋_GB2312" w:cs="仿宋_GB2312"/>
          <w:sz w:val="32"/>
          <w:szCs w:val="32"/>
        </w:rPr>
        <w:t>县级以上人民政府卫生健康主管部门应当积极培育医疗卫生行业组织，发挥其在医疗卫生与健康促进工作中的作用，支持其参与行业管理规范、技术标准制定和医疗卫生评价、评估、评审等工作。</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第九十六条</w:t>
      </w:r>
      <w:r>
        <w:rPr>
          <w:rFonts w:hint="eastAsia" w:ascii="仿宋_GB2312" w:hAnsi="仿宋_GB2312" w:eastAsia="仿宋_GB2312" w:cs="仿宋_GB2312"/>
          <w:sz w:val="32"/>
          <w:szCs w:val="32"/>
        </w:rPr>
        <w:t>　国家建立医疗纠纷预防和处理机制，妥善处理医疗纠纷，维护医疗秩序。</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第九十七条</w:t>
      </w:r>
      <w:r>
        <w:rPr>
          <w:rFonts w:hint="eastAsia" w:ascii="仿宋_GB2312" w:hAnsi="仿宋_GB2312" w:eastAsia="仿宋_GB2312" w:cs="仿宋_GB2312"/>
          <w:sz w:val="32"/>
          <w:szCs w:val="32"/>
        </w:rPr>
        <w:t>　国家鼓励公民、法人和其他组织对医疗卫生与健康促进工作进行社会监督。</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任何组织和个人对违反本法规定的行为，有权向县级以上人民政府卫生健康主管部门和其他有关部门投诉、举报。</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法律责任</w:t>
      </w:r>
    </w:p>
    <w:p>
      <w:pPr>
        <w:wordWrap/>
        <w:spacing w:line="560" w:lineRule="exact"/>
        <w:ind w:firstLine="640" w:firstLineChars="200"/>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第九十八条</w:t>
      </w:r>
      <w:r>
        <w:rPr>
          <w:rFonts w:hint="eastAsia" w:ascii="仿宋_GB2312" w:hAnsi="仿宋_GB2312" w:eastAsia="仿宋_GB2312" w:cs="仿宋_GB2312"/>
          <w:sz w:val="32"/>
          <w:szCs w:val="32"/>
        </w:rPr>
        <w:t>　违反本法规定，地方各级人民政府、县级以上人民政府卫生健康主管部门和其他有关部门，滥用职权、玩忽职守、徇私舞弊的，对直接负责的主管人员和其他直接责任人员依法给予处分。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第九十九条</w:t>
      </w:r>
      <w:r>
        <w:rPr>
          <w:rFonts w:hint="eastAsia" w:ascii="仿宋_GB2312" w:hAnsi="仿宋_GB2312" w:eastAsia="仿宋_GB2312" w:cs="仿宋_GB2312"/>
          <w:sz w:val="32"/>
          <w:szCs w:val="32"/>
        </w:rPr>
        <w:t>　违反本法规定，未取得医疗机构执业许可证擅自执业的，由县级以上人民政府卫生健康主管部门责令停止执业活动，没收违法所得和药品、医疗器械，并处违法所得五倍以上二十倍以下的罚款，违法所得不足一万元的，按一万元计算。</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违反本法规定，伪造、变造、买卖、出租、出借医疗机构执业许可证的，由县级以上人民政府卫生健康主管部门责令改正，没收违法所得，并处违法所得五倍以上十五倍以下的罚款，违法所得不足一万元的，按一万元计算；情节严重的，吊销医疗机构执业许可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第一百条</w:t>
      </w:r>
      <w:r>
        <w:rPr>
          <w:rFonts w:hint="eastAsia" w:ascii="仿宋_GB2312" w:hAnsi="仿宋_GB2312" w:eastAsia="仿宋_GB2312" w:cs="仿宋_GB2312"/>
          <w:sz w:val="32"/>
          <w:szCs w:val="32"/>
        </w:rPr>
        <w:t>　违反本法规定，有下列行为之一的，由县级以上人民政府卫生健康主管部门责令改正，没收违法所得，并处违法所得二倍以上十倍以下的罚款，违法所得不足一万元的，按一万元计算；对直接负责的主管人员和其他直接责任人员依法给予处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（一）政府举办的医疗卫生机构与其他组织投资设立非独立法人资格的医疗卫生机构；</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（二）医疗卫生机构对外出租、承包医疗科室；</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（三）非营利性医疗卫生机构向出资人、举办者分配或者变相分配收益。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第一百零一条</w:t>
      </w:r>
      <w:r>
        <w:rPr>
          <w:rFonts w:hint="eastAsia" w:ascii="仿宋_GB2312" w:hAnsi="仿宋_GB2312" w:eastAsia="仿宋_GB2312" w:cs="仿宋_GB2312"/>
          <w:sz w:val="32"/>
          <w:szCs w:val="32"/>
        </w:rPr>
        <w:t>　违反本法规定，医疗卫生机构等的医疗信息安全制度、保障措施不健全，导致医疗信息泄露，或者医疗质量管理和医疗技术管理制度、安全措施不健全的，由县级以上人民政府卫生健康等主管部门责令改正，给予警告，并处一万元以上五万元以下的罚款；情节严重的，可以责令停止相应执业活动，对直接负责的主管人员和其他直接责任人员依法追究法律责任。</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第一百零二条</w:t>
      </w:r>
      <w:r>
        <w:rPr>
          <w:rFonts w:hint="eastAsia" w:ascii="仿宋_GB2312" w:hAnsi="仿宋_GB2312" w:eastAsia="仿宋_GB2312" w:cs="仿宋_GB2312"/>
          <w:sz w:val="32"/>
          <w:szCs w:val="32"/>
        </w:rPr>
        <w:t>　违反本法规定，医疗卫生人员有下列行为之一的，由县级以上人民政府卫生健康主管部门依照有关执业医师、护士管理和医疗纠纷预防处理等法律、行政法规的规定给予行政处罚：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（一）利用职务之便索要、非法收受财物或者牟取其他不正当利益；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（二）泄露公民个人健康信息；</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（三）在开展医学研究或提供医疗卫生服务过程中未按照规定履行告知义务或者违反医学伦理规范。</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前款规定的人员属于政府举办的医疗卫生机构中的人员的，依法给予处分。</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第一百零三条</w:t>
      </w:r>
      <w:r>
        <w:rPr>
          <w:rFonts w:hint="eastAsia" w:ascii="仿宋_GB2312" w:hAnsi="仿宋_GB2312" w:eastAsia="仿宋_GB2312" w:cs="仿宋_GB2312"/>
          <w:sz w:val="32"/>
          <w:szCs w:val="32"/>
        </w:rPr>
        <w:t>　违反本法规定，参加药品采购投标的投标人以低于成本的报价竞标，或者以欺诈、串通投标、滥用市场支配地位等方式竞标的，由县级以上人民政府医疗保障主管部门责令改正，没收违法所得；中标的，中标无效，处中标项目金额千分之五以上千分之十以下的罚款，对法定代表人、主要负责人、直接负责的主管人员和其他责任人员处对单位罚款数额百分之五以上百分之十以下的罚款；情节严重的，取消其二年至五年内参加药品采购投标的资格并予以公告。</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第一百零四条</w:t>
      </w:r>
      <w:r>
        <w:rPr>
          <w:rFonts w:hint="eastAsia" w:ascii="仿宋_GB2312" w:hAnsi="仿宋_GB2312" w:eastAsia="仿宋_GB2312" w:cs="仿宋_GB2312"/>
          <w:sz w:val="32"/>
          <w:szCs w:val="32"/>
        </w:rPr>
        <w:t>　违反本法规定，以欺诈、伪造证明材料或者其他手段骗取基本医疗保险待遇，或者基本医疗保险经办机构以及医疗机构、药品经营单位等以欺诈、伪造证明材料或者其他手段骗取基本医疗保险基金支出的，由县级以上人民政府医疗保障主管部门依照有关社会保险的法律、行政法规规定给予行政处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第一百零五条</w:t>
      </w:r>
      <w:r>
        <w:rPr>
          <w:rFonts w:hint="eastAsia" w:ascii="仿宋_GB2312" w:hAnsi="仿宋_GB2312" w:eastAsia="仿宋_GB2312" w:cs="仿宋_GB2312"/>
          <w:sz w:val="32"/>
          <w:szCs w:val="32"/>
        </w:rPr>
        <w:t>　违反本法规定，扰乱医疗卫生机构执业场所秩序，威胁、危害医疗卫生人员人身安全，侵犯医疗卫生人员人格尊严，非法收集、使用、加工、传输公民个人健康信息，非法买卖、提供或者公开公民个人健康信息等，构成违反治安管理行为的，依法给予治安管理处罚。</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第一百零六条</w:t>
      </w:r>
      <w:r>
        <w:rPr>
          <w:rFonts w:hint="eastAsia" w:ascii="仿宋_GB2312" w:hAnsi="仿宋_GB2312" w:eastAsia="仿宋_GB2312" w:cs="仿宋_GB2312"/>
          <w:sz w:val="32"/>
          <w:szCs w:val="32"/>
        </w:rPr>
        <w:t>　违反本法规定，构成犯罪的，依法追究刑事责任；造成人身、财产损害的，依法承担民事责任。</w:t>
      </w:r>
    </w:p>
    <w:p>
      <w:pPr>
        <w:wordWrap/>
        <w:spacing w:line="560" w:lineRule="exact"/>
        <w:textAlignment w:val="auto"/>
        <w:rPr>
          <w:rFonts w:hint="eastAsia" w:ascii="黑体" w:hAnsi="黑体" w:eastAsia="黑体" w:cs="黑体"/>
          <w:sz w:val="32"/>
          <w:szCs w:val="32"/>
        </w:rPr>
      </w:pPr>
    </w:p>
    <w:p>
      <w:pPr>
        <w:wordWrap/>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第十章　附　　则</w:t>
      </w:r>
    </w:p>
    <w:p>
      <w:pPr>
        <w:wordWrap/>
        <w:spacing w:line="560" w:lineRule="exact"/>
        <w:textAlignment w:val="auto"/>
        <w:rPr>
          <w:rFonts w:hint="eastAsia" w:ascii="黑体" w:hAnsi="黑体" w:eastAsia="黑体" w:cs="黑体"/>
          <w:sz w:val="32"/>
          <w:szCs w:val="32"/>
        </w:rPr>
      </w:pP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第一百零七条　</w:t>
      </w:r>
      <w:r>
        <w:rPr>
          <w:rFonts w:hint="eastAsia" w:ascii="仿宋_GB2312" w:hAnsi="仿宋_GB2312" w:eastAsia="仿宋_GB2312" w:cs="仿宋_GB2312"/>
          <w:sz w:val="32"/>
          <w:szCs w:val="32"/>
        </w:rPr>
        <w:t>本法中下列用语的含义：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（一）主要健康指标，是指人均预期寿命、孕产妇死亡率、婴儿死亡率、五岁以下儿童死亡率等。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（二）医疗卫生机构，是指基层医疗卫生机构、医院和专业公共卫生机构等。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（三）基层医疗卫生机构，是指乡镇卫生院、社区卫生服务中心（站）、村卫生室、医务室、门诊部和诊所等。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（四）专业公共卫生机构，是指疾病预防控制中心、专科疾病防治机构、健康教育机构、急救中心（站）和血站等。</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（五）医疗卫生人员，是指执业医师、执业助理医师、注册护士、药师（士）、检验技师（士）、影像技师（士）和乡村医生等卫生专业人员。</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（六）基本药物，是指满足疾病防治基本用药需求，适应现阶段基本国情和保障能力，剂型适宜，价格合理，能够保障供应，可公平获得的药品。</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第一百零八条</w:t>
      </w:r>
      <w:r>
        <w:rPr>
          <w:rFonts w:hint="eastAsia" w:ascii="仿宋_GB2312" w:hAnsi="仿宋_GB2312" w:eastAsia="仿宋_GB2312" w:cs="仿宋_GB2312"/>
          <w:sz w:val="32"/>
          <w:szCs w:val="32"/>
        </w:rPr>
        <w:t>　省、自治区、直辖市和设区的市、自治州可以结合实际，制定本地方发展医疗卫生与健康事业的具体办法。</w:t>
      </w:r>
    </w:p>
    <w:p>
      <w:pPr>
        <w:wordWrap/>
        <w:spacing w:line="560"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第一百零九条</w:t>
      </w:r>
      <w:r>
        <w:rPr>
          <w:rFonts w:hint="eastAsia" w:ascii="仿宋_GB2312" w:hAnsi="仿宋_GB2312" w:eastAsia="仿宋_GB2312" w:cs="仿宋_GB2312"/>
          <w:sz w:val="32"/>
          <w:szCs w:val="32"/>
        </w:rPr>
        <w:t>　中国人民解放军和中国人民武装警察部队的医疗卫生与健康促进工作，由国务院和中央军事委员会依照本法制定管理办法。</w:t>
      </w:r>
    </w:p>
    <w:p>
      <w:pPr>
        <w:wordWrap/>
        <w:spacing w:line="560" w:lineRule="exact"/>
        <w:textAlignment w:val="auto"/>
        <w:rPr>
          <w:rFonts w:hint="eastAsia" w:ascii="宋体" w:hAnsi="宋体" w:eastAsia="宋体" w:cs="宋体"/>
          <w:kern w:val="0"/>
          <w:sz w:val="44"/>
          <w:szCs w:val="44"/>
          <w:lang w:eastAsia="zh-CN"/>
        </w:rPr>
      </w:pPr>
      <w:r>
        <w:rPr>
          <w:rFonts w:hint="eastAsia" w:ascii="黑体" w:hAnsi="黑体" w:eastAsia="黑体" w:cs="黑体"/>
          <w:sz w:val="32"/>
          <w:szCs w:val="32"/>
        </w:rPr>
        <w:t>第一百一十条</w:t>
      </w:r>
      <w:r>
        <w:rPr>
          <w:rFonts w:hint="eastAsia" w:ascii="仿宋_GB2312" w:hAnsi="仿宋_GB2312" w:eastAsia="仿宋_GB2312" w:cs="仿宋_GB2312"/>
          <w:sz w:val="32"/>
          <w:szCs w:val="32"/>
        </w:rPr>
        <w:t>　本法自2020年6月1日起施行。</w:t>
      </w:r>
    </w:p>
    <w:p>
      <w:pPr>
        <w:wordWrap/>
        <w:spacing w:line="560" w:lineRule="exact"/>
        <w:textAlignment w:val="auto"/>
        <w:rPr>
          <w:rFonts w:hint="eastAsia" w:ascii="宋体" w:hAnsi="宋体" w:eastAsia="宋体" w:cs="宋体"/>
          <w:kern w:val="0"/>
          <w:sz w:val="44"/>
          <w:szCs w:val="44"/>
          <w:lang w:eastAsia="zh-CN"/>
        </w:rPr>
      </w:pPr>
      <w:r>
        <w:rPr>
          <w:rFonts w:hint="eastAsia" w:ascii="宋体" w:hAnsi="宋体" w:eastAsia="宋体" w:cs="宋体"/>
          <w:kern w:val="0"/>
          <w:sz w:val="44"/>
          <w:szCs w:val="44"/>
          <w:lang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eastAsia="zh-CN"/>
        </w:rPr>
      </w:pPr>
      <w:bookmarkStart w:id="12" w:name="_Toc20378"/>
      <w:r>
        <w:rPr>
          <w:rFonts w:hint="eastAsia" w:ascii="宋体" w:hAnsi="宋体" w:eastAsia="宋体" w:cs="宋体"/>
          <w:kern w:val="0"/>
          <w:sz w:val="44"/>
          <w:szCs w:val="44"/>
          <w:lang w:eastAsia="zh-CN"/>
        </w:rPr>
        <w:t>中华人民共和国执业医师法</w:t>
      </w:r>
      <w:bookmarkEnd w:id="12"/>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宋体" w:cs="宋体"/>
          <w:sz w:val="32"/>
          <w:szCs w:val="32"/>
          <w:lang w:eastAsia="zh-CN"/>
        </w:rPr>
      </w:pPr>
      <w:r>
        <w:rPr>
          <w:rFonts w:hint="eastAsia" w:ascii="宋体" w:hAnsi="宋体" w:eastAsia="楷体_GB2312" w:cs="楷体_GB2312"/>
          <w:sz w:val="32"/>
          <w:szCs w:val="32"/>
          <w:lang w:eastAsia="zh-CN"/>
        </w:rPr>
        <w:t>（1998年6月26日第九届全国人民代表大会常务委员会第三次会议通过　根据2009年8月27日第十一届全国人民代表大会常务委员会第十次会议《关于修改部分法律的决定》修正）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第二章　考试和注册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第三章　执业规则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第四章　考核和培训</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　　第五章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r>
        <w:rPr>
          <w:rFonts w:hint="eastAsia" w:ascii="宋体" w:hAnsi="宋体" w:eastAsia="楷体_GB2312" w:cs="楷体_GB2312"/>
          <w:sz w:val="32"/>
          <w:szCs w:val="32"/>
          <w:lang w:eastAsia="zh-CN"/>
        </w:rPr>
        <w:t>　　第六章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eastAsia="宋体" w:cs="宋体"/>
          <w:sz w:val="32"/>
          <w:szCs w:val="32"/>
          <w:lang w:eastAsia="zh-CN"/>
        </w:rPr>
        <w:t>　　</w:t>
      </w:r>
      <w:r>
        <w:rPr>
          <w:rFonts w:hint="eastAsia" w:ascii="宋体" w:hAnsi="宋体" w:eastAsia="黑体" w:cs="黑体"/>
          <w:sz w:val="32"/>
          <w:szCs w:val="32"/>
          <w:lang w:eastAsia="zh-CN"/>
        </w:rPr>
        <w:t>第一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为了加强医师队伍的建设，提高医师的职业道德和业务素质，保障医师的合法权益，保护人民健康，制定本法。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依法取得执业医师资格或者执业助理医师资格，经注册在医疗、预防、保健机构中执业的专业医务人员，适用本法。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本法所称医师，包括执业医师和执业助理医师。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医师应当具备良好的职业道德和医疗执业水平，发扬人道主义精神，履行防病治病、救死扶伤、保护人民健康的神圣职责。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全社会应当尊重医师。医师依法履行职责，受法律保护。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国务院卫生行政部门主管全国的医师工作。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县级以上地方人民政府卫生行政部门负责管理本行政区域内的医师工作。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国家对在医疗、预防、保健工作中作出贡献的医师，给予奖励。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医师的医学专业技术职称和医学专业技术职务的评定、聘任，按照国家有关规定办理。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医师可以依法组织和参加医师协会。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第二章　考试和注册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国家实行医师资格考试制度。医师资格考试分为执业医师资格考试和执业助理医师资格考试。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医师资格统一考试的办法，由国务院卫生行政部门制定。医师资格考试由省级以上人民政府卫生行政部门组织实施。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具有下列条件之一的，可以参加执业医师资格考试: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（一）具有高等学校医学专业本科以上学历，在执业医师指导下，在医疗、预防、保健机构中试用期满一年的；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（二）取得执业助理医师执业证书后，具有高等学校医学专科学历，在医疗、预防、保健机构中工作满二年的；具有中等专业学校医学专业学历，在医疗、预防、保健机构中工作满五年的。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具有高等学校医学专科学历或者中等专业学校医学专业学历，在执业医师指导下，在医疗、预防、保健机构中试用期满一年的，可以参加执业助理医师资格考试。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以师承方式学习传统医学满三年或者经多年实践医术确有专长的，经县级以上人民政府卫生行政部门确定的传统医学专业组织或者医疗、预防、保健机构考核合格并推荐，可以参加执业医师资格或者执业助理医师资格考试。考试的内容和办法由国务院卫生行政部门另行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医师资格考试成绩合格，取得执业医师资格或者执业助理医师资格。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国家实行医师执业注册制度。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取得医师资格的，可以向所在地县级以上人民政府卫生行政部门申请注册。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除有本法第十五条规定的情形外，受理申请的卫生行政部门应当自收到申请之日起三十日内准予注册，并发给由国务院卫生行政部门统一印制的医师执业证书。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医疗、预防、保健机构可以为本机构中的医师集体办理注册手续。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医师经注册后，可以在医疗、预防、保健机构中按照注册的执业地点、执业类别、执业范围执业，从事相应的医疗、预防、保健业务。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未经医师注册取得执业证书，不得从事医师执业活动。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有下列情形之一的，不予注册: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（一）不具有完全民事行为能力的；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（二）因受刑事处罚，自刑罚执行完毕之日起至申请注册之日止不满二年的；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（三）受吊销医师执业证书行政处罚，自处罚决定之日起至申请注册之日止不满二年的；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（四）有国务院卫生行政部门规定不宜从事医疗、预防、保健业务的其他情形的。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eastAsia="仿宋_GB2312" w:cs="仿宋_GB2312"/>
          <w:sz w:val="32"/>
          <w:szCs w:val="32"/>
          <w:lang w:eastAsia="zh-CN"/>
        </w:rPr>
        <w:t>　　受理申请的卫生行政部门对不符合条件不予注册的，应当自收到申请之日起三十日内书面通知申请人，并说明理由。申请人有异议的，可以自收到通知之日起十五日内，依法申请复议或者向人民法院提起诉讼。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医师注册后有下列情形之一的，其所在的医疗、预防、保健机构应当在三十日内报告准予注册的卫生行政部门，卫生行政部门应当注销注册，收回医师执业证书: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（一）死亡或者被宣告失踪的；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（二）受刑事处罚的；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（三）受吊销医师执业证书行政处罚的；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（四）依照本法第三十一条规定暂停执业活动期满，再次考核仍不合格的；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（五）中止医师执业活动满二年的；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（六）有国务院卫生行政部门规定不宜从事医疗、预防、保健业务的其他情形的。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被注销注册的当事人有异议的，可以自收到注销注册通知之日起十五日内，依法申请复议或者向人民法院提起诉讼。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医师变更执业地点、执业类别、执业范围等注册事项的，应当到准予注册的卫生行政部门依照本法第十三条的规定办理变更注册手续。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中止医师执业活动二年以上以及有本法第十五条规定情形消失的，申请重新执业，应当由本法第三十一条规定的机构考核合格，并依照本法第十三条的规定重新注册。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第十九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申请个体行医的执业医师，须经注册后在医疗、预防、保健机构中执业满五年，并按照国家有关规定办理审批手续；未经批准，不得行医。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县级以上地方人民政府卫生行政部门对个体行医的医师，应当按照国务院卫生行政部门的规定，经常监督检查，凡发现有本法第十六条规定的情形的，应当及时注销注册，收回医师执业证书。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县级以上地方人民政府卫生行政部门应当将准予注册和注销注册的人员名单予以公告，并由省级人民政府卫生行政部门汇总，报国务院卫生行政部门备案。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第三章　执业规则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医师在执业活动中享有下列权利: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（一）在注册的执业范围内，进行医学诊查、疾病调查、医学处置、出具相应的医学证明文件，选择合理的医疗、预防、保健方案；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（二）按照国务院卫生行政部门规定的标准，获得与本人执业活动相当的医疗设备基本条件；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（三）从事医学研究、学术交流，参加专业学术团体；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（四）参加专业培训，接受继续医学教育；</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（五）在执业活动中，人格尊严、人身安全不受侵犯；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（六）获取工资报酬和津贴，享受国家规定的福利待遇；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（七）对所在机构的医疗、预防、保健工作和卫生行政部门的工作提出意见和建议，依法参与所在机构的民主管理。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医师在执业活动中履行下列义务: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（一）遵守法律、法规，遵守技术操作规范；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（二）树立敬业精神，遵守职业道德，履行医师职责，尽职尽责为患者服务；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（三）关心、爱护、尊重患者，保护患者的隐私；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（四）努力钻研业务，更新知识，提高专业技术水平；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（五）宣传卫生保健知识，对患者进行健康教育。</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医师实施医疗、预防、保健措施，签署有关医学证明文件，必须亲自诊查、调查，并按照规定及时填写医学文书，不得隐匿、伪造或者销毁医学文书及有关资料。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医师不得出具与自己执业范围无关或者与执业类别不相符的医学证明文件。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对急危患者，医师应当采取紧急措施进行诊治；不得拒绝急救处置。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医师应当使用经国家有关部门批准使用的药品、消毒药剂和医疗器械。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除正当诊断治疗外，不得使用麻醉药品、医疗用毒性药品、精神药品和放射性药品。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医师应当如实向患者或者其家属介绍病情，但应注意避免对患者产生不利后果。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医师进行实验性临床医疗，应当经医院批准并征得患者本人或者其家属同意。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医师不得利用职务之便，索取、非法收受患者财物或者牟取其他不正当利益。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遇有自然灾害、传染病流行、突发重大伤亡事故及其他严重威胁人民生命健康的紧急情况时，医师应当服从县级以上人民政府卫生行政部门的调遣。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第二十九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医师发生医疗事故或者发现传染病疫情时，应当按照有关规定及时向所在机构或者卫生行政部门报告。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医师发现患者涉嫌伤害事件或者非正常死亡时，应当按照有关规定向有关部门报告。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执业助理医师应当在执业医师的指导下，在医疗、预防、保健机构中按照其执业类别执业。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在乡、民族乡、镇的医疗、预防、保健机构中工作的执业助理医师，可以根据医疗诊治的情况和需要，独立从事一般的执业活动。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第四章　考核和培训</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受县级以上人民政府卫生行政部门委托的机构或者组织应当按照医师执业标准，对医师的业务水平、工作成绩和职业道德状况进行定期考核。</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对医师的考核结果，考核机构应当报告准予注册的卫生行政部门备案。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对考核不合格的医师，县级以上人民政府卫生行政部门可以责令其暂停执业活动三个月至六个月，并接受培训和继续医学教育。暂停执业活动期满，再次进行考核，对考核合格的，允许其继续执业；对考核不合格的，由县级以上人民政府卫生行政部门注销注册，收回医师执业证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县级以上人民政府卫生行政部门负责指导、检查和监督医师考核工作。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医师有下列情形之一的，县级以上人民政府卫生行政部门应当给予表彰或者奖励: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（一）在执业活动中，医德高尚，事迹突出的；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（二）对医学专业技术有重大突破，作出显著贡献的；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（三）遇有自然灾害、传染病流行、突发重大伤亡事故及其他严重威胁人民生命健康的紧急情况时，救死扶伤、抢救诊疗表现突出的；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（四）长期在边远贫困地区、少数民族地区条件艰苦的基层单位努力工作的；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（五）国务院卫生行政部门规定应当予以表彰或者奖励的其他情形的。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县级以上人民政府卫生行政部门应当制定医师培训计划，对医师进行多种形式的培训，为医师接受继续医学教育提供条件。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县级以上人民政府卫生行政部门应当采取有力措施，对在农村和少数民族地区从事医疗、预防、保健业务的医务人员实施培训。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医疗、预防、保健机构应当按照规定和计划保证本机构医师的培训和继续医学教育。</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县级以上人民政府卫生行政部门委托的承担医师考核任务的医疗卫生机构，应当为医师的培训和接受继续医学教育提供和创造条件。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第五章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以不正当手段取得医师执业证书的，由发给证书的卫生行政部门予以吊销；对负有直接责任的主管人员和其他直接责任人员，依法给予行政处分。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医师在执业活动中，违反本法规定，有下列行为之一的，由县级以上人民政府卫生行政部门给予警告或者责令暂停六个月以上一年以下执业活动；情节严重的，吊销其执业证书；构成犯罪的，依法追究刑事责任: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（一）违反卫生行政规章制度或者技术操作规范，造成严重后果的；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（二）由于不负责任延误急危患者的抢救和诊治，造成严重后果的；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（三）造成医疗责任事故的；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（四）未经亲自诊查、调查，签署诊断、治疗、流行病学等证明文件或者有关出生、死亡等证明文件的；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（五）隐匿、伪造或者擅自销毁医学文书及有关资料的；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（六）使用未经批准使用的药品、消毒药剂和医疗器械的；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（七）不按照规定使用麻醉药品、医疗用毒性药品、精神药品和放射性药品的；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（八）未经患者或者其家属同意，对患者进行实验性临床医疗的；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（九）泄露患者隐私，造成严重后果的；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（十）利用职务之便，索取、非法收受患者财物或者牟取其他不正当利益的；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（十一）发生自然灾害、传染病流行、突发重大伤亡事故以及其他严重威胁人民生命健康的紧急情况时，不服从卫生行政部门调遣的；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仿宋_GB2312" w:cs="仿宋_GB2312"/>
          <w:sz w:val="32"/>
          <w:szCs w:val="32"/>
          <w:lang w:eastAsia="zh-CN"/>
        </w:rPr>
        <w:t>（十二）发生医疗事故或者发现传染病疫情，患者涉嫌伤害事件或者非正常死亡，不按照规定报告的。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医师在医疗、预防、保健工作中造成事故的，依照法律或者国家有关规定处理。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第三十九</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未经批准擅自开办医疗机构行医或者非医师行医的，由县级以上人民政府卫生行政部门予以取缔，没收其违法所得及其药品、器械，并处十万元以下的罚款；对医师吊销其执业证书；给患者造成损害的，依法承担赔偿责任；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阻碍医师依法执业，侮辱、诽谤、威胁、殴打医师或者侵犯医师人身自由、干扰医师正常工作、生活的，依照治安管理处罚法的规定处罚；构成犯罪的，依法追究刑事责任。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第四十一</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医疗、预防、保健机构未依照本法第十六条的规定履行报告职责，导致严重后果的，由县级以上人民政府卫生行政部门给予警告；并对该机构的行政负责人依法给予行政处分。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第四十二</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卫生行政部门工作人员或者医疗、预防、保健机构工作人员违反本法有关规定，弄虚作假、玩忽职守、滥用职权、徇私舞弊，尚不构成犯罪的，依法给予行政处分；构成犯罪的，依法追究刑事责任。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第六章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sz w:val="32"/>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第四十三</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本法颁布之日前按照国家有关规定取得医学专业技术职称和医学专业技术职务的人员，由所在机构报请县级以上人民政府卫生行政部门认定，取得相应的医师资格。其中在医疗、预防、保健机构中从事医疗、预防、保健业务的医务人员，依照本法规定的条件，由所在机构集体核报县级以上人民政府卫生行政部门，予以注册并发给医师执业证书。具体办法由国务院卫生行政部门会同国务院人事行政部门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第四十四</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计划生育技术服务机构中的医师，适用本法。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第四十五</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在乡村医疗卫生机构中向村民提供预防、保健和一般医疗服务的乡村医生，符合本法有关规定的，可以依法取得执业医师资格或者执业助理医师资格；不具备本法规定的执业医师资格或者执业助理医师资格的乡村医生，由国务院另行制定管理办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第四十六</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军队医师执行本法的实施办法，由国务院、中央军事委员会依据本法的原则制定。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第四十七</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境外人员在中国境内申请医师考试、注册、执业或者从事临床示教、临床研究等活动的，按照国家有关规定办理。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sz w:val="32"/>
          <w:szCs w:val="32"/>
          <w:lang w:eastAsia="zh-CN"/>
        </w:rPr>
      </w:pPr>
      <w:r>
        <w:rPr>
          <w:rFonts w:hint="eastAsia" w:ascii="宋体" w:hAnsi="宋体" w:cs="仿宋_GB2312"/>
          <w:sz w:val="32"/>
          <w:szCs w:val="32"/>
          <w:lang w:eastAsia="zh-CN"/>
        </w:rPr>
        <w:t>　　</w:t>
      </w:r>
      <w:r>
        <w:rPr>
          <w:rFonts w:hint="eastAsia" w:ascii="宋体" w:hAnsi="宋体" w:eastAsia="黑体" w:cs="黑体"/>
          <w:sz w:val="32"/>
          <w:szCs w:val="32"/>
          <w:lang w:eastAsia="zh-CN"/>
        </w:rPr>
        <w:t>第四十八</w:t>
      </w:r>
      <w:r>
        <w:rPr>
          <w:rFonts w:hint="eastAsia" w:ascii="宋体" w:hAnsi="宋体" w:eastAsia="黑体" w:cs="仿宋_GB2312"/>
          <w:sz w:val="32"/>
          <w:szCs w:val="32"/>
          <w:lang w:eastAsia="zh-CN"/>
        </w:rPr>
        <w:t>条</w:t>
      </w:r>
      <w:r>
        <w:rPr>
          <w:rFonts w:hint="eastAsia" w:ascii="宋体" w:hAnsi="宋体" w:eastAsia="仿宋_GB2312" w:cs="仿宋_GB2312"/>
          <w:sz w:val="32"/>
          <w:szCs w:val="32"/>
          <w:lang w:eastAsia="zh-CN"/>
        </w:rPr>
        <w:t>　本法自1999年5月1日起施行。</w:t>
      </w:r>
    </w:p>
    <w:p>
      <w:pPr>
        <w:widowControl w:val="0"/>
        <w:wordWrap/>
        <w:overflowPunct w:val="0"/>
        <w:spacing w:beforeAutospacing="0" w:afterAutospacing="0" w:line="560" w:lineRule="exact"/>
        <w:ind w:firstLine="640"/>
        <w:jc w:val="left"/>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sz w:val="44"/>
          <w:szCs w:val="44"/>
          <w:lang w:eastAsia="zh-CN"/>
        </w:rPr>
      </w:pPr>
      <w:r>
        <w:rPr>
          <w:rFonts w:hint="eastAsia" w:ascii="宋体" w:hAnsi="宋体" w:eastAsia="宋体" w:cs="宋体"/>
          <w:sz w:val="44"/>
          <w:szCs w:val="44"/>
          <w:lang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eastAsia="zh-CN"/>
        </w:rPr>
      </w:pPr>
      <w:bookmarkStart w:id="13" w:name="_Toc6850"/>
      <w:r>
        <w:rPr>
          <w:rFonts w:hint="eastAsia" w:ascii="宋体" w:hAnsi="宋体" w:eastAsia="宋体" w:cs="宋体"/>
          <w:kern w:val="0"/>
          <w:sz w:val="44"/>
          <w:szCs w:val="44"/>
          <w:lang w:eastAsia="zh-CN"/>
        </w:rPr>
        <w:t>中华人民共和国食品安全法</w:t>
      </w:r>
      <w:bookmarkEnd w:id="13"/>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cs="仿宋_GB2312"/>
          <w:sz w:val="32"/>
          <w:szCs w:val="32"/>
          <w:lang w:eastAsia="zh-CN"/>
        </w:rPr>
      </w:pPr>
      <w:r>
        <w:rPr>
          <w:rFonts w:hint="eastAsia" w:ascii="宋体" w:hAnsi="宋体" w:cs="仿宋_GB2312"/>
          <w:sz w:val="32"/>
          <w:szCs w:val="32"/>
          <w:lang w:eastAsia="zh-CN"/>
        </w:rPr>
        <w:br w:type="textWrapping"/>
      </w:r>
      <w:r>
        <w:rPr>
          <w:rFonts w:hint="eastAsia" w:ascii="宋体" w:hAnsi="宋体" w:cs="仿宋_GB2312"/>
          <w:sz w:val="32"/>
          <w:szCs w:val="32"/>
          <w:lang w:eastAsia="zh-CN"/>
        </w:rPr>
        <w:t>（2009年2月28日第十一届全国人民代表大会常务委员会第七次会议通过　2015年4月24日第十二届全国人民代表大会常务委员会第十四次会议修订　根据2018年12月29日第十三届全国人民代表大会常务委员会第七次会议《关于修改〈中华人民共和国产品质量法〉等五部法律的决定》修正）</w:t>
      </w: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cs="仿宋_GB2312"/>
          <w:sz w:val="32"/>
          <w:szCs w:val="32"/>
          <w:lang w:eastAsia="zh-CN"/>
        </w:rPr>
      </w:pPr>
      <w:r>
        <w:rPr>
          <w:rFonts w:hint="eastAsia" w:ascii="宋体" w:hAnsi="宋体" w:cs="仿宋_GB2312"/>
          <w:sz w:val="32"/>
          <w:szCs w:val="32"/>
          <w:lang w:val="en-US"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第一章　总 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第二章　食品安全风险监测和评估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第三章　食品安全标准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第四章　食品生产经营</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第一节　一般规定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第二节　生产经营过程控制</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val="en-US" w:eastAsia="zh-CN"/>
        </w:rPr>
      </w:pPr>
      <w:r>
        <w:rPr>
          <w:rFonts w:hint="eastAsia" w:ascii="宋体" w:hAnsi="宋体" w:cs="仿宋_GB2312"/>
          <w:sz w:val="32"/>
          <w:szCs w:val="32"/>
          <w:lang w:val="en-US" w:eastAsia="zh-CN"/>
        </w:rPr>
        <w:t>　　第三节　标签、说明书和广告</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仿宋_GB2312"/>
          <w:sz w:val="32"/>
          <w:szCs w:val="32"/>
          <w:lang w:eastAsia="zh-CN"/>
        </w:rPr>
      </w:pPr>
      <w:r>
        <w:rPr>
          <w:rFonts w:hint="eastAsia" w:ascii="宋体" w:hAnsi="宋体" w:cs="仿宋_GB2312"/>
          <w:sz w:val="32"/>
          <w:szCs w:val="32"/>
          <w:lang w:val="en-US" w:eastAsia="zh-CN"/>
        </w:rPr>
        <w:t>　　第四节　特殊食品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第五章　食品检验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第六章　食品进出口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第七章　食品安全事故处置</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第八章　监督管理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第九章　法律责任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第十章　附　　则</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第一章　总　　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4" w:name="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第一条</w:t>
      </w:r>
      <w:bookmarkEnd w:id="14"/>
      <w:r>
        <w:rPr>
          <w:rFonts w:hint="eastAsia" w:ascii="宋体" w:hAnsi="宋体" w:cs="仿宋_GB2312"/>
          <w:sz w:val="32"/>
          <w:szCs w:val="32"/>
          <w:lang w:val="en-US" w:eastAsia="zh-CN"/>
        </w:rPr>
        <w:t>　为了保证食品安全，保障公众身体健康和生命安全，制定本法。</w:t>
      </w:r>
      <w:r>
        <w:rPr>
          <w:rFonts w:hint="eastAsia" w:ascii="宋体" w:hAnsi="宋体" w:cs="仿宋_GB2312"/>
          <w:sz w:val="32"/>
          <w:szCs w:val="32"/>
          <w:lang w:val="en-US" w:eastAsia="zh-CN"/>
        </w:rPr>
        <w:br w:type="textWrapping"/>
      </w:r>
      <w:bookmarkStart w:id="15" w:name="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第二条</w:t>
      </w:r>
      <w:bookmarkEnd w:id="1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在中华人民共和国境内从事下列活动，应当遵守本法：</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（一）食品生产和加工（以下称食品生产），食品销售和餐饮服务（以下称食品经营）；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（二）食品添加剂的生产经营；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（三）用于食品的包装材料、容器、洗涤剂、消毒剂和用于食品生产经营的工具、设备（以下称食品相关产品）的生产经营；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（四）食品生产经营者使用食品添加剂、食品相关产品；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（五）食品的贮存和运输；</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（六）对食品、食品添加剂、食品相关产品的安全管理。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供食用的源于农业的初级产品（以下称食用农产品）的质量安全管理，遵守《</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(324966,0)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中华人民共和国农产品质量安全法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》的规定。但是，食用农产品的市场销售、有关质量安全标准的制定、有关安全信息的公布和本法对农业投入品作出规定的，应当遵守本法的规定。</w:t>
      </w:r>
      <w:r>
        <w:rPr>
          <w:rFonts w:hint="eastAsia" w:ascii="宋体" w:hAnsi="宋体" w:cs="仿宋_GB2312"/>
          <w:sz w:val="32"/>
          <w:szCs w:val="32"/>
          <w:lang w:val="en-US" w:eastAsia="zh-CN"/>
        </w:rPr>
        <w:br w:type="textWrapping"/>
      </w:r>
      <w:bookmarkStart w:id="16" w:name="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第三条</w:t>
      </w:r>
      <w:bookmarkEnd w:id="16"/>
      <w:r>
        <w:rPr>
          <w:rFonts w:hint="eastAsia" w:ascii="宋体" w:hAnsi="宋体" w:cs="仿宋_GB2312"/>
          <w:sz w:val="32"/>
          <w:szCs w:val="32"/>
          <w:lang w:val="en-US" w:eastAsia="zh-CN"/>
        </w:rPr>
        <w:t>　食品安全工作实行预防为主、风险管理、全程控制、社会共治，建立科学、严格的监督管理制度。</w:t>
      </w:r>
      <w:r>
        <w:rPr>
          <w:rFonts w:hint="eastAsia" w:ascii="宋体" w:hAnsi="宋体" w:cs="仿宋_GB2312"/>
          <w:sz w:val="32"/>
          <w:szCs w:val="32"/>
          <w:lang w:val="en-US" w:eastAsia="zh-CN"/>
        </w:rPr>
        <w:br w:type="textWrapping"/>
      </w:r>
      <w:bookmarkStart w:id="17" w:name="4"/>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第四条</w:t>
      </w:r>
      <w:bookmarkEnd w:id="17"/>
      <w:r>
        <w:rPr>
          <w:rFonts w:hint="eastAsia" w:ascii="宋体" w:hAnsi="宋体" w:cs="仿宋_GB2312"/>
          <w:sz w:val="32"/>
          <w:szCs w:val="32"/>
          <w:lang w:val="en-US" w:eastAsia="zh-CN"/>
        </w:rPr>
        <w:t>　食品生产经营者对其生产经营食品的安全负责。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食品生产经营者应当依照法律、法规和食品安全标准从事生产经营活动，保证食品安全，诚信自律，对社会和公众负责，接受社会监督，承担社会责任。</w:t>
      </w:r>
      <w:r>
        <w:rPr>
          <w:rFonts w:hint="eastAsia" w:ascii="宋体" w:hAnsi="宋体" w:cs="仿宋_GB2312"/>
          <w:sz w:val="32"/>
          <w:szCs w:val="32"/>
          <w:lang w:val="en-US" w:eastAsia="zh-CN"/>
        </w:rPr>
        <w:br w:type="textWrapping"/>
      </w:r>
      <w:bookmarkStart w:id="18" w:name="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第五条</w:t>
      </w:r>
      <w:bookmarkEnd w:id="18"/>
      <w:r>
        <w:rPr>
          <w:rFonts w:hint="eastAsia" w:ascii="宋体" w:hAnsi="宋体" w:cs="仿宋_GB2312"/>
          <w:sz w:val="32"/>
          <w:szCs w:val="32"/>
          <w:lang w:val="en-US" w:eastAsia="zh-CN"/>
        </w:rPr>
        <w:t>　国务院设立食品安全委员会，其职责由国务院规定。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国务院食品安全监督管理部门依照本法和国务院规定的职责，对食品生产经营活动实施监督管理。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国务院卫生行政部门依照本法和国务院规定的职责，组织开展食品安全风险监测和风险评估，会同国务院食品安全监督管理部门制定并公布食品安全国家标准。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国务院其他有关部门依照本法和国务院规定的职责，承担有关食品安全工作。</w:t>
      </w:r>
      <w:r>
        <w:rPr>
          <w:rFonts w:hint="eastAsia" w:ascii="宋体" w:hAnsi="宋体" w:cs="仿宋_GB2312"/>
          <w:sz w:val="32"/>
          <w:szCs w:val="32"/>
          <w:lang w:val="en-US" w:eastAsia="zh-CN"/>
        </w:rPr>
        <w:br w:type="textWrapping"/>
      </w:r>
      <w:bookmarkStart w:id="19" w:name="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第六条</w:t>
      </w:r>
      <w:bookmarkEnd w:id="19"/>
      <w:r>
        <w:rPr>
          <w:rFonts w:hint="eastAsia" w:ascii="宋体" w:hAnsi="宋体" w:cs="仿宋_GB2312"/>
          <w:sz w:val="32"/>
          <w:szCs w:val="32"/>
          <w:lang w:val="en-US" w:eastAsia="zh-CN"/>
        </w:rPr>
        <w:t>　县级以上地方人民政府对本行政区域的食品安全监督管理工作负责，统一领导、组织、协调本行政区域的食品安全监督管理工作以及食品安全突发事件应对工作，建立健全食品安全全程监督管理工作机制和信息共享机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县级以上地方人民政府依照本法和国务院的规定，确定本级食品安全监督管理、卫生行政部门和其他有关部门的职责。有关部门在各自职责范围内负责本行政区域的食品安全监督管理工作。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县级人民政府食品安全监督管理部门可以在乡镇或者特定区域设立派出机构。</w:t>
      </w:r>
      <w:r>
        <w:rPr>
          <w:rFonts w:hint="eastAsia" w:ascii="宋体" w:hAnsi="宋体" w:cs="仿宋_GB2312"/>
          <w:sz w:val="32"/>
          <w:szCs w:val="32"/>
          <w:lang w:val="en-US" w:eastAsia="zh-CN"/>
        </w:rPr>
        <w:br w:type="textWrapping"/>
      </w:r>
      <w:bookmarkStart w:id="20" w:name="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第七条</w:t>
      </w:r>
      <w:bookmarkEnd w:id="20"/>
      <w:r>
        <w:rPr>
          <w:rFonts w:hint="eastAsia" w:ascii="宋体" w:hAnsi="宋体" w:cs="仿宋_GB2312"/>
          <w:sz w:val="32"/>
          <w:szCs w:val="32"/>
          <w:lang w:val="en-US" w:eastAsia="zh-CN"/>
        </w:rPr>
        <w:t>　县级以上地方人民政府实行食品安全监督管理责任制。上级人民政府负责对下一级人民政府的食品安全监督管理工作进行评议、考核。县级以上地方人民政府负责对本级食品安全监督管理部门和其他有关部门的食品安全监督管理工作进行评议、考核。</w:t>
      </w:r>
      <w:r>
        <w:rPr>
          <w:rFonts w:hint="eastAsia" w:ascii="宋体" w:hAnsi="宋体" w:cs="仿宋_GB2312"/>
          <w:sz w:val="32"/>
          <w:szCs w:val="32"/>
          <w:lang w:val="en-US" w:eastAsia="zh-CN"/>
        </w:rPr>
        <w:br w:type="textWrapping"/>
      </w:r>
      <w:bookmarkStart w:id="21" w:name="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第八条</w:t>
      </w:r>
      <w:bookmarkEnd w:id="21"/>
      <w:r>
        <w:rPr>
          <w:rFonts w:hint="eastAsia" w:ascii="宋体" w:hAnsi="宋体" w:cs="仿宋_GB2312"/>
          <w:sz w:val="32"/>
          <w:szCs w:val="32"/>
          <w:lang w:val="en-US" w:eastAsia="zh-CN"/>
        </w:rPr>
        <w:t>　县级以上人民政府应当将食品安全工作纳入本级国民经济和社会发展规划，将食品安全工作经费列入本级政府财政预算，加强食品安全监督管理能力建设，为食品安全工作提供保障。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县级以上人民政府食品安全监督管理部门和其他有关部门应当加强沟通、密切配合，按照各自职责分工，依法行使职权，承担责任。</w:t>
      </w:r>
      <w:r>
        <w:rPr>
          <w:rFonts w:hint="eastAsia" w:ascii="宋体" w:hAnsi="宋体" w:cs="仿宋_GB2312"/>
          <w:sz w:val="32"/>
          <w:szCs w:val="32"/>
          <w:lang w:val="en-US" w:eastAsia="zh-CN"/>
        </w:rPr>
        <w:br w:type="textWrapping"/>
      </w:r>
      <w:bookmarkStart w:id="22" w:name="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第九条</w:t>
      </w:r>
      <w:bookmarkEnd w:id="2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食品行业协会应当加强行业自律，按照章程建立健全行业规范和奖惩机制，提供食品安全信息、技术等服务，引导和督促食品生产经营者依法生产经营，推动行业诚信建设，宣传、普及食品安全知识。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消费者协会和其他消费者组织对违反本法规定，损害消费者合法权益的行为，依法进行社会监督。</w:t>
      </w:r>
      <w:r>
        <w:rPr>
          <w:rFonts w:hint="eastAsia" w:ascii="宋体" w:hAnsi="宋体" w:cs="仿宋_GB2312"/>
          <w:sz w:val="32"/>
          <w:szCs w:val="32"/>
          <w:lang w:val="en-US" w:eastAsia="zh-CN"/>
        </w:rPr>
        <w:br w:type="textWrapping"/>
      </w:r>
      <w:bookmarkStart w:id="23" w:name="1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第十条</w:t>
      </w:r>
      <w:bookmarkEnd w:id="23"/>
      <w:r>
        <w:rPr>
          <w:rFonts w:hint="eastAsia" w:ascii="宋体" w:hAnsi="宋体" w:cs="仿宋_GB2312"/>
          <w:sz w:val="32"/>
          <w:szCs w:val="32"/>
          <w:lang w:val="en-US" w:eastAsia="zh-CN"/>
        </w:rPr>
        <w:t>　各级人民政府应当加强食品安全的宣传教育，普及食品安全知识，鼓励社会组织、基层群众性自治组织、食品生产经营者开展食品安全法律、法规以及食品安全标准和知识的普及工作，倡导健康的饮食方式，增强消费者食品安全意识和自我保护能力。</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新闻媒体应当开展食品安全法律、法规以及食品安全标准和知识的公益宣传，并对食品安全违法行为进行舆论监督。有关食品安全的宣传报道应当真实、公正。</w:t>
      </w:r>
      <w:r>
        <w:rPr>
          <w:rFonts w:hint="eastAsia" w:ascii="宋体" w:hAnsi="宋体" w:cs="仿宋_GB2312"/>
          <w:sz w:val="32"/>
          <w:szCs w:val="32"/>
          <w:lang w:val="en-US" w:eastAsia="zh-CN"/>
        </w:rPr>
        <w:br w:type="textWrapping"/>
      </w:r>
      <w:bookmarkStart w:id="24" w:name="11"/>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第十一条</w:t>
      </w:r>
      <w:bookmarkEnd w:id="24"/>
      <w:r>
        <w:rPr>
          <w:rFonts w:hint="eastAsia" w:ascii="宋体" w:hAnsi="宋体" w:cs="仿宋_GB2312"/>
          <w:sz w:val="32"/>
          <w:szCs w:val="32"/>
          <w:lang w:val="en-US" w:eastAsia="zh-CN"/>
        </w:rPr>
        <w:t>　国家鼓励和支持开展与食品安全有关的基础研究、应用研究，鼓励和支持食品生产经营者为提高食品安全水平采用先进技术和先进管理规范。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国家对农药的使用实行严格的管理制度，加快淘汰剧毒、高毒、高残留农药，推动替代产品的研发和应用，鼓励使用高效低毒低残留农药。</w:t>
      </w:r>
      <w:r>
        <w:rPr>
          <w:rFonts w:hint="eastAsia" w:ascii="宋体" w:hAnsi="宋体" w:cs="仿宋_GB2312"/>
          <w:sz w:val="32"/>
          <w:szCs w:val="32"/>
          <w:lang w:val="en-US" w:eastAsia="zh-CN"/>
        </w:rPr>
        <w:br w:type="textWrapping"/>
      </w:r>
      <w:bookmarkStart w:id="25" w:name="12"/>
      <w:r>
        <w:rPr>
          <w:rFonts w:hint="eastAsia" w:ascii="宋体" w:hAnsi="宋体" w:eastAsia="黑体" w:cs="黑体"/>
          <w:sz w:val="32"/>
          <w:szCs w:val="32"/>
          <w:lang w:val="en-US" w:eastAsia="zh-CN"/>
        </w:rPr>
        <w:t>　  第十二条</w:t>
      </w:r>
      <w:bookmarkEnd w:id="25"/>
      <w:r>
        <w:rPr>
          <w:rFonts w:hint="eastAsia" w:ascii="宋体" w:hAnsi="宋体" w:cs="仿宋_GB2312"/>
          <w:sz w:val="32"/>
          <w:szCs w:val="32"/>
          <w:lang w:val="en-US" w:eastAsia="zh-CN"/>
        </w:rPr>
        <w:t>　任何组织或者个人有权举报食品安全违法行为，依法向有关部门了解食品安全信息，对食品安全监督管理工作提出意见和建议。</w:t>
      </w:r>
      <w:r>
        <w:rPr>
          <w:rFonts w:hint="eastAsia" w:ascii="宋体" w:hAnsi="宋体" w:cs="仿宋_GB2312"/>
          <w:sz w:val="32"/>
          <w:szCs w:val="32"/>
          <w:lang w:val="en-US" w:eastAsia="zh-CN"/>
        </w:rPr>
        <w:br w:type="textWrapping"/>
      </w:r>
      <w:bookmarkStart w:id="26" w:name="13"/>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第十三条</w:t>
      </w:r>
      <w:bookmarkEnd w:id="2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对在食品安全工作中做出突出贡献的单位和个人，按照国家有关规定给予表彰、奖励。</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第二章　食品安全风险监测和评估</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27" w:name="14"/>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第十四条</w:t>
      </w:r>
      <w:bookmarkEnd w:id="27"/>
      <w:r>
        <w:rPr>
          <w:rFonts w:hint="eastAsia" w:ascii="宋体" w:hAnsi="宋体" w:cs="仿宋_GB2312"/>
          <w:sz w:val="32"/>
          <w:szCs w:val="32"/>
          <w:lang w:val="en-US" w:eastAsia="zh-CN"/>
        </w:rPr>
        <w:t>　国家建立食品安全风险监测制度，对食源性疾病、食品污染以及食品中的有害因素进行监测。</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国务院卫生行政部门会同国务院食品安全监督管理等部门，制定、实施国家食品安全风险监测计划。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食品安全监督管理部门和其他有关部门获知有关食品安全风险信息后，应当立即核实并向国务院卫生行政部门通报。对有关部门通报的食品安全风险信息以及医疗机构报告的食源性疾病等有关疾病信息，国务院卫生行政部门应当会同国务院有关部门分析研究，认为必要的，及时调整国家食品安全风险监测计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省、自治区、直辖市人民政府卫生行政部门会同同级食品安全监督管理等部门，根据国家食品安全风险监测计划，结合本行政区域的具体情况，制定、调整本行政区域的食品安全风险监测方案，报国务院卫生行政部门备案并实施。</w:t>
      </w:r>
      <w:r>
        <w:rPr>
          <w:rFonts w:hint="eastAsia" w:ascii="宋体" w:hAnsi="宋体" w:cs="仿宋_GB2312"/>
          <w:sz w:val="32"/>
          <w:szCs w:val="32"/>
          <w:lang w:val="en-US" w:eastAsia="zh-CN"/>
        </w:rPr>
        <w:br w:type="textWrapping"/>
      </w:r>
      <w:bookmarkStart w:id="28" w:name="1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第十五条</w:t>
      </w:r>
      <w:bookmarkEnd w:id="28"/>
      <w:r>
        <w:rPr>
          <w:rFonts w:hint="eastAsia" w:ascii="宋体" w:hAnsi="宋体" w:cs="仿宋_GB2312"/>
          <w:sz w:val="32"/>
          <w:szCs w:val="32"/>
          <w:lang w:val="en-US" w:eastAsia="zh-CN"/>
        </w:rPr>
        <w:t>　承担食品安全风险监测工作的技术机构应当根据食品安全风险监测计划和监测方案开展监测工作，保证监测数据真实、准确，并按照食品安全风险监测计划和监测方案的要求报送监测数据和分析结果。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食品安全风险监测工作人员有权进入相关食用农产品种植养殖、食品生产经营场所采集样品、收集相关数据。采集样品应当按照市场价格支付费用。</w:t>
      </w:r>
      <w:r>
        <w:rPr>
          <w:rFonts w:hint="eastAsia" w:ascii="宋体" w:hAnsi="宋体" w:cs="仿宋_GB2312"/>
          <w:sz w:val="32"/>
          <w:szCs w:val="32"/>
          <w:lang w:val="en-US" w:eastAsia="zh-CN"/>
        </w:rPr>
        <w:br w:type="textWrapping"/>
      </w:r>
      <w:bookmarkStart w:id="29" w:name="1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第十六条</w:t>
      </w:r>
      <w:bookmarkEnd w:id="29"/>
      <w:r>
        <w:rPr>
          <w:rFonts w:hint="eastAsia" w:ascii="宋体" w:hAnsi="宋体" w:cs="仿宋_GB2312"/>
          <w:sz w:val="32"/>
          <w:szCs w:val="32"/>
          <w:lang w:val="en-US" w:eastAsia="zh-CN"/>
        </w:rPr>
        <w:t>　食品安全风险监测结果表明可能存在食品安全隐患的，县级以上人民政府卫生行政部门应当及时将相关信息通报同级食品安全监督管理等部门，并报告本级人民政府和上级人民政府卫生行政部门。食品安全监督管理等部门应当组织开展进一步调查。</w:t>
      </w:r>
      <w:r>
        <w:rPr>
          <w:rFonts w:hint="eastAsia" w:ascii="宋体" w:hAnsi="宋体" w:cs="仿宋_GB2312"/>
          <w:sz w:val="32"/>
          <w:szCs w:val="32"/>
          <w:lang w:val="en-US" w:eastAsia="zh-CN"/>
        </w:rPr>
        <w:br w:type="textWrapping"/>
      </w:r>
      <w:bookmarkStart w:id="30" w:name="1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第十七条</w:t>
      </w:r>
      <w:bookmarkEnd w:id="30"/>
      <w:r>
        <w:rPr>
          <w:rFonts w:hint="eastAsia" w:ascii="宋体" w:hAnsi="宋体" w:cs="仿宋_GB2312"/>
          <w:sz w:val="32"/>
          <w:szCs w:val="32"/>
          <w:lang w:val="en-US" w:eastAsia="zh-CN"/>
        </w:rPr>
        <w:t>　国家建立食品安全风险评估制度，运用科学方法，根据食品安全风险监测信息、科学数据以及有关信息，对食品、食品添加剂、食品相关产品中生物性、化学性和物理性危害因素进行风险评估。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部门负责组织食品安全风险评估工作，成立由医学、农业、食品、营养、生物、环境等方面的专家组成的食品安全风险评估专家委员会进行食品安全风险评估。食品安全风险评估结果由国务院卫生行政部门公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对农药、肥料、兽药、饲料和饲料添加剂等的安全性评估，应当有食品安全风险评估专家委员会的专家参加。</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食品安全风险评估不得向生产经营者收取费用，采集样品应当按照市场价格支付费用。</w:t>
      </w:r>
      <w:r>
        <w:rPr>
          <w:rFonts w:hint="eastAsia" w:ascii="宋体" w:hAnsi="宋体" w:cs="仿宋_GB2312"/>
          <w:sz w:val="32"/>
          <w:szCs w:val="32"/>
          <w:lang w:val="en-US" w:eastAsia="zh-CN"/>
        </w:rPr>
        <w:br w:type="textWrapping"/>
      </w:r>
      <w:bookmarkStart w:id="31" w:name="1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第十八条</w:t>
      </w:r>
      <w:bookmarkEnd w:id="31"/>
      <w:r>
        <w:rPr>
          <w:rFonts w:hint="eastAsia" w:ascii="宋体" w:hAnsi="宋体" w:cs="仿宋_GB2312"/>
          <w:sz w:val="32"/>
          <w:szCs w:val="32"/>
          <w:lang w:val="en-US" w:eastAsia="zh-CN"/>
        </w:rPr>
        <w:t>　有下列情形之一的，应当进行食品安全风险评估：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（一）通过食品安全风险监测或者接到举报发现食品、食品添加剂、食品相关产品可能存在安全隐患的；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（二）为制定或者修订食品安全国家标准提供科学依据需要进行风险评估的；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（三）为确定监督管理的重点领域、重点品种需要进行风险评估的；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（四）发现新的可能危害食品安全因素的；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（五）需要判断某一因素是否构成食品安全隐患的；</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（六）国务院卫生行政部门认为需要进行风险评估的其他情形。</w:t>
      </w:r>
      <w:r>
        <w:rPr>
          <w:rFonts w:hint="eastAsia" w:ascii="宋体" w:hAnsi="宋体" w:cs="仿宋_GB2312"/>
          <w:sz w:val="32"/>
          <w:szCs w:val="32"/>
          <w:lang w:val="en-US" w:eastAsia="zh-CN"/>
        </w:rPr>
        <w:br w:type="textWrapping"/>
      </w:r>
      <w:bookmarkStart w:id="32" w:name="1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第十九条</w:t>
      </w:r>
      <w:bookmarkEnd w:id="32"/>
      <w:r>
        <w:rPr>
          <w:rFonts w:hint="eastAsia" w:ascii="宋体" w:hAnsi="宋体" w:cs="仿宋_GB2312"/>
          <w:sz w:val="32"/>
          <w:szCs w:val="32"/>
          <w:lang w:val="en-US" w:eastAsia="zh-CN"/>
        </w:rPr>
        <w:t>　国务院食品安全监督管理、农业行政等部门在监督管理工作中发现需要进行食品安全风险评估的，应当向国务院卫生行政部门提出食品安全风险评估的建议，并提供风险来源、相关检验数据和结论等信息、资料。属于本法第十八条规定情形的，国务院卫生行政部门应当及时进行食品安全风险评估，并向国务院有关部门通报评估结果。</w:t>
      </w:r>
      <w:r>
        <w:rPr>
          <w:rFonts w:hint="eastAsia" w:ascii="宋体" w:hAnsi="宋体" w:cs="仿宋_GB2312"/>
          <w:sz w:val="32"/>
          <w:szCs w:val="32"/>
          <w:lang w:val="en-US" w:eastAsia="zh-CN"/>
        </w:rPr>
        <w:br w:type="textWrapping"/>
      </w:r>
      <w:bookmarkStart w:id="33" w:name="2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第二十条</w:t>
      </w:r>
      <w:bookmarkEnd w:id="3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省级以上人民政府卫生行政、农业行政部门应当及时相互通报食品、食用农产品安全风险监测信息。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国务院卫生行政、农业行政部门应当及时相互通报食品、食用农产品安全风险评估结果等信息。</w:t>
      </w:r>
      <w:r>
        <w:rPr>
          <w:rFonts w:hint="eastAsia" w:ascii="宋体" w:hAnsi="宋体" w:cs="仿宋_GB2312"/>
          <w:sz w:val="32"/>
          <w:szCs w:val="32"/>
          <w:lang w:val="en-US" w:eastAsia="zh-CN"/>
        </w:rPr>
        <w:br w:type="textWrapping"/>
      </w:r>
      <w:bookmarkStart w:id="34" w:name="2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第二十一条</w:t>
      </w:r>
      <w:bookmarkEnd w:id="34"/>
      <w:r>
        <w:rPr>
          <w:rFonts w:hint="eastAsia" w:ascii="宋体" w:hAnsi="宋体" w:cs="仿宋_GB2312"/>
          <w:sz w:val="32"/>
          <w:szCs w:val="32"/>
          <w:lang w:val="en-US" w:eastAsia="zh-CN"/>
        </w:rPr>
        <w:t>　食品安全风险评估结果是制定、修订食品安全标准和实施食品安全监督管理的科学依据。</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经食品安全风险评估，得出食品、食品添加剂、食品相关产品不安全结论的，国务院食品安全监督管理等部门应当依据各自职责立即向社会公告，告知消费者停止食用或者使用，并采取相应措施，确保该食品、食品添加剂、食品相关产品停止生产经营；需要制定、修订相关食品安全国家标准的，国务院卫生行政部门应当会同国务院食品安全监督管理部门立即制定、修订。</w:t>
      </w:r>
      <w:r>
        <w:rPr>
          <w:rFonts w:hint="eastAsia" w:ascii="宋体" w:hAnsi="宋体" w:cs="仿宋_GB2312"/>
          <w:sz w:val="32"/>
          <w:szCs w:val="32"/>
          <w:lang w:val="en-US" w:eastAsia="zh-CN"/>
        </w:rPr>
        <w:br w:type="textWrapping"/>
      </w:r>
      <w:bookmarkStart w:id="35" w:name="2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第二十二条</w:t>
      </w:r>
      <w:bookmarkEnd w:id="35"/>
      <w:r>
        <w:rPr>
          <w:rFonts w:hint="eastAsia" w:ascii="宋体" w:hAnsi="宋体" w:cs="仿宋_GB2312"/>
          <w:sz w:val="32"/>
          <w:szCs w:val="32"/>
          <w:lang w:val="en-US" w:eastAsia="zh-CN"/>
        </w:rPr>
        <w:t>　国务院食品安全监督管理部门应当会同国务院有关部门，根据食品安全风险评估结果、食品安全监督管理信息，对食品安全状况进行综合分析。对经综合分析表明可能具有较高程度安全风险的食品，国务院食品安全监督管理部门应当及时提出食品安全风险警示，并向社会公布。</w:t>
      </w:r>
      <w:r>
        <w:rPr>
          <w:rFonts w:hint="eastAsia" w:ascii="宋体" w:hAnsi="宋体" w:cs="仿宋_GB2312"/>
          <w:sz w:val="32"/>
          <w:szCs w:val="32"/>
          <w:lang w:val="en-US" w:eastAsia="zh-CN"/>
        </w:rPr>
        <w:br w:type="textWrapping"/>
      </w:r>
      <w:bookmarkStart w:id="36" w:name="2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第二十三条</w:t>
      </w:r>
      <w:bookmarkEnd w:id="36"/>
      <w:r>
        <w:rPr>
          <w:rFonts w:hint="eastAsia" w:ascii="宋体" w:hAnsi="宋体" w:cs="仿宋_GB2312"/>
          <w:sz w:val="32"/>
          <w:szCs w:val="32"/>
          <w:lang w:val="en-US" w:eastAsia="zh-CN"/>
        </w:rPr>
        <w:t>　县级以上人民政府食品安全监督管理部门和其他有关部门、食品安全风险评估专家委员会及其技术机构，应当按照科学、客观、及时、公开的原则，组织食品生产经营者、食品检验机构、认证机构、食品行业协会、消费者协会以及新闻媒体等，就食品安全风险评估信息和食品安全监督管理信息进行交流沟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第三章　食品安全标准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37" w:name="24"/>
      <w:r>
        <w:rPr>
          <w:rFonts w:hint="eastAsia" w:ascii="宋体" w:hAnsi="宋体" w:eastAsia="黑体" w:cs="黑体"/>
          <w:sz w:val="32"/>
          <w:szCs w:val="32"/>
          <w:lang w:val="en-US" w:eastAsia="zh-CN"/>
        </w:rPr>
        <w:t xml:space="preserve">    第二十四条</w:t>
      </w:r>
      <w:bookmarkEnd w:id="37"/>
      <w:r>
        <w:rPr>
          <w:rFonts w:hint="eastAsia" w:ascii="宋体" w:hAnsi="宋体" w:cs="仿宋_GB2312"/>
          <w:sz w:val="32"/>
          <w:szCs w:val="32"/>
          <w:lang w:val="en-US" w:eastAsia="zh-CN"/>
        </w:rPr>
        <w:t>　制定食品安全标准，应当以保障公众身体健康为宗旨，做到科学合理、安全可靠。</w:t>
      </w:r>
      <w:r>
        <w:rPr>
          <w:rFonts w:hint="eastAsia" w:ascii="宋体" w:hAnsi="宋体" w:cs="仿宋_GB2312"/>
          <w:sz w:val="32"/>
          <w:szCs w:val="32"/>
          <w:lang w:val="en-US" w:eastAsia="zh-CN"/>
        </w:rPr>
        <w:br w:type="textWrapping"/>
      </w:r>
      <w:bookmarkStart w:id="38" w:name="2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第二十五条</w:t>
      </w:r>
      <w:bookmarkEnd w:id="3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食品安全标准是强制执行的标准。除食品安全标准外，不得制定其他食品强制性标准。</w:t>
      </w:r>
      <w:r>
        <w:rPr>
          <w:rFonts w:hint="eastAsia" w:ascii="宋体" w:hAnsi="宋体" w:cs="仿宋_GB2312"/>
          <w:sz w:val="32"/>
          <w:szCs w:val="32"/>
          <w:lang w:val="en-US" w:eastAsia="zh-CN"/>
        </w:rPr>
        <w:br w:type="textWrapping"/>
      </w:r>
      <w:bookmarkStart w:id="39" w:name="2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第二十六条</w:t>
      </w:r>
      <w:bookmarkEnd w:id="39"/>
      <w:r>
        <w:rPr>
          <w:rFonts w:hint="eastAsia" w:ascii="宋体" w:hAnsi="宋体" w:cs="仿宋_GB2312"/>
          <w:sz w:val="32"/>
          <w:szCs w:val="32"/>
          <w:lang w:val="en-US" w:eastAsia="zh-CN"/>
        </w:rPr>
        <w:t>　食品安全标准应当包括下列内容：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（一）食品、食品添加剂、食品相关产品中的致病性微生物，农药残留、兽药残留、生物毒素、重金属等污染物质以及其他危害人体健康物质的限量规定；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（二）食品添加剂的品种、使用范围、用量；</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（三）专供婴幼儿和其他特定人群的主辅食品的营养成分要求；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（四）对与卫生、营养等食品安全要求有关的标签、标志、说明书的要求；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（五）食品生产经营过程的卫生要求；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（六）与食品安全有关的质量要求；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（七）与食品安全有关的食品检验方法与规程；</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（八）其他需要制定为食品安全标准的内容。</w:t>
      </w:r>
      <w:r>
        <w:rPr>
          <w:rFonts w:hint="eastAsia" w:ascii="宋体" w:hAnsi="宋体" w:cs="仿宋_GB2312"/>
          <w:sz w:val="32"/>
          <w:szCs w:val="32"/>
          <w:lang w:val="en-US" w:eastAsia="zh-CN"/>
        </w:rPr>
        <w:br w:type="textWrapping"/>
      </w:r>
      <w:bookmarkStart w:id="40" w:name="2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第二十七条</w:t>
      </w:r>
      <w:bookmarkEnd w:id="40"/>
      <w:r>
        <w:rPr>
          <w:rFonts w:hint="eastAsia" w:ascii="宋体" w:hAnsi="宋体" w:cs="仿宋_GB2312"/>
          <w:sz w:val="32"/>
          <w:szCs w:val="32"/>
          <w:lang w:val="en-US" w:eastAsia="zh-CN"/>
        </w:rPr>
        <w:t>　食品安全国家标准由国务院卫生行政部门会同国务院食品安全监督管理部门制定、公布，国务院标准化行政部门提供国家标准编号。</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食品中农药残留、兽药残留的限量规定及其检验方法与规程由国务院卫生行政部门、国务院农业行政部门会同国务院食品安全监督管理部门制定。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屠宰畜、禽的检验规程由国务院农业行政部门会同国务院卫生行政部门制定。</w:t>
      </w:r>
      <w:r>
        <w:rPr>
          <w:rFonts w:hint="eastAsia" w:ascii="宋体" w:hAnsi="宋体" w:cs="仿宋_GB2312"/>
          <w:sz w:val="32"/>
          <w:szCs w:val="32"/>
          <w:lang w:val="en-US" w:eastAsia="zh-CN"/>
        </w:rPr>
        <w:br w:type="textWrapping"/>
      </w:r>
      <w:bookmarkStart w:id="41" w:name="2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第二十八条</w:t>
      </w:r>
      <w:bookmarkEnd w:id="41"/>
      <w:r>
        <w:rPr>
          <w:rFonts w:hint="eastAsia" w:ascii="宋体" w:hAnsi="宋体" w:cs="仿宋_GB2312"/>
          <w:sz w:val="32"/>
          <w:szCs w:val="32"/>
          <w:lang w:val="en-US" w:eastAsia="zh-CN"/>
        </w:rPr>
        <w:t>　制定食品安全国家标准，应当依据食品安全风险评估结果并充分考虑食用农产品安全风险评估结果，参照相关的国际标准和国际食品安全风险评估结果，并将食品安全国家标准草案向社会公布，广泛听取食品生产经营者、消费者、有关部门等方面的意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国家标准应当经国务院卫生行政部门组织的食品安全国家标准审评委员会审查通过。食品安全国家标准审评委员会由医学、农业、食品、营养、生物、环境等方面的专家以及国务院有关部门、食品行业协会、消费者协会的代表组成，对食品安全国家标准草案的科学性和实用性等进行审查。</w:t>
      </w:r>
      <w:r>
        <w:rPr>
          <w:rFonts w:hint="eastAsia" w:ascii="宋体" w:hAnsi="宋体" w:cs="仿宋_GB2312"/>
          <w:sz w:val="32"/>
          <w:szCs w:val="32"/>
          <w:lang w:val="en-US" w:eastAsia="zh-CN"/>
        </w:rPr>
        <w:br w:type="textWrapping"/>
      </w:r>
      <w:bookmarkStart w:id="42" w:name="2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第二十九条</w:t>
      </w:r>
      <w:bookmarkEnd w:id="42"/>
      <w:r>
        <w:rPr>
          <w:rFonts w:hint="eastAsia" w:ascii="宋体" w:hAnsi="宋体" w:cs="仿宋_GB2312"/>
          <w:sz w:val="32"/>
          <w:szCs w:val="32"/>
          <w:lang w:val="en-US" w:eastAsia="zh-CN"/>
        </w:rPr>
        <w:t>　对地方特色食品，没有食品安全国家标准的，省、自治区、直辖市人民政府卫生行政部门可以制定并公布食品安全地方标准，报国务院卫生行政部门备案。食品安全国家标准制定后，该地方标准即行废止。</w:t>
      </w:r>
      <w:r>
        <w:rPr>
          <w:rFonts w:hint="eastAsia" w:ascii="宋体" w:hAnsi="宋体" w:cs="仿宋_GB2312"/>
          <w:sz w:val="32"/>
          <w:szCs w:val="32"/>
          <w:lang w:val="en-US" w:eastAsia="zh-CN"/>
        </w:rPr>
        <w:br w:type="textWrapping"/>
      </w:r>
      <w:bookmarkStart w:id="43" w:name="3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第三十条</w:t>
      </w:r>
      <w:bookmarkEnd w:id="43"/>
      <w:r>
        <w:rPr>
          <w:rFonts w:hint="eastAsia" w:ascii="宋体" w:hAnsi="宋体" w:cs="仿宋_GB2312"/>
          <w:sz w:val="32"/>
          <w:szCs w:val="32"/>
          <w:lang w:val="en-US" w:eastAsia="zh-CN"/>
        </w:rPr>
        <w:t>　国家鼓励食品生产企业制定严于食品安全国家标准或者地方标准的企业标准，在本企业适用，并报省、自治区、直辖市人民政府卫生行政部门备案。</w:t>
      </w:r>
      <w:r>
        <w:rPr>
          <w:rFonts w:hint="eastAsia" w:ascii="宋体" w:hAnsi="宋体" w:cs="仿宋_GB2312"/>
          <w:sz w:val="32"/>
          <w:szCs w:val="32"/>
          <w:lang w:val="en-US" w:eastAsia="zh-CN"/>
        </w:rPr>
        <w:br w:type="textWrapping"/>
      </w:r>
      <w:bookmarkStart w:id="44" w:name="3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第三十一条</w:t>
      </w:r>
      <w:bookmarkEnd w:id="4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省级以上人民政府卫生行政部门应当在其网站上公布制定和备案的食品安全国家标准、地方标准和企业标准，供公众免费查阅、下载。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对食品安全标准执行过程中的问题，县级以上人民政府卫生行政部门应当会同有关部门及时给予指导、解答。</w:t>
      </w:r>
      <w:r>
        <w:rPr>
          <w:rFonts w:hint="eastAsia" w:ascii="宋体" w:hAnsi="宋体" w:cs="仿宋_GB2312"/>
          <w:sz w:val="32"/>
          <w:szCs w:val="32"/>
          <w:lang w:val="en-US" w:eastAsia="zh-CN"/>
        </w:rPr>
        <w:br w:type="textWrapping"/>
      </w:r>
      <w:bookmarkStart w:id="45" w:name="3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第三十二条</w:t>
      </w:r>
      <w:bookmarkEnd w:id="45"/>
      <w:r>
        <w:rPr>
          <w:rFonts w:hint="eastAsia" w:ascii="宋体" w:hAnsi="宋体" w:cs="仿宋_GB2312"/>
          <w:sz w:val="32"/>
          <w:szCs w:val="32"/>
          <w:lang w:val="en-US" w:eastAsia="zh-CN"/>
        </w:rPr>
        <w:t>　省级以上人民政府卫生行政部门应当会同同级食品安全监督管理、农业行政等部门，分别对食品安全国家标准和地方标准的执行情况进行跟踪评价，并根据评价结果及时修订食品安全标准。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省级以上人民政府食品安全监督管理、农业行政等部门应当对食品安全标准执行中存在的问题进行收集、汇总，并及时向同级卫生行政部门通报。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食品生产经营者、食品行业协会发现食品安全标准在执行中存在问题的，应当立即向卫生行政部门报告。</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第四章　食品生产经营</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第一节　一般规定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46" w:name="33"/>
      <w:r>
        <w:rPr>
          <w:rFonts w:hint="eastAsia" w:ascii="宋体" w:hAnsi="宋体" w:eastAsia="黑体" w:cs="黑体"/>
          <w:sz w:val="32"/>
          <w:szCs w:val="32"/>
          <w:lang w:val="en-US" w:eastAsia="zh-CN"/>
        </w:rPr>
        <w:t xml:space="preserve">    第三十三条</w:t>
      </w:r>
      <w:bookmarkEnd w:id="46"/>
      <w:r>
        <w:rPr>
          <w:rFonts w:hint="eastAsia" w:ascii="宋体" w:hAnsi="宋体" w:cs="仿宋_GB2312"/>
          <w:sz w:val="32"/>
          <w:szCs w:val="32"/>
          <w:lang w:val="en-US" w:eastAsia="zh-CN"/>
        </w:rPr>
        <w:t>　食品生产经营应当符合食品安全标准，并符合下列要求：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（一）具有与生产经营的食品品种、数量相适应的食品原料处理和食品加工、包装、贮存等场所，保持该场所环境整洁，并与有毒、有害场所以及其他污染源保持规定的距离；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具有与生产经营的食品品种、数量相适应的生产经营设备或者设施，有相应的消毒、更衣、盥洗、采光、照明、通风、防腐、防尘、防蝇、防鼠、防虫、洗涤以及处理废水、存放垃圾和废弃物的设备或者设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（三）有专职或者兼职的食品安全专业技术人员、食品安全管理人员和保证食品安全的规章制度；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（四）具有合理的设备布局和工艺流程，防止待加工食品与直接入口食品、原料与成品交叉污染，避免食品接触有毒物、不洁物；</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（五）餐具、饮具和盛放直接入口食品的容器，使用前应当洗净、消毒，炊具、用具用后应当洗净，保持清洁；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（六）贮存、运输和装卸食品的容器、工具和设备应当安全、无害，保持清洁，防止食品污染，并符合保证食品安全所需的温度、湿度等特殊要求，不得将食品与有毒、有害物品一同贮存、运输；</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（七）直接入口的食品应当使用无毒、清洁的包装材料、餐具、饮具和容器；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（八）食品生产经营人员应当保持个人卫生，生产经营食品时，应当将手洗净，穿戴清洁的工作衣、帽等；销售无包装的直接入口食品时，应当使用无毒、清洁的容器、售货工具和设备；</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（九）用水应当符合国家规定的生活饮用水卫生标准；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（十）使用的洗涤剂、消毒剂应当对人体安全、无害；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（十一）法律、法规规定的其他要求。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非食品生产经营者从事食品贮存、运输和装卸的，应当符合前款第六项的规定。</w:t>
      </w:r>
      <w:r>
        <w:rPr>
          <w:rFonts w:hint="eastAsia" w:ascii="宋体" w:hAnsi="宋体" w:cs="仿宋_GB2312"/>
          <w:sz w:val="32"/>
          <w:szCs w:val="32"/>
          <w:lang w:val="en-US" w:eastAsia="zh-CN"/>
        </w:rPr>
        <w:br w:type="textWrapping"/>
      </w:r>
      <w:bookmarkStart w:id="47" w:name="3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第三十四条</w:t>
      </w:r>
      <w:bookmarkEnd w:id="47"/>
      <w:r>
        <w:rPr>
          <w:rFonts w:hint="eastAsia" w:ascii="宋体" w:hAnsi="宋体" w:cs="仿宋_GB2312"/>
          <w:sz w:val="32"/>
          <w:szCs w:val="32"/>
          <w:lang w:val="en-US" w:eastAsia="zh-CN"/>
        </w:rPr>
        <w:t>　禁止生产经营下列食品、食品添加剂、食品相关产品：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（一）用非食品原料生产的食品或者添加食品添加剂以外的化学物质和其他可能危害人体健康物质的食品，或者用回收食品作为原料生产的食品；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（二）致病性微生物，农药残留、兽药残留、生物毒素、重金属等污染物质以及其他危害人体健康的物质含量超过食品安全标准限量的食品、食品添加剂、食品相关产品；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（三）用超过保质期的食品原料、食品添加剂生产的食品、食品添加剂；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（四）超范围、超限量使用食品添加剂的食品；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（五）营养成分不符合食品安全标准的专供婴幼儿和其他特定人群的主辅食品；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（六）腐败变质、油脂酸败、霉变生虫、污秽不洁、混有异物、掺假掺杂或者感官性状异常的食品、食品添加剂；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（七）病死、毒死或者死因不明的禽、畜、兽、水产动物肉类及其制品；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（八）未按规定进行检疫或者检疫不合格的肉类，或者未经检验或者检验不合格的肉类制品；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（九）被包装材料、容器、运输工具等污染的食品、食品添加剂；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（十）标注虚假生产日期、保质期或者超过保质期的食品、食品添加剂；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（十一）无标签的预包装食品、食品添加剂；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（十二）国家为防病等特殊需要明令禁止生产经营的食品；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（十三）其他不符合法律、法规或者食品安全标准的食品、食品添加剂、食品相关产品。</w:t>
      </w:r>
      <w:r>
        <w:rPr>
          <w:rFonts w:hint="eastAsia" w:ascii="宋体" w:hAnsi="宋体" w:cs="仿宋_GB2312"/>
          <w:sz w:val="32"/>
          <w:szCs w:val="32"/>
          <w:lang w:val="en-US" w:eastAsia="zh-CN"/>
        </w:rPr>
        <w:br w:type="textWrapping"/>
      </w:r>
      <w:bookmarkStart w:id="48" w:name="3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第三十五条</w:t>
      </w:r>
      <w:bookmarkEnd w:id="48"/>
      <w:r>
        <w:rPr>
          <w:rFonts w:hint="eastAsia" w:ascii="宋体" w:hAnsi="宋体" w:cs="仿宋_GB2312"/>
          <w:sz w:val="32"/>
          <w:szCs w:val="32"/>
          <w:lang w:val="en-US" w:eastAsia="zh-CN"/>
        </w:rPr>
        <w:t>　国家对食品生产经营实行许可制度。从事食品生产、食品销售、餐饮服务，应当依法取得许可。但是，销售食用农产品，不需要取得许可。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县级以上地方人民政府食品安全监督管理部门应当依照《</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(49280,0)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中华人民共和国行政许可法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的规定，审核申请人提交的本法第三十三条第一款第一项至第四项规定要求的相关资料，必要时对申请人的生产经营场所进行现场核查；对符合规定条件的，准予许可；对不符合规定条件的，不予许可并书面说明理由。</w:t>
      </w:r>
      <w:r>
        <w:rPr>
          <w:rFonts w:hint="eastAsia" w:ascii="宋体" w:hAnsi="宋体" w:cs="仿宋_GB2312"/>
          <w:sz w:val="32"/>
          <w:szCs w:val="32"/>
          <w:lang w:val="en-US" w:eastAsia="zh-CN"/>
        </w:rPr>
        <w:br w:type="textWrapping"/>
      </w:r>
      <w:bookmarkStart w:id="49" w:name="3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第三十六条</w:t>
      </w:r>
      <w:bookmarkEnd w:id="49"/>
      <w:r>
        <w:rPr>
          <w:rFonts w:hint="eastAsia" w:ascii="宋体" w:hAnsi="宋体" w:cs="仿宋_GB2312"/>
          <w:sz w:val="32"/>
          <w:szCs w:val="32"/>
          <w:lang w:val="en-US" w:eastAsia="zh-CN"/>
        </w:rPr>
        <w:t>　食品生产加工小作坊和食品摊贩等从事食品生产经营活动，应当符合本法规定的与其生产经营规模、条件相适应的食品安全要求，保证所生产经营的食品卫生、无毒、无害，食品安全监督管理部门应当对其加强监督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应当对食品生产加工小作坊、食品摊贩等进行综合治理，加强服务和统一规划，改善其生产经营环境，鼓励和支持其改进生产经营条件，进入集中交易市场、店铺等固定场所经营，或者在指定的临时经营区域、时段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食品生产加工小作坊和食品摊贩等的具体管理办法由省、自治区、直辖市制定。</w:t>
      </w:r>
      <w:r>
        <w:rPr>
          <w:rFonts w:hint="eastAsia" w:ascii="宋体" w:hAnsi="宋体" w:cs="仿宋_GB2312"/>
          <w:sz w:val="32"/>
          <w:szCs w:val="32"/>
          <w:lang w:val="en-US" w:eastAsia="zh-CN"/>
        </w:rPr>
        <w:br w:type="textWrapping"/>
      </w:r>
      <w:bookmarkStart w:id="50" w:name="3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第三十七条</w:t>
      </w:r>
      <w:bookmarkEnd w:id="50"/>
      <w:r>
        <w:rPr>
          <w:rFonts w:hint="eastAsia" w:ascii="宋体" w:hAnsi="宋体" w:cs="仿宋_GB2312"/>
          <w:sz w:val="32"/>
          <w:szCs w:val="32"/>
          <w:lang w:val="en-US" w:eastAsia="zh-CN"/>
        </w:rPr>
        <w:t>　利用新的食品原料生产食品，或者生产食品添加剂新品种、食品相关产品新品种，应当向国务院卫生行政部门提交相关产品的安全性评估材料。国务院卫生行政部门应当自收到申请之日起六十日内组织审查；对符合食品安全要求的，准予许可并公布；对不符合食品安全要求的，不予许可并书面说明理由。</w:t>
      </w:r>
      <w:r>
        <w:rPr>
          <w:rFonts w:hint="eastAsia" w:ascii="宋体" w:hAnsi="宋体" w:cs="仿宋_GB2312"/>
          <w:sz w:val="32"/>
          <w:szCs w:val="32"/>
          <w:lang w:val="en-US" w:eastAsia="zh-CN"/>
        </w:rPr>
        <w:br w:type="textWrapping"/>
      </w:r>
      <w:bookmarkStart w:id="51" w:name="3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第三十八条</w:t>
      </w:r>
      <w:bookmarkEnd w:id="51"/>
      <w:r>
        <w:rPr>
          <w:rFonts w:hint="eastAsia" w:ascii="宋体" w:hAnsi="宋体" w:cs="仿宋_GB2312"/>
          <w:sz w:val="32"/>
          <w:szCs w:val="32"/>
          <w:lang w:val="en-US" w:eastAsia="zh-CN"/>
        </w:rPr>
        <w:t>　生产经营的食品中不得添加药品，但是可以添加按照传统既是食品又是中药材的物质。按照传统既是食品又是中药材的物质目录由国务院卫生行政部门会同国务院食品安全监督管理部门制定、公布。</w:t>
      </w:r>
      <w:r>
        <w:rPr>
          <w:rFonts w:hint="eastAsia" w:ascii="宋体" w:hAnsi="宋体" w:cs="仿宋_GB2312"/>
          <w:sz w:val="32"/>
          <w:szCs w:val="32"/>
          <w:lang w:val="en-US" w:eastAsia="zh-CN"/>
        </w:rPr>
        <w:br w:type="textWrapping"/>
      </w:r>
      <w:bookmarkStart w:id="52" w:name="3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第三十九条</w:t>
      </w:r>
      <w:bookmarkEnd w:id="52"/>
      <w:r>
        <w:rPr>
          <w:rFonts w:hint="eastAsia" w:ascii="宋体" w:hAnsi="宋体" w:cs="仿宋_GB2312"/>
          <w:sz w:val="32"/>
          <w:szCs w:val="32"/>
          <w:lang w:val="en-US" w:eastAsia="zh-CN"/>
        </w:rPr>
        <w:t>　国家对食品添加剂生产实行许可制度。从事食品添加剂生产，应当具有与所生产食品添加剂品种相适应的场所、生产设备或者设施、专业技术人员和管理制度，并依照本法第三十五条第二款规定的程序，取得食品添加剂生产许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生产食品添加剂应当符合法律、法规和食品安全国家标准。</w:t>
      </w:r>
      <w:r>
        <w:rPr>
          <w:rFonts w:hint="eastAsia" w:ascii="宋体" w:hAnsi="宋体" w:cs="仿宋_GB2312"/>
          <w:sz w:val="32"/>
          <w:szCs w:val="32"/>
          <w:lang w:val="en-US" w:eastAsia="zh-CN"/>
        </w:rPr>
        <w:br w:type="textWrapping"/>
      </w:r>
      <w:bookmarkStart w:id="53" w:name="40"/>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第四十条</w:t>
      </w:r>
      <w:bookmarkEnd w:id="5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食品添加剂应当在技术上确有必要且经过风险评估证明安全可靠，方可列入允许使用的范围；有关食品安全国家标准应当根据技术必要性和食品安全风险评估结果及时修订。</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食品生产经营者应当按照食品安全国家标准使用食品添加剂。</w:t>
      </w:r>
      <w:r>
        <w:rPr>
          <w:rFonts w:hint="eastAsia" w:ascii="宋体" w:hAnsi="宋体" w:cs="仿宋_GB2312"/>
          <w:sz w:val="32"/>
          <w:szCs w:val="32"/>
          <w:lang w:val="en-US" w:eastAsia="zh-CN"/>
        </w:rPr>
        <w:br w:type="textWrapping"/>
      </w:r>
      <w:bookmarkStart w:id="54" w:name="4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第四十一条</w:t>
      </w:r>
      <w:bookmarkEnd w:id="5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r>
        <w:rPr>
          <w:rFonts w:hint="eastAsia" w:ascii="宋体" w:hAnsi="宋体" w:cs="仿宋_GB2312"/>
          <w:sz w:val="32"/>
          <w:szCs w:val="32"/>
          <w:lang w:val="en-US" w:eastAsia="zh-CN"/>
        </w:rPr>
        <w:br w:type="textWrapping"/>
      </w:r>
      <w:bookmarkStart w:id="55" w:name="4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第四十二条</w:t>
      </w:r>
      <w:bookmarkEnd w:id="5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国家建立食品安全全程追溯制度。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食品生产经营者应当依照本法的规定，建立食品安全追溯体系，保证食品可追溯。国家鼓励食品生产经营者采用信息化手段采集、留存生产经营信息，建立食品安全追溯体系。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国务院食品安全监督管理部门会同国务院农业行政等有关部门建立食品安全全程追溯协作机制。</w:t>
      </w:r>
      <w:r>
        <w:rPr>
          <w:rFonts w:hint="eastAsia" w:ascii="宋体" w:hAnsi="宋体" w:cs="仿宋_GB2312"/>
          <w:sz w:val="32"/>
          <w:szCs w:val="32"/>
          <w:lang w:val="en-US" w:eastAsia="zh-CN"/>
        </w:rPr>
        <w:br w:type="textWrapping"/>
      </w:r>
      <w:bookmarkStart w:id="56" w:name="4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第四十三条</w:t>
      </w:r>
      <w:bookmarkEnd w:id="56"/>
      <w:r>
        <w:rPr>
          <w:rFonts w:hint="eastAsia" w:ascii="宋体" w:hAnsi="宋体" w:cs="仿宋_GB2312"/>
          <w:sz w:val="32"/>
          <w:szCs w:val="32"/>
          <w:lang w:val="en-US" w:eastAsia="zh-CN"/>
        </w:rPr>
        <w:t>　地方各级人民政府应当采取措施鼓励食品规模化生产和连锁经营、配送。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国家鼓励食品生产经营企业参加食品安全责任保险。</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第二节　生产经营过程控制</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57" w:name="44"/>
      <w:r>
        <w:rPr>
          <w:rFonts w:hint="eastAsia" w:ascii="宋体" w:hAnsi="宋体" w:eastAsia="黑体" w:cs="黑体"/>
          <w:sz w:val="32"/>
          <w:szCs w:val="32"/>
          <w:lang w:val="en-US" w:eastAsia="zh-CN"/>
        </w:rPr>
        <w:t xml:space="preserve">    第四十四条</w:t>
      </w:r>
      <w:bookmarkEnd w:id="5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食品生产经营企业应当建立健全食品安全管理制度，对职工进行食品安全知识培训，加强食品检验工作，依法从事生产经营活动。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食品生产经营企业的主要负责人应当落实企业食品安全管理制度，对本企业的食品安全工作全面负责。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企业应当配备食品安全管理人员，加强对其培训和考核。经考核不具备食品安全管理能力的，不得上岗。食品安全监督管理部门应当对企业食品安全管理人员随机进行监督抽查考核并公布考核情况。监督抽查考核不得收取费用。</w:t>
      </w:r>
      <w:r>
        <w:rPr>
          <w:rFonts w:hint="eastAsia" w:ascii="宋体" w:hAnsi="宋体" w:cs="仿宋_GB2312"/>
          <w:sz w:val="32"/>
          <w:szCs w:val="32"/>
          <w:lang w:val="en-US" w:eastAsia="zh-CN"/>
        </w:rPr>
        <w:br w:type="textWrapping"/>
      </w:r>
      <w:bookmarkStart w:id="58" w:name="45"/>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第四十五条</w:t>
      </w:r>
      <w:bookmarkEnd w:id="58"/>
      <w:r>
        <w:rPr>
          <w:rFonts w:hint="eastAsia" w:ascii="宋体" w:hAnsi="宋体" w:cs="仿宋_GB2312"/>
          <w:sz w:val="32"/>
          <w:szCs w:val="32"/>
          <w:lang w:val="en-US" w:eastAsia="zh-CN"/>
        </w:rPr>
        <w:t>　食品生产经营者应当建立并执行从业人员健康管理制度。患有国务院卫生行政部门规定的有碍食品安全疾病的人员，不得从事接触直接入口食品的工作。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从事接触直接入口食品工作的食品生产经营人员应当每年进行健康检查，取得健康证明后方可上岗工作。</w:t>
      </w:r>
      <w:r>
        <w:rPr>
          <w:rFonts w:hint="eastAsia" w:ascii="宋体" w:hAnsi="宋体" w:cs="仿宋_GB2312"/>
          <w:sz w:val="32"/>
          <w:szCs w:val="32"/>
          <w:lang w:val="en-US" w:eastAsia="zh-CN"/>
        </w:rPr>
        <w:br w:type="textWrapping"/>
      </w:r>
      <w:bookmarkStart w:id="59" w:name="46"/>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第四十六条</w:t>
      </w:r>
      <w:bookmarkEnd w:id="5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食品生产企业应当就下列事项制定并实施控制要求，保证所生产的食品符合食品安全标准：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（一）原料采购、原料验收、投料等原料控制；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（二）生产工序、设备、贮存、包装等生产关键环节控制；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（三）原料检验、半成品检验、成品出厂检验等检验控制；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（四）运输和交付控制。</w:t>
      </w:r>
      <w:r>
        <w:rPr>
          <w:rFonts w:hint="eastAsia" w:ascii="宋体" w:hAnsi="宋体" w:cs="仿宋_GB2312"/>
          <w:sz w:val="32"/>
          <w:szCs w:val="32"/>
          <w:lang w:val="en-US" w:eastAsia="zh-CN"/>
        </w:rPr>
        <w:br w:type="textWrapping"/>
      </w:r>
      <w:bookmarkStart w:id="60" w:name="4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第四十七条</w:t>
      </w:r>
      <w:bookmarkEnd w:id="6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经营者应当建立食品安全自查制度，定期对食品安全状况进行检查评价。生产经营条件发生变化，不再符合食品安全要求的，食品生产经营者应当立即采取整改措施；有发生食品安全事故潜在风险的，应当立即停止食品生产经营活动，并向所在地县级人民政府食品安全监督管理部门报告。</w:t>
      </w:r>
      <w:r>
        <w:rPr>
          <w:rFonts w:hint="eastAsia" w:ascii="宋体" w:hAnsi="宋体" w:cs="仿宋_GB2312"/>
          <w:sz w:val="32"/>
          <w:szCs w:val="32"/>
          <w:lang w:val="en-US" w:eastAsia="zh-CN"/>
        </w:rPr>
        <w:br w:type="textWrapping"/>
      </w:r>
      <w:bookmarkStart w:id="61" w:name="4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第四十八条</w:t>
      </w:r>
      <w:bookmarkEnd w:id="6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国家鼓励食品生产经营企业符合良好生产规范要求，实施危害分析与关键控制点体系，提高食品安全管理水平。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通过良好生产规范、危害分析与关键控制点体系认证的食品生产经营企业，认证机构应当依法实施跟踪调查；对不再符合认证要求的企业，应当依法撤销认证，及时向县级以上人民政府食品安全监督管理部门通报，并向社会公布。认证机构实施跟踪调查不得收取费用。</w:t>
      </w:r>
      <w:r>
        <w:rPr>
          <w:rFonts w:hint="eastAsia" w:ascii="宋体" w:hAnsi="宋体" w:cs="仿宋_GB2312"/>
          <w:sz w:val="32"/>
          <w:szCs w:val="32"/>
          <w:lang w:val="en-US" w:eastAsia="zh-CN"/>
        </w:rPr>
        <w:br w:type="textWrapping"/>
      </w:r>
      <w:bookmarkStart w:id="62" w:name="4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第四十九条</w:t>
      </w:r>
      <w:bookmarkEnd w:id="62"/>
      <w:r>
        <w:rPr>
          <w:rFonts w:hint="eastAsia" w:ascii="宋体" w:hAnsi="宋体" w:cs="仿宋_GB2312"/>
          <w:sz w:val="32"/>
          <w:szCs w:val="32"/>
          <w:lang w:val="en-US" w:eastAsia="zh-CN"/>
        </w:rPr>
        <w:t>　食用农产品生产者应当按照食品安全标准和国家有关规定使用农药、肥料、兽药、饲料和饲料添加剂等农业投入品，严格执行农业投入品使用安全间隔期或者休药期的规定，不得使用国家明令禁止的农业投入品。禁止将剧毒、高毒农药用于蔬菜、瓜果、茶叶和中草药材等国家规定的农作物。</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食用农产品的生产企业和农民专业合作经济组织应当建立农业投入品使用记录制度。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县级以上人民政府农业行政部门应当加强对农业投入品使用的监督管理和指导，建立健全农业投入品安全使用制度。</w:t>
      </w:r>
      <w:r>
        <w:rPr>
          <w:rFonts w:hint="eastAsia" w:ascii="宋体" w:hAnsi="宋体" w:cs="仿宋_GB2312"/>
          <w:sz w:val="32"/>
          <w:szCs w:val="32"/>
          <w:lang w:val="en-US" w:eastAsia="zh-CN"/>
        </w:rPr>
        <w:br w:type="textWrapping"/>
      </w:r>
      <w:bookmarkStart w:id="63" w:name="50"/>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第五十条</w:t>
      </w:r>
      <w:bookmarkEnd w:id="6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者采购食品原料、食品添加剂、食品相关产品，应当查验供货者的许可证和产品合格证明；对无法提供合格证明的食品原料，应当按照食品安全标准进行检验；不得采购或者使用不符合食品安全标准的食品原料、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企业应当建立食品原料、食品添加剂、食品相关产品进货查验记录制度，如实记录食品原料、食品添加剂、食品相关产品的名称、规格、数量、生产日期或者生产批号、保质期、进货日期以及供货者名称、地址、联系方式等内容，并保存相关凭证。记录和凭证保存期限不得少于产品保质期满后六个月；没有明确保质期的，保存期限不得少于二年。</w:t>
      </w:r>
      <w:r>
        <w:rPr>
          <w:rFonts w:hint="eastAsia" w:ascii="宋体" w:hAnsi="宋体" w:cs="仿宋_GB2312"/>
          <w:sz w:val="32"/>
          <w:szCs w:val="32"/>
          <w:lang w:val="en-US" w:eastAsia="zh-CN"/>
        </w:rPr>
        <w:br w:type="textWrapping"/>
      </w:r>
      <w:bookmarkStart w:id="64" w:name="51"/>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第五十一条</w:t>
      </w:r>
      <w:bookmarkEnd w:id="6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企业应当建立食品出厂检验记录制度，查验出厂食品的检验合格证和安全状况，如实记录食品的名称、规格、数量、生产日期或者生产批号、保质期、检验合格证号、销售日期以及购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65" w:name="5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第五十二条</w:t>
      </w:r>
      <w:bookmarkEnd w:id="6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食品、食品添加剂、食品相关产品的生产者，应当按照食品安全标准对所生产的食品、食品添加剂、食品相关产品进行检验，检验合格后方可出厂或者销售。</w:t>
      </w:r>
      <w:r>
        <w:rPr>
          <w:rFonts w:hint="eastAsia" w:ascii="宋体" w:hAnsi="宋体" w:cs="仿宋_GB2312"/>
          <w:sz w:val="32"/>
          <w:szCs w:val="32"/>
          <w:lang w:val="en-US" w:eastAsia="zh-CN"/>
        </w:rPr>
        <w:br w:type="textWrapping"/>
      </w:r>
      <w:bookmarkStart w:id="66" w:name="5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第五十三条</w:t>
      </w:r>
      <w:bookmarkEnd w:id="66"/>
      <w:r>
        <w:rPr>
          <w:rFonts w:hint="eastAsia" w:ascii="宋体" w:hAnsi="宋体" w:cs="仿宋_GB2312"/>
          <w:sz w:val="32"/>
          <w:szCs w:val="32"/>
          <w:lang w:val="en-US" w:eastAsia="zh-CN"/>
        </w:rPr>
        <w:t>　食品经营者采购食品，应当查验供货者的许可证和食品出厂检验合格证或者其他合格证明（以下称合格证明文件）。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经营企业应当建立食品进货查验记录制度，如实记录食品的名称、规格、数量、生产日期或者生产批号、保质期、进货日期以及供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实行统一配送经营方式的食品经营企业，可以由企业总部统一查验供货者的许可证和食品合格证明文件，进行食品进货查验记录。</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从事食品批发业务的经营企业应当建立食品销售记录制度，如实记录批发食品的名称、规格、数量、生产日期或者生产批号、保质期、销售日期以及购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67" w:name="5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第五十四条</w:t>
      </w:r>
      <w:bookmarkEnd w:id="6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食品经营者应当按照保证食品安全的要求贮存食品，定期检查库存食品，及时清理变质或者超过保质期的食品。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食品经营者贮存散装食品，应当在贮存位置标明食品的名称、生产日期或者生产批号、保质期、生产者名称及联系方式等内容。</w:t>
      </w:r>
      <w:r>
        <w:rPr>
          <w:rFonts w:hint="eastAsia" w:ascii="宋体" w:hAnsi="宋体" w:cs="仿宋_GB2312"/>
          <w:sz w:val="32"/>
          <w:szCs w:val="32"/>
          <w:lang w:val="en-US" w:eastAsia="zh-CN"/>
        </w:rPr>
        <w:br w:type="textWrapping"/>
      </w:r>
      <w:bookmarkStart w:id="68" w:name="5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第五十五条</w:t>
      </w:r>
      <w:bookmarkEnd w:id="6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餐饮服务提供者应当制定并实施原料控制要求，不得采购不符合食品安全标准的食品原料。倡导餐饮服务提供者公开加工过程，公示食品原料及其来源等信息。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餐饮服务提供者在加工过程中应当检查待加工的食品及原料，发现有本法第三十四条第六项规定情形的，不得加工或者使用。</w:t>
      </w:r>
      <w:r>
        <w:rPr>
          <w:rFonts w:hint="eastAsia" w:ascii="宋体" w:hAnsi="宋体" w:cs="仿宋_GB2312"/>
          <w:sz w:val="32"/>
          <w:szCs w:val="32"/>
          <w:lang w:val="en-US" w:eastAsia="zh-CN"/>
        </w:rPr>
        <w:br w:type="textWrapping"/>
      </w:r>
      <w:bookmarkStart w:id="69" w:name="5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第五十六条</w:t>
      </w:r>
      <w:bookmarkEnd w:id="69"/>
      <w:r>
        <w:rPr>
          <w:rFonts w:hint="eastAsia" w:ascii="宋体" w:hAnsi="宋体" w:cs="仿宋_GB2312"/>
          <w:sz w:val="32"/>
          <w:szCs w:val="32"/>
          <w:lang w:val="en-US" w:eastAsia="zh-CN"/>
        </w:rPr>
        <w:t>　餐饮服务提供者应当定期维护食品加工、贮存、陈列等设施、设备；定期清洗、校验保温设施及冷藏、冷冻设施。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餐饮服务提供者应当按照要求对餐具、饮具进行清洗消毒，不得使用未经清洗消毒的餐具、饮具；餐饮服务提供者委托清洗消毒餐具、饮具的，应当委托符合本法规定条件的餐具、饮具集中消毒服务单位。</w:t>
      </w:r>
      <w:r>
        <w:rPr>
          <w:rFonts w:hint="eastAsia" w:ascii="宋体" w:hAnsi="宋体" w:cs="仿宋_GB2312"/>
          <w:sz w:val="32"/>
          <w:szCs w:val="32"/>
          <w:lang w:val="en-US" w:eastAsia="zh-CN"/>
        </w:rPr>
        <w:br w:type="textWrapping"/>
      </w:r>
      <w:bookmarkStart w:id="70" w:name="5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第五十七条</w:t>
      </w:r>
      <w:bookmarkEnd w:id="7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学校、托幼机构、养老机构、建筑工地等集中用餐单位的食堂应当严格遵守法律、法规和食品安全标准；从供餐单位订餐的，应当从取得食品生产经营许可的企业订购，并按照要求对订购的食品进行查验。供餐单位应当严格遵守法律、法规和食品安全标准，当餐加工，确保食品安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学校、托幼机构、养老机构、建筑工地等集中用餐单位的主管部门应当加强对集中用餐单位的食品安全教育和日常管理，降低食品安全风险，及时消除食品安全隐患。</w:t>
      </w:r>
      <w:r>
        <w:rPr>
          <w:rFonts w:hint="eastAsia" w:ascii="宋体" w:hAnsi="宋体" w:cs="仿宋_GB2312"/>
          <w:sz w:val="32"/>
          <w:szCs w:val="32"/>
          <w:lang w:val="en-US" w:eastAsia="zh-CN"/>
        </w:rPr>
        <w:br w:type="textWrapping"/>
      </w:r>
      <w:bookmarkStart w:id="71" w:name="5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第五十八条</w:t>
      </w:r>
      <w:bookmarkEnd w:id="7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餐具、饮具集中消毒服务单位应当具备相应的作业场所、清洗消毒设备或者设施，用水和使用的洗涤剂、消毒剂应当符合相关食品安全国家标准和其他国家标准、卫生规范。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具、饮具集中消毒服务单位应当对消毒餐具、饮具进行逐批检验，检验合格后方可出厂，并应当随附消毒合格证明。消毒后的餐具、饮具应当在独立包装上标注单位名称、地址、联系方式、消毒日期以及使用期限等内容。</w:t>
      </w:r>
      <w:r>
        <w:rPr>
          <w:rFonts w:hint="eastAsia" w:ascii="宋体" w:hAnsi="宋体" w:cs="仿宋_GB2312"/>
          <w:sz w:val="32"/>
          <w:szCs w:val="32"/>
          <w:lang w:val="en-US" w:eastAsia="zh-CN"/>
        </w:rPr>
        <w:br w:type="textWrapping"/>
      </w:r>
      <w:bookmarkStart w:id="72" w:name="5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第五十九条</w:t>
      </w:r>
      <w:bookmarkEnd w:id="72"/>
      <w:r>
        <w:rPr>
          <w:rFonts w:hint="eastAsia" w:ascii="宋体" w:hAnsi="宋体" w:cs="仿宋_GB2312"/>
          <w:sz w:val="32"/>
          <w:szCs w:val="32"/>
          <w:lang w:val="en-US" w:eastAsia="zh-CN"/>
        </w:rPr>
        <w:t>　食品添加剂生产者应当建立食品添加剂出厂检验记录制度，查验出厂产品的检验合格证和安全状况，如实记录食品添加剂的名称、规格、数量、生产日期或者生产批号、保质期、检验合格证号、销售日期以及购货者名称、地址、联系方式等相关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73" w:name="6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第六十条</w:t>
      </w:r>
      <w:bookmarkEnd w:id="73"/>
      <w:r>
        <w:rPr>
          <w:rFonts w:hint="eastAsia" w:ascii="宋体" w:hAnsi="宋体" w:cs="仿宋_GB2312"/>
          <w:sz w:val="32"/>
          <w:szCs w:val="32"/>
          <w:lang w:val="en-US" w:eastAsia="zh-CN"/>
        </w:rPr>
        <w:t>　食品添加剂经营者采购食品添加剂，应当依法查验供货者的许可证和产品合格证明文件，如实记录食品添加剂的名称、规格、数量、生产日期或者生产批号、保质期、进货日期以及供货者名称、地址、联系方式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74" w:name="6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第六十一条</w:t>
      </w:r>
      <w:bookmarkEnd w:id="7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集中交易市场的开办者、柜台出租者和展销会举办者，应当依法审查入场食品经营者的许可证，明确其食品安全管理责任，定期对其经营环境和条件进行检查，发现其有违反本法规定行为的，应当及时制止并立即报告所在地县级人民政府食品安全监督管理部门。</w:t>
      </w:r>
      <w:r>
        <w:rPr>
          <w:rFonts w:hint="eastAsia" w:ascii="宋体" w:hAnsi="宋体" w:cs="仿宋_GB2312"/>
          <w:sz w:val="32"/>
          <w:szCs w:val="32"/>
          <w:lang w:val="en-US" w:eastAsia="zh-CN"/>
        </w:rPr>
        <w:br w:type="textWrapping"/>
      </w:r>
      <w:bookmarkStart w:id="75" w:name="6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第六十二条</w:t>
      </w:r>
      <w:bookmarkEnd w:id="7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网络食品交易第三方平台提供者应当对入网食品经营者进行实名登记，明确其食品安全管理责任；依法应当取得许可证的，还应当审查其许可证。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网络食品交易第三方平台提供者发现入网食品经营者有违反本法规定行为的，应当及时制止并立即报告所在地县级人民政府食品安全监督管理部门；发现严重违法行为的，应当立即停止提供网络交易平台服务。</w:t>
      </w:r>
      <w:r>
        <w:rPr>
          <w:rFonts w:hint="eastAsia" w:ascii="宋体" w:hAnsi="宋体" w:cs="仿宋_GB2312"/>
          <w:sz w:val="32"/>
          <w:szCs w:val="32"/>
          <w:lang w:val="en-US" w:eastAsia="zh-CN"/>
        </w:rPr>
        <w:br w:type="textWrapping"/>
      </w:r>
      <w:bookmarkStart w:id="76" w:name="6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第六十三条</w:t>
      </w:r>
      <w:bookmarkEnd w:id="76"/>
      <w:r>
        <w:rPr>
          <w:rFonts w:hint="eastAsia" w:ascii="宋体" w:hAnsi="宋体" w:cs="仿宋_GB2312"/>
          <w:sz w:val="32"/>
          <w:szCs w:val="32"/>
          <w:lang w:val="en-US" w:eastAsia="zh-CN"/>
        </w:rPr>
        <w:t>　国家建立食品召回制度。食品生产者发现其生产的食品不符合食品安全标准或者有证据证明可能危害人体健康的，应当立即停止生产，召回已经上市销售的食品，通知相关生产经营者和消费者，并记录召回和通知情况。</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经营者发现其经营的食品有前款规定情形的，应当立即停止经营，通知相关生产经营者和消费者，并记录停止经营和通知情况。食品生产者认为应当召回的，应当立即召回。由于食品经营者的原因造成其经营的食品有前款规定情形的，食品经营者应当召回。</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对召回的食品采取无害化处理、销毁等措施，防止其再次流入市场。但是，对因标签、标志或者说明书不符合食品安全标准而被召回的食品，食品生产者在采取补救措施且能保证食品安全的情况下可以继续销售；销售时应当向消费者明示补救措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应当将食品召回和处理情况向所在地县级人民政府食品安全监督管理部门报告；需要对召回的食品进行无害化处理、销毁的，应当提前报告时间、地点。食品安全监督管理部门认为必要的，可以实施现场监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食品生产经营者未依照本条规定召回或者停止经营的，县级以上人民政府食品安全监督管理部门可以责令其召回或者停止经营。</w:t>
      </w:r>
      <w:r>
        <w:rPr>
          <w:rFonts w:hint="eastAsia" w:ascii="宋体" w:hAnsi="宋体" w:cs="仿宋_GB2312"/>
          <w:sz w:val="32"/>
          <w:szCs w:val="32"/>
          <w:lang w:val="en-US" w:eastAsia="zh-CN"/>
        </w:rPr>
        <w:br w:type="textWrapping"/>
      </w:r>
      <w:bookmarkStart w:id="77" w:name="6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第六十四条</w:t>
      </w:r>
      <w:bookmarkEnd w:id="77"/>
      <w:r>
        <w:rPr>
          <w:rFonts w:hint="eastAsia" w:ascii="宋体" w:hAnsi="宋体" w:cs="仿宋_GB2312"/>
          <w:sz w:val="32"/>
          <w:szCs w:val="32"/>
          <w:lang w:val="en-US" w:eastAsia="zh-CN"/>
        </w:rPr>
        <w:t>　食用农产品批发市场应当配备检验设备和检验人员或者委托符合本法规定的食品检验机构，对进入该批发市场销售的食用农产品进行抽样检验；发现不符合食品安全标准的，应当要求销售者立即停止销售，并向食品安全监督管理部门报告。</w:t>
      </w:r>
      <w:r>
        <w:rPr>
          <w:rFonts w:hint="eastAsia" w:ascii="宋体" w:hAnsi="宋体" w:cs="仿宋_GB2312"/>
          <w:sz w:val="32"/>
          <w:szCs w:val="32"/>
          <w:lang w:val="en-US" w:eastAsia="zh-CN"/>
        </w:rPr>
        <w:br w:type="textWrapping"/>
      </w:r>
      <w:bookmarkStart w:id="78" w:name="65"/>
      <w:r>
        <w:rPr>
          <w:rFonts w:hint="eastAsia" w:ascii="宋体" w:hAnsi="宋体" w:eastAsia="黑体" w:cs="黑体"/>
          <w:sz w:val="32"/>
          <w:szCs w:val="32"/>
          <w:lang w:val="en-US" w:eastAsia="zh-CN"/>
        </w:rPr>
        <w:t>　  第六十五条</w:t>
      </w:r>
      <w:bookmarkEnd w:id="7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食用农产品销售者应当建立食用农产品进货查验记录制度，如实记录食用农产品的名称、数量、进货日期以及供货者名称、地址、联系方式等内容，并保存相关凭证。记录和凭证保存期限不得少于六个月。</w:t>
      </w:r>
      <w:r>
        <w:rPr>
          <w:rFonts w:hint="eastAsia" w:ascii="宋体" w:hAnsi="宋体" w:cs="仿宋_GB2312"/>
          <w:sz w:val="32"/>
          <w:szCs w:val="32"/>
          <w:lang w:val="en-US" w:eastAsia="zh-CN"/>
        </w:rPr>
        <w:br w:type="textWrapping"/>
      </w:r>
      <w:bookmarkStart w:id="79" w:name="6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第六十六条</w:t>
      </w:r>
      <w:bookmarkEnd w:id="7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进入市场销售的食用农产品在包装、保鲜、贮存、运输中使用保鲜剂、防腐剂等食品添加剂和包装材料等食品相关产品，应当符合食品安全国家标准。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第三节　标签、说明书和广告</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80" w:name="67"/>
      <w:r>
        <w:rPr>
          <w:rFonts w:hint="eastAsia" w:ascii="宋体" w:hAnsi="宋体" w:eastAsia="黑体" w:cs="黑体"/>
          <w:sz w:val="32"/>
          <w:szCs w:val="32"/>
          <w:lang w:val="en-US" w:eastAsia="zh-CN"/>
        </w:rPr>
        <w:t xml:space="preserve">    第六十七条</w:t>
      </w:r>
      <w:bookmarkEnd w:id="8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预包装食品的包装上应当有标签。标签应当标明下列事项：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（一）名称、规格、净含量、生产日期；</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（二）成分或者配料表；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（三）生产者的名称、地址、联系方式；</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（四）保质期；</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（五）产品标准代号；</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（六）贮存条件；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（七）所使用的食品添加剂在国家标准中的通用名称；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（八）生产许可证编号；</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（九）法律、法规或者食品安全标准规定应当标明的其他事项。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专供婴幼儿和其他特定人群的主辅食品，其标签还应当标明主要营养成分及其含量。</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食品安全国家标准对标签标注事项另有规定的，从其规定。</w:t>
      </w:r>
      <w:r>
        <w:rPr>
          <w:rFonts w:hint="eastAsia" w:ascii="宋体" w:hAnsi="宋体" w:cs="仿宋_GB2312"/>
          <w:sz w:val="32"/>
          <w:szCs w:val="32"/>
          <w:lang w:val="en-US" w:eastAsia="zh-CN"/>
        </w:rPr>
        <w:br w:type="textWrapping"/>
      </w:r>
      <w:bookmarkStart w:id="81" w:name="68"/>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第六十八条</w:t>
      </w:r>
      <w:bookmarkEnd w:id="81"/>
      <w:r>
        <w:rPr>
          <w:rFonts w:hint="eastAsia" w:ascii="宋体" w:hAnsi="宋体" w:cs="仿宋_GB2312"/>
          <w:sz w:val="32"/>
          <w:szCs w:val="32"/>
          <w:lang w:val="en-US" w:eastAsia="zh-CN"/>
        </w:rPr>
        <w:t>　食品经营者销售散装食品，应当在散装食品的容器、外包装上标明食品的名称、生产日期或者生产批号、保质期以及生产经营者名称、地址、联系方式等内容。</w:t>
      </w:r>
      <w:r>
        <w:rPr>
          <w:rFonts w:hint="eastAsia" w:ascii="宋体" w:hAnsi="宋体" w:cs="仿宋_GB2312"/>
          <w:sz w:val="32"/>
          <w:szCs w:val="32"/>
          <w:lang w:val="en-US" w:eastAsia="zh-CN"/>
        </w:rPr>
        <w:br w:type="textWrapping"/>
      </w:r>
      <w:bookmarkStart w:id="82" w:name="69"/>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第六十九条</w:t>
      </w:r>
      <w:bookmarkEnd w:id="8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生产经营转基因食品应当按照规定显著标示。</w:t>
      </w:r>
      <w:r>
        <w:rPr>
          <w:rFonts w:hint="eastAsia" w:ascii="宋体" w:hAnsi="宋体" w:cs="仿宋_GB2312"/>
          <w:sz w:val="32"/>
          <w:szCs w:val="32"/>
          <w:lang w:val="en-US" w:eastAsia="zh-CN"/>
        </w:rPr>
        <w:br w:type="textWrapping"/>
      </w:r>
      <w:bookmarkStart w:id="83" w:name="7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第七十条</w:t>
      </w:r>
      <w:bookmarkEnd w:id="83"/>
      <w:r>
        <w:rPr>
          <w:rFonts w:hint="eastAsia" w:ascii="宋体" w:hAnsi="宋体" w:cs="仿宋_GB2312"/>
          <w:sz w:val="32"/>
          <w:szCs w:val="32"/>
          <w:lang w:val="en-US" w:eastAsia="zh-CN"/>
        </w:rPr>
        <w:t>　食品添加剂应当有标签、说明书和包装。标签、说明书应当载明本法第六十七条第一款第一项至第六项、第八项、第九项规定的事项，以及食品添加剂的使用范围、用量、使用方法，并在标签上载明“食品添加剂”字样。</w:t>
      </w:r>
      <w:r>
        <w:rPr>
          <w:rFonts w:hint="eastAsia" w:ascii="宋体" w:hAnsi="宋体" w:cs="仿宋_GB2312"/>
          <w:sz w:val="32"/>
          <w:szCs w:val="32"/>
          <w:lang w:val="en-US" w:eastAsia="zh-CN"/>
        </w:rPr>
        <w:br w:type="textWrapping"/>
      </w:r>
      <w:bookmarkStart w:id="84" w:name="7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第七十一条</w:t>
      </w:r>
      <w:bookmarkEnd w:id="8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食品和食品添加剂的标签、说明书，不得含有虚假内容，不得涉及疾病预防、治疗功能。生产经营者对其提供的标签、说明书的内容负责。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食品和食品添加剂的标签、说明书应当清楚、明显，生产日期、保质期等事项应当显著标注，容易辨识。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食品和食品添加剂与其标签、说明书的内容不符的，不得上市销售。</w:t>
      </w:r>
      <w:r>
        <w:rPr>
          <w:rFonts w:hint="eastAsia" w:ascii="宋体" w:hAnsi="宋体" w:cs="仿宋_GB2312"/>
          <w:sz w:val="32"/>
          <w:szCs w:val="32"/>
          <w:lang w:val="en-US" w:eastAsia="zh-CN"/>
        </w:rPr>
        <w:br w:type="textWrapping"/>
      </w:r>
      <w:bookmarkStart w:id="85" w:name="7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第七十二条</w:t>
      </w:r>
      <w:bookmarkEnd w:id="8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食品经营者应当按照食品标签标示的警示标志、警示说明或者注意事项的要求销售食品。</w:t>
      </w:r>
      <w:r>
        <w:rPr>
          <w:rFonts w:hint="eastAsia" w:ascii="宋体" w:hAnsi="宋体" w:cs="仿宋_GB2312"/>
          <w:sz w:val="32"/>
          <w:szCs w:val="32"/>
          <w:lang w:val="en-US" w:eastAsia="zh-CN"/>
        </w:rPr>
        <w:br w:type="textWrapping"/>
      </w:r>
      <w:bookmarkStart w:id="86" w:name="7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第七十三条</w:t>
      </w:r>
      <w:bookmarkEnd w:id="86"/>
      <w:r>
        <w:rPr>
          <w:rFonts w:hint="eastAsia" w:ascii="宋体" w:hAnsi="宋体" w:cs="仿宋_GB2312"/>
          <w:sz w:val="32"/>
          <w:szCs w:val="32"/>
          <w:lang w:val="en-US" w:eastAsia="zh-CN"/>
        </w:rPr>
        <w:t>　食品广告的内容应当真实合法，不得含有虚假内容，不得涉及疾病预防、治疗功能。食品生产经营者对食品广告内容的真实性、合法性负责。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县级以上人民政府食品安全监督管理部门和其他有关部门以及食品检验机构、食品行业协会不得以广告或者其他形式向消费者推荐食品。消费者组织不得以收取费用或者其他牟取利益的方式向消费者推荐食品。</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第四节　特殊食品</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bookmarkStart w:id="87" w:name="7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第七十四条</w:t>
      </w:r>
      <w:bookmarkEnd w:id="8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国家对保健食品、特殊医学用途配方食品和婴幼儿配方食品等特殊食品实行严格监督管理。</w:t>
      </w:r>
      <w:r>
        <w:rPr>
          <w:rFonts w:hint="eastAsia" w:ascii="宋体" w:hAnsi="宋体" w:cs="仿宋_GB2312"/>
          <w:sz w:val="32"/>
          <w:szCs w:val="32"/>
          <w:lang w:val="en-US" w:eastAsia="zh-CN"/>
        </w:rPr>
        <w:br w:type="textWrapping"/>
      </w:r>
      <w:bookmarkStart w:id="88" w:name="7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第七十五条</w:t>
      </w:r>
      <w:bookmarkEnd w:id="8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保健食品声称保健功能，应当具有科学依据，不得对人体产生急性、亚急性或者慢性危害。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保健食品原料目录和允许保健食品声称的保健功能目录，由国务院食品安全监督管理部门会同国务院卫生行政部门、国家中医药管理部门制定、调整并公布。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保健食品原料目录应当包括原料名称、用量及其对应的功效；列入保健食品原料目录的原料只能用于保健食品生产，不得用于其他食品生产。</w:t>
      </w:r>
      <w:r>
        <w:rPr>
          <w:rFonts w:hint="eastAsia" w:ascii="宋体" w:hAnsi="宋体" w:cs="仿宋_GB2312"/>
          <w:sz w:val="32"/>
          <w:szCs w:val="32"/>
          <w:lang w:val="en-US" w:eastAsia="zh-CN"/>
        </w:rPr>
        <w:br w:type="textWrapping"/>
      </w:r>
      <w:bookmarkStart w:id="89" w:name="7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第七十六条</w:t>
      </w:r>
      <w:bookmarkEnd w:id="8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使用保健食品原料目录以外原料的保健食品和首次进口的保健食品应当经国务院食品安全监督管理部门注册。但是，首次进口的保健食品中属于补充维生素、矿物质等营养物质的，应当报国务院食品安全监督管理部门备案。其他保健食品应当报省、自治区、直辖市人民政府食品安全监督管理部门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进口的保健食品应当是出口国（地区）主管部门准许上市销售的产品。</w:t>
      </w:r>
      <w:r>
        <w:rPr>
          <w:rFonts w:hint="eastAsia" w:ascii="宋体" w:hAnsi="宋体" w:cs="仿宋_GB2312"/>
          <w:sz w:val="32"/>
          <w:szCs w:val="32"/>
          <w:lang w:val="en-US" w:eastAsia="zh-CN"/>
        </w:rPr>
        <w:br w:type="textWrapping"/>
      </w:r>
      <w:bookmarkStart w:id="90" w:name="7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第七十七条</w:t>
      </w:r>
      <w:bookmarkEnd w:id="90"/>
      <w:r>
        <w:rPr>
          <w:rFonts w:hint="eastAsia" w:ascii="宋体" w:hAnsi="宋体" w:cs="仿宋_GB2312"/>
          <w:sz w:val="32"/>
          <w:szCs w:val="32"/>
          <w:lang w:val="en-US" w:eastAsia="zh-CN"/>
        </w:rPr>
        <w:t>　依法应当注册的保健食品，注册时应当提交保健食品的研发报告、产品配方、生产工艺、安全性和保健功能评价、标签、说明书等材料及样品，并提供相关证明文件。国务院食品安全监督管理部门经组织技术审评，对符合安全和功能声称要求的，准予注册；对不符合要求的，不予注册并书面说明理由。对使用保健食品原料目录以外原料的保健食品作出准予注册决定的，应当及时将该原料纳入保健食品原料目录。</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依法应当备案的保健食品，备案时应当提交产品配方、生产工艺、标签、说明书以及表明产品安全性和保健功能的材料。</w:t>
      </w:r>
      <w:r>
        <w:rPr>
          <w:rFonts w:hint="eastAsia" w:ascii="宋体" w:hAnsi="宋体" w:cs="仿宋_GB2312"/>
          <w:sz w:val="32"/>
          <w:szCs w:val="32"/>
          <w:lang w:val="en-US" w:eastAsia="zh-CN"/>
        </w:rPr>
        <w:br w:type="textWrapping"/>
      </w:r>
      <w:bookmarkStart w:id="91" w:name="7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第七十八条</w:t>
      </w:r>
      <w:bookmarkEnd w:id="9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的标签、说明书不得涉及疾病预防、治疗功能，内容应当真实，与注册或者备案的内容相一致，载明适宜人群、不适宜人群、功效成分或者标志性成分及其含量等，并声明“本品不能代替药物”。保健食品的功能和成分应当与标签、说明书相一致。</w:t>
      </w:r>
      <w:r>
        <w:rPr>
          <w:rFonts w:hint="eastAsia" w:ascii="宋体" w:hAnsi="宋体" w:cs="仿宋_GB2312"/>
          <w:sz w:val="32"/>
          <w:szCs w:val="32"/>
          <w:lang w:val="en-US" w:eastAsia="zh-CN"/>
        </w:rPr>
        <w:br w:type="textWrapping"/>
      </w:r>
      <w:bookmarkStart w:id="92" w:name="7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第七十九条</w:t>
      </w:r>
      <w:bookmarkEnd w:id="9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广告除应当符合本法第七十三条第一款的规定外，还应当声明“本品不能代替药物”；其内容应当经生产企业所在地省、自治区、直辖市人民政府食品安全监督管理部门审查批准，取得保健食品广告批准文件。省、自治区、直辖市人民政府食品安全监督管理部门应当公布并及时更新已经批准的保健食品广告目录以及批准的广告内容。</w:t>
      </w:r>
      <w:r>
        <w:rPr>
          <w:rFonts w:hint="eastAsia" w:ascii="宋体" w:hAnsi="宋体" w:cs="仿宋_GB2312"/>
          <w:sz w:val="32"/>
          <w:szCs w:val="32"/>
          <w:lang w:val="en-US" w:eastAsia="zh-CN"/>
        </w:rPr>
        <w:br w:type="textWrapping"/>
      </w:r>
      <w:bookmarkStart w:id="93" w:name="8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第八十条</w:t>
      </w:r>
      <w:bookmarkEnd w:id="9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特殊医学用途配方食品应当经国务院食品安全监督管理部门注册。注册时，应当提交产品配方、生产工艺、标签、说明书以及表明产品安全性、营养充足性和特殊医学用途临床效果的材料。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特殊医学用途配方食品广告适用《</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(325018,0)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中华人民共和国广告法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》和其他法律、行政法规关于药品广告管理的规定。</w:t>
      </w:r>
      <w:r>
        <w:rPr>
          <w:rFonts w:hint="eastAsia" w:ascii="宋体" w:hAnsi="宋体" w:cs="仿宋_GB2312"/>
          <w:sz w:val="32"/>
          <w:szCs w:val="32"/>
          <w:lang w:val="en-US" w:eastAsia="zh-CN"/>
        </w:rPr>
        <w:br w:type="textWrapping"/>
      </w:r>
      <w:bookmarkStart w:id="94" w:name="8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第八十一条</w:t>
      </w:r>
      <w:bookmarkEnd w:id="94"/>
      <w:r>
        <w:rPr>
          <w:rFonts w:hint="eastAsia" w:ascii="宋体" w:hAnsi="宋体" w:cs="仿宋_GB2312"/>
          <w:sz w:val="32"/>
          <w:szCs w:val="32"/>
          <w:lang w:val="en-US" w:eastAsia="zh-CN"/>
        </w:rPr>
        <w:t>　婴幼儿配方食品生产企业应当实施从原料进厂到成品出厂的全过程质量控制，对出厂的婴幼儿配方食品实施逐批检验，保证食品安全。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生产婴幼儿配方食品使用的生鲜乳、辅料等食品原料、食品添加剂等，应当符合法律、行政法规的规定和食品安全国家标准，保证婴幼儿生长发育所需的营养成分。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婴幼儿配方食品生产企业应当将食品原料、食品添加剂、产品配方及标签等事项向省、自治区、直辖市人民政府食品安全监督管理部门备案。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婴幼儿配方乳粉的产品配方应当经国务院食品安全监督管理部门注册。注册时，应当提交配方研发报告和其他表明配方科学性、安全性的材料。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不得以分装方式生产婴幼儿配方乳粉，同一企业不得用同一配方生产不同品牌的婴幼儿配方乳粉。</w:t>
      </w:r>
      <w:r>
        <w:rPr>
          <w:rFonts w:hint="eastAsia" w:ascii="宋体" w:hAnsi="宋体" w:cs="仿宋_GB2312"/>
          <w:sz w:val="32"/>
          <w:szCs w:val="32"/>
          <w:lang w:val="en-US" w:eastAsia="zh-CN"/>
        </w:rPr>
        <w:br w:type="textWrapping"/>
      </w:r>
      <w:bookmarkStart w:id="95" w:name="8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第八十二条</w:t>
      </w:r>
      <w:bookmarkEnd w:id="9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保健食品、特殊医学用途配方食品、婴幼儿配方乳粉的注册人或者备案人应当对其提交材料的真实性负责。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省级以上人民政府食品安全监督管理部门应当及时公布注册或者备案的保健食品、特殊医学用途配方食品、婴幼儿配方乳粉目录，并对注册或者备案中获知的企业商业秘密予以保密。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保健食品、特殊医学用途配方食品、婴幼儿配方乳粉生产企业应当按照注册或者备案的产品配方、生产工艺等技术要求组织生产。</w:t>
      </w:r>
      <w:r>
        <w:rPr>
          <w:rFonts w:hint="eastAsia" w:ascii="宋体" w:hAnsi="宋体" w:cs="仿宋_GB2312"/>
          <w:sz w:val="32"/>
          <w:szCs w:val="32"/>
          <w:lang w:val="en-US" w:eastAsia="zh-CN"/>
        </w:rPr>
        <w:br w:type="textWrapping"/>
      </w:r>
      <w:bookmarkStart w:id="96" w:name="83"/>
      <w:r>
        <w:rPr>
          <w:rFonts w:hint="eastAsia" w:ascii="宋体" w:hAnsi="宋体" w:eastAsia="黑体" w:cs="黑体"/>
          <w:sz w:val="32"/>
          <w:szCs w:val="32"/>
          <w:lang w:val="en-US" w:eastAsia="zh-CN"/>
        </w:rPr>
        <w:t>　  第八十三条</w:t>
      </w:r>
      <w:bookmarkEnd w:id="9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生产保健食品，特殊医学用途配方食品、婴幼儿配方食品和其他专供特定人群的主辅食品的企业，应当按照良好生产规范的要求建立与所生产食品相适应的生产质量管理体系，定期对该体系的运行情况进行自查，保证其有效运行，并向所在地县级人民政府食品安全监督管理部门提交自查报告。</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sz w:val="32"/>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第五章　食品检验</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bookmarkStart w:id="97" w:name="8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第八十四条</w:t>
      </w:r>
      <w:bookmarkEnd w:id="9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食品检验机构按照国家有关认证认可的规定取得资质认定后，方可从事食品检验活动。但是，法律另有规定的除外。</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食品检验机构的资质认定条件和检验规范，由国务院食品安全监督管理部门规定。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符合本法规定的食品检验机构出具的检验报告具有同等效力。</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县级以上人民政府应当整合食品检验资源，实现资源共享。</w:t>
      </w:r>
      <w:r>
        <w:rPr>
          <w:rFonts w:hint="eastAsia" w:ascii="宋体" w:hAnsi="宋体" w:cs="仿宋_GB2312"/>
          <w:sz w:val="32"/>
          <w:szCs w:val="32"/>
          <w:lang w:val="en-US" w:eastAsia="zh-CN"/>
        </w:rPr>
        <w:br w:type="textWrapping"/>
      </w:r>
      <w:bookmarkStart w:id="98" w:name="8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第八十五条</w:t>
      </w:r>
      <w:bookmarkEnd w:id="9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食品检验由食品检验机构指定的检验人独立进行。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检验人应当依照有关法律、法规的规定，并按照食品安全标准和检验规范对食品进行检验，尊重科学，恪守职业道德，保证出具的检验数据和结论客观、公正，不得出具虚假检验报告。</w:t>
      </w:r>
      <w:r>
        <w:rPr>
          <w:rFonts w:hint="eastAsia" w:ascii="宋体" w:hAnsi="宋体" w:cs="仿宋_GB2312"/>
          <w:sz w:val="32"/>
          <w:szCs w:val="32"/>
          <w:lang w:val="en-US" w:eastAsia="zh-CN"/>
        </w:rPr>
        <w:br w:type="textWrapping"/>
      </w:r>
      <w:bookmarkStart w:id="99" w:name="86"/>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第八十六条</w:t>
      </w:r>
      <w:bookmarkEnd w:id="9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食品检验实行食品检验机构与检验人负责制。食品检验报告应当加盖食品检验机构公章，并有检验人的签名或者盖章。食品检验机构和检验人对出具的食品检验报告负责。</w:t>
      </w:r>
      <w:r>
        <w:rPr>
          <w:rFonts w:hint="eastAsia" w:ascii="宋体" w:hAnsi="宋体" w:cs="仿宋_GB2312"/>
          <w:sz w:val="32"/>
          <w:szCs w:val="32"/>
          <w:lang w:val="en-US" w:eastAsia="zh-CN"/>
        </w:rPr>
        <w:br w:type="textWrapping"/>
      </w:r>
      <w:bookmarkStart w:id="100" w:name="8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第八十七条</w:t>
      </w:r>
      <w:bookmarkEnd w:id="10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人民政府食品安全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r>
        <w:rPr>
          <w:rFonts w:hint="eastAsia" w:ascii="宋体" w:hAnsi="宋体" w:cs="仿宋_GB2312"/>
          <w:sz w:val="32"/>
          <w:szCs w:val="32"/>
          <w:lang w:val="en-US" w:eastAsia="zh-CN"/>
        </w:rPr>
        <w:br w:type="textWrapping"/>
      </w:r>
      <w:bookmarkStart w:id="101" w:name="88"/>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第八十八条</w:t>
      </w:r>
      <w:bookmarkEnd w:id="10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依照本法规定实施的检验结论有异议的，食品生产经营者可以自收到检验结论之日起七个工作日内向实施抽样检验的食品安全监督管理部门或者其上一级食品安全监督管理部门提出复检申请，由受理复检申请的食品安全监督管理部门在公布的复检机构名录中随机确定复检机构进行复检。复检机构出具的复检结论为最终检验结论。复检机构与初检机构不得为同一机构。复检机构名录由国务院认证认可监督管理、食品安全监督管理、卫生行政、农业行政等部门共同公布。</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采用国家规定的快速检测方法对食用农产品进行抽查检测，被抽查人对检测结果有异议的，可以自收到检测结果时起四小时内申请复检。复检不得采用快速检测方法。</w:t>
      </w:r>
      <w:r>
        <w:rPr>
          <w:rFonts w:hint="eastAsia" w:ascii="宋体" w:hAnsi="宋体" w:cs="仿宋_GB2312"/>
          <w:sz w:val="32"/>
          <w:szCs w:val="32"/>
          <w:lang w:val="en-US" w:eastAsia="zh-CN"/>
        </w:rPr>
        <w:br w:type="textWrapping"/>
      </w:r>
      <w:bookmarkStart w:id="102" w:name="8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第八十九条</w:t>
      </w:r>
      <w:bookmarkEnd w:id="10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食品生产企业可以自行对所生产的食品进行检验，也可以委托符合本法规定的食品检验机构进行检验。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食品行业协会和消费者协会等组织、消费者需要委托食品检验机构对食品进行检验的，应当委托符合本法规定的食品检验机构进行。</w:t>
      </w:r>
      <w:r>
        <w:rPr>
          <w:rFonts w:hint="eastAsia" w:ascii="宋体" w:hAnsi="宋体" w:cs="仿宋_GB2312"/>
          <w:sz w:val="32"/>
          <w:szCs w:val="32"/>
          <w:lang w:val="en-US" w:eastAsia="zh-CN"/>
        </w:rPr>
        <w:br w:type="textWrapping"/>
      </w:r>
      <w:bookmarkStart w:id="103" w:name="9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第九十条</w:t>
      </w:r>
      <w:bookmarkEnd w:id="103"/>
      <w:r>
        <w:rPr>
          <w:rFonts w:hint="eastAsia" w:ascii="宋体" w:hAnsi="宋体" w:cs="仿宋_GB2312"/>
          <w:sz w:val="32"/>
          <w:szCs w:val="32"/>
          <w:lang w:val="en-US" w:eastAsia="zh-CN"/>
        </w:rPr>
        <w:t>　食品添加剂的检验，适用本法有关食品检验的规定。</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第六章　食品进出口</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04" w:name="91"/>
      <w:r>
        <w:rPr>
          <w:rFonts w:hint="eastAsia" w:ascii="宋体" w:hAnsi="宋体" w:eastAsia="黑体" w:cs="黑体"/>
          <w:sz w:val="32"/>
          <w:szCs w:val="32"/>
          <w:lang w:val="en-US" w:eastAsia="zh-CN"/>
        </w:rPr>
        <w:t xml:space="preserve">    第九十一条</w:t>
      </w:r>
      <w:bookmarkEnd w:id="104"/>
      <w:r>
        <w:rPr>
          <w:rFonts w:hint="eastAsia" w:ascii="宋体" w:hAnsi="宋体" w:cs="仿宋_GB2312"/>
          <w:sz w:val="32"/>
          <w:szCs w:val="32"/>
          <w:lang w:val="en-US" w:eastAsia="zh-CN"/>
        </w:rPr>
        <w:t>　国家出入境检验检疫部门对进出口食品安全实施监督管理。</w:t>
      </w:r>
      <w:r>
        <w:rPr>
          <w:rFonts w:hint="eastAsia" w:ascii="宋体" w:hAnsi="宋体" w:cs="仿宋_GB2312"/>
          <w:sz w:val="32"/>
          <w:szCs w:val="32"/>
          <w:lang w:val="en-US" w:eastAsia="zh-CN"/>
        </w:rPr>
        <w:br w:type="textWrapping"/>
      </w:r>
      <w:bookmarkStart w:id="105" w:name="9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第九十二条</w:t>
      </w:r>
      <w:bookmarkEnd w:id="10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进口的食品、食品添加剂、食品相关产品应当符合我国食品安全国家标准。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进口的食品、食品添加剂应当经出入境检验检疫机构依照进出口商品检验相关法律、行政法规的规定检验合格。</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进口的食品、食品添加剂应当按照国家出入境检验检疫部门的要求随附合格证明材料。</w:t>
      </w:r>
      <w:r>
        <w:rPr>
          <w:rFonts w:hint="eastAsia" w:ascii="宋体" w:hAnsi="宋体" w:cs="仿宋_GB2312"/>
          <w:sz w:val="32"/>
          <w:szCs w:val="32"/>
          <w:lang w:val="en-US" w:eastAsia="zh-CN"/>
        </w:rPr>
        <w:br w:type="textWrapping"/>
      </w:r>
      <w:bookmarkStart w:id="106" w:name="9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第九十三条</w:t>
      </w:r>
      <w:bookmarkEnd w:id="106"/>
      <w:r>
        <w:rPr>
          <w:rFonts w:hint="eastAsia" w:ascii="宋体" w:hAnsi="宋体" w:cs="仿宋_GB2312"/>
          <w:sz w:val="32"/>
          <w:szCs w:val="32"/>
          <w:lang w:val="en-US" w:eastAsia="zh-CN"/>
        </w:rPr>
        <w:t>　进口尚无食品安全国家标准的食品，由境外出口商、境外生产企业或者其委托的进口商向国务院卫生行政部门提交所执行的相关国家（地区）标准或者国际标准。国务院卫生行政部门对相关标准进行审查，认为符合食品安全要求的，决定暂予适用，并及时制定相应的食品安全国家标准。进口利用新的食品原料生产的食品或者进口食品添加剂新品种、食品相关产品新品种，依照本法第三十七条的规定办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出入境检验检疫机构按照国务院卫生行政部门的要求，对前款规定的食品、食品添加剂、食品相关产品进行检验。检验结果应当公开。</w:t>
      </w:r>
      <w:r>
        <w:rPr>
          <w:rFonts w:hint="eastAsia" w:ascii="宋体" w:hAnsi="宋体" w:cs="仿宋_GB2312"/>
          <w:sz w:val="32"/>
          <w:szCs w:val="32"/>
          <w:lang w:val="en-US" w:eastAsia="zh-CN"/>
        </w:rPr>
        <w:br w:type="textWrapping"/>
      </w:r>
      <w:bookmarkStart w:id="107" w:name="9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第九十四条</w:t>
      </w:r>
      <w:bookmarkEnd w:id="107"/>
      <w:r>
        <w:rPr>
          <w:rFonts w:hint="eastAsia" w:ascii="宋体" w:hAnsi="宋体" w:cs="仿宋_GB2312"/>
          <w:sz w:val="32"/>
          <w:szCs w:val="32"/>
          <w:lang w:val="en-US" w:eastAsia="zh-CN"/>
        </w:rPr>
        <w:t>　境外出口商、境外生产企业应当保证向我国出口的食品、食品添加剂、食品相关产品符合本法以及我国其他有关法律、行政法规的规定和食品安全国家标准的要求，并对标签、说明书的内容负责。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进口商应当建立境外出口商、境外生产企业审核制度，重点审核前款规定的内容；审核不合格的，不得进口。</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发现进口食品不符合我国食品安全国家标准或者有证据证明可能危害人体健康的，进口商应当立即停止进口，并依照本法第六十三条的规定召回。</w:t>
      </w:r>
      <w:r>
        <w:rPr>
          <w:rFonts w:hint="eastAsia" w:ascii="宋体" w:hAnsi="宋体" w:cs="仿宋_GB2312"/>
          <w:sz w:val="32"/>
          <w:szCs w:val="32"/>
          <w:lang w:val="en-US" w:eastAsia="zh-CN"/>
        </w:rPr>
        <w:br w:type="textWrapping"/>
      </w:r>
      <w:bookmarkStart w:id="108" w:name="9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第九十五条</w:t>
      </w:r>
      <w:bookmarkEnd w:id="108"/>
      <w:r>
        <w:rPr>
          <w:rFonts w:hint="eastAsia" w:ascii="宋体" w:hAnsi="宋体" w:cs="仿宋_GB2312"/>
          <w:sz w:val="32"/>
          <w:szCs w:val="32"/>
          <w:lang w:val="en-US" w:eastAsia="zh-CN"/>
        </w:rPr>
        <w:t>　境外发生的食品安全事件可能对我国境内造成影响，或者在进口食品、食品添加剂、食品相关产品中发现严重食品安全问题的，国家出入境检验检疫部门应当及时采取风险预警或者控制措施，并向国务院食品安全监督管理、卫生行政、农业行政部门通报。接到通报的部门应当及时采取相应措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对国内市场上销售的进口食品、食品添加剂实施监督管理。发现存在严重食品安全问题的，国务院食品安全监督管理部门应当及时向国家出入境检验检疫部门通报。国家出入境检验检疫部门应当及时采取相应措施。</w:t>
      </w:r>
      <w:r>
        <w:rPr>
          <w:rFonts w:hint="eastAsia" w:ascii="宋体" w:hAnsi="宋体" w:cs="仿宋_GB2312"/>
          <w:sz w:val="32"/>
          <w:szCs w:val="32"/>
          <w:lang w:val="en-US" w:eastAsia="zh-CN"/>
        </w:rPr>
        <w:br w:type="textWrapping"/>
      </w:r>
      <w:bookmarkStart w:id="109" w:name="9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第九十六条</w:t>
      </w:r>
      <w:bookmarkEnd w:id="10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向我国境内出口食品的境外出口商或者代理商、进口食品的进口商应当向国家出入境检验检疫部门备案。向我国境内出口食品的境外食品生产企业应当经国家出入境检验检疫部门注册。已经注册的境外食品生产企业提供虚假材料，或者因其自身的原因致使进口食品发生重大食品安全事故的，国家出入境检验检疫部门应当撤销注册并公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国家出入境检验检疫部门应当定期公布已经备案的境外出口商、代理商、进口商和已经注册的境外食品生产企业名单。</w:t>
      </w:r>
      <w:r>
        <w:rPr>
          <w:rFonts w:hint="eastAsia" w:ascii="宋体" w:hAnsi="宋体" w:cs="仿宋_GB2312"/>
          <w:sz w:val="32"/>
          <w:szCs w:val="32"/>
          <w:lang w:val="en-US" w:eastAsia="zh-CN"/>
        </w:rPr>
        <w:br w:type="textWrapping"/>
      </w:r>
      <w:bookmarkStart w:id="110" w:name="9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第九十七条</w:t>
      </w:r>
      <w:bookmarkEnd w:id="110"/>
      <w:r>
        <w:rPr>
          <w:rFonts w:hint="eastAsia" w:ascii="宋体" w:hAnsi="宋体" w:cs="仿宋_GB2312"/>
          <w:sz w:val="32"/>
          <w:szCs w:val="32"/>
          <w:lang w:val="en-US" w:eastAsia="zh-CN"/>
        </w:rPr>
        <w:t>　进口的预包装食品、食品添加剂应当有中文标签；依法应当有说明书的，还应当有中文说明书。标签、说明书应当符合本法以及我国其他有关法律、行政法规的规定和食品安全国家标准的要求，并载明食品的原产地以及境内代理商的名称、地址、联系方式。预包装食品没有中文标签、中文说明书或者标签、说明书不符合本条规定的，不得进口。</w:t>
      </w:r>
      <w:r>
        <w:rPr>
          <w:rFonts w:hint="eastAsia" w:ascii="宋体" w:hAnsi="宋体" w:cs="仿宋_GB2312"/>
          <w:sz w:val="32"/>
          <w:szCs w:val="32"/>
          <w:lang w:val="en-US" w:eastAsia="zh-CN"/>
        </w:rPr>
        <w:br w:type="textWrapping"/>
      </w:r>
      <w:bookmarkStart w:id="111" w:name="9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第九十八条</w:t>
      </w:r>
      <w:bookmarkEnd w:id="111"/>
      <w:r>
        <w:rPr>
          <w:rFonts w:hint="eastAsia" w:ascii="宋体" w:hAnsi="宋体" w:cs="仿宋_GB2312"/>
          <w:sz w:val="32"/>
          <w:szCs w:val="32"/>
          <w:lang w:val="en-US" w:eastAsia="zh-CN"/>
        </w:rPr>
        <w:t>　进口商应当建立食品、食品添加剂进口和销售记录制度，如实记录食品、食品添加剂的名称、规格、数量、生产日期、生产或者进口批号、保质期、境外出口商和购货者名称、地址及联系方式、交货日期等内容，并保存相关凭证。记录和凭证保存期限应当符合本法第五十条第二款的规定。</w:t>
      </w:r>
      <w:r>
        <w:rPr>
          <w:rFonts w:hint="eastAsia" w:ascii="宋体" w:hAnsi="宋体" w:cs="仿宋_GB2312"/>
          <w:sz w:val="32"/>
          <w:szCs w:val="32"/>
          <w:lang w:val="en-US" w:eastAsia="zh-CN"/>
        </w:rPr>
        <w:br w:type="textWrapping"/>
      </w:r>
      <w:bookmarkStart w:id="112" w:name="9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第九十九条</w:t>
      </w:r>
      <w:bookmarkEnd w:id="112"/>
      <w:r>
        <w:rPr>
          <w:rFonts w:hint="eastAsia" w:ascii="宋体" w:hAnsi="宋体" w:cs="仿宋_GB2312"/>
          <w:sz w:val="32"/>
          <w:szCs w:val="32"/>
          <w:lang w:val="en-US" w:eastAsia="zh-CN"/>
        </w:rPr>
        <w:t>　出口食品生产企业应当保证其出口食品符合进口国（地区）的标准或者合同要求。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出口食品生产企业和出口食品原料种植、养殖场应当向国家出入境检验检疫部门备案。</w:t>
      </w:r>
      <w:r>
        <w:rPr>
          <w:rFonts w:hint="eastAsia" w:ascii="宋体" w:hAnsi="宋体" w:cs="仿宋_GB2312"/>
          <w:sz w:val="32"/>
          <w:szCs w:val="32"/>
          <w:lang w:val="en-US" w:eastAsia="zh-CN"/>
        </w:rPr>
        <w:br w:type="textWrapping"/>
      </w:r>
      <w:bookmarkStart w:id="113" w:name="10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第一百条</w:t>
      </w:r>
      <w:bookmarkEnd w:id="113"/>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国家出入境检验检疫部门应当收集、汇总下列进出口食品安全信息，并及时通报相关部门、机构和企业：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（一）出入境检验检疫机构对进出口食品实施检验检疫发现的食品安全信息；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（二）食品行业协会和消费者协会等组织、消费者反映的进口食品安全信息；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（三）国际组织、境外政府机构发布的风险预警信息及其他食品安全信息，以及境外食品行业协会等组织、消费者反映的食品安全信息；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（四）其他食品安全信息。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家出入境检验检疫部门应当对进出口食品的进口商、出口商和出口食品生产企业实施信用管理，建立信用记录，并依法向社会公布。对有不良记录的进口商、出口商和出口食品生产企业，应当加强对其进出口食品的检验检疫。</w:t>
      </w:r>
      <w:r>
        <w:rPr>
          <w:rFonts w:hint="eastAsia" w:ascii="宋体" w:hAnsi="宋体" w:cs="仿宋_GB2312"/>
          <w:sz w:val="32"/>
          <w:szCs w:val="32"/>
          <w:lang w:val="en-US" w:eastAsia="zh-CN"/>
        </w:rPr>
        <w:br w:type="textWrapping"/>
      </w:r>
      <w:bookmarkStart w:id="114" w:name="10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第一百零一条</w:t>
      </w:r>
      <w:bookmarkEnd w:id="114"/>
      <w:r>
        <w:rPr>
          <w:rFonts w:hint="eastAsia" w:ascii="宋体" w:hAnsi="宋体" w:cs="仿宋_GB2312"/>
          <w:sz w:val="32"/>
          <w:szCs w:val="32"/>
          <w:lang w:val="en-US" w:eastAsia="zh-CN"/>
        </w:rPr>
        <w:t>　国家出入境检验检疫部门可以对向我国境内出口食品的国家（地区）的食品安全管理体系和食品安全状况进行评估和审查，并根据评估和审查结果，确定相应检验检疫要求。</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第七章　食品安全事故处置</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15" w:name="102"/>
      <w:r>
        <w:rPr>
          <w:rFonts w:hint="eastAsia" w:ascii="宋体" w:hAnsi="宋体" w:eastAsia="黑体" w:cs="黑体"/>
          <w:sz w:val="32"/>
          <w:szCs w:val="32"/>
          <w:lang w:val="en-US" w:eastAsia="zh-CN"/>
        </w:rPr>
        <w:t xml:space="preserve">    第一百零二条</w:t>
      </w:r>
      <w:bookmarkEnd w:id="115"/>
      <w:r>
        <w:rPr>
          <w:rFonts w:hint="eastAsia" w:ascii="宋体" w:hAnsi="宋体" w:cs="仿宋_GB2312"/>
          <w:sz w:val="32"/>
          <w:szCs w:val="32"/>
          <w:lang w:val="en-US" w:eastAsia="zh-CN"/>
        </w:rPr>
        <w:t>　国务院组织制定国家食品安全事故应急预案。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县级以上地方人民政府应当根据有关法律、法规的规定和上级人民政府的食品安全事故应急预案以及本行政区域的实际情况，制定本行政区域的食品安全事故应急预案，并报上一级人民政府备案。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食品安全事故应急预案应当对食品安全事故分级、事故处置组织指挥体系与职责、预防预警机制、处置程序、应急保障措施等作出规定。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食品生产经营企业应当制定食品安全事故处置方案，定期检查本企业各项食品安全防范措施的落实情况，及时消除事故隐患。</w:t>
      </w:r>
      <w:r>
        <w:rPr>
          <w:rFonts w:hint="eastAsia" w:ascii="宋体" w:hAnsi="宋体" w:cs="仿宋_GB2312"/>
          <w:sz w:val="32"/>
          <w:szCs w:val="32"/>
          <w:lang w:val="en-US" w:eastAsia="zh-CN"/>
        </w:rPr>
        <w:br w:type="textWrapping"/>
      </w:r>
      <w:bookmarkStart w:id="116" w:name="10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第一百零三条</w:t>
      </w:r>
      <w:bookmarkEnd w:id="116"/>
      <w:r>
        <w:rPr>
          <w:rFonts w:hint="eastAsia" w:ascii="宋体" w:hAnsi="宋体" w:cs="仿宋_GB2312"/>
          <w:sz w:val="32"/>
          <w:szCs w:val="32"/>
          <w:lang w:val="en-US" w:eastAsia="zh-CN"/>
        </w:rPr>
        <w:t>　发生食品安全事故的单位应当立即采取措施，防止事故扩大。事故单位和接收病人进行治疗的单位应当及时向事故发生地县级人民政府食品安全监督管理、卫生行政部门报告。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县级以上人民政府农业行政等部门在日常监督管理中发现食品安全事故或者接到事故举报，应当立即向同级食品安全监督管理部门通报。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生食品安全事故，接到报告的县级人民政府食品安全监督管理部门应当按照应急预案的规定向本级人民政府和上级人民政府食品安全监督管理部门报告。县级人民政府和上级人民政府食品安全监督管理部门应当按照应急预案的规定上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任何单位和个人不得对食品安全事故隐瞒、谎报、缓报，不得隐匿、伪造、毁灭有关证据。</w:t>
      </w:r>
      <w:r>
        <w:rPr>
          <w:rFonts w:hint="eastAsia" w:ascii="宋体" w:hAnsi="宋体" w:cs="仿宋_GB2312"/>
          <w:sz w:val="32"/>
          <w:szCs w:val="32"/>
          <w:lang w:val="en-US" w:eastAsia="zh-CN"/>
        </w:rPr>
        <w:br w:type="textWrapping"/>
      </w:r>
      <w:bookmarkStart w:id="117" w:name="10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第一百零四条</w:t>
      </w:r>
      <w:bookmarkEnd w:id="117"/>
      <w:r>
        <w:rPr>
          <w:rFonts w:hint="eastAsia" w:ascii="宋体" w:hAnsi="宋体" w:cs="仿宋_GB2312"/>
          <w:sz w:val="32"/>
          <w:szCs w:val="32"/>
          <w:lang w:val="en-US" w:eastAsia="zh-CN"/>
        </w:rPr>
        <w:t>　医疗机构发现其接收的病人属于食源性疾病病人或者疑似病人的，应当按照规定及时将相关信息向所在地县级人民政府卫生行政部门报告。县级人民政府卫生行政部门认为与食品安全有关的，应当及时通报同级食品安全监督管理部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县级以上人民政府卫生行政部门在调查处理传染病或者其他突发公共卫生事件中发现与食品安全相关的信息，应当及时通报同级食品安全监督管理部门。</w:t>
      </w:r>
      <w:r>
        <w:rPr>
          <w:rFonts w:hint="eastAsia" w:ascii="宋体" w:hAnsi="宋体" w:cs="仿宋_GB2312"/>
          <w:sz w:val="32"/>
          <w:szCs w:val="32"/>
          <w:lang w:val="en-US" w:eastAsia="zh-CN"/>
        </w:rPr>
        <w:br w:type="textWrapping"/>
      </w:r>
      <w:bookmarkStart w:id="118" w:name="10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第一百零五条</w:t>
      </w:r>
      <w:bookmarkEnd w:id="118"/>
      <w:r>
        <w:rPr>
          <w:rFonts w:hint="eastAsia" w:ascii="宋体" w:hAnsi="宋体" w:cs="仿宋_GB2312"/>
          <w:sz w:val="32"/>
          <w:szCs w:val="32"/>
          <w:lang w:val="en-US" w:eastAsia="zh-CN"/>
        </w:rPr>
        <w:t>　县级以上人民政府食品安全监督管理部门接到食品安全事故的报告后，应当立即会同同级卫生行政、农业行政等部门进行调查处理，并采取下列措施，防止或者减轻社会危害：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（一）开展应急救援工作，组织救治因食品安全事故导致人身伤害的人员；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（二）封存可能导致食品安全事故的食品及其原料，并立即进行检验；对确认属于被污染的食品及其原料，责令食品生产经营者依照本法第六十三条的规定召回或者停止经营；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（三）封存被污染的食品相关产品，并责令进行清洗消毒；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（四）做好信息发布工作，依法对食品安全事故及其处理情况进行发布，并对可能产生的危害加以解释、说明。</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发生食品安全事故需要启动应急预案的，县级以上人民政府应当立即成立事故处置指挥机构，启动应急预案，依照前款和应急预案的规定进行处置。</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发生食品安全事故，县级以上疾病预防控制机构应当对事故现场进行卫生处理，并对与事故有关的因素开展流行病学调查，有关部门应当予以协助。县级以上疾病预防控制机构应当向同级食品安全监督管理、卫生行政部门提交流行病学调查报告。</w:t>
      </w:r>
      <w:r>
        <w:rPr>
          <w:rFonts w:hint="eastAsia" w:ascii="宋体" w:hAnsi="宋体" w:cs="仿宋_GB2312"/>
          <w:sz w:val="32"/>
          <w:szCs w:val="32"/>
          <w:lang w:val="en-US" w:eastAsia="zh-CN"/>
        </w:rPr>
        <w:br w:type="textWrapping"/>
      </w:r>
      <w:bookmarkStart w:id="119" w:name="106"/>
      <w:r>
        <w:rPr>
          <w:rFonts w:hint="eastAsia" w:ascii="宋体" w:hAnsi="宋体" w:eastAsia="黑体" w:cs="黑体"/>
          <w:sz w:val="32"/>
          <w:szCs w:val="32"/>
          <w:lang w:val="en-US" w:eastAsia="zh-CN"/>
        </w:rPr>
        <w:t>　  第一百零六条</w:t>
      </w:r>
      <w:bookmarkEnd w:id="119"/>
      <w:r>
        <w:rPr>
          <w:rFonts w:hint="eastAsia" w:ascii="宋体" w:hAnsi="宋体" w:cs="仿宋_GB2312"/>
          <w:sz w:val="32"/>
          <w:szCs w:val="32"/>
          <w:lang w:val="en-US" w:eastAsia="zh-CN"/>
        </w:rPr>
        <w:t>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涉及两个以上省、自治区、直辖市的重大食品安全事故由国务院食品安全监督管理部门依照前款规定组织事故责任调查。</w:t>
      </w:r>
      <w:r>
        <w:rPr>
          <w:rFonts w:hint="eastAsia" w:ascii="宋体" w:hAnsi="宋体" w:cs="仿宋_GB2312"/>
          <w:sz w:val="32"/>
          <w:szCs w:val="32"/>
          <w:lang w:val="en-US" w:eastAsia="zh-CN"/>
        </w:rPr>
        <w:br w:type="textWrapping"/>
      </w:r>
      <w:bookmarkStart w:id="120" w:name="10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第一百零七条</w:t>
      </w:r>
      <w:bookmarkEnd w:id="120"/>
      <w:r>
        <w:rPr>
          <w:rFonts w:hint="eastAsia" w:ascii="宋体" w:hAnsi="宋体" w:cs="仿宋_GB2312"/>
          <w:sz w:val="32"/>
          <w:szCs w:val="32"/>
          <w:lang w:val="en-US" w:eastAsia="zh-CN"/>
        </w:rPr>
        <w:t>　调查食品安全事故，应当坚持实事求是、尊重科学的原则，及时、准确查清事故性质和原因，认定事故责任，提出整改措施。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调查食品安全事故，除了查明事故单位的责任，还应当查明有关监督管理部门、食品检验机构、认证机构及其工作人员的责任。</w:t>
      </w:r>
      <w:r>
        <w:rPr>
          <w:rFonts w:hint="eastAsia" w:ascii="宋体" w:hAnsi="宋体" w:cs="仿宋_GB2312"/>
          <w:sz w:val="32"/>
          <w:szCs w:val="32"/>
          <w:lang w:val="en-US" w:eastAsia="zh-CN"/>
        </w:rPr>
        <w:br w:type="textWrapping"/>
      </w:r>
      <w:bookmarkStart w:id="121" w:name="10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第一百零八条</w:t>
      </w:r>
      <w:bookmarkEnd w:id="121"/>
      <w:r>
        <w:rPr>
          <w:rFonts w:hint="eastAsia" w:ascii="宋体" w:hAnsi="宋体" w:cs="仿宋_GB2312"/>
          <w:sz w:val="32"/>
          <w:szCs w:val="32"/>
          <w:lang w:val="en-US" w:eastAsia="zh-CN"/>
        </w:rPr>
        <w:t>　食品安全事故调查部门有权向有关单位和个人了解与事故有关的情况，并要求提供相关资料和样品。有关单位和个人应当予以配合，按照要求提供相关资料和样品，不得拒绝。</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任何单位和个人不得阻挠、干涉食品安全事故的调查处理。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第八章　监督管理</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ind w:firstLine="320" w:firstLineChars="100"/>
        <w:textAlignment w:val="auto"/>
        <w:outlineLvl w:val="9"/>
        <w:rPr>
          <w:rFonts w:hint="eastAsia" w:ascii="宋体" w:hAnsi="宋体" w:cs="仿宋_GB2312"/>
          <w:sz w:val="32"/>
          <w:szCs w:val="32"/>
          <w:lang w:val="en-US" w:eastAsia="zh-CN"/>
        </w:rPr>
      </w:pPr>
      <w:bookmarkStart w:id="122" w:name="109"/>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第一百零九条</w:t>
      </w:r>
      <w:bookmarkEnd w:id="122"/>
      <w:r>
        <w:rPr>
          <w:rFonts w:hint="eastAsia" w:ascii="宋体" w:hAnsi="宋体" w:cs="仿宋_GB2312"/>
          <w:sz w:val="32"/>
          <w:szCs w:val="32"/>
          <w:lang w:val="en-US" w:eastAsia="zh-CN"/>
        </w:rPr>
        <w:t>　县级以上人民政府食品安全监督管理部门根据食品安全风险监测、风险评估结果和食品安全状况等，确定监督管理的重点、方式和频次，实施风险分级管理。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县级以上地方人民政府组织本级食品安全监督管理、农业行政等部门制定本行政区域的食品安全年度监督管理计划，向社会公布并组织实施。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食品安全年度监督管理计划应当将下列事项作为监督管理的重点：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（一）专供婴幼儿和其他特定人群的主辅食品；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（二）保健食品生产过程中的添加行为和按照注册或者备案的技术要求组织生产的情况，保健食品标签、说明书以及宣传材料中有关功能宣传的情况；</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（三）发生食品安全事故风险较高的食品生产经营者；</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（四）食品安全风险监测结果表明可能存在食品安全隐患的事项。</w:t>
      </w:r>
      <w:r>
        <w:rPr>
          <w:rFonts w:hint="eastAsia" w:ascii="宋体" w:hAnsi="宋体" w:cs="仿宋_GB2312"/>
          <w:sz w:val="32"/>
          <w:szCs w:val="32"/>
          <w:lang w:val="en-US" w:eastAsia="zh-CN"/>
        </w:rPr>
        <w:br w:type="textWrapping"/>
      </w:r>
      <w:bookmarkStart w:id="123" w:name="11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第一百一十条</w:t>
      </w:r>
      <w:bookmarkEnd w:id="123"/>
      <w:r>
        <w:rPr>
          <w:rFonts w:hint="eastAsia" w:ascii="宋体" w:hAnsi="宋体" w:cs="仿宋_GB2312"/>
          <w:sz w:val="32"/>
          <w:szCs w:val="32"/>
          <w:lang w:val="en-US" w:eastAsia="zh-CN"/>
        </w:rPr>
        <w:t>　县级以上人民政府食品安全监督管理部门履行食品安全监督管理职责，有权采取下列措施，对生产经营者遵守本法的情况进行监督检查：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（一）进入生产经营场所实施现场检查；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（二）对生产经营的食品、食品添加剂、食品相关产品进行抽样检验；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（三）查阅、复制有关合同、票据、账簿以及其他有关资料；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（四）查封、扣押有证据证明不符合食品安全标准或者有证据证明存在安全隐患以及用于违法生产经营的食品、食品添加剂、食品相关产品；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（五）查封违法从事生产经营活动的场所。</w:t>
      </w:r>
      <w:r>
        <w:rPr>
          <w:rFonts w:hint="eastAsia" w:ascii="宋体" w:hAnsi="宋体" w:cs="仿宋_GB2312"/>
          <w:sz w:val="32"/>
          <w:szCs w:val="32"/>
          <w:lang w:val="en-US" w:eastAsia="zh-CN"/>
        </w:rPr>
        <w:br w:type="textWrapping"/>
      </w:r>
      <w:bookmarkStart w:id="124" w:name="11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第一百一十一条</w:t>
      </w:r>
      <w:bookmarkEnd w:id="12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食品安全风险评估结果证明食品存在安全隐患，需要制定、修订食品安全标准的，在制定、修订食品安全标准前，国务院卫生行政部门应当及时会同国务院有关部门规定食品中有害物质的临时限量值和临时检验方法，作为生产经营和监督管理的依据。</w:t>
      </w:r>
      <w:r>
        <w:rPr>
          <w:rFonts w:hint="eastAsia" w:ascii="宋体" w:hAnsi="宋体" w:cs="仿宋_GB2312"/>
          <w:sz w:val="32"/>
          <w:szCs w:val="32"/>
          <w:lang w:val="en-US" w:eastAsia="zh-CN"/>
        </w:rPr>
        <w:br w:type="textWrapping"/>
      </w:r>
      <w:bookmarkStart w:id="125" w:name="11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第一百一十二条</w:t>
      </w:r>
      <w:bookmarkEnd w:id="12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县级以上人民政府食品安全监督管理部门在食品安全监督管理工作中可以采用国家规定的快速检测方法对食品进行抽查检测。</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对抽查检测结果表明可能不符合食品安全标准的食品，应当依照本法第八十七条的规定进行检验。抽查检测结果确定有关食品不符合食品安全标准的，可以作为行政处罚的依据。</w:t>
      </w:r>
      <w:r>
        <w:rPr>
          <w:rFonts w:hint="eastAsia" w:ascii="宋体" w:hAnsi="宋体" w:cs="仿宋_GB2312"/>
          <w:sz w:val="32"/>
          <w:szCs w:val="32"/>
          <w:lang w:val="en-US" w:eastAsia="zh-CN"/>
        </w:rPr>
        <w:br w:type="textWrapping"/>
      </w:r>
      <w:bookmarkStart w:id="126" w:name="11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第一百一十三条</w:t>
      </w:r>
      <w:bookmarkEnd w:id="126"/>
      <w:r>
        <w:rPr>
          <w:rFonts w:hint="eastAsia" w:ascii="宋体" w:hAnsi="宋体" w:cs="仿宋_GB2312"/>
          <w:sz w:val="32"/>
          <w:szCs w:val="32"/>
          <w:lang w:val="en-US" w:eastAsia="zh-CN"/>
        </w:rPr>
        <w:t>　县级以上人民政府食品安全监督管理部门应当建立食品生产经营者食品安全信用档案，记录许可颁发、日常监督检查结果、违法行为查处等情况，依法向社会公布并实时更新；对有不良信用记录的食品生产经营者增加监督检查频次，对违法行为情节严重的食品生产经营者，可以通报投资主管部门、证券监督管理机构和有关的金融机构。</w:t>
      </w:r>
      <w:r>
        <w:rPr>
          <w:rFonts w:hint="eastAsia" w:ascii="宋体" w:hAnsi="宋体" w:cs="仿宋_GB2312"/>
          <w:sz w:val="32"/>
          <w:szCs w:val="32"/>
          <w:lang w:val="en-US" w:eastAsia="zh-CN"/>
        </w:rPr>
        <w:br w:type="textWrapping"/>
      </w:r>
      <w:bookmarkStart w:id="127" w:name="114"/>
      <w:r>
        <w:rPr>
          <w:rFonts w:hint="eastAsia" w:ascii="宋体" w:hAnsi="宋体" w:eastAsia="黑体" w:cs="黑体"/>
          <w:sz w:val="32"/>
          <w:szCs w:val="32"/>
          <w:lang w:val="en-US" w:eastAsia="zh-CN"/>
        </w:rPr>
        <w:t>　  第一百一十四条</w:t>
      </w:r>
      <w:bookmarkEnd w:id="127"/>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生产经营过程中存在食品安全隐患，未及时采取措施消除的，县级以上人民政府食品安全监督管理部门可以对食品生产经营者的法定代表人或者主要负责人进行责任约谈。食品生产经营者应当立即采取措施，进行整改，消除隐患。责任约谈情况和整改情况应当纳入食品生产经营者食品安全信用档案。</w:t>
      </w:r>
      <w:r>
        <w:rPr>
          <w:rFonts w:hint="eastAsia" w:ascii="宋体" w:hAnsi="宋体" w:cs="仿宋_GB2312"/>
          <w:sz w:val="32"/>
          <w:szCs w:val="32"/>
          <w:lang w:val="en-US" w:eastAsia="zh-CN"/>
        </w:rPr>
        <w:br w:type="textWrapping"/>
      </w:r>
      <w:bookmarkStart w:id="128" w:name="11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第一百一十五条</w:t>
      </w:r>
      <w:bookmarkEnd w:id="128"/>
      <w:r>
        <w:rPr>
          <w:rFonts w:hint="eastAsia" w:ascii="宋体" w:hAnsi="宋体" w:cs="仿宋_GB2312"/>
          <w:sz w:val="32"/>
          <w:szCs w:val="32"/>
          <w:lang w:val="en-US" w:eastAsia="zh-CN"/>
        </w:rPr>
        <w:t>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有关部门应当对举报人的信息予以保密，保护举报人的合法权益。举报人举报所在企业的，该企业不得以解除、变更劳动合同或者其他方式对举报人进行打击报复。</w:t>
      </w:r>
      <w:r>
        <w:rPr>
          <w:rFonts w:hint="eastAsia" w:ascii="宋体" w:hAnsi="宋体" w:cs="仿宋_GB2312"/>
          <w:sz w:val="32"/>
          <w:szCs w:val="32"/>
          <w:lang w:val="en-US" w:eastAsia="zh-CN"/>
        </w:rPr>
        <w:br w:type="textWrapping"/>
      </w:r>
      <w:bookmarkStart w:id="129" w:name="11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第一百一十六条</w:t>
      </w:r>
      <w:bookmarkEnd w:id="129"/>
      <w:r>
        <w:rPr>
          <w:rFonts w:hint="eastAsia" w:ascii="宋体" w:hAnsi="宋体" w:cs="仿宋_GB2312"/>
          <w:sz w:val="32"/>
          <w:szCs w:val="32"/>
          <w:lang w:val="en-US" w:eastAsia="zh-CN"/>
        </w:rPr>
        <w:t>　县级以上人民政府食品安全监督管理等部门应当加强对执法人员食品安全法律、法规、标准和专业知识与执法能力等的培训，并组织考核。不具备相应知识和能力的，不得从事食品安全执法工作。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食品行业协会、消费者协会等发现食品安全执法人员在执法过程中有违反法律、法规规定的行为以及不规范执法行为的，可以向本级或者上级人民政府食品安全监督管理等部门或者监察机关投诉、举报。接到投诉、举报的部门或者机关应当进行核实，并将经核实的情况向食品安全执法人员所在部门通报；涉嫌违法违纪的，按照本法和有关规定处理。</w:t>
      </w:r>
      <w:r>
        <w:rPr>
          <w:rFonts w:hint="eastAsia" w:ascii="宋体" w:hAnsi="宋体" w:cs="仿宋_GB2312"/>
          <w:sz w:val="32"/>
          <w:szCs w:val="32"/>
          <w:lang w:val="en-US" w:eastAsia="zh-CN"/>
        </w:rPr>
        <w:br w:type="textWrapping"/>
      </w:r>
      <w:bookmarkStart w:id="130" w:name="11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第一百一十七条</w:t>
      </w:r>
      <w:bookmarkEnd w:id="130"/>
      <w:r>
        <w:rPr>
          <w:rFonts w:hint="eastAsia" w:ascii="宋体" w:hAnsi="宋体" w:cs="仿宋_GB2312"/>
          <w:sz w:val="32"/>
          <w:szCs w:val="32"/>
          <w:lang w:val="en-US" w:eastAsia="zh-CN"/>
        </w:rPr>
        <w:t>　县级以上人民政府食品安全监督管理等部门未及时发现食品安全系统性风险，未及时消除监督管理区域内的食品安全隐患的，本级人民政府可以对其主要负责人进行责任约谈。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地方人民政府未履行食品安全职责，未及时消除区域性重大食品安全隐患的，上级人民政府可以对其主要负责人进行责任约谈。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被约谈的食品安全监督管理等部门、地方人民政府应当立即采取措施，对食品安全监督管理工作进行整改。</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责任约谈情况和整改情况应当纳入地方人民政府和有关部门食品安全监督管理工作评议、考核记录。</w:t>
      </w:r>
      <w:r>
        <w:rPr>
          <w:rFonts w:hint="eastAsia" w:ascii="宋体" w:hAnsi="宋体" w:cs="仿宋_GB2312"/>
          <w:sz w:val="32"/>
          <w:szCs w:val="32"/>
          <w:lang w:val="en-US" w:eastAsia="zh-CN"/>
        </w:rPr>
        <w:br w:type="textWrapping"/>
      </w:r>
      <w:bookmarkStart w:id="131" w:name="11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第一百一十八条</w:t>
      </w:r>
      <w:bookmarkEnd w:id="131"/>
      <w:r>
        <w:rPr>
          <w:rFonts w:hint="eastAsia" w:ascii="宋体" w:hAnsi="宋体" w:cs="仿宋_GB2312"/>
          <w:sz w:val="32"/>
          <w:szCs w:val="32"/>
          <w:lang w:val="en-US" w:eastAsia="zh-CN"/>
        </w:rPr>
        <w:t>　国家建立统一的食品安全信息平台，实行食品安全信息统一公布制度。国家食品安全总体情况、食品安全风险警示信息、重大食品安全事故及其调查处理信息和国务院确定需要统一公布的其他信息由国务院食品安全监督管理部门统一公布。食品安全风险警示信息和重大食品安全事故及其调查处理信息的影响限于特定区域的，也可以由有关省、自治区、直辖市人民政府食品安全监督管理部门公布。未经授权不得发布上述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县级以上人民政府食品安全监督管理、农业行政部门依据各自职责公布食品安全日常监督管理信息。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公布食品安全信息，应当做到准确、及时，并进行必要的解释说明，避免误导消费者和社会舆论。</w:t>
      </w:r>
      <w:r>
        <w:rPr>
          <w:rFonts w:hint="eastAsia" w:ascii="宋体" w:hAnsi="宋体" w:cs="仿宋_GB2312"/>
          <w:sz w:val="32"/>
          <w:szCs w:val="32"/>
          <w:lang w:val="en-US" w:eastAsia="zh-CN"/>
        </w:rPr>
        <w:br w:type="textWrapping"/>
      </w:r>
      <w:bookmarkStart w:id="132" w:name="11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第一百一十九条</w:t>
      </w:r>
      <w:bookmarkEnd w:id="132"/>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地方人民政府食品安全监督管理、卫生行政、农业行政部门获知本法规定需要统一公布的信息，应当向上级主管部门报告，由上级主管部门立即报告国务院食品安全监督管理部门；必要时，可以直接向国务院食品安全监督管理部门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县级以上人民政府食品安全监督管理、卫生行政、农业行政部门应当相互通报获知的食品安全信息。</w:t>
      </w:r>
      <w:r>
        <w:rPr>
          <w:rFonts w:hint="eastAsia" w:ascii="宋体" w:hAnsi="宋体" w:cs="仿宋_GB2312"/>
          <w:sz w:val="32"/>
          <w:szCs w:val="32"/>
          <w:lang w:val="en-US" w:eastAsia="zh-CN"/>
        </w:rPr>
        <w:br w:type="textWrapping"/>
      </w:r>
      <w:bookmarkStart w:id="133" w:name="12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第一百二十条</w:t>
      </w:r>
      <w:bookmarkEnd w:id="133"/>
      <w:r>
        <w:rPr>
          <w:rFonts w:hint="eastAsia" w:ascii="宋体" w:hAnsi="宋体" w:cs="仿宋_GB2312"/>
          <w:sz w:val="32"/>
          <w:szCs w:val="32"/>
          <w:lang w:val="en-US" w:eastAsia="zh-CN"/>
        </w:rPr>
        <w:t>　任何单位和个人不得编造、散布虚假食品安全信息。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县级以上人民政府食品安全监督管理部门发现可能误导消费者和社会舆论的食品安全信息，应当立即组织有关部门、专业机构、相关食品生产经营者等进行核实、分析，并及时公布结果。</w:t>
      </w:r>
      <w:r>
        <w:rPr>
          <w:rFonts w:hint="eastAsia" w:ascii="宋体" w:hAnsi="宋体" w:cs="仿宋_GB2312"/>
          <w:sz w:val="32"/>
          <w:szCs w:val="32"/>
          <w:lang w:val="en-US" w:eastAsia="zh-CN"/>
        </w:rPr>
        <w:br w:type="textWrapping"/>
      </w:r>
      <w:bookmarkStart w:id="134" w:name="121"/>
      <w:r>
        <w:rPr>
          <w:rFonts w:hint="eastAsia" w:ascii="宋体" w:hAnsi="宋体" w:eastAsia="黑体" w:cs="黑体"/>
          <w:sz w:val="32"/>
          <w:szCs w:val="32"/>
          <w:lang w:val="en-US" w:eastAsia="zh-CN"/>
        </w:rPr>
        <w:t>　  第一百二十一条</w:t>
      </w:r>
      <w:bookmarkEnd w:id="13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县级以上人民政府食品安全监督管理等部门发现涉嫌食品安全犯罪的，应当按照有关规定及时将案件移送公安机关。对移送的案件，公安机关应当及时审查；认为有犯罪事实需要追究刑事责任的，应当立案侦查。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公安机关在食品安全犯罪案件侦查过程中认为没有犯罪事实，或者犯罪事实显著轻微，不需要追究刑事责任，但依法应当追究行政责任的，应当及时将案件移送食品安全监督管理等部门和监察机关，有关部门应当依法处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公安机关商请食品安全监督管理、生态环境等部门提供检验结论、认定意见以及对涉案物品进行无害化处理等协助的，有关部门应当及时提供，予以协助。</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第九章　法律责任</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val="en-US" w:eastAsia="zh-CN"/>
        </w:rPr>
      </w:pPr>
      <w:bookmarkStart w:id="135" w:name="122"/>
      <w:r>
        <w:rPr>
          <w:rFonts w:hint="eastAsia" w:ascii="宋体" w:hAnsi="宋体" w:eastAsia="黑体" w:cs="黑体"/>
          <w:sz w:val="32"/>
          <w:szCs w:val="32"/>
          <w:lang w:val="en-US" w:eastAsia="zh-CN"/>
        </w:rPr>
        <w:t xml:space="preserve">    第一百二十二条</w:t>
      </w:r>
      <w:bookmarkEnd w:id="13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r>
        <w:rPr>
          <w:rFonts w:hint="eastAsia" w:ascii="宋体" w:hAnsi="宋体" w:cs="仿宋_GB2312"/>
          <w:sz w:val="32"/>
          <w:szCs w:val="32"/>
          <w:lang w:val="en-US" w:eastAsia="zh-CN"/>
        </w:rPr>
        <w:br w:type="textWrapping"/>
      </w:r>
      <w:bookmarkStart w:id="136" w:name="123"/>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第一百二十三条</w:t>
      </w:r>
      <w:bookmarkEnd w:id="13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（一）用非食品原料生产食品、在食品中添加食品添加剂以外的化学物质和其他可能危害人体健康的物质，或者用回收食品作为原料生产食品，或者经营上述食品；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（二）生产经营营养成分不符合食品安全标准的专供婴幼儿和其他特定人群的主辅食品；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（三）经营病死、毒死或者死因不明的禽、畜、兽、水产动物肉类，或者生产经营其制品；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（四）经营未按规定进行检疫或者检疫不合格的肉类，或者生产经营未经检验或者检验不合格的肉类制品；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（五）生产经营国家为防病等特殊需要明令禁止生产经营的食品；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（六）生产经营添加药品的食品。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违法使用剧毒、高毒农药的，除依照有关法律、法规规定给予处罚外，可以由公安机关依照第一款规定给予拘留。</w:t>
      </w:r>
      <w:r>
        <w:rPr>
          <w:rFonts w:hint="eastAsia" w:ascii="宋体" w:hAnsi="宋体" w:cs="仿宋_GB2312"/>
          <w:sz w:val="32"/>
          <w:szCs w:val="32"/>
          <w:lang w:val="en-US" w:eastAsia="zh-CN"/>
        </w:rPr>
        <w:br w:type="textWrapping"/>
      </w:r>
      <w:bookmarkStart w:id="137" w:name="12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第一百二十四条</w:t>
      </w:r>
      <w:bookmarkEnd w:id="137"/>
      <w:r>
        <w:rPr>
          <w:rFonts w:hint="eastAsia" w:ascii="宋体" w:hAnsi="宋体" w:cs="仿宋_GB2312"/>
          <w:sz w:val="32"/>
          <w:szCs w:val="32"/>
          <w:lang w:val="en-US" w:eastAsia="zh-CN"/>
        </w:rPr>
        <w:t>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（一）生产经营致病性微生物，农药残留、兽药残留、生物毒素、重金属等污染物质以及其他危害人体健康的物质含量超过食品安全标准限量的食品、食品添加剂；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（二）用超过保质期的食品原料、食品添加剂生产食品、食品添加剂，或者经营上述食品、食品添加剂；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（三）生产经营超范围、超限量使用食品添加剂的食品；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（四）生产经营腐败变质、油脂酸败、霉变生虫、污秽不洁、混有异物、掺假掺杂或者感官性状异常的食品、食品添加剂；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（五）生产经营标注虚假生产日期、保质期或者超过保质期的食品、食品添加剂；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（六）生产经营未按规定注册的保健食品、特殊医学用途配方食品、婴幼儿配方乳粉，或者未按注册的产品配方、生产工艺等技术要求组织生产；</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（七）以分装方式生产婴幼儿配方乳粉，或者同一企业以同一配方生产不同品牌的婴幼儿配方乳粉；</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（八）利用新的食品原料生产食品，或者生产食品添加剂新品种，未通过安全性评估；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（九）食品生产经营者在食品安全监督管理部门责令其召回或者停止经营后，仍拒不召回或者停止经营。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除前款和本法第一百二十三条、第一百二十五条规定的情形外，生产经营不符合法律、法规或者食品安全标准的食品、食品添加剂的，依照前款规定给予处罚。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生产食品相关产品新品种，未通过安全性评估，或者生产不符合食品安全标准的食品相关产品的，由县级以上人民政府食品安全监督管理部门依照第一款规定给予处罚。</w:t>
      </w:r>
      <w:r>
        <w:rPr>
          <w:rFonts w:hint="eastAsia" w:ascii="宋体" w:hAnsi="宋体" w:cs="仿宋_GB2312"/>
          <w:sz w:val="32"/>
          <w:szCs w:val="32"/>
          <w:lang w:val="en-US" w:eastAsia="zh-CN"/>
        </w:rPr>
        <w:br w:type="textWrapping"/>
      </w:r>
      <w:bookmarkStart w:id="138" w:name="12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第一百二十五条</w:t>
      </w:r>
      <w:bookmarkEnd w:id="138"/>
      <w:r>
        <w:rPr>
          <w:rFonts w:hint="eastAsia" w:ascii="宋体" w:hAnsi="宋体" w:cs="仿宋_GB2312"/>
          <w:sz w:val="32"/>
          <w:szCs w:val="32"/>
          <w:lang w:val="en-US" w:eastAsia="zh-CN"/>
        </w:rPr>
        <w:t>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（一）生产经营被包装材料、容器、运输工具等污染的食品、食品添加剂；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（二）生产经营无标签的预包装食品、食品添加剂或者标签、说明书不符合本法规定的食品、食品添加剂；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（三）生产经营转基因食品未按规定进行标示；</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（四）食品生产经营者采购或者使用不符合食品安全标准的食品原料、食品添加剂、食品相关产品。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生产经营的食品、食品添加剂的标签、说明书存在瑕疵但不影响食品安全且不会对消费者造成误导的，由县级以上人民政府食品安全监督管理部门责令改正；拒不改正的，处二千元以下罚款。</w:t>
      </w:r>
      <w:r>
        <w:rPr>
          <w:rFonts w:hint="eastAsia" w:ascii="宋体" w:hAnsi="宋体" w:cs="仿宋_GB2312"/>
          <w:sz w:val="32"/>
          <w:szCs w:val="32"/>
          <w:lang w:val="en-US" w:eastAsia="zh-CN"/>
        </w:rPr>
        <w:br w:type="textWrapping"/>
      </w:r>
      <w:bookmarkStart w:id="139" w:name="126"/>
      <w:r>
        <w:rPr>
          <w:rFonts w:hint="eastAsia" w:ascii="宋体" w:hAnsi="宋体" w:eastAsia="黑体" w:cs="黑体"/>
          <w:sz w:val="32"/>
          <w:szCs w:val="32"/>
          <w:lang w:val="en-US" w:eastAsia="zh-CN"/>
        </w:rPr>
        <w:t>　  第一百二十六条</w:t>
      </w:r>
      <w:bookmarkEnd w:id="139"/>
      <w:r>
        <w:rPr>
          <w:rFonts w:hint="eastAsia" w:ascii="宋体" w:hAnsi="宋体" w:cs="仿宋_GB2312"/>
          <w:sz w:val="32"/>
          <w:szCs w:val="32"/>
          <w:lang w:val="en-US" w:eastAsia="zh-CN"/>
        </w:rPr>
        <w:t>　违反本法规定，有下列情形之一的，由县级以上人民政府食品安全监督管理部门责令改正，给予警告；拒不改正的，处五千元以上五万元以下罚款；情节严重的，责令停产停业，直至吊销许可证：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（一）食品、食品添加剂生产者未按规定对采购的食品原料和生产的食品、食品添加剂进行检验；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（二）食品生产经营企业未按规定建立食品安全管理制度，或者未按规定配备或者培训、考核食品安全管理人员；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（三）食品、食品添加剂生产经营者进货时未查验许可证和相关证明文件，或者未按规定建立并遵守进货查验记录、出厂检验记录和销售记录制度；</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（四）食品生产经营企业未制定食品安全事故处置方案；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（五）餐具、饮具和盛放直接入口食品的容器，使用前未经洗净、消毒或者清洗消毒不合格，或者餐饮服务设施、设备未按规定定期维护、清洗、校验；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（六）食品生产经营者安排未取得健康证明或者患有国务院卫生行政部门规定的有碍食品安全疾病的人员从事接触直接入口食品的工作；</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（七）食品经营者未按规定要求销售食品；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（八）保健食品生产企业未按规定向食品安全监督管理部门备案，或者未按备案的产品配方、生产工艺等技术要求组织生产；</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（九）婴幼儿配方食品生产企业未将食品原料、食品添加剂、产品配方、标签等向食品安全监督管理部门备案；</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（十）特殊食品生产企业未按规定建立生产质量管理体系并有效运行，或者未定期提交自查报告；</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（十一）食品生产经营者未定期对食品安全状况进行检查评价，或者生产经营条件发生变化，未按规定处理；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（十二）学校、托幼机构、养老机构、建筑工地等集中用餐单位未按规定履行食品安全管理责任；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（十三）食品生产企业、餐饮服务提供者未按规定制定、实施生产经营过程控制要求。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食品相关产品生产者未按规定对生产的食品相关产品进行检验的，由县级以上人民政府食品安全监督管理部门依照第一款规定给予处罚。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食用农产品销售者违反本法第六十五条规定的，由县级以上人民政府食品安全监督管理部门依照第一款规定给予处罚。</w:t>
      </w:r>
      <w:r>
        <w:rPr>
          <w:rFonts w:hint="eastAsia" w:ascii="宋体" w:hAnsi="宋体" w:cs="仿宋_GB2312"/>
          <w:sz w:val="32"/>
          <w:szCs w:val="32"/>
          <w:lang w:val="en-US" w:eastAsia="zh-CN"/>
        </w:rPr>
        <w:br w:type="textWrapping"/>
      </w:r>
      <w:bookmarkStart w:id="140" w:name="127"/>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第一百二十七条</w:t>
      </w:r>
      <w:bookmarkEnd w:id="140"/>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对食品生产加工小作坊、食品摊贩等的违法行为的处罚，依照省、自治区、直辖市制定的具体管理办法执行。</w:t>
      </w:r>
      <w:r>
        <w:rPr>
          <w:rFonts w:hint="eastAsia" w:ascii="宋体" w:hAnsi="宋体" w:cs="仿宋_GB2312"/>
          <w:sz w:val="32"/>
          <w:szCs w:val="32"/>
          <w:lang w:val="en-US" w:eastAsia="zh-CN"/>
        </w:rPr>
        <w:br w:type="textWrapping"/>
      </w:r>
      <w:bookmarkStart w:id="141" w:name="12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第一百二十八条</w:t>
      </w:r>
      <w:bookmarkEnd w:id="141"/>
      <w:r>
        <w:rPr>
          <w:rFonts w:hint="eastAsia" w:ascii="宋体" w:hAnsi="宋体" w:cs="仿宋_GB2312"/>
          <w:sz w:val="32"/>
          <w:szCs w:val="32"/>
          <w:lang w:val="en-US" w:eastAsia="zh-CN"/>
        </w:rPr>
        <w:t>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r>
        <w:rPr>
          <w:rFonts w:hint="eastAsia" w:ascii="宋体" w:hAnsi="宋体" w:cs="仿宋_GB2312"/>
          <w:sz w:val="32"/>
          <w:szCs w:val="32"/>
          <w:lang w:val="en-US" w:eastAsia="zh-CN"/>
        </w:rPr>
        <w:br w:type="textWrapping"/>
      </w:r>
      <w:bookmarkStart w:id="142" w:name="12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第一百二十九条</w:t>
      </w:r>
      <w:bookmarkEnd w:id="142"/>
      <w:r>
        <w:rPr>
          <w:rFonts w:hint="eastAsia" w:ascii="宋体" w:hAnsi="宋体" w:cs="仿宋_GB2312"/>
          <w:sz w:val="32"/>
          <w:szCs w:val="32"/>
          <w:lang w:val="en-US" w:eastAsia="zh-CN"/>
        </w:rPr>
        <w:t>　违反本法规定，有下列情形之一的，由出入境检验检疫机构依照本法第一百二十四条的规定给予处罚：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（一）提供虚假材料，进口不符合我国食品安全国家标准的食品、食品添加剂、食品相关产品；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（二）进口尚无食品安全国家标准的食品，未提交所执行的标准并经国务院卫生行政部门审查，或者进口利用新的食品原料生产的食品或者进口食品添加剂新品种、食品相关产品新品种，未通过安全性评估；</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（三）未遵守本法的规定出口食品；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（四）进口商在有关主管部门责令其依照本法规定召回进口的食品后，仍拒不召回。</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违反本法规定，进口商未建立并遵守食品、食品添加剂进口和销售记录制度、境外出口商或者生产企业审核制度的，由出入境检验检疫机构依照本法第一百二十六条的规定给予处罚。</w:t>
      </w:r>
      <w:r>
        <w:rPr>
          <w:rFonts w:hint="eastAsia" w:ascii="宋体" w:hAnsi="宋体" w:cs="仿宋_GB2312"/>
          <w:sz w:val="32"/>
          <w:szCs w:val="32"/>
          <w:lang w:val="en-US" w:eastAsia="zh-CN"/>
        </w:rPr>
        <w:br w:type="textWrapping"/>
      </w:r>
      <w:bookmarkStart w:id="143" w:name="130"/>
      <w:r>
        <w:rPr>
          <w:rFonts w:hint="eastAsia" w:ascii="宋体" w:hAnsi="宋体" w:eastAsia="黑体" w:cs="黑体"/>
          <w:sz w:val="32"/>
          <w:szCs w:val="32"/>
          <w:lang w:val="en-US" w:eastAsia="zh-CN"/>
        </w:rPr>
        <w:t>　  第一百三十条</w:t>
      </w:r>
      <w:bookmarkEnd w:id="143"/>
      <w:r>
        <w:rPr>
          <w:rFonts w:hint="eastAsia" w:ascii="宋体" w:hAnsi="宋体" w:cs="仿宋_GB2312"/>
          <w:sz w:val="32"/>
          <w:szCs w:val="32"/>
          <w:lang w:val="en-US" w:eastAsia="zh-CN"/>
        </w:rPr>
        <w:t>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食用农产品批发市场违反本法第六十四条规定的，依照前款规定承担责任。</w:t>
      </w:r>
      <w:r>
        <w:rPr>
          <w:rFonts w:hint="eastAsia" w:ascii="宋体" w:hAnsi="宋体" w:cs="仿宋_GB2312"/>
          <w:sz w:val="32"/>
          <w:szCs w:val="32"/>
          <w:lang w:val="en-US" w:eastAsia="zh-CN"/>
        </w:rPr>
        <w:br w:type="textWrapping"/>
      </w:r>
      <w:bookmarkStart w:id="144" w:name="131"/>
      <w:r>
        <w:rPr>
          <w:rFonts w:hint="eastAsia" w:ascii="宋体" w:hAnsi="宋体" w:eastAsia="黑体" w:cs="黑体"/>
          <w:sz w:val="32"/>
          <w:szCs w:val="32"/>
          <w:lang w:val="en-US" w:eastAsia="zh-CN"/>
        </w:rPr>
        <w:t>　  第一百三十一条</w:t>
      </w:r>
      <w:bookmarkEnd w:id="144"/>
      <w:r>
        <w:rPr>
          <w:rFonts w:hint="eastAsia" w:ascii="宋体" w:hAnsi="宋体" w:cs="仿宋_GB2312"/>
          <w:sz w:val="32"/>
          <w:szCs w:val="32"/>
          <w:lang w:val="en-US" w:eastAsia="zh-CN"/>
        </w:rPr>
        <w:t>　违反本法规定，网络食品交易第三方平台提供者未对入网食品经营者进行实名登记、审查许可证，或者未履行报告、停止提供网络交易平台服务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r>
        <w:rPr>
          <w:rFonts w:hint="eastAsia" w:ascii="宋体" w:hAnsi="宋体" w:cs="仿宋_GB2312"/>
          <w:sz w:val="32"/>
          <w:szCs w:val="32"/>
          <w:lang w:val="en-US" w:eastAsia="zh-CN"/>
        </w:rPr>
        <w:br w:type="textWrapping"/>
      </w:r>
      <w:bookmarkStart w:id="145" w:name="13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第一百三十二条</w:t>
      </w:r>
      <w:bookmarkEnd w:id="145"/>
      <w:r>
        <w:rPr>
          <w:rFonts w:hint="eastAsia" w:ascii="宋体" w:hAnsi="宋体" w:cs="仿宋_GB2312"/>
          <w:sz w:val="32"/>
          <w:szCs w:val="32"/>
          <w:lang w:val="en-US" w:eastAsia="zh-CN"/>
        </w:rPr>
        <w:t>　违反本法规定，未按要求进行食品贮存、运输和装卸的，由县级以上人民政府食品安全监督管理等部门按照各自职责分工责令改正，给予警告；拒不改正的，责令停产停业，并处一万元以上五万元以下罚款；情节严重的，吊销许可证。</w:t>
      </w:r>
      <w:r>
        <w:rPr>
          <w:rFonts w:hint="eastAsia" w:ascii="宋体" w:hAnsi="宋体" w:cs="仿宋_GB2312"/>
          <w:sz w:val="32"/>
          <w:szCs w:val="32"/>
          <w:lang w:val="en-US" w:eastAsia="zh-CN"/>
        </w:rPr>
        <w:br w:type="textWrapping"/>
      </w:r>
      <w:bookmarkStart w:id="146" w:name="13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第一百三十三条</w:t>
      </w:r>
      <w:bookmarkEnd w:id="146"/>
      <w:r>
        <w:rPr>
          <w:rFonts w:hint="eastAsia" w:ascii="宋体" w:hAnsi="宋体" w:cs="仿宋_GB2312"/>
          <w:sz w:val="32"/>
          <w:szCs w:val="32"/>
          <w:lang w:val="en-US" w:eastAsia="zh-CN"/>
        </w:rPr>
        <w:t>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违反本法规定，对举报人以解除、变更劳动合同或者其他方式打击报复的，应当依照有关法律的规定承担责任。</w:t>
      </w:r>
      <w:r>
        <w:rPr>
          <w:rFonts w:hint="eastAsia" w:ascii="宋体" w:hAnsi="宋体" w:cs="仿宋_GB2312"/>
          <w:sz w:val="32"/>
          <w:szCs w:val="32"/>
          <w:lang w:val="en-US" w:eastAsia="zh-CN"/>
        </w:rPr>
        <w:br w:type="textWrapping"/>
      </w:r>
      <w:bookmarkStart w:id="147" w:name="134"/>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第一百三十四条</w:t>
      </w:r>
      <w:bookmarkEnd w:id="147"/>
      <w:r>
        <w:rPr>
          <w:rFonts w:hint="eastAsia" w:ascii="宋体" w:hAnsi="宋体" w:cs="仿宋_GB2312"/>
          <w:sz w:val="32"/>
          <w:szCs w:val="32"/>
          <w:lang w:val="en-US" w:eastAsia="zh-CN"/>
        </w:rPr>
        <w:t>　食品生产经营者在一年内累计三次因违反本法规定受到责令停产停业、吊销许可证以外处罚的，由食品安全监督管理部门责令停产停业，直至吊销许可证。</w:t>
      </w:r>
      <w:r>
        <w:rPr>
          <w:rFonts w:hint="eastAsia" w:ascii="宋体" w:hAnsi="宋体" w:cs="仿宋_GB2312"/>
          <w:sz w:val="32"/>
          <w:szCs w:val="32"/>
          <w:lang w:val="en-US" w:eastAsia="zh-CN"/>
        </w:rPr>
        <w:br w:type="textWrapping"/>
      </w:r>
      <w:bookmarkStart w:id="148" w:name="13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第一百三十五条</w:t>
      </w:r>
      <w:bookmarkEnd w:id="148"/>
      <w:r>
        <w:rPr>
          <w:rFonts w:hint="eastAsia" w:ascii="宋体" w:hAnsi="宋体" w:cs="仿宋_GB2312"/>
          <w:sz w:val="32"/>
          <w:szCs w:val="32"/>
          <w:lang w:val="en-US" w:eastAsia="zh-CN"/>
        </w:rPr>
        <w:t>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因食品安全犯罪被判处有期徒刑以上刑罚的，终身不得从事食品生产经营管理工作，也不得担任食品生产经营企业食品安全管理人员。</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食品生产经营者聘用人员违反前两款规定的，由县级以上人民政府食品安全监督管理部门吊销许可证。</w:t>
      </w:r>
      <w:r>
        <w:rPr>
          <w:rFonts w:hint="eastAsia" w:ascii="宋体" w:hAnsi="宋体" w:cs="仿宋_GB2312"/>
          <w:sz w:val="32"/>
          <w:szCs w:val="32"/>
          <w:lang w:val="en-US" w:eastAsia="zh-CN"/>
        </w:rPr>
        <w:br w:type="textWrapping"/>
      </w:r>
      <w:bookmarkStart w:id="149" w:name="13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第一百三十六条</w:t>
      </w:r>
      <w:bookmarkEnd w:id="149"/>
      <w:r>
        <w:rPr>
          <w:rFonts w:hint="eastAsia" w:ascii="宋体" w:hAnsi="宋体" w:cs="仿宋_GB2312"/>
          <w:sz w:val="32"/>
          <w:szCs w:val="32"/>
          <w:lang w:val="en-US" w:eastAsia="zh-CN"/>
        </w:rPr>
        <w:t>　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r>
        <w:rPr>
          <w:rFonts w:hint="eastAsia" w:ascii="宋体" w:hAnsi="宋体" w:cs="仿宋_GB2312"/>
          <w:sz w:val="32"/>
          <w:szCs w:val="32"/>
          <w:lang w:val="en-US" w:eastAsia="zh-CN"/>
        </w:rPr>
        <w:br w:type="textWrapping"/>
      </w:r>
      <w:bookmarkStart w:id="150" w:name="137"/>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第一百三十七条</w:t>
      </w:r>
      <w:bookmarkEnd w:id="150"/>
      <w:r>
        <w:rPr>
          <w:rFonts w:hint="eastAsia" w:ascii="宋体" w:hAnsi="宋体" w:cs="仿宋_GB2312"/>
          <w:sz w:val="32"/>
          <w:szCs w:val="32"/>
          <w:lang w:val="en-US" w:eastAsia="zh-CN"/>
        </w:rPr>
        <w:t>　违反本法规定，承担食品安全风险监测、风险评估工作的技术机构、技术人员提供虚假监测、评估信息的，依法对技术机构直接负责的主管人员和技术人员给予撤职、开除处分；有执业资格的，由授予其资格的主管部门吊销执业证书。</w:t>
      </w:r>
      <w:r>
        <w:rPr>
          <w:rFonts w:hint="eastAsia" w:ascii="宋体" w:hAnsi="宋体" w:cs="仿宋_GB2312"/>
          <w:sz w:val="32"/>
          <w:szCs w:val="32"/>
          <w:lang w:val="en-US" w:eastAsia="zh-CN"/>
        </w:rPr>
        <w:br w:type="textWrapping"/>
      </w:r>
      <w:bookmarkStart w:id="151" w:name="138"/>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第一百三十八条</w:t>
      </w:r>
      <w:bookmarkEnd w:id="151"/>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食品检验机构、食品检验人员出具虚假检验报告的，由授予其资质的主管部门或者机构撤销该食品检验机构的检验资质，没收所收取的检验费用，并处检验费用五倍以上十倍以下罚款，检验费用不足一万元的，并处五万元以上十万元以下罚款；依法对食品检验机构直接负责的主管人员和食品检验人员给予撤职或者开除处分；导致发生重大食品安全事故的，对直接负责的主管人员和食品检验人员给予开除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受到开除处分的食品检验机构人员，自处分决定作出之日起十年内不得从事食品检验工作；因食品安全违法行为受到刑事处罚或者因出具虚假检验报告导致发生重大食品安全事故受到开除处分的食品检验机构人员，终身不得从事食品检验工作。食品检验机构聘用不得从事食品检验工作的人员的，由授予其资质的主管部门或者机构撤销该食品检验机构的检验资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食品检验机构出具虚假检验报告，使消费者的合法权益受到损害的，应当与食品生产经营者承担连带责任。</w:t>
      </w:r>
      <w:r>
        <w:rPr>
          <w:rFonts w:hint="eastAsia" w:ascii="宋体" w:hAnsi="宋体" w:cs="仿宋_GB2312"/>
          <w:sz w:val="32"/>
          <w:szCs w:val="32"/>
          <w:lang w:val="en-US" w:eastAsia="zh-CN"/>
        </w:rPr>
        <w:br w:type="textWrapping"/>
      </w:r>
      <w:bookmarkStart w:id="152" w:name="139"/>
      <w:r>
        <w:rPr>
          <w:rFonts w:hint="eastAsia" w:ascii="宋体" w:hAnsi="宋体" w:eastAsia="黑体" w:cs="黑体"/>
          <w:sz w:val="32"/>
          <w:szCs w:val="32"/>
          <w:lang w:val="en-US" w:eastAsia="zh-CN"/>
        </w:rPr>
        <w:t>　  第一百三十九条</w:t>
      </w:r>
      <w:bookmarkEnd w:id="152"/>
      <w:r>
        <w:rPr>
          <w:rFonts w:hint="eastAsia" w:ascii="宋体" w:hAnsi="宋体" w:cs="仿宋_GB2312"/>
          <w:sz w:val="32"/>
          <w:szCs w:val="32"/>
          <w:lang w:val="en-US" w:eastAsia="zh-CN"/>
        </w:rPr>
        <w:t>　违反本法规定，认证机构出具虚假认证结论，由认证认可监督管理部门没收所收取的认证费用，并处认证费用五倍以上十倍以下罚款，认证费用不足一万元的，并处五万元以上十万元以下罚款；情节严重的，责令停业，直至撤销认证机构批准文件，并向社会公布；对直接负责的主管人员和负有直接责任的认证人员，撤销其执业资格。</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认证机构出具虚假认证结论，使消费者的合法权益受到损害的，应当与食品生产经营者承担连带责任。</w:t>
      </w:r>
      <w:r>
        <w:rPr>
          <w:rFonts w:hint="eastAsia" w:ascii="宋体" w:hAnsi="宋体" w:cs="仿宋_GB2312"/>
          <w:sz w:val="32"/>
          <w:szCs w:val="32"/>
          <w:lang w:val="en-US" w:eastAsia="zh-CN"/>
        </w:rPr>
        <w:br w:type="textWrapping"/>
      </w:r>
      <w:bookmarkStart w:id="153" w:name="140"/>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第一百四十条</w:t>
      </w:r>
      <w:bookmarkEnd w:id="153"/>
      <w:r>
        <w:rPr>
          <w:rFonts w:hint="eastAsia" w:ascii="宋体" w:hAnsi="宋体" w:cs="仿宋_GB2312"/>
          <w:sz w:val="32"/>
          <w:szCs w:val="32"/>
          <w:lang w:val="en-US" w:eastAsia="zh-CN"/>
        </w:rPr>
        <w:t>　违反本法规定，在广告中对食品作虚假宣传，欺骗消费者，或者发布未取得批准文件、广告内容与批准文件不一致的保健食品广告的，依照《</w:t>
      </w:r>
      <w:r>
        <w:rPr>
          <w:rFonts w:hint="eastAsia" w:ascii="宋体" w:hAnsi="宋体" w:cs="仿宋_GB2312"/>
          <w:sz w:val="32"/>
          <w:szCs w:val="32"/>
          <w:lang w:val="en-US" w:eastAsia="zh-CN"/>
        </w:rPr>
        <w:fldChar w:fldCharType="begin"/>
      </w:r>
      <w:r>
        <w:rPr>
          <w:rFonts w:hint="eastAsia" w:ascii="宋体" w:hAnsi="宋体" w:cs="仿宋_GB2312"/>
          <w:sz w:val="32"/>
          <w:szCs w:val="32"/>
          <w:lang w:val="en-US" w:eastAsia="zh-CN"/>
        </w:rPr>
        <w:instrText xml:space="preserve"> HYPERLINK "http://172.17.252.5/FullText/fulltext_form.aspx?db=chl&amp;gid=328289&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6aOf5ZOB5a6J5YWo5rOVJScpIAYFAAAADS3lj5HluIPml6XmnJ8GBgAAAA/po5/lk4Hlronlhajms5UAAAsBAAD//javascript:SLC(325018,0)" </w:instrText>
      </w:r>
      <w:r>
        <w:rPr>
          <w:rFonts w:hint="eastAsia" w:ascii="宋体" w:hAnsi="宋体" w:cs="仿宋_GB2312"/>
          <w:sz w:val="32"/>
          <w:szCs w:val="32"/>
          <w:lang w:val="en-US" w:eastAsia="zh-CN"/>
        </w:rPr>
        <w:fldChar w:fldCharType="separate"/>
      </w:r>
      <w:r>
        <w:rPr>
          <w:rFonts w:hint="eastAsia" w:ascii="宋体" w:hAnsi="宋体" w:cs="仿宋_GB2312"/>
          <w:sz w:val="32"/>
          <w:szCs w:val="32"/>
          <w:lang w:eastAsia="zh-CN"/>
        </w:rPr>
        <w:t>中华人民共和国广告法</w:t>
      </w:r>
      <w:r>
        <w:rPr>
          <w:rFonts w:hint="eastAsia" w:ascii="宋体" w:hAnsi="宋体" w:cs="仿宋_GB2312"/>
          <w:sz w:val="32"/>
          <w:szCs w:val="32"/>
          <w:lang w:val="en-US" w:eastAsia="zh-CN"/>
        </w:rPr>
        <w:fldChar w:fldCharType="end"/>
      </w:r>
      <w:r>
        <w:rPr>
          <w:rFonts w:hint="eastAsia" w:ascii="宋体" w:hAnsi="宋体" w:cs="仿宋_GB2312"/>
          <w:sz w:val="32"/>
          <w:szCs w:val="32"/>
          <w:lang w:val="en-US" w:eastAsia="zh-CN"/>
        </w:rPr>
        <w:t>》的规定给予处罚。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广告经营者、发布者设计、制作、发布虚假食品广告，使消费者的合法权益受到损害的，应当与食品生产经营者承担连带责任。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社会团体或者其他组织、个人在虚假广告或者其他虚假宣传中向消费者推荐食品，使消费者的合法权益受到损害的，应当与食品生产经营者承担连带责任。</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违反本法规定，食品安全监督管理等部门、食品检验机构、食品行业协会以广告或者其他形式向消费者推荐食品，消费者组织以收取费用或者其他牟取利益的方式向消费者推荐食品的，由有关主管部门没收违法所得，依法对直接负责的主管人员和其他直接责任人员给予记大过、降级或者撤职处分；情节严重的，给予开除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r>
        <w:rPr>
          <w:rFonts w:hint="eastAsia" w:ascii="宋体" w:hAnsi="宋体" w:cs="仿宋_GB2312"/>
          <w:sz w:val="32"/>
          <w:szCs w:val="32"/>
          <w:lang w:val="en-US" w:eastAsia="zh-CN"/>
        </w:rPr>
        <w:br w:type="textWrapping"/>
      </w:r>
      <w:bookmarkStart w:id="154" w:name="14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第一百四十一条</w:t>
      </w:r>
      <w:bookmarkEnd w:id="154"/>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违反本法规定，编造、散布虚假食品安全信息，构成违反治安管理行为的，由公安机关依法给予治安管理处罚。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媒体编造、散布虚假食品安全信息的，由有关主管部门依法给予处罚，并对直接负责的主管人员和其他直接责任人员给予处分；使公民、法人或者其他组织的合法权益受到损害的，依法承担消除影响、恢复名誉、赔偿损失、赔礼道歉等民事责任。</w:t>
      </w:r>
      <w:r>
        <w:rPr>
          <w:rFonts w:hint="eastAsia" w:ascii="宋体" w:hAnsi="宋体" w:cs="仿宋_GB2312"/>
          <w:sz w:val="32"/>
          <w:szCs w:val="32"/>
          <w:lang w:val="en-US" w:eastAsia="zh-CN"/>
        </w:rPr>
        <w:br w:type="textWrapping"/>
      </w:r>
      <w:bookmarkStart w:id="155" w:name="142"/>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第一百四十二条</w:t>
      </w:r>
      <w:bookmarkEnd w:id="155"/>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县级以上地方人民政府有下列行为之一的，对直接负责的主管人员和其他直接责任人员给予记大过处分；情节较重的，给予降级或者撤职处分；情节严重的，给予开除处分；造成严重后果的，其主要负责人还应当引咎辞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（一）对发生在本行政区域内的食品安全事故，未及时组织协调有关部门开展有效处置，造成不良影响或者损失；</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（二）对本行政区域内涉及多环节的区域性食品安全问题，未及时组织整治，造成不良影响或者损失；</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（三）隐瞒、谎报、缓报食品安全事故；</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（四）本行政区域内发生特别重大食品安全事故，或者连续发生重大食品安全事故。</w:t>
      </w:r>
      <w:r>
        <w:rPr>
          <w:rFonts w:hint="eastAsia" w:ascii="宋体" w:hAnsi="宋体" w:cs="仿宋_GB2312"/>
          <w:sz w:val="32"/>
          <w:szCs w:val="32"/>
          <w:lang w:val="en-US" w:eastAsia="zh-CN"/>
        </w:rPr>
        <w:br w:type="textWrapping"/>
      </w:r>
      <w:bookmarkStart w:id="156" w:name="14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第一百四十三条</w:t>
      </w:r>
      <w:bookmarkEnd w:id="156"/>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违反本法规定，县级以上地方人民政府有下列行为之一的，对直接负责的主管人员和其他直接责任人员给予警告、记过或者记大过处分；造成严重后果的，给予降级或者撤职处分: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（一）未确定有关部门的食品安全监督管理职责，未建立健全食品安全全程监督管理工作机制和信息共享机制，未落实食品安全监督管理责任制；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（二）未制定本行政区域的食品安全事故应急预案，或者发生食品安全事故后未按规定立即成立事故处置指挥机构、启动应急预案。</w:t>
      </w:r>
      <w:r>
        <w:rPr>
          <w:rFonts w:hint="eastAsia" w:ascii="宋体" w:hAnsi="宋体" w:cs="仿宋_GB2312"/>
          <w:sz w:val="32"/>
          <w:szCs w:val="32"/>
          <w:lang w:val="en-US" w:eastAsia="zh-CN"/>
        </w:rPr>
        <w:br w:type="textWrapping"/>
      </w:r>
      <w:bookmarkStart w:id="157" w:name="144"/>
      <w:r>
        <w:rPr>
          <w:rFonts w:hint="eastAsia" w:ascii="宋体" w:hAnsi="宋体" w:eastAsia="黑体" w:cs="黑体"/>
          <w:sz w:val="32"/>
          <w:szCs w:val="32"/>
          <w:lang w:val="en-US" w:eastAsia="zh-CN"/>
        </w:rPr>
        <w:t>　  第一百四十四条</w:t>
      </w:r>
      <w:bookmarkEnd w:id="157"/>
      <w:r>
        <w:rPr>
          <w:rFonts w:hint="eastAsia" w:ascii="宋体" w:hAnsi="宋体" w:cs="仿宋_GB2312"/>
          <w:sz w:val="32"/>
          <w:szCs w:val="32"/>
          <w:lang w:val="en-US" w:eastAsia="zh-CN"/>
        </w:rPr>
        <w:t>　违反本法规定，县级以上人民政府食品安全监督管理、卫生行政、农业行政等部门有下列行为之一的，对直接负责的主管人员和其他直接责任人员给予记大过处分；情节较重的，给予降级或者撤职处分；情节严重的，给予开除处分；造成严重后果的，其主要负责人还应当引咎辞职：</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（一）隐瞒、谎报、缓报食品安全事故；</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（二）未按规定查处食品安全事故，或者接到食品安全事故报告未及时处理，造成事故扩大或者蔓延；</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（三）经食品安全风险评估得出食品、食品添加剂、食品相关产品不安全结论后，未及时采取相应措施，造成食品安全事故或者不良社会影响；</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（四）对不符合条件的申请人准予许可，或者超越法定职权准予许可；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（五）不履行食品安全监督管理职责，导致发生食品安全事故。</w:t>
      </w:r>
      <w:r>
        <w:rPr>
          <w:rFonts w:hint="eastAsia" w:ascii="宋体" w:hAnsi="宋体" w:cs="仿宋_GB2312"/>
          <w:sz w:val="32"/>
          <w:szCs w:val="32"/>
          <w:lang w:val="en-US" w:eastAsia="zh-CN"/>
        </w:rPr>
        <w:br w:type="textWrapping"/>
      </w:r>
      <w:bookmarkStart w:id="158" w:name="145"/>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第一百四十五条</w:t>
      </w:r>
      <w:bookmarkEnd w:id="158"/>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违反本法规定，县级以上人民政府食品安全监督管理、卫生行政、农业行政等部门有下列行为之一，造成不良后果的，对直接负责的主管人员和其他直接责任人员给予警告、记过或者记大过处分；情节较重的，给予降级或者撤职处分；情节严重的，给予开除处分：</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（一）在获知有关食品安全信息后，未按规定向上级主管部门和本级人民政府报告，或者未按规定相互通报；</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（二）未按规定公布食品安全信息；</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（三）不履行法定职责，对查处食品安全违法行为不配合，或者滥用职权、玩忽职守、徇私舞弊。</w:t>
      </w:r>
      <w:r>
        <w:rPr>
          <w:rFonts w:hint="eastAsia" w:ascii="宋体" w:hAnsi="宋体" w:cs="仿宋_GB2312"/>
          <w:sz w:val="32"/>
          <w:szCs w:val="32"/>
          <w:lang w:val="en-US" w:eastAsia="zh-CN"/>
        </w:rPr>
        <w:br w:type="textWrapping"/>
      </w:r>
      <w:bookmarkStart w:id="159" w:name="146"/>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第一百四十六条</w:t>
      </w:r>
      <w:bookmarkEnd w:id="159"/>
      <w:r>
        <w:rPr>
          <w:rFonts w:hint="eastAsia" w:ascii="宋体" w:hAnsi="宋体" w:eastAsia="黑体" w:cs="黑体"/>
          <w:sz w:val="32"/>
          <w:szCs w:val="32"/>
          <w:lang w:val="en-US" w:eastAsia="zh-CN"/>
        </w:rPr>
        <w:t>　</w:t>
      </w:r>
      <w:r>
        <w:rPr>
          <w:rFonts w:hint="eastAsia" w:ascii="宋体" w:hAnsi="宋体" w:cs="仿宋_GB2312"/>
          <w:sz w:val="32"/>
          <w:szCs w:val="32"/>
          <w:lang w:val="en-US" w:eastAsia="zh-CN"/>
        </w:rPr>
        <w:t>食品安全监督管理等部门在履行食品安全监督管理职责过程中，违法实施检查、强制等执法措施，给生产经营者造成损失的，应当依法予以赔偿，对直接负责的主管人员和其他直接责任人员依法给予处分。</w:t>
      </w:r>
      <w:r>
        <w:rPr>
          <w:rFonts w:hint="eastAsia" w:ascii="宋体" w:hAnsi="宋体" w:cs="仿宋_GB2312"/>
          <w:sz w:val="32"/>
          <w:szCs w:val="32"/>
          <w:lang w:val="en-US" w:eastAsia="zh-CN"/>
        </w:rPr>
        <w:br w:type="textWrapping"/>
      </w:r>
      <w:bookmarkStart w:id="160" w:name="147"/>
      <w:r>
        <w:rPr>
          <w:rFonts w:hint="eastAsia" w:ascii="宋体" w:hAnsi="宋体" w:cs="仿宋_GB2312"/>
          <w:sz w:val="32"/>
          <w:szCs w:val="32"/>
          <w:lang w:val="en-US" w:eastAsia="zh-CN"/>
        </w:rPr>
        <w:t xml:space="preserve">　 </w:t>
      </w:r>
      <w:r>
        <w:rPr>
          <w:rFonts w:hint="eastAsia" w:ascii="黑体" w:hAnsi="黑体" w:eastAsia="黑体" w:cs="黑体"/>
          <w:sz w:val="32"/>
          <w:szCs w:val="32"/>
          <w:lang w:val="en-US" w:eastAsia="zh-CN"/>
        </w:rPr>
        <w:t>第一百四十七条</w:t>
      </w:r>
      <w:bookmarkEnd w:id="160"/>
      <w:r>
        <w:rPr>
          <w:rFonts w:hint="eastAsia" w:ascii="宋体" w:hAnsi="宋体" w:cs="仿宋_GB2312"/>
          <w:sz w:val="32"/>
          <w:szCs w:val="32"/>
          <w:lang w:val="en-US" w:eastAsia="zh-CN"/>
        </w:rPr>
        <w:t>　违反本法规定，造成人身、财产或者其他损害的，依法承担赔偿责任。生产经营者财产不足以同时承担民事赔偿责任和缴纳罚款、罚金时，先承担民事赔偿责任。</w:t>
      </w:r>
      <w:r>
        <w:rPr>
          <w:rFonts w:hint="eastAsia" w:ascii="宋体" w:hAnsi="宋体" w:cs="仿宋_GB2312"/>
          <w:sz w:val="32"/>
          <w:szCs w:val="32"/>
          <w:lang w:val="en-US" w:eastAsia="zh-CN"/>
        </w:rPr>
        <w:br w:type="textWrapping"/>
      </w:r>
      <w:bookmarkStart w:id="161" w:name="148"/>
      <w:r>
        <w:rPr>
          <w:rFonts w:hint="eastAsia" w:ascii="宋体" w:hAnsi="宋体" w:cs="仿宋_GB2312"/>
          <w:sz w:val="32"/>
          <w:szCs w:val="32"/>
          <w:lang w:val="en-US" w:eastAsia="zh-CN"/>
        </w:rPr>
        <w:t>　</w:t>
      </w:r>
      <w:r>
        <w:rPr>
          <w:rFonts w:hint="eastAsia" w:ascii="黑体" w:hAnsi="黑体" w:eastAsia="黑体" w:cs="黑体"/>
          <w:sz w:val="32"/>
          <w:szCs w:val="32"/>
          <w:lang w:val="en-US" w:eastAsia="zh-CN"/>
        </w:rPr>
        <w:t xml:space="preserve"> 第一百四十八条</w:t>
      </w:r>
      <w:bookmarkEnd w:id="161"/>
      <w:r>
        <w:rPr>
          <w:rFonts w:hint="eastAsia" w:ascii="宋体" w:hAnsi="宋体" w:cs="仿宋_GB2312"/>
          <w:sz w:val="32"/>
          <w:szCs w:val="32"/>
          <w:lang w:val="en-US" w:eastAsia="zh-CN"/>
        </w:rPr>
        <w:t>　消费者因不符合食品安全标准的食品受到损害的，可以向经营者要求赔偿损失，也可以向生产者要求赔偿损失。接到消费者赔偿要求的生产经营者，应当实行首负责任制，先行赔付，不得推诿；属于生产者责任的，经营者赔偿后有权向生产者追偿；属于经营者责任的，生产者赔偿后有权向经营者追偿。</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生产不符合食品安全标准的食品或者经营明知是不符合食品安全标准的食品，消费者除要求赔偿损失外，还可以向生产者或者经营者要求支付价款十倍或者损失三倍的赔偿金；增加赔偿的金额不足一千元的，为一千元。但是，食品的标签、说明书存在不影响食品安全且不会对消费者造成误导的瑕疵的除外。</w:t>
      </w:r>
      <w:r>
        <w:rPr>
          <w:rFonts w:hint="eastAsia" w:ascii="宋体" w:hAnsi="宋体" w:cs="仿宋_GB2312"/>
          <w:sz w:val="32"/>
          <w:szCs w:val="32"/>
          <w:lang w:val="en-US" w:eastAsia="zh-CN"/>
        </w:rPr>
        <w:br w:type="textWrapping"/>
      </w:r>
      <w:bookmarkStart w:id="162" w:name="149"/>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第一百四十九条</w:t>
      </w:r>
      <w:bookmarkEnd w:id="162"/>
      <w:r>
        <w:rPr>
          <w:rFonts w:hint="eastAsia" w:ascii="宋体" w:hAnsi="宋体" w:cs="仿宋_GB2312"/>
          <w:sz w:val="32"/>
          <w:szCs w:val="32"/>
          <w:lang w:val="en-US" w:eastAsia="zh-CN"/>
        </w:rPr>
        <w:t>　违反本法规定，构成犯罪的，依法追究刑事责任。</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sz w:val="32"/>
          <w:szCs w:val="32"/>
          <w:lang w:eastAsia="zh-CN"/>
        </w:rPr>
      </w:pPr>
      <w:r>
        <w:rPr>
          <w:rFonts w:hint="eastAsia" w:ascii="宋体" w:hAnsi="宋体" w:eastAsia="黑体" w:cs="黑体"/>
          <w:sz w:val="32"/>
          <w:szCs w:val="32"/>
          <w:lang w:eastAsia="zh-CN"/>
        </w:rPr>
        <w:t>第十章　附　　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仿宋_GB2312"/>
          <w:sz w:val="32"/>
          <w:szCs w:val="32"/>
          <w:lang w:eastAsia="zh-CN"/>
        </w:rPr>
      </w:pPr>
      <w:bookmarkStart w:id="163" w:name="150"/>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 xml:space="preserve"> 第一百五十条</w:t>
      </w:r>
      <w:bookmarkEnd w:id="163"/>
      <w:r>
        <w:rPr>
          <w:rFonts w:hint="eastAsia" w:ascii="宋体" w:hAnsi="宋体" w:cs="仿宋_GB2312"/>
          <w:sz w:val="32"/>
          <w:szCs w:val="32"/>
          <w:lang w:val="en-US" w:eastAsia="zh-CN"/>
        </w:rPr>
        <w:t>　本法下列用语的含义：</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食品，指各种供人食用或者饮用的成品和原料以及按照传统既是食品又是中药材的物品，但是不包括以治疗为目的的物品。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食品安全，指食品无毒、无害，符合应当有的营养要求，对人体健康不造成任何急性、亚急性或者慢性危害。</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预包装食品，指预先定量包装或者制作在包装材料、容器中的食品。</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食品添加剂，指为改善食品品质和色、香、味以及为防腐、保鲜和加工工艺的需要而加入食品中的人工合成或者天然物质，包括营养强化剂。</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用于食品的包装材料和容器，指包装、盛放食品或者食品添加剂用的纸、竹、木、金属、搪瓷、陶瓷、塑料、橡胶、天然纤维、化学纤维、玻璃等制品和直接接触食品或者食品添加剂的涂料。</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用于食品生产经营的工具、设备，指在食品或者食品添加剂生产、销售、使用过程中直接接触食品或者食品添加剂的机械、管道、传送带、容器、用具、餐具等。</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用于食品的洗涤剂、消毒剂，指直接用于洗涤或者消毒食品、餐具、饮具以及直接接触食品的工具、设备或者食品包装材料和容器的物质。</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食品保质期，指食品在标明的贮存条件下保持品质的期限。</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食源性疾病，指食品中致病因素进入人体引起的感染性、中毒性等疾病，包括食物中毒。</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食品安全事故，指食源性疾病、食品污染等源于食品，对人体健康有危害或者可能有危害的事故。</w:t>
      </w:r>
      <w:r>
        <w:rPr>
          <w:rFonts w:hint="eastAsia" w:ascii="宋体" w:hAnsi="宋体" w:cs="仿宋_GB2312"/>
          <w:sz w:val="32"/>
          <w:szCs w:val="32"/>
          <w:lang w:val="en-US" w:eastAsia="zh-CN"/>
        </w:rPr>
        <w:br w:type="textWrapping"/>
      </w:r>
      <w:bookmarkStart w:id="164" w:name="151"/>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第一百五十一条</w:t>
      </w:r>
      <w:bookmarkEnd w:id="164"/>
      <w:r>
        <w:rPr>
          <w:rFonts w:hint="eastAsia" w:ascii="宋体" w:hAnsi="宋体" w:cs="仿宋_GB2312"/>
          <w:sz w:val="32"/>
          <w:szCs w:val="32"/>
          <w:lang w:val="en-US" w:eastAsia="zh-CN"/>
        </w:rPr>
        <w:t>　转基因食品和食盐的食品安全管理，本法未作规定的，适用其他法律、行政法规的规定。</w:t>
      </w:r>
      <w:r>
        <w:rPr>
          <w:rFonts w:hint="eastAsia" w:ascii="宋体" w:hAnsi="宋体" w:eastAsia="黑体" w:cs="黑体"/>
          <w:sz w:val="32"/>
          <w:szCs w:val="32"/>
          <w:lang w:val="en-US" w:eastAsia="zh-CN"/>
        </w:rPr>
        <w:br w:type="textWrapping"/>
      </w:r>
      <w:bookmarkStart w:id="165" w:name="152"/>
      <w:r>
        <w:rPr>
          <w:rFonts w:hint="eastAsia" w:ascii="宋体" w:hAnsi="宋体" w:eastAsia="黑体" w:cs="黑体"/>
          <w:sz w:val="32"/>
          <w:szCs w:val="32"/>
          <w:lang w:val="en-US" w:eastAsia="zh-CN"/>
        </w:rPr>
        <w:t>　  第一百五十二条</w:t>
      </w:r>
      <w:bookmarkEnd w:id="165"/>
      <w:r>
        <w:rPr>
          <w:rFonts w:hint="eastAsia" w:ascii="宋体" w:hAnsi="宋体" w:cs="仿宋_GB2312"/>
          <w:sz w:val="32"/>
          <w:szCs w:val="32"/>
          <w:lang w:val="en-US" w:eastAsia="zh-CN"/>
        </w:rPr>
        <w:t>　铁路、民航运营中食品安全的管理办法由国务院食品安全监督管理部门会同国务院有关部门依照本法制定。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保健食品的具体管理办法由国务院食品安全监督管理部门依照本法制定。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食品相关产品生产活动的具体管理办法由国务院食品安全监督管理部门依照本法制定。</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国境口岸食品的监督管理由出入境检验检疫机构依照本法以及有关法律、行政法规的规定实施。</w:t>
      </w:r>
      <w:r>
        <w:rPr>
          <w:rFonts w:hint="eastAsia" w:ascii="宋体" w:hAnsi="宋体" w:cs="仿宋_GB2312"/>
          <w:sz w:val="32"/>
          <w:szCs w:val="32"/>
          <w:lang w:val="en-US" w:eastAsia="zh-CN"/>
        </w:rPr>
        <w:br w:type="textWrapping"/>
      </w:r>
      <w:r>
        <w:rPr>
          <w:rFonts w:hint="eastAsia" w:ascii="宋体" w:hAnsi="宋体" w:cs="仿宋_GB2312"/>
          <w:sz w:val="32"/>
          <w:szCs w:val="32"/>
          <w:lang w:val="en-US" w:eastAsia="zh-CN"/>
        </w:rPr>
        <w:t>　　军队专用食品和自供食品的食品安全管理办法由中央军事委员会依照本法制定。</w:t>
      </w:r>
      <w:r>
        <w:rPr>
          <w:rFonts w:hint="eastAsia" w:ascii="宋体" w:hAnsi="宋体" w:cs="仿宋_GB2312"/>
          <w:sz w:val="32"/>
          <w:szCs w:val="32"/>
          <w:lang w:val="en-US" w:eastAsia="zh-CN"/>
        </w:rPr>
        <w:br w:type="textWrapping"/>
      </w:r>
      <w:bookmarkStart w:id="166" w:name="153"/>
      <w:r>
        <w:rPr>
          <w:rFonts w:hint="eastAsia" w:ascii="宋体" w:hAnsi="宋体" w:cs="仿宋_GB2312"/>
          <w:sz w:val="32"/>
          <w:szCs w:val="32"/>
          <w:lang w:val="en-US" w:eastAsia="zh-CN"/>
        </w:rPr>
        <w:t xml:space="preserve">　  </w:t>
      </w:r>
      <w:r>
        <w:rPr>
          <w:rFonts w:hint="eastAsia" w:ascii="宋体" w:hAnsi="宋体" w:eastAsia="黑体" w:cs="黑体"/>
          <w:sz w:val="32"/>
          <w:szCs w:val="32"/>
          <w:lang w:val="en-US" w:eastAsia="zh-CN"/>
        </w:rPr>
        <w:t>第一百五十三条</w:t>
      </w:r>
      <w:bookmarkEnd w:id="166"/>
      <w:r>
        <w:rPr>
          <w:rFonts w:hint="eastAsia" w:ascii="宋体" w:hAnsi="宋体" w:cs="仿宋_GB2312"/>
          <w:sz w:val="32"/>
          <w:szCs w:val="32"/>
          <w:lang w:val="en-US" w:eastAsia="zh-CN"/>
        </w:rPr>
        <w:t>　国务院根据实际需要，可以对食品安全监督管理体制作出调整。</w:t>
      </w:r>
      <w:r>
        <w:rPr>
          <w:rFonts w:hint="eastAsia" w:ascii="宋体" w:hAnsi="宋体" w:cs="仿宋_GB2312"/>
          <w:sz w:val="32"/>
          <w:szCs w:val="32"/>
          <w:lang w:val="en-US" w:eastAsia="zh-CN"/>
        </w:rPr>
        <w:br w:type="textWrapping"/>
      </w:r>
      <w:bookmarkStart w:id="167" w:name="154"/>
      <w:r>
        <w:rPr>
          <w:rFonts w:hint="eastAsia" w:ascii="宋体" w:hAnsi="宋体" w:cs="仿宋_GB2312"/>
          <w:sz w:val="32"/>
          <w:szCs w:val="32"/>
          <w:lang w:val="en-US" w:eastAsia="zh-CN"/>
        </w:rPr>
        <w:t>　</w:t>
      </w:r>
      <w:r>
        <w:rPr>
          <w:rFonts w:hint="eastAsia" w:ascii="宋体" w:hAnsi="宋体" w:eastAsia="黑体" w:cs="黑体"/>
          <w:sz w:val="32"/>
          <w:szCs w:val="32"/>
          <w:lang w:val="en-US" w:eastAsia="zh-CN"/>
        </w:rPr>
        <w:t xml:space="preserve">  第一百五十四条</w:t>
      </w:r>
      <w:bookmarkEnd w:id="167"/>
      <w:r>
        <w:rPr>
          <w:rFonts w:hint="eastAsia" w:ascii="宋体" w:hAnsi="宋体" w:cs="仿宋_GB2312"/>
          <w:sz w:val="32"/>
          <w:szCs w:val="32"/>
          <w:lang w:val="en-US" w:eastAsia="zh-CN"/>
        </w:rPr>
        <w:t>　本法自2015年10月1日起施行。</w:t>
      </w:r>
    </w:p>
    <w:p>
      <w:pPr>
        <w:wordWrap/>
        <w:spacing w:line="560" w:lineRule="exact"/>
        <w:textAlignment w:val="auto"/>
        <w:rPr>
          <w:rFonts w:hint="eastAsia" w:ascii="宋体" w:hAnsi="宋体" w:eastAsia="宋体" w:cs="宋体"/>
          <w:kern w:val="0"/>
          <w:sz w:val="44"/>
          <w:szCs w:val="44"/>
          <w:lang w:val="en-US" w:eastAsia="zh-CN"/>
        </w:rPr>
      </w:pPr>
      <w:r>
        <w:rPr>
          <w:rFonts w:hint="eastAsia" w:ascii="宋体" w:hAnsi="宋体" w:eastAsia="宋体" w:cs="宋体"/>
          <w:kern w:val="0"/>
          <w:sz w:val="44"/>
          <w:szCs w:val="44"/>
          <w:lang w:val="en-US"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168" w:name="_Toc31765"/>
      <w:r>
        <w:rPr>
          <w:rFonts w:hint="eastAsia" w:ascii="宋体" w:hAnsi="宋体" w:eastAsia="宋体" w:cs="宋体"/>
          <w:kern w:val="0"/>
          <w:sz w:val="44"/>
          <w:szCs w:val="44"/>
          <w:lang w:val="en-US" w:eastAsia="zh-CN"/>
        </w:rPr>
        <w:t>中华人民共和国</w:t>
      </w:r>
      <w:r>
        <w:rPr>
          <w:rFonts w:hint="eastAsia" w:ascii="宋体" w:hAnsi="宋体" w:eastAsia="宋体" w:cs="宋体"/>
          <w:kern w:val="0"/>
          <w:sz w:val="44"/>
          <w:szCs w:val="44"/>
        </w:rPr>
        <w:t>药品管理法</w:t>
      </w:r>
      <w:bookmarkEnd w:id="168"/>
    </w:p>
    <w:p>
      <w:pPr>
        <w:widowControl/>
        <w:wordWrap/>
        <w:overflowPunct w:val="0"/>
        <w:adjustRightInd w:val="0"/>
        <w:snapToGrid/>
        <w:spacing w:after="0" w:line="560" w:lineRule="exact"/>
        <w:ind w:left="640" w:leftChars="200" w:right="640" w:rightChars="200" w:firstLine="0" w:firstLineChars="0"/>
        <w:jc w:val="center"/>
        <w:textAlignment w:val="auto"/>
        <w:outlineLvl w:val="9"/>
        <w:rPr>
          <w:rFonts w:hint="eastAsia" w:ascii="宋体" w:hAnsi="宋体" w:eastAsia="楷体_GB2312" w:cs="楷体_GB2312"/>
          <w:color w:val="000000"/>
          <w:kern w:val="0"/>
          <w:sz w:val="32"/>
          <w:szCs w:val="32"/>
        </w:rPr>
      </w:pPr>
    </w:p>
    <w:p>
      <w:pPr>
        <w:widowControl/>
        <w:wordWrap/>
        <w:overflowPunct w:val="0"/>
        <w:adjustRightInd w:val="0"/>
        <w:snapToGrid/>
        <w:spacing w:after="0" w:line="560" w:lineRule="exact"/>
        <w:ind w:left="640" w:leftChars="200" w:right="640" w:rightChars="200" w:firstLine="0" w:firstLineChars="0"/>
        <w:jc w:val="both"/>
        <w:textAlignment w:val="auto"/>
        <w:outlineLvl w:val="9"/>
        <w:rPr>
          <w:rFonts w:hint="eastAsia" w:ascii="宋体" w:hAnsi="宋体" w:eastAsia="楷体_GB2312" w:cs="楷体_GB2312"/>
          <w:color w:val="000000"/>
          <w:kern w:val="0"/>
          <w:sz w:val="32"/>
          <w:szCs w:val="32"/>
        </w:rPr>
      </w:pPr>
      <w:r>
        <w:rPr>
          <w:rFonts w:hint="eastAsia" w:ascii="宋体" w:hAnsi="宋体" w:eastAsia="楷体_GB2312" w:cs="楷体_GB2312"/>
          <w:color w:val="000000"/>
          <w:kern w:val="0"/>
          <w:sz w:val="32"/>
          <w:szCs w:val="32"/>
        </w:rPr>
        <w:t>（1984年9月20日第六届全国人民代表大会常务委员会第七次会议通过 2001年2月28日第九届全国人民代表大会常务委员会第二十次会议第一次修订 根据2013年12月28日第十二届全国人民代表大会常务委员会第六次会议《关于修改〈中华人民共和国海洋环境保护法〉等七部法律的决定》第一次修正 根据2015年4月24日第十二届全国人民代表大会常务委员会第十四次会议《关于修改〈中华人民共和国药品管理法〉的决定》第二次修正 2019年8月26日第十三届全国人民代表大会常务委员会第十二次会议第二次修订）</w:t>
      </w:r>
    </w:p>
    <w:p>
      <w:pPr>
        <w:pStyle w:val="33"/>
        <w:widowControl/>
        <w:wordWrap/>
        <w:snapToGrid/>
        <w:spacing w:after="0" w:line="560" w:lineRule="exact"/>
        <w:textAlignment w:val="auto"/>
        <w:rPr>
          <w:rFonts w:hint="eastAsia" w:ascii="宋体" w:hAnsi="宋体"/>
        </w:rPr>
      </w:pPr>
    </w:p>
    <w:p>
      <w:pPr>
        <w:widowControl/>
        <w:wordWrap/>
        <w:overflowPunct w:val="0"/>
        <w:adjustRightInd w:val="0"/>
        <w:snapToGrid/>
        <w:spacing w:after="0" w:line="560" w:lineRule="exact"/>
        <w:ind w:left="0" w:leftChars="0" w:right="0"/>
        <w:jc w:val="center"/>
        <w:textAlignment w:val="auto"/>
        <w:rPr>
          <w:rFonts w:hint="eastAsia" w:ascii="宋体" w:hAnsi="宋体" w:eastAsia="楷体_GB2312" w:cs="楷体_GB2312"/>
          <w:color w:val="000000"/>
          <w:kern w:val="0"/>
          <w:sz w:val="32"/>
          <w:szCs w:val="32"/>
        </w:rPr>
      </w:pPr>
      <w:r>
        <w:rPr>
          <w:rFonts w:hint="eastAsia" w:ascii="宋体" w:hAnsi="宋体" w:eastAsia="楷体_GB2312" w:cs="楷体_GB2312"/>
          <w:color w:val="000000"/>
          <w:kern w:val="0"/>
          <w:sz w:val="32"/>
          <w:szCs w:val="32"/>
        </w:rPr>
        <w:t>目</w:t>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录</w:t>
      </w: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楷体_GB2312" w:cs="楷体_GB2312"/>
          <w:color w:val="000000"/>
          <w:kern w:val="0"/>
          <w:sz w:val="32"/>
          <w:szCs w:val="32"/>
        </w:rPr>
      </w:pPr>
      <w:r>
        <w:rPr>
          <w:rFonts w:hint="eastAsia" w:ascii="宋体" w:hAnsi="宋体" w:eastAsia="楷体_GB2312" w:cs="楷体_GB2312"/>
          <w:color w:val="000000"/>
          <w:kern w:val="0"/>
          <w:sz w:val="32"/>
          <w:szCs w:val="32"/>
        </w:rPr>
        <w:t>第一章 总</w:t>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则</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第二章 药品研制和注册</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第三章 药品上市许可持有人</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第四章 药品生产</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第五章 药品经营</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第六章 医疗机构药事管理</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第七章 药品上市后管理</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第八章 药品价格和广告</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第九章 药品储备和供应</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第十章 监督管理</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第十一章 法律责任</w:t>
      </w:r>
      <w:r>
        <w:rPr>
          <w:rFonts w:hint="eastAsia" w:ascii="宋体" w:hAnsi="宋体" w:eastAsia="楷体_GB2312" w:cs="楷体_GB2312"/>
          <w:color w:val="000000"/>
          <w:kern w:val="0"/>
          <w:sz w:val="32"/>
          <w:szCs w:val="32"/>
        </w:rPr>
        <w:br w:type="textWrapping"/>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第十二章 附</w:t>
      </w:r>
      <w:r>
        <w:rPr>
          <w:rFonts w:hint="eastAsia" w:ascii="宋体" w:hAnsi="宋体" w:eastAsia="楷体_GB2312" w:cs="楷体_GB2312"/>
          <w:color w:val="000000"/>
          <w:kern w:val="0"/>
          <w:sz w:val="32"/>
          <w:szCs w:val="32"/>
          <w:lang w:eastAsia="zh-CN"/>
        </w:rPr>
        <w:t xml:space="preserve">  </w:t>
      </w:r>
      <w:r>
        <w:rPr>
          <w:rFonts w:hint="eastAsia" w:ascii="宋体" w:hAnsi="宋体" w:eastAsia="楷体_GB2312" w:cs="楷体_GB2312"/>
          <w:color w:val="000000"/>
          <w:kern w:val="0"/>
          <w:sz w:val="32"/>
          <w:szCs w:val="32"/>
        </w:rPr>
        <w:t>则</w:t>
      </w:r>
    </w:p>
    <w:p>
      <w:pPr>
        <w:pStyle w:val="33"/>
        <w:widowControl/>
        <w:wordWrap/>
        <w:overflowPunct w:val="0"/>
        <w:adjustRightInd w:val="0"/>
        <w:snapToGrid/>
        <w:spacing w:after="0" w:line="560" w:lineRule="exact"/>
        <w:ind w:left="0" w:leftChars="0" w:right="0"/>
        <w:jc w:val="both"/>
        <w:textAlignment w:val="auto"/>
        <w:rPr>
          <w:rFonts w:hint="eastAsia" w:ascii="宋体" w:hAnsi="宋体" w:eastAsia="宋体" w:cs="Times New Roman"/>
          <w:kern w:val="0"/>
          <w:sz w:val="24"/>
          <w:szCs w:val="24"/>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第一章 总 则</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黑体"/>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第一条</w:t>
      </w:r>
      <w:r>
        <w:rPr>
          <w:rFonts w:hint="eastAsia" w:ascii="宋体" w:hAnsi="宋体" w:eastAsia="仿宋_GB2312" w:cs="仿宋_GB2312"/>
          <w:color w:val="000000"/>
          <w:kern w:val="0"/>
          <w:sz w:val="32"/>
          <w:szCs w:val="32"/>
        </w:rPr>
        <w:t xml:space="preserve"> 为了加强药品管理，保证药品质量，保障公众用药安全和合法权益，保护和促进公众健康，制定本法。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第二条</w:t>
      </w:r>
      <w:r>
        <w:rPr>
          <w:rFonts w:hint="eastAsia" w:ascii="宋体" w:hAnsi="宋体" w:eastAsia="仿宋_GB2312" w:cs="仿宋_GB2312"/>
          <w:color w:val="000000"/>
          <w:kern w:val="0"/>
          <w:sz w:val="32"/>
          <w:szCs w:val="32"/>
        </w:rPr>
        <w:t xml:space="preserve"> 在中华人民共和国境内从事药品研制、生产、经营、使用和监督管理活动，适用本法。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本法所称药品，是指用于预防、治疗、诊断人的疾病，有目的地调节人的生理机能并规定有适应症或者功能主治、用法和用量的物质，包括中药、化学药和生物制品等。</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第三条</w:t>
      </w:r>
      <w:r>
        <w:rPr>
          <w:rFonts w:hint="eastAsia" w:ascii="宋体" w:hAnsi="宋体" w:eastAsia="仿宋_GB2312" w:cs="仿宋_GB2312"/>
          <w:color w:val="000000"/>
          <w:kern w:val="0"/>
          <w:sz w:val="32"/>
          <w:szCs w:val="32"/>
        </w:rPr>
        <w:t xml:space="preserve"> 药品管理应当以人民健康为中心，坚持风险管理、全程管控、社会共治的原则，建立科学、严格的监督管理制度，全面提升药品质量，保障药品的安全、有效、可及。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第四条</w:t>
      </w:r>
      <w:r>
        <w:rPr>
          <w:rFonts w:hint="eastAsia" w:ascii="宋体" w:hAnsi="宋体" w:eastAsia="仿宋_GB2312" w:cs="仿宋_GB2312"/>
          <w:color w:val="000000"/>
          <w:kern w:val="0"/>
          <w:sz w:val="32"/>
          <w:szCs w:val="32"/>
        </w:rPr>
        <w:t xml:space="preserve"> 国家发展现代药和传统药，充分发挥其在预防、医疗和保健中的作用。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国家保护野生药材资源和中药品种，鼓励培育道地中药材。</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第五条</w:t>
      </w:r>
      <w:r>
        <w:rPr>
          <w:rFonts w:hint="eastAsia" w:ascii="宋体" w:hAnsi="宋体" w:eastAsia="仿宋_GB2312" w:cs="仿宋_GB2312"/>
          <w:color w:val="000000"/>
          <w:kern w:val="0"/>
          <w:sz w:val="32"/>
          <w:szCs w:val="32"/>
        </w:rPr>
        <w:t xml:space="preserve"> 国家鼓励研究和创制新药，保护公民、法人和其他组织研究、开发新药的合法权益。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第六条</w:t>
      </w:r>
      <w:r>
        <w:rPr>
          <w:rFonts w:hint="eastAsia" w:ascii="宋体" w:hAnsi="宋体" w:eastAsia="仿宋_GB2312" w:cs="仿宋_GB2312"/>
          <w:color w:val="000000"/>
          <w:kern w:val="0"/>
          <w:sz w:val="32"/>
          <w:szCs w:val="32"/>
        </w:rPr>
        <w:t xml:space="preserve"> 国家对药品管理实行药品上市许可持有人制度。药品上市许可持有人依法对药品研制、生产、经营、使用全过程中药品的安全性、有效性和质量可控性负责。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第七条</w:t>
      </w:r>
      <w:r>
        <w:rPr>
          <w:rFonts w:hint="eastAsia" w:ascii="宋体" w:hAnsi="宋体" w:eastAsia="仿宋_GB2312" w:cs="仿宋_GB2312"/>
          <w:color w:val="000000"/>
          <w:kern w:val="0"/>
          <w:sz w:val="32"/>
          <w:szCs w:val="32"/>
        </w:rPr>
        <w:t xml:space="preserve"> 从事药品研制、生产、经营、使用活动，应当遵守法律、法规、规章、标准和规范，保证全过程信息真实、准确、完整和可追溯。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rPr>
        <w:t>　</w:t>
      </w:r>
      <w:r>
        <w:rPr>
          <w:rFonts w:hint="eastAsia" w:ascii="宋体" w:hAnsi="宋体" w:eastAsia="黑体" w:cs="黑体"/>
          <w:color w:val="000000"/>
          <w:kern w:val="0"/>
          <w:sz w:val="32"/>
          <w:szCs w:val="32"/>
        </w:rPr>
        <w:t xml:space="preserve"> </w:t>
      </w:r>
      <w:r>
        <w:rPr>
          <w:rFonts w:hint="eastAsia" w:eastAsia="黑体" w:cs="黑体"/>
          <w:color w:val="000000"/>
          <w:kern w:val="0"/>
          <w:sz w:val="32"/>
          <w:szCs w:val="32"/>
          <w:lang w:val="en-US" w:eastAsia="zh-CN"/>
        </w:rPr>
        <w:t xml:space="preserve"> </w:t>
      </w:r>
      <w:r>
        <w:rPr>
          <w:rFonts w:hint="eastAsia" w:ascii="宋体" w:hAnsi="宋体" w:eastAsia="黑体" w:cs="黑体"/>
          <w:color w:val="000000"/>
          <w:kern w:val="0"/>
          <w:sz w:val="32"/>
          <w:szCs w:val="32"/>
        </w:rPr>
        <w:t>第八条</w:t>
      </w:r>
      <w:r>
        <w:rPr>
          <w:rFonts w:hint="eastAsia" w:ascii="宋体" w:hAnsi="宋体" w:eastAsia="仿宋_GB2312" w:cs="仿宋_GB2312"/>
          <w:color w:val="000000"/>
          <w:kern w:val="0"/>
          <w:sz w:val="32"/>
          <w:szCs w:val="32"/>
        </w:rPr>
        <w:t xml:space="preserve"> 国务院药品监督管理部门主管全国药品监督管理工作。国务院有关部门在各自职责范围内负责与药品有关的监督管理工作。国务院药品监督管理部门配合国务院有关部门，执行国家药品行业发展规划和产业政策。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省、自治区、直辖市人民政府药品监督管理部门负责本行政区域内的药品监督管理工作。设区的市级、县级人民政府承担药品监督管理职责的部门（以下称药品监督管理部门）负责本行政区域内的药品监督管理工作。县级以上地方人民政府有关部门在各自职责范围内负责与药品有关的监督管理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第九条</w:t>
      </w:r>
      <w:r>
        <w:rPr>
          <w:rFonts w:hint="eastAsia" w:ascii="宋体" w:hAnsi="宋体" w:eastAsia="仿宋_GB2312" w:cs="仿宋_GB2312"/>
          <w:color w:val="000000"/>
          <w:kern w:val="0"/>
          <w:sz w:val="32"/>
          <w:szCs w:val="32"/>
        </w:rPr>
        <w:t xml:space="preserve"> 县级以上地方人民政府对本行政区域内的药品监督管理工作负责，统一领导、组织、协调本行政区域内的药品监督管理工作以及药品安全突发事件应对工作，建立健全药品监督管理工作机制和信息共享机制。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第十条</w:t>
      </w:r>
      <w:r>
        <w:rPr>
          <w:rFonts w:hint="eastAsia" w:ascii="宋体" w:hAnsi="宋体" w:eastAsia="仿宋_GB2312" w:cs="仿宋_GB2312"/>
          <w:color w:val="000000"/>
          <w:kern w:val="0"/>
          <w:sz w:val="32"/>
          <w:szCs w:val="32"/>
        </w:rPr>
        <w:t xml:space="preserve"> 县级以上人民政府应当将药品安全工作纳入本级国民经济和社会发展规划，将药品安全工作经费列入本级政府预算，加强药品监督管理能力建设，为药品安全工作提供保障。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第十一条</w:t>
      </w:r>
      <w:r>
        <w:rPr>
          <w:rFonts w:hint="eastAsia" w:ascii="宋体" w:hAnsi="宋体" w:eastAsia="仿宋_GB2312" w:cs="仿宋_GB2312"/>
          <w:color w:val="000000"/>
          <w:kern w:val="0"/>
          <w:sz w:val="32"/>
          <w:szCs w:val="32"/>
        </w:rPr>
        <w:t xml:space="preserve"> 药品监督管理部门设置或者指定的药品专业技术机构，承担依法实施药品监督管理所需的审评、检验、核查、监测与评价等工作。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第十二条</w:t>
      </w:r>
      <w:r>
        <w:rPr>
          <w:rFonts w:hint="eastAsia" w:ascii="宋体" w:hAnsi="宋体" w:eastAsia="仿宋_GB2312" w:cs="仿宋_GB2312"/>
          <w:color w:val="000000"/>
          <w:kern w:val="0"/>
          <w:sz w:val="32"/>
          <w:szCs w:val="32"/>
        </w:rPr>
        <w:t xml:space="preserve"> 国家建立健全药品追溯制度。国务院药品监督管理部门应当制定统一的药品追溯标准和规范，推进药品追溯信息互通互享，实现药品可追溯。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国家建立药物警戒制度，对药品不良反应及其他与用药有关的有害反应进行监测、识别、评估和控制。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第十三条</w:t>
      </w:r>
      <w:r>
        <w:rPr>
          <w:rFonts w:hint="eastAsia" w:ascii="宋体" w:hAnsi="宋体" w:eastAsia="仿宋_GB2312" w:cs="仿宋_GB2312"/>
          <w:color w:val="000000"/>
          <w:kern w:val="0"/>
          <w:sz w:val="32"/>
          <w:szCs w:val="32"/>
        </w:rPr>
        <w:t xml:space="preserve"> 各级人民政府及其有关部门、药品行业协会等应当加强药品安全宣传教育，开展药品安全法律法规等知识的普及工作。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新闻媒体应当开展药品安全法律法规等知识的公益宣传，并对药品违法行为进行舆论监督。有关药品的宣传报道应当全面、科学、客观、公正。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第十四条</w:t>
      </w:r>
      <w:r>
        <w:rPr>
          <w:rFonts w:hint="eastAsia" w:ascii="宋体" w:hAnsi="宋体" w:eastAsia="仿宋_GB2312" w:cs="仿宋_GB2312"/>
          <w:color w:val="000000"/>
          <w:kern w:val="0"/>
          <w:sz w:val="32"/>
          <w:szCs w:val="32"/>
        </w:rPr>
        <w:t xml:space="preserve"> 药品行业协会应当加强行业自律，建立健全行业规范，推动行业诚信体系建设，引导和督促会员依法开展药品生产经营等活动。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第十五条</w:t>
      </w:r>
      <w:r>
        <w:rPr>
          <w:rFonts w:hint="eastAsia" w:ascii="宋体" w:hAnsi="宋体" w:eastAsia="仿宋_GB2312" w:cs="仿宋_GB2312"/>
          <w:color w:val="000000"/>
          <w:kern w:val="0"/>
          <w:sz w:val="32"/>
          <w:szCs w:val="32"/>
        </w:rPr>
        <w:t xml:space="preserve"> 县级以上人民政府及其有关部门对在药品研制、生产、经营、使用和监督管理工作中做出突出贡献的单位和个人，按照国家有关规定给予表彰、奖励。</w:t>
      </w:r>
    </w:p>
    <w:p>
      <w:pPr>
        <w:pStyle w:val="33"/>
        <w:wordWrap/>
        <w:spacing w:line="560" w:lineRule="exact"/>
        <w:textAlignment w:val="auto"/>
        <w:rPr>
          <w:rFonts w:hint="eastAsia"/>
        </w:rPr>
      </w:pPr>
    </w:p>
    <w:p>
      <w:pPr>
        <w:widowControl/>
        <w:numPr>
          <w:ilvl w:val="0"/>
          <w:numId w:val="3"/>
        </w:numPr>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药品研制和注册</w:t>
      </w:r>
    </w:p>
    <w:p>
      <w:pPr>
        <w:widowControl/>
        <w:numPr>
          <w:ilvl w:val="0"/>
          <w:numId w:val="0"/>
        </w:numPr>
        <w:wordWrap/>
        <w:overflowPunct w:val="0"/>
        <w:adjustRightInd w:val="0"/>
        <w:snapToGrid/>
        <w:spacing w:beforeAutospacing="0" w:after="0" w:afterAutospacing="0" w:line="560" w:lineRule="exact"/>
        <w:ind w:leftChars="0" w:right="0"/>
        <w:jc w:val="both"/>
        <w:textAlignment w:val="auto"/>
        <w:rPr>
          <w:rFonts w:hint="eastAsia" w:ascii="宋体" w:hAnsi="宋体" w:eastAsia="黑体" w:cs="黑体"/>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kern w:val="0"/>
          <w:sz w:val="32"/>
          <w:szCs w:val="32"/>
        </w:rPr>
      </w:pP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第十六条</w:t>
      </w:r>
      <w:r>
        <w:rPr>
          <w:rFonts w:hint="eastAsia" w:ascii="宋体" w:hAnsi="宋体" w:eastAsia="仿宋_GB2312" w:cs="仿宋_GB2312"/>
          <w:color w:val="000000"/>
          <w:kern w:val="0"/>
          <w:sz w:val="32"/>
          <w:szCs w:val="32"/>
        </w:rPr>
        <w:t xml:space="preserve"> 国家支持以临床价值为导向、对人的疾病具有明确或者特殊疗效的药物创新，鼓励具有新的治疗机理、治疗严重危及生命的疾病或者罕见病、对人体具有多靶向系统性调节干预功能等的新药研制，推动药品技术进步。</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国家鼓励运用现代科学技术和传统中药研究方法开展中药科学技术研究和药物开发，建立和完善符合中药特点的技术评价体系，促进中药传承创新。</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国家采取有效措施，鼓励儿童用药品的研制和创新，支持开发符合儿童生理特征的儿童用药品新品种、剂型和规格，对儿童用药品予以优先审评审批。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第十七条</w:t>
      </w:r>
      <w:r>
        <w:rPr>
          <w:rFonts w:hint="eastAsia" w:ascii="宋体" w:hAnsi="宋体" w:eastAsia="仿宋_GB2312" w:cs="仿宋_GB2312"/>
          <w:color w:val="000000"/>
          <w:kern w:val="0"/>
          <w:sz w:val="32"/>
          <w:szCs w:val="32"/>
        </w:rPr>
        <w:t xml:space="preserve"> 从事药品研制活动，应当遵守药物非临床研究质量管理规范、药物临床试验质量管理规范，保证药品研制全过程持续符合法定要求。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药物非临床研究质量管理规范、药物临床试验质量管理规范由国务院药品监督管理部门会同国务院有关部门制定。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第十八条</w:t>
      </w:r>
      <w:r>
        <w:rPr>
          <w:rFonts w:hint="eastAsia" w:ascii="宋体" w:hAnsi="宋体" w:eastAsia="仿宋_GB2312" w:cs="仿宋_GB2312"/>
          <w:color w:val="000000"/>
          <w:kern w:val="0"/>
          <w:sz w:val="32"/>
          <w:szCs w:val="32"/>
        </w:rPr>
        <w:t xml:space="preserve"> 开展药物非临床研究，应当符合国家有关规定，有与研究项目相适应的人员、场地、设备、仪器和管理制度，保证有关数据、资料和样品的真实性。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第十九条</w:t>
      </w:r>
      <w:r>
        <w:rPr>
          <w:rFonts w:hint="eastAsia" w:ascii="宋体" w:hAnsi="宋体" w:eastAsia="仿宋_GB2312" w:cs="仿宋_GB2312"/>
          <w:color w:val="000000"/>
          <w:kern w:val="0"/>
          <w:sz w:val="32"/>
          <w:szCs w:val="32"/>
        </w:rPr>
        <w:t xml:space="preserve"> 开展药物临床试验，应当按照国务院药品监督管理部门的规定如实报送研制方法、质量指标、药理及毒理试验结果等有关数据、资料和样品，经国务院药品监督管理部门批准。国务院药品监督管理部门应当自受理临床试验申请之日起六十个工作日内决定是否同意并通知临床试验申办者，逾期未通知的，视为同意。其中，开展生物等效性试验的，报国务院药品监督管理部门备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开展药物临床试验，应当在具备相应条件的临床试验机构进行。药物临床试验机构实行备案管理，具体办法由国务院药品监督管理部门、国务院卫生健康主管部门共同制定。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第二十条</w:t>
      </w:r>
      <w:r>
        <w:rPr>
          <w:rFonts w:hint="eastAsia" w:ascii="宋体" w:hAnsi="宋体" w:eastAsia="仿宋_GB2312" w:cs="仿宋_GB2312"/>
          <w:color w:val="000000"/>
          <w:kern w:val="0"/>
          <w:sz w:val="32"/>
          <w:szCs w:val="32"/>
        </w:rPr>
        <w:t xml:space="preserve"> 开展药物临床试验，应当符合伦理原则，制定临床试验方案，经伦理委员会审查同意。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伦理委员会应当建立伦理审查工作制度，保证伦理审查过程独立、客观、公正，监督规范开展药物临床试验，保障受试者合法权益，维护社会公共利益。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第二十一条</w:t>
      </w:r>
      <w:r>
        <w:rPr>
          <w:rFonts w:hint="eastAsia" w:ascii="宋体" w:hAnsi="宋体" w:eastAsia="仿宋_GB2312" w:cs="仿宋_GB2312"/>
          <w:color w:val="000000"/>
          <w:kern w:val="0"/>
          <w:sz w:val="32"/>
          <w:szCs w:val="32"/>
        </w:rPr>
        <w:t xml:space="preserve"> 实施药物临床试验，应当向受试者或者其监护人如实说明和解释临床试验的目的和风险等详细情况，取得受试者或者其监护人自愿签署的知情同意书，并采取有效措施保护受试者合法权益。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第二十二条</w:t>
      </w:r>
      <w:r>
        <w:rPr>
          <w:rFonts w:hint="eastAsia" w:ascii="宋体" w:hAnsi="宋体" w:eastAsia="仿宋_GB2312" w:cs="仿宋_GB2312"/>
          <w:color w:val="000000"/>
          <w:kern w:val="0"/>
          <w:sz w:val="32"/>
          <w:szCs w:val="32"/>
        </w:rPr>
        <w:t xml:space="preserve"> 药物临床试验期间，发现存在安全性问题或者其他风险的，临床试验申办者应当及时调整临床试验方案、暂停或者终止临床试验，并向国务院药品监督管理部门报告。必要时，国务院药品监督管理部门可以责令调整临床试验方案、暂停或者终止临床试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第二十三条</w:t>
      </w:r>
      <w:r>
        <w:rPr>
          <w:rFonts w:hint="eastAsia" w:ascii="宋体" w:hAnsi="宋体" w:eastAsia="仿宋_GB2312" w:cs="仿宋_GB2312"/>
          <w:color w:val="000000"/>
          <w:kern w:val="0"/>
          <w:sz w:val="32"/>
          <w:szCs w:val="32"/>
        </w:rPr>
        <w:t xml:space="preserve"> 对正在开展临床试验的用于治疗严重危及生命且尚无有效治疗手段的疾病的药物，经医学观察可能获益，并且符合伦理原则的，经审查、知情同意后可以在开展临床试验的机构内用于其他病情相同的患者。</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第二十四条</w:t>
      </w:r>
      <w:r>
        <w:rPr>
          <w:rFonts w:hint="eastAsia" w:ascii="宋体" w:hAnsi="宋体" w:eastAsia="仿宋_GB2312" w:cs="仿宋_GB2312"/>
          <w:color w:val="000000"/>
          <w:kern w:val="0"/>
          <w:sz w:val="32"/>
          <w:szCs w:val="32"/>
        </w:rPr>
        <w:t xml:space="preserve"> 在中国境内上市的药品，应当经国务院药品监督管理部门批准，取得药品注册证书；但是，未实施审批管理的中药材和中药饮片除外。实施审批管理的中药材、中药饮片品种目录由国务院药品监督管理部门会同国务院中医药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申请药品注册，应当提供真实、充分、可靠的数据、资料和样品，证明药品的安全性、有效性和质量可控性。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第二十五条</w:t>
      </w:r>
      <w:r>
        <w:rPr>
          <w:rFonts w:hint="eastAsia" w:ascii="宋体" w:hAnsi="宋体" w:eastAsia="仿宋_GB2312" w:cs="仿宋_GB2312"/>
          <w:color w:val="000000"/>
          <w:kern w:val="0"/>
          <w:sz w:val="32"/>
          <w:szCs w:val="32"/>
        </w:rPr>
        <w:t xml:space="preserve"> 对申请注册的药品，国务院药品监督管理部门应当组织药学、医学和其他技术人员进行审评，对药品的安全性、有效性和质量可控性以及申请人的质量管理、风险防控和责任赔偿等能力进行审查；符合条件的，颁发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国务院药品监督管理部门在审批药品时，对化学原料药一并审评审批，对相关辅料、直接接触药品的包装材料和容器一并审评，对药品的质量标准、生产工艺、标签和说明书一并核准。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本法所称辅料，是指生产药品和调配处方时所用的赋形剂和附加剂。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第二十六条</w:t>
      </w:r>
      <w:r>
        <w:rPr>
          <w:rFonts w:hint="eastAsia" w:ascii="宋体" w:hAnsi="宋体" w:eastAsia="仿宋_GB2312" w:cs="仿宋_GB2312"/>
          <w:color w:val="000000"/>
          <w:kern w:val="0"/>
          <w:sz w:val="32"/>
          <w:szCs w:val="32"/>
        </w:rPr>
        <w:t xml:space="preserve"> 对治疗严重危及生命且尚无有效治疗手段的疾病以及公共卫生方面急需的药品，药物临床试验已有数据显示疗效并能预测其临床价值的，可以附条件批准，并在药品注册证书中载明相关事项。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第二十七条</w:t>
      </w:r>
      <w:r>
        <w:rPr>
          <w:rFonts w:hint="eastAsia" w:ascii="宋体" w:hAnsi="宋体" w:eastAsia="仿宋_GB2312" w:cs="仿宋_GB2312"/>
          <w:color w:val="000000"/>
          <w:kern w:val="0"/>
          <w:sz w:val="32"/>
          <w:szCs w:val="32"/>
        </w:rPr>
        <w:t xml:space="preserve"> 国务院药品监督管理部门应当完善药品审评审批工作制度，加强能力建设，建立健全沟通交流、专家咨询等机制，优化审评审批流程，提高审评审批效率。</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批准上市药品的审评结论和依据应当依法公开，接受社会监督。对审评审批中知悉的商业秘密应当保密。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第二十八条</w:t>
      </w:r>
      <w:r>
        <w:rPr>
          <w:rFonts w:hint="eastAsia" w:ascii="宋体" w:hAnsi="宋体" w:eastAsia="仿宋_GB2312" w:cs="仿宋_GB2312"/>
          <w:color w:val="000000"/>
          <w:kern w:val="0"/>
          <w:sz w:val="32"/>
          <w:szCs w:val="32"/>
        </w:rPr>
        <w:t xml:space="preserve"> 药品应当符合国家药品标准。经国务院药品监督管理部门核准的药品质量标准高于国家药品标准的，按照经核准的药品质量标准执行；没有国家药品标准的，应当符合经核准的药品质量标准。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国务院药品监督管理部门颁布的《中华人民共和国药典》和药品标准为国家药品标准。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国务院药品监督管理部门会同国务院卫生健康主管部门组织药典委员会，负责国家药品标准的制定和修订。</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国务院药品监督管理部门设置或者指定的药品检验机构负责标定国家药品标准品、对照品。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黑体"/>
          <w:color w:val="000000"/>
          <w:kern w:val="0"/>
          <w:sz w:val="32"/>
          <w:szCs w:val="32"/>
        </w:rPr>
        <w:t>第二十九条</w:t>
      </w:r>
      <w:r>
        <w:rPr>
          <w:rFonts w:hint="eastAsia" w:ascii="宋体" w:hAnsi="宋体" w:eastAsia="仿宋_GB2312" w:cs="仿宋_GB2312"/>
          <w:color w:val="000000"/>
          <w:kern w:val="0"/>
          <w:sz w:val="32"/>
          <w:szCs w:val="32"/>
        </w:rPr>
        <w:t xml:space="preserve"> 列入国家药品标准的药品名称为药品通用名称。已经作为药品通用名称的，该名称不得作为药品商标使用。</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黑体" w:hAnsi="黑体" w:eastAsia="黑体" w:cs="黑体"/>
          <w:color w:val="000000"/>
          <w:kern w:val="0"/>
          <w:sz w:val="32"/>
          <w:szCs w:val="32"/>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黑体" w:hAnsi="黑体" w:eastAsia="黑体" w:cs="黑体"/>
          <w:color w:val="000000"/>
          <w:kern w:val="0"/>
          <w:sz w:val="32"/>
          <w:szCs w:val="32"/>
        </w:rPr>
      </w:pPr>
      <w:r>
        <w:rPr>
          <w:rFonts w:hint="eastAsia" w:ascii="黑体" w:hAnsi="黑体" w:eastAsia="黑体" w:cs="黑体"/>
          <w:color w:val="000000"/>
          <w:kern w:val="0"/>
          <w:sz w:val="32"/>
          <w:szCs w:val="32"/>
        </w:rPr>
        <w:t>第三章 药品上市许可持有人</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黑体" w:hAnsi="黑体" w:eastAsia="黑体" w:cs="黑体"/>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kern w:val="0"/>
          <w:sz w:val="32"/>
          <w:szCs w:val="32"/>
        </w:rPr>
      </w:pPr>
      <w:r>
        <w:rPr>
          <w:rFonts w:hint="eastAsia" w:ascii="宋体" w:hAnsi="宋体" w:eastAsia="仿宋_GB2312" w:cs="仿宋_GB2312"/>
          <w:color w:val="000000"/>
          <w:kern w:val="0"/>
          <w:sz w:val="32"/>
          <w:szCs w:val="32"/>
          <w:lang w:eastAsia="zh-CN"/>
        </w:rPr>
        <w:t xml:space="preserve">    </w:t>
      </w:r>
      <w:r>
        <w:rPr>
          <w:rFonts w:hint="eastAsia" w:ascii="黑体" w:hAnsi="黑体" w:eastAsia="黑体" w:cs="黑体"/>
          <w:color w:val="000000"/>
          <w:kern w:val="0"/>
          <w:sz w:val="32"/>
          <w:szCs w:val="32"/>
        </w:rPr>
        <w:t>第三十条</w:t>
      </w:r>
      <w:r>
        <w:rPr>
          <w:rFonts w:hint="eastAsia" w:ascii="宋体" w:hAnsi="宋体" w:eastAsia="仿宋_GB2312" w:cs="仿宋_GB2312"/>
          <w:color w:val="000000"/>
          <w:kern w:val="0"/>
          <w:sz w:val="32"/>
          <w:szCs w:val="32"/>
        </w:rPr>
        <w:t xml:space="preserve"> 药品上市许可持有人是指取得药品注册证书的企业或者药品研制机构等。</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应当依照本法规定，对药品的非临床研究、临床试验、生产经营、上市后研究、不良反应监测及报告与处理等承担责任。其他从事药品研制、生产、经营、储存、运输、使用等活动的单位和个人依法承担相应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药品上市许可持有人的法定代表人、主要负责人对药品质量全面负责。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第三十一条</w:t>
      </w:r>
      <w:r>
        <w:rPr>
          <w:rFonts w:hint="eastAsia" w:ascii="宋体" w:hAnsi="宋体" w:eastAsia="仿宋_GB2312" w:cs="仿宋_GB2312"/>
          <w:color w:val="000000"/>
          <w:kern w:val="0"/>
          <w:sz w:val="32"/>
          <w:szCs w:val="32"/>
        </w:rPr>
        <w:t xml:space="preserve"> 药品上市许可持有人应当建立药品质量保证体系，配备专门人员独立负责药品质量管理。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药品上市许可持有人应当对受托药品生产企业、药品经营企业的质量管理体系进行定期审核，监督其持续具备质量保证和控制能力。</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第三十二条</w:t>
      </w:r>
      <w:r>
        <w:rPr>
          <w:rFonts w:hint="eastAsia" w:ascii="宋体" w:hAnsi="宋体" w:eastAsia="仿宋_GB2312" w:cs="仿宋_GB2312"/>
          <w:color w:val="000000"/>
          <w:kern w:val="0"/>
          <w:sz w:val="32"/>
          <w:szCs w:val="32"/>
        </w:rPr>
        <w:t xml:space="preserve"> 药品上市许可持有人可以自行生产药品，也可以委托药品生产企业生产。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自行生产药品的，应当依照本法规定取得药品生产许可证；委托生产的，应当委托符合条件的药品生产企业。药品上市许可持有人和受托生产企业应当签订委托协议和质量协议，并严格履行协议约定的义务。</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国务院药品监督管理部门制定药品委托生产质量协议指南，指导、监督药品上市许可持有人和受托生产企业履行药品质量保证义务。</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血液制品、麻醉药品、精神药品、医疗用毒性药品、药品类易制毒化学品不得委托生产；但是，国务院药品监督管理部门另有规定的除外。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第三十三条</w:t>
      </w:r>
      <w:r>
        <w:rPr>
          <w:rFonts w:hint="eastAsia" w:ascii="宋体" w:hAnsi="宋体" w:eastAsia="仿宋_GB2312" w:cs="仿宋_GB2312"/>
          <w:color w:val="000000"/>
          <w:kern w:val="0"/>
          <w:sz w:val="32"/>
          <w:szCs w:val="32"/>
        </w:rPr>
        <w:t xml:space="preserve"> 药品上市许可持有人应当建立药品上市放行规程，对药品生产企业出厂放行的药品进行审核，经质量受权人签字后方可放行。不符合国家药品标准的，不得放行。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第三十四条</w:t>
      </w:r>
      <w:r>
        <w:rPr>
          <w:rFonts w:hint="eastAsia" w:ascii="宋体" w:hAnsi="宋体" w:eastAsia="仿宋_GB2312" w:cs="仿宋_GB2312"/>
          <w:color w:val="000000"/>
          <w:kern w:val="0"/>
          <w:sz w:val="32"/>
          <w:szCs w:val="32"/>
        </w:rPr>
        <w:t xml:space="preserve"> 药品上市许可持有人可以自行销售其取得药品注册证书的药品，也可以委托药品经营企业销售。药品上市许可持有人从事药品零售活动的，应当取得药品经营许可证。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自行销售药品的，应当具备本法第五十二条规定的条件；委托销售的，应当委托符合条件的药品经营企业。药品上市许可持有人和受托经营企业应当签订委托协议，并严格履行协议约定的义务。</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第三十五条</w:t>
      </w:r>
      <w:r>
        <w:rPr>
          <w:rFonts w:hint="eastAsia" w:ascii="宋体" w:hAnsi="宋体" w:eastAsia="仿宋_GB2312" w:cs="仿宋_GB2312"/>
          <w:color w:val="000000"/>
          <w:kern w:val="0"/>
          <w:sz w:val="32"/>
          <w:szCs w:val="32"/>
        </w:rPr>
        <w:t xml:space="preserve"> 药品上市许可持有人、药品生产企业、药品经营企业委托储存、运输药品的，应当对受托方的质量保证能力和风险管理能力进行评估，与其签订委托协议，约定药品质量责任、操作规程等内容，并对受托方进行监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第三十六条</w:t>
      </w:r>
      <w:r>
        <w:rPr>
          <w:rFonts w:hint="eastAsia" w:ascii="宋体" w:hAnsi="宋体" w:eastAsia="仿宋_GB2312" w:cs="仿宋_GB2312"/>
          <w:color w:val="000000"/>
          <w:kern w:val="0"/>
          <w:sz w:val="32"/>
          <w:szCs w:val="32"/>
        </w:rPr>
        <w:t xml:space="preserve"> 药品上市许可持有人、药品生产企业、药品经营企业和医疗机构应当建立并实施药品追溯制度，按照规定提供追溯信息，保证药品可追溯。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第三十七条</w:t>
      </w:r>
      <w:r>
        <w:rPr>
          <w:rFonts w:hint="eastAsia" w:ascii="宋体" w:hAnsi="宋体" w:eastAsia="仿宋_GB2312" w:cs="仿宋_GB2312"/>
          <w:color w:val="000000"/>
          <w:kern w:val="0"/>
          <w:sz w:val="32"/>
          <w:szCs w:val="32"/>
        </w:rPr>
        <w:t xml:space="preserve"> 药品上市许可持有人应当建立年度报告制度，每年将药品生产销售、上市后研究、风险管理等情况按照规定向省、自治区、直辖市人民政府药品监督管理部门报告。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第三十八条</w:t>
      </w:r>
      <w:r>
        <w:rPr>
          <w:rFonts w:hint="eastAsia" w:ascii="宋体" w:hAnsi="宋体" w:eastAsia="仿宋_GB2312" w:cs="仿宋_GB2312"/>
          <w:color w:val="000000"/>
          <w:kern w:val="0"/>
          <w:sz w:val="32"/>
          <w:szCs w:val="32"/>
        </w:rPr>
        <w:t xml:space="preserve"> 药品上市许可持有人为境外企业的，应当由其指定的在中国境内的企业法人履行药品上市许可持有人义务，与药品上市许可持有人承担连带责任。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第三十九条</w:t>
      </w:r>
      <w:r>
        <w:rPr>
          <w:rFonts w:hint="eastAsia" w:ascii="宋体" w:hAnsi="宋体" w:eastAsia="仿宋_GB2312" w:cs="仿宋_GB2312"/>
          <w:color w:val="000000"/>
          <w:kern w:val="0"/>
          <w:sz w:val="32"/>
          <w:szCs w:val="32"/>
        </w:rPr>
        <w:t xml:space="preserve"> 中药饮片生产企业履行药品上市许可持有人的相关义务，对中药饮片生产、销售实行全过程管理，建立中药饮片追溯体系，保证中药饮片安全、有效、可追溯。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第四十条</w:t>
      </w:r>
      <w:r>
        <w:rPr>
          <w:rFonts w:hint="eastAsia" w:ascii="宋体" w:hAnsi="宋体" w:eastAsia="仿宋_GB2312" w:cs="仿宋_GB2312"/>
          <w:color w:val="000000"/>
          <w:kern w:val="0"/>
          <w:sz w:val="32"/>
          <w:szCs w:val="32"/>
        </w:rPr>
        <w:t xml:space="preserve"> 经国务院药品监督管理部门批准，药品上市许可持有人可以转让药品上市许可。受让方应当具备保障药品安全性、有效性和质量可控性的质量管理、风险防控和责任赔偿等能力，履行药品上市许可持有人义务。</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第四章 药品生产</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第四十一条</w:t>
      </w:r>
      <w:r>
        <w:rPr>
          <w:rFonts w:hint="eastAsia" w:ascii="宋体" w:hAnsi="宋体" w:eastAsia="仿宋_GB2312" w:cs="仿宋_GB2312"/>
          <w:color w:val="000000"/>
          <w:kern w:val="0"/>
          <w:sz w:val="32"/>
          <w:szCs w:val="32"/>
        </w:rPr>
        <w:t xml:space="preserve"> 从事药品生产活动，应当经所在地省、自治区、直辖市人民政府药品监督管理部门批准，取得药品生产许可证。无药品生产许可证的，不得生产药品。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药品生产许可证应当标明有效期和生产范围，到期重新审查发证。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第四十二条</w:t>
      </w:r>
      <w:r>
        <w:rPr>
          <w:rFonts w:hint="eastAsia" w:ascii="宋体" w:hAnsi="宋体" w:eastAsia="仿宋_GB2312" w:cs="仿宋_GB2312"/>
          <w:color w:val="000000"/>
          <w:kern w:val="0"/>
          <w:sz w:val="32"/>
          <w:szCs w:val="32"/>
        </w:rPr>
        <w:t xml:space="preserve"> 从事药品生产活动，应当具备以下条件：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（一）有依法经过资格认定的药学技术人员、工程技术人员及相应的技术工人；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（二）有与药品生产相适应的厂房、设施和卫生环境；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（三）有能对所生产药品进行质量管理和质量检验的机构、人员及必要的仪器设备；</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（四）有保证药品质量的规章制度，并符合国务院药品监督管理部门依据本法制定的药品生产质量管理规范要求。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第四十三条</w:t>
      </w:r>
      <w:r>
        <w:rPr>
          <w:rFonts w:hint="eastAsia" w:ascii="宋体" w:hAnsi="宋体" w:eastAsia="仿宋_GB2312" w:cs="仿宋_GB2312"/>
          <w:color w:val="000000"/>
          <w:kern w:val="0"/>
          <w:sz w:val="32"/>
          <w:szCs w:val="32"/>
        </w:rPr>
        <w:t xml:space="preserve"> 从事药品生产活动，应当遵守药品生产质量管理规范，建立健全药品生产质量管理体系，保证药品生产全过程持续符合法定要求。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药品生产企业的法定代表人、主要负责人对本企业的药品生产活动全面负责。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第四十四条</w:t>
      </w:r>
      <w:r>
        <w:rPr>
          <w:rFonts w:hint="eastAsia" w:ascii="宋体" w:hAnsi="宋体" w:eastAsia="仿宋_GB2312" w:cs="仿宋_GB2312"/>
          <w:color w:val="000000"/>
          <w:kern w:val="0"/>
          <w:sz w:val="32"/>
          <w:szCs w:val="32"/>
        </w:rPr>
        <w:t xml:space="preserve"> 药品应当按照国家药品标准和经药品监督管理部门核准的生产工艺进行生产。生产、检验记录应当完整准确，不得编造。</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中药饮片应当按照国家药品标准炮制；国家药品标准没有规定的，应当按照省、自治区、直辖市人民政府药品监督管理部门制定的炮制规范炮制。省、自治区、直辖市人民政府药品监督管理部门制定的炮制规范应当报国务院药品监督管理部门备案。不符合国家药品标准或者不按照省、自治区、直辖市人民政府药品监督管理部门制定的炮制规范炮制的，不得出厂、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第四十五条</w:t>
      </w:r>
      <w:r>
        <w:rPr>
          <w:rFonts w:hint="eastAsia" w:ascii="宋体" w:hAnsi="宋体" w:eastAsia="仿宋_GB2312" w:cs="仿宋_GB2312"/>
          <w:color w:val="000000"/>
          <w:kern w:val="0"/>
          <w:sz w:val="32"/>
          <w:szCs w:val="32"/>
        </w:rPr>
        <w:t xml:space="preserve"> 生产药品所需的原料、辅料，应当符合药用要求、药品生产质量管理规范的有关要求。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生产药品，应当按照规定对供应原料、辅料等的供应商进行审核，保证购进、使用的原料、辅料等符合前款规定要求。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第四十六条</w:t>
      </w:r>
      <w:r>
        <w:rPr>
          <w:rFonts w:hint="eastAsia" w:ascii="宋体" w:hAnsi="宋体" w:eastAsia="仿宋_GB2312" w:cs="仿宋_GB2312"/>
          <w:color w:val="000000"/>
          <w:kern w:val="0"/>
          <w:sz w:val="32"/>
          <w:szCs w:val="32"/>
        </w:rPr>
        <w:t xml:space="preserve"> 直接接触药品的包装材料和容器，应当符合药用要求，符合保障人体健康、安全的标准。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对不合格的直接接触药品的包装材料和容器，由药品监督管理部门责令停止使用。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第四十七条</w:t>
      </w:r>
      <w:r>
        <w:rPr>
          <w:rFonts w:hint="eastAsia" w:ascii="宋体" w:hAnsi="宋体" w:eastAsia="仿宋_GB2312" w:cs="仿宋_GB2312"/>
          <w:color w:val="000000"/>
          <w:kern w:val="0"/>
          <w:sz w:val="32"/>
          <w:szCs w:val="32"/>
        </w:rPr>
        <w:t xml:space="preserve"> 药品生产企业应当对药品进行质量检验。不符合国家药品标准的，不得出厂。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药品生产企业应当建立药品出厂放行规程，明确出厂放行的标准、条件。符合标准、条件的，经质量受权人签字后方可放行。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第四十八条</w:t>
      </w:r>
      <w:r>
        <w:rPr>
          <w:rFonts w:hint="eastAsia" w:ascii="宋体" w:hAnsi="宋体" w:eastAsia="仿宋_GB2312" w:cs="仿宋_GB2312"/>
          <w:color w:val="000000"/>
          <w:kern w:val="0"/>
          <w:sz w:val="32"/>
          <w:szCs w:val="32"/>
        </w:rPr>
        <w:t xml:space="preserve"> 药品包装应当适合药品质量的要求，方便储存、运输和医疗使用。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发运中药材应当有包装。在每件包装上，应当注明品名、产地、日期、供货单位，并附有质量合格的标志。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第四十九条</w:t>
      </w:r>
      <w:r>
        <w:rPr>
          <w:rFonts w:hint="eastAsia" w:ascii="宋体" w:hAnsi="宋体" w:eastAsia="仿宋_GB2312" w:cs="仿宋_GB2312"/>
          <w:color w:val="000000"/>
          <w:kern w:val="0"/>
          <w:sz w:val="32"/>
          <w:szCs w:val="32"/>
        </w:rPr>
        <w:t xml:space="preserve"> 药品包装应当按照规定印有或者贴有标签并附有说明书。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标签或者说明书应当注明药品的通用名称、成份、规格、上市许可持有人及其地址、生产企业及其地址、批准文号、产品批号、生产日期、有效期、适应症或者功能主治、用法、用量、禁忌、不良反应和注意事项。标签、说明书中的文字应当清晰，生产日期、有效期等事项应当显著标注，容易辨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麻醉药品、精神药品、医疗用毒性药品、放射性药品、外用药品和非处方药的标签、说明书，应当印有规定的标志。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第五十条</w:t>
      </w:r>
      <w:r>
        <w:rPr>
          <w:rFonts w:hint="eastAsia" w:ascii="宋体" w:hAnsi="宋体" w:eastAsia="仿宋_GB2312" w:cs="仿宋_GB2312"/>
          <w:color w:val="000000"/>
          <w:kern w:val="0"/>
          <w:sz w:val="32"/>
          <w:szCs w:val="32"/>
        </w:rPr>
        <w:t xml:space="preserve"> 药品上市许可持有人、药品生产企业、药品经营企业和医疗机构中直接接触药品的工作人员，应当每年进行健康检查。患有传染病或者其他可能污染药品的疾病的，不得从事直接接触药品的工作。</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第五章 药品经营</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第五十一条</w:t>
      </w:r>
      <w:r>
        <w:rPr>
          <w:rFonts w:hint="eastAsia" w:ascii="宋体" w:hAnsi="宋体" w:eastAsia="仿宋_GB2312" w:cs="仿宋_GB2312"/>
          <w:color w:val="000000"/>
          <w:kern w:val="0"/>
          <w:sz w:val="32"/>
          <w:szCs w:val="32"/>
        </w:rPr>
        <w:t xml:space="preserve"> 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不得经营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药品经营许可证应当标明有效期和经营范围，到期重新审查发证。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药品监督管理部门实施药品经营许可，除依据本法第五十二条规定的条件外，还应当遵循方便群众购药的原则。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第五十二条</w:t>
      </w:r>
      <w:r>
        <w:rPr>
          <w:rFonts w:hint="eastAsia" w:ascii="宋体" w:hAnsi="宋体" w:eastAsia="仿宋_GB2312" w:cs="仿宋_GB2312"/>
          <w:color w:val="000000"/>
          <w:kern w:val="0"/>
          <w:sz w:val="32"/>
          <w:szCs w:val="32"/>
        </w:rPr>
        <w:t xml:space="preserve"> 从事药品经营活动应当具备以下条件：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（一）有依法经过资格认定的药师或者其他药学技术人员；</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（二）有与所经营药品相适应的营业场所、设备、仓储设施和卫生环境；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（三）有与所经营药品相适应的质量管理机构或者人员；</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（四）有保证药品质量的规章制度，并符合国务院药品监督管理部门依据本法制定的药品经营质量管理规范要求。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第五十三条</w:t>
      </w:r>
      <w:r>
        <w:rPr>
          <w:rFonts w:hint="eastAsia" w:ascii="宋体" w:hAnsi="宋体" w:eastAsia="仿宋_GB2312" w:cs="仿宋_GB2312"/>
          <w:color w:val="000000"/>
          <w:kern w:val="0"/>
          <w:sz w:val="32"/>
          <w:szCs w:val="32"/>
        </w:rPr>
        <w:t xml:space="preserve"> 从事药品经营活动，应当遵守药品经营质量管理规范，建立健全药品经营质量管理体系，保证药品经营全过程持续符合法定要求。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国家鼓励、引导药品零售连锁经营。从事药品零售连锁经营活动的企业总部，应当建立统一的质量管理制度，对所属零售企业的经营活动履行管理责任。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药品经营企业的法定代表人、主要负责人对本企业的药品经营活动全面负责。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第五十四条</w:t>
      </w:r>
      <w:r>
        <w:rPr>
          <w:rFonts w:hint="eastAsia" w:ascii="宋体" w:hAnsi="宋体" w:eastAsia="仿宋_GB2312" w:cs="仿宋_GB2312"/>
          <w:color w:val="000000"/>
          <w:kern w:val="0"/>
          <w:sz w:val="32"/>
          <w:szCs w:val="32"/>
        </w:rPr>
        <w:t xml:space="preserve"> 国家对药品实行处方药与非处方药分类管理制度。具体办法由国务院药品监督管理部门会同国务院卫生健康主管部门制定。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第五十五条</w:t>
      </w:r>
      <w:r>
        <w:rPr>
          <w:rFonts w:hint="eastAsia" w:ascii="宋体" w:hAnsi="宋体" w:eastAsia="仿宋_GB2312" w:cs="仿宋_GB2312"/>
          <w:color w:val="000000"/>
          <w:kern w:val="0"/>
          <w:sz w:val="32"/>
          <w:szCs w:val="32"/>
        </w:rPr>
        <w:t xml:space="preserve"> 药品上市许可持有人、药品生产企业、药品经营企业和医疗机构应当从药品上市许可持有人或者具有药品生产、经营资格的企业购进药品；但是，购进未实施审批管理的中药材除外。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第五十六条</w:t>
      </w:r>
      <w:r>
        <w:rPr>
          <w:rFonts w:hint="eastAsia" w:ascii="宋体" w:hAnsi="宋体" w:eastAsia="仿宋_GB2312" w:cs="仿宋_GB2312"/>
          <w:color w:val="000000"/>
          <w:kern w:val="0"/>
          <w:sz w:val="32"/>
          <w:szCs w:val="32"/>
        </w:rPr>
        <w:t xml:space="preserve"> 药品经营企业购进药品，应当建立并执行进货检查验收制度，验明药品合格证明和其他标识；不符合规定要求的，不得购进和销售。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第五十七条</w:t>
      </w:r>
      <w:r>
        <w:rPr>
          <w:rFonts w:hint="eastAsia" w:ascii="宋体" w:hAnsi="宋体" w:eastAsia="仿宋_GB2312" w:cs="仿宋_GB2312"/>
          <w:color w:val="000000"/>
          <w:kern w:val="0"/>
          <w:sz w:val="32"/>
          <w:szCs w:val="32"/>
        </w:rPr>
        <w:t xml:space="preserve"> 药品经营企业购销药品，应当有真实、完整的购销记录。购销记录应当注明药品的通用名称、剂型、规格、产品批号、有效期、上市许可持有人、生产企业、购销单位、购销数量、购销价格、购销日期及国务院药品监督管理部门规定的其他内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第五十八条</w:t>
      </w:r>
      <w:r>
        <w:rPr>
          <w:rFonts w:hint="eastAsia" w:ascii="宋体" w:hAnsi="宋体" w:eastAsia="仿宋_GB2312" w:cs="仿宋_GB2312"/>
          <w:color w:val="000000"/>
          <w:kern w:val="0"/>
          <w:sz w:val="32"/>
          <w:szCs w:val="32"/>
        </w:rPr>
        <w:t xml:space="preserve"> 药品经营企业零售药品应当准确无误，并正确说明用法、用量和注意事项；调配处方应当经过核对，对处方所列药品不得擅自更改或者代用。对有配伍禁忌或者超剂量的处方，应当拒绝调配；必要时，经处方医师更正或者重新签字，方可调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药品经营企业销售中药材，应当标明产地。</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依法经过资格认定的药师或者其他药学技术人员负责本企业的药品管理、处方审核和调配、合理用药指导等工作。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第五十九条</w:t>
      </w:r>
      <w:r>
        <w:rPr>
          <w:rFonts w:hint="eastAsia" w:ascii="宋体" w:hAnsi="宋体" w:eastAsia="仿宋_GB2312" w:cs="仿宋_GB2312"/>
          <w:color w:val="000000"/>
          <w:kern w:val="0"/>
          <w:sz w:val="32"/>
          <w:szCs w:val="32"/>
        </w:rPr>
        <w:t xml:space="preserve"> 药品经营企业应当制定和执行药品保管制度，采取必要的冷藏、防冻、防潮、防虫、防鼠等措施，保证药品质量。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药品入库和出库应当执行检查制度。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第六十条</w:t>
      </w:r>
      <w:r>
        <w:rPr>
          <w:rFonts w:hint="eastAsia" w:ascii="宋体" w:hAnsi="宋体" w:eastAsia="仿宋_GB2312" w:cs="仿宋_GB2312"/>
          <w:color w:val="000000"/>
          <w:kern w:val="0"/>
          <w:sz w:val="32"/>
          <w:szCs w:val="32"/>
        </w:rPr>
        <w:t xml:space="preserve"> 城乡集市贸易市场可以出售中药材，国务院另有规定的除外。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第六十一条</w:t>
      </w:r>
      <w:r>
        <w:rPr>
          <w:rFonts w:hint="eastAsia" w:ascii="宋体" w:hAnsi="宋体" w:eastAsia="仿宋_GB2312" w:cs="仿宋_GB2312"/>
          <w:color w:val="000000"/>
          <w:kern w:val="0"/>
          <w:sz w:val="32"/>
          <w:szCs w:val="32"/>
        </w:rPr>
        <w:t xml:space="preserve"> 药品上市许可持有人、药品经营企业通过网络销售药品，应当遵守本法药品经营的有关规定。具体管理办法由国务院药品监督管理部门会同国务院卫生健康主管部门等部门制定。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疫苗、血液制品、麻醉药品、精神药品、医疗用毒性药品、放射性药品、药品类易制毒化学品等国家实行特殊管理的药品不得在网络上销售。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第六十二条</w:t>
      </w:r>
      <w:r>
        <w:rPr>
          <w:rFonts w:hint="eastAsia" w:ascii="宋体" w:hAnsi="宋体" w:eastAsia="仿宋_GB2312" w:cs="仿宋_GB2312"/>
          <w:color w:val="000000"/>
          <w:kern w:val="0"/>
          <w:sz w:val="32"/>
          <w:szCs w:val="32"/>
        </w:rPr>
        <w:t xml:space="preserve"> 药品网络交易第三方平台提供者应当按照国务院药品监督管理部门的规定，向所在地省、自治区、直辖市人民政府药品监督管理部门备案。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第三方平台提供者应当依法对申请进入平台经营的药品上市许可持有人、药品经营企业的资质等进行审核，保证其符合法定要求，并对发生在平台的药品经营行为进行管理。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第三方平台提供者发现进入平台经营的药品上市许可持有人、药品经营企业有违反本法规定行为的，应当及时制止并立即报告所在地县级人民政府药品监督管理部门；发现严重违法行为的，应当立即停止提供网络交易平台服务。</w:t>
      </w:r>
      <w:r>
        <w:rPr>
          <w:rFonts w:hint="eastAsia" w:ascii="宋体" w:hAnsi="宋体" w:eastAsia="黑体" w:cs="仿宋_GB2312"/>
          <w:color w:val="000000"/>
          <w:kern w:val="0"/>
          <w:sz w:val="32"/>
          <w:szCs w:val="32"/>
        </w:rPr>
        <w:br w:type="textWrapping"/>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第六十三条</w:t>
      </w:r>
      <w:r>
        <w:rPr>
          <w:rFonts w:hint="eastAsia" w:ascii="宋体" w:hAnsi="宋体" w:eastAsia="仿宋_GB2312" w:cs="仿宋_GB2312"/>
          <w:color w:val="000000"/>
          <w:kern w:val="0"/>
          <w:sz w:val="32"/>
          <w:szCs w:val="32"/>
        </w:rPr>
        <w:t xml:space="preserve"> 新发现和从境外引种的药材，经国务院药品监督管理部门批准后，方可销售。</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第六十四条</w:t>
      </w:r>
      <w:r>
        <w:rPr>
          <w:rFonts w:hint="eastAsia" w:ascii="宋体" w:hAnsi="宋体" w:eastAsia="仿宋_GB2312" w:cs="仿宋_GB2312"/>
          <w:color w:val="000000"/>
          <w:kern w:val="0"/>
          <w:sz w:val="32"/>
          <w:szCs w:val="32"/>
        </w:rPr>
        <w:t xml:space="preserve"> 药品应当从允许药品进口的口岸进口，并由进口药品的企业向口岸所在地药品监督管理部门备案。海关凭药品监督管理部门出具的进口药品通关单办理通关手续。无进口药品通关单的，海关不得放行。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口岸所在地药品监督管理部门应当通知药品检验机构按照国务院药品监督管理部门的规定对进口药品进行抽查检验。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允许药品进口的口岸由国务院药品监督管理部门会同海关总署提出，报国务院批准。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第六十五条</w:t>
      </w:r>
      <w:r>
        <w:rPr>
          <w:rFonts w:hint="eastAsia" w:ascii="宋体" w:hAnsi="宋体" w:eastAsia="仿宋_GB2312" w:cs="仿宋_GB2312"/>
          <w:color w:val="000000"/>
          <w:kern w:val="0"/>
          <w:sz w:val="32"/>
          <w:szCs w:val="32"/>
        </w:rPr>
        <w:t xml:space="preserve"> 医疗机构因临床急需进口少量药品的，经国务院药品监督管理部门或者国务院授权的省、自治区、直辖市人民政府批准，可以进口。进口的药品应当在指定医疗机构内用于特定医疗目的。</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个人自用携带入境少量药品，按照国家有关规定办理。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第六十六条</w:t>
      </w:r>
      <w:r>
        <w:rPr>
          <w:rFonts w:hint="eastAsia" w:ascii="宋体" w:hAnsi="宋体" w:eastAsia="仿宋_GB2312" w:cs="仿宋_GB2312"/>
          <w:color w:val="000000"/>
          <w:kern w:val="0"/>
          <w:sz w:val="32"/>
          <w:szCs w:val="32"/>
        </w:rPr>
        <w:t xml:space="preserve"> 进口、出口麻醉药品和国家规定范围内的精神药品，应当持有国务院药品监督管理部门颁发的进口准许证、出口准许证。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第六十七条</w:t>
      </w:r>
      <w:r>
        <w:rPr>
          <w:rFonts w:hint="eastAsia" w:ascii="宋体" w:hAnsi="宋体" w:eastAsia="仿宋_GB2312" w:cs="仿宋_GB2312"/>
          <w:color w:val="000000"/>
          <w:kern w:val="0"/>
          <w:sz w:val="32"/>
          <w:szCs w:val="32"/>
        </w:rPr>
        <w:t xml:space="preserve"> 禁止进口疗效不确切、不良反应大或者因其他原因危害人体健康的药品。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第六十八条</w:t>
      </w:r>
      <w:r>
        <w:rPr>
          <w:rFonts w:hint="eastAsia" w:ascii="宋体" w:hAnsi="宋体" w:eastAsia="仿宋_GB2312" w:cs="仿宋_GB2312"/>
          <w:color w:val="000000"/>
          <w:kern w:val="0"/>
          <w:sz w:val="32"/>
          <w:szCs w:val="32"/>
        </w:rPr>
        <w:t xml:space="preserve"> 国务院药品监督管理部门对下列药品在销售前或者进口时，应当指定药品检验机构进行检验；未经检验或者检验不合格的，不得销售或者进口：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（一）首次在中国境内销售的药品；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（二）国务院药品监督管理部门规定的生物制品；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（三）国务院规定的其他药品。</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第六章 医疗机构药事管理</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仿宋_GB2312" w:cs="仿宋_GB2312"/>
          <w:color w:val="000000"/>
          <w:kern w:val="0"/>
          <w:sz w:val="32"/>
          <w:szCs w:val="32"/>
          <w:lang w:val="en-US" w:eastAsia="zh-CN" w:bidi="ar-SA"/>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第六十九条</w:t>
      </w:r>
      <w:r>
        <w:rPr>
          <w:rFonts w:hint="eastAsia" w:ascii="宋体" w:hAnsi="宋体" w:eastAsia="仿宋_GB2312" w:cs="仿宋_GB2312"/>
          <w:color w:val="000000"/>
          <w:kern w:val="0"/>
          <w:sz w:val="32"/>
          <w:szCs w:val="32"/>
        </w:rPr>
        <w:t xml:space="preserve"> 医疗机构应当配备依法经过资格认定的药师或者其他药学技术人员，负责本单位的药品管理、处方审核和调配、合理用药指导等工作。非药学技术人员不得直接从事药剂技术工作。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第七十条</w:t>
      </w:r>
      <w:r>
        <w:rPr>
          <w:rFonts w:hint="eastAsia" w:ascii="宋体" w:hAnsi="宋体" w:eastAsia="仿宋_GB2312" w:cs="仿宋_GB2312"/>
          <w:color w:val="000000"/>
          <w:kern w:val="0"/>
          <w:sz w:val="32"/>
          <w:szCs w:val="32"/>
        </w:rPr>
        <w:t xml:space="preserve"> 医疗机构购进药品，应当建立并执行进货检查验收制度，验明药品合格证明和其他标识；不符合规定要求的，不得购进和使用。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第七十一条</w:t>
      </w:r>
      <w:r>
        <w:rPr>
          <w:rFonts w:hint="eastAsia" w:ascii="宋体" w:hAnsi="宋体" w:eastAsia="仿宋_GB2312" w:cs="仿宋_GB2312"/>
          <w:color w:val="000000"/>
          <w:kern w:val="0"/>
          <w:sz w:val="32"/>
          <w:szCs w:val="32"/>
        </w:rPr>
        <w:t xml:space="preserve"> 医疗机构应当有与所使用药品相适应的场所、设备、仓储设施和卫生环境，制定和执行药品保管制度，采取必要的冷藏、防冻、防潮、防虫、防鼠等措施，保证药品质量。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第七十二条</w:t>
      </w:r>
      <w:r>
        <w:rPr>
          <w:rFonts w:hint="eastAsia" w:ascii="宋体" w:hAnsi="宋体" w:eastAsia="仿宋_GB2312" w:cs="仿宋_GB2312"/>
          <w:color w:val="000000"/>
          <w:kern w:val="0"/>
          <w:sz w:val="32"/>
          <w:szCs w:val="32"/>
        </w:rPr>
        <w:t xml:space="preserve"> 医疗机构应当坚持安全有效、经济合理的用药原则，遵循药品临床应用指导原则、临床诊疗指南和药品说明书等合理用药，对医师处方、用药医嘱的适宜性进行审核。</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医疗机构以外的其他药品使用单位，应当遵守本法有关医疗机构使用药品的规定。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第七十三条</w:t>
      </w:r>
      <w:r>
        <w:rPr>
          <w:rFonts w:hint="eastAsia" w:ascii="宋体" w:hAnsi="宋体" w:eastAsia="仿宋_GB2312" w:cs="仿宋_GB2312"/>
          <w:color w:val="000000"/>
          <w:kern w:val="0"/>
          <w:sz w:val="32"/>
          <w:szCs w:val="32"/>
        </w:rPr>
        <w:t xml:space="preserve"> 依法经过资格认定的药师或者其他药学技术人员调配处方，应当进行核对，对处方所列药品不得擅自更改或者代用。对有配伍禁忌或者超剂量的处方，应当拒绝调配；必要时，经处方医师更正或者重新签字，方可调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第七十四条</w:t>
      </w:r>
      <w:r>
        <w:rPr>
          <w:rFonts w:hint="eastAsia" w:ascii="宋体" w:hAnsi="宋体" w:eastAsia="仿宋_GB2312" w:cs="仿宋_GB2312"/>
          <w:color w:val="000000"/>
          <w:kern w:val="0"/>
          <w:sz w:val="32"/>
          <w:szCs w:val="32"/>
        </w:rPr>
        <w:t xml:space="preserve"> 医疗机构配制制剂，应当经所在地省、自治区、直辖市人民政府药品监督管理部门批准，取得医疗机构制剂许可证。无医疗机构制剂许可证的，不得配制制剂。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医疗机构制剂许可证应当标明有效期，到期重新审查发证。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第七十五条</w:t>
      </w:r>
      <w:r>
        <w:rPr>
          <w:rFonts w:hint="eastAsia" w:ascii="宋体" w:hAnsi="宋体" w:eastAsia="仿宋_GB2312" w:cs="仿宋_GB2312"/>
          <w:color w:val="000000"/>
          <w:kern w:val="0"/>
          <w:sz w:val="32"/>
          <w:szCs w:val="32"/>
        </w:rPr>
        <w:t xml:space="preserve"> 医疗机构配制制剂，应当有能够保证制剂质量的设施、管理制度、检验仪器和卫生环境。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医疗机构配制制剂，应当按照经核准的工艺进行，所需的原料、辅料和包装材料等应当符合药用要求。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第七十六条</w:t>
      </w:r>
      <w:r>
        <w:rPr>
          <w:rFonts w:hint="eastAsia" w:ascii="宋体" w:hAnsi="宋体" w:eastAsia="仿宋_GB2312" w:cs="仿宋_GB2312"/>
          <w:color w:val="000000"/>
          <w:kern w:val="0"/>
          <w:sz w:val="32"/>
          <w:szCs w:val="32"/>
        </w:rPr>
        <w:t xml:space="preserve"> 医疗机构配制的制剂，应当是本单位临床需要而市场上没有供应的品种，并应当经所在地省、自治区、直辖市人民政府药品监督管理部门批准；但是，法律对配制中药制剂另有规定的除外。</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配制的制剂应当按照规定进行质量检验；合格的，凭医师处方在本单位使用。经国务院药品监督管理部门或者省、自治区、直辖市人民政府药品监督管理部门批准，医疗机构配制的制剂可以在指定的医疗机构之间调剂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医疗机构配制的制剂不得在市场上销售。</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第七章 药品上市后管理</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第七十七条</w:t>
      </w:r>
      <w:r>
        <w:rPr>
          <w:rFonts w:hint="eastAsia" w:ascii="宋体" w:hAnsi="宋体" w:eastAsia="仿宋_GB2312" w:cs="仿宋_GB2312"/>
          <w:color w:val="000000"/>
          <w:kern w:val="0"/>
          <w:sz w:val="32"/>
          <w:szCs w:val="32"/>
        </w:rPr>
        <w:t xml:space="preserve"> 药品上市许可持有人应当制定药品上市后风险管理计划，主动开展药品上市后研究，对药品的安全性、有效性和质量可控性进行进一步确证，加强对已上市药品的持续管理。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第七十八条</w:t>
      </w:r>
      <w:r>
        <w:rPr>
          <w:rFonts w:hint="eastAsia" w:ascii="宋体" w:hAnsi="宋体" w:eastAsia="仿宋_GB2312" w:cs="仿宋_GB2312"/>
          <w:color w:val="000000"/>
          <w:kern w:val="0"/>
          <w:sz w:val="32"/>
          <w:szCs w:val="32"/>
        </w:rPr>
        <w:t xml:space="preserve"> 对附条件批准的药品，药品上市许可持有人应当采取相应风险管理措施，并在规定期限内按照要求完成相关研究；逾期未按照要求完成研究或者不能证明其获益大于风险的，国务院药品监督管理部门应当依法处理，直至注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第七十九条</w:t>
      </w:r>
      <w:r>
        <w:rPr>
          <w:rFonts w:hint="eastAsia" w:ascii="宋体" w:hAnsi="宋体" w:eastAsia="仿宋_GB2312" w:cs="仿宋_GB2312"/>
          <w:color w:val="000000"/>
          <w:kern w:val="0"/>
          <w:sz w:val="32"/>
          <w:szCs w:val="32"/>
        </w:rPr>
        <w:t xml:space="preserve"> 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药品上市许可持有人应当按照国务院药品监督管理部门的规定，全面评估、验证变更事项对药品安全性、有效性和质量可控性的影响。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第八十条</w:t>
      </w:r>
      <w:r>
        <w:rPr>
          <w:rFonts w:hint="eastAsia" w:ascii="宋体" w:hAnsi="宋体" w:eastAsia="仿宋_GB2312" w:cs="仿宋_GB2312"/>
          <w:color w:val="000000"/>
          <w:kern w:val="0"/>
          <w:sz w:val="32"/>
          <w:szCs w:val="32"/>
        </w:rPr>
        <w:t xml:space="preserve"> 药品上市许可持有人应当开展药品上市后不良反应监测，主动收集、跟踪分析疑似药品不良反应信息，对已识别风险的药品及时采取风险控制措施。</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第八十一条</w:t>
      </w:r>
      <w:r>
        <w:rPr>
          <w:rFonts w:hint="eastAsia" w:ascii="宋体" w:hAnsi="宋体" w:eastAsia="仿宋_GB2312" w:cs="仿宋_GB2312"/>
          <w:color w:val="000000"/>
          <w:kern w:val="0"/>
          <w:sz w:val="32"/>
          <w:szCs w:val="32"/>
        </w:rPr>
        <w:t xml:space="preserve"> 药品上市许可持有人、药品生产企业、药品经营企业和医疗机构应当经常考察本单位所生产、经营、使用的药品质量、疗效和不良反应。发现疑似不良反应的，应当及时向药品监督管理部门和卫生健康主管部门报告。具体办法由国务院药品监督管理部门会同国务院卫生健康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已确认发生严重不良反应的药品，由国务院药品监督管理部门或者省、自治区、直辖市人民政府药品监督管理部门根据实际情况采取停止生产、销售、使用等紧急控制措施，并应当在五日内组织鉴定，自鉴定结论作出之日起十五日内依法作出行政处理决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第八十二条</w:t>
      </w:r>
      <w:r>
        <w:rPr>
          <w:rFonts w:hint="eastAsia" w:ascii="宋体" w:hAnsi="宋体" w:eastAsia="仿宋_GB2312" w:cs="仿宋_GB2312"/>
          <w:color w:val="000000"/>
          <w:kern w:val="0"/>
          <w:sz w:val="32"/>
          <w:szCs w:val="32"/>
        </w:rPr>
        <w:t xml:space="preserve"> 药品存在质量问题或者其他安全隐患的，药品上市许可持有人应当立即停止销售，告知相关药品经营企业和医疗机构停止销售和使用，召回已销售的药品，及时公开召回信息，必要时应当立即停止生产，并将药品召回和处理情况向省、自治区、直辖市人民政府药品监督管理部门和卫生健康主管部门报告。药品生产企业、药品经营企业和医疗机构应当配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药品上市许可持有人依法应当召回药品而未召回的，省、自治区、直辖市人民政府药品监督管理部门应当责令其召回。</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第八十三条</w:t>
      </w:r>
      <w:r>
        <w:rPr>
          <w:rFonts w:hint="eastAsia" w:ascii="宋体" w:hAnsi="宋体" w:eastAsia="仿宋_GB2312" w:cs="仿宋_GB2312"/>
          <w:color w:val="000000"/>
          <w:kern w:val="0"/>
          <w:sz w:val="32"/>
          <w:szCs w:val="32"/>
        </w:rPr>
        <w:t xml:space="preserve"> 药品上市许可持有人应当对已上市药品的安全性、有效性和质量可控性定期开展上市后评价。必要时，国务院药品监督管理部门可以责令药品上市许可持有人开展上市后评价或者直接组织开展上市后评价。</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经评价，对疗效不确切、不良反应大或者因其他原因危害人体健康的药品，应当注销药品注册证书。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已被注销药品注册证书的药品，不得生产或者进口、销售和使用。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已被注销药品注册证书、超过有效期等的药品，应当由药品监督管理部门监督销毁或者依法采取其他无害化处理等措施。</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第八章 药品价格和广告</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rPr>
        <w:t>第八十四条</w:t>
      </w:r>
      <w:r>
        <w:rPr>
          <w:rFonts w:hint="eastAsia" w:ascii="宋体" w:hAnsi="宋体" w:eastAsia="仿宋_GB2312" w:cs="仿宋_GB2312"/>
          <w:color w:val="000000"/>
          <w:kern w:val="0"/>
          <w:sz w:val="32"/>
          <w:szCs w:val="32"/>
        </w:rPr>
        <w:t xml:space="preserve"> 国家完善药品采购管理制度，对药品价格进行监测，开展成本价格调查，加强药品价格监督检查，依法查处价格垄断、哄抬价格等药品价格违法行为，维护药品价格秩序。</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第八十五条</w:t>
      </w:r>
      <w:r>
        <w:rPr>
          <w:rFonts w:hint="eastAsia" w:ascii="宋体" w:hAnsi="宋体" w:eastAsia="仿宋_GB2312" w:cs="仿宋_GB2312"/>
          <w:color w:val="000000"/>
          <w:kern w:val="0"/>
          <w:sz w:val="32"/>
          <w:szCs w:val="32"/>
        </w:rPr>
        <w:t xml:space="preserve"> 依法实行市场调节价的药品，药品上市许可持有人、药品生产企业、药品经营企业和医疗机构应当按照公平、合理和诚实信用、质价相符的原则制定价格，为用药者提供价格合理的药品。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药品上市许可持有人、药品生产企业、药品经营企业和医疗机构应当遵守国务院药品价格主管部门关于药品价格管理的规定，制定和标明药品零售价格，禁止暴利、价格垄断和价格欺诈等行为。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第八十六条</w:t>
      </w:r>
      <w:r>
        <w:rPr>
          <w:rFonts w:hint="eastAsia" w:ascii="宋体" w:hAnsi="宋体" w:eastAsia="仿宋_GB2312" w:cs="仿宋_GB2312"/>
          <w:color w:val="000000"/>
          <w:kern w:val="0"/>
          <w:sz w:val="32"/>
          <w:szCs w:val="32"/>
        </w:rPr>
        <w:t xml:space="preserve"> 药品上市许可持有人、药品生产企业、药品经营企业和医疗机构应当依法向药品价格主管部门提供其药品的实际购销价格和购销数量等资料。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第八十七条</w:t>
      </w:r>
      <w:r>
        <w:rPr>
          <w:rFonts w:hint="eastAsia" w:ascii="宋体" w:hAnsi="宋体" w:eastAsia="仿宋_GB2312" w:cs="仿宋_GB2312"/>
          <w:color w:val="000000"/>
          <w:kern w:val="0"/>
          <w:sz w:val="32"/>
          <w:szCs w:val="32"/>
        </w:rPr>
        <w:t xml:space="preserve"> 医疗机构应当向患者提供所用药品的价格清单，按照规定如实公布其常用药品的价格，加强合理用药管理。具体办法由国务院卫生健康主管部门制定。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第八十八条</w:t>
      </w:r>
      <w:r>
        <w:rPr>
          <w:rFonts w:hint="eastAsia" w:ascii="宋体" w:hAnsi="宋体" w:eastAsia="仿宋_GB2312" w:cs="仿宋_GB2312"/>
          <w:color w:val="000000"/>
          <w:kern w:val="0"/>
          <w:sz w:val="32"/>
          <w:szCs w:val="32"/>
        </w:rPr>
        <w:t xml:space="preserve"> 禁止药品上市许可持有人、药品生产企业、药品经营企业和医疗机构在药品购销中给予、收受回扣或者其他不正当利益。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禁止药品上市许可持有人、药品生产企业、药品经营企业或者代理人以任何名义给予使用其药品的医疗机构的负责人、药品采购人员、医师、药师等有关人员财物或者其他不正当利益。禁止医疗机构的负责人、药品采购人员、医师、药师等有关人员以任何名义收受药品上市许可持有人、药品生产企业、药品经营企业或者代理人给予的财物或者其他不正当利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第八十九条</w:t>
      </w:r>
      <w:r>
        <w:rPr>
          <w:rFonts w:hint="eastAsia" w:ascii="宋体" w:hAnsi="宋体" w:eastAsia="仿宋_GB2312" w:cs="仿宋_GB2312"/>
          <w:color w:val="000000"/>
          <w:kern w:val="0"/>
          <w:sz w:val="32"/>
          <w:szCs w:val="32"/>
        </w:rPr>
        <w:t xml:space="preserve"> 药品广告应当经广告主所在地省、自治区、直辖市人民政府确定的广告审查机关批准；未经批准的，不得发布。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第九十条</w:t>
      </w:r>
      <w:r>
        <w:rPr>
          <w:rFonts w:hint="eastAsia" w:ascii="宋体" w:hAnsi="宋体" w:eastAsia="仿宋_GB2312" w:cs="仿宋_GB2312"/>
          <w:color w:val="000000"/>
          <w:kern w:val="0"/>
          <w:sz w:val="32"/>
          <w:szCs w:val="32"/>
        </w:rPr>
        <w:t xml:space="preserve"> 药品广告的内容应当真实、合法，以国务院药品监督管理部门核准的药品说明书为准，不得含有虚假的内容。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药品广告不得含有表示功效、安全性的断言或者保证；不得利用国家机关、科研单位、学术机构、行业协会或者专家、学者、医师、药师、患者等的名义或者形象作推荐、证明。</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非药品广告不得有涉及药品的宣传。</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第九十一条</w:t>
      </w:r>
      <w:r>
        <w:rPr>
          <w:rFonts w:hint="eastAsia" w:ascii="宋体" w:hAnsi="宋体" w:eastAsia="仿宋_GB2312" w:cs="仿宋_GB2312"/>
          <w:color w:val="000000"/>
          <w:kern w:val="0"/>
          <w:sz w:val="32"/>
          <w:szCs w:val="32"/>
        </w:rPr>
        <w:t xml:space="preserve"> 药品价格和广告，本法未作规定的，适用《中华人民共和国价格法》、《中华人民共和国反垄断法》、《中华人民共和国反不正当竞争法》、《中华人民共和国广告法》等的规定。</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第九章 药品储备和供应</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lang w:val="en-US" w:eastAsia="zh-CN"/>
        </w:rPr>
        <w:t xml:space="preserve">    </w:t>
      </w:r>
      <w:r>
        <w:rPr>
          <w:rFonts w:hint="eastAsia" w:ascii="宋体" w:hAnsi="宋体" w:eastAsia="黑体" w:cs="仿宋_GB2312"/>
          <w:color w:val="000000"/>
          <w:kern w:val="0"/>
          <w:sz w:val="32"/>
          <w:szCs w:val="32"/>
        </w:rPr>
        <w:t>第九十二条</w:t>
      </w:r>
      <w:r>
        <w:rPr>
          <w:rFonts w:hint="eastAsia" w:ascii="宋体" w:hAnsi="宋体" w:eastAsia="仿宋_GB2312" w:cs="仿宋_GB2312"/>
          <w:color w:val="000000"/>
          <w:kern w:val="0"/>
          <w:sz w:val="32"/>
          <w:szCs w:val="32"/>
        </w:rPr>
        <w:t xml:space="preserve"> 国家实行药品储备制度，建立中央和地方两级药品储备。</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发生重大灾情、疫情或者其他突发事件时，依照《中华人民共和国突发事件应对法》的规定，可以紧急调用药品。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第九十三条</w:t>
      </w:r>
      <w:r>
        <w:rPr>
          <w:rFonts w:hint="eastAsia" w:ascii="宋体" w:hAnsi="宋体" w:eastAsia="仿宋_GB2312" w:cs="仿宋_GB2312"/>
          <w:color w:val="000000"/>
          <w:kern w:val="0"/>
          <w:sz w:val="32"/>
          <w:szCs w:val="32"/>
        </w:rPr>
        <w:t xml:space="preserve"> 国家实行基本药物制度，遴选适当数量的基本药物品种，加强组织生产和储备，提高基本药物的供给能力，满足疾病防治基本用药需求。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第九十四条</w:t>
      </w:r>
      <w:r>
        <w:rPr>
          <w:rFonts w:hint="eastAsia" w:ascii="宋体" w:hAnsi="宋体" w:eastAsia="仿宋_GB2312" w:cs="仿宋_GB2312"/>
          <w:color w:val="000000"/>
          <w:kern w:val="0"/>
          <w:sz w:val="32"/>
          <w:szCs w:val="32"/>
        </w:rPr>
        <w:t xml:space="preserve"> 国家建立药品供求监测体系，及时收集和汇总分析短缺药品供求信息，对短缺药品实行预警，采取应对措施。</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第九十五条</w:t>
      </w:r>
      <w:r>
        <w:rPr>
          <w:rFonts w:hint="eastAsia" w:ascii="宋体" w:hAnsi="宋体" w:eastAsia="仿宋_GB2312" w:cs="仿宋_GB2312"/>
          <w:color w:val="000000"/>
          <w:kern w:val="0"/>
          <w:sz w:val="32"/>
          <w:szCs w:val="32"/>
        </w:rPr>
        <w:t xml:space="preserve"> 国家实行短缺药品清单管理制度。具体办法由国务院卫生健康主管部门会同国务院药品监督管理部门等部门制定。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药品上市许可持有人停止生产短缺药品的，应当按照规定向国务院药品监督管理部门或者省、自治区、直辖市人民政府药品监督管理部门报告。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第九十六条</w:t>
      </w:r>
      <w:r>
        <w:rPr>
          <w:rFonts w:hint="eastAsia" w:ascii="宋体" w:hAnsi="宋体" w:eastAsia="仿宋_GB2312" w:cs="仿宋_GB2312"/>
          <w:color w:val="000000"/>
          <w:kern w:val="0"/>
          <w:sz w:val="32"/>
          <w:szCs w:val="32"/>
        </w:rPr>
        <w:t xml:space="preserve"> 国家鼓励短缺药品的研制和生产，对临床急需的短缺药品、防治重大传染病和罕见病等疾病的新药予以优先审评审批。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第九十七条</w:t>
      </w:r>
      <w:r>
        <w:rPr>
          <w:rFonts w:hint="eastAsia" w:ascii="宋体" w:hAnsi="宋体" w:eastAsia="仿宋_GB2312" w:cs="仿宋_GB2312"/>
          <w:color w:val="000000"/>
          <w:kern w:val="0"/>
          <w:sz w:val="32"/>
          <w:szCs w:val="32"/>
        </w:rPr>
        <w:t xml:space="preserve"> 对短缺药品，国务院可以限制或者禁止出口。必要时，国务院有关部门可以采取组织生产、价格干预和扩大进口等措施，保障药品供应。</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药品上市许可持有人、药品生产企业、药品经营企业应当按照规定保障药品的生产和供应。</w:t>
      </w:r>
    </w:p>
    <w:p>
      <w:pPr>
        <w:pStyle w:val="33"/>
        <w:wordWrap/>
        <w:spacing w:line="560" w:lineRule="exact"/>
        <w:textAlignment w:val="auto"/>
        <w:rPr>
          <w:rFonts w:hint="eastAsia"/>
        </w:rPr>
      </w:pPr>
    </w:p>
    <w:p>
      <w:pPr>
        <w:widowControl/>
        <w:numPr>
          <w:ilvl w:val="0"/>
          <w:numId w:val="4"/>
        </w:numPr>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监督管理</w:t>
      </w:r>
    </w:p>
    <w:p>
      <w:pPr>
        <w:widowControl/>
        <w:numPr>
          <w:ilvl w:val="0"/>
          <w:numId w:val="0"/>
        </w:numPr>
        <w:wordWrap/>
        <w:overflowPunct w:val="0"/>
        <w:adjustRightInd w:val="0"/>
        <w:snapToGrid/>
        <w:spacing w:beforeAutospacing="0" w:after="0" w:afterAutospacing="0" w:line="560" w:lineRule="exact"/>
        <w:ind w:right="0"/>
        <w:jc w:val="both"/>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color w:val="000000"/>
          <w:kern w:val="0"/>
          <w:sz w:val="32"/>
          <w:szCs w:val="32"/>
        </w:rPr>
      </w:pPr>
      <w:r>
        <w:rPr>
          <w:rFonts w:hint="eastAsia" w:ascii="宋体" w:hAnsi="宋体" w:eastAsia="黑体" w:cs="仿宋_GB2312"/>
          <w:color w:val="000000"/>
          <w:kern w:val="0"/>
          <w:sz w:val="32"/>
          <w:szCs w:val="32"/>
          <w:lang w:val="en-US" w:eastAsia="zh-CN"/>
        </w:rPr>
        <w:t xml:space="preserve">    </w:t>
      </w:r>
      <w:r>
        <w:rPr>
          <w:rFonts w:hint="eastAsia" w:ascii="宋体" w:hAnsi="宋体" w:eastAsia="黑体" w:cs="仿宋_GB2312"/>
          <w:color w:val="000000"/>
          <w:kern w:val="0"/>
          <w:sz w:val="32"/>
          <w:szCs w:val="32"/>
        </w:rPr>
        <w:t>第九十八条</w:t>
      </w:r>
      <w:r>
        <w:rPr>
          <w:rFonts w:hint="eastAsia" w:ascii="宋体" w:hAnsi="宋体" w:eastAsia="仿宋_GB2312" w:cs="仿宋_GB2312"/>
          <w:color w:val="000000"/>
          <w:kern w:val="0"/>
          <w:sz w:val="32"/>
          <w:szCs w:val="32"/>
        </w:rPr>
        <w:t xml:space="preserve"> 禁止生产（包括配制，下同）、销售、使用假药、劣药。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有下列情形之一的，为假药：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（一）药品所含成份与国家药品标准规定的成份不符；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（二）以非药品冒充药品或者以他种药品冒充此种药品；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（三）变质的药品；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（四）药品所标明的适应症或者功能主治超出规定范围。</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有下列情形之一的，为劣药：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（一）药品成份的含量不符合国家药品标准；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（二）被污染的药品；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（三）未标明或者更改有效期的药品；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（四）未注明或者更改产品批号的药品；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（五）超过有效期的药品；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（六）擅自添加防腐剂、辅料的药品；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（七）其他不符合药品标准的药品。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禁止未取得药品批准证明文件生产、进口药品；禁止使用未按照规定审评、审批的原料药、包装材料和容器生产药品。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第九十九条</w:t>
      </w:r>
      <w:r>
        <w:rPr>
          <w:rFonts w:hint="eastAsia" w:ascii="宋体" w:hAnsi="宋体" w:eastAsia="仿宋_GB2312" w:cs="仿宋_GB2312"/>
          <w:color w:val="000000"/>
          <w:kern w:val="0"/>
          <w:sz w:val="32"/>
          <w:szCs w:val="32"/>
        </w:rPr>
        <w:t xml:space="preserve"> 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药品监督管理部门应当对高风险的药品实施重点监督检查。</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对有证据证明可能存在安全隐患的，药品监督管理部门根据监督检查情况，应当采取告诫、约谈、限期整改以及暂停生产、销售、使用、进口等措施，并及时公布检查处理结果。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药品监督管理部门进行监督检查时，应当出示证明文件，对监督检查中知悉的商业秘密应当保密。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第一百条</w:t>
      </w:r>
      <w:r>
        <w:rPr>
          <w:rFonts w:hint="eastAsia" w:ascii="宋体" w:hAnsi="宋体" w:eastAsia="仿宋_GB2312" w:cs="仿宋_GB2312"/>
          <w:color w:val="000000"/>
          <w:kern w:val="0"/>
          <w:sz w:val="32"/>
          <w:szCs w:val="32"/>
        </w:rPr>
        <w:t xml:space="preserve"> 药品监督管理部门根据监督管理的需要，可以对药品质量进行抽查检验。抽查检验应当按照规定抽样，并不得收取任何费用；抽样应当购买样品。所需费用按照国务院规定列支。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对有证据证明可能危害人体健康的药品及其有关材料，药品监督管理部门可以查封、扣押，并在七日内作出行政处理决定；药品需要检验的，应当自检验报告书发出之日起十五日内作出行政处理决定。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第一百零一条</w:t>
      </w:r>
      <w:r>
        <w:rPr>
          <w:rFonts w:hint="eastAsia" w:ascii="宋体" w:hAnsi="宋体" w:eastAsia="仿宋_GB2312" w:cs="仿宋_GB2312"/>
          <w:color w:val="000000"/>
          <w:kern w:val="0"/>
          <w:sz w:val="32"/>
          <w:szCs w:val="32"/>
        </w:rPr>
        <w:t xml:space="preserve"> 国务院和省、自治区、直辖市人民政府的药品监督管理部门应当定期公告药品质量抽查检验结果；公告不当的，应当在原公告范围内予以更正。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第一百零二条</w:t>
      </w:r>
      <w:r>
        <w:rPr>
          <w:rFonts w:hint="eastAsia" w:ascii="宋体" w:hAnsi="宋体" w:eastAsia="仿宋_GB2312" w:cs="仿宋_GB2312"/>
          <w:color w:val="000000"/>
          <w:kern w:val="0"/>
          <w:sz w:val="32"/>
          <w:szCs w:val="32"/>
        </w:rPr>
        <w:t xml:space="preserve"> 当事人对药品检验结果有异议的，可以自收到药品检验结果之日起七日内向原药品检验机构或者上一级药品监督管理部门设置或者指定的药品检验机构申请复验，也可以直接向国务院药品监督管理部门设置或者指定的药品检验机构申请复验。受理复验的药品检验机构应当在国务院药品监督管理部门规定的时间内作出复验结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第一百零三条</w:t>
      </w:r>
      <w:r>
        <w:rPr>
          <w:rFonts w:hint="eastAsia" w:ascii="宋体" w:hAnsi="宋体" w:eastAsia="仿宋_GB2312" w:cs="仿宋_GB2312"/>
          <w:color w:val="000000"/>
          <w:kern w:val="0"/>
          <w:sz w:val="32"/>
          <w:szCs w:val="32"/>
        </w:rPr>
        <w:t xml:space="preserve"> 药品监督管理部门应当对药品上市许可持有人、药品生产企业、药品经营企业和药物非临床安全性评价研究机构、药物临床试验机构等遵守药品生产质量管理规范、药品经营质量管理规范、药物非临床研究质量管理规范、药物临床试验质量管理规范等情况进行检查，监督其持续符合法定要求。</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第一百零四条</w:t>
      </w:r>
      <w:r>
        <w:rPr>
          <w:rFonts w:hint="eastAsia" w:ascii="宋体" w:hAnsi="宋体" w:eastAsia="仿宋_GB2312" w:cs="仿宋_GB2312"/>
          <w:color w:val="000000"/>
          <w:kern w:val="0"/>
          <w:sz w:val="32"/>
          <w:szCs w:val="32"/>
        </w:rPr>
        <w:t xml:space="preserve"> 国家建立职业化、专业化药品检查员队伍。检查员应当熟悉药品法律法规，具备药品专业知识。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第一百零五条</w:t>
      </w:r>
      <w:r>
        <w:rPr>
          <w:rFonts w:hint="eastAsia" w:ascii="宋体" w:hAnsi="宋体" w:eastAsia="仿宋_GB2312" w:cs="仿宋_GB2312"/>
          <w:color w:val="000000"/>
          <w:kern w:val="0"/>
          <w:sz w:val="32"/>
          <w:szCs w:val="32"/>
        </w:rPr>
        <w:t xml:space="preserve"> 药品监督管理部门建立药品上市许可持有人、药品生产企业、药品经营企业、药物非临床安全性评价研究机构、药物临床试验机构和医疗机构药品安全信用档案，记录许可颁发、日常监督检查结果、违法行为查处等情况，依法向社会公布并及时更新；对有不良信用记录的，增加监督检查频次，并可以按照国家规定实施联合惩戒。</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第一百零六条</w:t>
      </w:r>
      <w:r>
        <w:rPr>
          <w:rFonts w:hint="eastAsia" w:ascii="宋体" w:hAnsi="宋体" w:eastAsia="仿宋_GB2312" w:cs="仿宋_GB2312"/>
          <w:color w:val="000000"/>
          <w:kern w:val="0"/>
          <w:sz w:val="32"/>
          <w:szCs w:val="32"/>
        </w:rPr>
        <w:t xml:space="preserve"> 药品监督管理部门应当公布本部门的电子邮件地址、电话，接受咨询、投诉、举报，并依法及时答复、核实、处理。对查证属实的举报，按照有关规定给予举报人奖励。</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药品监督管理部门应当对举报人的信息予以保密，保护举报人的合法权益。举报人举报所在单位的，该单位不得以解除、变更劳动合同或者其他方式对举报人进行打击报复。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第一百零七条</w:t>
      </w:r>
      <w:r>
        <w:rPr>
          <w:rFonts w:hint="eastAsia" w:ascii="宋体" w:hAnsi="宋体" w:eastAsia="仿宋_GB2312" w:cs="仿宋_GB2312"/>
          <w:color w:val="000000"/>
          <w:kern w:val="0"/>
          <w:sz w:val="32"/>
          <w:szCs w:val="32"/>
        </w:rPr>
        <w:t xml:space="preserve"> 国家实行药品安全信息统一公布制度。国家药品安全总体情况、药品安全风险警示信息、重大药品安全事件及其调查处理信息和国务院确定需要统一公布的其他信息由国务院药品监督管理部门统一公布。药品安全风险警示信息和重大药品安全事件及其调查处理信息的影响限于特定区域的，也可以由有关省、自治区、直辖市人民政府药品监督管理部门公布。未经授权不得发布上述信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公布药品安全信息，应当及时、准确、全面，并进行必要的说明，避免误导。</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任何单位和个人不得编造、散布虚假药品安全信息。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第一百零八条</w:t>
      </w:r>
      <w:r>
        <w:rPr>
          <w:rFonts w:hint="eastAsia" w:ascii="宋体" w:hAnsi="宋体" w:eastAsia="仿宋_GB2312" w:cs="仿宋_GB2312"/>
          <w:color w:val="000000"/>
          <w:kern w:val="0"/>
          <w:sz w:val="32"/>
          <w:szCs w:val="32"/>
        </w:rPr>
        <w:t xml:space="preserve"> 县级以上人民政府应当制定药品安全事件应急预案。药品上市许可持有人、药品生产企业、药品经营企业和医疗机构等应当制定本单位的药品安全事件处置方案，并组织开展培训和应急演练。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发生药品安全事件，县级以上人民政府应当按照应急预案立即组织开展应对工作；有关单位应当立即采取有效措施进行处置，防止危害扩大。</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第一百零九条</w:t>
      </w:r>
      <w:r>
        <w:rPr>
          <w:rFonts w:hint="eastAsia" w:ascii="宋体" w:hAnsi="宋体" w:eastAsia="仿宋_GB2312" w:cs="仿宋_GB2312"/>
          <w:color w:val="000000"/>
          <w:kern w:val="0"/>
          <w:sz w:val="32"/>
          <w:szCs w:val="32"/>
        </w:rPr>
        <w:t xml:space="preserve"> 药品监督管理部门未及时发现药品安全系统性风险，未及时消除监督管理区域内药品安全隐患的，本级人民政府或者上级人民政府药品监督管理部门应当对其主要负责人进行约谈。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地方人民政府未履行药品安全职责，未及时消除区域性重大药品安全隐患的，上级人民政府或者上级人民政府药品监督管理部门应当对其主要负责人进行约谈。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被约谈的部门和地方人民政府应当立即采取措施，对药品监督管理工作进行整改。</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约谈情况和整改情况应当纳入有关部门和地方人民政府药品监督管理工作评议、考核记录。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第一百一十条</w:t>
      </w:r>
      <w:r>
        <w:rPr>
          <w:rFonts w:hint="eastAsia" w:ascii="宋体" w:hAnsi="宋体" w:eastAsia="仿宋_GB2312" w:cs="仿宋_GB2312"/>
          <w:color w:val="000000"/>
          <w:kern w:val="0"/>
          <w:sz w:val="32"/>
          <w:szCs w:val="32"/>
        </w:rPr>
        <w:t xml:space="preserve"> 地方人民政府及其药品监督管理部门不得以要求实施药品检验、审批等手段限制或者排斥非本地区药品上市许可持有人、药品生产企业生产的药品进入本地区。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第一百一十一条</w:t>
      </w:r>
      <w:r>
        <w:rPr>
          <w:rFonts w:hint="eastAsia" w:ascii="宋体" w:hAnsi="宋体" w:eastAsia="仿宋_GB2312" w:cs="仿宋_GB2312"/>
          <w:color w:val="000000"/>
          <w:kern w:val="0"/>
          <w:sz w:val="32"/>
          <w:szCs w:val="32"/>
        </w:rPr>
        <w:t xml:space="preserve"> 药品监督管理部门及其设置或者指定的药品专业技术机构不得参与药品生产经营活动，不得以其名义推荐或者监制、监销药品。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药品监督管理部门及其设置或者指定的药品专业技术机构的工作人员不得参与药品生产经营活动。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第一百一十二条</w:t>
      </w:r>
      <w:r>
        <w:rPr>
          <w:rFonts w:hint="eastAsia" w:ascii="宋体" w:hAnsi="宋体" w:eastAsia="仿宋_GB2312" w:cs="仿宋_GB2312"/>
          <w:color w:val="000000"/>
          <w:kern w:val="0"/>
          <w:sz w:val="32"/>
          <w:szCs w:val="32"/>
        </w:rPr>
        <w:t xml:space="preserve"> 国务院对麻醉药品、精神药品、医疗用毒性药品、放射性药品、药品类易制毒化学品等有其他特殊管理规定的，依照其规定。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第一百一十三条</w:t>
      </w:r>
      <w:r>
        <w:rPr>
          <w:rFonts w:hint="eastAsia" w:ascii="宋体" w:hAnsi="宋体" w:eastAsia="仿宋_GB2312" w:cs="仿宋_GB2312"/>
          <w:color w:val="000000"/>
          <w:kern w:val="0"/>
          <w:sz w:val="32"/>
          <w:szCs w:val="32"/>
        </w:rPr>
        <w:t xml:space="preserve"> 药品监督管理部门发现药品违法行为涉嫌犯罪的，应当及时将案件移送公安机关。</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对依法不需要追究刑事责任或者免予刑事处罚，但应当追究行政责任的，公安机关、人民检察院、人民法院应当及时将案件移送药品监督管理部门。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公安机关、人民检察院、人民法院商请药品监督管理部门、生态环境主管部门等部门提供检验结论、认定意见以及对涉案药品进行无害化处理等协助的，有关部门应当及时提供，予以协助。</w:t>
      </w:r>
    </w:p>
    <w:p>
      <w:pPr>
        <w:pStyle w:val="33"/>
        <w:wordWrap/>
        <w:spacing w:line="560" w:lineRule="exact"/>
        <w:textAlignment w:val="auto"/>
        <w:rPr>
          <w:rFonts w:hint="eastAsia"/>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第十一章 法律责任</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jc w:val="both"/>
        <w:textAlignment w:val="auto"/>
        <w:rPr>
          <w:rFonts w:hint="eastAsia" w:ascii="宋体" w:hAnsi="宋体" w:eastAsia="仿宋_GB2312" w:cs="仿宋_GB2312"/>
          <w:kern w:val="0"/>
          <w:sz w:val="32"/>
          <w:szCs w:val="32"/>
        </w:rPr>
      </w:pP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第一百一十四条</w:t>
      </w:r>
      <w:r>
        <w:rPr>
          <w:rFonts w:hint="eastAsia" w:ascii="宋体" w:hAnsi="宋体" w:eastAsia="仿宋_GB2312" w:cs="仿宋_GB2312"/>
          <w:color w:val="000000"/>
          <w:kern w:val="0"/>
          <w:sz w:val="32"/>
          <w:szCs w:val="32"/>
        </w:rPr>
        <w:t xml:space="preserve"> 违反本法规定，构成犯罪的，依法追究刑事责任。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第一百一十五条</w:t>
      </w:r>
      <w:r>
        <w:rPr>
          <w:rFonts w:hint="eastAsia" w:ascii="宋体" w:hAnsi="宋体" w:eastAsia="仿宋_GB2312" w:cs="仿宋_GB2312"/>
          <w:color w:val="000000"/>
          <w:kern w:val="0"/>
          <w:sz w:val="32"/>
          <w:szCs w:val="32"/>
        </w:rPr>
        <w:t xml:space="preserve">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第一百一十六条</w:t>
      </w:r>
      <w:r>
        <w:rPr>
          <w:rFonts w:hint="eastAsia" w:ascii="宋体" w:hAnsi="宋体" w:eastAsia="仿宋_GB2312" w:cs="仿宋_GB2312"/>
          <w:color w:val="000000"/>
          <w:kern w:val="0"/>
          <w:sz w:val="32"/>
          <w:szCs w:val="32"/>
        </w:rPr>
        <w:t xml:space="preserve"> 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第一百一十七条</w:t>
      </w:r>
      <w:r>
        <w:rPr>
          <w:rFonts w:hint="eastAsia" w:ascii="宋体" w:hAnsi="宋体" w:eastAsia="仿宋_GB2312" w:cs="仿宋_GB2312"/>
          <w:color w:val="000000"/>
          <w:kern w:val="0"/>
          <w:sz w:val="32"/>
          <w:szCs w:val="32"/>
        </w:rPr>
        <w:t xml:space="preserve">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生产、销售的中药饮片不符合药品标准，尚不影响安全性、有效性的，责令限期改正，给予警告；可以处十万元以上五十万元以下的罚款。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第一百一十八条</w:t>
      </w:r>
      <w:r>
        <w:rPr>
          <w:rFonts w:hint="eastAsia" w:ascii="宋体" w:hAnsi="宋体" w:eastAsia="仿宋_GB2312" w:cs="仿宋_GB2312"/>
          <w:color w:val="000000"/>
          <w:kern w:val="0"/>
          <w:sz w:val="32"/>
          <w:szCs w:val="32"/>
        </w:rPr>
        <w:t xml:space="preserve"> 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对生产者专门用于生产假药、劣药的原料、辅料、包装材料、生产设备予以没收。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第一百一十九条</w:t>
      </w:r>
      <w:r>
        <w:rPr>
          <w:rFonts w:hint="eastAsia" w:ascii="宋体" w:hAnsi="宋体" w:eastAsia="仿宋_GB2312" w:cs="仿宋_GB2312"/>
          <w:color w:val="000000"/>
          <w:kern w:val="0"/>
          <w:sz w:val="32"/>
          <w:szCs w:val="32"/>
        </w:rPr>
        <w:t xml:space="preserve"> 药品使用单位使用假药、劣药的，按照销售假药、零售劣药的规定处罚；情节严重的，法定代表人、主要负责人、直接负责的主管人员和其他责任人员有医疗卫生人员执业证书的，还应当吊销执业证书。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第一百二十条</w:t>
      </w:r>
      <w:r>
        <w:rPr>
          <w:rFonts w:hint="eastAsia" w:ascii="宋体" w:hAnsi="宋体" w:eastAsia="仿宋_GB2312" w:cs="仿宋_GB2312"/>
          <w:color w:val="000000"/>
          <w:kern w:val="0"/>
          <w:sz w:val="32"/>
          <w:szCs w:val="32"/>
        </w:rPr>
        <w:t xml:space="preserve"> 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第一百二十一条</w:t>
      </w:r>
      <w:r>
        <w:rPr>
          <w:rFonts w:hint="eastAsia" w:ascii="宋体" w:hAnsi="宋体" w:eastAsia="仿宋_GB2312" w:cs="仿宋_GB2312"/>
          <w:color w:val="000000"/>
          <w:kern w:val="0"/>
          <w:sz w:val="32"/>
          <w:szCs w:val="32"/>
        </w:rPr>
        <w:t xml:space="preserve"> 对假药、劣药的处罚决定，应当依法载明药品检验机构的质量检验结论。</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第一百二十二条</w:t>
      </w:r>
      <w:r>
        <w:rPr>
          <w:rFonts w:hint="eastAsia" w:ascii="宋体" w:hAnsi="宋体" w:eastAsia="仿宋_GB2312" w:cs="仿宋_GB2312"/>
          <w:color w:val="000000"/>
          <w:kern w:val="0"/>
          <w:sz w:val="32"/>
          <w:szCs w:val="32"/>
        </w:rPr>
        <w:t xml:space="preserve">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第一百二十三条</w:t>
      </w:r>
      <w:r>
        <w:rPr>
          <w:rFonts w:hint="eastAsia" w:ascii="宋体" w:hAnsi="宋体" w:eastAsia="仿宋_GB2312" w:cs="仿宋_GB2312"/>
          <w:color w:val="000000"/>
          <w:kern w:val="0"/>
          <w:sz w:val="32"/>
          <w:szCs w:val="32"/>
        </w:rPr>
        <w:t xml:space="preserve">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第一百二十四条</w:t>
      </w:r>
      <w:r>
        <w:rPr>
          <w:rFonts w:hint="eastAsia" w:ascii="宋体" w:hAnsi="宋体" w:eastAsia="仿宋_GB2312" w:cs="仿宋_GB2312"/>
          <w:color w:val="000000"/>
          <w:kern w:val="0"/>
          <w:sz w:val="32"/>
          <w:szCs w:val="32"/>
        </w:rPr>
        <w:t xml:space="preserve">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（一）未取得药品批准证明文件生产、进口药品；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（二）使用采取欺骗手段取得的药品批准证明文件生产、进口药品；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（三）使用未经审评审批的原料药生产药品；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（四）应当检验而未经检验即销售药品；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（五）生产、销售国务院药品监督管理部门禁止使用的药品；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（六）编造生产、检验记录；</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（七）未经批准在药品生产过程中进行重大变更。</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未经批准进口少量境外已合法上市的药品，情节较轻的，可以依法减轻或者免予处罚。</w:t>
      </w:r>
      <w:r>
        <w:rPr>
          <w:rFonts w:hint="eastAsia" w:ascii="宋体" w:hAnsi="宋体" w:eastAsia="仿宋_GB2312" w:cs="仿宋_GB2312"/>
          <w:color w:val="000000"/>
          <w:kern w:val="0"/>
          <w:sz w:val="32"/>
          <w:szCs w:val="32"/>
        </w:rPr>
        <w:br w:type="textWrapping"/>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第一百二十五条</w:t>
      </w:r>
      <w:r>
        <w:rPr>
          <w:rFonts w:hint="eastAsia" w:ascii="宋体" w:hAnsi="宋体" w:eastAsia="仿宋_GB2312" w:cs="仿宋_GB2312"/>
          <w:color w:val="000000"/>
          <w:kern w:val="0"/>
          <w:sz w:val="32"/>
          <w:szCs w:val="32"/>
        </w:rPr>
        <w:t xml:space="preserve">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（一）未经批准开展药物临床试验；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（二）使用未经审评的直接接触药品的包装材料或者容器生产药品，或者销售该类药品；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（三）使用未经核准的标签、说明书。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第一百二十六条</w:t>
      </w:r>
      <w:r>
        <w:rPr>
          <w:rFonts w:hint="eastAsia" w:ascii="宋体" w:hAnsi="宋体" w:eastAsia="仿宋_GB2312" w:cs="仿宋_GB2312"/>
          <w:color w:val="000000"/>
          <w:kern w:val="0"/>
          <w:sz w:val="32"/>
          <w:szCs w:val="32"/>
        </w:rPr>
        <w:t xml:space="preserve"> 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第一百二十七条</w:t>
      </w:r>
      <w:r>
        <w:rPr>
          <w:rFonts w:hint="eastAsia" w:ascii="宋体" w:hAnsi="宋体" w:eastAsia="仿宋_GB2312" w:cs="仿宋_GB2312"/>
          <w:color w:val="000000"/>
          <w:kern w:val="0"/>
          <w:sz w:val="32"/>
          <w:szCs w:val="32"/>
        </w:rPr>
        <w:t xml:space="preserve"> 违反本法规定，有下列行为之一的，责令限期改正，给予警告；逾期不改正的，处十万元以上五十万元以下的罚款：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（一）开展生物等效性试验未备案；</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（二）药物临床试验期间，发现存在安全性问题或者其他风险，临床试验申办者未及时调整临床试验方案、暂停或者终止临床试验，或者未向国务院药品监督管理部门报告；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（三）未按照规定建立并实施药品追溯制度；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（四）未按照规定提交年度报告；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（五）未按照规定对药品生产过程中的变更进行备案或者报告；</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（六）未制定药品上市后风险管理计划；</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（七）未按照规定开展药品上市后研究或者上市后评价。</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第一百二十八条</w:t>
      </w:r>
      <w:r>
        <w:rPr>
          <w:rFonts w:hint="eastAsia" w:ascii="宋体" w:hAnsi="宋体" w:eastAsia="仿宋_GB2312" w:cs="仿宋_GB2312"/>
          <w:color w:val="000000"/>
          <w:kern w:val="0"/>
          <w:sz w:val="32"/>
          <w:szCs w:val="32"/>
        </w:rPr>
        <w:t xml:space="preserve"> 除依法应当按照假药、劣药处罚的外，药品包装未按照规定印有、贴有标签或者附有说明书，标签、说明书未按照规定注明相关信息或者印有规定标志的，责令改正，给予警告；情节严重的，吊销药品注册证书。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第一百二十九条</w:t>
      </w:r>
      <w:r>
        <w:rPr>
          <w:rFonts w:hint="eastAsia" w:ascii="宋体" w:hAnsi="宋体" w:eastAsia="仿宋_GB2312" w:cs="仿宋_GB2312"/>
          <w:color w:val="000000"/>
          <w:kern w:val="0"/>
          <w:sz w:val="32"/>
          <w:szCs w:val="32"/>
        </w:rPr>
        <w:t xml:space="preserve"> 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第一百三十条</w:t>
      </w:r>
      <w:r>
        <w:rPr>
          <w:rFonts w:hint="eastAsia" w:ascii="宋体" w:hAnsi="宋体" w:eastAsia="仿宋_GB2312" w:cs="仿宋_GB2312"/>
          <w:color w:val="000000"/>
          <w:kern w:val="0"/>
          <w:sz w:val="32"/>
          <w:szCs w:val="32"/>
        </w:rPr>
        <w:t xml:space="preserve"> 违反本法规定，药品经营企业购销药品未按照规定进行记录，零售药品未正确说明用法、用量等事项，或者未按照规定调配处方的，责令改正，给予警告；情节严重的，吊销药品经营许可证。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第一百三十一条</w:t>
      </w:r>
      <w:r>
        <w:rPr>
          <w:rFonts w:hint="eastAsia" w:ascii="宋体" w:hAnsi="宋体" w:eastAsia="仿宋_GB2312" w:cs="仿宋_GB2312"/>
          <w:color w:val="000000"/>
          <w:kern w:val="0"/>
          <w:sz w:val="32"/>
          <w:szCs w:val="32"/>
        </w:rPr>
        <w:t xml:space="preserve"> 违反本法规定，药品网络交易第三方平台提供者未履行资质审核、报告、停止提供网络交易平台服务等义务的，责令改正，没收违法所得，并处二十万元以上二百万元以下的罚款；情节严重的，责令停业整顿，并处二百万元以上五百万元以下的罚款。</w:t>
      </w:r>
      <w:r>
        <w:rPr>
          <w:rFonts w:hint="eastAsia" w:ascii="宋体" w:hAnsi="宋体" w:eastAsia="仿宋_GB2312" w:cs="仿宋_GB2312"/>
          <w:color w:val="000000"/>
          <w:kern w:val="0"/>
          <w:sz w:val="32"/>
          <w:szCs w:val="32"/>
        </w:rPr>
        <w:br w:type="textWrapping"/>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第一百三十二条</w:t>
      </w:r>
      <w:r>
        <w:rPr>
          <w:rFonts w:hint="eastAsia" w:ascii="宋体" w:hAnsi="宋体" w:eastAsia="仿宋_GB2312" w:cs="仿宋_GB2312"/>
          <w:color w:val="000000"/>
          <w:kern w:val="0"/>
          <w:sz w:val="32"/>
          <w:szCs w:val="32"/>
        </w:rPr>
        <w:t xml:space="preserve"> 进口已获得药品注册证书的药品，未按照规定向允许药品进口的口岸所在地药品监督管理部门备案的，责令限期改正，给予警告；逾期不改正的，吊销药品注册证书。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第一百三十三条</w:t>
      </w:r>
      <w:r>
        <w:rPr>
          <w:rFonts w:hint="eastAsia" w:ascii="宋体" w:hAnsi="宋体" w:eastAsia="仿宋_GB2312" w:cs="仿宋_GB2312"/>
          <w:color w:val="000000"/>
          <w:kern w:val="0"/>
          <w:sz w:val="32"/>
          <w:szCs w:val="32"/>
        </w:rPr>
        <w:t xml:space="preserve"> 违反本法规定，医疗机构将其配制的制剂在市场上销售的，责令改正，没收违法销售的制剂和违法所得，并处违法销售制剂货值金额二倍以上五倍以下的罚款；情节严重的，并处货值金额五倍以上十五倍以下的罚款；货值金额不足五万元的，按五万元计算。</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第一百三十四条</w:t>
      </w:r>
      <w:r>
        <w:rPr>
          <w:rFonts w:hint="eastAsia" w:ascii="宋体" w:hAnsi="宋体" w:eastAsia="仿宋_GB2312" w:cs="仿宋_GB2312"/>
          <w:color w:val="000000"/>
          <w:kern w:val="0"/>
          <w:sz w:val="32"/>
          <w:szCs w:val="32"/>
        </w:rPr>
        <w:t xml:space="preserve"> 药品上市许可持有人未按照规定开展药品不良反应监测或者报告疑似药品不良反应的，责令限期改正，给予警告；逾期不改正的，责令停产停业整顿，并处十万元以上一百万元以下的罚款。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药品经营企业未按照规定报告疑似药品不良反应的，责令限期改正，给予警告；逾期不改正的，责令停产停业整顿，并处五万元以上五十万元以下的罚款。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医疗机构未按照规定报告疑似药品不良反应的，责令限期改正，给予警告；逾期不改正的，处五万元以上五十万元以下的罚款。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第一百三十五条</w:t>
      </w:r>
      <w:r>
        <w:rPr>
          <w:rFonts w:hint="eastAsia" w:ascii="宋体" w:hAnsi="宋体" w:eastAsia="仿宋_GB2312" w:cs="仿宋_GB2312"/>
          <w:color w:val="000000"/>
          <w:kern w:val="0"/>
          <w:sz w:val="32"/>
          <w:szCs w:val="32"/>
        </w:rPr>
        <w:t xml:space="preserve"> 药品上市许可持有人在省、自治区、直辖市人民政府药品监督管理部门责令其召回后，拒不召回的，处应召回药品货值金额五倍以上十倍以下的罚款；货值金额不足十万元的，按十万元计算；情节严重的，吊销药品批准证明文件、药品生产许可证、药品经营许可证，对法定代表人、主要负责人、直接负责的主管人员和其他责任人员，处二万元以上二十万元以下的罚款。药品生产企业、药品经营企业、医疗机构拒不配合召回的，处十万元以上五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第一百三十六条</w:t>
      </w:r>
      <w:r>
        <w:rPr>
          <w:rFonts w:hint="eastAsia" w:ascii="宋体" w:hAnsi="宋体" w:eastAsia="仿宋_GB2312" w:cs="仿宋_GB2312"/>
          <w:color w:val="000000"/>
          <w:kern w:val="0"/>
          <w:sz w:val="32"/>
          <w:szCs w:val="32"/>
        </w:rPr>
        <w:t xml:space="preserve"> 药品上市许可持有人为境外企业的，其指定的在中国境内的企业法人未依照本法规定履行相关义务的，适用本法有关药品上市许可持有人法律责任的规定。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第一百三十七条</w:t>
      </w:r>
      <w:r>
        <w:rPr>
          <w:rFonts w:hint="eastAsia" w:ascii="宋体" w:hAnsi="宋体" w:eastAsia="仿宋_GB2312" w:cs="仿宋_GB2312"/>
          <w:color w:val="000000"/>
          <w:kern w:val="0"/>
          <w:sz w:val="32"/>
          <w:szCs w:val="32"/>
        </w:rPr>
        <w:t xml:space="preserve"> 有下列行为之一的，在本法规定的处罚幅度内从重处罚：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（一）以麻醉药品、精神药品、医疗用毒性药品、放射性药品、药品类易制毒化学品冒充其他药品，或者以其他药品冒充上述药品；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（二）生产、销售以孕产妇、儿童为主要使用对象的假药、劣药；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（三）生产、销售的生物制品属于假药、劣药；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（四）生产、销售假药、劣药，造成人身伤害后果；</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（五）生产、销售假药、劣药，经处理后再犯；</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（六）拒绝、逃避监督检查，伪造、销毁、隐匿有关证据材料，或者擅自动用查封、扣押物品。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第一百三十八条</w:t>
      </w:r>
      <w:r>
        <w:rPr>
          <w:rFonts w:hint="eastAsia" w:ascii="宋体" w:hAnsi="宋体" w:eastAsia="仿宋_GB2312" w:cs="仿宋_GB2312"/>
          <w:color w:val="000000"/>
          <w:kern w:val="0"/>
          <w:sz w:val="32"/>
          <w:szCs w:val="32"/>
        </w:rPr>
        <w:t xml:space="preserve"> 药品检验机构出具虚假检验报告的，责令改正，给予警告，对单位并处二十万元以上一百万元以下的罚款；对直接负责的主管人员和其他直接责任人员依法给予降级、撤职、开除处分，没收违法所得，并处五万元以下的罚款；情节严重的，撤销其检验资格。药品检验机构出具的检验结果不实，造成损失的，应当承担相应的赔偿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第一百三十九条</w:t>
      </w:r>
      <w:r>
        <w:rPr>
          <w:rFonts w:hint="eastAsia" w:ascii="宋体" w:hAnsi="宋体" w:eastAsia="仿宋_GB2312" w:cs="仿宋_GB2312"/>
          <w:color w:val="000000"/>
          <w:kern w:val="0"/>
          <w:sz w:val="32"/>
          <w:szCs w:val="32"/>
        </w:rPr>
        <w:t xml:space="preserve"> 本法第一百一十五条至第一百三十八条规定的行政处罚，由县级以上人民政府药品监督管理部门按照职责分工决定；撤销许可、吊销许可证件的，由原批准、发证的部门决定。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第一百四十条</w:t>
      </w:r>
      <w:r>
        <w:rPr>
          <w:rFonts w:hint="eastAsia" w:ascii="宋体" w:hAnsi="宋体" w:eastAsia="仿宋_GB2312" w:cs="仿宋_GB2312"/>
          <w:color w:val="000000"/>
          <w:kern w:val="0"/>
          <w:sz w:val="32"/>
          <w:szCs w:val="32"/>
        </w:rPr>
        <w:t xml:space="preserve"> 药品上市许可持有人、药品生产企业、药品经营企业或者医疗机构违反本法规定聘用人员的，由药品监督管理部门或者卫生健康主管部门责令解聘，处五万元以上二十万元以下的罚款。</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第一百四十一条</w:t>
      </w:r>
      <w:r>
        <w:rPr>
          <w:rFonts w:hint="eastAsia" w:ascii="宋体" w:hAnsi="宋体" w:eastAsia="仿宋_GB2312" w:cs="仿宋_GB2312"/>
          <w:color w:val="000000"/>
          <w:kern w:val="0"/>
          <w:sz w:val="32"/>
          <w:szCs w:val="32"/>
        </w:rPr>
        <w:t xml:space="preserve"> 药品上市许可持有人、药品生产企业、药品经营企业或者医疗机构在药品购销中给予、收受回扣或者其他不正当利益的，药品上市许可持有人、药品生产企业、药品经营企业或者代理人给予使用其药品的医疗机构的负责人、药品采购人员、医师、药师等有关人员财物或者其他不正当利益的，由市场监督管理部门没收违法所得，并处三十万元以上三百万元以下的罚款；情节严重的，吊销药品上市许可持有人、药品生产企业、药品经营企业营业执照，并由药品监督管理部门吊销药品批准证明文件、药品生产许可证、药品经营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药品上市许可持有人、药品生产企业、药品经营企业在药品研制、生产、经营中向国家工作人员行贿的，对法定代表人、主要负责人、直接负责的主管人员和其他责任人员终身禁止从事药品生产经营活动。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第一百四十二条</w:t>
      </w:r>
      <w:r>
        <w:rPr>
          <w:rFonts w:hint="eastAsia" w:ascii="宋体" w:hAnsi="宋体" w:eastAsia="仿宋_GB2312" w:cs="仿宋_GB2312"/>
          <w:color w:val="000000"/>
          <w:kern w:val="0"/>
          <w:sz w:val="32"/>
          <w:szCs w:val="32"/>
        </w:rPr>
        <w:t xml:space="preserve"> 药品上市许可持有人、药品生产企业、药品经营企业的负责人、采购人员等有关人员在药品购销中收受其他药品上市许可持有人、药品生产企业、药品经营企业或者代理人给予的财物或者其他不正当利益的，没收违法所得，依法给予处罚；情节严重的，五年内禁止从事药品生产经营活动。</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医疗机构的负责人、药品采购人员、医师、药师等有关人员收受药品上市许可持有人、药品生产企业、药品经营企业或者代理人给予的财物或者其他不正当利益的，由卫生健康主管部门或者本单位给予处分，没收违法所得；情节严重的，还应当吊销其执业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第一百四十三条</w:t>
      </w:r>
      <w:r>
        <w:rPr>
          <w:rFonts w:hint="eastAsia" w:ascii="宋体" w:hAnsi="宋体" w:eastAsia="仿宋_GB2312" w:cs="仿宋_GB2312"/>
          <w:color w:val="000000"/>
          <w:kern w:val="0"/>
          <w:sz w:val="32"/>
          <w:szCs w:val="32"/>
        </w:rPr>
        <w:t xml:space="preserve"> 违反本法规定，编造、散布虚假药品安全信息，构成违反治安管理行为的，由公安机关依法给予治安管理处罚。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第一百四十四条</w:t>
      </w:r>
      <w:r>
        <w:rPr>
          <w:rFonts w:hint="eastAsia" w:ascii="宋体" w:hAnsi="宋体" w:eastAsia="仿宋_GB2312" w:cs="仿宋_GB2312"/>
          <w:color w:val="000000"/>
          <w:kern w:val="0"/>
          <w:sz w:val="32"/>
          <w:szCs w:val="32"/>
        </w:rPr>
        <w:t xml:space="preserve"> 药品上市许可持有人、药品生产企业、药品经营企业或者医疗机构违反本法规定，给用药者造成损害的，依法承担赔偿责任。</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因药品质量问题受到损害的，受害人可以向药品上市许可持有人、药品生产企业请求赔偿损失，也可以向药品经营企业、医疗机构请求赔偿损失。接到受害人赔偿请求的，应当实行首负责任制，先行赔付；先行赔付后，可以依法追偿。</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生产假药、劣药或者明知是假药、劣药仍然销售、使用的，受害人或者其近亲属除请求赔偿损失外，还可以请求支付价款十倍或者损失三倍的赔偿金；增加赔偿的金额不足一千元的，为一千元。</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第一百四十五条</w:t>
      </w:r>
      <w:r>
        <w:rPr>
          <w:rFonts w:hint="eastAsia" w:ascii="宋体" w:hAnsi="宋体" w:eastAsia="仿宋_GB2312" w:cs="仿宋_GB2312"/>
          <w:color w:val="000000"/>
          <w:kern w:val="0"/>
          <w:sz w:val="32"/>
          <w:szCs w:val="32"/>
        </w:rPr>
        <w:t xml:space="preserve"> 药品监督管理部门或者其设置、指定的药品专业技术机构参与药品生产经营活动的，由其上级主管机关责令改正，没收违法收入；情节严重的，对直接负责的主管人员和其他直接责任人员依法给予处分。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药品监督管理部门或者其设置、指定的药品专业技术机构的工作人员参与药品生产经营活动的，依法给予处分。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第一百四十六条</w:t>
      </w:r>
      <w:r>
        <w:rPr>
          <w:rFonts w:hint="eastAsia" w:ascii="宋体" w:hAnsi="宋体" w:eastAsia="仿宋_GB2312" w:cs="仿宋_GB2312"/>
          <w:color w:val="000000"/>
          <w:kern w:val="0"/>
          <w:sz w:val="32"/>
          <w:szCs w:val="32"/>
        </w:rPr>
        <w:t xml:space="preserve"> 药品监督管理部门或者其设置、指定的药品检验机构在药品监督检验中违法收取检验费用的，由政府有关部门责令退还，对直接负责的主管人员和其他直接责任人员依法给予处分；情节严重的，撤销其检验资格。</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第一百四十七条</w:t>
      </w:r>
      <w:r>
        <w:rPr>
          <w:rFonts w:hint="eastAsia" w:ascii="宋体" w:hAnsi="宋体" w:eastAsia="仿宋_GB2312" w:cs="仿宋_GB2312"/>
          <w:color w:val="000000"/>
          <w:kern w:val="0"/>
          <w:sz w:val="32"/>
          <w:szCs w:val="32"/>
        </w:rPr>
        <w:t xml:space="preserve"> 违反本法规定，药品监督管理部门有下列行为之一的，应当撤销相关许可，对直接负责的主管人员和其他直接责任人员依法给予处分：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（一）不符合条件而批准进行药物临床试验；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（二）对不符合条件的药品颁发药品注册证书；</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（三）对不符合条件的单位颁发药品生产许可证、药品经营许可证或者医疗机构制剂许可证。</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第一百四十八条</w:t>
      </w:r>
      <w:r>
        <w:rPr>
          <w:rFonts w:hint="eastAsia" w:ascii="宋体" w:hAnsi="宋体" w:eastAsia="仿宋_GB2312" w:cs="仿宋_GB2312"/>
          <w:color w:val="000000"/>
          <w:kern w:val="0"/>
          <w:sz w:val="32"/>
          <w:szCs w:val="32"/>
        </w:rPr>
        <w:t xml:space="preserve"> 违反本法规定，县级以上地方人民政府有下列行为之一的，对直接负责的主管人员和其他直接责任人员给予记过或者记大过处分；情节严重的，给予降级、撤职或者开除处分：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（一）瞒报、谎报、缓报、漏报药品安全事件；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（二）未及时消除区域性重大药品安全隐患，造成本行政区域内发生特别重大药品安全事件，或者连续发生重大药品安全事件；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（三）履行职责不力，造成严重不良影响或者重大损失。</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第一百四十九条</w:t>
      </w:r>
      <w:r>
        <w:rPr>
          <w:rFonts w:hint="eastAsia" w:ascii="宋体" w:hAnsi="宋体" w:eastAsia="仿宋_GB2312" w:cs="仿宋_GB2312"/>
          <w:color w:val="000000"/>
          <w:kern w:val="0"/>
          <w:sz w:val="32"/>
          <w:szCs w:val="32"/>
        </w:rPr>
        <w:t xml:space="preserve"> 违反本法规定，药品监督管理等部门有下列行为之一的，对直接负责的主管人员和其他直接责任人员给予记过或者记大过处分；情节较重的，给予降级或者撤职处分；情节严重的，给予开除处分：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（一）瞒报、谎报、缓报、漏报药品安全事件；</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（二）对发现的药品安全违法行为未及时查处；</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（三）未及时发现药品安全系统性风险，或者未及时消除监督管理区域内药品安全隐患，造成严重影响；</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（四）其他不履行药品监督管理职责，造成严重不良影响或者重大损失。</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第一百五十条</w:t>
      </w:r>
      <w:r>
        <w:rPr>
          <w:rFonts w:hint="eastAsia" w:ascii="宋体" w:hAnsi="宋体" w:eastAsia="仿宋_GB2312" w:cs="仿宋_GB2312"/>
          <w:color w:val="000000"/>
          <w:kern w:val="0"/>
          <w:sz w:val="32"/>
          <w:szCs w:val="32"/>
        </w:rPr>
        <w:t xml:space="preserve"> 药品监督管理人员滥用职权、徇私舞弊、玩忽职守的，依法给予处分。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仿宋_GB2312" w:cs="仿宋_GB2312"/>
          <w:color w:val="000000"/>
          <w:kern w:val="0"/>
          <w:sz w:val="32"/>
          <w:szCs w:val="32"/>
        </w:rPr>
        <w:t>查处假药、劣药违法行为有失职、渎职行为的，对药品监督管理部门直接负责的主管人员和其他直接责任人员依法从重给予处分。</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第一百五十一条</w:t>
      </w:r>
      <w:r>
        <w:rPr>
          <w:rFonts w:hint="eastAsia" w:ascii="宋体" w:hAnsi="宋体" w:eastAsia="仿宋_GB2312" w:cs="仿宋_GB2312"/>
          <w:color w:val="000000"/>
          <w:kern w:val="0"/>
          <w:sz w:val="32"/>
          <w:szCs w:val="32"/>
        </w:rPr>
        <w:t xml:space="preserve"> 本章规定的货值金额以违法生产、销售药品的标价计算；没有标价的，按照同类药品的市场价格计算。</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r>
        <w:rPr>
          <w:rFonts w:hint="eastAsia" w:ascii="宋体" w:hAnsi="宋体" w:eastAsia="黑体" w:cs="仿宋_GB2312"/>
          <w:color w:val="000000"/>
          <w:kern w:val="0"/>
          <w:sz w:val="32"/>
          <w:szCs w:val="32"/>
        </w:rPr>
        <w:t>第十二章 附</w:t>
      </w:r>
      <w:r>
        <w:rPr>
          <w:rFonts w:hint="eastAsia" w:ascii="宋体" w:hAnsi="宋体" w:eastAsia="黑体" w:cs="仿宋_GB2312"/>
          <w:color w:val="000000"/>
          <w:kern w:val="0"/>
          <w:sz w:val="32"/>
          <w:szCs w:val="32"/>
          <w:lang w:eastAsia="zh-CN"/>
        </w:rPr>
        <w:t xml:space="preserve">  </w:t>
      </w:r>
      <w:r>
        <w:rPr>
          <w:rFonts w:hint="eastAsia" w:ascii="宋体" w:hAnsi="宋体" w:eastAsia="黑体" w:cs="仿宋_GB2312"/>
          <w:color w:val="000000"/>
          <w:kern w:val="0"/>
          <w:sz w:val="32"/>
          <w:szCs w:val="32"/>
        </w:rPr>
        <w:t>则</w:t>
      </w:r>
    </w:p>
    <w:p>
      <w:pPr>
        <w:widowControl/>
        <w:wordWrap/>
        <w:overflowPunct w:val="0"/>
        <w:adjustRightInd w:val="0"/>
        <w:snapToGrid/>
        <w:spacing w:beforeAutospacing="0" w:after="0" w:afterAutospacing="0" w:line="560" w:lineRule="exact"/>
        <w:ind w:left="0" w:leftChars="0" w:right="0"/>
        <w:jc w:val="center"/>
        <w:textAlignment w:val="auto"/>
        <w:rPr>
          <w:rFonts w:hint="eastAsia" w:ascii="宋体" w:hAnsi="宋体" w:eastAsia="黑体" w:cs="仿宋_GB2312"/>
          <w:color w:val="000000"/>
          <w:kern w:val="0"/>
          <w:sz w:val="32"/>
          <w:szCs w:val="32"/>
        </w:rPr>
      </w:pPr>
    </w:p>
    <w:p>
      <w:pPr>
        <w:widowControl/>
        <w:wordWrap/>
        <w:overflowPunct w:val="0"/>
        <w:adjustRightInd w:val="0"/>
        <w:snapToGrid/>
        <w:spacing w:after="0" w:line="560" w:lineRule="exact"/>
        <w:ind w:left="0" w:leftChars="0" w:right="0" w:firstLine="640" w:firstLineChars="200"/>
        <w:jc w:val="both"/>
        <w:textAlignment w:val="auto"/>
        <w:outlineLvl w:val="9"/>
        <w:rPr>
          <w:rFonts w:ascii="宋体" w:hAnsi="宋体"/>
        </w:rPr>
      </w:pPr>
      <w:r>
        <w:rPr>
          <w:rFonts w:hint="eastAsia" w:ascii="宋体" w:hAnsi="宋体" w:eastAsia="黑体" w:cs="仿宋_GB2312"/>
          <w:color w:val="000000"/>
          <w:kern w:val="0"/>
          <w:sz w:val="32"/>
          <w:szCs w:val="32"/>
        </w:rPr>
        <w:t>第一百五十二条</w:t>
      </w:r>
      <w:r>
        <w:rPr>
          <w:rFonts w:hint="eastAsia" w:ascii="宋体" w:hAnsi="宋体" w:eastAsia="仿宋_GB2312" w:cs="仿宋_GB2312"/>
          <w:color w:val="000000"/>
          <w:kern w:val="0"/>
          <w:sz w:val="32"/>
          <w:szCs w:val="32"/>
        </w:rPr>
        <w:t xml:space="preserve"> 中药材种植、采集和饲养的管理，依照有关法律、法规的规定执行。</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第一百五十三条</w:t>
      </w:r>
      <w:r>
        <w:rPr>
          <w:rFonts w:hint="eastAsia" w:ascii="宋体" w:hAnsi="宋体" w:eastAsia="仿宋_GB2312" w:cs="仿宋_GB2312"/>
          <w:color w:val="000000"/>
          <w:kern w:val="0"/>
          <w:sz w:val="32"/>
          <w:szCs w:val="32"/>
        </w:rPr>
        <w:t xml:space="preserve"> 地区性民间习用药材的管理办法，由国务院药品监督管理部门会同国务院中医药主管部门制定。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第一百五十四条</w:t>
      </w:r>
      <w:r>
        <w:rPr>
          <w:rFonts w:hint="eastAsia" w:ascii="宋体" w:hAnsi="宋体" w:eastAsia="仿宋_GB2312" w:cs="仿宋_GB2312"/>
          <w:color w:val="000000"/>
          <w:kern w:val="0"/>
          <w:sz w:val="32"/>
          <w:szCs w:val="32"/>
        </w:rPr>
        <w:t xml:space="preserve"> 中国人民解放军和中国人民武装警察部队执行本法的具体办法，由国务院、中央军事委员会依据本法制定。</w:t>
      </w:r>
      <w:r>
        <w:rPr>
          <w:rFonts w:hint="eastAsia" w:ascii="宋体" w:hAnsi="宋体" w:eastAsia="仿宋_GB2312" w:cs="仿宋_GB2312"/>
          <w:color w:val="000000"/>
          <w:kern w:val="0"/>
          <w:sz w:val="32"/>
          <w:szCs w:val="32"/>
        </w:rPr>
        <w:br w:type="textWrapping"/>
      </w:r>
      <w:r>
        <w:rPr>
          <w:rFonts w:hint="eastAsia" w:ascii="宋体" w:hAnsi="宋体" w:eastAsia="仿宋_GB2312" w:cs="仿宋_GB2312"/>
          <w:color w:val="000000"/>
          <w:kern w:val="0"/>
          <w:sz w:val="32"/>
          <w:szCs w:val="32"/>
          <w:lang w:eastAsia="zh-CN"/>
        </w:rPr>
        <w:t xml:space="preserve">    </w:t>
      </w:r>
      <w:r>
        <w:rPr>
          <w:rFonts w:hint="eastAsia" w:ascii="宋体" w:hAnsi="宋体" w:eastAsia="黑体" w:cs="仿宋_GB2312"/>
          <w:color w:val="000000"/>
          <w:kern w:val="0"/>
          <w:sz w:val="32"/>
          <w:szCs w:val="32"/>
        </w:rPr>
        <w:t>第一百五十五条</w:t>
      </w:r>
      <w:r>
        <w:rPr>
          <w:rFonts w:hint="eastAsia" w:ascii="宋体" w:hAnsi="宋体" w:eastAsia="仿宋_GB2312" w:cs="仿宋_GB2312"/>
          <w:color w:val="000000"/>
          <w:kern w:val="0"/>
          <w:sz w:val="32"/>
          <w:szCs w:val="32"/>
        </w:rPr>
        <w:t xml:space="preserve"> 本法自2019年12月1日起施行。</w:t>
      </w:r>
    </w:p>
    <w:p>
      <w:pPr>
        <w:widowControl/>
        <w:wordWrap/>
        <w:overflowPunct w:val="0"/>
        <w:adjustRightInd w:val="0"/>
        <w:snapToGrid/>
        <w:spacing w:after="0" w:line="560" w:lineRule="exact"/>
        <w:ind w:left="0" w:leftChars="0" w:right="0" w:firstLine="640" w:firstLineChars="200"/>
        <w:jc w:val="both"/>
        <w:textAlignment w:val="auto"/>
        <w:outlineLvl w:val="9"/>
        <w:rPr>
          <w:rFonts w:ascii="宋体" w:hAnsi="宋体"/>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69" w:name="_Toc20970"/>
      <w:r>
        <w:rPr>
          <w:rFonts w:hint="eastAsia" w:ascii="宋体" w:hAnsi="宋体" w:eastAsia="宋体" w:cs="宋体"/>
          <w:kern w:val="0"/>
          <w:sz w:val="44"/>
          <w:szCs w:val="44"/>
          <w:lang w:val="en-US" w:eastAsia="zh-CN"/>
        </w:rPr>
        <w:t>中华人民共和国疫苗管理法</w:t>
      </w:r>
      <w:bookmarkEnd w:id="169"/>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楷体_GB2312"/>
          <w:kern w:val="0"/>
          <w:szCs w:val="32"/>
          <w:lang w:val="en-US" w:eastAsia="zh-CN"/>
        </w:rPr>
      </w:pPr>
    </w:p>
    <w:p>
      <w:pPr>
        <w:widowControl w:val="0"/>
        <w:wordWrap/>
        <w:overflowPunct w:val="0"/>
        <w:spacing w:beforeAutospacing="0" w:afterAutospacing="0" w:line="560" w:lineRule="exact"/>
        <w:ind w:left="640" w:leftChars="200" w:right="640" w:rightChars="200" w:firstLine="640" w:firstLineChars="200"/>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（2019年6月29日第十三届全国人民代表大会常务委员会第十一次会议通过）</w:t>
      </w:r>
    </w:p>
    <w:p>
      <w:pPr>
        <w:widowControl w:val="0"/>
        <w:wordWrap/>
        <w:overflowPunct w:val="0"/>
        <w:spacing w:beforeAutospacing="0" w:afterAutospacing="0" w:line="560" w:lineRule="exact"/>
        <w:textAlignment w:val="auto"/>
        <w:rPr>
          <w:rFonts w:hint="eastAsia" w:ascii="宋体" w:hAnsi="宋体" w:cs="Arial"/>
          <w:kern w:val="0"/>
          <w:szCs w:val="32"/>
          <w:lang w:val="en-US" w:eastAsia="zh-CN"/>
        </w:rPr>
      </w:pPr>
    </w:p>
    <w:p>
      <w:pPr>
        <w:widowControl w:val="0"/>
        <w:wordWrap/>
        <w:overflowPunct w:val="0"/>
        <w:spacing w:beforeAutospacing="0" w:afterAutospacing="0" w:line="560" w:lineRule="exact"/>
        <w:jc w:val="center"/>
        <w:textAlignment w:val="auto"/>
        <w:rPr>
          <w:rFonts w:hint="eastAsia" w:ascii="宋体" w:hAnsi="宋体" w:cs="Arial"/>
          <w:kern w:val="0"/>
          <w:szCs w:val="32"/>
        </w:rPr>
      </w:pPr>
      <w:r>
        <w:rPr>
          <w:rFonts w:hint="eastAsia" w:ascii="宋体" w:hAnsi="宋体" w:cs="Arial"/>
          <w:kern w:val="0"/>
          <w:szCs w:val="32"/>
        </w:rPr>
        <w:t xml:space="preserve">目 </w:t>
      </w:r>
      <w:r>
        <w:rPr>
          <w:rFonts w:hint="eastAsia" w:ascii="宋体" w:hAnsi="宋体" w:cs="Arial"/>
          <w:kern w:val="0"/>
          <w:szCs w:val="32"/>
          <w:lang w:val="en-US" w:eastAsia="zh-CN"/>
        </w:rPr>
        <w:t xml:space="preserve"> </w:t>
      </w:r>
      <w:r>
        <w:rPr>
          <w:rFonts w:hint="eastAsia" w:ascii="宋体" w:hAnsi="宋体" w:cs="Arial"/>
          <w:kern w:val="0"/>
          <w:szCs w:val="32"/>
        </w:rPr>
        <w:t>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第一章　总则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第二章　疫苗研制和注册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第三章　疫苗生产和批签发</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第四章　疫苗流通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第五章　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第六章　异常反应监测和处理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第七章　疫苗上市后管理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第八章　保障措施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第九章　监督管理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第十章　法律责任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第十一章　附则</w:t>
      </w:r>
    </w:p>
    <w:p>
      <w:pPr>
        <w:widowControl w:val="0"/>
        <w:wordWrap/>
        <w:overflowPunct w:val="0"/>
        <w:spacing w:beforeAutospacing="0" w:afterAutospacing="0" w:line="560" w:lineRule="exact"/>
        <w:textAlignment w:val="auto"/>
        <w:rPr>
          <w:rFonts w:hint="eastAsia" w:ascii="宋体" w:hAnsi="宋体" w:cs="Arial"/>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第一章　总则</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第一条</w:t>
      </w:r>
      <w:r>
        <w:rPr>
          <w:rFonts w:hint="eastAsia" w:ascii="宋体" w:hAnsi="宋体" w:cs="Arial"/>
          <w:kern w:val="0"/>
          <w:szCs w:val="32"/>
        </w:rPr>
        <w:t>　为了加强疫苗管理，保证疫苗质量和供应，规范预防接种，促进疫苗行业发展，保障公众健康，维护公共卫生安全，制定本法。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第二条</w:t>
      </w:r>
      <w:r>
        <w:rPr>
          <w:rFonts w:hint="eastAsia" w:ascii="宋体" w:hAnsi="宋体" w:cs="Arial"/>
          <w:kern w:val="0"/>
          <w:szCs w:val="32"/>
        </w:rPr>
        <w:t>　在中华人民共和国境内从事疫苗研制、生产、流通和预防接种及其监督管理活动，适用本法。本法未作规定的，适用《中华人民共和国药品管理法》、《中华人民共和国传染病防治法》等法律、行政法规的规定。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本法所称疫苗，是指为预防、控制疾病的发生、流行，用于人体免疫接种的预防性生物制品，包括免疫规划疫苗和非免疫规划疫苗。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第三条</w:t>
      </w:r>
      <w:r>
        <w:rPr>
          <w:rFonts w:hint="eastAsia" w:ascii="宋体" w:hAnsi="宋体" w:cs="Arial"/>
          <w:kern w:val="0"/>
          <w:szCs w:val="32"/>
        </w:rPr>
        <w:t>　国家对疫苗实行最严格的管理制度，坚持安全第一、风险管理、全程管控、科学监管、社会共治。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第四条</w:t>
      </w:r>
      <w:r>
        <w:rPr>
          <w:rFonts w:hint="eastAsia" w:ascii="宋体" w:hAnsi="宋体" w:cs="Arial"/>
          <w:kern w:val="0"/>
          <w:szCs w:val="32"/>
        </w:rPr>
        <w:t>　国家坚持疫苗产品的战略性和公益性。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国家支持疫苗基础研究和应用研究，促进疫苗研制和创新，将预防、控制重大疾病的疫苗研制、生产和储备纳入国家战略。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国家制定疫苗行业发展规划和产业政策，支持疫苗产业发展和结构优化，鼓励疫苗生产规模化、集约化，不断提升疫苗生产工艺和质量水平。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第五条</w:t>
      </w:r>
      <w:r>
        <w:rPr>
          <w:rFonts w:hint="eastAsia" w:ascii="宋体" w:hAnsi="宋体" w:cs="Arial"/>
          <w:kern w:val="0"/>
          <w:szCs w:val="32"/>
        </w:rPr>
        <w:t>　疫苗上市许可持有人应当加强疫苗全生命周期质量管理，对疫苗的安全性、有效性和质量可控性负责。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从事疫苗研制、生产、流通和预防接种活动的单位和个人，应当遵守法律、法规、规章、标准和规范，保证全过程信息真实、准确、完整和可追溯，依法承担责任，接受社会监督。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第六条</w:t>
      </w:r>
      <w:r>
        <w:rPr>
          <w:rFonts w:hint="eastAsia" w:ascii="宋体" w:hAnsi="宋体" w:cs="Arial"/>
          <w:kern w:val="0"/>
          <w:szCs w:val="32"/>
        </w:rPr>
        <w:t>　国家实行免疫规划制度。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居住在中国境内的居民，依法享有接种免疫规划疫苗的权利，履行接种免疫规划疫苗的义务。政府免费向居民提供免疫规划疫苗。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县级以上人民政府及其有关部门应当保障适龄儿童接种免疫规划疫苗。监护人应当依法保证适龄儿童按时接种免疫规划疫苗。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第七条</w:t>
      </w:r>
      <w:r>
        <w:rPr>
          <w:rFonts w:hint="eastAsia" w:ascii="宋体" w:hAnsi="宋体" w:cs="Arial"/>
          <w:kern w:val="0"/>
          <w:szCs w:val="32"/>
        </w:rPr>
        <w:t>　县级以上人民政府应当将疫苗安全工作和预防接种工作纳入本级国民经济和社会发展规划，加强疫苗监督管理能力建设，建立健全疫苗监督管理工作机制。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县级以上地方人民政府对本行政区域疫苗监督管理工作负责，统一领导、组织、协调本行政区域疫苗监督管理工作。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第八条</w:t>
      </w:r>
      <w:r>
        <w:rPr>
          <w:rFonts w:hint="eastAsia" w:ascii="宋体" w:hAnsi="宋体" w:cs="Arial"/>
          <w:kern w:val="0"/>
          <w:szCs w:val="32"/>
        </w:rPr>
        <w:t>　国务院药品监督管理部门负责全国疫苗监督管理工作。国务院卫生健康主管部门负责全国预防接种监督管理工作。国务院其他有关部门在各自职责范围内负责与疫苗有关的监督管理工作。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药品监督管理部门负责本行政区域疫苗监督管理工作。设区的市级、县级人民政府承担药品监督管理职责的部门(以下称药品监督管理部门)负责本行政区域疫苗监督管理工作。县级以上地方人民政府卫生健康主管部门负责本行政区域预防接种监督管理工作。县级以上地方人民政府其他有关部门在各自职责范围内负责与疫苗有关的监督管理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第九条</w:t>
      </w:r>
      <w:r>
        <w:rPr>
          <w:rFonts w:hint="eastAsia" w:ascii="宋体" w:hAnsi="宋体" w:cs="Arial"/>
          <w:kern w:val="0"/>
          <w:szCs w:val="32"/>
        </w:rPr>
        <w:t>　国务院和省、自治区、直辖市人民政府建立部门协调机制，统筹协调疫苗监督管理有关工作，定期分析疫苗安全形势，加强疫苗监督管理，保障疫苗供应。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第十条</w:t>
      </w:r>
      <w:r>
        <w:rPr>
          <w:rFonts w:hint="eastAsia" w:ascii="宋体" w:hAnsi="宋体" w:cs="Arial"/>
          <w:kern w:val="0"/>
          <w:szCs w:val="32"/>
        </w:rPr>
        <w:t>　国家实行疫苗全程电子追溯制度。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国务院药品监督管理部门会同国务院卫生健康主管部门制定统一的疫苗追溯标准和规范，建立全国疫苗电子追溯协同平台，整合疫苗生产、流通和预防接种全过程追溯信息，实现疫苗可追溯。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疫苗上市许可持有人应当建立疫苗电子追溯系统，与全国疫苗电子追溯协同平台相衔接，实现生产、流通和预防接种全过程最小包装单位疫苗可追溯、可核查。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疾病预防控制机构、接种单位应当依法如实记录疫苗流通、预防接种等情况，并按照规定向全国疫苗电子追溯协同平台提供追溯信息。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第十一条</w:t>
      </w:r>
      <w:r>
        <w:rPr>
          <w:rFonts w:hint="eastAsia" w:ascii="宋体" w:hAnsi="宋体" w:cs="Arial"/>
          <w:kern w:val="0"/>
          <w:szCs w:val="32"/>
        </w:rPr>
        <w:t>　疫苗研制、生产、检验等过程中应当建立健全生物安全管理制度，严格控制生物安全风险，加强菌毒株等病原微生物的生物安全管理，保护操作人员和公众的健康，保证菌毒株等病原微生物用途合法、正当。</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疫苗研制、生产、检验等使用的菌毒株和细胞株，应当明确历史、生物学特征、代次，建立详细档案，保证来源合法、清晰、可追溯;来源不明的，不得使用。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第十二条</w:t>
      </w:r>
      <w:r>
        <w:rPr>
          <w:rFonts w:hint="eastAsia" w:ascii="宋体" w:hAnsi="宋体" w:cs="Arial"/>
          <w:kern w:val="0"/>
          <w:szCs w:val="32"/>
        </w:rPr>
        <w:t>　各级人民政府及其有关部门、疾病预防控制机构、接种单位、疫苗上市许可持有人和疫苗行业协会等应当通过全国儿童预防接种日等活动定期开展疫苗安全法律、法规以及预防接种知识等的宣传教育、普及工作。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新闻媒体应当开展疫苗安全法律、法规以及预防接种知识等的公益宣传，并对疫苗违法行为进行舆论监督。有关疫苗的宣传报道应当全面、科学、客观、公正。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第十三条</w:t>
      </w:r>
      <w:r>
        <w:rPr>
          <w:rFonts w:hint="eastAsia" w:ascii="宋体" w:hAnsi="宋体" w:cs="Arial"/>
          <w:kern w:val="0"/>
          <w:szCs w:val="32"/>
        </w:rPr>
        <w:t>　疫苗行业协会应当加强行业自律，建立健全行业规范，推动行业诚信体系建设，引导和督促会员依法开展生产经营等活动。</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rPr>
        <w:t>第二章　疫苗研制和注册</w:t>
      </w:r>
      <w:r>
        <w:rPr>
          <w:rFonts w:hint="eastAsia" w:ascii="黑体" w:hAnsi="黑体" w:eastAsia="黑体" w:cs="黑体"/>
          <w:kern w:val="0"/>
          <w:szCs w:val="32"/>
          <w:lang w:val="en-US" w:eastAsia="zh-CN"/>
        </w:rPr>
        <w:t xml:space="preserve"> </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第十四条</w:t>
      </w:r>
      <w:r>
        <w:rPr>
          <w:rFonts w:hint="eastAsia" w:ascii="宋体" w:hAnsi="宋体" w:cs="Arial"/>
          <w:kern w:val="0"/>
          <w:szCs w:val="32"/>
        </w:rPr>
        <w:t>　国家根据疾病流行情况、人群免疫状况等因素，制定相关研制规划，安排必要资金，支持多联多价等新型疫苗的研制。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国家组织疫苗上市许可持有人、科研单位、医疗卫生机构联合攻关，研制疾病预防、控制急需的疫苗。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第十五条</w:t>
      </w:r>
      <w:r>
        <w:rPr>
          <w:rFonts w:hint="eastAsia" w:ascii="宋体" w:hAnsi="宋体" w:cs="Arial"/>
          <w:kern w:val="0"/>
          <w:szCs w:val="32"/>
        </w:rPr>
        <w:t>　国家鼓励疫苗上市许可持有人加大研制和创新资金投入，优化生产工艺，提升质量控制水平，推动疫苗技术进步。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第十六条</w:t>
      </w:r>
      <w:r>
        <w:rPr>
          <w:rFonts w:hint="eastAsia" w:ascii="宋体" w:hAnsi="宋体" w:cs="Arial"/>
          <w:kern w:val="0"/>
          <w:szCs w:val="32"/>
        </w:rPr>
        <w:t>　开展疫苗临床试验，应当经国务院药品监督管理部门依法批准。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疫苗临床试验应当由符合国务院药品监督管理部门和国务院卫生健康主管部门规定条件的三级医疗机构或者省级以上疾病预防控制机构实施或者组织实施。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国家鼓励符合条件的医疗机构、疾病预防控制机构等依法开展疫苗临床试验。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第十七条</w:t>
      </w:r>
      <w:r>
        <w:rPr>
          <w:rFonts w:hint="eastAsia" w:ascii="宋体" w:hAnsi="宋体" w:cs="Arial"/>
          <w:kern w:val="0"/>
          <w:szCs w:val="32"/>
        </w:rPr>
        <w:t>　疫苗临床试验申办者应当制定临床试验方案，建立临床试验安全监测与评价制度，审慎选择受试者，合理设置受试者群体和年龄组，并根据风险程度采取有效措施，保护受试者合法权益。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第十八条</w:t>
      </w:r>
      <w:r>
        <w:rPr>
          <w:rFonts w:hint="eastAsia" w:ascii="宋体" w:hAnsi="宋体" w:cs="Arial"/>
          <w:kern w:val="0"/>
          <w:szCs w:val="32"/>
        </w:rPr>
        <w:t>　开展疫苗临床试验，应当取得受试者的书面知情同意;受试者为无民事行为能力人的，应当取得其监护人的书面知情同意;受试者为限制民事行为能力人的，应当取得本人及其监护人的书面知情同意。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第十九条</w:t>
      </w:r>
      <w:r>
        <w:rPr>
          <w:rFonts w:hint="eastAsia" w:ascii="宋体" w:hAnsi="宋体" w:cs="Arial"/>
          <w:kern w:val="0"/>
          <w:szCs w:val="32"/>
        </w:rPr>
        <w:t>　在中国境内上市的疫苗应当经国务院药品监督管理部门批准，取得药品注册证书;申请疫苗注册，应当提供真实、充分、可靠的数据、资料和样品。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对疾病预防、控制急需的疫苗和创新疫苗，国务院药品监督管理部门应当予以优先审评审批。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第二十条　</w:t>
      </w:r>
      <w:r>
        <w:rPr>
          <w:rFonts w:hint="eastAsia" w:ascii="宋体" w:hAnsi="宋体" w:cs="Arial"/>
          <w:kern w:val="0"/>
          <w:szCs w:val="32"/>
        </w:rPr>
        <w:t>应对重大突发公共卫生事件急需的疫苗或者国务院卫生健康主管部门认定急需的其他疫苗，经评估获益大于风险的，国务院药品监督管理部门可以附条件批准疫苗注册申请。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出现特别重大突发公共卫生事件或者其他严重威胁公众健康的紧急事件，国务院卫生健康主管部门根据传染病预防、控制需要提出紧急使用疫苗的建议，经国务院药品监督管理部门组织论证同意后可以在一定范围和期限内紧急使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第二十一条</w:t>
      </w:r>
      <w:r>
        <w:rPr>
          <w:rFonts w:hint="eastAsia" w:ascii="宋体" w:hAnsi="宋体" w:cs="Arial"/>
          <w:kern w:val="0"/>
          <w:szCs w:val="32"/>
        </w:rPr>
        <w:t>　国务院药品监督管理部门在批准疫苗注册申请时，对疫苗的生产工艺、质量控制标准和说明书、标签予以核准。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国务院药品监督管理部门应当在其网站上及时公布疫苗说明书、标签内容。</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第三章　疫苗生产和批签发</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 xml:space="preserve"> </w:t>
      </w:r>
    </w:p>
    <w:p>
      <w:pPr>
        <w:widowControl w:val="0"/>
        <w:wordWrap/>
        <w:overflowPunct w:val="0"/>
        <w:spacing w:beforeAutospacing="0" w:afterAutospacing="0" w:line="560" w:lineRule="exact"/>
        <w:jc w:val="center"/>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第二十二条</w:t>
      </w:r>
      <w:r>
        <w:rPr>
          <w:rFonts w:hint="eastAsia" w:ascii="宋体" w:hAnsi="宋体" w:cs="Arial"/>
          <w:kern w:val="0"/>
          <w:szCs w:val="32"/>
        </w:rPr>
        <w:t>　国家对疫苗生产实行严格准入制度。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从事疫苗生产活动，应当经省级以上人民政府药品监督管理部门批准，取得药品生产许可证。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从事疫苗生产活动，除符合《中华人民共和国药品管理法》规定的从事药品生产活动的条件外，还应当具备下列条件：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(一)具备适度规模和足够的产能储备;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(二)具有保证生物安全的制度和设施、设备;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(三)符合疾病预防、控制需要。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疫苗上市许可持有人应当具备疫苗生产能力;超出疫苗生产能力确需委托生产的，应当经国务院药品监督管理部门批准。接受委托生产的，应当遵守本法规定和国家有关规定，保证疫苗质量。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第二十三条</w:t>
      </w:r>
      <w:r>
        <w:rPr>
          <w:rFonts w:hint="eastAsia" w:ascii="宋体" w:hAnsi="宋体" w:cs="Arial"/>
          <w:kern w:val="0"/>
          <w:szCs w:val="32"/>
        </w:rPr>
        <w:t>　疫苗上市许可持有人的法定代表人、主要负责人应当具有良好的信用记录，生产管理负责人、质量管理负责人、质量受权人等关键岗位人员应当具有相关专业背景和从业经历。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疫苗上市许可持有人应当加强对前款规定人员的培训和考核，及时将其任职和变更情况向省、自治区、直辖市人民政府药品监督管理部门报告。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第二十四条</w:t>
      </w:r>
      <w:r>
        <w:rPr>
          <w:rFonts w:hint="eastAsia" w:ascii="宋体" w:hAnsi="宋体" w:cs="Arial"/>
          <w:kern w:val="0"/>
          <w:szCs w:val="32"/>
        </w:rPr>
        <w:t>　疫苗应当按照经核准的生产工艺和质量控制标准进行生产和检验，生产全过程应当符合药品生产质量管理规范的要求。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疫苗上市许可持有人应当按照规定对疫苗生产全过程和疫苗质量进行审核、检验。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第二十五条</w:t>
      </w:r>
      <w:r>
        <w:rPr>
          <w:rFonts w:hint="eastAsia" w:ascii="宋体" w:hAnsi="宋体" w:cs="Arial"/>
          <w:kern w:val="0"/>
          <w:szCs w:val="32"/>
        </w:rPr>
        <w:t>　疫苗上市许可持有人应当建立完整的生产质量管理体系，持续加强偏差管理，采用信息化手段如实记录生产、检验过程中形成的所有数据，确保生产全过程持续符合法定要求。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第二十六条</w:t>
      </w:r>
      <w:r>
        <w:rPr>
          <w:rFonts w:hint="eastAsia" w:ascii="宋体" w:hAnsi="宋体" w:cs="Arial"/>
          <w:kern w:val="0"/>
          <w:szCs w:val="32"/>
        </w:rPr>
        <w:t>　国家实行疫苗批签发制度。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每批疫苗销售前或者进口时，应当经国务院药品监督管理部门指定的批签发机构按照相关技术要求进行审核、检验。符合要求的，发给批签发证明;不符合要求的，发给不予批签发通知书。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不予批签发的疫苗不得销售，并应当由省、自治区、直辖市人民政府药品监督管理部门监督销毁;不予批签发的进口疫苗应当由口岸所在地药品监督管理部门监督销毁或者依法进行其他处理。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国务院药品监督管理部门、批签发机构应当及时公布上市疫苗批签发结果，供公众查询。</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第二十七条</w:t>
      </w:r>
      <w:r>
        <w:rPr>
          <w:rFonts w:hint="eastAsia" w:ascii="宋体" w:hAnsi="宋体" w:cs="Arial"/>
          <w:kern w:val="0"/>
          <w:szCs w:val="32"/>
        </w:rPr>
        <w:t>　申请疫苗批签发应当按照规定向批签发机构提供批生产及检验记录摘要等资料和同批号产品等样品。进口疫苗还应当提供原产地证明、批签发证明;在原产地免予批签发的，应当提供免予批签发证明。</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第二十八条</w:t>
      </w:r>
      <w:r>
        <w:rPr>
          <w:rFonts w:hint="eastAsia" w:ascii="宋体" w:hAnsi="宋体" w:cs="Arial"/>
          <w:kern w:val="0"/>
          <w:szCs w:val="32"/>
        </w:rPr>
        <w:t>　预防、控制传染病疫情或者应对突发事件急需的疫苗，经国务院药品监督管理部门批准，免予批签发。</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第二十九条　</w:t>
      </w:r>
      <w:r>
        <w:rPr>
          <w:rFonts w:hint="eastAsia" w:ascii="宋体" w:hAnsi="宋体" w:cs="Arial"/>
          <w:kern w:val="0"/>
          <w:szCs w:val="32"/>
        </w:rPr>
        <w:t>疫苗批签发应当逐批进行资料审核和抽样检验。疫苗批签发检验项目和检验频次应当根据疫苗质量风险评估情况进行动态调整。</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对疫苗批签发申请资料或者样品的真实性有疑问，或者存在其他需要进一步核实的情况的，批签发机构应当予以核实，必要时应当采用现场抽样检验等方式组织开展现场核实。</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第三十条</w:t>
      </w:r>
      <w:r>
        <w:rPr>
          <w:rFonts w:hint="eastAsia" w:ascii="宋体" w:hAnsi="宋体" w:cs="Arial"/>
          <w:kern w:val="0"/>
          <w:szCs w:val="32"/>
        </w:rPr>
        <w:t>　批签发机构在批签发过程中发现疫苗存在重大质量风险的，应当及时向国务院药品监督管理部门和省、自治区、直辖市人民政府药品监督管理部门报告。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到报告的部门应当立即对疫苗上市许可持有人进行现场检查，根据检查结果通知批签发机构对疫苗上市许可持有人的相关产品或者所有产品不予批签发或者暂停批签发，并责令疫苗上市许可持有人整改。疫苗上市许可持有人应当立即整改，并及时将整改情况向责令其整改的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第三十一条</w:t>
      </w:r>
      <w:r>
        <w:rPr>
          <w:rFonts w:hint="eastAsia" w:ascii="宋体" w:hAnsi="宋体" w:cs="Arial"/>
          <w:kern w:val="0"/>
          <w:szCs w:val="32"/>
        </w:rPr>
        <w:t>　对生产工艺偏差、质量差异、生产过程中的故障和事故以及采取的措施，疫苗上市许可持有人应当如实记录，并在相应批产品申请批签发的文件中载明;可能影响疫苗质量的，疫苗上市许可持有人应当立即采取措施，并向省、自治区、直辖市人民政府药品监督管理部门报告。</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第四章　疫苗流通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第三十二条</w:t>
      </w:r>
      <w:r>
        <w:rPr>
          <w:rFonts w:hint="eastAsia" w:ascii="宋体" w:hAnsi="宋体" w:cs="Arial"/>
          <w:kern w:val="0"/>
          <w:szCs w:val="32"/>
        </w:rPr>
        <w:t>　国家免疫规划疫苗由国务院卫生健康主管部门会同国务院财政部门等组织集中招标或者统一谈判，形成并公布中标价格或者成交价格，各省、自治区、直辖市实行统一采购。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国家免疫规划疫苗以外的其他免疫规划疫苗、非免疫规划疫苗由各省、自治区、直辖市通过省级公共资源交易平台组织采购。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第三十三条</w:t>
      </w:r>
      <w:r>
        <w:rPr>
          <w:rFonts w:hint="eastAsia" w:ascii="宋体" w:hAnsi="宋体" w:cs="Arial"/>
          <w:kern w:val="0"/>
          <w:szCs w:val="32"/>
        </w:rPr>
        <w:t>　疫苗的价格由疫苗上市许可持有人依法自主合理制定。疫苗的价格水平、差价率、利润率应当保持在合理幅度。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第三十四条</w:t>
      </w:r>
      <w:r>
        <w:rPr>
          <w:rFonts w:hint="eastAsia" w:ascii="宋体" w:hAnsi="宋体" w:cs="Arial"/>
          <w:kern w:val="0"/>
          <w:szCs w:val="32"/>
        </w:rPr>
        <w:t>　省级疾病预防控制机构应当根据国家免疫规划和本行政区域疾病预防、控制需要，制定本行政区域免疫规划疫苗使用计划，并按照国家有关规定向组织采购疫苗的部门报告，同时报省、自治区、直辖市人民政府卫生健康主管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第三十五条</w:t>
      </w:r>
      <w:r>
        <w:rPr>
          <w:rFonts w:hint="eastAsia" w:ascii="宋体" w:hAnsi="宋体" w:cs="Arial"/>
          <w:kern w:val="0"/>
          <w:szCs w:val="32"/>
        </w:rPr>
        <w:t>　疫苗上市许可持有人应当按照采购合同约定，向疾病预防控制机构供应疫苗。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疾病预防控制机构应当按照规定向接种单位供应疫苗。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疾病预防控制机构以外的单位和个人不得向接种单位供应疫苗，接种单位不得接收该疫苗。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第三十六条</w:t>
      </w:r>
      <w:r>
        <w:rPr>
          <w:rFonts w:hint="eastAsia" w:ascii="宋体" w:hAnsi="宋体" w:cs="Arial"/>
          <w:kern w:val="0"/>
          <w:szCs w:val="32"/>
        </w:rPr>
        <w:t>　疫苗上市许可持有人应当按照采购合同约定，向疾病预防控制机构或者疾病预防控制机构指定的接种单位配送疫苗。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疫苗上市许可持有人、疾病预防控制机构自行配送疫苗应当具备疫苗冷链储存、运输条件，也可以委托符合条件的疫苗配送单位配送疫苗。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疾病预防控制机构配送非免疫规划疫苗可以收取储存、运输费用，具体办法由国务院财政部门会同国务院价格主管部门制定，收费标准由省、自治区、直辖市人民政府价格主管部门会同财政部门制定。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第三十七条</w:t>
      </w:r>
      <w:r>
        <w:rPr>
          <w:rFonts w:hint="eastAsia" w:ascii="宋体" w:hAnsi="宋体" w:cs="Arial"/>
          <w:kern w:val="0"/>
          <w:szCs w:val="32"/>
        </w:rPr>
        <w:t>　疾病预防控制机构、接种单位、疫苗上市许可持有人、疫苗配送单位应当遵守疫苗储存、运输管理规范，保证疫苗质量。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疫苗在储存、运输全过程中应当处于规定的温度环境，冷链储存、运输应当符合要求，并定时监测、记录温度。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疫苗储存、运输管理规范由国务院药品监督管理部门、国务院卫生健康主管部门共同制定。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第三十八条</w:t>
      </w:r>
      <w:r>
        <w:rPr>
          <w:rFonts w:hint="eastAsia" w:ascii="宋体" w:hAnsi="宋体" w:cs="Arial"/>
          <w:kern w:val="0"/>
          <w:szCs w:val="32"/>
        </w:rPr>
        <w:t>　疫苗上市许可持有人在销售疫苗时，应当提供加盖其印章的批签发证明复印件或者电子文件;销售进口疫苗的，还应当提供加盖其印章的进口药品通关单复印件或者电子文件。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疾病预防控制机构、接种单位在接收或者购进疫苗时，应当索取前款规定的证明文件，并保存至疫苗有效期满后不少于五年备查。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第三十九条</w:t>
      </w:r>
      <w:r>
        <w:rPr>
          <w:rFonts w:hint="eastAsia" w:ascii="宋体" w:hAnsi="宋体" w:cs="Arial"/>
          <w:kern w:val="0"/>
          <w:szCs w:val="32"/>
        </w:rPr>
        <w:t>　疫苗上市许可持有人应当按照规定，建立真实、准确、完整的销售记录，并保存至疫苗有效期满后不少于五年备查。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疾病预防控制机构、接种单位、疫苗配送单位应当按照规定，建立真实、准确、完整的接收、购进、储存、配送、供应记录，并保存至疫苗有效期满后不少于五年备查。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接收或者购进疫苗时，应当索取本次运输、储存全过程温度监测记录，并保存至疫苗有效期满后不少于五年备查;对不能提供本次运输、储存全过程温度监测记录或者温度控制不符合要求的，不得接收或者购进，并应当立即向县级以上地方人民政府药品监督管理部门、卫生健康主管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第四十条</w:t>
      </w:r>
      <w:r>
        <w:rPr>
          <w:rFonts w:hint="eastAsia" w:ascii="宋体" w:hAnsi="宋体" w:cs="Arial"/>
          <w:kern w:val="0"/>
          <w:szCs w:val="32"/>
        </w:rPr>
        <w:t>　疾病预防控制机构、接种单位应当建立疫苗定期检查制度，对存在包装无法识别、储存温度不符合要求、超过有效期等问题的疫苗，采取隔离存放、设置警示标志等措施，并按照国务院药品监督管理部门、卫生健康主管部门、生态环境主管部门的规定处置。疾病预防控制机构、接种单位应当如实记录处置情况，处置记录应当保存至疫苗有效期满后不少于五年备查。</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第五章　预防接种</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第四十一条</w:t>
      </w:r>
      <w:r>
        <w:rPr>
          <w:rFonts w:hint="eastAsia" w:ascii="宋体" w:hAnsi="宋体" w:cs="Arial"/>
          <w:kern w:val="0"/>
          <w:szCs w:val="32"/>
        </w:rPr>
        <w:t>　国务院卫生健康主管部门制定国家免疫规划;国家免疫规划疫苗种类由国务院卫生健康主管部门会同国务院财政部门拟订，报国务院批准后公布。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国务院卫生健康主管部门建立国家免疫规划专家咨询委员会，并会同国务院财政部门建立国家免疫规划疫苗种类动态调整机制。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省、自治区、直辖市人民政府在执行国家免疫规划时，可以根据本行政区域疾病预防、控制需要，增加免疫规划疫苗种类，报国务院卫生健康主管部门备案并公布。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第四十二条</w:t>
      </w:r>
      <w:r>
        <w:rPr>
          <w:rFonts w:hint="eastAsia" w:ascii="宋体" w:hAnsi="宋体" w:cs="Arial"/>
          <w:kern w:val="0"/>
          <w:szCs w:val="32"/>
        </w:rPr>
        <w:t>　国务院卫生健康主管部门应当制定、公布预防接种工作规范，强化预防接种规范化管理。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国务院卫生健康主管部门应当制定、公布国家免疫规划疫苗的免疫程序和非免疫规划疫苗的使用指导原则。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省、自治区、直辖市人民政府卫生健康主管部门应当结合本行政区域实际情况制定接种方案，并报国务院卫生健康主管部门备案。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第四十三条</w:t>
      </w:r>
      <w:r>
        <w:rPr>
          <w:rFonts w:hint="eastAsia" w:ascii="宋体" w:hAnsi="宋体" w:cs="Arial"/>
          <w:kern w:val="0"/>
          <w:szCs w:val="32"/>
        </w:rPr>
        <w:t>　各级疾病预防控制机构应当按照各自职责，开展与预防接种相关的宣传、培训、技术指导、监测、评价、流行病学调查、应急处置等工作。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第四十四条</w:t>
      </w:r>
      <w:r>
        <w:rPr>
          <w:rFonts w:hint="eastAsia" w:ascii="宋体" w:hAnsi="宋体" w:cs="Arial"/>
          <w:kern w:val="0"/>
          <w:szCs w:val="32"/>
        </w:rPr>
        <w:t>　接种单位应当具备下列条件：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(一)取得医疗机构执业许可证;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(二)具有经过县级人民政府卫生健康主管部门组织的预防接种专业培训并考核合格的医师、护士或者乡村医生;</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(三)具有符合疫苗储存、运输管理规范的冷藏设施、设备和冷藏保管制度。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地方人民政府卫生健康主管部门指定符合条件的医疗机构承担责任区域内免疫规划疫苗接种工作。符合条件的医疗机构可以承担非免疫规划疫苗接种工作，并应当报颁发其医疗机构执业许可证的卫生健康主管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接种单位应当加强内部管理，开展预防接种工作应当遵守预防接种工作规范、免疫程序、疫苗使用指导原则和接种方案。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各级疾病预防控制机构应当加强对接种单位预防接种工作的技术指导和疫苗使用的管理。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第四十五条</w:t>
      </w:r>
      <w:r>
        <w:rPr>
          <w:rFonts w:hint="eastAsia" w:ascii="宋体" w:hAnsi="宋体" w:cs="Arial"/>
          <w:kern w:val="0"/>
          <w:szCs w:val="32"/>
        </w:rPr>
        <w:t>　医疗卫生人员实施接种，应当告知受种者或者其监护人所接种疫苗的品种、作用、禁忌、不良反应以及现场留观等注意事项，询问受种者的健康状况以及是否有接种禁忌等情况，并如实记录告知和询问情况。受种者或者其监护人应当如实提供受种者的健康状况和接种禁忌等情况。有接种禁忌不能接种的，医疗卫生人员应当向受种者或者其监护人提出医学建议，并如实记录提出医学建议情况。</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医疗卫生人员在实施接种前，应当按照预防接种工作规范的要求，检查受种者健康状况、核查接种禁忌，查对预防接种证，检查疫苗、注射器的外观、批号、有效期，核对受种者的姓名、年龄和疫苗的品名、规格、剂量、接种部位、接种途径，做到受种者、预防接种证和疫苗信息相一致，确认无误后方可实施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医疗卫生人员应当对符合接种条件的受种者实施接种。受种者在现场留观期间出现不良反应的，医疗卫生人员应当按照预防接种工作规范的要求，及时采取救治等措施。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第四十六条</w:t>
      </w:r>
      <w:r>
        <w:rPr>
          <w:rFonts w:hint="eastAsia" w:ascii="宋体" w:hAnsi="宋体" w:cs="Arial"/>
          <w:kern w:val="0"/>
          <w:szCs w:val="32"/>
        </w:rPr>
        <w:t>　医疗卫生人员应当按照国务院卫生健康主管部门的规定，真实、准确、完整记录疫苗的品种、上市许可持有人、最小包装单位的识别信息、有效期、接种时间、实施接种的医疗卫生人员、受种者等接种信息，确保接种信息可追溯、可查询。接种记录应当保存至疫苗有效期满后不少于五年备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第四十七条</w:t>
      </w:r>
      <w:r>
        <w:rPr>
          <w:rFonts w:hint="eastAsia" w:ascii="宋体" w:hAnsi="宋体" w:cs="Arial"/>
          <w:kern w:val="0"/>
          <w:szCs w:val="32"/>
        </w:rPr>
        <w:t>　国家对儿童实行预防接种证制度。在儿童出生后一个月内，其监护人应当到儿童居住地承担预防接种工作的接种单位或者出生医院为其办理预防接种证。接种单位或者出生医院不得拒绝办理。监护人应当妥善保管预防接种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预防接种实行居住地管理，儿童离开原居住地期间，由现居住地承担预防接种工作的接种单位负责对其实施接种。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预防接种证的格式由国务院卫生健康主管部门规定。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第四十八条</w:t>
      </w:r>
      <w:r>
        <w:rPr>
          <w:rFonts w:hint="eastAsia" w:ascii="宋体" w:hAnsi="宋体" w:cs="Arial"/>
          <w:kern w:val="0"/>
          <w:szCs w:val="32"/>
        </w:rPr>
        <w:t>　儿童入托、入学时，托幼机构、学校应当查验预防接种证，发现未按照规定接种免疫规划疫苗的，应当向儿童居住地或者托幼机构、学校所在地承担预防接种工作的接种单位报告，并配合接种单位督促其监护人按照规定补种。疾病预防控制机构应当为托幼机构、学校查验预防接种证等提供技术指导。</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儿童入托、入学预防接种证查验办法由国务院卫生健康主管部门会同国务院教育行政部门制定。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第四十九条</w:t>
      </w:r>
      <w:r>
        <w:rPr>
          <w:rFonts w:hint="eastAsia" w:ascii="宋体" w:hAnsi="宋体" w:cs="Arial"/>
          <w:kern w:val="0"/>
          <w:szCs w:val="32"/>
        </w:rPr>
        <w:t>　接种单位接种免疫规划疫苗不得收取任何费用。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接种单位接种非免疫规划疫苗，除收取疫苗费用外，还可以收取接种服务费。接种服务费的收费标准由省、自治区、直辖市人民政府价格主管部门会同财政部门制定。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第五十条</w:t>
      </w:r>
      <w:r>
        <w:rPr>
          <w:rFonts w:hint="eastAsia" w:ascii="宋体" w:hAnsi="宋体" w:cs="Arial"/>
          <w:kern w:val="0"/>
          <w:szCs w:val="32"/>
        </w:rPr>
        <w:t>　县级以上地方人民政府卫生健康主管部门根据传染病监测和预警信息，为预防、控制传染病暴发、流行，报经本级人民政府决定，并报省级以上人民政府卫生健康主管部门备案，可以在本行政区域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需要在全国范围或者跨省、自治区、直辖市范围内进行群体性预防接种的，应当由国务院卫生健康主管部门决定。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作出群体性预防接种决定的县级以上地方人民政府或者国务院卫生健康主管部门应当组织有关部门做好人员培训、宣传教育、物资调用等工作。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任何单位和个人不得擅自进行群体性预防接种。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第五十一条</w:t>
      </w:r>
      <w:r>
        <w:rPr>
          <w:rFonts w:hint="eastAsia" w:ascii="宋体" w:hAnsi="宋体" w:cs="Arial"/>
          <w:kern w:val="0"/>
          <w:szCs w:val="32"/>
        </w:rPr>
        <w:t>　传染病暴发、流行时，县级以上地方人民政府或者其卫生健康主管部门需要采取应急接种措施的，依照法律、行政法规的规定执行。</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第六章　异常反应监测和处理</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第五十二条</w:t>
      </w:r>
      <w:r>
        <w:rPr>
          <w:rFonts w:hint="eastAsia" w:ascii="宋体" w:hAnsi="宋体" w:cs="Arial"/>
          <w:kern w:val="0"/>
          <w:szCs w:val="32"/>
        </w:rPr>
        <w:t>　预防接种异常反应，是指合格的疫苗在实施规范接种过程中或者实施规范接种后造成受种者机体组织器官、功能损害，相关各方均无过错的药品不良反应。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下列情形不属于预防接种异常反应：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(一)因疫苗本身特性引起的接种后一般反应;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(二)因疫苗质量问题给受种者造成的损害;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(三)因接种单位违反预防接种工作规范、免疫程序、疫苗使用指导原则、接种方案给受种者造成的损害;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(四)受种者在接种时正处于某种疾病的潜伏期或者前驱期，接种后偶合发病;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(五)受种者有疫苗说明书规定的接种禁忌，在接种前受种者或者其监护人未如实提供受种者的健康状况和接种禁忌等情况，接种后受种者原有疾病急性复发或者病情加重;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(六)因心理因素发生的个体或者群体的心因性反应。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第五十三条</w:t>
      </w:r>
      <w:r>
        <w:rPr>
          <w:rFonts w:hint="eastAsia" w:ascii="宋体" w:hAnsi="宋体" w:cs="Arial"/>
          <w:kern w:val="0"/>
          <w:szCs w:val="32"/>
        </w:rPr>
        <w:t>　国家加强预防接种异常反应监测。预防接种异常反应监测方案由国务院卫生健康主管部门会同国务院药品监督管理部门制定。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第五十四条</w:t>
      </w:r>
      <w:r>
        <w:rPr>
          <w:rFonts w:hint="eastAsia" w:ascii="宋体" w:hAnsi="宋体" w:cs="Arial"/>
          <w:kern w:val="0"/>
          <w:szCs w:val="32"/>
        </w:rPr>
        <w:t>　接种单位、医疗机构等发现疑似预防接种异常反应的，应当按照规定向疾病预防控制机构报告。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设立专门机构，配备专职人员，主动收集、跟踪分析疑似预防接种异常反应，及时采取风险控制措施，将疑似预防接种异常反应向疾病预防控制机构报告，将质量分析报告提交省、自治区、直辖市人民政府药品监督管理部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第五十五条</w:t>
      </w:r>
      <w:r>
        <w:rPr>
          <w:rFonts w:hint="eastAsia" w:ascii="宋体" w:hAnsi="宋体" w:cs="Arial"/>
          <w:kern w:val="0"/>
          <w:szCs w:val="32"/>
        </w:rPr>
        <w:t>　对疑似预防接种异常反应，疾病预防控制机构应当按照规定及时报告，组织调查、诊断，并将调查、诊断结论告知受种者或者其监护人。对调查、诊断结论有争议的，可以根据国务院卫生健康主管部门制定的鉴定办法申请鉴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因预防接种导致受种者死亡、严重残疾，或者群体性疑似预防接种异常反应等对社会有重大影响的疑似预防接种异常反应，由设区的市级以上人民政府卫生健康主管部门、药品监督管理部门按照各自职责组织调查、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eastAsia="黑体" w:cs="仿宋_GB2312"/>
          <w:color w:val="000000"/>
          <w:kern w:val="0"/>
          <w:sz w:val="32"/>
          <w:szCs w:val="32"/>
        </w:rPr>
        <w:t>　　第五十六条</w:t>
      </w:r>
      <w:r>
        <w:rPr>
          <w:rFonts w:hint="eastAsia" w:ascii="宋体" w:hAnsi="宋体" w:cs="Arial"/>
          <w:kern w:val="0"/>
          <w:szCs w:val="32"/>
        </w:rPr>
        <w:t>　国家实行预防接种异常反应补偿制度。实施接种过程中或者实施接种后出现受种者死亡、严重残疾、器官组织损伤等损害，属于预防接种异常反应或者不能排除的，应当给予补偿。补偿范围实行目录管理，并根据实际情况进行动态调整。</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接种免疫规划疫苗所需的补偿费用，由省、自治区、直辖市人民政府财政部门在预防接种经费中安排;接种非免疫规划疫苗所需的补偿费用，由相关疫苗上市许可持有人承担。国家鼓励通过商业保险等多种形式对预防接种异常反应受种者予以补偿。</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预防接种异常反应补偿应当及时、便民、合理。预防接种异常反应补偿范围、标准、程序由国务院规定，省、自治区、直辖市制定具体实施办法。</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第七章　疫苗上市后管理</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第五十七条</w:t>
      </w:r>
      <w:r>
        <w:rPr>
          <w:rFonts w:hint="eastAsia" w:ascii="宋体" w:hAnsi="宋体" w:cs="Arial"/>
          <w:kern w:val="0"/>
          <w:szCs w:val="32"/>
        </w:rPr>
        <w:t>　疫苗上市许可持有人应当建立健全疫苗全生命周期质量管理体系，制定并实施疫苗上市后风险管理计划，开展疫苗上市后研究，对疫苗的安全性、有效性和质量可控性进行进一步确证。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批准疫苗注册申请时提出进一步研究要求的疫苗，疫苗上市许可持有人应当在规定期限内完成研究;逾期未完成研究或者不能证明其获益大于风险的，国务院药品监督管理部门应当依法处理，直至注销该疫苗的药品注册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第五十八条</w:t>
      </w:r>
      <w:r>
        <w:rPr>
          <w:rFonts w:hint="eastAsia" w:ascii="宋体" w:hAnsi="宋体" w:cs="Arial"/>
          <w:kern w:val="0"/>
          <w:szCs w:val="32"/>
        </w:rPr>
        <w:t>　疫苗上市许可持有人应当对疫苗进行质量跟踪分析，持续提升质量控制标准，改进生产工艺，提高生产工艺稳定性。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生产工艺、生产场地、关键设备等发生变更的，应当进行评估、验证，按照国务院药品监督管理部门有关变更管理的规定备案或者报告;变更可能影响疫苗安全性、有效性和质量可控性的，应当经国务院药品监督管理部门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第五十九条</w:t>
      </w:r>
      <w:r>
        <w:rPr>
          <w:rFonts w:hint="eastAsia" w:ascii="宋体" w:hAnsi="宋体" w:cs="Arial"/>
          <w:kern w:val="0"/>
          <w:szCs w:val="32"/>
        </w:rPr>
        <w:t>　疫苗上市许可持有人应当根据疫苗上市后研究、预防接种异常反应等情况持续更新说明书、标签，并按照规定申请核准或者备案。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国务院药品监督管理部门应当在其网站上及时公布更新后的疫苗说明书、标签内容。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第六十条　</w:t>
      </w:r>
      <w:r>
        <w:rPr>
          <w:rFonts w:hint="eastAsia" w:ascii="宋体" w:hAnsi="宋体" w:cs="Arial"/>
          <w:kern w:val="0"/>
          <w:szCs w:val="32"/>
        </w:rPr>
        <w:t>疫苗上市许可持有人应当建立疫苗质量回顾分析和风险报告制度，每年将疫苗生产流通、上市后研究、风险管理等情况按照规定如实向国务院药品监督管理部门报告。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第六十一条</w:t>
      </w:r>
      <w:r>
        <w:rPr>
          <w:rFonts w:hint="eastAsia" w:ascii="宋体" w:hAnsi="宋体" w:cs="Arial"/>
          <w:kern w:val="0"/>
          <w:szCs w:val="32"/>
        </w:rPr>
        <w:t>　国务院药品监督管理部门可以根据实际情况，责令疫苗上市许可持有人开展上市后评价或者直接组织开展上市后评价。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对预防接种异常反应严重或者其他原因危害人体健康的疫苗，国务院药品监督管理部门应当注销该疫苗的药品注册证书。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第六十二条</w:t>
      </w:r>
      <w:r>
        <w:rPr>
          <w:rFonts w:hint="eastAsia" w:ascii="宋体" w:hAnsi="宋体" w:cs="Arial"/>
          <w:kern w:val="0"/>
          <w:szCs w:val="32"/>
        </w:rPr>
        <w:t>　国务院药品监督管理部门可以根据疾病预防、控制需要和疫苗行业发展情况，组织对疫苗品种开展上市后评价，发现该疫苗品种的产品设计、生产工艺、安全性、有效性或者质量可控性明显劣于预防、控制同种疾病的其他疫苗品种的，应当注销该品种所有疫苗的药品注册证书并废止相应的国家药品标准。</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第八章　保障措施</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第六十三条　</w:t>
      </w:r>
      <w:r>
        <w:rPr>
          <w:rFonts w:hint="eastAsia" w:ascii="宋体" w:hAnsi="宋体" w:cs="Arial"/>
          <w:kern w:val="0"/>
          <w:szCs w:val="32"/>
        </w:rPr>
        <w:t>县级以上人民政府应当将疫苗安全工作、购买免疫规划疫苗和预防接种工作以及信息化建设等所需经费纳入本级政府预算，保证免疫规划制度的实施。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县级人民政府按照国家有关规定对从事预防接种工作的乡村医生和其他基层医疗卫生人员给予补助。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国家根据需要对经济欠发达地区的预防接种工作给予支持。省、自治区、直辖市人民政府和设区的市级人民政府应当对经济欠发达地区的县级人民政府开展与预防接种相关的工作给予必要的经费补助。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宋体" w:hAnsi="宋体" w:eastAsia="黑体" w:cs="仿宋_GB2312"/>
          <w:color w:val="000000"/>
          <w:kern w:val="0"/>
          <w:sz w:val="32"/>
          <w:szCs w:val="32"/>
        </w:rPr>
        <w:t>　第六十四条</w:t>
      </w:r>
      <w:r>
        <w:rPr>
          <w:rFonts w:hint="eastAsia" w:ascii="宋体" w:hAnsi="宋体" w:cs="Arial"/>
          <w:kern w:val="0"/>
          <w:szCs w:val="32"/>
        </w:rPr>
        <w:t>　省、自治区、直辖市人民政府根据本行政区域传染病流行趋势，在国务院卫生健康主管部门确定的传染病预防、控制项目范围内，确定本行政区域与预防接种相关的项目，并保证项目的实施。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第六十五条</w:t>
      </w:r>
      <w:r>
        <w:rPr>
          <w:rFonts w:hint="eastAsia" w:ascii="宋体" w:hAnsi="宋体" w:cs="Arial"/>
          <w:kern w:val="0"/>
          <w:szCs w:val="32"/>
        </w:rPr>
        <w:t>　国务院卫生健康主管部门根据各省、自治区、直辖市国家免疫规划疫苗使用计划，向疫苗上市许可持有人提供国家免疫规划疫苗需求信息，疫苗上市许可持有人根据疫苗需求信息合理安排生产。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疫苗存在供应短缺风险时，国务院卫生健康主管部门、国务院药品监督管理部门提出建议，国务院工业和信息化主管部门、国务院财政部门应当采取有效措施，保障疫苗生产、供应。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疫苗上市许可持有人应当依法组织生产，保障疫苗供应;疫苗上市许可持有人停止疫苗生产的，应当及时向国务院药品监督管理部门或者省、自治区、直辖市人民政府药品监督管理部门报告。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第六十六条</w:t>
      </w:r>
      <w:r>
        <w:rPr>
          <w:rFonts w:hint="eastAsia" w:ascii="宋体" w:hAnsi="宋体" w:cs="Arial"/>
          <w:kern w:val="0"/>
          <w:szCs w:val="32"/>
        </w:rPr>
        <w:t>　国家将疫苗纳入战略物资储备，实行中央和省级两级储备。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国务院工业和信息化主管部门、财政部门会同国务院卫生健康主管部门、公安部门、市场监督管理部门和药品监督管理部门，根据疾病预防、控制和公共卫生应急准备的需要，加强储备疫苗的产能、产品管理，建立动态调整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第六十七条</w:t>
      </w:r>
      <w:r>
        <w:rPr>
          <w:rFonts w:hint="eastAsia" w:ascii="宋体" w:hAnsi="宋体" w:cs="Arial"/>
          <w:kern w:val="0"/>
          <w:szCs w:val="32"/>
        </w:rPr>
        <w:t>　各级财政安排用于预防接种的经费应当专款专用，任何单位和个人不得挪用、挤占。</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有关单位和个人使用预防接种的经费应当依法接受审计机关的审计监督。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第六十八条</w:t>
      </w:r>
      <w:r>
        <w:rPr>
          <w:rFonts w:hint="eastAsia" w:ascii="宋体" w:hAnsi="宋体" w:cs="Arial"/>
          <w:kern w:val="0"/>
          <w:szCs w:val="32"/>
        </w:rPr>
        <w:t>　国家实行疫苗责任强制保险制度。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疫苗上市许可持有人应当按照规定投保疫苗责任强制保险。因疫苗质量问题造成受种者损害的，保险公司在承保的责任限额内予以赔付。</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疫苗责任强制保险制度的具体实施办法，由国务院药品监督管理部门会同国务院卫生健康主管部门、保险监督管理机构等制定。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第六十九条　</w:t>
      </w:r>
      <w:r>
        <w:rPr>
          <w:rFonts w:hint="eastAsia" w:ascii="宋体" w:hAnsi="宋体" w:cs="Arial"/>
          <w:kern w:val="0"/>
          <w:szCs w:val="32"/>
        </w:rPr>
        <w:t>传染病暴发、流行时，相关疫苗上市许可持有人应当及时生产和供应预防、控制传染病的疫苗。交通运输单位应当优先运输预防、控制传染病的疫苗。县级以上人民政府及其有关部门应当做好组织、协调、保障工作。</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第九章　监督管理</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第七十条</w:t>
      </w:r>
      <w:r>
        <w:rPr>
          <w:rFonts w:hint="eastAsia" w:ascii="宋体" w:hAnsi="宋体" w:cs="Arial"/>
          <w:kern w:val="0"/>
          <w:szCs w:val="32"/>
        </w:rPr>
        <w:t>　药品监督管理部门、卫生健康主管部门按照各自职责对疫苗研制、生产、流通和预防接种全过程进行监督管理，监督疫苗上市许可持有人、疾病预防控制机构、接种单位等依法履行义务。</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药品监督管理部门依法对疫苗研制、生产、储存、运输以及预防接种中的疫苗质量进行监督检查。卫生健康主管部门依法对免疫规划制度的实施、预防接种活动进行监督检查。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药品监督管理部门应当加强对疫苗上市许可持有人的现场检查;必要时，可以对为疫苗研制、生产、流通等活动提供产品或者服务的单位和个人进行延伸检查;有关单位和个人应当予以配合，不得拒绝和隐瞒。</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第七十一条　</w:t>
      </w:r>
      <w:r>
        <w:rPr>
          <w:rFonts w:hint="eastAsia" w:ascii="宋体" w:hAnsi="宋体" w:cs="Arial"/>
          <w:kern w:val="0"/>
          <w:szCs w:val="32"/>
        </w:rPr>
        <w:t>国家建设中央和省级两级职业化、专业化药品检查员队伍，加强对疫苗的监督检查。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自治区、直辖市人民政府药品监督管理部门选派检查员入驻疫苗上市许可持有人。检查员负责监督检查药品生产质量管理规范执行情况，收集疫苗质量风险和违法违规线索，向省、自治区、直辖市人民政府药品监督管理部门报告情况并提出建议，对派驻期间的行为负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第七十二条</w:t>
      </w:r>
      <w:r>
        <w:rPr>
          <w:rFonts w:hint="eastAsia" w:ascii="宋体" w:hAnsi="宋体" w:cs="Arial"/>
          <w:kern w:val="0"/>
          <w:szCs w:val="32"/>
        </w:rPr>
        <w:t>　疫苗质量管理存在安全隐患，疫苗上市许可持有人等未及时采取措施消除的，药品监督管理部门可以采取责任约谈、限期整改等措施。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严重违反药品相关质量管理规范的，药品监督管理部门应当责令暂停疫苗生产、销售、配送，立即整改;整改完成后，经药品监督管理部门检查符合要求的，方可恢复生产、销售、配送。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药品监督管理部门应当建立疫苗上市许可持有人及其相关人员信用记录制度，纳入全国信用信息共享平台，按照规定公示其严重失信信息，实施联合惩戒。</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第七十三条</w:t>
      </w:r>
      <w:r>
        <w:rPr>
          <w:rFonts w:hint="eastAsia" w:ascii="宋体" w:hAnsi="宋体" w:cs="Arial"/>
          <w:kern w:val="0"/>
          <w:szCs w:val="32"/>
        </w:rPr>
        <w:t>　疫苗存在或者疑似存在质量问题的，疫苗上市许可持有人、疾病预防控制机构、接种单位应当立即停止销售、配送、使用，必要时立即停止生产，按照规定向县级以上人民政府药品监督管理部门、卫生健康主管部门报告。卫生健康主管部门应当立即组织疾病预防控制机构和接种单位采取必要的应急处置措施，同时向上级人民政府卫生健康主管部门报告。药品监督管理部门应当依法采取查封、扣押等措施。对已经销售的疫苗，疫苗上市许可持有人应当及时通知相关疾病预防控制机构、疫苗配送单位、接种单位，按照规定召回，如实记录召回和通知情况，疾病预防控制机构、疫苗配送单位、接种单位应当予以配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未依照前款规定停止生产、销售、配送、使用或者召回疫苗的，县级以上人民政府药品监督管理部门、卫生健康主管部门应当按照各自职责责令停止生产、销售、配送、使用或者召回疫苗。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疫苗上市许可持有人、疾病预防控制机构、接种单位发现存在或者疑似存在质量问题的疫苗，不得瞒报、谎报、缓报、漏报，不得隐匿、伪造、毁灭有关证据。</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第七十四条</w:t>
      </w:r>
      <w:r>
        <w:rPr>
          <w:rFonts w:hint="eastAsia" w:ascii="宋体" w:hAnsi="宋体" w:cs="Arial"/>
          <w:kern w:val="0"/>
          <w:szCs w:val="32"/>
        </w:rPr>
        <w:t>　疫苗上市许可持有人应当建立信息公开制度，按照规定在其网站上及时公开疫苗产品信息、说明书和标签、药品相关质量管理规范执行情况、批签发情况、召回情况、接受检查和处罚情况以及投保疫苗责任强制保险情况等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第七十五条</w:t>
      </w:r>
      <w:r>
        <w:rPr>
          <w:rFonts w:hint="eastAsia" w:ascii="宋体" w:hAnsi="宋体" w:cs="Arial"/>
          <w:kern w:val="0"/>
          <w:szCs w:val="32"/>
        </w:rPr>
        <w:t>　国务院药品监督管理部门会同国务院卫生健康主管部门等建立疫苗质量、预防接种等信息共享机制。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省级以上人民政府药品监督管理部门、卫生健康主管部门等应当按照科学、客观、及时、公开的原则，组织疫苗上市许可持有人、疾病预防控制机构、接种单位、新闻媒体、科研单位等，就疫苗质量和预防接种等信息进行交流沟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第七十六条</w:t>
      </w:r>
      <w:r>
        <w:rPr>
          <w:rFonts w:hint="eastAsia" w:ascii="宋体" w:hAnsi="宋体" w:cs="Arial"/>
          <w:kern w:val="0"/>
          <w:szCs w:val="32"/>
        </w:rPr>
        <w:t>　国家实行疫苗安全信息统一公布制度。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安全风险警示信息、重大疫苗安全事故及其调查处理信息和国务院确定需要统一公布的其他疫苗安全信息，由国务院药品监督管理部门会同有关部门公布。全国预防接种异常反应报告情况，由国务院卫生健康主管部门会同国务院药品监督管理部门统一公布。未经授权不得发布上述信息。公布重大疫苗安全信息，应当及时、准确、全面，并按照规定进行科学评估，作出必要的解释说明。</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县级以上人民政府药品监督管理部门发现可能误导公众和社会舆论的疫苗安全信息，应当立即会同卫生健康主管部门及其他有关部门、专业机构、相关疫苗上市许可持有人等进行核实、分析，并及时公布结果。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任何单位和个人不得编造、散布虚假疫苗安全信息。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第七十七条</w:t>
      </w:r>
      <w:r>
        <w:rPr>
          <w:rFonts w:hint="eastAsia" w:ascii="宋体" w:hAnsi="宋体" w:cs="Arial"/>
          <w:kern w:val="0"/>
          <w:szCs w:val="32"/>
        </w:rPr>
        <w:t>　任何单位和个人有权依法了解疫苗信息，对疫苗监督管理工作提出意见、建议。</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任何单位和个人有权向卫生健康主管部门、药品监督管理部门等部门举报疫苗违法行为，对卫生健康主管部门、药品监督管理部门等部门及其工作人员未依法履行监督管理职责的情况有权向本级或者上级人民政府及其有关部门、监察机关举报。有关部门、机关应当及时核实、处理;对查证属实的举报，按照规定给予举报人奖励;举报人举报所在单位严重违法行为，查证属实的，给予重奖。</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第七十八条</w:t>
      </w:r>
      <w:r>
        <w:rPr>
          <w:rFonts w:hint="eastAsia" w:ascii="宋体" w:hAnsi="宋体" w:cs="Arial"/>
          <w:kern w:val="0"/>
          <w:szCs w:val="32"/>
        </w:rPr>
        <w:t>　县级以上人民政府应当制定疫苗安全事件应急预案，对疫苗安全事件分级、处置组织指挥体系与职责、预防预警机制、处置程序、应急保障措施等作出规定。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疫苗上市许可持有人应当制定疫苗安全事件处置方案，定期检查各项防范措施的落实情况，及时消除安全隐患。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发生疫苗安全事件，疫苗上市许可持有人应当立即向国务院药品监督管理部门或者省、自治区、直辖市人民政府药品监督管理部门报告;疾病预防控制机构、接种单位、医疗机构应当立即向县级以上人民政府卫生健康主管部门、药品监督管理部门报告。药品监督管理部门应当会同卫生健康主管部门按照应急预案的规定，成立疫苗安全事件处置指挥机构，开展医疗救治、风险控制、调查处理、信息发布、解释说明等工作，做好补种等善后处置工作。因质量问题造成的疫苗安全事件的补种费用由疫苗上市许可持有人承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有关单位和个人不得瞒报、谎报、缓报、漏报疫苗安全事件，不得隐匿、伪造、毁灭有关证据。</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第十章　法律责任</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第七十九条</w:t>
      </w:r>
      <w:r>
        <w:rPr>
          <w:rFonts w:hint="eastAsia" w:ascii="宋体" w:hAnsi="宋体" w:cs="Arial"/>
          <w:kern w:val="0"/>
          <w:szCs w:val="32"/>
        </w:rPr>
        <w:t>　违反本法规定，构成犯罪的，依法从重追究刑事责任。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第八十条　</w:t>
      </w:r>
      <w:r>
        <w:rPr>
          <w:rFonts w:hint="eastAsia" w:ascii="宋体" w:hAnsi="宋体" w:cs="Arial"/>
          <w:kern w:val="0"/>
          <w:szCs w:val="32"/>
        </w:rPr>
        <w:t>生产、销售的疫苗属于假药的，由省级以上人民政府药品监督管理部门没收违法所得和违法生产、销售的疫苗以及专门用于违法生产疫苗的原料、辅料、包装材料、设备等物品，责令停产停业整顿，吊销药品注册证书，直至吊销药品生产许可证等，并处违法生产、销售疫苗货值金额十五倍以上五十倍以下的罚款，货值金额不足五十万元的，按五十万元计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生产、销售的疫苗属于劣药的，由省级以上人民政府药品监督管理部门没收违法所得和违法生产、销售的疫苗以及专门用于违法生产疫苗的原料、辅料、包装材料、设备等物品，责令停产停业整顿，并处违法生产、销售疫苗货值金额十倍以上三十倍以下的罚款，货值金额不足五十万元的，按五十万元计算;情节严重的，吊销药品注册证书，直至吊销药品生产许可证等。</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生产、销售的疫苗属于假药，或者生产、销售的疫苗属于劣药且情节严重的，由省级以上人民政府药品监督管理部门对法定代表人、主要负责人、直接负责的主管人员和关键岗位人员以及其他责任人员，没收违法行为发生期间自本单位所获收入，并处所获收入一倍以上十倍以下的罚款，终身禁止从事药品生产经营活动，由公安机关处五日以上十五日以下拘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第八十一条</w:t>
      </w:r>
      <w:r>
        <w:rPr>
          <w:rFonts w:hint="eastAsia" w:ascii="宋体" w:hAnsi="宋体" w:cs="Arial"/>
          <w:kern w:val="0"/>
          <w:szCs w:val="32"/>
        </w:rPr>
        <w:t>　有下列情形之一的，由省级以上人民政府药品监督管理部门没收违法所得和违法生产、销售的疫苗以及专门用于违法生产疫苗的原料、辅料、包装材料、设备等物品，责令停产停业整顿，并处违法生产、销售疫苗货值金额十五倍以上五十倍以下的罚款，货值金额不足五十万元的，按五十万元计算;情节严重的，吊销药品相关批准证明文件，直至吊销药品生产许可证等，对法定代表人、主要负责人、直接负责的主管人员和关键岗位人员以及其他责任人员，没收违法行为发生期间自本单位所获收入，并处所获收入百分之五十以上十倍以下的罚款，十年内直至终身禁止从事药品生产经营活动，由公安机关处五日以上十五日以下拘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(一)申请疫苗临床试验、注册、批签发提供虚假数据、资料、样品或者有其他欺骗行为;</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(二)编造生产、检验记录或者更改产品批号;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(三)疾病预防控制机构以外的单位或者个人向接种单位供应疫苗;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(四)委托生产疫苗未经批准;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(五)生产工艺、生产场地、关键设备等发生变更按照规定应当经批准而未经批准;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(六)更新疫苗说明书、标签按照规定应当经核准而未经核准。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第八十二条</w:t>
      </w:r>
      <w:r>
        <w:rPr>
          <w:rFonts w:hint="eastAsia" w:ascii="宋体" w:hAnsi="宋体" w:cs="Arial"/>
          <w:kern w:val="0"/>
          <w:szCs w:val="32"/>
        </w:rPr>
        <w:t>　除本法另有规定的情形外，疫苗上市许可持有人或者其他单位违反药品相关质量管理规范的，由县级以上人民政府药品监督管理部门责令改正，给予警告;拒不改正的，处二十万元以上五十万元以下的罚款;情节严重的，处五十万元以上三百万元以下的罚款，责令停产停业整顿，直至吊销药品相关批准证明文件、药品生产许可证等，对法定代表人、主要负责人、直接负责的主管人员和关键岗位人员以及其他责任人员，没收违法行为发生期间自本单位所获收入，并处所获收入百分之五十以上五倍以下的罚款，十年内直至终身禁止从事药品生产经营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第八十三条</w:t>
      </w:r>
      <w:r>
        <w:rPr>
          <w:rFonts w:hint="eastAsia" w:ascii="宋体" w:hAnsi="宋体" w:cs="Arial"/>
          <w:kern w:val="0"/>
          <w:szCs w:val="32"/>
        </w:rPr>
        <w:t>　违反本法规定，疫苗上市许可持有人有下列情形之一的，由省级以上人民政府药品监督管理部门责令改正，给予警告;拒不改正的，处二十万元以上五十万元以下的罚款;情节严重的，责令停产停业整顿，并处五十万元以上二百万元以下的罚款：</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(一)未按照规定建立疫苗电子追溯系统;</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(二)法定代表人、主要负责人和生产管理负责人、质量管理负责人、质量受权人等关键岗位人员不符合规定条件或者未按照规定对其进行培训、考核;</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(三)未按照规定报告或者备案;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(四)未按照规定开展上市后研究，或者未按照规定设立机构、配备人员主动收集、跟踪分析疑似预防接种异常反应;</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(五)未按照规定投保疫苗责任强制保险;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(六)未按照规定建立信息公开制度。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第八十四条</w:t>
      </w:r>
      <w:r>
        <w:rPr>
          <w:rFonts w:hint="eastAsia" w:ascii="宋体" w:hAnsi="宋体" w:cs="Arial"/>
          <w:kern w:val="0"/>
          <w:szCs w:val="32"/>
        </w:rPr>
        <w:t>　违反本法规定，批签发机构有下列情形之一的，由国务院药品监督管理部门责令改正，给予警告，对主要负责人、直接负责的主管人员和其他直接责任人员依法给予警告直至降级处分：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(一)未按照规定进行审核和检验;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(二)未及时公布上市疫苗批签发结果;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(三)未按照规定进行核实;</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(四)发现疫苗存在重大质量风险未按照规定报告。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违反本法规定，批签发机构未按照规定发给批签发证明或者不予批签发通知书的，由国务院药品监督管理部门责令改正，给予警告，对主要负责人、直接负责的主管人员和其他直接责任人员依法给予降级或者撤职处分;情节严重的，对主要负责人、直接负责的主管人员和其他直接责任人员依法给予开除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第八十五条</w:t>
      </w:r>
      <w:r>
        <w:rPr>
          <w:rFonts w:hint="eastAsia" w:ascii="宋体" w:hAnsi="宋体" w:cs="Arial"/>
          <w:kern w:val="0"/>
          <w:szCs w:val="32"/>
        </w:rPr>
        <w:t>　疾病预防控制机构、接种单位、疫苗上市许可持有人、疫苗配送单位违反疫苗储存、运输管理规范有关冷链储存、运输要求的，由县级以上人民政府药品监督管理部门责令改正，给予警告，对违法储存、运输的疫苗予以销毁，没收违法所得;拒不改正的，对接种单位、疫苗上市许可持有人、疫苗配送单位处二十万元以上一百万元以下的罚款;情节严重的，对接种单位、疫苗上市许可持有人、疫苗配送单位处违法储存、运输疫苗货值金额十倍以上三十倍以下的罚款，货值金额不足十万元的，按十万元计算，责令疫苗上市许可持有人、疫苗配送单位停产停业整顿，直至吊销药品相关批准证明文件、药品生产许可证等，对疫苗上市许可持有人、疫苗配送单位的法定代表人、主要负责人、直接负责的主管人员和关键岗位人员以及其他责任人员依照本法第八十二条规定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有前款规定违法行为的，由县级以上人民政府卫生健康主管部门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并可以吊销接种单位的接种资格，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第八十六条</w:t>
      </w:r>
      <w:r>
        <w:rPr>
          <w:rFonts w:hint="eastAsia" w:ascii="宋体" w:hAnsi="宋体" w:cs="Arial"/>
          <w:kern w:val="0"/>
          <w:szCs w:val="32"/>
        </w:rPr>
        <w:t>　疾病预防控制机构、接种单位、疫苗上市许可持有人、疫苗配送单位有本法第八十五条规定以外的违反疫苗储存、运输管理规范行为的，由县级以上人民政府药品监督管理部门责令改正，给予警告，没收违法所得;拒不改正的，对接种单位、疫苗上市许可持有人、疫苗配送单位处十万元以上三十万元以下的罚款;情节严重的，对接种单位、疫苗上市许可持有人、疫苗配送单位处违法储存、运输疫苗货值金额三倍以上十倍以下的罚款，货值金额不足十万元的，按十万元计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有前款规定违法行为的，县级以上人民政府卫生健康主管部门可以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第八十七条</w:t>
      </w:r>
      <w:r>
        <w:rPr>
          <w:rFonts w:hint="eastAsia" w:ascii="宋体" w:hAnsi="宋体" w:cs="Arial"/>
          <w:kern w:val="0"/>
          <w:szCs w:val="32"/>
        </w:rPr>
        <w:t>　违反本法规定，疾病预防控制机构、接种单位有下列情形之一的，由县级以上人民政府卫生健康主管部门责令改正，给予警告，没收违法所得;情节严重的，对主要负责人、直接负责的主管人员和其他直接责任人员依法给予警告直至撤职处分，责令负有责任的医疗卫生人员暂停一年以上十八个月以下执业活动;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(一)未按照规定供应、接收、采购疫苗;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(二)接种疫苗未遵守预防接种工作规范、免疫程序、疫苗使用指导原则、接种方案;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(三)擅自进行群体性预防接种。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第八十八条</w:t>
      </w:r>
      <w:r>
        <w:rPr>
          <w:rFonts w:hint="eastAsia" w:ascii="宋体" w:hAnsi="宋体" w:cs="Arial"/>
          <w:kern w:val="0"/>
          <w:szCs w:val="32"/>
        </w:rPr>
        <w:t>　违反本法规定，疾病预防控制机构、接种单位有下列情形之一的，由县级以上人民政府卫生健康主管部门责令改正，给予警告;情节严重的，对主要负责人、直接负责的主管人员和其他直接责任人员依法给予警告直至撤职处分，责令负有责任的医疗卫生人员暂停六个月以上一年以下执业活动;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(一)未按照规定提供追溯信息;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(二)接收或者购进疫苗时未按照规定索取并保存相关证明文件、温度监测记录;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(三)未按照规定建立并保存疫苗接收、购进、储存、配送、供应、接种、处置记录;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(四)未按照规定告知、询问受种者或者其监护人有关情况。</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rPr>
        <w:t>　　第八十九条</w:t>
      </w:r>
      <w:r>
        <w:rPr>
          <w:rFonts w:hint="eastAsia" w:ascii="宋体" w:hAnsi="宋体" w:cs="Arial"/>
          <w:kern w:val="0"/>
          <w:szCs w:val="32"/>
        </w:rPr>
        <w:t>　疾病预防控制机构、接种单位、医疗机构未按照规定报告疑似预防接种异常反应、疫苗安全事件等，或者未按照规定对疑似预防接种异常反应组织调查、诊断等的，由县级以上人民政府卫生健康主管部门责令改正，给予警告;情节严重的，对接种单位、医疗机构处五万元以上五十万元以下的罚款，对疾病预防控制机构、接种单位、医疗机构的主要负责人、直接负责的主管人员和其他直接责任人员依法给予警告直至撤职处分;造成严重后果的，对主要负责人、直接负责的主管人员和其他直接责任人员依法给予开除处分，由原发证部门吊销负有责任的医疗卫生人员的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第九十条</w:t>
      </w:r>
      <w:r>
        <w:rPr>
          <w:rFonts w:hint="eastAsia" w:ascii="宋体" w:hAnsi="宋体" w:cs="Arial"/>
          <w:kern w:val="0"/>
          <w:szCs w:val="32"/>
        </w:rPr>
        <w:t>　疾病预防控制机构、接种单位违反本法规定收取费用的，由县级以上人民政府卫生健康主管部门监督其将违法收取的费用退还给原缴费的单位或者个人，并由县级以上人民政府市场监督管理部门依法给予处罚。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第九十一条　</w:t>
      </w:r>
      <w:r>
        <w:rPr>
          <w:rFonts w:hint="eastAsia" w:ascii="宋体" w:hAnsi="宋体" w:cs="Arial"/>
          <w:kern w:val="0"/>
          <w:szCs w:val="32"/>
        </w:rPr>
        <w:t>违反本法规定，未经县级以上地方人民政府卫生健康主管部门指定擅自从事免疫规划疫苗接种工作、从事非免疫规划疫苗接种工作不符合条件或者未备案的，由县级以上人民政府卫生健康主管部门责令改正，给予警告，没收违法所得和违法持有的疫苗，责令停业整顿，并处十万元以上一百万元以下的罚款，对主要负责人、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违反本法规定，疾病预防控制机构、接种单位以外的单位或者个人擅自进行群体性预防接种的，由县级以上人民政府卫生健康主管部门责令改正，没收违法所得和违法持有的疫苗，并处违法持有的疫苗货值金额十倍以上三十倍以下的罚款，货值金额不足五万元的，按五万元计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第九十二条</w:t>
      </w:r>
      <w:r>
        <w:rPr>
          <w:rFonts w:hint="eastAsia" w:ascii="宋体" w:hAnsi="宋体" w:cs="Arial"/>
          <w:kern w:val="0"/>
          <w:szCs w:val="32"/>
        </w:rPr>
        <w:t>　监护人未依法保证适龄儿童按时接种免疫规划疫苗的，由县级人民政府卫生健康主管部门批评教育，责令改正。</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托幼机构、学校在儿童入托、入学时未按照规定查验预防接种证，或者发现未按照规定接种的儿童后未向接种单位报告的，由县级以上地方人民政府教育行政部门责令改正，给予警告，对主要负责人、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第九十三条</w:t>
      </w:r>
      <w:r>
        <w:rPr>
          <w:rFonts w:hint="eastAsia" w:ascii="宋体" w:hAnsi="宋体" w:cs="Arial"/>
          <w:kern w:val="0"/>
          <w:szCs w:val="32"/>
        </w:rPr>
        <w:t>　编造、散布虚假疫苗安全信息，或者在接种单位寻衅滋事，构成违反治安管理行为的，由公安机关依法给予治安管理处罚。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报纸、期刊、广播、电视、互联网站等传播媒介编造、散布虚假疫苗安全信息的，由有关部门依法给予处罚，对主要负责人、直接负责的主管人员和其他直接责任人员依法给予处分。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第九十四条</w:t>
      </w:r>
      <w:r>
        <w:rPr>
          <w:rFonts w:hint="eastAsia" w:ascii="宋体" w:hAnsi="宋体" w:cs="Arial"/>
          <w:kern w:val="0"/>
          <w:szCs w:val="32"/>
        </w:rPr>
        <w:t>　县级以上地方人民政府在疫苗监督管理工作中有下列情形之一的，对直接负责的主管人员和其他直接责任人员依法给予降级或者撤职处分;情节严重的，依法给予开除处分;造成严重后果的，其主要负责人应当引咎辞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(一)履行职责不力，造成严重不良影响或者重大损失;</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(二)瞒报、谎报、缓报、漏报疫苗安全事件;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(三)干扰、阻碍对疫苗违法行为或者疫苗安全事件的调查;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(四)本行政区域发生特别重大疫苗安全事故，或者连续发生重大疫苗安全事故。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第九十五条</w:t>
      </w:r>
      <w:r>
        <w:rPr>
          <w:rFonts w:hint="eastAsia" w:ascii="宋体" w:hAnsi="宋体" w:cs="Arial"/>
          <w:kern w:val="0"/>
          <w:szCs w:val="32"/>
        </w:rPr>
        <w:t>　药品监督管理部门、卫生健康主管部门等部门在疫苗监督管理工作中有下列情形之一的，对直接负责的主管人员和其他直接责任人员依法给予降级或者撤职处分;情节严重的，依法给予开除处分;造成严重后果的，其主要负责人应当引咎辞职：</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(一)未履行监督检查职责，或者发现违法行为不及时查处;</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(二)擅自进行群体性预防接种;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(三)瞒报、谎报、缓报、漏报疫苗安全事件;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(四)干扰、阻碍对疫苗违法行为或者疫苗安全事件的调查;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(五)泄露举报人的信息;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(六)接到疑似预防接种异常反应相关报告，未按照规定组织调查、处理;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(七)其他未履行疫苗监督管理职责的行为，造成严重不良影响或者重大损失。</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rPr>
        <w:t>　　第九十六条</w:t>
      </w:r>
      <w:r>
        <w:rPr>
          <w:rFonts w:hint="eastAsia" w:ascii="宋体" w:hAnsi="宋体" w:cs="Arial"/>
          <w:kern w:val="0"/>
          <w:szCs w:val="32"/>
        </w:rPr>
        <w:t>　因疫苗质量问题造成受种者损害的，疫苗上市许可持有人应当依法承担赔偿责任。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疾病预防控制机构、接种单位因违反预防接种工作规范、免疫程序、疫苗使用指导原则、接种方案，造成受种者损害的，应当依法承担赔偿责任。</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rPr>
      </w:pPr>
      <w:r>
        <w:rPr>
          <w:rFonts w:hint="eastAsia" w:ascii="黑体" w:hAnsi="黑体" w:eastAsia="黑体" w:cs="黑体"/>
          <w:kern w:val="0"/>
          <w:szCs w:val="32"/>
        </w:rPr>
        <w:t>第十一章　附则</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第九十七条</w:t>
      </w:r>
      <w:r>
        <w:rPr>
          <w:rFonts w:hint="eastAsia" w:ascii="宋体" w:hAnsi="宋体" w:cs="Arial"/>
          <w:kern w:val="0"/>
          <w:szCs w:val="32"/>
        </w:rPr>
        <w:t>　本法下列用语的含义是：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免疫规划疫苗，是指居民应当按照政府的规定接种的疫苗，包括国家免疫规划确定的疫苗，省、自治区、直辖市人民政府在执行国家免疫规划时增加的疫苗，以及县级以上人民政府或者其卫生健康主管部门组织的应急接种或者群体性预防接种所使用的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非免疫规划疫苗，是指由居民自愿接种的其他疫苗。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疫苗上市许可持有人，是指依法取得疫苗药品注册证书和药品生产许可证的企业。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第九十八条</w:t>
      </w:r>
      <w:r>
        <w:rPr>
          <w:rFonts w:hint="eastAsia" w:ascii="宋体" w:hAnsi="宋体" w:cs="Arial"/>
          <w:kern w:val="0"/>
          <w:szCs w:val="32"/>
        </w:rPr>
        <w:t>　国家鼓励疫苗生产企业按照国际采购要求生产、出口疫苗。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出口的疫苗应当符合进口国(地区)的标准或者合同要求。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第九十九条</w:t>
      </w:r>
      <w:r>
        <w:rPr>
          <w:rFonts w:hint="eastAsia" w:ascii="宋体" w:hAnsi="宋体" w:cs="Arial"/>
          <w:kern w:val="0"/>
          <w:szCs w:val="32"/>
        </w:rPr>
        <w:t>　出入境预防接种及所需疫苗的采购，由国境卫生检疫机关商国务院财政部门另行规定。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第一百条</w:t>
      </w:r>
      <w:r>
        <w:rPr>
          <w:rFonts w:hint="eastAsia" w:ascii="宋体" w:hAnsi="宋体" w:cs="Arial"/>
          <w:kern w:val="0"/>
          <w:szCs w:val="32"/>
        </w:rPr>
        <w:t>　本法自2019年12月1日起施行。</w:t>
      </w:r>
    </w:p>
    <w:p>
      <w:pPr>
        <w:rPr>
          <w:rFonts w:hint="eastAsia" w:ascii="宋体" w:hAnsi="宋体" w:eastAsia="宋体" w:cs="宋体"/>
          <w:kern w:val="0"/>
          <w:sz w:val="44"/>
          <w:szCs w:val="44"/>
          <w:lang w:val="en-US" w:eastAsia="zh-CN"/>
        </w:rPr>
      </w:pPr>
      <w:r>
        <w:rPr>
          <w:rFonts w:hint="eastAsia" w:ascii="宋体" w:hAnsi="宋体" w:eastAsia="宋体" w:cs="宋体"/>
          <w:kern w:val="0"/>
          <w:sz w:val="44"/>
          <w:szCs w:val="44"/>
          <w:lang w:val="en-US" w:eastAsia="zh-CN"/>
        </w:rPr>
        <w:br w:type="page"/>
      </w:r>
    </w:p>
    <w:p>
      <w:pPr>
        <w:pStyle w:val="4"/>
        <w:widowControl/>
        <w:shd w:val="clear" w:color="050000" w:fill="FFFFFF"/>
        <w:spacing w:before="0" w:beforeAutospacing="0" w:after="0" w:afterAutospacing="0" w:line="480" w:lineRule="atLeast"/>
        <w:ind w:left="0" w:right="0" w:firstLine="0"/>
        <w:jc w:val="center"/>
        <w:rPr>
          <w:rFonts w:hint="eastAsia" w:ascii="宋体" w:hAnsi="宋体" w:eastAsia="宋体" w:cs="宋体"/>
          <w:b w:val="0"/>
          <w:bCs w:val="0"/>
          <w:kern w:val="0"/>
          <w:sz w:val="44"/>
          <w:szCs w:val="44"/>
          <w:lang w:val="en-US" w:eastAsia="zh-CN" w:bidi="ar-SA"/>
        </w:rPr>
      </w:pPr>
      <w:bookmarkStart w:id="170" w:name="_Toc23661"/>
      <w:r>
        <w:rPr>
          <w:rFonts w:hint="eastAsia" w:ascii="宋体" w:hAnsi="宋体" w:eastAsia="宋体" w:cs="宋体"/>
          <w:b w:val="0"/>
          <w:bCs w:val="0"/>
          <w:kern w:val="0"/>
          <w:sz w:val="44"/>
          <w:szCs w:val="44"/>
          <w:lang w:val="en-US" w:eastAsia="zh-CN" w:bidi="ar-SA"/>
        </w:rPr>
        <w:t>中华人民共和国中医药法</w:t>
      </w:r>
      <w:bookmarkEnd w:id="170"/>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楷体_GB2312"/>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（2016年12月25日第十二届全国人民代表大会常务委员会第二十五次会议通过）</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lang w:val="en-US" w:eastAsia="zh-CN"/>
        </w:rPr>
      </w:pPr>
    </w:p>
    <w:p>
      <w:pPr>
        <w:widowControl w:val="0"/>
        <w:wordWrap/>
        <w:overflowPunct w:val="0"/>
        <w:spacing w:beforeAutospacing="0" w:afterAutospacing="0" w:line="560" w:lineRule="exact"/>
        <w:jc w:val="center"/>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目 录</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第一章 总则</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第二章 中医药服务</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第三章 中药保护与发展</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第四章 中医药人才培养</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第五章 中医药科学研究</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第六章 中医药传承与文化传播</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第七章 保障措施</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第八章 法律责任</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lang w:val="en-US" w:eastAsia="zh-CN"/>
        </w:rPr>
        <w:t>　　第九章 附则</w:t>
      </w:r>
    </w:p>
    <w:p>
      <w:pPr>
        <w:widowControl w:val="0"/>
        <w:wordWrap/>
        <w:overflowPunct w:val="0"/>
        <w:spacing w:beforeAutospacing="0" w:afterAutospacing="0" w:line="560" w:lineRule="exact"/>
        <w:textAlignment w:val="auto"/>
        <w:rPr>
          <w:rFonts w:hint="eastAsia" w:ascii="宋体" w:hAnsi="宋体" w:cs="Arial"/>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第一章  总 则</w:t>
      </w:r>
    </w:p>
    <w:p>
      <w:pPr>
        <w:pStyle w:val="3"/>
        <w:rPr>
          <w:rFonts w:hint="eastAsia"/>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第一条  </w:t>
      </w:r>
      <w:r>
        <w:rPr>
          <w:rFonts w:hint="eastAsia" w:ascii="宋体" w:hAnsi="宋体" w:cs="Arial"/>
          <w:kern w:val="0"/>
          <w:szCs w:val="32"/>
          <w:lang w:val="en-US" w:eastAsia="zh-CN"/>
        </w:rPr>
        <w:t>为了继承和弘扬中医药，保障和促进中医药事业发展，保护人民健康，制定本法。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第二条</w:t>
      </w:r>
      <w:r>
        <w:rPr>
          <w:rFonts w:hint="eastAsia" w:ascii="宋体" w:hAnsi="宋体" w:cs="Arial"/>
          <w:kern w:val="0"/>
          <w:szCs w:val="32"/>
          <w:lang w:val="en-US" w:eastAsia="zh-CN"/>
        </w:rPr>
        <w:t> 本法所称中医药，是包括汉族和少数民族医药在内的我国各民族医药的统称，是反映中华民族对生命、健康和疾病的认识，具有悠久历史传统和独特理论及技术方法的医药学体系。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第三条</w:t>
      </w:r>
      <w:r>
        <w:rPr>
          <w:rFonts w:hint="eastAsia" w:ascii="宋体" w:hAnsi="宋体" w:cs="Arial"/>
          <w:kern w:val="0"/>
          <w:szCs w:val="32"/>
          <w:lang w:val="en-US" w:eastAsia="zh-CN"/>
        </w:rPr>
        <w:t> 中医药事业是我国医药卫生事业的重要组成部分。国家大力发展中医药事业，实行中西医并重的方针，建立符合中医药特点的管理制度，充分发挥中医药在我国医药卫生事业中的作用。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发展中医药事业应当遵循中医药发展规律，坚持继承和创新相结合，保持和发挥中医药特色和优势，运用现代科学技术，促进中医药理论和实践的发展。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国家鼓励中医西医相互学习，相互补充，协调发展，发挥各自优势，促进中西医结合。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第四条</w:t>
      </w:r>
      <w:r>
        <w:rPr>
          <w:rFonts w:hint="eastAsia" w:ascii="宋体" w:hAnsi="宋体" w:cs="Arial"/>
          <w:kern w:val="0"/>
          <w:szCs w:val="32"/>
          <w:lang w:val="en-US" w:eastAsia="zh-CN"/>
        </w:rPr>
        <w:t> 县级以上人民政府应当将中医药事业纳入国民经济和社会发展规划，建立健全中医药管理体系，统筹推进中医药事业发展。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第五条</w:t>
      </w:r>
      <w:r>
        <w:rPr>
          <w:rFonts w:hint="eastAsia" w:ascii="宋体" w:hAnsi="宋体" w:cs="Arial"/>
          <w:kern w:val="0"/>
          <w:szCs w:val="32"/>
          <w:lang w:val="en-US" w:eastAsia="zh-CN"/>
        </w:rPr>
        <w:t> 国务院中医药主管部门负责全国的中医药管理工作。国务院其他有关部门在各自职责范围内负责与中医药管理有关的工作。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县级以上地方人民政府中医药主管部门负责本行政区域的中医药管理工作。县级以上地方人民政府其他有关部门在各自职责范围内负责与中医药管理有关的工作。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第六条</w:t>
      </w:r>
      <w:r>
        <w:rPr>
          <w:rFonts w:hint="eastAsia" w:ascii="宋体" w:hAnsi="宋体" w:cs="Arial"/>
          <w:kern w:val="0"/>
          <w:szCs w:val="32"/>
          <w:lang w:val="en-US" w:eastAsia="zh-CN"/>
        </w:rPr>
        <w:t> 国家加强中医药服务体系建设，合理规划和配置中医药服务资源，为公民获得中医药服务提供保障。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国家支持社会力量投资中医药事业，支持组织和个人捐赠、资助中医药事业。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第七条</w:t>
      </w:r>
      <w:r>
        <w:rPr>
          <w:rFonts w:hint="eastAsia" w:ascii="宋体" w:hAnsi="宋体" w:cs="Arial"/>
          <w:kern w:val="0"/>
          <w:szCs w:val="32"/>
          <w:lang w:val="en-US" w:eastAsia="zh-CN"/>
        </w:rPr>
        <w:t> 国家发展中医药教育，建立适应中医药事业发展需要、规模适宜、结构合理、形式多样的中医药教育体系，培养中医药人才。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第八条</w:t>
      </w:r>
      <w:r>
        <w:rPr>
          <w:rFonts w:hint="eastAsia" w:ascii="宋体" w:hAnsi="宋体" w:cs="Arial"/>
          <w:kern w:val="0"/>
          <w:szCs w:val="32"/>
          <w:lang w:val="en-US" w:eastAsia="zh-CN"/>
        </w:rPr>
        <w:t> 国家支持中医药科学研究和技术开发，鼓励中医药科学技术创新，推广应用中医药科学技术成果，保护中医药知识产权，提高中医药科学技术水平。</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第九条</w:t>
      </w:r>
      <w:r>
        <w:rPr>
          <w:rFonts w:hint="eastAsia" w:ascii="宋体" w:hAnsi="宋体" w:cs="Arial"/>
          <w:kern w:val="0"/>
          <w:szCs w:val="32"/>
          <w:lang w:val="en-US" w:eastAsia="zh-CN"/>
        </w:rPr>
        <w:t> 国家支持中医药对外交流与合作，促进中医药的国际传播和应用。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第十条</w:t>
      </w:r>
      <w:r>
        <w:rPr>
          <w:rFonts w:hint="eastAsia" w:ascii="宋体" w:hAnsi="宋体" w:cs="Arial"/>
          <w:kern w:val="0"/>
          <w:szCs w:val="32"/>
          <w:lang w:val="en-US" w:eastAsia="zh-CN"/>
        </w:rPr>
        <w:t> 对在中医药事业中做出突出贡献的组织和个人，按照国家有关规定给予表彰、奖励。</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第二章  中医药服务</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第十一条</w:t>
      </w:r>
      <w:r>
        <w:rPr>
          <w:rFonts w:hint="eastAsia" w:ascii="宋体" w:hAnsi="宋体" w:cs="Arial"/>
          <w:kern w:val="0"/>
          <w:szCs w:val="32"/>
          <w:lang w:val="en-US" w:eastAsia="zh-CN"/>
        </w:rPr>
        <w:t> 县级以上人民政府应当将中医医疗机构建设纳入医疗机构设置规划，举办规模适宜的中医医疗机构，扶持有中医药特色和优势的医疗机构发展。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合并、撤销政府举办的中医医疗机构或者改变其中医医疗性质，应当征求上一级人民政府中医药主管部门的意见。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第十二条</w:t>
      </w:r>
      <w:r>
        <w:rPr>
          <w:rFonts w:hint="eastAsia" w:ascii="宋体" w:hAnsi="宋体" w:cs="Arial"/>
          <w:kern w:val="0"/>
          <w:szCs w:val="32"/>
          <w:lang w:val="en-US" w:eastAsia="zh-CN"/>
        </w:rPr>
        <w:t> 政府举办的综合医院、妇幼保健机构和有条件的专科医院、社区卫生服务中心、乡镇卫生院，应当设置中医药科室。</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县级以上人民政府应当采取措施，增强社区卫生服务站和村卫生室提供中医药服务的能力。</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第十三条</w:t>
      </w:r>
      <w:r>
        <w:rPr>
          <w:rFonts w:hint="eastAsia" w:ascii="宋体" w:hAnsi="宋体" w:cs="Arial"/>
          <w:kern w:val="0"/>
          <w:szCs w:val="32"/>
          <w:lang w:val="en-US" w:eastAsia="zh-CN"/>
        </w:rPr>
        <w:t> 国家支持社会力量举办中医医疗机构。</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社会力量举办的中医医疗机构在准入、执业、基本医疗保险、科研教学、医务人员职称评定等方面享有与政府举办的中医医疗机构同等的权利。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第十四条</w:t>
      </w:r>
      <w:r>
        <w:rPr>
          <w:rFonts w:hint="eastAsia" w:ascii="宋体" w:hAnsi="宋体" w:cs="Arial"/>
          <w:kern w:val="0"/>
          <w:szCs w:val="32"/>
          <w:lang w:val="en-US" w:eastAsia="zh-CN"/>
        </w:rPr>
        <w:t> 举办中医医疗机构应当按照国家有关医疗机构管理的规定办理审批手续，并遵守医疗机构管理的有关规定。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举办中医诊所的，将诊所的名称、地址、诊疗范围、人员配备情况等报所在地县级人民政府中医药主管部门备案后即可开展执业活动。中医诊所应当将本诊所的诊疗范围、中医医师的姓名及其执业范围在诊所的明显位置公示，不得超出备案范围开展医疗活动。具体办法由国务院中医药主管部门拟订，报国务院卫生行政部门审核、发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第十五条</w:t>
      </w:r>
      <w:r>
        <w:rPr>
          <w:rFonts w:hint="eastAsia" w:ascii="宋体" w:hAnsi="宋体" w:cs="Arial"/>
          <w:kern w:val="0"/>
          <w:szCs w:val="32"/>
          <w:lang w:val="en-US" w:eastAsia="zh-CN"/>
        </w:rPr>
        <w:t> 从事中医医疗活动的人员应当依照《中华人民共和国执业医师法》的规定，通过中医医师资格考试取得中医医师资格，并进行执业注册。中医医师资格考试的内容应当体现中医药特点。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以师承方式学习中医或者经多年实践，医术确有专长的人员，由至少两名中医医师推荐，经省、自治区、直辖市人民政府中医药主管部门组织实践技能和效果考核合格后，即可取得中医医师资格；按照考核内容进行执业注册后，即可在注册的执业范围内，以个人开业的方式或者在医疗机构内从事中医医疗活动。国务院中医药主管部门应当根据中医药技术方法的安全风险拟订本款规定人员的分类考核办法，报国务院卫生行政部门审核、发布。</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第十六条</w:t>
      </w:r>
      <w:r>
        <w:rPr>
          <w:rFonts w:hint="eastAsia" w:ascii="宋体" w:hAnsi="宋体" w:cs="Arial"/>
          <w:kern w:val="0"/>
          <w:szCs w:val="32"/>
          <w:lang w:val="en-US" w:eastAsia="zh-CN"/>
        </w:rPr>
        <w:t> 中医医疗机构配备医务人员应当以中医药专业技术人员为主，主要提供中医药服务；经考试取得医师资格的中医医师按照国家有关规定，经培训、考核合格后，可以在执业活动中采用与其专业相关的现代科学技术方法。在医疗活动中采用现代科学技术方法的，应当有利于保持和发挥中医药特色和优势。</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社区卫生服务中心、乡镇卫生院、社区卫生服务站以及有条件的村卫生室应当合理配备中医药专业技术人员，并运用和推广适宜的中医药技术方法。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第十七条</w:t>
      </w:r>
      <w:r>
        <w:rPr>
          <w:rFonts w:hint="eastAsia" w:ascii="宋体" w:hAnsi="宋体" w:cs="Arial"/>
          <w:kern w:val="0"/>
          <w:szCs w:val="32"/>
          <w:lang w:val="en-US" w:eastAsia="zh-CN"/>
        </w:rPr>
        <w:t> 开展中医药服务，应当以中医药理论为指导，运用中医药技术方法，并符合国务院中医药主管部门制定的中医药服务基本要求。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第十八条</w:t>
      </w:r>
      <w:r>
        <w:rPr>
          <w:rFonts w:hint="eastAsia" w:ascii="宋体" w:hAnsi="宋体" w:cs="Arial"/>
          <w:kern w:val="0"/>
          <w:szCs w:val="32"/>
          <w:lang w:val="en-US" w:eastAsia="zh-CN"/>
        </w:rPr>
        <w:t> 县级以上人民政府应当发展中医药预防、保健服务，并按照国家有关规定将其纳入基本公共卫生服务项目统筹实施。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县级以上人民政府应当发挥中医药在突发公共卫生事件应急工作中的作用，加强中医药应急物资、设备、设施、技术与人才资源储备。</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医疗卫生机构应当在疾病预防与控制中积极运用中医药理论和技术方法。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第十九条</w:t>
      </w:r>
      <w:r>
        <w:rPr>
          <w:rFonts w:hint="eastAsia" w:ascii="宋体" w:hAnsi="宋体" w:cs="Arial"/>
          <w:kern w:val="0"/>
          <w:szCs w:val="32"/>
          <w:lang w:val="en-US" w:eastAsia="zh-CN"/>
        </w:rPr>
        <w:t> 医疗机构发布中医医疗广告，应当经所在地省、自治区、直辖市人民政府中医药主管部门审查批准；未经审查批准，不得发布。发布的中医医疗广告内容应当与经审查批准的内容相符合，并符合《中华人民共和国广告法》的有关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第二十条</w:t>
      </w:r>
      <w:r>
        <w:rPr>
          <w:rFonts w:hint="eastAsia" w:ascii="宋体" w:hAnsi="宋体" w:cs="Arial"/>
          <w:kern w:val="0"/>
          <w:szCs w:val="32"/>
          <w:lang w:val="en-US" w:eastAsia="zh-CN"/>
        </w:rPr>
        <w:t> 县级以上人民政府中医药主管部门应当加强对中医药服务的监督检查，并将下列事项作为监督检查的重点：</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（一）中医医疗机构、中医医师是否超出规定的范围开展医疗活动；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（二）开展中医药服务是否符合国务院中医药主管部门制定的中医药服务基本要求；</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（三）中医医疗广告发布行为是否符合本法的规定。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中医药主管部门依法开展监督检查，有关单位和个人应当予以配合，不得拒绝或者阻挠。</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第三章  中药保护与发展</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第二十一条</w:t>
      </w:r>
      <w:r>
        <w:rPr>
          <w:rFonts w:hint="eastAsia" w:ascii="宋体" w:hAnsi="宋体" w:cs="Arial"/>
          <w:kern w:val="0"/>
          <w:szCs w:val="32"/>
          <w:lang w:val="en-US" w:eastAsia="zh-CN"/>
        </w:rPr>
        <w:t> 国家制定中药材种植养殖、采集、贮存和初加工的技术规范、标准，加强对中药材生产流通全过程的质量监督管理，保障中药材质量安全。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第二十二条</w:t>
      </w:r>
      <w:r>
        <w:rPr>
          <w:rFonts w:hint="eastAsia" w:ascii="宋体" w:hAnsi="宋体" w:cs="Arial"/>
          <w:kern w:val="0"/>
          <w:szCs w:val="32"/>
          <w:lang w:val="en-US" w:eastAsia="zh-CN"/>
        </w:rPr>
        <w:t> 国家鼓励发展中药材规范化种植养殖，严格管理农药、肥料等农业投入品的使用，禁止在中药材种植过程中使用剧毒、高毒农药，支持中药材良种繁育，提高中药材质量。</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第二十三条</w:t>
      </w:r>
      <w:r>
        <w:rPr>
          <w:rFonts w:hint="eastAsia" w:ascii="宋体" w:hAnsi="宋体" w:cs="Arial"/>
          <w:kern w:val="0"/>
          <w:szCs w:val="32"/>
          <w:lang w:val="en-US" w:eastAsia="zh-CN"/>
        </w:rPr>
        <w:t> 国家建立道地中药材评价体系，支持道地中药材品种选育，扶持道地中药材生产基地建设，加强道地中药材生产基地生态环境保护，鼓励采取地理标志产品保护等措施保护道地中药材。</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前款所称道地中药材，是指经过中医临床长期应用优选出来的，产在特定地域，与其他地区所产同种中药材相比，品质和疗效更好，且质量稳定，具有较高知名度的中药材。</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第二十四条</w:t>
      </w:r>
      <w:r>
        <w:rPr>
          <w:rFonts w:hint="eastAsia" w:ascii="宋体" w:hAnsi="宋体" w:cs="Arial"/>
          <w:kern w:val="0"/>
          <w:szCs w:val="32"/>
          <w:lang w:val="en-US" w:eastAsia="zh-CN"/>
        </w:rPr>
        <w:t> 国务院药品监督管理部门应当组织并加强对中药材质量的监测，定期向社会公布监测结果。国务院有关部门应当协助做好中药材质量监测有关工作。</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采集、贮存中药材以及对中药材进行初加工，应当符合国家有关技术规范、标准和管理规定。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鼓励发展中药材现代流通体系，提高中药材包装、仓储等技术水平，建立中药材流通追溯体系。药品生产企业购进中药材应当建立进货查验记录制度。中药材经营者应当建立进货查验和购销记录制度，并标明中药材产地。</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第二十五条</w:t>
      </w:r>
      <w:r>
        <w:rPr>
          <w:rFonts w:hint="eastAsia" w:ascii="宋体" w:hAnsi="宋体" w:cs="Arial"/>
          <w:kern w:val="0"/>
          <w:szCs w:val="32"/>
          <w:lang w:val="en-US" w:eastAsia="zh-CN"/>
        </w:rPr>
        <w:t> 国家保护药用野生动植物资源，对药用野生动植物资源实行动态监测和定期普查，建立药用野生动植物资源种质基因库，鼓励发展人工种植养殖，支持依法开展珍贵、濒危药用野生动植物的保护、繁育及其相关研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第二十六条</w:t>
      </w:r>
      <w:r>
        <w:rPr>
          <w:rFonts w:hint="eastAsia" w:ascii="宋体" w:hAnsi="宋体" w:cs="Arial"/>
          <w:kern w:val="0"/>
          <w:szCs w:val="32"/>
          <w:lang w:val="en-US" w:eastAsia="zh-CN"/>
        </w:rPr>
        <w:t> 在村医疗机构执业的中医医师、具备中药材知识和识别能力的乡村医生，按照国家有关规定可以自种、自采地产中药材并在其执业活动中使用。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第二十七条</w:t>
      </w:r>
      <w:r>
        <w:rPr>
          <w:rFonts w:hint="eastAsia" w:ascii="宋体" w:hAnsi="宋体" w:cs="Arial"/>
          <w:kern w:val="0"/>
          <w:szCs w:val="32"/>
          <w:lang w:val="en-US" w:eastAsia="zh-CN"/>
        </w:rPr>
        <w:t> 国家保护中药饮片传统炮制技术和工艺，支持应用传统工艺炮制中药饮片，鼓励运用现代科学技术开展中药饮片炮制技术研究。</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第二十八条</w:t>
      </w:r>
      <w:r>
        <w:rPr>
          <w:rFonts w:hint="eastAsia" w:ascii="宋体" w:hAnsi="宋体" w:cs="Arial"/>
          <w:kern w:val="0"/>
          <w:szCs w:val="32"/>
          <w:lang w:val="en-US" w:eastAsia="zh-CN"/>
        </w:rPr>
        <w:t> 对市场上没有供应的中药饮片，医疗机构可以根据本医疗机构医师处方的需要，在本医疗机构内炮制、使用。医疗机构应当遵守中药饮片炮制的有关规定，对其炮制的中药饮片的质量负责，保证药品安全。医疗机构炮制中药饮片，应当向所在地设区的市级人民政府药品监督管理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根据临床用药需要，医疗机构可以凭本医疗机构医师的处方对中药饮片进行再加工。</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第二十九条</w:t>
      </w:r>
      <w:r>
        <w:rPr>
          <w:rFonts w:hint="eastAsia" w:ascii="宋体" w:hAnsi="宋体" w:cs="Arial"/>
          <w:kern w:val="0"/>
          <w:szCs w:val="32"/>
          <w:lang w:val="en-US" w:eastAsia="zh-CN"/>
        </w:rPr>
        <w:t> 国家鼓励和支持中药新药的研制和生产。</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国家保护传统中药加工技术和工艺，支持传统剂型中成药的生产，鼓励运用现代科学技术研究开发传统中成药。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第三十条</w:t>
      </w:r>
      <w:r>
        <w:rPr>
          <w:rFonts w:hint="eastAsia" w:ascii="宋体" w:hAnsi="宋体" w:cs="Arial"/>
          <w:kern w:val="0"/>
          <w:szCs w:val="32"/>
          <w:lang w:val="en-US" w:eastAsia="zh-CN"/>
        </w:rPr>
        <w:t> 生产符合国家规定条件的来源于古代经典名方的中药复方制剂，在申请药品批准文号时，可以仅提供非临床安全性研究资料。具体管理办法由国务院药品监督管理部门会同中医药主管部门制定。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前款所称古代经典名方，是指至今仍广泛应用、疗效确切、具有明显特色与优势的古代中医典籍所记载的方剂。具体目录由国务院中医药主管部门会同药品监督管理部门制定。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第三十一条</w:t>
      </w:r>
      <w:r>
        <w:rPr>
          <w:rFonts w:hint="eastAsia" w:ascii="宋体" w:hAnsi="宋体" w:cs="Arial"/>
          <w:kern w:val="0"/>
          <w:szCs w:val="32"/>
          <w:lang w:val="en-US" w:eastAsia="zh-CN"/>
        </w:rPr>
        <w:t> 国家鼓励医疗机构根据本医疗机构临床用药需要配制和使用中药制剂，支持应用传统工艺配制中药制剂，支持以中药制剂为基础研制中药新药。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配制中药制剂，应当依照《中华人民共和国药品管理法》的规定取得医疗机构制剂许可证，或者委托取得药品生产许可证的药品生产企业、取得医疗机构制剂许可证的其他医疗机构配制中药制剂。委托配制中药制剂，应当向委托方所在地省、自治区、直辖市人民政府药品监督管理部门备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医疗机构对其配制的中药制剂的质量负责；委托配制中药制剂的，委托方和受托方对所配制的中药制剂的质量分别承担相应责任。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第三十二条</w:t>
      </w:r>
      <w:r>
        <w:rPr>
          <w:rFonts w:hint="eastAsia" w:ascii="宋体" w:hAnsi="宋体" w:cs="Arial"/>
          <w:kern w:val="0"/>
          <w:szCs w:val="32"/>
          <w:lang w:val="en-US" w:eastAsia="zh-CN"/>
        </w:rPr>
        <w:t> 医疗机构配制的中药制剂品种，应当依法取得制剂批准文号。但是，仅应用传统工艺配制的中药制剂品种，向医疗机构所在地省、自治区、直辖市人民政府药品监督管理部门备案后即可配制，不需要取得制剂批准文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医疗机构应当加强对备案的中药制剂品种的不良反应监测，并按照国家有关规定进行报告。药品监督管理部门应当加强对备案的中药制剂品种配制、使用的监督检查。</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第四章  中医药人才培养</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第三十三条</w:t>
      </w:r>
      <w:r>
        <w:rPr>
          <w:rFonts w:hint="eastAsia" w:ascii="宋体" w:hAnsi="宋体" w:cs="Arial"/>
          <w:kern w:val="0"/>
          <w:szCs w:val="32"/>
          <w:lang w:val="en-US" w:eastAsia="zh-CN"/>
        </w:rPr>
        <w:t> 中医药教育应当遵循中医药人才成长规律，以中医药内容为主，体现中医药文化特色，注重中医药经典理论和中医药临床实践、现代教育方式和传统教育方式相结合。</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第三十四条</w:t>
      </w:r>
      <w:r>
        <w:rPr>
          <w:rFonts w:hint="eastAsia" w:ascii="宋体" w:hAnsi="宋体" w:cs="Arial"/>
          <w:kern w:val="0"/>
          <w:szCs w:val="32"/>
          <w:lang w:val="en-US" w:eastAsia="zh-CN"/>
        </w:rPr>
        <w:t> 国家完善中医药学校教育体系，支持专门实施中医药教育的高等学校、中等职业学校和其他教育机构的发展。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中医药学校教育的培养目标、修业年限、教学形式、教学内容、教学评价及学术水平评价标准等，应当体现中医药学科特色，符合中医药学科发展规律。</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第三十五条</w:t>
      </w:r>
      <w:r>
        <w:rPr>
          <w:rFonts w:hint="eastAsia" w:ascii="宋体" w:hAnsi="宋体" w:cs="Arial"/>
          <w:kern w:val="0"/>
          <w:szCs w:val="32"/>
          <w:lang w:val="en-US" w:eastAsia="zh-CN"/>
        </w:rPr>
        <w:t> 国家发展中医药师承教育，支持有丰富临床经验和技术专长的中医医师、中药专业技术人员在执业、业务活动中带徒授业，传授中医药理论和技术方法，培养中医药专业技术人员。</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第三十六条</w:t>
      </w:r>
      <w:r>
        <w:rPr>
          <w:rFonts w:hint="eastAsia" w:ascii="宋体" w:hAnsi="宋体" w:cs="Arial"/>
          <w:kern w:val="0"/>
          <w:szCs w:val="32"/>
          <w:lang w:val="en-US" w:eastAsia="zh-CN"/>
        </w:rPr>
        <w:t> 国家加强对中医医师和城乡基层中医药专业技术人员的培养和培训。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国家发展中西医结合教育，培养高层次的中西医结合人才。</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第三十七条</w:t>
      </w:r>
      <w:r>
        <w:rPr>
          <w:rFonts w:hint="eastAsia" w:ascii="宋体" w:hAnsi="宋体" w:cs="Arial"/>
          <w:kern w:val="0"/>
          <w:szCs w:val="32"/>
          <w:lang w:val="en-US" w:eastAsia="zh-CN"/>
        </w:rPr>
        <w:t> 县级以上地方人民政府中医药主管部门应当组织开展中医药继续教育，加强对医务人员，特别是城乡基层医务人员中医药基本知识和技能的培训。</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中医药专业技术人员应当按照规定参加继续教育，所在机构应当为其接受继续教育创造条件。</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第五章  中医药科学研究</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第三十八条</w:t>
      </w:r>
      <w:r>
        <w:rPr>
          <w:rFonts w:hint="eastAsia" w:ascii="宋体" w:hAnsi="宋体" w:cs="Arial"/>
          <w:kern w:val="0"/>
          <w:szCs w:val="32"/>
          <w:lang w:val="en-US" w:eastAsia="zh-CN"/>
        </w:rPr>
        <w:t> 国家鼓励科研机构、高等学校、医疗机构和药品生产企业等，运用现代科学技术和传统中医药研究方法，开展中医药科学研究，加强中西医结合研究，促进中医药理论和技术方法的继承和创新。</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第三十九条</w:t>
      </w:r>
      <w:r>
        <w:rPr>
          <w:rFonts w:hint="eastAsia" w:ascii="宋体" w:hAnsi="宋体" w:cs="Arial"/>
          <w:kern w:val="0"/>
          <w:szCs w:val="32"/>
          <w:lang w:val="en-US" w:eastAsia="zh-CN"/>
        </w:rPr>
        <w:t> 国家采取措施支持对中医药古籍文献、著名中医药专家的学术思想和诊疗经验以及民间中医药技术方法的整理、研究和利用。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国家鼓励组织和个人捐献有科学研究和临床应用价值的中医药文献、秘方、验方、诊疗方法和技术。</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第四十条</w:t>
      </w:r>
      <w:r>
        <w:rPr>
          <w:rFonts w:hint="eastAsia" w:ascii="宋体" w:hAnsi="宋体" w:cs="Arial"/>
          <w:kern w:val="0"/>
          <w:szCs w:val="32"/>
          <w:lang w:val="en-US" w:eastAsia="zh-CN"/>
        </w:rPr>
        <w:t> 国家建立和完善符合中医药特点的科学技术创新体系、评价体系和管理体制，推动中医药科学技术进步与创新。</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第四十一条</w:t>
      </w:r>
      <w:r>
        <w:rPr>
          <w:rFonts w:hint="eastAsia" w:ascii="宋体" w:hAnsi="宋体" w:cs="Arial"/>
          <w:kern w:val="0"/>
          <w:szCs w:val="32"/>
          <w:lang w:val="en-US" w:eastAsia="zh-CN"/>
        </w:rPr>
        <w:t> 国家采取措施，加强对中医药基础理论和辨证论治方法，常见病、多发病、慢性病和重大疑难疾病、重大传染病的中医药防治，以及其他对中医药理论和实践发展有重大促进作用的项目的科学研究。</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第六章  中医药传承与文化传播</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第四十二条</w:t>
      </w:r>
      <w:r>
        <w:rPr>
          <w:rFonts w:hint="eastAsia" w:ascii="宋体" w:hAnsi="宋体" w:cs="Arial"/>
          <w:kern w:val="0"/>
          <w:szCs w:val="32"/>
          <w:lang w:val="en-US" w:eastAsia="zh-CN"/>
        </w:rPr>
        <w:t> 对具有重要学术价值的中医药理论和技术方法，省级以上人民政府中医药主管部门应当组织遴选本行政区域内的中医药学术传承项目和传承人，并为传承活动提供必要的条件。传承人应当开展传承活动，培养后继人才，收集整理并妥善保存相关的学术资料。属于非物质文化遗产代表性项目的，依照《中华人民共和国非物质文化遗产法》的有关规定开展传承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第四十三条</w:t>
      </w:r>
      <w:r>
        <w:rPr>
          <w:rFonts w:hint="eastAsia" w:ascii="宋体" w:hAnsi="宋体" w:cs="Arial"/>
          <w:kern w:val="0"/>
          <w:szCs w:val="32"/>
          <w:lang w:val="en-US" w:eastAsia="zh-CN"/>
        </w:rPr>
        <w:t> 国家建立中医药传统知识保护数据库、保护名录和保护制度。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中医药传统知识持有人对其持有的中医药传统知识享有传承使用的权利，对他人获取、利用其持有的中医药传统知识享有知情同意和利益分享等权利。</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国家对经依法认定属于国家秘密的传统中药处方组成和生产工艺实行特殊保护。</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第四十四条</w:t>
      </w:r>
      <w:r>
        <w:rPr>
          <w:rFonts w:hint="eastAsia" w:ascii="宋体" w:hAnsi="宋体" w:cs="Arial"/>
          <w:kern w:val="0"/>
          <w:szCs w:val="32"/>
          <w:lang w:val="en-US" w:eastAsia="zh-CN"/>
        </w:rPr>
        <w:t> 国家发展中医养生保健服务，支持社会力量举办规范的中医养生保健机构。中医养生保健服务规范、标准由国务院中医药主管部门制定。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第四十五条</w:t>
      </w:r>
      <w:r>
        <w:rPr>
          <w:rFonts w:hint="eastAsia" w:ascii="宋体" w:hAnsi="宋体" w:cs="Arial"/>
          <w:kern w:val="0"/>
          <w:szCs w:val="32"/>
          <w:lang w:val="en-US" w:eastAsia="zh-CN"/>
        </w:rPr>
        <w:t> 县级以上人民政府应当加强中医药文化宣传，普及中医药知识，鼓励组织和个人创作中医药文化和科普作品。</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lang w:val="en-US" w:eastAsia="zh-CN"/>
        </w:rPr>
        <w:t>　　第四十六条</w:t>
      </w:r>
      <w:r>
        <w:rPr>
          <w:rFonts w:hint="eastAsia" w:ascii="宋体" w:hAnsi="宋体" w:cs="Arial"/>
          <w:kern w:val="0"/>
          <w:szCs w:val="32"/>
          <w:lang w:val="en-US" w:eastAsia="zh-CN"/>
        </w:rPr>
        <w:t> 开展中医药文化宣传和知识普及活动，应当遵守国家有关规定。任何组织或者个人不得对中医药作虚假、夸大宣传，不得冒用中医药名义牟取不正当利益。</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广播、电视、报刊、互联网等媒体开展中医药知识宣传，应当聘请中医药专业技术人员进行。</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numPr>
          <w:ilvl w:val="0"/>
          <w:numId w:val="5"/>
        </w:numPr>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 保障措施</w:t>
      </w:r>
    </w:p>
    <w:p>
      <w:pPr>
        <w:pStyle w:val="3"/>
        <w:numPr>
          <w:ilvl w:val="0"/>
          <w:numId w:val="5"/>
        </w:numPr>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第四十七条</w:t>
      </w:r>
      <w:r>
        <w:rPr>
          <w:rFonts w:hint="eastAsia" w:ascii="宋体" w:hAnsi="宋体" w:cs="Arial"/>
          <w:kern w:val="0"/>
          <w:szCs w:val="32"/>
          <w:lang w:val="en-US" w:eastAsia="zh-CN"/>
        </w:rPr>
        <w:t> 县级以上人民政府应当为中医药事业发展提供政策支持和条件保障，将中医药事业发展经费纳入本级财政预算。</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县级以上人民政府及其有关部门制定基本医疗保险支付政策、药物政策等医药卫生政策，应当有中医药主管部门参加，注重发挥中医药的优势，支持提供和利用中医药服务。</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第四十八条</w:t>
      </w:r>
      <w:r>
        <w:rPr>
          <w:rFonts w:hint="eastAsia" w:ascii="宋体" w:hAnsi="宋体" w:cs="Arial"/>
          <w:kern w:val="0"/>
          <w:szCs w:val="32"/>
          <w:lang w:val="en-US" w:eastAsia="zh-CN"/>
        </w:rPr>
        <w:t> 县级以上人民政府及其有关部门应当按照法定价格管理权限，合理确定中医医疗服务的收费项目和标准，体现中医医疗服务成本和专业技术价值。</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lang w:val="en-US" w:eastAsia="zh-CN"/>
        </w:rPr>
        <w:t>　　第四十九条</w:t>
      </w:r>
      <w:r>
        <w:rPr>
          <w:rFonts w:hint="eastAsia" w:ascii="宋体" w:hAnsi="宋体" w:cs="Arial"/>
          <w:kern w:val="0"/>
          <w:szCs w:val="32"/>
          <w:lang w:val="en-US" w:eastAsia="zh-CN"/>
        </w:rPr>
        <w:t> 县级以上地方人民政府有关部门应当按照国家规定，将符合条件的中医医疗机构纳入基本医疗保险定点医疗机构范围，将符合条件的中医诊疗项目、中药饮片、中成药和医疗机构中药制剂纳入基本医疗保险基金支付范围。</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第五十条</w:t>
      </w:r>
      <w:r>
        <w:rPr>
          <w:rFonts w:hint="eastAsia" w:ascii="宋体" w:hAnsi="宋体" w:cs="Arial"/>
          <w:kern w:val="0"/>
          <w:szCs w:val="32"/>
          <w:lang w:val="en-US" w:eastAsia="zh-CN"/>
        </w:rPr>
        <w:t> 国家加强中医药标准体系建设，根据中医药特点对需要统一的技术要求制定标准并及时修订。</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中医药国家标准、行业标准由国务院有关部门依据职责制定或者修订，并在其网站上公布，供公众免费查阅。</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国家推动建立中医药国际标准体系。</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第五十一条</w:t>
      </w:r>
      <w:r>
        <w:rPr>
          <w:rFonts w:hint="eastAsia" w:ascii="宋体" w:hAnsi="宋体" w:cs="Arial"/>
          <w:kern w:val="0"/>
          <w:szCs w:val="32"/>
          <w:lang w:val="en-US" w:eastAsia="zh-CN"/>
        </w:rPr>
        <w:t> 开展法律、行政法规规定的与中医药有关的评审、评估、鉴定活动，应当成立中医药评审、评估、鉴定的专门组织，或者有中医药专家参加。</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第五十二条</w:t>
      </w:r>
      <w:r>
        <w:rPr>
          <w:rFonts w:hint="eastAsia" w:ascii="宋体" w:hAnsi="宋体" w:cs="Arial"/>
          <w:kern w:val="0"/>
          <w:szCs w:val="32"/>
          <w:lang w:val="en-US" w:eastAsia="zh-CN"/>
        </w:rPr>
        <w:t> 国家采取措施，加大对少数民族医药传承创新、应用发展和人才培养的扶持力度，加强少数民族医疗机构和医师队伍建设，促进和规范少数民族医药事业发展。</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第八章  法律责任</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第五十三条</w:t>
      </w:r>
      <w:r>
        <w:rPr>
          <w:rFonts w:hint="eastAsia" w:ascii="宋体" w:hAnsi="宋体" w:cs="Arial"/>
          <w:kern w:val="0"/>
          <w:szCs w:val="32"/>
          <w:lang w:val="en-US" w:eastAsia="zh-CN"/>
        </w:rPr>
        <w:t> 县级以上人民政府中医药主管部门及其他有关部门未履行本法规定的职责的，由本级人民政府或者上级人民政府有关部门责令改正；情节严重的，对直接负责的主管人员和其他直接责任人员，依法给予处分。</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第五十四条</w:t>
      </w:r>
      <w:r>
        <w:rPr>
          <w:rFonts w:hint="eastAsia" w:ascii="宋体" w:hAnsi="宋体" w:cs="Arial"/>
          <w:kern w:val="0"/>
          <w:szCs w:val="32"/>
          <w:lang w:val="en-US" w:eastAsia="zh-CN"/>
        </w:rPr>
        <w:t> 违反本法规定，中医诊所超出备案范围开展医疗活动的，由所在地县级人民政府中医药主管部门责令改正，没收违法所得，并处一万元以上三万元以下罚款；情节严重的，责令停止执业活动。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中医诊所被责令停止执业活动的，其直接负责的主管人员自处罚决定作出之日起五年内不得在医疗机构内从事管理工作。医疗机构聘用上述不得从事管理工作的人员从事管理工作的，由原发证部门吊销执业许可证或者由原备案部门责令停止执业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第五十五条</w:t>
      </w:r>
      <w:r>
        <w:rPr>
          <w:rFonts w:hint="eastAsia" w:ascii="宋体" w:hAnsi="宋体" w:cs="Arial"/>
          <w:kern w:val="0"/>
          <w:szCs w:val="32"/>
          <w:lang w:val="en-US" w:eastAsia="zh-CN"/>
        </w:rPr>
        <w:t> 违反本法规定，经考核取得医师资格的中医医师超出注册的执业范围从事医疗活动的，由县级以上人民政府中医药主管部门责令暂停六个月以上一年以下执业活动，并处一万元以上三万元以下罚款；情节严重的，吊销执业证书。</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第五十六条</w:t>
      </w:r>
      <w:r>
        <w:rPr>
          <w:rFonts w:hint="eastAsia" w:ascii="宋体" w:hAnsi="宋体" w:cs="Arial"/>
          <w:kern w:val="0"/>
          <w:szCs w:val="32"/>
          <w:lang w:val="en-US" w:eastAsia="zh-CN"/>
        </w:rPr>
        <w:t> 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医疗机构应用传统工艺配制中药制剂未依照本法规定备案，或者未按照备案材料载明的要求配制中药制剂的，按生产假药给予处罚。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第五十七条</w:t>
      </w:r>
      <w:r>
        <w:rPr>
          <w:rFonts w:hint="eastAsia" w:ascii="宋体" w:hAnsi="宋体" w:cs="Arial"/>
          <w:kern w:val="0"/>
          <w:szCs w:val="32"/>
          <w:lang w:val="en-US" w:eastAsia="zh-CN"/>
        </w:rPr>
        <w:t> 违反本法规定，发布的中医医疗广告内容与经审查批准的内容不相符的，由原审查部门撤销该广告的审查批准文件，一年内不受理该医疗机构的广告审查申请。</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违反本法规定，发布中医医疗广告有前款规定以外违法行为的，依照《中华人民共和国广告法》的规定给予处罚。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第五十八条</w:t>
      </w:r>
      <w:r>
        <w:rPr>
          <w:rFonts w:hint="eastAsia" w:ascii="宋体" w:hAnsi="宋体" w:cs="Arial"/>
          <w:kern w:val="0"/>
          <w:szCs w:val="32"/>
          <w:lang w:val="en-US" w:eastAsia="zh-CN"/>
        </w:rPr>
        <w:t> 违反本法规定，在中药材种植过程中使用剧毒、高毒农药的，依照有关法律、法规规定给予处罚；情节严重的，可以由公安机关对其直接负责的主管人员和其他直接责任人员处五日以上十五日以下拘留。</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第五十九条</w:t>
      </w:r>
      <w:r>
        <w:rPr>
          <w:rFonts w:hint="eastAsia" w:ascii="宋体" w:hAnsi="宋体" w:cs="Arial"/>
          <w:kern w:val="0"/>
          <w:szCs w:val="32"/>
          <w:lang w:val="en-US" w:eastAsia="zh-CN"/>
        </w:rPr>
        <w:t> 违反本法规定，造成人身、财产损害的，依法承担民事责任；构成犯罪的，依法追究刑事责任。</w:t>
      </w: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p>
    <w:p>
      <w:pPr>
        <w:widowControl w:val="0"/>
        <w:wordWrap/>
        <w:overflowPunct w:val="0"/>
        <w:spacing w:beforeAutospacing="0" w:afterAutospacing="0" w:line="560" w:lineRule="exact"/>
        <w:jc w:val="center"/>
        <w:textAlignment w:val="auto"/>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第九章  附 则</w:t>
      </w:r>
    </w:p>
    <w:p>
      <w:pPr>
        <w:pStyle w:val="3"/>
        <w:rPr>
          <w:rFonts w:hint="eastAsia"/>
          <w:lang w:val="en-US" w:eastAsia="zh-CN"/>
        </w:rPr>
      </w:pP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第六十条</w:t>
      </w:r>
      <w:r>
        <w:rPr>
          <w:rFonts w:hint="eastAsia" w:ascii="宋体" w:hAnsi="宋体" w:cs="Arial"/>
          <w:kern w:val="0"/>
          <w:szCs w:val="32"/>
          <w:lang w:val="en-US" w:eastAsia="zh-CN"/>
        </w:rPr>
        <w:t> 中医药的管理，本法未作规定的，适用《中华人民共和国执业医师法》、《中华人民共和国药品管理法》等相关法律、行政法规的规定。</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军队的中医药管理，由军队卫生主管部门依照本法和军队有关规定组织实施。</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第六十一条</w:t>
      </w:r>
      <w:r>
        <w:rPr>
          <w:rFonts w:hint="eastAsia" w:ascii="宋体" w:hAnsi="宋体" w:cs="Arial"/>
          <w:kern w:val="0"/>
          <w:szCs w:val="32"/>
          <w:lang w:val="en-US" w:eastAsia="zh-CN"/>
        </w:rPr>
        <w:t> 民族自治地方可以根据《中华人民共和国民族区域自治法》和本法的有关规定，结合实际，制定促进和规范本地方少数民族医药事业发展的办法。</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第六十二条</w:t>
      </w:r>
      <w:r>
        <w:rPr>
          <w:rFonts w:hint="eastAsia" w:ascii="宋体" w:hAnsi="宋体" w:cs="Arial"/>
          <w:kern w:val="0"/>
          <w:szCs w:val="32"/>
          <w:lang w:val="en-US" w:eastAsia="zh-CN"/>
        </w:rPr>
        <w:t> 盲人按照国家有关规定取得盲人医疗按摩人员资格的，可以以个人开业的方式或者在医疗机构内提供医疗按摩服务。</w:t>
      </w:r>
    </w:p>
    <w:p>
      <w:pPr>
        <w:widowControl w:val="0"/>
        <w:wordWrap/>
        <w:overflowPunct w:val="0"/>
        <w:spacing w:beforeAutospacing="0" w:afterAutospacing="0" w:line="560" w:lineRule="exact"/>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第六十三条</w:t>
      </w:r>
      <w:r>
        <w:rPr>
          <w:rFonts w:hint="eastAsia" w:ascii="宋体" w:hAnsi="宋体" w:cs="Arial"/>
          <w:kern w:val="0"/>
          <w:szCs w:val="32"/>
          <w:lang w:val="en-US" w:eastAsia="zh-CN"/>
        </w:rPr>
        <w:t> 本法自2017年7月1日起施行。</w:t>
      </w:r>
    </w:p>
    <w:p>
      <w:pPr>
        <w:widowControl w:val="0"/>
        <w:wordWrap/>
        <w:overflowPunct w:val="0"/>
        <w:spacing w:beforeAutospacing="0" w:afterAutospacing="0" w:line="560" w:lineRule="exact"/>
        <w:textAlignment w:val="auto"/>
        <w:rPr>
          <w:rFonts w:hint="eastAsia" w:ascii="宋体" w:hAnsi="宋体" w:cs="Arial"/>
          <w:kern w:val="0"/>
          <w:szCs w:val="32"/>
          <w:lang w:val="en-US" w:eastAsia="zh-CN"/>
        </w:rPr>
      </w:pPr>
      <w:r>
        <w:rPr>
          <w:rFonts w:hint="eastAsia" w:ascii="宋体" w:hAnsi="宋体" w:cs="Arial"/>
          <w:kern w:val="0"/>
          <w:szCs w:val="32"/>
          <w:lang w:val="en-US"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71" w:name="_Toc27793"/>
      <w:r>
        <w:rPr>
          <w:rFonts w:hint="eastAsia" w:ascii="宋体" w:hAnsi="宋体" w:eastAsia="宋体" w:cs="宋体"/>
          <w:kern w:val="0"/>
          <w:sz w:val="44"/>
          <w:szCs w:val="44"/>
          <w:lang w:val="en-US" w:eastAsia="zh-CN"/>
        </w:rPr>
        <w:t>中华人民共和国国境卫生检疫法</w:t>
      </w:r>
      <w:bookmarkEnd w:id="171"/>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kern w:val="0"/>
          <w:szCs w:val="32"/>
        </w:rPr>
      </w:pPr>
      <w:r>
        <w:rPr>
          <w:rFonts w:hint="eastAsia" w:ascii="宋体" w:hAnsi="宋体" w:eastAsia="楷体_GB2312" w:cs="楷体_GB2312"/>
          <w:kern w:val="0"/>
          <w:szCs w:val="32"/>
        </w:rPr>
        <w:t>（1986年12月2日第六届全国人民代表大会常务委员会第十八次会议通过　根据2007年12月29日第十届全国人民代表大会常务委员会第三十一次会议《关于修改&lt;中华人民共和国国境卫生检疫法&gt;的决定》第一次修正　根据2009年8月27日第十一届全国人民代表大会常务委员会第十次会议《关于修改部分法律的决定》第二次修正　根据2018年4月27日第十三届全国人民代表大会常务委员会第二次会议《关于修改&lt;中华人民共和国国境卫生检疫法&gt;等六部法律的决定》第三次修正）</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检疫</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传染病监测</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卫生监督</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为了防止传染病由国外传入或者由国内传出，实施国境卫生检疫，保护人体健康，制定本法。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在中华人民共和国国际通航的港口、机场以及陆地边境和国界江河的口岸（以下简称国境口岸），设立国境卫生检疫机关，依照本法规定实施传染病检疫、监测和卫生监督。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本法规定的传染病是指检疫传染病和监测传染病。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检疫传染病，是指鼠疫、霍乱、黄热病以及国务院确定和公布的其他传染病。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监测传染病，由国务院卫生行政部门确定和公布。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入境、出境的人员、交通工具、运输设备以及可能传播检疫传染病的行李、货物、邮包等物品，都应当接受检疫，经国境卫生检疫机关许可，方准入境或者出境。具体办法由本法实施细则规定。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国境卫生检疫机关发现检疫传染病或者疑似检疫传染病时，除采取必要措施外，必须立即通知当地卫生行政部门，同时用最快的方法报告国务院卫生行政部门，最迟不得超过二十四小时。邮电部门对疫情报告应当优先传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中华人民共和国与外国之间的传染病疫情通报，由国务院卫生行政部门会同有关部门办理。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在国外或者国内有检疫传染病大流行的时候，国务院可以下令封锁有关的国境或者采取其他紧急措施。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检疫</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入境的交通工具和人员，必须在最先到达的国境口岸的指定地点接受检疫。除引航员外，未经国境卫生检疫机关许可，任何人不准上下交通工具，不准装卸行李、货物、邮包等物品。具体办法由本法实施细则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出境的交通工具和人员，必须在最后离开的国境口岸接受检疫。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来自国外的船舶、航空器因故停泊、降落在中国境内非口岸地点的时候，船舶、航空器的负责人应当立即向就近的国境卫生检疫机关或者当地卫生行政部门报告。除紧急情况外，未经国境卫生检疫机关或者当地卫生行政部门许可，任何人不准上下船舶、航空器，不准装卸行李、货物、邮包等物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在国境口岸发现检疫传染病、疑似检疫传染病，或者有人非因意外伤害而死亡并死因不明的，国境口岸有关单位和交通工具的负责人，应当立即向国境卫生检疫机关报告，并申请临时检疫。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国境卫生检疫机关依据检疫医师提供的检疫结果，对未染有检疫传染病或者已实施卫生处理的交通工具，签发入境检疫证或者出境检疫证。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国境卫生检疫机关对检疫传染病染疫人必须立即将其隔离，隔离期限根据医学检查结果确定；对检疫传染病染疫嫌疑人应当将其留验，留验期限根据该传染病的潜伏期确定。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因患检疫传染病而死亡的尸体，必须就近火化。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接受入境检疫的交通工具有下列情形之一的，应当实施消毒、除鼠、除虫或者其他卫生处理: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（一）来自检疫传染病疫区的；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（二）被检疫传染病污染的；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（三）发现有与人类健康有关的啮齿动物或者病媒昆虫的。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如果外国交通工具的负责人拒绝接受卫生处理，除有特殊情况外，准许该交通工具在国境卫生检疫机关的监督下，立即离开中华人民共和国国境。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国境卫生检疫机关对来自疫区的、被检疫传染病污染的或者可能成为检疫传染病传播媒介的行李、货物、邮包等物品，应当进行卫生检查，实施消毒、除鼠、除虫或者其他卫生处理。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入境、出境的尸体、骸骨的托运人或者其代理人，必须向国境卫生检疫机关申报，经卫生检查合格后，方准运进或者运出。</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传染病监测</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国境卫生检疫机关对入境、出境的人员实施传染病监测，并且采取必要的预防、控制措施。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国境卫生检疫机关有权要求入境、出境的人员填写健康申明卡，出示某种传染病的预防接种证书、健康证明或者其他有关证件。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对患有监测传染病的人、来自国外监测传染病流行区的人或者与监测传染病人密切接触的人，国境卫生检疫机关应当区别情况，发给就诊方便卡，实施留验或者采取其他预防、控制措施，并及时通知当地卫生行政部门。各地医疗单位对持有就诊方便卡的人员，应当优先诊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卫生监督</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国境卫生检疫机关根据国家规定的卫生标准，对国境口岸的卫生状况和停留在国境口岸的入境、出境的交通工具的卫生状况实施卫生监督: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（一）监督和指导有关人员对啮齿动物、病媒昆虫的防除；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（二）检查和检验食品、饮用水及其储存、供应、运输设施；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（三）监督从事食品、饮用水供应的从业人员的健康状况，检查其健康证明书；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（四）监督和检查垃圾、废物、污水、粪便、压舱水的处理。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国境卫生检疫机关设立国境口岸卫生监督员，执行国境卫生检疫机关交给的任务。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境口岸卫生监督员在执行任务时，有权对国境口岸和入境、出境的交通工具进行卫生监督和技术指导，对卫生状况不良和可能引起传染病传播的因素提出改进意见，协同有关部门采取必要的措施，进行卫生处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对违反本法规定，有下列行为之一的单位或者个人，国境卫生检疫机关可以根据情节轻重，给予警告或者罚款: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（一）逃避检疫，向国境卫生检疫机关隐瞒真实情况的；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（二）入境的人员未经国境卫生检疫机关许可，擅自上下交通工具，或者装卸行李、货物、邮包等物品，不听劝阻的。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罚款全部上缴国库。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当事人对国境卫生检疫机关给予的罚款决定不服的，可以在接到通知之日起十五日内，向当地人民法院起诉。逾期不起诉又不履行的，国境卫生检疫机关可以申请人民法院强制执行。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违反本法规定，引起检疫传染病传播或者有引起检疫传染病传播严重危险的，依照刑法有关规定追究刑事责任。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国境卫生检疫机关工作人员，应当秉公执法，忠于职守，对入境、出境的交通工具和人员，及时进行检疫；违法失职的，给予行政处分，情节严重构成犯罪的，依法追究刑事责任。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中华人民共和国缔结或者参加的有关卫生检疫的国际条约同本法有不同规定的，适用该国际条约的规定。但是，中华人民共和国声明保留的条款除外。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中华人民共和国边防机关与邻国边防机关之间在边境地区的往来，居住在两国边境接壤地区的居民在边境指定地区的临时往来，双方的交通工具和人员的入境、出境检疫，依照双方协议办理，没有协议的，依照中国政府的有关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国境卫生检疫机关实施卫生检疫，按照国家规定收取费用。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本法自1987年5月1日起施行。1957年12月23日公布的《中华人民共和国国境卫生检疫条例》同时废止。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72" w:name="_Toc29198"/>
      <w:r>
        <w:rPr>
          <w:rFonts w:hint="eastAsia" w:ascii="宋体" w:hAnsi="宋体" w:eastAsia="宋体" w:cs="宋体"/>
          <w:kern w:val="0"/>
          <w:sz w:val="44"/>
          <w:szCs w:val="44"/>
          <w:lang w:val="en-US" w:eastAsia="zh-CN"/>
        </w:rPr>
        <w:t>中华人民共和国野生动物保护法</w:t>
      </w:r>
      <w:bookmarkEnd w:id="172"/>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（1988年11月8日第七届全国人民代表大会常务委员会第四次会议通过　根据2004年8月28日第十届全国人民代表大会常务委员会第十一次会议《关于修改〈中华人民共和国野生动物保护法〉的决定》第一次修正　根据2009年8月27日第十一届全国人民代表大会常务委员会第十次会议《关于修改部分法律的决定》第二次修正　2016年7月2日第十二届全国人民代表大会常务委员会第二十一次会议修订　根据2018年10月26日第十三届全国人民代表大会常务委员会第六次会议《关于修改〈中华人民共和国野生动物保护法〉等十五部法律的决定》第三次修正）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第二章　野生动物及其栖息地保护</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第三章　野生动物管理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第四章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第五章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val="en-US" w:eastAsia="zh-CN"/>
        </w:rPr>
        <w:t xml:space="preserve">    </w:t>
      </w:r>
      <w:r>
        <w:rPr>
          <w:rFonts w:hint="eastAsia" w:ascii="宋体" w:hAnsi="宋体" w:eastAsia="黑体" w:cs="黑体"/>
          <w:kern w:val="0"/>
          <w:szCs w:val="32"/>
        </w:rPr>
        <w:t>第一条</w:t>
      </w:r>
      <w:r>
        <w:rPr>
          <w:rFonts w:hint="eastAsia" w:ascii="宋体" w:hAnsi="宋体" w:cs="Arial"/>
          <w:kern w:val="0"/>
          <w:szCs w:val="32"/>
        </w:rPr>
        <w:t>　为了保护野生动物，拯救珍贵、濒危野生动物，维护生物多样性和生态平衡，推进生态文明建设，制定本法。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rPr>
        <w:t>　在中华人民共和国领域及管辖的其他海域，从事野生动物保护及相关活动，适用本法。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本法规定保护的野生动物，是指珍贵、濒危的陆生、水生野生动物和有重要生态、科学、社会价值的陆生野生动物。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本法规定的野生动物及其制品，是指野生动物的整体（含卵、蛋）、部分及其衍生物。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珍贵、濒危的水生野生动物以外的其他水生野生动物的保护，适用《中华人民共和国渔业法》等有关法律的规定。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rPr>
        <w:t>　野生动物资源属于国家所有。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国家保障依法从事野生动物科学研究、人工繁育等保护及相关活动的组织和个人的合法权益。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rPr>
        <w:t>　国家对野生动物实行保护优先、规范利用、严格监管的原则，鼓励开展野生动物科学研究，培育公民保护野生动物的意识，促进人与自然和谐发展。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rPr>
        <w:t>　国家保护野生动物及其栖息地。县级以上人民政府应当制定野生动物及其栖息地相关保护规划和措施，并将野生动物保护经费纳入预算。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国家鼓励公民、法人和其他组织依法通过捐赠、资助、志愿服务等方式参与野生动物保护活动，支持野生动物保护公益事业。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本法规定的野生动物栖息地，是指野生动物野外种群生息繁衍的重要区域。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rPr>
        <w:t>　任何组织和个人都有保护野生动物及其栖息地的义务。禁止违法猎捕野生动物、破坏野生动物栖息地。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任何组织和个人都有权向有关部门和机关举报或者控告违反本法的行为。野生动物保护主管部门和其他有关部门、机关对举报或者控告，应当及时依法处理。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rPr>
        <w:t>　国务院林业草原、渔业主管部门分别主管全国陆生、水生野生动物保护工作。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县级以上地方人民政府林业草原、渔业主管部门分别主管本行政区域内陆生、水生野生动物保护工作。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rPr>
        <w:t>　各级人民政府应当加强野生动物保护的宣传教育和科学知识普及工作，鼓励和支持基层群众性自治组织、社会组织、企业事业单位、志愿者开展野生动物保护法律法规和保护知识的宣传活动。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教育行政部门、学校应当对学生进行野生动物保护知识教育。</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新闻媒体应当开展野生动物保护法律法规和保护知识的宣传，对违法行为进行舆论监督。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rPr>
        <w:t>　在野生动物保护和科学研究方面成绩显著的组织和个人，由县级以上人民政府给予奖励。</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野生动物及其栖息地保护</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rPr>
        <w:t>　国家对野生动物实行分类分级保护。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家对珍贵、濒危的野生动物实行重点保护。国家重点保护的野生动物分为一级保护野生动物和二级保护野生动物。国家重点保护野生动物名录，由国务院野生动物保护主管部门组织科学评估后制定，并每五年根据评估情况确定对名录进行调整。国家重点保护野生动物名录报国务院批准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地方重点保护野生动物，是指国家重点保护野生动物以外，由省、自治区、直辖市重点保护的野生动物。地方重点保护野生动物名录，由省、自治区、直辖市人民政府组织科学评估后制定、调整并公布。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有重要生态、科学、社会价值的陆生野生动物名录，由国务院野生动物保护主管部门组织科学评估后制定、调整并公布。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rPr>
        <w:t>　县级以上人民政府野生动物保护主管部门，应当定期组织或者委托有关科学研究机构对野生动物及其栖息地状况进行调查、监测和评估，建立健全野生动物及其栖息地档案。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对野生动物及其栖息地状况的调查、监测和评估应当包括下列内容：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（一）野生动物野外分布区域、种群数量及结构；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（二）野生动物栖息地的面积、生态状况；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（三）野生动物及其栖息地的主要威胁因素；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（四）野生动物人工繁育情况等其他需要调查、监测和评估的内容。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rPr>
        <w:t>　国务院野生动物保护主管部门应当会同国务院有关部门，根据野生动物及其栖息地状况的调查、监测和评估结果，确定并发布野生动物重要栖息地名录。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省级以上人民政府依法划定相关自然保护区域，保护野生动物及其重要栖息地，保护、恢复和改善野生动物生存环境。对不具备划定相关自然保护区域条件的，县级以上人民政府可以采取划定禁猎（渔）区、规定禁猎（渔）期等其他形式予以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禁止或者限制在相关自然保护区域内引入外来物种、营造单一纯林、过量施洒农药等人为干扰、威胁野生动物生息繁衍的行为。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相关自然保护区域，依照有关法律法规的规定划定和管理。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rPr>
        <w:t>　县级以上人民政府及其有关部门在编制有关开发利用规划时，应当充分考虑野生动物及其栖息地保护的需要，分析、预测和评估规划实施可能对野生动物及其栖息地保护产生的整体影响，避免或者减少规划实施可能造成的不利后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在相关自然保护区域建设法律法规规定不得建设的项目。机场、铁路、公路、水利水电、围堰、围填海等建设项目的选址选线，应当避让相关自然保护区域、野生动物迁徙洄游通道；无法避让的，应当采取修建野生动物通道、过鱼设施等措施，消除或者减少对野生动物的不利影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建设项目可能对相关自然保护区域、野生动物迁徙洄游通道产生影响的，环境影响评价文件的审批部门在审批环境影响评价文件时，涉及国家重点保护野生动物的，应当征求国务院野生动物保护主管部门意见；涉及地方重点保护野生动物的，应当征求省、自治区、直辖市人民政府野生动物保护主管部门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rPr>
        <w:t>　各级野生动物保护主管部门应当监视、监测环境对野生动物的影响。由于环境影响对野生动物造成危害时，野生动物保护主管部门应当会同有关部门进行调查处理。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rPr>
        <w:t>　国家或者地方重点保护野生动物受到自然灾害、重大环境污染事故等突发事件威胁时，当地人民政府应当及时采取应急救助措施。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县级以上人民政府野生动物保护主管部门应当按照国家有关规定组织开展野生动物收容救护工作。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禁止以野生动物收容救护为名买卖野生动物及其制品。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rPr>
        <w:t>　县级以上人民政府野生动物保护主管部门、兽医主管部门，应当按照职责分工对野生动物疫源疫病进行监测，组织开展预测、预报等工作，并按照规定制定野生动物疫情应急预案，报同级人民政府批准或者备案。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县级以上人民政府野生动物保护主管部门、兽医主管部门、卫生主管部门，应当按照职责分工负责与人畜共患传染病有关的动物传染病的防治管理工作。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rPr>
        <w:t>　国家加强对野生动物遗传资源的保护，对濒危野生动物实施抢救性保护。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国务院野生动物保护主管部门应当会同国务院有关部门制定有关野生动物遗传资源保护和利用规划，建立国家野生动物遗传资源基因库，对原产我国的珍贵、濒危野生动物遗传资源实行重点保护。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rPr>
        <w:t>　有关地方人民政府应当采取措施，预防、控制野生动物可能造成的危害，保障人畜安全和农业、林业生产。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rPr>
        <w:t>　因保护本法规定保护的野生动物，造成人员伤亡、农作物或者其他财产损失的，由当地人民政府给予补偿。具体办法由省、自治区、直辖市人民政府制定。有关地方人民政府可以推动保险机构开展野生动物致害赔偿保险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有关地方人民政府采取预防、控制国家重点保护野生动物造成危害的措施以及实行补偿所需经费，由中央财政按照国家有关规定予以补助。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野生动物管理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rPr>
        <w:t>　在相关自然保护区域和禁猎（渔）区、禁猎（渔）期内，禁止猎捕以及其他妨碍野生动物生息繁衍的活动，但法律法规另有规定的除外。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野生动物迁徙洄游期间，在前款规定区域外的迁徙洄游通道内，禁止猎捕并严格限制其他妨碍野生动物生息繁衍的活动。迁徙洄游通道的范围以及妨碍野生动物生息繁衍活动的内容，由县级以上人民政府或者其野生动物保护主管部门规定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rPr>
        <w:t>　禁止猎捕、杀害国家重点保护野生动物。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rPr>
        <w:t>　猎捕非国家重点保护野生动物的，应当依法取得县级以上地方人民政府野生动物保护主管部门核发的狩猎证，并且服从猎捕量限额管理。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rPr>
        <w:t>　猎捕者应当按照特许猎捕证、狩猎证规定的种类、数量、地点、工具、方法和期限进行猎捕。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持枪猎捕的，应当依法取得公安机关核发的持枪证。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rPr>
        <w:t>　禁止使用毒药、爆炸物、电击或者电子诱捕装置以及猎套、猎夹、地枪、排铳等工具进行猎捕，禁止使用夜间照明行猎、歼灭性围猎、捣毁巢穴、火攻、烟熏、网捕等方法进行猎捕，但因科学研究确需网捕、电子诱捕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前款规定以外的禁止使用的猎捕工具和方法，由县级以上地方人民政府规定并公布。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rPr>
        <w:t>　国家支持有关科学研究机构因物种保护目的人工繁育国家重点保护野生动物。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人工繁育国家重点保护野生动物实行许可制度。人工繁育国家重点保护野生动物的，应当经省、自治区、直辖市人民政府野生动物保护主管部门批准，取得人工繁育许可证，但国务院对批准机关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人工繁育国家重点保护野生动物应当使用人工繁育子代种源，建立物种系谱、繁育档案和个体数据。因物种保护目的确需采用野外种源的，适用本法</w:t>
      </w:r>
      <w:r>
        <w:rPr>
          <w:rFonts w:hint="eastAsia" w:ascii="宋体" w:hAnsi="宋体" w:eastAsia="仿宋_GB2312" w:cs="仿宋_GB2312"/>
          <w:kern w:val="0"/>
          <w:szCs w:val="32"/>
        </w:rPr>
        <w:t>第二十一条和第二十三条的</w:t>
      </w:r>
      <w:r>
        <w:rPr>
          <w:rFonts w:hint="eastAsia" w:ascii="宋体" w:hAnsi="宋体" w:cs="Arial"/>
          <w:kern w:val="0"/>
          <w:szCs w:val="32"/>
        </w:rPr>
        <w:t>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本法所称人工繁育子代，是指人工控制条件下繁殖出生的子代个体且其亲本也在人工控制条件下出生。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rPr>
        <w:t>　人工繁育国家重点保护野生动物应当有利于物种保护及其科学研究，不得破坏野外种群资源，并根据野生动物习性确保其具有必要的活动空间和生息繁衍、卫生健康条件，具备与其繁育目的、种类、发展规模相适应的场所、设施、技术，符合有关技术标准和防疫要求，不得虐待野生动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省级以上人民政府野生动物保护主管部门可以根据保护国家重点保护野生动物的需要，组织开展国家重点保护野生动物放归野外环境工作。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rPr>
        <w:t>　禁止出售、购买、利用国家重点保护野生动物及其制品。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实行国家重点保护野生动物及其制品专用标识的范围和管理办法，由国务院野生动物保护主管部门规定。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出售、利用非国家重点保护野生动物的，应当提供狩猎、进出口等合法来源证明。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出售</w:t>
      </w:r>
      <w:r>
        <w:rPr>
          <w:rFonts w:hint="eastAsia" w:ascii="宋体" w:hAnsi="宋体" w:eastAsia="仿宋_GB2312" w:cs="仿宋_GB2312"/>
          <w:kern w:val="0"/>
          <w:szCs w:val="32"/>
        </w:rPr>
        <w:t>本条第二款、第四款规定的野生动物的，还应当依法附有检疫证明。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rPr>
        <w:t>　对人工繁育技术成熟稳定的国家重点保护野生动物，经科学论证，纳入国务院野生动物保护主管部门制定的人工繁育国家重点保护野生动物名录。对列入名录的野生动物及其制品，可以凭人工繁育许可证，按照省、自治区、直辖市人民政府野生动物保护主管部门核验的年度生产数量直接取得专用标识，凭专用标识出售和利用，保证可追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对本法第十条规定的国家重点保护野生动物名录进行调整时，根据有关野外种群保护情况，可以对前款规定的有关人工繁育技术成熟稳定野生</w:t>
      </w:r>
      <w:r>
        <w:rPr>
          <w:rFonts w:hint="eastAsia" w:ascii="宋体" w:hAnsi="宋体" w:eastAsia="仿宋_GB2312" w:cs="仿宋_GB2312"/>
          <w:kern w:val="0"/>
          <w:szCs w:val="32"/>
        </w:rPr>
        <w:t>动物的人工种群，不再列入国家重点保护野生动物名录，实行与野外种群不同的管理措施，但应当依照本法第二十五条第二款和本条第一款的规定取得人工繁育许可证和专用标识。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rPr>
        <w:t>　利用野生动物及其制品的，应当以人工繁育种群为主，有利于野外种群养护，符合生态文明建设的要求，尊重社会公德，遵守法律法规和国家有关规定。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野生动物及其制品作为药品经营和利用的，还应当遵守有关药品管理的法律法规。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rPr>
        <w:t>　禁止生产、经营使用国家重点保护野生动物及其制品制作的食品，或者使用没有合法来源证明的非国家重点保护野生动物及其制品制作的食品。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禁止为食用非法购买国家重点保护的野生动物及其制品。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rPr>
        <w:t>　禁止为出售、购买、利用野生动物或者禁止使用的猎捕工具发布广告。禁止为违法出售、购买、利用野生动物制品发布广告。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rPr>
        <w:t>　禁止网络交易平台、商品交易市场等交易场所，为违法出售、购买、利用野生动物及其制品或者禁止使用的猎捕工具提供交易服务。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rPr>
        <w:t>　运输、携带、寄递国家重点保护野生动物及其</w:t>
      </w:r>
      <w:r>
        <w:rPr>
          <w:rFonts w:hint="eastAsia" w:ascii="宋体" w:hAnsi="宋体" w:eastAsia="仿宋_GB2312" w:cs="仿宋_GB2312"/>
          <w:kern w:val="0"/>
          <w:szCs w:val="32"/>
        </w:rPr>
        <w:t>制品、本法第二十八条第二款规定的野生动物及其制品出县境的，应当持有或者附有本法第二十一条、第二十五条、第二十七条或者第二十八条规定的许可证、批准文件的副本或者专用标识，以</w:t>
      </w:r>
      <w:r>
        <w:rPr>
          <w:rFonts w:hint="eastAsia" w:ascii="宋体" w:hAnsi="宋体" w:cs="Arial"/>
          <w:kern w:val="0"/>
          <w:szCs w:val="32"/>
        </w:rPr>
        <w:t>及检疫证明。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运输非国家重点保护野生动物出县境的，应当持有狩猎、进出口等合法来源证明，以及检疫证明。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rPr>
        <w:t>　县级以上人民政府野生动物保护主管部门应当对科学研究、人工繁育、公众展示展演等利用野生动物及其制品的活动进行监督管理。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县级以上人民政府其他有关部门，应当按照职责分工对野生动物及其制品出售、购买、利用、运输、寄递等活动进行监督检查。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rPr>
        <w:t>　中华人民共和国缔结或者参加的国际公约禁止或者限制贸易的野生动物或者其制品名录，由国家濒危物种进出口管理机构制定、调整并公布。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进出口列入前款名录的野生动物或者其制品的，出口国家重点保护野生动物或者其制品的，应当经国务院野生动物保护主管部门或者国务院批准，并取得国家濒危物种进出口管理机构核发的允许进出口证明书。海关依法实施进出境检疫，凭允许进出口证明书、检疫证明按照规定办理通关手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涉及科学技术保密的野生动物物种的出口，按照国务院有关规定办理。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列入本</w:t>
      </w:r>
      <w:r>
        <w:rPr>
          <w:rFonts w:hint="eastAsia" w:ascii="宋体" w:hAnsi="宋体" w:eastAsia="仿宋_GB2312" w:cs="仿宋_GB2312"/>
          <w:kern w:val="0"/>
          <w:szCs w:val="32"/>
        </w:rPr>
        <w:t>条第一款名录的野生动物，经国务院野生动物保护主管部门核准，在本法适用范围内可以按照国家重点保护的野生动物管理。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rPr>
        <w:t>　国家组织开展野生动物保护及相关执法活动的国际合作与交流；建立防范、打击野生动物及其制品的走私和非法贸易的部门协调机制，开展防范、打击走私和非法贸易行动。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rPr>
        <w:t>　从境外引进野生动物物种的，应当经国务院野生动物保护主管部门批准。从境外引</w:t>
      </w:r>
      <w:r>
        <w:rPr>
          <w:rFonts w:hint="eastAsia" w:ascii="宋体" w:hAnsi="宋体" w:eastAsia="仿宋_GB2312" w:cs="仿宋_GB2312"/>
          <w:kern w:val="0"/>
          <w:szCs w:val="32"/>
        </w:rPr>
        <w:t>进列入本法第三十五条第一款名录的野生动物，还应当依法取得允许进出口证明书。海关依法实施进境检疫，凭进口批准文件或者允许进出口证明书以及检疫证明按照规定办理通关手续。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从境外引进野生动物物种的，应当采取安全可靠的防范措施，防止其进入野外环境，避免对生态系统造成危害。确需将其放归野外的，按照国家有关规定执行。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rPr>
        <w:t>　任何组织和个人将野生动物放生至野外环境，应当选择适合放生地野外生存的当地物种，不得干扰当地居民的正常生活、生产，避免对生态系统造成危害。随意放生野生动物，造成他人人身、财产损害或者危害生态系统的，依法承担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rPr>
        <w:t>　禁止伪造、变造、买卖、转让、租借特许猎捕证、狩猎证、人工繁育许可证及专用标识，出售、购买、利用国家重点保护野生动物及其制品的批准文件，或者允许进出口证明书、进出口等批准文件。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前款规定的有关许可证书、专用标识、批准文件的发放情况，应当依法公开。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rPr>
        <w:t>　外国人在我国对国家重点保护野生动物进行野外考察或者在野外拍摄电影、录像，应当经省、自治区、直辖市人民政府野生动物保护主管部门或者其授权的单位批准，并遵守有关法律法规规定。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rPr>
        <w:t>　地方重点保护野生动物和其他非国家重点保护野生动物的管理办法，由省、自治区、直辖市人民代表大会或者其常务委员会制定。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rPr>
        <w:t>　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记过、记大过或者降级处分；造成严重后果的，给予撤职或者开除处分，其主要负责人应当引咎辞职；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rPr>
        <w:t>　违反本</w:t>
      </w:r>
      <w:r>
        <w:rPr>
          <w:rFonts w:hint="eastAsia" w:ascii="宋体" w:hAnsi="宋体" w:eastAsia="仿宋_GB2312" w:cs="仿宋_GB2312"/>
          <w:kern w:val="0"/>
          <w:szCs w:val="32"/>
        </w:rPr>
        <w:t>法第十二条第三款、第十三条第二款规定的，依照有关法律法规的规定处罚。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rPr>
        <w:t>　违</w:t>
      </w:r>
      <w:r>
        <w:rPr>
          <w:rFonts w:hint="eastAsia" w:ascii="宋体" w:hAnsi="宋体" w:eastAsia="仿宋_GB2312" w:cs="仿宋_GB2312"/>
          <w:kern w:val="0"/>
          <w:szCs w:val="32"/>
        </w:rPr>
        <w:t>反本法第十五条第三款规定，以收容救护为名买卖野生动物及其制品的，由县级以上人民政府野生动物保护主管部门没收野生动物及其制品、违法所得，并处野生动物及其制品价值二倍以上十倍以下的罚款，将有关违法信息记入社会诚信档案，向社会公布；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rPr>
        <w:t>　违反本</w:t>
      </w:r>
      <w:r>
        <w:rPr>
          <w:rFonts w:hint="eastAsia" w:ascii="宋体" w:hAnsi="宋体" w:eastAsia="仿宋_GB2312" w:cs="仿宋_GB2312"/>
          <w:kern w:val="0"/>
          <w:szCs w:val="32"/>
        </w:rPr>
        <w:t>法第二十条、第二十一条、第二十三条第一款、第二十四条第一款规定，在相关自然保护区域、禁猎（渔）区、禁猎（渔）期猎捕国家重点保护野生动物，未取得特许猎捕证、未按照特许猎捕证规定猎捕、杀害国家重点保护野生动物，或者使用禁用的工具、方法猎捕国家重点保护野生动物的，由县级以上人民政府野生动物保护主管部门、海洋执法部门或者有关保护区域管理机构按照职责分工没收猎获物、猎捕工具和违法所得，吊销特许猎捕证，并处猎获物价值二倍以上十倍以下的罚款；没有猎获物的，并处一万元以上五万元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rPr>
        <w:t>　违反本</w:t>
      </w:r>
      <w:r>
        <w:rPr>
          <w:rFonts w:hint="eastAsia" w:ascii="宋体" w:hAnsi="宋体" w:eastAsia="仿宋_GB2312" w:cs="仿宋_GB2312"/>
          <w:kern w:val="0"/>
          <w:szCs w:val="32"/>
        </w:rPr>
        <w:t>法第二十条、第二十二条、第二十三条第一款、第二十四条第一款规定，在相关自然保护区域、禁猎（渔）区、禁猎（渔）期猎捕非国家重点保护野生动物，未取得狩猎证、未按照狩猎证规定猎捕非国家重点保护野生动物，或者使用禁用的工具、方法猎捕非国家重点保护野生动物的，由县级以上地方人民政府野生动物保护主管部门或者有关保护区域管理机构按照职责分工没收猎获物、猎捕工具和违法所得，吊销狩猎证，并处猎获物价值一倍以上五倍以下的罚款；没有猎获物的，并处二千元以上一万元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违反本法第二十三条第二款规定，未取得持枪证持枪猎捕野生动物，构成违反治安管理行为的，由公安机关依法给予治安管理处罚；构成犯罪的，依法追究刑事责任。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rPr>
        <w:t>　违反本</w:t>
      </w:r>
      <w:r>
        <w:rPr>
          <w:rFonts w:hint="eastAsia" w:ascii="宋体" w:hAnsi="宋体" w:eastAsia="仿宋_GB2312" w:cs="仿宋_GB2312"/>
          <w:kern w:val="0"/>
          <w:szCs w:val="32"/>
        </w:rPr>
        <w:t>法第二十五条第二款规定，未取得人工繁育许可证繁育国家重点保护野生动物或者本法第二十八条第二款规定的野生动物的，由县级以上人民政府野生动物保护主管部门没收野生动物及其制品，并处野生动物及其制品价值一倍以上五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rPr>
        <w:t>　违反本法</w:t>
      </w:r>
      <w:r>
        <w:rPr>
          <w:rFonts w:hint="eastAsia" w:ascii="宋体" w:hAnsi="宋体" w:eastAsia="仿宋_GB2312" w:cs="仿宋_GB2312"/>
          <w:kern w:val="0"/>
          <w:szCs w:val="32"/>
        </w:rPr>
        <w:t>第二十七条第一款和第二款、第二十八条第一款、第三十三条第一款规定，未经批准、未取得或者未按照规定使用专用标识，或者未持有、未附有人工繁育许可证、批准文件的副本或者专用标识出售、购买、利用、运输、携带、寄递国家重点保护野生动物及其制品或者本法第二十八条第二款规定的野生动物及其制品的，由县级以上人民政府野生动物保护主管部门或者市场监督管理部门按照职责分工没收野生动物及其制品和违法所得，并处野生动物及其制品价值二倍以上十倍以下的罚款；情节严重的，吊销人工繁育许可证、撤销批准文件、收回专用标识；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第二十七条第四款、第三十三条第二款规定，未持有合法来源证明出售、利用、运输非国家重点保护野生动物的，由县级以上地方人民政府野生动物保护主管部门或者市场监督管理部门按照职责分工没收野生动物，并处野生动物价值一倍以上五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违反本法第二十七条第五款、第三十三条规定，出售、运输、携带</w:t>
      </w:r>
      <w:r>
        <w:rPr>
          <w:rFonts w:hint="eastAsia" w:ascii="宋体" w:hAnsi="宋体" w:cs="Arial"/>
          <w:kern w:val="0"/>
          <w:szCs w:val="32"/>
        </w:rPr>
        <w:t>、寄递有关野生动物及其制品未持有或者未附有检疫证明的，依照《中华人民共和国动物防疫法》的规定处罚。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rPr>
        <w:t>　违反本</w:t>
      </w:r>
      <w:r>
        <w:rPr>
          <w:rFonts w:hint="eastAsia" w:ascii="宋体" w:hAnsi="宋体" w:eastAsia="仿宋_GB2312" w:cs="仿宋_GB2312"/>
          <w:kern w:val="0"/>
          <w:szCs w:val="32"/>
        </w:rPr>
        <w:t>法第三十条规定，生产</w:t>
      </w:r>
      <w:r>
        <w:rPr>
          <w:rFonts w:hint="eastAsia" w:ascii="宋体" w:hAnsi="宋体" w:cs="Arial"/>
          <w:kern w:val="0"/>
          <w:szCs w:val="32"/>
        </w:rPr>
        <w:t>、经营使用国家重点保护野生动物及其制品或者没有合法来源证明的非国家重点保护野生动物及其制品制作食品，或者为食用非法购买国家重点保护的野生动物及其制品的，由县级以上人民政府野生动物保护主管部门或者市场监督管理部门按照职责分工责令停止违法行为，没收野生动物及其制品和违法所得，并处野生动物及其制品价值二倍以上十倍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rPr>
        <w:t>　违反本</w:t>
      </w:r>
      <w:r>
        <w:rPr>
          <w:rFonts w:hint="eastAsia" w:ascii="宋体" w:hAnsi="宋体" w:eastAsia="仿宋_GB2312" w:cs="仿宋_GB2312"/>
          <w:kern w:val="0"/>
          <w:szCs w:val="32"/>
        </w:rPr>
        <w:t>法第三十一条规定</w:t>
      </w:r>
      <w:r>
        <w:rPr>
          <w:rFonts w:hint="eastAsia" w:ascii="宋体" w:hAnsi="宋体" w:cs="Arial"/>
          <w:kern w:val="0"/>
          <w:szCs w:val="32"/>
        </w:rPr>
        <w:t>，为出售、购买、利用野生动物及其制品或者禁止使用的猎捕工具发布广告的，依照《中华人民共和国广告法》的规定处罚。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rPr>
        <w:t>　违反本</w:t>
      </w:r>
      <w:r>
        <w:rPr>
          <w:rFonts w:hint="eastAsia" w:ascii="宋体" w:hAnsi="宋体" w:eastAsia="仿宋_GB2312" w:cs="仿宋_GB2312"/>
          <w:kern w:val="0"/>
          <w:szCs w:val="32"/>
        </w:rPr>
        <w:t>法第三十二条规</w:t>
      </w:r>
      <w:r>
        <w:rPr>
          <w:rFonts w:hint="eastAsia" w:ascii="宋体" w:hAnsi="宋体" w:cs="Arial"/>
          <w:kern w:val="0"/>
          <w:szCs w:val="32"/>
        </w:rPr>
        <w:t>定，为违法出售、购买、利用野生动物及其制品或者禁止使用的猎捕工具提供交易服务的，由县级以上人民政府市场监督管理部门责令停止违法行为，限期改正，没收违法所得，并处违法所得二倍以上五倍以下的罚款；没有违法所得的，处一万元以上五万元以下的罚款；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rPr>
        <w:t>　违反本</w:t>
      </w:r>
      <w:r>
        <w:rPr>
          <w:rFonts w:hint="eastAsia" w:ascii="宋体" w:hAnsi="宋体" w:eastAsia="仿宋_GB2312" w:cs="仿宋_GB2312"/>
          <w:kern w:val="0"/>
          <w:szCs w:val="32"/>
        </w:rPr>
        <w:t>法第三十五条</w:t>
      </w:r>
      <w:r>
        <w:rPr>
          <w:rFonts w:hint="eastAsia" w:ascii="宋体" w:hAnsi="宋体" w:cs="Arial"/>
          <w:kern w:val="0"/>
          <w:szCs w:val="32"/>
        </w:rPr>
        <w:t>规定，进出口野生动物或者其制品的，由海关、公安机关、海洋执法部门依照法律、行政法规和国家有关规定处罚；构成犯罪的，依法追究刑事责任。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rPr>
        <w:t>　违反</w:t>
      </w:r>
      <w:r>
        <w:rPr>
          <w:rFonts w:hint="eastAsia" w:ascii="宋体" w:hAnsi="宋体" w:eastAsia="仿宋_GB2312" w:cs="仿宋_GB2312"/>
          <w:kern w:val="0"/>
          <w:szCs w:val="32"/>
        </w:rPr>
        <w:t>本法第三十七条第一款规定，从境外引进野生动物物种的，由县级以上人民政府野生动物保护主管部门没收所引进的野生动物，并处五万元以上二十五万元以下的罚款；未依法实施进境检疫的，依照《中华人民共和国进出境动植物检疫法》的规定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rPr>
        <w:t>　违</w:t>
      </w:r>
      <w:r>
        <w:rPr>
          <w:rFonts w:hint="eastAsia" w:ascii="宋体" w:hAnsi="宋体" w:eastAsia="仿宋_GB2312" w:cs="仿宋_GB2312"/>
          <w:kern w:val="0"/>
          <w:szCs w:val="32"/>
        </w:rPr>
        <w:t>反本法第三十七条第二款规定，将从境外引进的野生动物放归野外环境的，由县级以上人民政府野生动物保护主管部门责令限期捕回，处一万元以上五万元以下的罚款；逾期不捕回的，由有关野生动物保护主管部门代为捕回或者采取降低影响的措施，所需费用由被责令限期捕回者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rPr>
        <w:t>　违反本</w:t>
      </w:r>
      <w:r>
        <w:rPr>
          <w:rFonts w:hint="eastAsia" w:ascii="宋体" w:hAnsi="宋体" w:eastAsia="仿宋_GB2312" w:cs="仿宋_GB2312"/>
          <w:kern w:val="0"/>
          <w:szCs w:val="32"/>
        </w:rPr>
        <w:t>法第三十九条第一款规定，伪造、变造、买卖、转让、租借有关证件、专用标识或者有关批准文件的，由县级以上人民政府野生动物保护主管部门没收违法证件、专用标识、有关批准文件和违法所得，并处五万元以上二十五万元以下的罚款；构成违反治安管理行为的，由公安机关依法给予治安管理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rPr>
        <w:t>　依照本法规定没收的实物，由县级以上人民政府野生动物保护主管部门或者其授权的单位按照规定处理。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rPr>
        <w:t>　本法规定的猎获物价值、野生动物及其制品价值的评估标准和方法，由国务院野生动物保护主管部门制定。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rPr>
        <w:t>　本法自2017年1月1日起施行。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auto"/>
          <w:spacing w:val="0"/>
          <w:sz w:val="44"/>
          <w:szCs w:val="44"/>
          <w:shd w:val="clear" w:color="090000" w:fill="FFFFFF"/>
        </w:rPr>
      </w:pPr>
      <w:bookmarkStart w:id="173" w:name="_Toc12551"/>
      <w:bookmarkStart w:id="174" w:name="_Toc3777"/>
      <w:bookmarkStart w:id="175" w:name="_Toc6138"/>
      <w:bookmarkStart w:id="176" w:name="_Toc18322"/>
      <w:bookmarkStart w:id="177" w:name="_Toc22119"/>
      <w:bookmarkStart w:id="178" w:name="_Toc11095"/>
      <w:bookmarkStart w:id="179" w:name="_Toc19285"/>
      <w:bookmarkStart w:id="180" w:name="_Toc13007"/>
      <w:bookmarkStart w:id="181" w:name="_Toc940"/>
      <w:bookmarkStart w:id="182" w:name="_Toc25649"/>
      <w:r>
        <w:rPr>
          <w:rFonts w:hint="eastAsia" w:ascii="宋体" w:hAnsi="宋体" w:eastAsia="宋体" w:cs="宋体"/>
          <w:b w:val="0"/>
          <w:bCs/>
          <w:i w:val="0"/>
          <w:caps w:val="0"/>
          <w:color w:val="auto"/>
          <w:spacing w:val="0"/>
          <w:sz w:val="44"/>
          <w:szCs w:val="44"/>
          <w:shd w:val="clear" w:color="090000" w:fill="FFFFFF"/>
        </w:rPr>
        <w:t>全国人民代表大会常务委员会关于全面禁止非法野生动物交易、革除滥食野生动物陋习、切实保障人民群众生命健康安全的决定</w:t>
      </w:r>
      <w:bookmarkEnd w:id="173"/>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b w:val="0"/>
          <w:bCs/>
          <w:i w:val="0"/>
          <w:caps w:val="0"/>
          <w:color w:val="000080"/>
          <w:spacing w:val="0"/>
          <w:sz w:val="32"/>
          <w:szCs w:val="32"/>
          <w:shd w:val="clear" w:color="09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640" w:leftChars="200" w:right="640" w:rightChars="200" w:firstLine="0" w:firstLineChars="0"/>
        <w:jc w:val="center"/>
        <w:textAlignment w:val="auto"/>
        <w:rPr>
          <w:rFonts w:hint="eastAsia" w:ascii="楷体" w:hAnsi="楷体" w:eastAsia="楷体" w:cs="楷体"/>
          <w:b w:val="0"/>
          <w:bCs/>
          <w:i w:val="0"/>
          <w:caps w:val="0"/>
          <w:color w:val="auto"/>
          <w:spacing w:val="0"/>
          <w:sz w:val="32"/>
          <w:szCs w:val="32"/>
          <w:shd w:val="clear" w:color="090000" w:fill="FFFFFF"/>
        </w:rPr>
      </w:pPr>
      <w:r>
        <w:rPr>
          <w:rFonts w:hint="eastAsia" w:ascii="楷体" w:hAnsi="楷体" w:eastAsia="楷体" w:cs="楷体"/>
          <w:b w:val="0"/>
          <w:bCs/>
          <w:i w:val="0"/>
          <w:caps w:val="0"/>
          <w:color w:val="auto"/>
          <w:spacing w:val="0"/>
          <w:sz w:val="32"/>
          <w:szCs w:val="32"/>
          <w:shd w:val="clear" w:color="090000" w:fill="FFFFFF"/>
        </w:rPr>
        <w:t>（2020年2月24日第十三届全国人民代表大会常务委员会第十六次会议通过）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000000"/>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为了全面禁止和惩治非法野生动物交易行为，革除滥食野生动物的陋习，维护生物安全和生态安全，有效防范重大公共卫生风险，切实保障人民群众生命健康安全，加强生态文明建设，促进人与自然和谐共生，全国人民代表大会常务委员会作出如下决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一、凡《中华人民共和国野生动物保护法》和其他有关法律禁止猎捕、交易、运输、食用野生动物的，必须严格禁止。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对违反前款规定的行为，在现行法律规定基础上加重处罚。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二、全面禁止食用国家保护的“有重要生态、科学、社会价值的陆生野生动物”以及其他陆生野生动物，包括人工繁育、人工饲养的陆生野生动物。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全面禁止以食用为目的猎捕、交易、运输在野外环境自然生长繁殖的陆生野生动物。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对违反前两款规定的行为，参照适用现行法律有关规定处罚。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三、列入畜禽遗传资源目录的动物，属于家畜家禽，适用《中华人民共和国畜牧法》的规定。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国务院畜牧兽医行政主管部门依法制定并公布畜禽遗传资源目录。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四、因科研、药用、展示等特殊情况，需要对野生动物进行非食用性利用的，应当按照国家有关规定实行严格审批和检疫检验。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国务院及其有关主管部门应当及时制定、完善野生动物非食用性利用的审批和检疫检验等规定，并严格执行。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五、各级人民政府和人民团体、社会组织、学校、新闻媒体等社会各方面，都应当积极开展生态环境保护和公共卫生安全的宣传教育和引导，全社会成员要自觉增强生态保护和公共卫生安全意识，移风易俗，革除滥食野生动物陋习，养成科学健康文明的生活方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六、各级人民政府及其有关部门应当健全执法管理体制，明确执法责任主体，落实执法管理责任，加强协调配合，加大监督检查和责任追究力度，严格查处违反本决定和有关法律法规的行为；对违法经营场所和违法经营者，依法予以取缔或者查封、关闭。</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七、国务院及其有关部门和省、自治区、直辖市应当依据本决定和有关法律，制定、调整相关名录和配套规定。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shd w:val="clear" w:color="070000" w:fill="FFFFFF"/>
        </w:rPr>
        <w:t>国务院和地方人民政府应当采取必要措施，为本决定的实施提供相应保障。有关地方人民政府应当支持、指导、帮助受影响的农户调整、转变生产经营活动，根据实际情况给予一定补偿。</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pPr>
      <w:r>
        <w:rPr>
          <w:rFonts w:hint="eastAsia" w:ascii="仿宋" w:hAnsi="仿宋" w:eastAsia="仿宋" w:cs="仿宋"/>
          <w:i w:val="0"/>
          <w:caps w:val="0"/>
          <w:color w:val="000000"/>
          <w:spacing w:val="0"/>
          <w:sz w:val="32"/>
          <w:szCs w:val="32"/>
          <w:shd w:val="clear" w:color="070000" w:fill="FFFFFF"/>
        </w:rPr>
        <w:t>八、本决定自公布之日起施行。</w:t>
      </w:r>
    </w:p>
    <w:p>
      <w:pPr>
        <w:rPr>
          <w:rFonts w:hint="eastAsia" w:ascii="宋体" w:hAnsi="宋体" w:eastAsia="宋体" w:cs="Arial"/>
          <w:kern w:val="0"/>
          <w:szCs w:val="32"/>
        </w:rPr>
      </w:pPr>
      <w:r>
        <w:rPr>
          <w:rFonts w:hint="eastAsia" w:ascii="宋体" w:hAnsi="宋体" w:eastAsia="宋体" w:cs="宋体"/>
          <w:b w:val="0"/>
          <w:bCs w:val="0"/>
          <w:kern w:val="0"/>
          <w:sz w:val="44"/>
          <w:szCs w:val="44"/>
          <w:lang w:val="en-US" w:eastAsia="zh-CN" w:bidi="ar-SA"/>
        </w:rPr>
        <w:br w:type="page"/>
      </w:r>
    </w:p>
    <w:p>
      <w:pPr>
        <w:rPr>
          <w:rFonts w:hint="eastAsia" w:ascii="宋体" w:hAnsi="宋体" w:eastAsia="宋体" w:cs="Arial"/>
          <w:kern w:val="0"/>
          <w:szCs w:val="32"/>
        </w:rPr>
      </w:pPr>
    </w:p>
    <w:p>
      <w:pPr>
        <w:jc w:val="center"/>
        <w:rPr>
          <w:rFonts w:ascii="宋体" w:hAnsi="宋体" w:eastAsia="宋体" w:cs="Arial"/>
          <w:bCs/>
          <w:sz w:val="44"/>
          <w:szCs w:val="44"/>
        </w:rPr>
      </w:pPr>
      <w:bookmarkStart w:id="183" w:name="Title"/>
      <w:r>
        <w:rPr>
          <w:rFonts w:ascii="宋体" w:hAnsi="宋体" w:eastAsia="宋体" w:cs="Arial"/>
          <w:bCs/>
          <w:sz w:val="44"/>
          <w:szCs w:val="44"/>
        </w:rPr>
        <w:t>中华人民共和国生物安全法</w:t>
      </w:r>
      <w:bookmarkEnd w:id="183"/>
    </w:p>
    <w:p>
      <w:pPr>
        <w:ind w:left="640" w:leftChars="200" w:right="640" w:rightChars="200"/>
        <w:rPr>
          <w:rFonts w:ascii="宋体" w:hAnsi="宋体" w:eastAsia="宋体" w:cs="Arial"/>
          <w:bCs/>
          <w:szCs w:val="32"/>
        </w:rPr>
      </w:pPr>
      <w:bookmarkStart w:id="184" w:name="AddRun"/>
    </w:p>
    <w:bookmarkEnd w:id="184"/>
    <w:p>
      <w:pPr>
        <w:ind w:left="640" w:leftChars="200" w:right="640" w:rightChars="200"/>
        <w:rPr>
          <w:rFonts w:hint="eastAsia" w:ascii="宋体" w:hAnsi="宋体" w:eastAsia="宋体" w:cs="Arial"/>
          <w:bCs/>
          <w:szCs w:val="32"/>
        </w:rPr>
      </w:pPr>
      <w:bookmarkStart w:id="185" w:name="TitleDescription"/>
      <w:r>
        <w:rPr>
          <w:rFonts w:hint="eastAsia" w:ascii="楷体_GB2312" w:hAnsi="Arial" w:eastAsia="楷体_GB2312" w:cs="Arial"/>
          <w:szCs w:val="32"/>
        </w:rPr>
        <w:t>（</w:t>
      </w:r>
      <w:r>
        <w:rPr>
          <w:rFonts w:hint="default" w:ascii="Times New Roman" w:hAnsi="Times New Roman" w:eastAsia="楷体_GB2312" w:cs="Times New Roman"/>
          <w:szCs w:val="32"/>
        </w:rPr>
        <w:t>2020</w:t>
      </w:r>
      <w:r>
        <w:rPr>
          <w:rFonts w:hint="eastAsia" w:ascii="楷体_GB2312" w:hAnsi="Arial" w:eastAsia="楷体_GB2312" w:cs="Arial"/>
          <w:szCs w:val="32"/>
        </w:rPr>
        <w:t>年</w:t>
      </w:r>
      <w:r>
        <w:rPr>
          <w:rFonts w:hint="default" w:ascii="Times New Roman" w:hAnsi="Times New Roman" w:eastAsia="楷体_GB2312" w:cs="Times New Roman"/>
          <w:szCs w:val="32"/>
        </w:rPr>
        <w:t>10</w:t>
      </w:r>
      <w:r>
        <w:rPr>
          <w:rFonts w:hint="eastAsia" w:ascii="楷体_GB2312" w:hAnsi="Arial" w:eastAsia="楷体_GB2312" w:cs="Arial"/>
          <w:szCs w:val="32"/>
        </w:rPr>
        <w:t>月</w:t>
      </w:r>
      <w:r>
        <w:rPr>
          <w:rFonts w:hint="default" w:ascii="Times New Roman" w:hAnsi="Times New Roman" w:eastAsia="楷体_GB2312" w:cs="Times New Roman"/>
          <w:szCs w:val="32"/>
        </w:rPr>
        <w:t>17</w:t>
      </w:r>
      <w:r>
        <w:rPr>
          <w:rFonts w:hint="eastAsia" w:ascii="楷体_GB2312" w:hAnsi="Arial" w:eastAsia="楷体_GB2312" w:cs="Arial"/>
          <w:szCs w:val="32"/>
        </w:rPr>
        <w:t>日第十三届全国人民代表大会常务委员会第二十二次会议通过）</w:t>
      </w:r>
      <w:bookmarkEnd w:id="185"/>
    </w:p>
    <w:p>
      <w:pPr>
        <w:spacing w:line="240" w:lineRule="auto"/>
        <w:ind w:firstLine="0"/>
        <w:jc w:val="both"/>
      </w:pPr>
    </w:p>
    <w:p>
      <w:pPr>
        <w:spacing w:line="240" w:lineRule="auto"/>
        <w:ind w:firstLine="0"/>
        <w:jc w:val="center"/>
      </w:pPr>
      <w:r>
        <w:rPr>
          <w:rFonts w:ascii="楷体_GB2312" w:hAnsi="楷体_GB2312" w:eastAsia="楷体_GB2312" w:cs="楷体_GB2312"/>
          <w:sz w:val="32"/>
        </w:rPr>
        <w:t>目　　录</w:t>
      </w:r>
    </w:p>
    <w:p>
      <w:pPr>
        <w:spacing w:line="240" w:lineRule="auto"/>
        <w:ind w:firstLine="640"/>
        <w:jc w:val="both"/>
      </w:pPr>
      <w:r>
        <w:rPr>
          <w:rFonts w:ascii="楷体_GB2312" w:hAnsi="楷体_GB2312" w:eastAsia="楷体_GB2312" w:cs="楷体_GB2312"/>
          <w:sz w:val="32"/>
        </w:rPr>
        <w:t>第一章　总　　则</w:t>
      </w:r>
    </w:p>
    <w:p>
      <w:pPr>
        <w:spacing w:line="240" w:lineRule="auto"/>
        <w:ind w:firstLine="640"/>
        <w:jc w:val="both"/>
      </w:pPr>
      <w:r>
        <w:rPr>
          <w:rFonts w:ascii="楷体_GB2312" w:hAnsi="楷体_GB2312" w:eastAsia="楷体_GB2312" w:cs="楷体_GB2312"/>
          <w:sz w:val="32"/>
        </w:rPr>
        <w:t>第二章　生物安全风险防控体制</w:t>
      </w:r>
    </w:p>
    <w:p>
      <w:pPr>
        <w:spacing w:line="240" w:lineRule="auto"/>
        <w:ind w:firstLine="640"/>
        <w:jc w:val="both"/>
      </w:pPr>
      <w:r>
        <w:rPr>
          <w:rFonts w:ascii="楷体_GB2312" w:hAnsi="楷体_GB2312" w:eastAsia="楷体_GB2312" w:cs="楷体_GB2312"/>
          <w:sz w:val="32"/>
        </w:rPr>
        <w:t>第三章　防控重大新发突发传染病、动植物疫情</w:t>
      </w:r>
    </w:p>
    <w:p>
      <w:pPr>
        <w:spacing w:line="240" w:lineRule="auto"/>
        <w:ind w:firstLine="640"/>
        <w:jc w:val="both"/>
      </w:pPr>
      <w:r>
        <w:rPr>
          <w:rFonts w:ascii="楷体_GB2312" w:hAnsi="楷体_GB2312" w:eastAsia="楷体_GB2312" w:cs="楷体_GB2312"/>
          <w:sz w:val="32"/>
        </w:rPr>
        <w:t>第四章　生物技术研究、开发与应用安全</w:t>
      </w:r>
    </w:p>
    <w:p>
      <w:pPr>
        <w:spacing w:line="240" w:lineRule="auto"/>
        <w:ind w:firstLine="640"/>
        <w:jc w:val="both"/>
      </w:pPr>
      <w:r>
        <w:rPr>
          <w:rFonts w:ascii="楷体_GB2312" w:hAnsi="楷体_GB2312" w:eastAsia="楷体_GB2312" w:cs="楷体_GB2312"/>
          <w:sz w:val="32"/>
        </w:rPr>
        <w:t>第五章　病原微生物实验室生物安全</w:t>
      </w:r>
    </w:p>
    <w:p>
      <w:pPr>
        <w:spacing w:line="240" w:lineRule="auto"/>
        <w:ind w:firstLine="640"/>
        <w:jc w:val="both"/>
      </w:pPr>
      <w:r>
        <w:rPr>
          <w:rFonts w:ascii="楷体_GB2312" w:hAnsi="楷体_GB2312" w:eastAsia="楷体_GB2312" w:cs="楷体_GB2312"/>
          <w:sz w:val="32"/>
        </w:rPr>
        <w:t>第六章　人类遗传资源与生物资源安全</w:t>
      </w:r>
    </w:p>
    <w:p>
      <w:pPr>
        <w:spacing w:line="240" w:lineRule="auto"/>
        <w:ind w:firstLine="640"/>
        <w:jc w:val="both"/>
      </w:pPr>
      <w:r>
        <w:rPr>
          <w:rFonts w:ascii="楷体_GB2312" w:hAnsi="楷体_GB2312" w:eastAsia="楷体_GB2312" w:cs="楷体_GB2312"/>
          <w:sz w:val="32"/>
        </w:rPr>
        <w:t>第七章　防范生物恐怖与生物武器威胁</w:t>
      </w:r>
    </w:p>
    <w:p>
      <w:pPr>
        <w:spacing w:line="240" w:lineRule="auto"/>
        <w:ind w:firstLine="640"/>
        <w:jc w:val="both"/>
      </w:pPr>
      <w:r>
        <w:rPr>
          <w:rFonts w:ascii="楷体_GB2312" w:hAnsi="楷体_GB2312" w:eastAsia="楷体_GB2312" w:cs="楷体_GB2312"/>
          <w:sz w:val="32"/>
        </w:rPr>
        <w:t>第八章　生物安全能力建设</w:t>
      </w:r>
    </w:p>
    <w:p>
      <w:pPr>
        <w:spacing w:line="240" w:lineRule="auto"/>
        <w:ind w:firstLine="640"/>
        <w:jc w:val="both"/>
      </w:pPr>
      <w:r>
        <w:rPr>
          <w:rFonts w:ascii="楷体_GB2312" w:hAnsi="楷体_GB2312" w:eastAsia="楷体_GB2312" w:cs="楷体_GB2312"/>
          <w:sz w:val="32"/>
        </w:rPr>
        <w:t>第九章　法律责任</w:t>
      </w:r>
    </w:p>
    <w:p>
      <w:pPr>
        <w:spacing w:line="240" w:lineRule="auto"/>
        <w:ind w:firstLine="640"/>
        <w:jc w:val="both"/>
      </w:pPr>
      <w:r>
        <w:rPr>
          <w:rFonts w:ascii="楷体_GB2312" w:hAnsi="楷体_GB2312" w:eastAsia="楷体_GB2312" w:cs="楷体_GB2312"/>
          <w:sz w:val="32"/>
        </w:rPr>
        <w:t>第十章　附　　则</w:t>
      </w:r>
    </w:p>
    <w:p>
      <w:pPr>
        <w:spacing w:line="240" w:lineRule="auto"/>
        <w:ind w:firstLine="0"/>
        <w:jc w:val="both"/>
      </w:pPr>
    </w:p>
    <w:p>
      <w:pPr>
        <w:spacing w:line="240" w:lineRule="auto"/>
        <w:ind w:firstLine="0"/>
        <w:jc w:val="center"/>
      </w:pPr>
      <w:r>
        <w:rPr>
          <w:rFonts w:ascii="黑体" w:hAnsi="黑体" w:eastAsia="黑体" w:cs="黑体"/>
          <w:sz w:val="32"/>
        </w:rPr>
        <w:t>第一章　总　　则</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第一条</w:t>
      </w:r>
      <w:r>
        <w:rPr>
          <w:rFonts w:ascii="仿宋_GB2312" w:hAnsi="仿宋_GB2312" w:eastAsia="仿宋_GB2312" w:cs="仿宋_GB2312"/>
          <w:sz w:val="32"/>
        </w:rPr>
        <w:t>　为了维护国家安全，防范和应对生物安全风险，保障人民生命健康，保护生物资源和生态环境，促进生物技术健康发展，推动构建人类命运共同体，实现人与自然和谐共生，制定本法。</w:t>
      </w:r>
    </w:p>
    <w:p>
      <w:pPr>
        <w:spacing w:line="240" w:lineRule="auto"/>
        <w:ind w:firstLine="640"/>
        <w:jc w:val="both"/>
      </w:pPr>
      <w:r>
        <w:rPr>
          <w:rFonts w:ascii="黑体" w:hAnsi="黑体" w:eastAsia="黑体" w:cs="黑体"/>
          <w:sz w:val="32"/>
        </w:rPr>
        <w:t>第二条</w:t>
      </w:r>
      <w:r>
        <w:rPr>
          <w:rFonts w:ascii="仿宋_GB2312" w:hAnsi="仿宋_GB2312" w:eastAsia="仿宋_GB2312" w:cs="仿宋_GB2312"/>
          <w:sz w:val="32"/>
        </w:rPr>
        <w:t>　本法所称生物安全，是指国家有效防范和应对危险生物因子及相关因素威胁，生物技术能够稳定健康发展，人民生命健康和生态系统相对处于没有危险和不受威胁的状态，生物领域具备维护国家安全和持续发展的能力。</w:t>
      </w:r>
    </w:p>
    <w:p>
      <w:pPr>
        <w:spacing w:line="240" w:lineRule="auto"/>
        <w:ind w:firstLine="640"/>
        <w:jc w:val="both"/>
      </w:pPr>
      <w:r>
        <w:rPr>
          <w:rFonts w:ascii="仿宋_GB2312" w:hAnsi="仿宋_GB2312" w:eastAsia="仿宋_GB2312" w:cs="仿宋_GB2312"/>
          <w:sz w:val="32"/>
        </w:rPr>
        <w:t>从事下列活动，适用本法：</w:t>
      </w:r>
    </w:p>
    <w:p>
      <w:pPr>
        <w:spacing w:line="240" w:lineRule="auto"/>
        <w:ind w:firstLine="640"/>
        <w:jc w:val="both"/>
      </w:pPr>
      <w:r>
        <w:rPr>
          <w:rFonts w:ascii="仿宋_GB2312" w:hAnsi="仿宋_GB2312" w:eastAsia="仿宋_GB2312" w:cs="仿宋_GB2312"/>
          <w:sz w:val="32"/>
        </w:rPr>
        <w:t>（一）防控重大新发突发传染病、动植物疫情；</w:t>
      </w:r>
    </w:p>
    <w:p>
      <w:pPr>
        <w:spacing w:line="240" w:lineRule="auto"/>
        <w:ind w:firstLine="640"/>
        <w:jc w:val="both"/>
      </w:pPr>
      <w:r>
        <w:rPr>
          <w:rFonts w:ascii="仿宋_GB2312" w:hAnsi="仿宋_GB2312" w:eastAsia="仿宋_GB2312" w:cs="仿宋_GB2312"/>
          <w:sz w:val="32"/>
        </w:rPr>
        <w:t>（二）生物技术研究、开发与应用；</w:t>
      </w:r>
    </w:p>
    <w:p>
      <w:pPr>
        <w:spacing w:line="240" w:lineRule="auto"/>
        <w:ind w:firstLine="640"/>
        <w:jc w:val="both"/>
      </w:pPr>
      <w:r>
        <w:rPr>
          <w:rFonts w:ascii="仿宋_GB2312" w:hAnsi="仿宋_GB2312" w:eastAsia="仿宋_GB2312" w:cs="仿宋_GB2312"/>
          <w:sz w:val="32"/>
        </w:rPr>
        <w:t>（三）病原微生物实验室生物安全管理；</w:t>
      </w:r>
    </w:p>
    <w:p>
      <w:pPr>
        <w:spacing w:line="240" w:lineRule="auto"/>
        <w:ind w:firstLine="640"/>
        <w:jc w:val="both"/>
      </w:pPr>
      <w:r>
        <w:rPr>
          <w:rFonts w:ascii="仿宋_GB2312" w:hAnsi="仿宋_GB2312" w:eastAsia="仿宋_GB2312" w:cs="仿宋_GB2312"/>
          <w:sz w:val="32"/>
        </w:rPr>
        <w:t>（四）人类遗传资源与生物资源安全管理；</w:t>
      </w:r>
    </w:p>
    <w:p>
      <w:pPr>
        <w:spacing w:line="240" w:lineRule="auto"/>
        <w:ind w:firstLine="640"/>
        <w:jc w:val="both"/>
      </w:pPr>
      <w:r>
        <w:rPr>
          <w:rFonts w:ascii="仿宋_GB2312" w:hAnsi="仿宋_GB2312" w:eastAsia="仿宋_GB2312" w:cs="仿宋_GB2312"/>
          <w:sz w:val="32"/>
        </w:rPr>
        <w:t>（五）防范外来物种入侵与保护生物多样性；</w:t>
      </w:r>
    </w:p>
    <w:p>
      <w:pPr>
        <w:spacing w:line="240" w:lineRule="auto"/>
        <w:ind w:firstLine="640"/>
        <w:jc w:val="both"/>
      </w:pPr>
      <w:r>
        <w:rPr>
          <w:rFonts w:ascii="仿宋_GB2312" w:hAnsi="仿宋_GB2312" w:eastAsia="仿宋_GB2312" w:cs="仿宋_GB2312"/>
          <w:sz w:val="32"/>
        </w:rPr>
        <w:t>（六）应对微生物耐药；</w:t>
      </w:r>
    </w:p>
    <w:p>
      <w:pPr>
        <w:spacing w:line="240" w:lineRule="auto"/>
        <w:ind w:firstLine="640"/>
        <w:jc w:val="both"/>
      </w:pPr>
      <w:r>
        <w:rPr>
          <w:rFonts w:ascii="仿宋_GB2312" w:hAnsi="仿宋_GB2312" w:eastAsia="仿宋_GB2312" w:cs="仿宋_GB2312"/>
          <w:sz w:val="32"/>
        </w:rPr>
        <w:t>（七）防范生物恐怖袭击与防御生物武器威胁；</w:t>
      </w:r>
    </w:p>
    <w:p>
      <w:pPr>
        <w:spacing w:line="240" w:lineRule="auto"/>
        <w:ind w:firstLine="640"/>
        <w:jc w:val="both"/>
      </w:pPr>
      <w:r>
        <w:rPr>
          <w:rFonts w:ascii="仿宋_GB2312" w:hAnsi="仿宋_GB2312" w:eastAsia="仿宋_GB2312" w:cs="仿宋_GB2312"/>
          <w:sz w:val="32"/>
        </w:rPr>
        <w:t>（八）其他与生物安全相关的活动。</w:t>
      </w:r>
    </w:p>
    <w:p>
      <w:pPr>
        <w:spacing w:line="240" w:lineRule="auto"/>
        <w:ind w:firstLine="640"/>
        <w:jc w:val="both"/>
      </w:pPr>
      <w:r>
        <w:rPr>
          <w:rFonts w:ascii="黑体" w:hAnsi="黑体" w:eastAsia="黑体" w:cs="黑体"/>
          <w:sz w:val="32"/>
        </w:rPr>
        <w:t>第三条</w:t>
      </w:r>
      <w:r>
        <w:rPr>
          <w:rFonts w:ascii="仿宋_GB2312" w:hAnsi="仿宋_GB2312" w:eastAsia="仿宋_GB2312" w:cs="仿宋_GB2312"/>
          <w:sz w:val="32"/>
        </w:rPr>
        <w:t>　生物安全是国家安全的重要组成部分。维护生物安全应当贯彻总体国家安全观，统筹发展和安全，坚持以人为本、风险预防、分类管理、协同配合的原则。</w:t>
      </w:r>
    </w:p>
    <w:p>
      <w:pPr>
        <w:spacing w:line="240" w:lineRule="auto"/>
        <w:ind w:firstLine="640"/>
        <w:jc w:val="both"/>
      </w:pPr>
      <w:r>
        <w:rPr>
          <w:rFonts w:ascii="黑体" w:hAnsi="黑体" w:eastAsia="黑体" w:cs="黑体"/>
          <w:sz w:val="32"/>
        </w:rPr>
        <w:t>第四条</w:t>
      </w:r>
      <w:r>
        <w:rPr>
          <w:rFonts w:ascii="仿宋_GB2312" w:hAnsi="仿宋_GB2312" w:eastAsia="仿宋_GB2312" w:cs="仿宋_GB2312"/>
          <w:sz w:val="32"/>
        </w:rPr>
        <w:t>　坚持中国共产党对国家生物安全工作的领导，建立健全国家生物安全领导体制，加强国家生物安全风险防控和治理体系建设，提高国家生物安全治理能力。</w:t>
      </w:r>
    </w:p>
    <w:p>
      <w:pPr>
        <w:spacing w:line="240" w:lineRule="auto"/>
        <w:ind w:firstLine="640"/>
        <w:jc w:val="both"/>
      </w:pPr>
      <w:r>
        <w:rPr>
          <w:rFonts w:ascii="黑体" w:hAnsi="黑体" w:eastAsia="黑体" w:cs="黑体"/>
          <w:sz w:val="32"/>
        </w:rPr>
        <w:t>第五条</w:t>
      </w:r>
      <w:r>
        <w:rPr>
          <w:rFonts w:ascii="仿宋_GB2312" w:hAnsi="仿宋_GB2312" w:eastAsia="仿宋_GB2312" w:cs="仿宋_GB2312"/>
          <w:sz w:val="32"/>
        </w:rPr>
        <w:t>　国家鼓励生物科技创新，加强生物安全基础设施和生物科技人才队伍建设，支持生物产业发展，以创新驱动提升生物科技水平，增强生物安全保障能力。</w:t>
      </w:r>
    </w:p>
    <w:p>
      <w:pPr>
        <w:spacing w:line="240" w:lineRule="auto"/>
        <w:ind w:firstLine="640"/>
        <w:jc w:val="both"/>
      </w:pPr>
      <w:r>
        <w:rPr>
          <w:rFonts w:ascii="黑体" w:hAnsi="黑体" w:eastAsia="黑体" w:cs="黑体"/>
          <w:sz w:val="32"/>
        </w:rPr>
        <w:t>第六条</w:t>
      </w:r>
      <w:r>
        <w:rPr>
          <w:rFonts w:ascii="仿宋_GB2312" w:hAnsi="仿宋_GB2312" w:eastAsia="仿宋_GB2312" w:cs="仿宋_GB2312"/>
          <w:sz w:val="32"/>
        </w:rPr>
        <w:t>　国家加强生物安全领域的国际合作，履行中华人民共和国缔结或者参加的国际条约规定的义务，支持参与生物科技交流合作与生物安全事件国际救援，积极参与生物安全国际规则的研究与制定，推动完善全球生物安全治理。</w:t>
      </w:r>
    </w:p>
    <w:p>
      <w:pPr>
        <w:spacing w:line="240" w:lineRule="auto"/>
        <w:ind w:firstLine="640"/>
        <w:jc w:val="both"/>
      </w:pPr>
      <w:r>
        <w:rPr>
          <w:rFonts w:ascii="黑体" w:hAnsi="黑体" w:eastAsia="黑体" w:cs="黑体"/>
          <w:sz w:val="32"/>
        </w:rPr>
        <w:t>第七条</w:t>
      </w:r>
      <w:r>
        <w:rPr>
          <w:rFonts w:ascii="仿宋_GB2312" w:hAnsi="仿宋_GB2312" w:eastAsia="仿宋_GB2312" w:cs="仿宋_GB2312"/>
          <w:sz w:val="32"/>
        </w:rPr>
        <w:t>　各级人民政府及其有关部门应当加强生物安全法律法规和生物安全知识宣传普及工作，引导基层群众性自治组织、社会组织开展生物安全法律法规和生物安全知识宣传，促进全社会生物安全意识的提升。</w:t>
      </w:r>
    </w:p>
    <w:p>
      <w:pPr>
        <w:spacing w:line="240" w:lineRule="auto"/>
        <w:ind w:firstLine="640"/>
        <w:jc w:val="both"/>
      </w:pPr>
      <w:r>
        <w:rPr>
          <w:rFonts w:ascii="仿宋_GB2312" w:hAnsi="仿宋_GB2312" w:eastAsia="仿宋_GB2312" w:cs="仿宋_GB2312"/>
          <w:sz w:val="32"/>
        </w:rPr>
        <w:t>相关科研院校、医疗机构以及其他企业事业单位应当将生物安全法律法规和生物安全知识纳入教育培训内容，加强学生、从业人员生物安全意识和伦理意识的培养。</w:t>
      </w:r>
    </w:p>
    <w:p>
      <w:pPr>
        <w:spacing w:line="240" w:lineRule="auto"/>
        <w:ind w:firstLine="640"/>
        <w:jc w:val="both"/>
      </w:pPr>
      <w:r>
        <w:rPr>
          <w:rFonts w:ascii="仿宋_GB2312" w:hAnsi="仿宋_GB2312" w:eastAsia="仿宋_GB2312" w:cs="仿宋_GB2312"/>
          <w:sz w:val="32"/>
        </w:rPr>
        <w:t>新闻媒体应当开展生物安全法律法规和生物安全知识公益宣传，对生物安全违法行为进行舆论监督，增强公众维护生物安全的社会责任意识。</w:t>
      </w:r>
    </w:p>
    <w:p>
      <w:pPr>
        <w:spacing w:line="240" w:lineRule="auto"/>
        <w:ind w:firstLine="640"/>
        <w:jc w:val="both"/>
      </w:pPr>
      <w:r>
        <w:rPr>
          <w:rFonts w:ascii="黑体" w:hAnsi="黑体" w:eastAsia="黑体" w:cs="黑体"/>
          <w:sz w:val="32"/>
        </w:rPr>
        <w:t>第八条</w:t>
      </w:r>
      <w:r>
        <w:rPr>
          <w:rFonts w:ascii="仿宋_GB2312" w:hAnsi="仿宋_GB2312" w:eastAsia="仿宋_GB2312" w:cs="仿宋_GB2312"/>
          <w:sz w:val="32"/>
        </w:rPr>
        <w:t>　任何单位和个人不得危害生物安全。</w:t>
      </w:r>
    </w:p>
    <w:p>
      <w:pPr>
        <w:spacing w:line="240" w:lineRule="auto"/>
        <w:ind w:firstLine="640"/>
        <w:jc w:val="both"/>
      </w:pPr>
      <w:r>
        <w:rPr>
          <w:rFonts w:ascii="仿宋_GB2312" w:hAnsi="仿宋_GB2312" w:eastAsia="仿宋_GB2312" w:cs="仿宋_GB2312"/>
          <w:sz w:val="32"/>
        </w:rPr>
        <w:t>任何单位和个人有权举报危害生物安全的行为；接到举报的部门应当及时依法处理。</w:t>
      </w:r>
    </w:p>
    <w:p>
      <w:pPr>
        <w:spacing w:line="240" w:lineRule="auto"/>
        <w:ind w:firstLine="640"/>
        <w:jc w:val="both"/>
      </w:pPr>
      <w:r>
        <w:rPr>
          <w:rFonts w:ascii="黑体" w:hAnsi="黑体" w:eastAsia="黑体" w:cs="黑体"/>
          <w:sz w:val="32"/>
        </w:rPr>
        <w:t>第九条</w:t>
      </w:r>
      <w:r>
        <w:rPr>
          <w:rFonts w:ascii="仿宋_GB2312" w:hAnsi="仿宋_GB2312" w:eastAsia="仿宋_GB2312" w:cs="仿宋_GB2312"/>
          <w:sz w:val="32"/>
        </w:rPr>
        <w:t>　对在生物安全工作中做出突出贡献的单位和个人，县级以上人民政府及其有关部门按照国家规定予以表彰和奖励。</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第二章　生物安全风险防控体制</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第十条</w:t>
      </w:r>
      <w:r>
        <w:rPr>
          <w:rFonts w:ascii="仿宋_GB2312" w:hAnsi="仿宋_GB2312" w:eastAsia="仿宋_GB2312" w:cs="仿宋_GB2312"/>
          <w:sz w:val="32"/>
        </w:rPr>
        <w:t>　中央国家安全领导机构负责国家生物安全工作的决策和议事协调，研究制定、指导实施国家生物安全战略和有关重大方针政策，统筹协调国家生物安全的重大事项和重要工作，建立国家生物安全工作协调机制。</w:t>
      </w:r>
    </w:p>
    <w:p>
      <w:pPr>
        <w:spacing w:line="240" w:lineRule="auto"/>
        <w:ind w:firstLine="640"/>
        <w:jc w:val="both"/>
      </w:pPr>
      <w:r>
        <w:rPr>
          <w:rFonts w:ascii="仿宋_GB2312" w:hAnsi="仿宋_GB2312" w:eastAsia="仿宋_GB2312" w:cs="仿宋_GB2312"/>
          <w:sz w:val="32"/>
        </w:rPr>
        <w:t>省、自治区、直辖市建立生物安全工作协调机制，组织协调、督促推进本行政区域内生物安全相关工作。</w:t>
      </w:r>
    </w:p>
    <w:p>
      <w:pPr>
        <w:spacing w:line="240" w:lineRule="auto"/>
        <w:ind w:firstLine="640"/>
        <w:jc w:val="both"/>
      </w:pPr>
      <w:r>
        <w:rPr>
          <w:rFonts w:ascii="黑体" w:hAnsi="黑体" w:eastAsia="黑体" w:cs="黑体"/>
          <w:sz w:val="32"/>
        </w:rPr>
        <w:t>第十一条</w:t>
      </w:r>
      <w:r>
        <w:rPr>
          <w:rFonts w:ascii="仿宋_GB2312" w:hAnsi="仿宋_GB2312" w:eastAsia="仿宋_GB2312" w:cs="仿宋_GB2312"/>
          <w:sz w:val="32"/>
        </w:rPr>
        <w:t>　国家生物安全工作协调机制由国务院卫生健康、农业农村、科学技术、外交等主管部门和有关军事机关组成，分析研判国家生物安全形势，组织协调、督促推进国家生物安全相关工作。国家生物安全工作协调机制设立办公室，负责协调机制的日常工作。</w:t>
      </w:r>
    </w:p>
    <w:p>
      <w:pPr>
        <w:spacing w:line="240" w:lineRule="auto"/>
        <w:ind w:firstLine="640"/>
        <w:jc w:val="both"/>
      </w:pPr>
      <w:r>
        <w:rPr>
          <w:rFonts w:ascii="仿宋_GB2312" w:hAnsi="仿宋_GB2312" w:eastAsia="仿宋_GB2312" w:cs="仿宋_GB2312"/>
          <w:sz w:val="32"/>
        </w:rPr>
        <w:t>国家生物安全工作协调机制成员单位和国务院其他有关部门根据职责分工，负责生物安全相关工作。</w:t>
      </w:r>
    </w:p>
    <w:p>
      <w:pPr>
        <w:spacing w:line="240" w:lineRule="auto"/>
        <w:ind w:firstLine="640"/>
        <w:jc w:val="both"/>
      </w:pPr>
      <w:r>
        <w:rPr>
          <w:rFonts w:ascii="黑体" w:hAnsi="黑体" w:eastAsia="黑体" w:cs="黑体"/>
          <w:sz w:val="32"/>
        </w:rPr>
        <w:t>第十二条</w:t>
      </w:r>
      <w:r>
        <w:rPr>
          <w:rFonts w:ascii="仿宋_GB2312" w:hAnsi="仿宋_GB2312" w:eastAsia="仿宋_GB2312" w:cs="仿宋_GB2312"/>
          <w:sz w:val="32"/>
        </w:rPr>
        <w:t>　国家生物安全工作协调机制设立专家委员会，为国家生物安全战略研究、政策制定及实施提供决策咨询。</w:t>
      </w:r>
    </w:p>
    <w:p>
      <w:pPr>
        <w:spacing w:line="240" w:lineRule="auto"/>
        <w:ind w:firstLine="640"/>
        <w:jc w:val="both"/>
      </w:pPr>
      <w:r>
        <w:rPr>
          <w:rFonts w:ascii="仿宋_GB2312" w:hAnsi="仿宋_GB2312" w:eastAsia="仿宋_GB2312" w:cs="仿宋_GB2312"/>
          <w:sz w:val="32"/>
        </w:rPr>
        <w:t>国务院有关部门组织建立相关领域、行业的生物安全技术咨询专家委员会，为生物安全工作提供咨询、评估、论证等技术支撑。</w:t>
      </w:r>
    </w:p>
    <w:p>
      <w:pPr>
        <w:spacing w:line="240" w:lineRule="auto"/>
        <w:ind w:firstLine="640"/>
        <w:jc w:val="both"/>
      </w:pPr>
      <w:r>
        <w:rPr>
          <w:rFonts w:ascii="黑体" w:hAnsi="黑体" w:eastAsia="黑体" w:cs="黑体"/>
          <w:sz w:val="32"/>
        </w:rPr>
        <w:t>第十三条</w:t>
      </w:r>
      <w:r>
        <w:rPr>
          <w:rFonts w:ascii="仿宋_GB2312" w:hAnsi="仿宋_GB2312" w:eastAsia="仿宋_GB2312" w:cs="仿宋_GB2312"/>
          <w:sz w:val="32"/>
        </w:rPr>
        <w:t>　地方各级人民政府对本行政区域内生物安全工作负责。</w:t>
      </w:r>
    </w:p>
    <w:p>
      <w:pPr>
        <w:spacing w:line="240" w:lineRule="auto"/>
        <w:ind w:firstLine="640"/>
        <w:jc w:val="both"/>
      </w:pPr>
      <w:r>
        <w:rPr>
          <w:rFonts w:ascii="仿宋_GB2312" w:hAnsi="仿宋_GB2312" w:eastAsia="仿宋_GB2312" w:cs="仿宋_GB2312"/>
          <w:sz w:val="32"/>
        </w:rPr>
        <w:t>县级以上地方人民政府有关部门根据职责分工，负责生物安全相关工作。</w:t>
      </w:r>
    </w:p>
    <w:p>
      <w:pPr>
        <w:spacing w:line="240" w:lineRule="auto"/>
        <w:ind w:firstLine="640"/>
        <w:jc w:val="both"/>
      </w:pPr>
      <w:r>
        <w:rPr>
          <w:rFonts w:ascii="仿宋_GB2312" w:hAnsi="仿宋_GB2312" w:eastAsia="仿宋_GB2312" w:cs="仿宋_GB2312"/>
          <w:sz w:val="32"/>
        </w:rPr>
        <w:t>基层群众性自治组织应当协助地方人民政府以及有关部门做好生物安全风险防控、应急处置和宣传教育等工作。</w:t>
      </w:r>
    </w:p>
    <w:p>
      <w:pPr>
        <w:spacing w:line="240" w:lineRule="auto"/>
        <w:ind w:firstLine="640"/>
        <w:jc w:val="both"/>
      </w:pPr>
      <w:r>
        <w:rPr>
          <w:rFonts w:ascii="仿宋_GB2312" w:hAnsi="仿宋_GB2312" w:eastAsia="仿宋_GB2312" w:cs="仿宋_GB2312"/>
          <w:sz w:val="32"/>
        </w:rPr>
        <w:t>有关单位和个人应当配合做好生物安全风险防控和应急处置等工作。</w:t>
      </w:r>
    </w:p>
    <w:p>
      <w:pPr>
        <w:spacing w:line="240" w:lineRule="auto"/>
        <w:ind w:firstLine="640"/>
        <w:jc w:val="both"/>
      </w:pPr>
      <w:r>
        <w:rPr>
          <w:rFonts w:ascii="黑体" w:hAnsi="黑体" w:eastAsia="黑体" w:cs="黑体"/>
          <w:sz w:val="32"/>
        </w:rPr>
        <w:t>第十四条</w:t>
      </w:r>
      <w:r>
        <w:rPr>
          <w:rFonts w:ascii="仿宋_GB2312" w:hAnsi="仿宋_GB2312" w:eastAsia="仿宋_GB2312" w:cs="仿宋_GB2312"/>
          <w:sz w:val="32"/>
        </w:rPr>
        <w:t>　国家建立生物安全风险监测预警制度。国家生物安全工作协调机制组织建立国家生物安全风险监测预警体系，提高生物安全风险识别和分析能力。</w:t>
      </w:r>
    </w:p>
    <w:p>
      <w:pPr>
        <w:spacing w:line="240" w:lineRule="auto"/>
        <w:ind w:firstLine="640"/>
        <w:jc w:val="both"/>
      </w:pPr>
      <w:r>
        <w:rPr>
          <w:rFonts w:ascii="黑体" w:hAnsi="黑体" w:eastAsia="黑体" w:cs="黑体"/>
          <w:sz w:val="32"/>
        </w:rPr>
        <w:t>第十五条</w:t>
      </w:r>
      <w:r>
        <w:rPr>
          <w:rFonts w:ascii="仿宋_GB2312" w:hAnsi="仿宋_GB2312" w:eastAsia="仿宋_GB2312" w:cs="仿宋_GB2312"/>
          <w:sz w:val="32"/>
        </w:rPr>
        <w:t>　国家建立生物安全风险调查评估制度。国家生物安全工作协调机制应当根据风险监测的数据、资料等信息，定期组织开展生物安全风险调查评估。</w:t>
      </w:r>
    </w:p>
    <w:p>
      <w:pPr>
        <w:spacing w:line="240" w:lineRule="auto"/>
        <w:ind w:firstLine="640"/>
        <w:jc w:val="both"/>
      </w:pPr>
      <w:r>
        <w:rPr>
          <w:rFonts w:ascii="仿宋_GB2312" w:hAnsi="仿宋_GB2312" w:eastAsia="仿宋_GB2312" w:cs="仿宋_GB2312"/>
          <w:sz w:val="32"/>
        </w:rPr>
        <w:t>有下列情形之一的，有关部门应当及时开展生物安全风险调查评估，依法采取必要的风险防控措施：</w:t>
      </w:r>
    </w:p>
    <w:p>
      <w:pPr>
        <w:spacing w:line="240" w:lineRule="auto"/>
        <w:ind w:firstLine="640"/>
        <w:jc w:val="both"/>
      </w:pPr>
      <w:r>
        <w:rPr>
          <w:rFonts w:ascii="仿宋_GB2312" w:hAnsi="仿宋_GB2312" w:eastAsia="仿宋_GB2312" w:cs="仿宋_GB2312"/>
          <w:sz w:val="32"/>
        </w:rPr>
        <w:t>（一）通过风险监测或者接到举报发现可能存在生物安全风险；</w:t>
      </w:r>
    </w:p>
    <w:p>
      <w:pPr>
        <w:spacing w:line="240" w:lineRule="auto"/>
        <w:ind w:firstLine="640"/>
        <w:jc w:val="both"/>
      </w:pPr>
      <w:r>
        <w:rPr>
          <w:rFonts w:ascii="仿宋_GB2312" w:hAnsi="仿宋_GB2312" w:eastAsia="仿宋_GB2312" w:cs="仿宋_GB2312"/>
          <w:sz w:val="32"/>
        </w:rPr>
        <w:t>（二）为确定监督管理的重点领域、重点项目，制定、调整生物安全相关名录或者清单；</w:t>
      </w:r>
    </w:p>
    <w:p>
      <w:pPr>
        <w:spacing w:line="240" w:lineRule="auto"/>
        <w:ind w:firstLine="640"/>
        <w:jc w:val="both"/>
      </w:pPr>
      <w:r>
        <w:rPr>
          <w:rFonts w:ascii="仿宋_GB2312" w:hAnsi="仿宋_GB2312" w:eastAsia="仿宋_GB2312" w:cs="仿宋_GB2312"/>
          <w:sz w:val="32"/>
        </w:rPr>
        <w:t>（三）发生重大新发突发传染病、动植物疫情等危害生物安全的事件；</w:t>
      </w:r>
    </w:p>
    <w:p>
      <w:pPr>
        <w:spacing w:line="240" w:lineRule="auto"/>
        <w:ind w:firstLine="640"/>
        <w:jc w:val="both"/>
      </w:pPr>
      <w:r>
        <w:rPr>
          <w:rFonts w:ascii="仿宋_GB2312" w:hAnsi="仿宋_GB2312" w:eastAsia="仿宋_GB2312" w:cs="仿宋_GB2312"/>
          <w:sz w:val="32"/>
        </w:rPr>
        <w:t>（四）需要调查评估的其他情形。</w:t>
      </w:r>
    </w:p>
    <w:p>
      <w:pPr>
        <w:spacing w:line="240" w:lineRule="auto"/>
        <w:ind w:firstLine="640"/>
        <w:jc w:val="both"/>
      </w:pPr>
      <w:r>
        <w:rPr>
          <w:rFonts w:ascii="黑体" w:hAnsi="黑体" w:eastAsia="黑体" w:cs="黑体"/>
          <w:sz w:val="32"/>
        </w:rPr>
        <w:t>第十六条</w:t>
      </w:r>
      <w:r>
        <w:rPr>
          <w:rFonts w:ascii="仿宋_GB2312" w:hAnsi="仿宋_GB2312" w:eastAsia="仿宋_GB2312" w:cs="仿宋_GB2312"/>
          <w:sz w:val="32"/>
        </w:rPr>
        <w:t>　国家建立生物安全信息共享制度。国家生物安全工作协调机制组织建立统一的国家生物安全信息平台，有关部门应当将生物安全数据、资料等信息汇交国家生物安全信息平台，实现信息共享。</w:t>
      </w:r>
    </w:p>
    <w:p>
      <w:pPr>
        <w:spacing w:line="240" w:lineRule="auto"/>
        <w:ind w:firstLine="640"/>
        <w:jc w:val="both"/>
      </w:pPr>
      <w:r>
        <w:rPr>
          <w:rFonts w:ascii="黑体" w:hAnsi="黑体" w:eastAsia="黑体" w:cs="黑体"/>
          <w:sz w:val="32"/>
        </w:rPr>
        <w:t>第十七条</w:t>
      </w:r>
      <w:r>
        <w:rPr>
          <w:rFonts w:ascii="仿宋_GB2312" w:hAnsi="仿宋_GB2312" w:eastAsia="仿宋_GB2312" w:cs="仿宋_GB2312"/>
          <w:sz w:val="32"/>
        </w:rPr>
        <w:t>　国家建立生物安全信息发布制度。国家生物安全总体情况、重大生物安全风险警示信息、重大生物安全事件及其调查处理信息等重大生物安全信息，由国家生物安全工作协调机制成员单位根据职责分工发布；其他生物安全信息由国务院有关部门和县级以上地方人民政府及其有关部门根据职责权限发布。</w:t>
      </w:r>
    </w:p>
    <w:p>
      <w:pPr>
        <w:spacing w:line="240" w:lineRule="auto"/>
        <w:ind w:firstLine="640"/>
        <w:jc w:val="both"/>
      </w:pPr>
      <w:r>
        <w:rPr>
          <w:rFonts w:ascii="仿宋_GB2312" w:hAnsi="仿宋_GB2312" w:eastAsia="仿宋_GB2312" w:cs="仿宋_GB2312"/>
          <w:sz w:val="32"/>
        </w:rPr>
        <w:t>任何单位和个人不得编造、散布虚假的生物安全信息。</w:t>
      </w:r>
    </w:p>
    <w:p>
      <w:pPr>
        <w:spacing w:line="240" w:lineRule="auto"/>
        <w:ind w:firstLine="640"/>
        <w:jc w:val="both"/>
      </w:pPr>
      <w:r>
        <w:rPr>
          <w:rFonts w:ascii="黑体" w:hAnsi="黑体" w:eastAsia="黑体" w:cs="黑体"/>
          <w:sz w:val="32"/>
        </w:rPr>
        <w:t>第十八条</w:t>
      </w:r>
      <w:r>
        <w:rPr>
          <w:rFonts w:ascii="仿宋_GB2312" w:hAnsi="仿宋_GB2312" w:eastAsia="仿宋_GB2312" w:cs="仿宋_GB2312"/>
          <w:sz w:val="32"/>
        </w:rPr>
        <w:t>　国家建立生物安全名录和清单制度。国务院及其有关部门根据生物安全工作需要，对涉及生物安全的材料、设备、技术、活动、重要生物资源数据、传染病、动植物疫病、外来入侵物种等制定、公布名录或者清单，并动态调整。</w:t>
      </w:r>
    </w:p>
    <w:p>
      <w:pPr>
        <w:spacing w:line="240" w:lineRule="auto"/>
        <w:ind w:firstLine="640"/>
        <w:jc w:val="both"/>
      </w:pPr>
      <w:r>
        <w:rPr>
          <w:rFonts w:ascii="黑体" w:hAnsi="黑体" w:eastAsia="黑体" w:cs="黑体"/>
          <w:sz w:val="32"/>
        </w:rPr>
        <w:t>第十九条</w:t>
      </w:r>
      <w:r>
        <w:rPr>
          <w:rFonts w:ascii="仿宋_GB2312" w:hAnsi="仿宋_GB2312" w:eastAsia="仿宋_GB2312" w:cs="仿宋_GB2312"/>
          <w:sz w:val="32"/>
        </w:rPr>
        <w:t>　国家建立生物安全标准制度。国务院标准化主管部门和国务院其他有关部门根据职责分工，制定和完善生物安全领域相关标准。</w:t>
      </w:r>
    </w:p>
    <w:p>
      <w:pPr>
        <w:spacing w:line="240" w:lineRule="auto"/>
        <w:ind w:firstLine="640"/>
        <w:jc w:val="both"/>
      </w:pPr>
      <w:r>
        <w:rPr>
          <w:rFonts w:ascii="仿宋_GB2312" w:hAnsi="仿宋_GB2312" w:eastAsia="仿宋_GB2312" w:cs="仿宋_GB2312"/>
          <w:sz w:val="32"/>
        </w:rPr>
        <w:t>国家生物安全工作协调机制组织有关部门加强不同领域生物安全标准的协调和衔接，建立和完善生物安全标准体系。</w:t>
      </w:r>
    </w:p>
    <w:p>
      <w:pPr>
        <w:spacing w:line="240" w:lineRule="auto"/>
        <w:ind w:firstLine="640"/>
        <w:jc w:val="both"/>
      </w:pPr>
      <w:r>
        <w:rPr>
          <w:rFonts w:ascii="黑体" w:hAnsi="黑体" w:eastAsia="黑体" w:cs="黑体"/>
          <w:sz w:val="32"/>
        </w:rPr>
        <w:t>第二十条</w:t>
      </w:r>
      <w:r>
        <w:rPr>
          <w:rFonts w:ascii="仿宋_GB2312" w:hAnsi="仿宋_GB2312" w:eastAsia="仿宋_GB2312" w:cs="仿宋_GB2312"/>
          <w:sz w:val="32"/>
        </w:rPr>
        <w:t>　国家建立生物安全审查制度。对影响或者可能影响国家安全的生物领域重大事项和活动，由国务院有关部门进行生物安全审查，有效防范和化解生物安全风险。</w:t>
      </w:r>
    </w:p>
    <w:p>
      <w:pPr>
        <w:spacing w:line="240" w:lineRule="auto"/>
        <w:ind w:firstLine="640"/>
        <w:jc w:val="both"/>
      </w:pPr>
      <w:r>
        <w:rPr>
          <w:rFonts w:ascii="黑体" w:hAnsi="黑体" w:eastAsia="黑体" w:cs="黑体"/>
          <w:sz w:val="32"/>
        </w:rPr>
        <w:t>第二十一条</w:t>
      </w:r>
      <w:r>
        <w:rPr>
          <w:rFonts w:ascii="仿宋_GB2312" w:hAnsi="仿宋_GB2312" w:eastAsia="仿宋_GB2312" w:cs="仿宋_GB2312"/>
          <w:sz w:val="32"/>
        </w:rPr>
        <w:t>　国家建立统一领导、协同联动、有序高效的生物安全应急制度。</w:t>
      </w:r>
    </w:p>
    <w:p>
      <w:pPr>
        <w:spacing w:line="240" w:lineRule="auto"/>
        <w:ind w:firstLine="640"/>
        <w:jc w:val="both"/>
      </w:pPr>
      <w:r>
        <w:rPr>
          <w:rFonts w:ascii="仿宋_GB2312" w:hAnsi="仿宋_GB2312" w:eastAsia="仿宋_GB2312" w:cs="仿宋_GB2312"/>
          <w:sz w:val="32"/>
        </w:rPr>
        <w:t>国务院有关部门应当组织制定相关领域、行业生物安全事件应急预案，根据应急预案和统一部署开展应急演练、应急处置、应急救援和事后恢复等工作。</w:t>
      </w:r>
    </w:p>
    <w:p>
      <w:pPr>
        <w:spacing w:line="240" w:lineRule="auto"/>
        <w:ind w:firstLine="640"/>
        <w:jc w:val="both"/>
      </w:pPr>
      <w:r>
        <w:rPr>
          <w:rFonts w:ascii="仿宋_GB2312" w:hAnsi="仿宋_GB2312" w:eastAsia="仿宋_GB2312" w:cs="仿宋_GB2312"/>
          <w:sz w:val="32"/>
        </w:rPr>
        <w:t>县级以上地方人民政府及其有关部门应当制定并组织、指导和督促相关企业事业单位制定生物安全事件应急预案，加强应急准备、人员培训和应急演练，开展生物安全事件应急处置、应急救援和事后恢复等工作。</w:t>
      </w:r>
    </w:p>
    <w:p>
      <w:pPr>
        <w:spacing w:line="240" w:lineRule="auto"/>
        <w:ind w:firstLine="640"/>
        <w:jc w:val="both"/>
      </w:pPr>
      <w:r>
        <w:rPr>
          <w:rFonts w:ascii="仿宋_GB2312" w:hAnsi="仿宋_GB2312" w:eastAsia="仿宋_GB2312" w:cs="仿宋_GB2312"/>
          <w:sz w:val="32"/>
        </w:rPr>
        <w:t>中国人民解放军、中国人民武装警察部队按照中央军事委员会的命令，依法参加生物安全事件应急处置和应急救援工作。</w:t>
      </w:r>
    </w:p>
    <w:p>
      <w:pPr>
        <w:spacing w:line="240" w:lineRule="auto"/>
        <w:ind w:firstLine="640"/>
        <w:jc w:val="both"/>
      </w:pPr>
      <w:r>
        <w:rPr>
          <w:rFonts w:ascii="黑体" w:hAnsi="黑体" w:eastAsia="黑体" w:cs="黑体"/>
          <w:sz w:val="32"/>
        </w:rPr>
        <w:t>第二十二条</w:t>
      </w:r>
      <w:r>
        <w:rPr>
          <w:rFonts w:ascii="仿宋_GB2312" w:hAnsi="仿宋_GB2312" w:eastAsia="仿宋_GB2312" w:cs="仿宋_GB2312"/>
          <w:sz w:val="32"/>
        </w:rPr>
        <w:t>　国家建立生物安全事件调查溯源制度。发生重大新发突发传染病、动植物疫情和不明原因的生物安全事件，国家生物安全工作协调机制应当组织开展调查溯源，确定事件性质，全面评估事件影响，提出意见建议。</w:t>
      </w:r>
    </w:p>
    <w:p>
      <w:pPr>
        <w:spacing w:line="240" w:lineRule="auto"/>
        <w:ind w:firstLine="640"/>
        <w:jc w:val="both"/>
      </w:pPr>
      <w:r>
        <w:rPr>
          <w:rFonts w:ascii="黑体" w:hAnsi="黑体" w:eastAsia="黑体" w:cs="黑体"/>
          <w:sz w:val="32"/>
        </w:rPr>
        <w:t>第二十三条</w:t>
      </w:r>
      <w:r>
        <w:rPr>
          <w:rFonts w:ascii="仿宋_GB2312" w:hAnsi="仿宋_GB2312" w:eastAsia="仿宋_GB2312" w:cs="仿宋_GB2312"/>
          <w:sz w:val="32"/>
        </w:rPr>
        <w:t>　国家建立首次进境或者暂停后恢复进境的动植物、动植物产品、高风险生物因子国家准入制度。</w:t>
      </w:r>
    </w:p>
    <w:p>
      <w:pPr>
        <w:spacing w:line="240" w:lineRule="auto"/>
        <w:ind w:firstLine="640"/>
        <w:jc w:val="both"/>
      </w:pPr>
      <w:r>
        <w:rPr>
          <w:rFonts w:ascii="仿宋_GB2312" w:hAnsi="仿宋_GB2312" w:eastAsia="仿宋_GB2312" w:cs="仿宋_GB2312"/>
          <w:sz w:val="32"/>
        </w:rPr>
        <w:t>进出境的人员、运输工具、集装箱、货物、物品、包装物和国际航行船舶压舱水排放等应当符合我国生物安全管理要求。</w:t>
      </w:r>
    </w:p>
    <w:p>
      <w:pPr>
        <w:spacing w:line="240" w:lineRule="auto"/>
        <w:ind w:firstLine="640"/>
        <w:jc w:val="both"/>
      </w:pPr>
      <w:r>
        <w:rPr>
          <w:rFonts w:ascii="仿宋_GB2312" w:hAnsi="仿宋_GB2312" w:eastAsia="仿宋_GB2312" w:cs="仿宋_GB2312"/>
          <w:sz w:val="32"/>
        </w:rPr>
        <w:t>海关对发现的进出境和过境生物安全风险，应当依法处置。经评估为生物安全高风险的人员、运输工具、货物、物品等，应当从指定的国境口岸进境，并采取严格的风险防控措施。</w:t>
      </w:r>
    </w:p>
    <w:p>
      <w:pPr>
        <w:spacing w:line="240" w:lineRule="auto"/>
        <w:ind w:firstLine="640"/>
        <w:jc w:val="both"/>
      </w:pPr>
      <w:r>
        <w:rPr>
          <w:rFonts w:ascii="黑体" w:hAnsi="黑体" w:eastAsia="黑体" w:cs="黑体"/>
          <w:sz w:val="32"/>
        </w:rPr>
        <w:t>第二十四条</w:t>
      </w:r>
      <w:r>
        <w:rPr>
          <w:rFonts w:ascii="仿宋_GB2312" w:hAnsi="仿宋_GB2312" w:eastAsia="仿宋_GB2312" w:cs="仿宋_GB2312"/>
          <w:sz w:val="32"/>
        </w:rPr>
        <w:t>　国家建立境外重大生物安全事件应对制度。境外发生重大生物安全事件的，海关依法采取生物安全紧急防控措施，加强证件核验，提高查验比例，暂停相关人员、运输工具、货物、物品等进境。必要时经国务院同意，可以采取暂时关闭有关口岸、封锁有关国境等措施。</w:t>
      </w:r>
    </w:p>
    <w:p>
      <w:pPr>
        <w:spacing w:line="240" w:lineRule="auto"/>
        <w:ind w:firstLine="640"/>
        <w:jc w:val="both"/>
      </w:pPr>
      <w:r>
        <w:rPr>
          <w:rFonts w:ascii="黑体" w:hAnsi="黑体" w:eastAsia="黑体" w:cs="黑体"/>
          <w:sz w:val="32"/>
        </w:rPr>
        <w:t>第二十五条</w:t>
      </w:r>
      <w:r>
        <w:rPr>
          <w:rFonts w:ascii="仿宋_GB2312" w:hAnsi="仿宋_GB2312" w:eastAsia="仿宋_GB2312" w:cs="仿宋_GB2312"/>
          <w:sz w:val="32"/>
        </w:rPr>
        <w:t>　县级以上人民政府有关部门应当依法开展生物安全监督检查工作，被检查单位和个人应当配合，如实说明情况，提供资料，不得拒绝、阻挠。</w:t>
      </w:r>
    </w:p>
    <w:p>
      <w:pPr>
        <w:spacing w:line="240" w:lineRule="auto"/>
        <w:ind w:firstLine="640"/>
        <w:jc w:val="both"/>
      </w:pPr>
      <w:r>
        <w:rPr>
          <w:rFonts w:ascii="仿宋_GB2312" w:hAnsi="仿宋_GB2312" w:eastAsia="仿宋_GB2312" w:cs="仿宋_GB2312"/>
          <w:sz w:val="32"/>
        </w:rPr>
        <w:t>涉及专业技术要求较高、执法业务难度较大的监督检查工作，应当有生物安全专业技术人员参加。</w:t>
      </w:r>
    </w:p>
    <w:p>
      <w:pPr>
        <w:spacing w:line="240" w:lineRule="auto"/>
        <w:ind w:firstLine="640"/>
        <w:jc w:val="both"/>
      </w:pPr>
      <w:r>
        <w:rPr>
          <w:rFonts w:ascii="黑体" w:hAnsi="黑体" w:eastAsia="黑体" w:cs="黑体"/>
          <w:sz w:val="32"/>
        </w:rPr>
        <w:t>第二十六条</w:t>
      </w:r>
      <w:r>
        <w:rPr>
          <w:rFonts w:ascii="仿宋_GB2312" w:hAnsi="仿宋_GB2312" w:eastAsia="仿宋_GB2312" w:cs="仿宋_GB2312"/>
          <w:sz w:val="32"/>
        </w:rPr>
        <w:t>　县级以上人民政府有关部门实施生物安全监督检查，可以依法采取下列措施：</w:t>
      </w:r>
    </w:p>
    <w:p>
      <w:pPr>
        <w:spacing w:line="240" w:lineRule="auto"/>
        <w:ind w:firstLine="640"/>
        <w:jc w:val="both"/>
      </w:pPr>
      <w:r>
        <w:rPr>
          <w:rFonts w:ascii="仿宋_GB2312" w:hAnsi="仿宋_GB2312" w:eastAsia="仿宋_GB2312" w:cs="仿宋_GB2312"/>
          <w:sz w:val="32"/>
        </w:rPr>
        <w:t>（一）进入被检查单位、地点或者涉嫌实施生物安全违法行为的场所进行现场监测、勘查、检查或者核查；</w:t>
      </w:r>
    </w:p>
    <w:p>
      <w:pPr>
        <w:spacing w:line="240" w:lineRule="auto"/>
        <w:ind w:firstLine="640"/>
        <w:jc w:val="both"/>
      </w:pPr>
      <w:r>
        <w:rPr>
          <w:rFonts w:ascii="仿宋_GB2312" w:hAnsi="仿宋_GB2312" w:eastAsia="仿宋_GB2312" w:cs="仿宋_GB2312"/>
          <w:sz w:val="32"/>
        </w:rPr>
        <w:t>（二）向有关单位和个人了解情况；</w:t>
      </w:r>
    </w:p>
    <w:p>
      <w:pPr>
        <w:spacing w:line="240" w:lineRule="auto"/>
        <w:ind w:firstLine="640"/>
        <w:jc w:val="both"/>
      </w:pPr>
      <w:r>
        <w:rPr>
          <w:rFonts w:ascii="仿宋_GB2312" w:hAnsi="仿宋_GB2312" w:eastAsia="仿宋_GB2312" w:cs="仿宋_GB2312"/>
          <w:sz w:val="32"/>
        </w:rPr>
        <w:t>（三）查阅、复制有关文件、资料、档案、记录、凭证等；</w:t>
      </w:r>
    </w:p>
    <w:p>
      <w:pPr>
        <w:spacing w:line="240" w:lineRule="auto"/>
        <w:ind w:firstLine="640"/>
        <w:jc w:val="both"/>
      </w:pPr>
      <w:r>
        <w:rPr>
          <w:rFonts w:ascii="仿宋_GB2312" w:hAnsi="仿宋_GB2312" w:eastAsia="仿宋_GB2312" w:cs="仿宋_GB2312"/>
          <w:sz w:val="32"/>
        </w:rPr>
        <w:t>（四）查封涉嫌实施生物安全违法行为的场所、设施；</w:t>
      </w:r>
    </w:p>
    <w:p>
      <w:pPr>
        <w:spacing w:line="240" w:lineRule="auto"/>
        <w:ind w:firstLine="640"/>
        <w:jc w:val="both"/>
      </w:pPr>
      <w:r>
        <w:rPr>
          <w:rFonts w:ascii="仿宋_GB2312" w:hAnsi="仿宋_GB2312" w:eastAsia="仿宋_GB2312" w:cs="仿宋_GB2312"/>
          <w:sz w:val="32"/>
        </w:rPr>
        <w:t>（五）扣押涉嫌实施生物安全违法行为的工具、设备以及相关物品；</w:t>
      </w:r>
    </w:p>
    <w:p>
      <w:pPr>
        <w:spacing w:line="240" w:lineRule="auto"/>
        <w:ind w:firstLine="640"/>
        <w:jc w:val="both"/>
      </w:pPr>
      <w:r>
        <w:rPr>
          <w:rFonts w:ascii="仿宋_GB2312" w:hAnsi="仿宋_GB2312" w:eastAsia="仿宋_GB2312" w:cs="仿宋_GB2312"/>
          <w:sz w:val="32"/>
        </w:rPr>
        <w:t>（六）法律法规规定的其他措施。</w:t>
      </w:r>
    </w:p>
    <w:p>
      <w:pPr>
        <w:spacing w:line="240" w:lineRule="auto"/>
        <w:ind w:firstLine="640"/>
        <w:jc w:val="both"/>
      </w:pPr>
      <w:r>
        <w:rPr>
          <w:rFonts w:ascii="仿宋_GB2312" w:hAnsi="仿宋_GB2312" w:eastAsia="仿宋_GB2312" w:cs="仿宋_GB2312"/>
          <w:sz w:val="32"/>
        </w:rPr>
        <w:t>有关单位和个人的生物安全违法信息应当依法纳入全国信用信息共享平台。</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第三章　防控重大新发突发传染病、动植物疫情</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第二十七条</w:t>
      </w:r>
      <w:r>
        <w:rPr>
          <w:rFonts w:ascii="仿宋_GB2312" w:hAnsi="仿宋_GB2312" w:eastAsia="仿宋_GB2312" w:cs="仿宋_GB2312"/>
          <w:sz w:val="32"/>
        </w:rPr>
        <w:t>　国务院卫生健康、农业农村、林业草原、海关、生态环境主管部门应当建立新发突发传染病、动植物疫情、进出境检疫、生物技术环境安全监测网络，组织监测站点布局、建设，完善监测信息报告系统，开展主动监测和病原检测，并纳入国家生物安全风险监测预警体系。</w:t>
      </w:r>
    </w:p>
    <w:p>
      <w:pPr>
        <w:spacing w:line="240" w:lineRule="auto"/>
        <w:ind w:firstLine="640"/>
        <w:jc w:val="both"/>
      </w:pPr>
      <w:r>
        <w:rPr>
          <w:rFonts w:ascii="黑体" w:hAnsi="黑体" w:eastAsia="黑体" w:cs="黑体"/>
          <w:sz w:val="32"/>
        </w:rPr>
        <w:t>第二十八条</w:t>
      </w:r>
      <w:r>
        <w:rPr>
          <w:rFonts w:ascii="仿宋_GB2312" w:hAnsi="仿宋_GB2312" w:eastAsia="仿宋_GB2312" w:cs="仿宋_GB2312"/>
          <w:sz w:val="32"/>
        </w:rPr>
        <w:t>　疾病预防控制机构、动物疫病预防控制机构、植物病虫害预防控制机构（以下统称专业机构）应当对传染病、动植物疫病和列入监测范围的不明原因疾病开展主动监测，收集、分析、报告监测信息，预测新发突发传染病、动植物疫病的发生、流行趋势。</w:t>
      </w:r>
    </w:p>
    <w:p>
      <w:pPr>
        <w:spacing w:line="240" w:lineRule="auto"/>
        <w:ind w:firstLine="640"/>
        <w:jc w:val="both"/>
      </w:pPr>
      <w:r>
        <w:rPr>
          <w:rFonts w:ascii="仿宋_GB2312" w:hAnsi="仿宋_GB2312" w:eastAsia="仿宋_GB2312" w:cs="仿宋_GB2312"/>
          <w:sz w:val="32"/>
        </w:rPr>
        <w:t>国务院有关部门、县级以上地方人民政府及其有关部门应当根据预测和职责权限及时发布预警，并采取相应的防控措施。</w:t>
      </w:r>
    </w:p>
    <w:p>
      <w:pPr>
        <w:spacing w:line="240" w:lineRule="auto"/>
        <w:ind w:firstLine="640"/>
        <w:jc w:val="both"/>
      </w:pPr>
      <w:r>
        <w:rPr>
          <w:rFonts w:ascii="黑体" w:hAnsi="黑体" w:eastAsia="黑体" w:cs="黑体"/>
          <w:sz w:val="32"/>
        </w:rPr>
        <w:t>第二十九条</w:t>
      </w:r>
      <w:r>
        <w:rPr>
          <w:rFonts w:ascii="仿宋_GB2312" w:hAnsi="仿宋_GB2312" w:eastAsia="仿宋_GB2312" w:cs="仿宋_GB2312"/>
          <w:sz w:val="32"/>
        </w:rPr>
        <w:t>　任何单位和个人发现传染病、动植物疫病的，应当及时向医疗机构、有关专业机构或者部门报告。</w:t>
      </w:r>
    </w:p>
    <w:p>
      <w:pPr>
        <w:spacing w:line="240" w:lineRule="auto"/>
        <w:ind w:firstLine="640"/>
        <w:jc w:val="both"/>
      </w:pPr>
      <w:r>
        <w:rPr>
          <w:rFonts w:ascii="仿宋_GB2312" w:hAnsi="仿宋_GB2312" w:eastAsia="仿宋_GB2312" w:cs="仿宋_GB2312"/>
          <w:sz w:val="32"/>
        </w:rPr>
        <w:t>医疗机构、专业机构及其工作人员发现传染病、动植物疫病或者不明原因的聚集性疾病的，应当及时报告，并采取保护性措施。</w:t>
      </w:r>
    </w:p>
    <w:p>
      <w:pPr>
        <w:spacing w:line="240" w:lineRule="auto"/>
        <w:ind w:firstLine="640"/>
        <w:jc w:val="both"/>
      </w:pPr>
      <w:r>
        <w:rPr>
          <w:rFonts w:ascii="仿宋_GB2312" w:hAnsi="仿宋_GB2312" w:eastAsia="仿宋_GB2312" w:cs="仿宋_GB2312"/>
          <w:sz w:val="32"/>
        </w:rPr>
        <w:t>依法应当报告的，任何单位和个人不得瞒报、谎报、缓报、漏报，不得授意他人瞒报、谎报、缓报，不得阻碍他人报告。</w:t>
      </w:r>
    </w:p>
    <w:p>
      <w:pPr>
        <w:spacing w:line="240" w:lineRule="auto"/>
        <w:ind w:firstLine="640"/>
        <w:jc w:val="both"/>
      </w:pPr>
      <w:r>
        <w:rPr>
          <w:rFonts w:ascii="黑体" w:hAnsi="黑体" w:eastAsia="黑体" w:cs="黑体"/>
          <w:sz w:val="32"/>
        </w:rPr>
        <w:t>第三十条</w:t>
      </w:r>
      <w:r>
        <w:rPr>
          <w:rFonts w:ascii="仿宋_GB2312" w:hAnsi="仿宋_GB2312" w:eastAsia="仿宋_GB2312" w:cs="仿宋_GB2312"/>
          <w:sz w:val="32"/>
        </w:rPr>
        <w:t>　国家建立重大新发突发传染病、动植物疫情联防联控机制。</w:t>
      </w:r>
    </w:p>
    <w:p>
      <w:pPr>
        <w:spacing w:line="240" w:lineRule="auto"/>
        <w:ind w:firstLine="640"/>
        <w:jc w:val="both"/>
      </w:pPr>
      <w:r>
        <w:rPr>
          <w:rFonts w:ascii="仿宋_GB2312" w:hAnsi="仿宋_GB2312" w:eastAsia="仿宋_GB2312" w:cs="仿宋_GB2312"/>
          <w:sz w:val="32"/>
        </w:rPr>
        <w:t>发生重大新发突发传染病、动植物疫情，应当依照有关法律法规和应急预案的规定及时采取控制措施；国务院卫生健康、农业农村、林业草原主管部门应当立即组织疫情会商研判，将会商研判结论向中央国家安全领导机构和国务院报告，并通报国家生物安全工作协调机制其他成员单位和国务院其他有关部门。</w:t>
      </w:r>
    </w:p>
    <w:p>
      <w:pPr>
        <w:spacing w:line="240" w:lineRule="auto"/>
        <w:ind w:firstLine="640"/>
        <w:jc w:val="both"/>
      </w:pPr>
      <w:r>
        <w:rPr>
          <w:rFonts w:ascii="仿宋_GB2312" w:hAnsi="仿宋_GB2312" w:eastAsia="仿宋_GB2312" w:cs="仿宋_GB2312"/>
          <w:sz w:val="32"/>
        </w:rPr>
        <w:t>发生重大新发突发传染病、动植物疫情，地方各级人民政府统一履行本行政区域内疫情防控职责，加强组织领导，开展群防群控、医疗救治，动员和鼓励社会力量依法有序参与疫情防控工作。</w:t>
      </w:r>
    </w:p>
    <w:p>
      <w:pPr>
        <w:spacing w:line="240" w:lineRule="auto"/>
        <w:ind w:firstLine="640"/>
        <w:jc w:val="both"/>
      </w:pPr>
      <w:r>
        <w:rPr>
          <w:rFonts w:ascii="黑体" w:hAnsi="黑体" w:eastAsia="黑体" w:cs="黑体"/>
          <w:sz w:val="32"/>
        </w:rPr>
        <w:t>第三十一条</w:t>
      </w:r>
      <w:r>
        <w:rPr>
          <w:rFonts w:ascii="仿宋_GB2312" w:hAnsi="仿宋_GB2312" w:eastAsia="仿宋_GB2312" w:cs="仿宋_GB2312"/>
          <w:sz w:val="32"/>
        </w:rPr>
        <w:t>　国家加强国境、口岸传染病和动植物疫情联合防控能力建设，建立传染病、动植物疫情防控国际合作网络，尽早发现、控制重大新发突发传染病、动植物疫情。</w:t>
      </w:r>
    </w:p>
    <w:p>
      <w:pPr>
        <w:spacing w:line="240" w:lineRule="auto"/>
        <w:ind w:firstLine="640"/>
        <w:jc w:val="both"/>
      </w:pPr>
      <w:r>
        <w:rPr>
          <w:rFonts w:ascii="黑体" w:hAnsi="黑体" w:eastAsia="黑体" w:cs="黑体"/>
          <w:sz w:val="32"/>
        </w:rPr>
        <w:t>第三十二条</w:t>
      </w:r>
      <w:r>
        <w:rPr>
          <w:rFonts w:ascii="仿宋_GB2312" w:hAnsi="仿宋_GB2312" w:eastAsia="仿宋_GB2312" w:cs="仿宋_GB2312"/>
          <w:sz w:val="32"/>
        </w:rPr>
        <w:t>　国家保护野生动物，加强动物防疫，防止动物源性传染病传播。</w:t>
      </w:r>
    </w:p>
    <w:p>
      <w:pPr>
        <w:spacing w:line="240" w:lineRule="auto"/>
        <w:ind w:firstLine="640"/>
        <w:jc w:val="both"/>
      </w:pPr>
      <w:r>
        <w:rPr>
          <w:rFonts w:ascii="黑体" w:hAnsi="黑体" w:eastAsia="黑体" w:cs="黑体"/>
          <w:sz w:val="32"/>
        </w:rPr>
        <w:t>第三十三条</w:t>
      </w:r>
      <w:r>
        <w:rPr>
          <w:rFonts w:ascii="仿宋_GB2312" w:hAnsi="仿宋_GB2312" w:eastAsia="仿宋_GB2312" w:cs="仿宋_GB2312"/>
          <w:sz w:val="32"/>
        </w:rPr>
        <w:t>　国家加强对抗生素药物等抗微生物药物使用和残留的管理，支持应对微生物耐药的基础研究和科技攻关。</w:t>
      </w:r>
    </w:p>
    <w:p>
      <w:pPr>
        <w:spacing w:line="240" w:lineRule="auto"/>
        <w:ind w:firstLine="640"/>
        <w:jc w:val="both"/>
      </w:pPr>
      <w:r>
        <w:rPr>
          <w:rFonts w:ascii="仿宋_GB2312" w:hAnsi="仿宋_GB2312" w:eastAsia="仿宋_GB2312" w:cs="仿宋_GB2312"/>
          <w:sz w:val="32"/>
        </w:rPr>
        <w:t>县级以上人民政府卫生健康主管部门应当加强对医疗机构合理用药的指导和监督，采取措施防止抗微生物药物的不合理使用。县级以上人民政府农业农村、林业草原主管部门应当加强对农业生产中合理用药的指导和监督，采取措施防止抗微生物药物的不合理使用，降低在农业生产环境中的残留。</w:t>
      </w:r>
    </w:p>
    <w:p>
      <w:pPr>
        <w:spacing w:line="240" w:lineRule="auto"/>
        <w:ind w:firstLine="640"/>
        <w:jc w:val="both"/>
      </w:pPr>
      <w:r>
        <w:rPr>
          <w:rFonts w:ascii="仿宋_GB2312" w:hAnsi="仿宋_GB2312" w:eastAsia="仿宋_GB2312" w:cs="仿宋_GB2312"/>
          <w:sz w:val="32"/>
        </w:rPr>
        <w:t>国务院卫生健康、农业农村、林业草原、生态环境等主管部门和药品监督管理部门应当根据职责分工，评估抗微生物药物残留对人体健康、环境的危害，建立抗微生物药物污染物指标评价体系。</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第四章　生物技术研究、开发与应用安全</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第三十四条</w:t>
      </w:r>
      <w:r>
        <w:rPr>
          <w:rFonts w:ascii="仿宋_GB2312" w:hAnsi="仿宋_GB2312" w:eastAsia="仿宋_GB2312" w:cs="仿宋_GB2312"/>
          <w:sz w:val="32"/>
        </w:rPr>
        <w:t>　国家加强对生物技术研究、开发与应用活动的安全管理，禁止从事危及公众健康、损害生物资源、破坏生态系统和生物多样性等危害生物安全的生物技术研究、开发与应用活动。</w:t>
      </w:r>
    </w:p>
    <w:p>
      <w:pPr>
        <w:spacing w:line="240" w:lineRule="auto"/>
        <w:ind w:firstLine="640"/>
        <w:jc w:val="both"/>
      </w:pPr>
      <w:r>
        <w:rPr>
          <w:rFonts w:ascii="仿宋_GB2312" w:hAnsi="仿宋_GB2312" w:eastAsia="仿宋_GB2312" w:cs="仿宋_GB2312"/>
          <w:sz w:val="32"/>
        </w:rPr>
        <w:t>从事生物技术研究、开发与应用活动，应当符合伦理原则。</w:t>
      </w:r>
    </w:p>
    <w:p>
      <w:pPr>
        <w:spacing w:line="240" w:lineRule="auto"/>
        <w:ind w:firstLine="640"/>
        <w:jc w:val="both"/>
      </w:pPr>
      <w:r>
        <w:rPr>
          <w:rFonts w:ascii="黑体" w:hAnsi="黑体" w:eastAsia="黑体" w:cs="黑体"/>
          <w:sz w:val="32"/>
        </w:rPr>
        <w:t>第三十五条</w:t>
      </w:r>
      <w:r>
        <w:rPr>
          <w:rFonts w:ascii="仿宋_GB2312" w:hAnsi="仿宋_GB2312" w:eastAsia="仿宋_GB2312" w:cs="仿宋_GB2312"/>
          <w:sz w:val="32"/>
        </w:rPr>
        <w:t>　从事生物技术研究、开发与应用活动的单位应当对本单位生物技术研究、开发与应用的安全负责，采取生物安全风险防控措施，制定生物安全培训、跟踪检查、定期报告等工作制度，强化过程管理。</w:t>
      </w:r>
    </w:p>
    <w:p>
      <w:pPr>
        <w:spacing w:line="240" w:lineRule="auto"/>
        <w:ind w:firstLine="640"/>
        <w:jc w:val="both"/>
      </w:pPr>
      <w:r>
        <w:rPr>
          <w:rFonts w:ascii="黑体" w:hAnsi="黑体" w:eastAsia="黑体" w:cs="黑体"/>
          <w:sz w:val="32"/>
        </w:rPr>
        <w:t>第三十六条</w:t>
      </w:r>
      <w:r>
        <w:rPr>
          <w:rFonts w:ascii="仿宋_GB2312" w:hAnsi="仿宋_GB2312" w:eastAsia="仿宋_GB2312" w:cs="仿宋_GB2312"/>
          <w:sz w:val="32"/>
        </w:rPr>
        <w:t>　国家对生物技术研究、开发活动实行分类管理。根据对公众健康、工业农业、生态环境等造成危害的风险程度，将生物技术研究、开发活动分为高风险、中风险、低风险三类。</w:t>
      </w:r>
    </w:p>
    <w:p>
      <w:pPr>
        <w:spacing w:line="240" w:lineRule="auto"/>
        <w:ind w:firstLine="640"/>
        <w:jc w:val="both"/>
      </w:pPr>
      <w:r>
        <w:rPr>
          <w:rFonts w:ascii="仿宋_GB2312" w:hAnsi="仿宋_GB2312" w:eastAsia="仿宋_GB2312" w:cs="仿宋_GB2312"/>
          <w:sz w:val="32"/>
        </w:rPr>
        <w:t>生物技术研究、开发活动风险分类标准及名录由国务院科学技术、卫生健康、农业农村等主管部门根据职责分工，会同国务院其他有关部门制定、调整并公布。</w:t>
      </w:r>
    </w:p>
    <w:p>
      <w:pPr>
        <w:spacing w:line="240" w:lineRule="auto"/>
        <w:ind w:firstLine="640"/>
        <w:jc w:val="both"/>
      </w:pPr>
      <w:r>
        <w:rPr>
          <w:rFonts w:ascii="黑体" w:hAnsi="黑体" w:eastAsia="黑体" w:cs="黑体"/>
          <w:sz w:val="32"/>
        </w:rPr>
        <w:t>第三十七条</w:t>
      </w:r>
      <w:r>
        <w:rPr>
          <w:rFonts w:ascii="仿宋_GB2312" w:hAnsi="仿宋_GB2312" w:eastAsia="仿宋_GB2312" w:cs="仿宋_GB2312"/>
          <w:sz w:val="32"/>
        </w:rPr>
        <w:t>　从事生物技术研究、开发活动，应当遵守国家生物技术研究开发安全管理规范。</w:t>
      </w:r>
    </w:p>
    <w:p>
      <w:pPr>
        <w:spacing w:line="240" w:lineRule="auto"/>
        <w:ind w:firstLine="640"/>
        <w:jc w:val="both"/>
      </w:pPr>
      <w:r>
        <w:rPr>
          <w:rFonts w:ascii="仿宋_GB2312" w:hAnsi="仿宋_GB2312" w:eastAsia="仿宋_GB2312" w:cs="仿宋_GB2312"/>
          <w:sz w:val="32"/>
        </w:rPr>
        <w:t>从事生物技术研究、开发活动，应当进行风险类别判断，密切关注风险变化，及时采取应对措施。</w:t>
      </w:r>
    </w:p>
    <w:p>
      <w:pPr>
        <w:spacing w:line="240" w:lineRule="auto"/>
        <w:ind w:firstLine="640"/>
        <w:jc w:val="both"/>
      </w:pPr>
      <w:r>
        <w:rPr>
          <w:rFonts w:ascii="黑体" w:hAnsi="黑体" w:eastAsia="黑体" w:cs="黑体"/>
          <w:sz w:val="32"/>
        </w:rPr>
        <w:t>第三十八条</w:t>
      </w:r>
      <w:r>
        <w:rPr>
          <w:rFonts w:ascii="仿宋_GB2312" w:hAnsi="仿宋_GB2312" w:eastAsia="仿宋_GB2312" w:cs="仿宋_GB2312"/>
          <w:sz w:val="32"/>
        </w:rPr>
        <w:t>　从事高风险、中风险生物技术研究、开发活动，应当由在我国境内依法成立的法人组织进行，并依法取得批准或者进行备案。</w:t>
      </w:r>
    </w:p>
    <w:p>
      <w:pPr>
        <w:spacing w:line="240" w:lineRule="auto"/>
        <w:ind w:firstLine="640"/>
        <w:jc w:val="both"/>
      </w:pPr>
      <w:r>
        <w:rPr>
          <w:rFonts w:ascii="仿宋_GB2312" w:hAnsi="仿宋_GB2312" w:eastAsia="仿宋_GB2312" w:cs="仿宋_GB2312"/>
          <w:sz w:val="32"/>
        </w:rPr>
        <w:t>从事高风险、中风险生物技术研究、开发活动，应当进行风险评估，制定风险防控计划和生物安全事件应急预案，降低研究、开发活动实施的风险。</w:t>
      </w:r>
    </w:p>
    <w:p>
      <w:pPr>
        <w:spacing w:line="240" w:lineRule="auto"/>
        <w:ind w:firstLine="640"/>
        <w:jc w:val="both"/>
      </w:pPr>
      <w:r>
        <w:rPr>
          <w:rFonts w:ascii="黑体" w:hAnsi="黑体" w:eastAsia="黑体" w:cs="黑体"/>
          <w:sz w:val="32"/>
        </w:rPr>
        <w:t>第三十九条</w:t>
      </w:r>
      <w:r>
        <w:rPr>
          <w:rFonts w:ascii="仿宋_GB2312" w:hAnsi="仿宋_GB2312" w:eastAsia="仿宋_GB2312" w:cs="仿宋_GB2312"/>
          <w:sz w:val="32"/>
        </w:rPr>
        <w:t>　国家对涉及生物安全的重要设备和特殊生物因子实行追溯管理。购买或者引进列入管控清单的重要设备和特殊生物因子，应当进行登记，确保可追溯，并报国务院有关部门备案。</w:t>
      </w:r>
    </w:p>
    <w:p>
      <w:pPr>
        <w:spacing w:line="240" w:lineRule="auto"/>
        <w:ind w:firstLine="640"/>
        <w:jc w:val="both"/>
      </w:pPr>
      <w:r>
        <w:rPr>
          <w:rFonts w:ascii="仿宋_GB2312" w:hAnsi="仿宋_GB2312" w:eastAsia="仿宋_GB2312" w:cs="仿宋_GB2312"/>
          <w:sz w:val="32"/>
        </w:rPr>
        <w:t>个人不得购买或者持有列入管控清单的重要设备和特殊生物因子。</w:t>
      </w:r>
    </w:p>
    <w:p>
      <w:pPr>
        <w:spacing w:line="240" w:lineRule="auto"/>
        <w:ind w:firstLine="640"/>
        <w:jc w:val="both"/>
      </w:pPr>
      <w:r>
        <w:rPr>
          <w:rFonts w:ascii="黑体" w:hAnsi="黑体" w:eastAsia="黑体" w:cs="黑体"/>
          <w:sz w:val="32"/>
        </w:rPr>
        <w:t>第四十条</w:t>
      </w:r>
      <w:r>
        <w:rPr>
          <w:rFonts w:ascii="仿宋_GB2312" w:hAnsi="仿宋_GB2312" w:eastAsia="仿宋_GB2312" w:cs="仿宋_GB2312"/>
          <w:sz w:val="32"/>
        </w:rPr>
        <w:t>　从事生物医学新技术临床研究，应当通过伦理审查，并在具备相应条件的医疗机构内进行；进行人体临床研究操作的，应当由符合相应条件的卫生专业技术人员执行。</w:t>
      </w:r>
    </w:p>
    <w:p>
      <w:pPr>
        <w:spacing w:line="240" w:lineRule="auto"/>
        <w:ind w:firstLine="640"/>
        <w:jc w:val="both"/>
      </w:pPr>
      <w:r>
        <w:rPr>
          <w:rFonts w:ascii="黑体" w:hAnsi="黑体" w:eastAsia="黑体" w:cs="黑体"/>
          <w:sz w:val="32"/>
        </w:rPr>
        <w:t>第四十一条</w:t>
      </w:r>
      <w:r>
        <w:rPr>
          <w:rFonts w:ascii="仿宋_GB2312" w:hAnsi="仿宋_GB2312" w:eastAsia="仿宋_GB2312" w:cs="仿宋_GB2312"/>
          <w:sz w:val="32"/>
        </w:rPr>
        <w:t>　国务院有关部门依法对生物技术应用活动进行跟踪评估，发现存在生物安全风险的，应当及时采取有效补救和管控措施。</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第五章　病原微生物实验室生物安全</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第四十二条</w:t>
      </w:r>
      <w:r>
        <w:rPr>
          <w:rFonts w:ascii="仿宋_GB2312" w:hAnsi="仿宋_GB2312" w:eastAsia="仿宋_GB2312" w:cs="仿宋_GB2312"/>
          <w:sz w:val="32"/>
        </w:rPr>
        <w:t>　国家加强对病原微生物实验室生物安全的管理，制定统一的实验室生物安全标准。病原微生物实验室应当符合生物安全国家标准和要求。</w:t>
      </w:r>
    </w:p>
    <w:p>
      <w:pPr>
        <w:spacing w:line="240" w:lineRule="auto"/>
        <w:ind w:firstLine="640"/>
        <w:jc w:val="both"/>
      </w:pPr>
      <w:r>
        <w:rPr>
          <w:rFonts w:ascii="仿宋_GB2312" w:hAnsi="仿宋_GB2312" w:eastAsia="仿宋_GB2312" w:cs="仿宋_GB2312"/>
          <w:sz w:val="32"/>
        </w:rPr>
        <w:t>从事病原微生物实验活动，应当严格遵守有关国家标准和实验室技术规范、操作规程，采取安全防范措施。</w:t>
      </w:r>
    </w:p>
    <w:p>
      <w:pPr>
        <w:spacing w:line="240" w:lineRule="auto"/>
        <w:ind w:firstLine="640"/>
        <w:jc w:val="both"/>
      </w:pPr>
      <w:r>
        <w:rPr>
          <w:rFonts w:ascii="黑体" w:hAnsi="黑体" w:eastAsia="黑体" w:cs="黑体"/>
          <w:sz w:val="32"/>
        </w:rPr>
        <w:t>第四十三条</w:t>
      </w:r>
      <w:r>
        <w:rPr>
          <w:rFonts w:ascii="仿宋_GB2312" w:hAnsi="仿宋_GB2312" w:eastAsia="仿宋_GB2312" w:cs="仿宋_GB2312"/>
          <w:sz w:val="32"/>
        </w:rPr>
        <w:t>　国家根据病原微生物的传染性、感染后对人和动物的个体或者群体的危害程度，对病原微生物实行分类管理。</w:t>
      </w:r>
    </w:p>
    <w:p>
      <w:pPr>
        <w:spacing w:line="240" w:lineRule="auto"/>
        <w:ind w:firstLine="640"/>
        <w:jc w:val="both"/>
      </w:pPr>
      <w:r>
        <w:rPr>
          <w:rFonts w:ascii="仿宋_GB2312" w:hAnsi="仿宋_GB2312" w:eastAsia="仿宋_GB2312" w:cs="仿宋_GB2312"/>
          <w:sz w:val="32"/>
        </w:rPr>
        <w:t>从事高致病性或者疑似高致病性病原微生物样本采集、保藏、运输活动，应当具备相应条件，符合生物安全管理规范。具体办法由国务院卫生健康、农业农村主管部门制定。</w:t>
      </w:r>
    </w:p>
    <w:p>
      <w:pPr>
        <w:spacing w:line="240" w:lineRule="auto"/>
        <w:ind w:firstLine="640"/>
        <w:jc w:val="both"/>
      </w:pPr>
      <w:r>
        <w:rPr>
          <w:rFonts w:ascii="黑体" w:hAnsi="黑体" w:eastAsia="黑体" w:cs="黑体"/>
          <w:sz w:val="32"/>
        </w:rPr>
        <w:t>第四十四条</w:t>
      </w:r>
      <w:r>
        <w:rPr>
          <w:rFonts w:ascii="仿宋_GB2312" w:hAnsi="仿宋_GB2312" w:eastAsia="仿宋_GB2312" w:cs="仿宋_GB2312"/>
          <w:sz w:val="32"/>
        </w:rPr>
        <w:t>　设立病原微生物实验室，应当依法取得批准或者进行备案。</w:t>
      </w:r>
    </w:p>
    <w:p>
      <w:pPr>
        <w:spacing w:line="240" w:lineRule="auto"/>
        <w:ind w:firstLine="640"/>
        <w:jc w:val="both"/>
      </w:pPr>
      <w:r>
        <w:rPr>
          <w:rFonts w:ascii="仿宋_GB2312" w:hAnsi="仿宋_GB2312" w:eastAsia="仿宋_GB2312" w:cs="仿宋_GB2312"/>
          <w:sz w:val="32"/>
        </w:rPr>
        <w:t>个人不得设立病原微生物实验室或者从事病原微生物实验活动。</w:t>
      </w:r>
    </w:p>
    <w:p>
      <w:pPr>
        <w:spacing w:line="240" w:lineRule="auto"/>
        <w:ind w:firstLine="640"/>
        <w:jc w:val="both"/>
      </w:pPr>
      <w:r>
        <w:rPr>
          <w:rFonts w:ascii="黑体" w:hAnsi="黑体" w:eastAsia="黑体" w:cs="黑体"/>
          <w:sz w:val="32"/>
        </w:rPr>
        <w:t>第四十五条</w:t>
      </w:r>
      <w:r>
        <w:rPr>
          <w:rFonts w:ascii="仿宋_GB2312" w:hAnsi="仿宋_GB2312" w:eastAsia="仿宋_GB2312" w:cs="仿宋_GB2312"/>
          <w:sz w:val="32"/>
        </w:rPr>
        <w:t>　国家根据对病原微生物的生物安全防护水平，对病原微生物实验室实行分等级管理。</w:t>
      </w:r>
    </w:p>
    <w:p>
      <w:pPr>
        <w:spacing w:line="240" w:lineRule="auto"/>
        <w:ind w:firstLine="640"/>
        <w:jc w:val="both"/>
      </w:pPr>
      <w:r>
        <w:rPr>
          <w:rFonts w:ascii="仿宋_GB2312" w:hAnsi="仿宋_GB2312" w:eastAsia="仿宋_GB2312" w:cs="仿宋_GB2312"/>
          <w:sz w:val="32"/>
        </w:rPr>
        <w:t>从事病原微生物实验活动应当在相应等级的实验室进行。低等级病原微生物实验室不得从事国家病原微生物目录规定应当在高等级病原微生物实验室进行的病原微生物实验活动。</w:t>
      </w:r>
    </w:p>
    <w:p>
      <w:pPr>
        <w:spacing w:line="240" w:lineRule="auto"/>
        <w:ind w:firstLine="640"/>
        <w:jc w:val="both"/>
      </w:pPr>
      <w:r>
        <w:rPr>
          <w:rFonts w:ascii="黑体" w:hAnsi="黑体" w:eastAsia="黑体" w:cs="黑体"/>
          <w:sz w:val="32"/>
        </w:rPr>
        <w:t>第四十六条</w:t>
      </w:r>
      <w:r>
        <w:rPr>
          <w:rFonts w:ascii="仿宋_GB2312" w:hAnsi="仿宋_GB2312" w:eastAsia="仿宋_GB2312" w:cs="仿宋_GB2312"/>
          <w:sz w:val="32"/>
        </w:rPr>
        <w:t>　高等级病原微生物实验室从事高致病性或者疑似高致病性病原微生物实验活动，应当经省级以上人民政府卫生健康或者农业农村主管部门批准，并将实验活动情况向批准部门报告。</w:t>
      </w:r>
    </w:p>
    <w:p>
      <w:pPr>
        <w:spacing w:line="240" w:lineRule="auto"/>
        <w:ind w:firstLine="640"/>
        <w:jc w:val="both"/>
      </w:pPr>
      <w:r>
        <w:rPr>
          <w:rFonts w:ascii="仿宋_GB2312" w:hAnsi="仿宋_GB2312" w:eastAsia="仿宋_GB2312" w:cs="仿宋_GB2312"/>
          <w:sz w:val="32"/>
        </w:rPr>
        <w:t>对我国尚未发现或者已经宣布消灭的病原微生物，未经批准不得从事相关实验活动。</w:t>
      </w:r>
    </w:p>
    <w:p>
      <w:pPr>
        <w:spacing w:line="240" w:lineRule="auto"/>
        <w:ind w:firstLine="640"/>
        <w:jc w:val="both"/>
      </w:pPr>
      <w:r>
        <w:rPr>
          <w:rFonts w:ascii="黑体" w:hAnsi="黑体" w:eastAsia="黑体" w:cs="黑体"/>
          <w:sz w:val="32"/>
        </w:rPr>
        <w:t>第四十七条</w:t>
      </w:r>
      <w:r>
        <w:rPr>
          <w:rFonts w:ascii="仿宋_GB2312" w:hAnsi="仿宋_GB2312" w:eastAsia="仿宋_GB2312" w:cs="仿宋_GB2312"/>
          <w:sz w:val="32"/>
        </w:rPr>
        <w:t>　病原微生物实验室应当采取措施，加强对实验动物的管理，防止实验动物逃逸，对使用后的实验动物按照国家规定进行无害化处理，实现实验动物可追溯。禁止将使用后的实验动物流入市场。</w:t>
      </w:r>
    </w:p>
    <w:p>
      <w:pPr>
        <w:spacing w:line="240" w:lineRule="auto"/>
        <w:ind w:firstLine="640"/>
        <w:jc w:val="both"/>
      </w:pPr>
      <w:r>
        <w:rPr>
          <w:rFonts w:ascii="仿宋_GB2312" w:hAnsi="仿宋_GB2312" w:eastAsia="仿宋_GB2312" w:cs="仿宋_GB2312"/>
          <w:sz w:val="32"/>
        </w:rPr>
        <w:t>病原微生物实验室应当加强对实验活动废弃物的管理，依法对废水、废气以及其他废弃物进行处置，采取措施防止污染。</w:t>
      </w:r>
    </w:p>
    <w:p>
      <w:pPr>
        <w:spacing w:line="240" w:lineRule="auto"/>
        <w:ind w:firstLine="640"/>
        <w:jc w:val="both"/>
      </w:pPr>
      <w:r>
        <w:rPr>
          <w:rFonts w:ascii="黑体" w:hAnsi="黑体" w:eastAsia="黑体" w:cs="黑体"/>
          <w:sz w:val="32"/>
        </w:rPr>
        <w:t>第四十八条</w:t>
      </w:r>
      <w:r>
        <w:rPr>
          <w:rFonts w:ascii="仿宋_GB2312" w:hAnsi="仿宋_GB2312" w:eastAsia="仿宋_GB2312" w:cs="仿宋_GB2312"/>
          <w:sz w:val="32"/>
        </w:rPr>
        <w:t>　病原微生物实验室的设立单位负责实验室的生物安全管理，制定科学、严格的管理制度，定期对有关生物安全规定的落实情况进行检查，对实验室设施、设备、材料等进行检查、维护和更新，确保其符合国家标准。</w:t>
      </w:r>
    </w:p>
    <w:p>
      <w:pPr>
        <w:spacing w:line="240" w:lineRule="auto"/>
        <w:ind w:firstLine="640"/>
        <w:jc w:val="both"/>
      </w:pPr>
      <w:r>
        <w:rPr>
          <w:rFonts w:ascii="仿宋_GB2312" w:hAnsi="仿宋_GB2312" w:eastAsia="仿宋_GB2312" w:cs="仿宋_GB2312"/>
          <w:sz w:val="32"/>
        </w:rPr>
        <w:t>病原微生物实验室设立单位的法定代表人和实验室负责人对实验室的生物安全负责。</w:t>
      </w:r>
    </w:p>
    <w:p>
      <w:pPr>
        <w:spacing w:line="240" w:lineRule="auto"/>
        <w:ind w:firstLine="640"/>
        <w:jc w:val="both"/>
      </w:pPr>
      <w:r>
        <w:rPr>
          <w:rFonts w:ascii="黑体" w:hAnsi="黑体" w:eastAsia="黑体" w:cs="黑体"/>
          <w:sz w:val="32"/>
        </w:rPr>
        <w:t>第四十九条</w:t>
      </w:r>
      <w:r>
        <w:rPr>
          <w:rFonts w:ascii="仿宋_GB2312" w:hAnsi="仿宋_GB2312" w:eastAsia="仿宋_GB2312" w:cs="仿宋_GB2312"/>
          <w:sz w:val="32"/>
        </w:rPr>
        <w:t>　病原微生物实验室的设立单位应当建立和完善安全保卫制度，采取安全保卫措施，保障实验室及其病原微生物的安全。</w:t>
      </w:r>
    </w:p>
    <w:p>
      <w:pPr>
        <w:spacing w:line="240" w:lineRule="auto"/>
        <w:ind w:firstLine="640"/>
        <w:jc w:val="both"/>
      </w:pPr>
      <w:r>
        <w:rPr>
          <w:rFonts w:ascii="仿宋_GB2312" w:hAnsi="仿宋_GB2312" w:eastAsia="仿宋_GB2312" w:cs="仿宋_GB2312"/>
          <w:sz w:val="32"/>
        </w:rPr>
        <w:t>国家加强对高等级病原微生物实验室的安全保卫。高等级病原微生物实验室应当接受公安机关等部门有关实验室安全保卫工作的监督指导，严防高致病性病原微生物泄漏、丢失和被盗、被抢。</w:t>
      </w:r>
    </w:p>
    <w:p>
      <w:pPr>
        <w:spacing w:line="240" w:lineRule="auto"/>
        <w:ind w:firstLine="640"/>
        <w:jc w:val="both"/>
      </w:pPr>
      <w:r>
        <w:rPr>
          <w:rFonts w:ascii="仿宋_GB2312" w:hAnsi="仿宋_GB2312" w:eastAsia="仿宋_GB2312" w:cs="仿宋_GB2312"/>
          <w:sz w:val="32"/>
        </w:rPr>
        <w:t>国家建立高等级病原微生物实验室人员进入审核制度。进入高等级病原微生物实验室的人员应当经实验室负责人批准。对可能影响实验室生物安全的，不予批准；对批准进入的，应当采取安全保障措施。</w:t>
      </w:r>
    </w:p>
    <w:p>
      <w:pPr>
        <w:spacing w:line="240" w:lineRule="auto"/>
        <w:ind w:firstLine="640"/>
        <w:jc w:val="both"/>
      </w:pPr>
      <w:r>
        <w:rPr>
          <w:rFonts w:ascii="黑体" w:hAnsi="黑体" w:eastAsia="黑体" w:cs="黑体"/>
          <w:sz w:val="32"/>
        </w:rPr>
        <w:t>第五十条</w:t>
      </w:r>
      <w:r>
        <w:rPr>
          <w:rFonts w:ascii="仿宋_GB2312" w:hAnsi="仿宋_GB2312" w:eastAsia="仿宋_GB2312" w:cs="仿宋_GB2312"/>
          <w:sz w:val="32"/>
        </w:rPr>
        <w:t>　病原微生物实验室的设立单位应当制定生物安全事件应急预案，定期组织开展人员培训和应急演练。发生高致病性病原微生物泄漏、丢失和被盗、被抢或者其他生物安全风险的，应当按照应急预案的规定及时采取控制措施，并按照国家规定报告。</w:t>
      </w:r>
    </w:p>
    <w:p>
      <w:pPr>
        <w:spacing w:line="240" w:lineRule="auto"/>
        <w:ind w:firstLine="640"/>
        <w:jc w:val="both"/>
      </w:pPr>
      <w:r>
        <w:rPr>
          <w:rFonts w:ascii="黑体" w:hAnsi="黑体" w:eastAsia="黑体" w:cs="黑体"/>
          <w:sz w:val="32"/>
        </w:rPr>
        <w:t>第五十一条</w:t>
      </w:r>
      <w:r>
        <w:rPr>
          <w:rFonts w:ascii="仿宋_GB2312" w:hAnsi="仿宋_GB2312" w:eastAsia="仿宋_GB2312" w:cs="仿宋_GB2312"/>
          <w:sz w:val="32"/>
        </w:rPr>
        <w:t>　病原微生物实验室所在地省级人民政府及其卫生健康主管部门应当加强实验室所在地感染性疾病医疗资源配置，提高感染性疾病医疗救治能力。</w:t>
      </w:r>
    </w:p>
    <w:p>
      <w:pPr>
        <w:spacing w:line="240" w:lineRule="auto"/>
        <w:ind w:firstLine="640"/>
        <w:jc w:val="both"/>
      </w:pPr>
      <w:r>
        <w:rPr>
          <w:rFonts w:ascii="黑体" w:hAnsi="黑体" w:eastAsia="黑体" w:cs="黑体"/>
          <w:sz w:val="32"/>
        </w:rPr>
        <w:t>第五十二条</w:t>
      </w:r>
      <w:r>
        <w:rPr>
          <w:rFonts w:ascii="仿宋_GB2312" w:hAnsi="仿宋_GB2312" w:eastAsia="仿宋_GB2312" w:cs="仿宋_GB2312"/>
          <w:sz w:val="32"/>
        </w:rPr>
        <w:t>　企业对涉及病原微生物操作的生产车间的生物安全管理，依照有关病原微生物实验室的规定和其他生物安全管理规范进行。</w:t>
      </w:r>
    </w:p>
    <w:p>
      <w:pPr>
        <w:spacing w:line="240" w:lineRule="auto"/>
        <w:ind w:firstLine="640"/>
        <w:jc w:val="both"/>
      </w:pPr>
      <w:r>
        <w:rPr>
          <w:rFonts w:ascii="仿宋_GB2312" w:hAnsi="仿宋_GB2312" w:eastAsia="仿宋_GB2312" w:cs="仿宋_GB2312"/>
          <w:sz w:val="32"/>
        </w:rPr>
        <w:t>涉及生物毒素、植物有害生物及其他生物因子操作的生物安全实验室的建设和管理，参照有关病原微生物实验室的规定执行。</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第六章　人类遗传资源与生物资源安全</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第五十三条</w:t>
      </w:r>
      <w:r>
        <w:rPr>
          <w:rFonts w:ascii="仿宋_GB2312" w:hAnsi="仿宋_GB2312" w:eastAsia="仿宋_GB2312" w:cs="仿宋_GB2312"/>
          <w:sz w:val="32"/>
        </w:rPr>
        <w:t>　国家加强对我国人类遗传资源和生物资源采集、保藏、利用、对外提供等活动的管理和监督，保障人类遗传资源和生物资源安全。</w:t>
      </w:r>
    </w:p>
    <w:p>
      <w:pPr>
        <w:spacing w:line="240" w:lineRule="auto"/>
        <w:ind w:firstLine="640"/>
        <w:jc w:val="both"/>
      </w:pPr>
      <w:r>
        <w:rPr>
          <w:rFonts w:ascii="仿宋_GB2312" w:hAnsi="仿宋_GB2312" w:eastAsia="仿宋_GB2312" w:cs="仿宋_GB2312"/>
          <w:sz w:val="32"/>
        </w:rPr>
        <w:t>国家对我国人类遗传资源和生物资源享有主权。</w:t>
      </w:r>
    </w:p>
    <w:p>
      <w:pPr>
        <w:spacing w:line="240" w:lineRule="auto"/>
        <w:ind w:firstLine="640"/>
        <w:jc w:val="both"/>
      </w:pPr>
      <w:r>
        <w:rPr>
          <w:rFonts w:ascii="黑体" w:hAnsi="黑体" w:eastAsia="黑体" w:cs="黑体"/>
          <w:sz w:val="32"/>
        </w:rPr>
        <w:t>第五十四条</w:t>
      </w:r>
      <w:r>
        <w:rPr>
          <w:rFonts w:ascii="仿宋_GB2312" w:hAnsi="仿宋_GB2312" w:eastAsia="仿宋_GB2312" w:cs="仿宋_GB2312"/>
          <w:sz w:val="32"/>
        </w:rPr>
        <w:t>　国家开展人类遗传资源和生物资源调查。</w:t>
      </w:r>
    </w:p>
    <w:p>
      <w:pPr>
        <w:spacing w:line="240" w:lineRule="auto"/>
        <w:ind w:firstLine="640"/>
        <w:jc w:val="both"/>
      </w:pPr>
      <w:r>
        <w:rPr>
          <w:rFonts w:ascii="仿宋_GB2312" w:hAnsi="仿宋_GB2312" w:eastAsia="仿宋_GB2312" w:cs="仿宋_GB2312"/>
          <w:sz w:val="32"/>
        </w:rPr>
        <w:t>国务院科学技术主管部门组织开展我国人类遗传资源调查，制定重要遗传家系和特定地区人类遗传资源申报登记办法。</w:t>
      </w:r>
    </w:p>
    <w:p>
      <w:pPr>
        <w:spacing w:line="240" w:lineRule="auto"/>
        <w:ind w:firstLine="640"/>
        <w:jc w:val="both"/>
      </w:pPr>
      <w:r>
        <w:rPr>
          <w:rFonts w:ascii="仿宋_GB2312" w:hAnsi="仿宋_GB2312" w:eastAsia="仿宋_GB2312" w:cs="仿宋_GB2312"/>
          <w:sz w:val="32"/>
        </w:rPr>
        <w:t>国务院科学技术、自然资源、生态环境、卫生健康、农业农村、林业草原、中医药主管部门根据职责分工，组织开展生物资源调查，制定重要生物资源申报登记办法。</w:t>
      </w:r>
    </w:p>
    <w:p>
      <w:pPr>
        <w:spacing w:line="240" w:lineRule="auto"/>
        <w:ind w:firstLine="640"/>
        <w:jc w:val="both"/>
      </w:pPr>
      <w:r>
        <w:rPr>
          <w:rFonts w:ascii="黑体" w:hAnsi="黑体" w:eastAsia="黑体" w:cs="黑体"/>
          <w:sz w:val="32"/>
        </w:rPr>
        <w:t>第五十五条</w:t>
      </w:r>
      <w:r>
        <w:rPr>
          <w:rFonts w:ascii="仿宋_GB2312" w:hAnsi="仿宋_GB2312" w:eastAsia="仿宋_GB2312" w:cs="仿宋_GB2312"/>
          <w:sz w:val="32"/>
        </w:rPr>
        <w:t>　采集、保藏、利用、对外提供我国人类遗传资源，应当符合伦理原则，不得危害公众健康、国家安全和社会公共利益。</w:t>
      </w:r>
    </w:p>
    <w:p>
      <w:pPr>
        <w:spacing w:line="240" w:lineRule="auto"/>
        <w:ind w:firstLine="640"/>
        <w:jc w:val="both"/>
      </w:pPr>
      <w:r>
        <w:rPr>
          <w:rFonts w:ascii="黑体" w:hAnsi="黑体" w:eastAsia="黑体" w:cs="黑体"/>
          <w:sz w:val="32"/>
        </w:rPr>
        <w:t>第五十六条</w:t>
      </w:r>
      <w:r>
        <w:rPr>
          <w:rFonts w:ascii="仿宋_GB2312" w:hAnsi="仿宋_GB2312" w:eastAsia="仿宋_GB2312" w:cs="仿宋_GB2312"/>
          <w:sz w:val="32"/>
        </w:rPr>
        <w:t>　从事下列活动，应当经国务院科学技术主管部门批准：</w:t>
      </w:r>
    </w:p>
    <w:p>
      <w:pPr>
        <w:spacing w:line="240" w:lineRule="auto"/>
        <w:ind w:firstLine="640"/>
        <w:jc w:val="both"/>
      </w:pPr>
      <w:r>
        <w:rPr>
          <w:rFonts w:ascii="仿宋_GB2312" w:hAnsi="仿宋_GB2312" w:eastAsia="仿宋_GB2312" w:cs="仿宋_GB2312"/>
          <w:sz w:val="32"/>
        </w:rPr>
        <w:t>（一）采集我国重要遗传家系、特定地区人类遗传资源或者采集国务院科学技术主管部门规定的种类、数量的人类遗传资源；</w:t>
      </w:r>
    </w:p>
    <w:p>
      <w:pPr>
        <w:spacing w:line="240" w:lineRule="auto"/>
        <w:ind w:firstLine="640"/>
        <w:jc w:val="both"/>
      </w:pPr>
      <w:r>
        <w:rPr>
          <w:rFonts w:ascii="仿宋_GB2312" w:hAnsi="仿宋_GB2312" w:eastAsia="仿宋_GB2312" w:cs="仿宋_GB2312"/>
          <w:sz w:val="32"/>
        </w:rPr>
        <w:t>（二）保藏我国人类遗传资源；</w:t>
      </w:r>
    </w:p>
    <w:p>
      <w:pPr>
        <w:spacing w:line="240" w:lineRule="auto"/>
        <w:ind w:firstLine="640"/>
        <w:jc w:val="both"/>
      </w:pPr>
      <w:r>
        <w:rPr>
          <w:rFonts w:ascii="仿宋_GB2312" w:hAnsi="仿宋_GB2312" w:eastAsia="仿宋_GB2312" w:cs="仿宋_GB2312"/>
          <w:sz w:val="32"/>
        </w:rPr>
        <w:t>（三）利用我国人类遗传资源开展国际科学研究合作；</w:t>
      </w:r>
    </w:p>
    <w:p>
      <w:pPr>
        <w:spacing w:line="240" w:lineRule="auto"/>
        <w:ind w:firstLine="640"/>
        <w:jc w:val="both"/>
      </w:pPr>
      <w:r>
        <w:rPr>
          <w:rFonts w:ascii="仿宋_GB2312" w:hAnsi="仿宋_GB2312" w:eastAsia="仿宋_GB2312" w:cs="仿宋_GB2312"/>
          <w:sz w:val="32"/>
        </w:rPr>
        <w:t>（四）将我国人类遗传资源材料运送、邮寄、携带出境。</w:t>
      </w:r>
    </w:p>
    <w:p>
      <w:pPr>
        <w:spacing w:line="240" w:lineRule="auto"/>
        <w:ind w:firstLine="640"/>
        <w:jc w:val="both"/>
      </w:pPr>
      <w:r>
        <w:rPr>
          <w:rFonts w:ascii="仿宋_GB2312" w:hAnsi="仿宋_GB2312" w:eastAsia="仿宋_GB2312" w:cs="仿宋_GB2312"/>
          <w:sz w:val="32"/>
        </w:rPr>
        <w:t>前款规定不包括以临床诊疗、采供血服务、查处违法犯罪、兴奋剂检测和殡葬等为目的采集、保藏人类遗传资源及开展的相关活动。</w:t>
      </w:r>
    </w:p>
    <w:p>
      <w:pPr>
        <w:spacing w:line="240" w:lineRule="auto"/>
        <w:ind w:firstLine="640"/>
        <w:jc w:val="both"/>
      </w:pPr>
      <w:r>
        <w:rPr>
          <w:rFonts w:ascii="仿宋_GB2312" w:hAnsi="仿宋_GB2312" w:eastAsia="仿宋_GB2312" w:cs="仿宋_GB2312"/>
          <w:sz w:val="32"/>
        </w:rPr>
        <w:t>为了取得相关药品和医疗器械在我国上市许可，在临床试验机构利用我国人类遗传资源开展国际合作临床试验、不涉及人类遗传资源出境的，不需要批准；但是，在开展临床试验前应当将拟使用的人类遗传资源种类、数量及用途向国务院科学技术主管部门备案。</w:t>
      </w:r>
    </w:p>
    <w:p>
      <w:pPr>
        <w:spacing w:line="240" w:lineRule="auto"/>
        <w:ind w:firstLine="640"/>
        <w:jc w:val="both"/>
      </w:pPr>
      <w:r>
        <w:rPr>
          <w:rFonts w:ascii="仿宋_GB2312" w:hAnsi="仿宋_GB2312" w:eastAsia="仿宋_GB2312" w:cs="仿宋_GB2312"/>
          <w:sz w:val="32"/>
        </w:rPr>
        <w:t>境外组织、个人及其设立或者实际控制的机构不得在我国境内采集、保藏我国人类遗传资源，不得向境外提供我国人类遗传资源。</w:t>
      </w:r>
    </w:p>
    <w:p>
      <w:pPr>
        <w:spacing w:line="240" w:lineRule="auto"/>
        <w:ind w:firstLine="640"/>
        <w:jc w:val="both"/>
      </w:pPr>
      <w:r>
        <w:rPr>
          <w:rFonts w:ascii="黑体" w:hAnsi="黑体" w:eastAsia="黑体" w:cs="黑体"/>
          <w:sz w:val="32"/>
        </w:rPr>
        <w:t>第五十七条</w:t>
      </w:r>
      <w:r>
        <w:rPr>
          <w:rFonts w:ascii="仿宋_GB2312" w:hAnsi="仿宋_GB2312" w:eastAsia="仿宋_GB2312" w:cs="仿宋_GB2312"/>
          <w:sz w:val="32"/>
        </w:rPr>
        <w:t>　将我国人类遗传资源信息向境外组织、个人及其设立或者实际控制的机构提供或者开放使用的，应当向国务院科学技术主管部门事先报告并提交信息备份。</w:t>
      </w:r>
    </w:p>
    <w:p>
      <w:pPr>
        <w:spacing w:line="240" w:lineRule="auto"/>
        <w:ind w:firstLine="640"/>
        <w:jc w:val="both"/>
      </w:pPr>
      <w:r>
        <w:rPr>
          <w:rFonts w:ascii="黑体" w:hAnsi="黑体" w:eastAsia="黑体" w:cs="黑体"/>
          <w:sz w:val="32"/>
        </w:rPr>
        <w:t>第五十八条</w:t>
      </w:r>
      <w:r>
        <w:rPr>
          <w:rFonts w:ascii="仿宋_GB2312" w:hAnsi="仿宋_GB2312" w:eastAsia="仿宋_GB2312" w:cs="仿宋_GB2312"/>
          <w:sz w:val="32"/>
        </w:rPr>
        <w:t>　采集、保藏、利用、运输出境我国珍贵、濒危、特有物种及其可用于再生或者繁殖传代的个体、器官、组织、细胞、基因等遗传资源，应当遵守有关法律法规。</w:t>
      </w:r>
    </w:p>
    <w:p>
      <w:pPr>
        <w:spacing w:line="240" w:lineRule="auto"/>
        <w:ind w:firstLine="640"/>
        <w:jc w:val="both"/>
      </w:pPr>
      <w:r>
        <w:rPr>
          <w:rFonts w:ascii="仿宋_GB2312" w:hAnsi="仿宋_GB2312" w:eastAsia="仿宋_GB2312" w:cs="仿宋_GB2312"/>
          <w:sz w:val="32"/>
        </w:rPr>
        <w:t>境外组织、个人及其设立或者实际控制的机构获取和利用我国生物资源，应当依法取得批准。</w:t>
      </w:r>
    </w:p>
    <w:p>
      <w:pPr>
        <w:spacing w:line="240" w:lineRule="auto"/>
        <w:ind w:firstLine="640"/>
        <w:jc w:val="both"/>
      </w:pPr>
      <w:r>
        <w:rPr>
          <w:rFonts w:ascii="黑体" w:hAnsi="黑体" w:eastAsia="黑体" w:cs="黑体"/>
          <w:sz w:val="32"/>
        </w:rPr>
        <w:t>第五十九条</w:t>
      </w:r>
      <w:r>
        <w:rPr>
          <w:rFonts w:ascii="仿宋_GB2312" w:hAnsi="仿宋_GB2312" w:eastAsia="仿宋_GB2312" w:cs="仿宋_GB2312"/>
          <w:sz w:val="32"/>
        </w:rPr>
        <w:t>　利用我国生物资源开展国际科学研究合作，应当依法取得批准。</w:t>
      </w:r>
    </w:p>
    <w:p>
      <w:pPr>
        <w:spacing w:line="240" w:lineRule="auto"/>
        <w:ind w:firstLine="640"/>
        <w:jc w:val="both"/>
      </w:pPr>
      <w:r>
        <w:rPr>
          <w:rFonts w:ascii="仿宋_GB2312" w:hAnsi="仿宋_GB2312" w:eastAsia="仿宋_GB2312" w:cs="仿宋_GB2312"/>
          <w:sz w:val="32"/>
        </w:rPr>
        <w:t>利用我国人类遗传资源和生物资源开展国际科学研究合作，应当保证中方单位及其研究人员全过程、实质性地参与研究，依法分享相关权益。</w:t>
      </w:r>
    </w:p>
    <w:p>
      <w:pPr>
        <w:spacing w:line="240" w:lineRule="auto"/>
        <w:ind w:firstLine="640"/>
        <w:jc w:val="both"/>
      </w:pPr>
      <w:r>
        <w:rPr>
          <w:rFonts w:ascii="黑体" w:hAnsi="黑体" w:eastAsia="黑体" w:cs="黑体"/>
          <w:sz w:val="32"/>
        </w:rPr>
        <w:t>第六十条</w:t>
      </w:r>
      <w:r>
        <w:rPr>
          <w:rFonts w:ascii="仿宋_GB2312" w:hAnsi="仿宋_GB2312" w:eastAsia="仿宋_GB2312" w:cs="仿宋_GB2312"/>
          <w:sz w:val="32"/>
        </w:rPr>
        <w:t>　国家加强对外来物种入侵的防范和应对，保护生物多样性。国务院农业农村主管部门会同国务院其他有关部门制定外来入侵物种名录和管理办法。</w:t>
      </w:r>
    </w:p>
    <w:p>
      <w:pPr>
        <w:spacing w:line="240" w:lineRule="auto"/>
        <w:ind w:firstLine="640"/>
        <w:jc w:val="both"/>
      </w:pPr>
      <w:r>
        <w:rPr>
          <w:rFonts w:ascii="仿宋_GB2312" w:hAnsi="仿宋_GB2312" w:eastAsia="仿宋_GB2312" w:cs="仿宋_GB2312"/>
          <w:sz w:val="32"/>
        </w:rPr>
        <w:t>国务院有关部门根据职责分工，加强对外来入侵物种的调查、监测、预警、控制、评估、清除以及生态修复等工作。</w:t>
      </w:r>
    </w:p>
    <w:p>
      <w:pPr>
        <w:spacing w:line="240" w:lineRule="auto"/>
        <w:ind w:firstLine="640"/>
        <w:jc w:val="both"/>
      </w:pPr>
      <w:r>
        <w:rPr>
          <w:rFonts w:ascii="仿宋_GB2312" w:hAnsi="仿宋_GB2312" w:eastAsia="仿宋_GB2312" w:cs="仿宋_GB2312"/>
          <w:sz w:val="32"/>
        </w:rPr>
        <w:t>任何单位和个人未经批准，不得擅自引进、释放或者丢弃外来物种。</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第七章　防范生物恐怖与生物武器威胁</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第六十一条</w:t>
      </w:r>
      <w:r>
        <w:rPr>
          <w:rFonts w:ascii="仿宋_GB2312" w:hAnsi="仿宋_GB2312" w:eastAsia="仿宋_GB2312" w:cs="仿宋_GB2312"/>
          <w:sz w:val="32"/>
        </w:rPr>
        <w:t>　国家采取一切必要措施防范生物恐怖与生物武器威胁。</w:t>
      </w:r>
    </w:p>
    <w:p>
      <w:pPr>
        <w:spacing w:line="240" w:lineRule="auto"/>
        <w:ind w:firstLine="640"/>
        <w:jc w:val="both"/>
      </w:pPr>
      <w:r>
        <w:rPr>
          <w:rFonts w:ascii="仿宋_GB2312" w:hAnsi="仿宋_GB2312" w:eastAsia="仿宋_GB2312" w:cs="仿宋_GB2312"/>
          <w:sz w:val="32"/>
        </w:rPr>
        <w:t>禁止开发、制造或者以其他方式获取、储存、持有和使用生物武器。</w:t>
      </w:r>
    </w:p>
    <w:p>
      <w:pPr>
        <w:spacing w:line="240" w:lineRule="auto"/>
        <w:ind w:firstLine="640"/>
        <w:jc w:val="both"/>
      </w:pPr>
      <w:r>
        <w:rPr>
          <w:rFonts w:ascii="仿宋_GB2312" w:hAnsi="仿宋_GB2312" w:eastAsia="仿宋_GB2312" w:cs="仿宋_GB2312"/>
          <w:sz w:val="32"/>
        </w:rPr>
        <w:t>禁止以任何方式唆使、资助、协助他人开发、制造或者以其他方式获取生物武器。</w:t>
      </w:r>
    </w:p>
    <w:p>
      <w:pPr>
        <w:spacing w:line="240" w:lineRule="auto"/>
        <w:ind w:firstLine="640"/>
        <w:jc w:val="both"/>
      </w:pPr>
      <w:r>
        <w:rPr>
          <w:rFonts w:ascii="黑体" w:hAnsi="黑体" w:eastAsia="黑体" w:cs="黑体"/>
          <w:sz w:val="32"/>
        </w:rPr>
        <w:t>第六十二条</w:t>
      </w:r>
      <w:r>
        <w:rPr>
          <w:rFonts w:ascii="仿宋_GB2312" w:hAnsi="仿宋_GB2312" w:eastAsia="仿宋_GB2312" w:cs="仿宋_GB2312"/>
          <w:sz w:val="32"/>
        </w:rPr>
        <w:t>　国务院有关部门制定、修改、公布可被用于生物恐怖活动、制造生物武器的生物体、生物毒素、设备或者技术清单，加强监管，防止其被用于制造生物武器或者恐怖目的。</w:t>
      </w:r>
    </w:p>
    <w:p>
      <w:pPr>
        <w:spacing w:line="240" w:lineRule="auto"/>
        <w:ind w:firstLine="640"/>
        <w:jc w:val="both"/>
      </w:pPr>
      <w:r>
        <w:rPr>
          <w:rFonts w:ascii="黑体" w:hAnsi="黑体" w:eastAsia="黑体" w:cs="黑体"/>
          <w:sz w:val="32"/>
        </w:rPr>
        <w:t>第六十三条</w:t>
      </w:r>
      <w:r>
        <w:rPr>
          <w:rFonts w:ascii="仿宋_GB2312" w:hAnsi="仿宋_GB2312" w:eastAsia="仿宋_GB2312" w:cs="仿宋_GB2312"/>
          <w:sz w:val="32"/>
        </w:rPr>
        <w:t>　国务院有关部门和有关军事机关根据职责分工，加强对可被用于生物恐怖活动、制造生物武器的生物体、生物毒素、设备或者技术进出境、进出口、获取、制造、转移和投放等活动的监测、调查，采取必要的防范和处置措施。</w:t>
      </w:r>
    </w:p>
    <w:p>
      <w:pPr>
        <w:spacing w:line="240" w:lineRule="auto"/>
        <w:ind w:firstLine="640"/>
        <w:jc w:val="both"/>
      </w:pPr>
      <w:r>
        <w:rPr>
          <w:rFonts w:ascii="黑体" w:hAnsi="黑体" w:eastAsia="黑体" w:cs="黑体"/>
          <w:sz w:val="32"/>
        </w:rPr>
        <w:t>第六十四条</w:t>
      </w:r>
      <w:r>
        <w:rPr>
          <w:rFonts w:ascii="仿宋_GB2312" w:hAnsi="仿宋_GB2312" w:eastAsia="仿宋_GB2312" w:cs="仿宋_GB2312"/>
          <w:sz w:val="32"/>
        </w:rPr>
        <w:t>　国务院有关部门、省级人民政府及其有关部门负责组织遭受生物恐怖袭击、生物武器攻击后的人员救治与安置、环境消毒、生态修复、安全监测和社会秩序恢复等工作。</w:t>
      </w:r>
    </w:p>
    <w:p>
      <w:pPr>
        <w:spacing w:line="240" w:lineRule="auto"/>
        <w:ind w:firstLine="640"/>
        <w:jc w:val="both"/>
      </w:pPr>
      <w:r>
        <w:rPr>
          <w:rFonts w:ascii="仿宋_GB2312" w:hAnsi="仿宋_GB2312" w:eastAsia="仿宋_GB2312" w:cs="仿宋_GB2312"/>
          <w:sz w:val="32"/>
        </w:rPr>
        <w:t>国务院有关部门、省级人民政府及其有关部门应当有效引导社会舆论科学、准确报道生物恐怖袭击和生物武器攻击事件，及时发布疏散、转移和紧急避难等信息，对应急处置与恢复过程中遭受污染的区域和人员进行长期环境监测和健康监测。</w:t>
      </w:r>
    </w:p>
    <w:p>
      <w:pPr>
        <w:spacing w:line="240" w:lineRule="auto"/>
        <w:ind w:firstLine="640"/>
        <w:jc w:val="both"/>
      </w:pPr>
      <w:r>
        <w:rPr>
          <w:rFonts w:ascii="黑体" w:hAnsi="黑体" w:eastAsia="黑体" w:cs="黑体"/>
          <w:sz w:val="32"/>
        </w:rPr>
        <w:t>第六十五条</w:t>
      </w:r>
      <w:r>
        <w:rPr>
          <w:rFonts w:ascii="仿宋_GB2312" w:hAnsi="仿宋_GB2312" w:eastAsia="仿宋_GB2312" w:cs="仿宋_GB2312"/>
          <w:sz w:val="32"/>
        </w:rPr>
        <w:t>　国家组织开展对我国境内战争遗留生物武器及其危害结果、潜在影响的调查。</w:t>
      </w:r>
    </w:p>
    <w:p>
      <w:pPr>
        <w:spacing w:line="240" w:lineRule="auto"/>
        <w:ind w:firstLine="640"/>
        <w:jc w:val="both"/>
      </w:pPr>
      <w:r>
        <w:rPr>
          <w:rFonts w:ascii="仿宋_GB2312" w:hAnsi="仿宋_GB2312" w:eastAsia="仿宋_GB2312" w:cs="仿宋_GB2312"/>
          <w:sz w:val="32"/>
        </w:rPr>
        <w:t>国家组织建设存放和处理战争遗留生物武器设施，保障对战争遗留生物武器的安全处置。</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第八章　生物安全能力建设</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第六十六条</w:t>
      </w:r>
      <w:r>
        <w:rPr>
          <w:rFonts w:ascii="仿宋_GB2312" w:hAnsi="仿宋_GB2312" w:eastAsia="仿宋_GB2312" w:cs="仿宋_GB2312"/>
          <w:sz w:val="32"/>
        </w:rPr>
        <w:t>　国家制定生物安全事业发展规划，加强生物安全能力建设，提高应对生物安全事件的能力和水平。</w:t>
      </w:r>
    </w:p>
    <w:p>
      <w:pPr>
        <w:spacing w:line="240" w:lineRule="auto"/>
        <w:ind w:firstLine="640"/>
        <w:jc w:val="both"/>
      </w:pPr>
      <w:r>
        <w:rPr>
          <w:rFonts w:ascii="仿宋_GB2312" w:hAnsi="仿宋_GB2312" w:eastAsia="仿宋_GB2312" w:cs="仿宋_GB2312"/>
          <w:sz w:val="32"/>
        </w:rPr>
        <w:t>县级以上人民政府应当支持生物安全事业发展，按照事权划分，将支持下列生物安全事业发展的相关支出列入政府预算：</w:t>
      </w:r>
    </w:p>
    <w:p>
      <w:pPr>
        <w:spacing w:line="240" w:lineRule="auto"/>
        <w:ind w:firstLine="640"/>
        <w:jc w:val="both"/>
      </w:pPr>
      <w:r>
        <w:rPr>
          <w:rFonts w:ascii="仿宋_GB2312" w:hAnsi="仿宋_GB2312" w:eastAsia="仿宋_GB2312" w:cs="仿宋_GB2312"/>
          <w:sz w:val="32"/>
        </w:rPr>
        <w:t>（一）监测网络的构建和运行；</w:t>
      </w:r>
    </w:p>
    <w:p>
      <w:pPr>
        <w:spacing w:line="240" w:lineRule="auto"/>
        <w:ind w:firstLine="640"/>
        <w:jc w:val="both"/>
      </w:pPr>
      <w:r>
        <w:rPr>
          <w:rFonts w:ascii="仿宋_GB2312" w:hAnsi="仿宋_GB2312" w:eastAsia="仿宋_GB2312" w:cs="仿宋_GB2312"/>
          <w:sz w:val="32"/>
        </w:rPr>
        <w:t>（二）应急处置和防控物资的储备；</w:t>
      </w:r>
    </w:p>
    <w:p>
      <w:pPr>
        <w:spacing w:line="240" w:lineRule="auto"/>
        <w:ind w:firstLine="640"/>
        <w:jc w:val="both"/>
      </w:pPr>
      <w:r>
        <w:rPr>
          <w:rFonts w:ascii="仿宋_GB2312" w:hAnsi="仿宋_GB2312" w:eastAsia="仿宋_GB2312" w:cs="仿宋_GB2312"/>
          <w:sz w:val="32"/>
        </w:rPr>
        <w:t>（三）关键基础设施的建设和运行；</w:t>
      </w:r>
    </w:p>
    <w:p>
      <w:pPr>
        <w:spacing w:line="240" w:lineRule="auto"/>
        <w:ind w:firstLine="640"/>
        <w:jc w:val="both"/>
      </w:pPr>
      <w:r>
        <w:rPr>
          <w:rFonts w:ascii="仿宋_GB2312" w:hAnsi="仿宋_GB2312" w:eastAsia="仿宋_GB2312" w:cs="仿宋_GB2312"/>
          <w:sz w:val="32"/>
        </w:rPr>
        <w:t>（四）关键技术和产品的研究、开发；</w:t>
      </w:r>
    </w:p>
    <w:p>
      <w:pPr>
        <w:spacing w:line="240" w:lineRule="auto"/>
        <w:ind w:firstLine="640"/>
        <w:jc w:val="both"/>
      </w:pPr>
      <w:r>
        <w:rPr>
          <w:rFonts w:ascii="仿宋_GB2312" w:hAnsi="仿宋_GB2312" w:eastAsia="仿宋_GB2312" w:cs="仿宋_GB2312"/>
          <w:sz w:val="32"/>
        </w:rPr>
        <w:t>（五）人类遗传资源和生物资源的调查、保藏；</w:t>
      </w:r>
    </w:p>
    <w:p>
      <w:pPr>
        <w:spacing w:line="240" w:lineRule="auto"/>
        <w:ind w:firstLine="640"/>
        <w:jc w:val="both"/>
      </w:pPr>
      <w:r>
        <w:rPr>
          <w:rFonts w:ascii="仿宋_GB2312" w:hAnsi="仿宋_GB2312" w:eastAsia="仿宋_GB2312" w:cs="仿宋_GB2312"/>
          <w:sz w:val="32"/>
        </w:rPr>
        <w:t>（六）法律法规规定的其他重要生物安全事业。</w:t>
      </w:r>
    </w:p>
    <w:p>
      <w:pPr>
        <w:spacing w:line="240" w:lineRule="auto"/>
        <w:ind w:firstLine="640"/>
        <w:jc w:val="both"/>
      </w:pPr>
      <w:r>
        <w:rPr>
          <w:rFonts w:ascii="黑体" w:hAnsi="黑体" w:eastAsia="黑体" w:cs="黑体"/>
          <w:sz w:val="32"/>
        </w:rPr>
        <w:t>第六十七条</w:t>
      </w:r>
      <w:r>
        <w:rPr>
          <w:rFonts w:ascii="仿宋_GB2312" w:hAnsi="仿宋_GB2312" w:eastAsia="仿宋_GB2312" w:cs="仿宋_GB2312"/>
          <w:sz w:val="32"/>
        </w:rPr>
        <w:t>　国家采取措施支持生物安全科技研究，加强生物安全风险防御与管控技术研究，整合优势力量和资源，建立多学科、多部门协同创新的联合攻关机制，推动生物安全核心关键技术和重大防御产品的成果产出与转化应用，提高生物安全的科技保障能力。</w:t>
      </w:r>
    </w:p>
    <w:p>
      <w:pPr>
        <w:spacing w:line="240" w:lineRule="auto"/>
        <w:ind w:firstLine="640"/>
        <w:jc w:val="both"/>
      </w:pPr>
      <w:r>
        <w:rPr>
          <w:rFonts w:ascii="黑体" w:hAnsi="黑体" w:eastAsia="黑体" w:cs="黑体"/>
          <w:sz w:val="32"/>
        </w:rPr>
        <w:t>第六十八条</w:t>
      </w:r>
      <w:r>
        <w:rPr>
          <w:rFonts w:ascii="仿宋_GB2312" w:hAnsi="仿宋_GB2312" w:eastAsia="仿宋_GB2312" w:cs="仿宋_GB2312"/>
          <w:sz w:val="32"/>
        </w:rPr>
        <w:t>　国家统筹布局全国生物安全基础设施建设。国务院有关部门根据职责分工，加快建设生物信息、人类遗传资源保藏、菌（毒）种保藏、动植物遗传资源保藏、高等级病原微生物实验室等方面的生物安全国家战略资源平台，建立共享利用机制，为生物安全科技创新提供战略保障和支撑。</w:t>
      </w:r>
    </w:p>
    <w:p>
      <w:pPr>
        <w:spacing w:line="240" w:lineRule="auto"/>
        <w:ind w:firstLine="640"/>
        <w:jc w:val="both"/>
      </w:pPr>
      <w:r>
        <w:rPr>
          <w:rFonts w:ascii="黑体" w:hAnsi="黑体" w:eastAsia="黑体" w:cs="黑体"/>
          <w:sz w:val="32"/>
        </w:rPr>
        <w:t>第六十九条</w:t>
      </w:r>
      <w:r>
        <w:rPr>
          <w:rFonts w:ascii="仿宋_GB2312" w:hAnsi="仿宋_GB2312" w:eastAsia="仿宋_GB2312" w:cs="仿宋_GB2312"/>
          <w:sz w:val="32"/>
        </w:rPr>
        <w:t>　国务院有关部门根据职责分工，加强生物基础科学研究人才和生物领域专业技术人才培养，推动生物基础科学学科建设和科学研究。</w:t>
      </w:r>
    </w:p>
    <w:p>
      <w:pPr>
        <w:spacing w:line="240" w:lineRule="auto"/>
        <w:ind w:firstLine="640"/>
        <w:jc w:val="both"/>
      </w:pPr>
      <w:r>
        <w:rPr>
          <w:rFonts w:ascii="仿宋_GB2312" w:hAnsi="仿宋_GB2312" w:eastAsia="仿宋_GB2312" w:cs="仿宋_GB2312"/>
          <w:sz w:val="32"/>
        </w:rPr>
        <w:t>国家生物安全基础设施重要岗位的从业人员应当具备符合要求的资格，相关信息应当向国务院有关部门备案，并接受岗位培训。</w:t>
      </w:r>
    </w:p>
    <w:p>
      <w:pPr>
        <w:spacing w:line="240" w:lineRule="auto"/>
        <w:ind w:firstLine="640"/>
        <w:jc w:val="both"/>
      </w:pPr>
      <w:r>
        <w:rPr>
          <w:rFonts w:ascii="黑体" w:hAnsi="黑体" w:eastAsia="黑体" w:cs="黑体"/>
          <w:sz w:val="32"/>
        </w:rPr>
        <w:t>第七十条</w:t>
      </w:r>
      <w:r>
        <w:rPr>
          <w:rFonts w:ascii="仿宋_GB2312" w:hAnsi="仿宋_GB2312" w:eastAsia="仿宋_GB2312" w:cs="仿宋_GB2312"/>
          <w:sz w:val="32"/>
        </w:rPr>
        <w:t>　国家加强重大新发突发传染病、动植物疫情等生物安全风险防控的物资储备。</w:t>
      </w:r>
    </w:p>
    <w:p>
      <w:pPr>
        <w:spacing w:line="240" w:lineRule="auto"/>
        <w:ind w:firstLine="640"/>
        <w:jc w:val="both"/>
      </w:pPr>
      <w:r>
        <w:rPr>
          <w:rFonts w:ascii="仿宋_GB2312" w:hAnsi="仿宋_GB2312" w:eastAsia="仿宋_GB2312" w:cs="仿宋_GB2312"/>
          <w:sz w:val="32"/>
        </w:rPr>
        <w:t>国家加强生物安全应急药品、装备等物资的研究、开发和技术储备。国务院有关部门根据职责分工，落实生物安全应急药品、装备等物资研究、开发和技术储备的相关措施。</w:t>
      </w:r>
    </w:p>
    <w:p>
      <w:pPr>
        <w:spacing w:line="240" w:lineRule="auto"/>
        <w:ind w:firstLine="640"/>
        <w:jc w:val="both"/>
      </w:pPr>
      <w:r>
        <w:rPr>
          <w:rFonts w:ascii="仿宋_GB2312" w:hAnsi="仿宋_GB2312" w:eastAsia="仿宋_GB2312" w:cs="仿宋_GB2312"/>
          <w:sz w:val="32"/>
        </w:rPr>
        <w:t>国务院有关部门和县级以上地方人民政府及其有关部门应当保障生物安全事件应急处置所需的医疗救护设备、救治药品、医疗器械等物资的生产、供应和调配；交通运输主管部门应当及时组织协调运输经营单位优先运送。</w:t>
      </w:r>
    </w:p>
    <w:p>
      <w:pPr>
        <w:spacing w:line="240" w:lineRule="auto"/>
        <w:ind w:firstLine="640"/>
        <w:jc w:val="both"/>
      </w:pPr>
      <w:r>
        <w:rPr>
          <w:rFonts w:ascii="黑体" w:hAnsi="黑体" w:eastAsia="黑体" w:cs="黑体"/>
          <w:sz w:val="32"/>
        </w:rPr>
        <w:t>第七十一条</w:t>
      </w:r>
      <w:r>
        <w:rPr>
          <w:rFonts w:ascii="仿宋_GB2312" w:hAnsi="仿宋_GB2312" w:eastAsia="仿宋_GB2312" w:cs="仿宋_GB2312"/>
          <w:sz w:val="32"/>
        </w:rPr>
        <w:t>　国家对从事高致病性病原微生物实验活动、生物安全事件现场处置等高风险生物安全工作的人员，提供有效的防护措施和医疗保障。</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第九章　法律责任</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第七十二条</w:t>
      </w:r>
      <w:r>
        <w:rPr>
          <w:rFonts w:ascii="仿宋_GB2312" w:hAnsi="仿宋_GB2312" w:eastAsia="仿宋_GB2312" w:cs="仿宋_GB2312"/>
          <w:sz w:val="32"/>
        </w:rPr>
        <w:t>　违反本法规定，履行生物安全管理职责的工作人员在生物安全工作中滥用职权、玩忽职守、徇私舞弊或者有其他违法行为的，依法给予处分。</w:t>
      </w:r>
    </w:p>
    <w:p>
      <w:pPr>
        <w:spacing w:line="240" w:lineRule="auto"/>
        <w:ind w:firstLine="640"/>
        <w:jc w:val="both"/>
      </w:pPr>
      <w:r>
        <w:rPr>
          <w:rFonts w:ascii="黑体" w:hAnsi="黑体" w:eastAsia="黑体" w:cs="黑体"/>
          <w:sz w:val="32"/>
        </w:rPr>
        <w:t>第七十三条</w:t>
      </w:r>
      <w:r>
        <w:rPr>
          <w:rFonts w:ascii="仿宋_GB2312" w:hAnsi="仿宋_GB2312" w:eastAsia="仿宋_GB2312" w:cs="仿宋_GB2312"/>
          <w:sz w:val="32"/>
        </w:rPr>
        <w:t>　违反本法规定，医疗机构、专业机构或者其工作人员瞒报、谎报、缓报、漏报，授意他人瞒报、谎报、缓报，或者阻碍他人报告传染病、动植物疫病或者不明原因的聚集性疾病的，由县级以上人民政府有关部门责令改正，给予警告；对法定代表人、主要负责人、直接负责的主管人员和其他直接责任人员，依法给予处分，并可以依法暂停一定期限的执业活动直至吊销相关执业证书。</w:t>
      </w:r>
    </w:p>
    <w:p>
      <w:pPr>
        <w:spacing w:line="240" w:lineRule="auto"/>
        <w:ind w:firstLine="640"/>
        <w:jc w:val="both"/>
      </w:pPr>
      <w:r>
        <w:rPr>
          <w:rFonts w:ascii="仿宋_GB2312" w:hAnsi="仿宋_GB2312" w:eastAsia="仿宋_GB2312" w:cs="仿宋_GB2312"/>
          <w:sz w:val="32"/>
        </w:rPr>
        <w:t>违反本法规定，编造、散布虚假的生物安全信息，构成违反治安管理行为的，由公安机关依法给予治安管理处罚。</w:t>
      </w:r>
    </w:p>
    <w:p>
      <w:pPr>
        <w:spacing w:line="240" w:lineRule="auto"/>
        <w:ind w:firstLine="640"/>
        <w:jc w:val="both"/>
      </w:pPr>
      <w:r>
        <w:rPr>
          <w:rFonts w:ascii="黑体" w:hAnsi="黑体" w:eastAsia="黑体" w:cs="黑体"/>
          <w:sz w:val="32"/>
        </w:rPr>
        <w:t>第七十四条</w:t>
      </w:r>
      <w:r>
        <w:rPr>
          <w:rFonts w:ascii="仿宋_GB2312" w:hAnsi="仿宋_GB2312" w:eastAsia="仿宋_GB2312" w:cs="仿宋_GB2312"/>
          <w:sz w:val="32"/>
        </w:rPr>
        <w:t>　违反本法规定，从事国家禁止的生物技术研究、开发与应用活动的，由县级以上人民政府卫生健康、科学技术、农业农村主管部门根据职责分工，责令停止违法行为，没收违法所得、技术资料和用于违法行为的工具、设备、原材料等物品，处一百万元以上一千万元以下的罚款，违法所得在一百万元以上的，处违法所得十倍以上二十倍以下的罚款，并可以依法禁止一定期限内从事相应的生物技术研究、开发与应用活动，吊销相关许可证件；对法定代表人、主要负责人、直接负责的主管人员和其他直接责任人员，依法给予处分，处十万元以上二十万元以下的罚款，十年直至终身禁止从事相应的生物技术研究、开发与应用活动，依法吊销相关执业证书。</w:t>
      </w:r>
    </w:p>
    <w:p>
      <w:pPr>
        <w:spacing w:line="240" w:lineRule="auto"/>
        <w:ind w:firstLine="640"/>
        <w:jc w:val="both"/>
      </w:pPr>
      <w:r>
        <w:rPr>
          <w:rFonts w:ascii="黑体" w:hAnsi="黑体" w:eastAsia="黑体" w:cs="黑体"/>
          <w:sz w:val="32"/>
        </w:rPr>
        <w:t>第七十五条</w:t>
      </w:r>
      <w:r>
        <w:rPr>
          <w:rFonts w:ascii="仿宋_GB2312" w:hAnsi="仿宋_GB2312" w:eastAsia="仿宋_GB2312" w:cs="仿宋_GB2312"/>
          <w:sz w:val="32"/>
        </w:rPr>
        <w:t>　违反本法规定，从事生物技术研究、开发活动未遵守国家生物技术研究开发安全管理规范的，由县级以上人民政府有关部门根据职责分工，责令改正，给予警告，可以并处二万元以上二十万元以下的罚款；拒不改正或者造成严重后果的，责令停止研究、开发活动，并处二十万元以上二百万元以下的罚款。</w:t>
      </w:r>
    </w:p>
    <w:p>
      <w:pPr>
        <w:spacing w:line="240" w:lineRule="auto"/>
        <w:ind w:firstLine="640"/>
        <w:jc w:val="both"/>
      </w:pPr>
      <w:r>
        <w:rPr>
          <w:rFonts w:ascii="黑体" w:hAnsi="黑体" w:eastAsia="黑体" w:cs="黑体"/>
          <w:sz w:val="32"/>
        </w:rPr>
        <w:t>第七十六条</w:t>
      </w:r>
      <w:r>
        <w:rPr>
          <w:rFonts w:ascii="仿宋_GB2312" w:hAnsi="仿宋_GB2312" w:eastAsia="仿宋_GB2312" w:cs="仿宋_GB2312"/>
          <w:sz w:val="32"/>
        </w:rPr>
        <w:t>　违反本法规定，从事病原微生物实验活动未在相应等级的实验室进行，或者高等级病原微生物实验室未经批准从事高致病性、疑似高致病性病原微生物实验活动的，由县级以上地方人民政府卫生健康、农业农村主管部门根据职责分工，责令停止违法行为，监督其将用于实验活动的病原微生物销毁或者送交保藏机构，给予警告；造成传染病传播、流行或者其他严重后果的，对法定代表人、主要负责人、直接负责的主管人员和其他直接责任人员依法给予撤职、开除处分。</w:t>
      </w:r>
    </w:p>
    <w:p>
      <w:pPr>
        <w:spacing w:line="240" w:lineRule="auto"/>
        <w:ind w:firstLine="640"/>
        <w:jc w:val="both"/>
      </w:pPr>
      <w:r>
        <w:rPr>
          <w:rFonts w:ascii="黑体" w:hAnsi="黑体" w:eastAsia="黑体" w:cs="黑体"/>
          <w:sz w:val="32"/>
        </w:rPr>
        <w:t>第七十七条</w:t>
      </w:r>
      <w:r>
        <w:rPr>
          <w:rFonts w:ascii="仿宋_GB2312" w:hAnsi="仿宋_GB2312" w:eastAsia="仿宋_GB2312" w:cs="仿宋_GB2312"/>
          <w:sz w:val="32"/>
        </w:rPr>
        <w:t>　违反本法规定，将使用后的实验动物流入市场的，由县级以上人民政府科学技术主管部门责令改正，没收违法所得，并处二十万元以上一百万元以下的罚款，违法所得在二十万元以上的，并处违法所得五倍以上十倍以下的罚款；情节严重的，由发证部门吊销相关许可证件。</w:t>
      </w:r>
    </w:p>
    <w:p>
      <w:pPr>
        <w:spacing w:line="240" w:lineRule="auto"/>
        <w:ind w:firstLine="640"/>
        <w:jc w:val="both"/>
      </w:pPr>
      <w:r>
        <w:rPr>
          <w:rFonts w:ascii="黑体" w:hAnsi="黑体" w:eastAsia="黑体" w:cs="黑体"/>
          <w:sz w:val="32"/>
        </w:rPr>
        <w:t>第七十八条</w:t>
      </w:r>
      <w:r>
        <w:rPr>
          <w:rFonts w:ascii="仿宋_GB2312" w:hAnsi="仿宋_GB2312" w:eastAsia="仿宋_GB2312" w:cs="仿宋_GB2312"/>
          <w:sz w:val="32"/>
        </w:rPr>
        <w:t>　违反本法规定，有下列行为之一的，由县级以上人民政府有关部门根据职责分工，责令改正，没收违法所得，给予警告，可以并处十万元以上一百万元以下的罚款：</w:t>
      </w:r>
    </w:p>
    <w:p>
      <w:pPr>
        <w:spacing w:line="240" w:lineRule="auto"/>
        <w:ind w:firstLine="640"/>
        <w:jc w:val="both"/>
      </w:pPr>
      <w:r>
        <w:rPr>
          <w:rFonts w:ascii="仿宋_GB2312" w:hAnsi="仿宋_GB2312" w:eastAsia="仿宋_GB2312" w:cs="仿宋_GB2312"/>
          <w:sz w:val="32"/>
        </w:rPr>
        <w:t>（一）购买或者引进列入管控清单的重要设备、特殊生物因子未进行登记，或者未报国务院有关部门备案；</w:t>
      </w:r>
    </w:p>
    <w:p>
      <w:pPr>
        <w:spacing w:line="240" w:lineRule="auto"/>
        <w:ind w:firstLine="640"/>
        <w:jc w:val="both"/>
      </w:pPr>
      <w:r>
        <w:rPr>
          <w:rFonts w:ascii="仿宋_GB2312" w:hAnsi="仿宋_GB2312" w:eastAsia="仿宋_GB2312" w:cs="仿宋_GB2312"/>
          <w:sz w:val="32"/>
        </w:rPr>
        <w:t>（二）个人购买或者持有列入管控清单的重要设备或者特殊生物因子；</w:t>
      </w:r>
    </w:p>
    <w:p>
      <w:pPr>
        <w:spacing w:line="240" w:lineRule="auto"/>
        <w:ind w:firstLine="640"/>
        <w:jc w:val="both"/>
      </w:pPr>
      <w:r>
        <w:rPr>
          <w:rFonts w:ascii="仿宋_GB2312" w:hAnsi="仿宋_GB2312" w:eastAsia="仿宋_GB2312" w:cs="仿宋_GB2312"/>
          <w:sz w:val="32"/>
        </w:rPr>
        <w:t>（三）个人设立病原微生物实验室或者从事病原微生物实验活动；</w:t>
      </w:r>
    </w:p>
    <w:p>
      <w:pPr>
        <w:spacing w:line="240" w:lineRule="auto"/>
        <w:ind w:firstLine="640"/>
        <w:jc w:val="both"/>
      </w:pPr>
      <w:r>
        <w:rPr>
          <w:rFonts w:ascii="仿宋_GB2312" w:hAnsi="仿宋_GB2312" w:eastAsia="仿宋_GB2312" w:cs="仿宋_GB2312"/>
          <w:sz w:val="32"/>
        </w:rPr>
        <w:t>（四）未经实验室负责人批准进入高等级病原微生物实验室。</w:t>
      </w:r>
    </w:p>
    <w:p>
      <w:pPr>
        <w:spacing w:line="240" w:lineRule="auto"/>
        <w:ind w:firstLine="640"/>
        <w:jc w:val="both"/>
      </w:pPr>
      <w:r>
        <w:rPr>
          <w:rFonts w:ascii="黑体" w:hAnsi="黑体" w:eastAsia="黑体" w:cs="黑体"/>
          <w:sz w:val="32"/>
        </w:rPr>
        <w:t>第七十九条</w:t>
      </w:r>
      <w:r>
        <w:rPr>
          <w:rFonts w:ascii="仿宋_GB2312" w:hAnsi="仿宋_GB2312" w:eastAsia="仿宋_GB2312" w:cs="仿宋_GB2312"/>
          <w:sz w:val="32"/>
        </w:rPr>
        <w:t>　违反本法规定，未经批准，采集、保藏我国人类遗传资源或者利用我国人类遗传资源开展国际科学研究合作的，由国务院科学技术主管部门责令停止违法行为，没收违法所得和违法采集、保藏的人类遗传资源，并处五十万元以上五百万元以下的罚款，违法所得在一百万元以上的，并处违法所得五倍以上十倍以下的罚款；情节严重的，对法定代表人、主要负责人、直接负责的主管人员和其他直接责任人员，依法给予处分，五年内禁止从事相应活动。</w:t>
      </w:r>
    </w:p>
    <w:p>
      <w:pPr>
        <w:spacing w:line="240" w:lineRule="auto"/>
        <w:ind w:firstLine="640"/>
        <w:jc w:val="both"/>
      </w:pPr>
      <w:r>
        <w:rPr>
          <w:rFonts w:ascii="黑体" w:hAnsi="黑体" w:eastAsia="黑体" w:cs="黑体"/>
          <w:sz w:val="32"/>
        </w:rPr>
        <w:t>第八十条</w:t>
      </w:r>
      <w:r>
        <w:rPr>
          <w:rFonts w:ascii="仿宋_GB2312" w:hAnsi="仿宋_GB2312" w:eastAsia="仿宋_GB2312" w:cs="仿宋_GB2312"/>
          <w:sz w:val="32"/>
        </w:rPr>
        <w:t>　违反本法规定，境外组织、个人及其设立或者实际控制的机构在我国境内采集、保藏我国人类遗传资源，或者向境外提供我国人类遗传资源的，由国务院科学技术主管部门责令停止违法行为，没收违法所得和违法采集、保藏的人类遗传资源，并处一百万元以上一千万元以下的罚款；违法所得在一百万元以上的，并处违法所得十倍以上二十倍以下的罚款。</w:t>
      </w:r>
    </w:p>
    <w:p>
      <w:pPr>
        <w:spacing w:line="240" w:lineRule="auto"/>
        <w:ind w:firstLine="640"/>
        <w:jc w:val="both"/>
      </w:pPr>
      <w:r>
        <w:rPr>
          <w:rFonts w:ascii="黑体" w:hAnsi="黑体" w:eastAsia="黑体" w:cs="黑体"/>
          <w:sz w:val="32"/>
        </w:rPr>
        <w:t>第八十一条</w:t>
      </w:r>
      <w:r>
        <w:rPr>
          <w:rFonts w:ascii="仿宋_GB2312" w:hAnsi="仿宋_GB2312" w:eastAsia="仿宋_GB2312" w:cs="仿宋_GB2312"/>
          <w:sz w:val="32"/>
        </w:rPr>
        <w:t>　违反本法规定，未经批准，擅自引进外来物种的，由县级以上人民政府有关部门根据职责分工，没收引进的外来物种，并处五万元以上二十五万元以下的罚款。</w:t>
      </w:r>
    </w:p>
    <w:p>
      <w:pPr>
        <w:spacing w:line="240" w:lineRule="auto"/>
        <w:ind w:firstLine="640"/>
        <w:jc w:val="both"/>
      </w:pPr>
      <w:r>
        <w:rPr>
          <w:rFonts w:ascii="仿宋_GB2312" w:hAnsi="仿宋_GB2312" w:eastAsia="仿宋_GB2312" w:cs="仿宋_GB2312"/>
          <w:sz w:val="32"/>
        </w:rPr>
        <w:t>违反本法规定，未经批准，擅自释放或者丢弃外来物种的，由县级以上人民政府有关部门根据职责分工，责令限期捕回、找回释放或者丢弃的外来物种，处一万元以上五万元以下的罚款。</w:t>
      </w:r>
    </w:p>
    <w:p>
      <w:pPr>
        <w:spacing w:line="240" w:lineRule="auto"/>
        <w:ind w:firstLine="640"/>
        <w:jc w:val="both"/>
      </w:pPr>
      <w:r>
        <w:rPr>
          <w:rFonts w:ascii="黑体" w:hAnsi="黑体" w:eastAsia="黑体" w:cs="黑体"/>
          <w:sz w:val="32"/>
        </w:rPr>
        <w:t>第八十二条</w:t>
      </w:r>
      <w:r>
        <w:rPr>
          <w:rFonts w:ascii="仿宋_GB2312" w:hAnsi="仿宋_GB2312" w:eastAsia="仿宋_GB2312" w:cs="仿宋_GB2312"/>
          <w:sz w:val="32"/>
        </w:rPr>
        <w:t>　违反本法规定，构成犯罪的，依法追究刑事责任；造成人身、财产或者其他损害的，依法承担民事责任。</w:t>
      </w:r>
    </w:p>
    <w:p>
      <w:pPr>
        <w:spacing w:line="240" w:lineRule="auto"/>
        <w:ind w:firstLine="640"/>
        <w:jc w:val="both"/>
      </w:pPr>
      <w:r>
        <w:rPr>
          <w:rFonts w:ascii="黑体" w:hAnsi="黑体" w:eastAsia="黑体" w:cs="黑体"/>
          <w:sz w:val="32"/>
        </w:rPr>
        <w:t>第八十三条</w:t>
      </w:r>
      <w:r>
        <w:rPr>
          <w:rFonts w:ascii="仿宋_GB2312" w:hAnsi="仿宋_GB2312" w:eastAsia="仿宋_GB2312" w:cs="仿宋_GB2312"/>
          <w:sz w:val="32"/>
        </w:rPr>
        <w:t>　违反本法规定的生物安全违法行为，本法未规定法律责任，其他有关法律、行政法规有规定的，依照其规定。</w:t>
      </w:r>
    </w:p>
    <w:p>
      <w:pPr>
        <w:spacing w:line="240" w:lineRule="auto"/>
        <w:ind w:firstLine="640"/>
        <w:jc w:val="both"/>
      </w:pPr>
      <w:r>
        <w:rPr>
          <w:rFonts w:ascii="黑体" w:hAnsi="黑体" w:eastAsia="黑体" w:cs="黑体"/>
          <w:sz w:val="32"/>
        </w:rPr>
        <w:t>第八十四条</w:t>
      </w:r>
      <w:r>
        <w:rPr>
          <w:rFonts w:ascii="仿宋_GB2312" w:hAnsi="仿宋_GB2312" w:eastAsia="仿宋_GB2312" w:cs="仿宋_GB2312"/>
          <w:sz w:val="32"/>
        </w:rPr>
        <w:t>　境外组织或者个人通过运输、邮寄、携带危险生物因子入境或者以其他方式危害我国生物安全的，依法追究法律责任，并可以采取其他必要措施。</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第十章　附　　则</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第八十五条</w:t>
      </w:r>
      <w:r>
        <w:rPr>
          <w:rFonts w:ascii="仿宋_GB2312" w:hAnsi="仿宋_GB2312" w:eastAsia="仿宋_GB2312" w:cs="仿宋_GB2312"/>
          <w:sz w:val="32"/>
        </w:rPr>
        <w:t>　本法下列术语的含义：</w:t>
      </w:r>
    </w:p>
    <w:p>
      <w:pPr>
        <w:spacing w:line="240" w:lineRule="auto"/>
        <w:ind w:firstLine="640"/>
        <w:jc w:val="both"/>
      </w:pPr>
      <w:r>
        <w:rPr>
          <w:rFonts w:ascii="仿宋_GB2312" w:hAnsi="仿宋_GB2312" w:eastAsia="仿宋_GB2312" w:cs="仿宋_GB2312"/>
          <w:sz w:val="32"/>
        </w:rPr>
        <w:t>（一）生物因子，是指动物、植物、微生物、生物毒素及其他生物活性物质。</w:t>
      </w:r>
    </w:p>
    <w:p>
      <w:pPr>
        <w:spacing w:line="240" w:lineRule="auto"/>
        <w:ind w:firstLine="640"/>
        <w:jc w:val="both"/>
      </w:pPr>
      <w:r>
        <w:rPr>
          <w:rFonts w:ascii="仿宋_GB2312" w:hAnsi="仿宋_GB2312" w:eastAsia="仿宋_GB2312" w:cs="仿宋_GB2312"/>
          <w:sz w:val="32"/>
        </w:rPr>
        <w:t>（二）重大新发突发传染病，是指我国境内首次出现或者已经宣布消灭再次发生，或者突然发生，造成或者可能造成公众健康和生命安全严重损害，引起社会恐慌，影响社会稳定的传染病。</w:t>
      </w:r>
    </w:p>
    <w:p>
      <w:pPr>
        <w:spacing w:line="240" w:lineRule="auto"/>
        <w:ind w:firstLine="640"/>
        <w:jc w:val="both"/>
      </w:pPr>
      <w:r>
        <w:rPr>
          <w:rFonts w:ascii="仿宋_GB2312" w:hAnsi="仿宋_GB2312" w:eastAsia="仿宋_GB2312" w:cs="仿宋_GB2312"/>
          <w:sz w:val="32"/>
        </w:rPr>
        <w:t>（三）重大新发突发动物疫情，是指我国境内首次发生或者已经宣布消灭的动物疫病再次发生，或者发病率、死亡率较高的潜伏动物疫病突然发生并迅速传播，给养殖业生产安全造成严重威胁、危害，以及可能对公众健康和生命安全造成危害的情形。</w:t>
      </w:r>
    </w:p>
    <w:p>
      <w:pPr>
        <w:spacing w:line="240" w:lineRule="auto"/>
        <w:ind w:firstLine="640"/>
        <w:jc w:val="both"/>
      </w:pPr>
      <w:r>
        <w:rPr>
          <w:rFonts w:ascii="仿宋_GB2312" w:hAnsi="仿宋_GB2312" w:eastAsia="仿宋_GB2312" w:cs="仿宋_GB2312"/>
          <w:sz w:val="32"/>
        </w:rPr>
        <w:t>（四）重大新发突发植物疫情，是指我国境内首次发生或者已经宣布消灭的严重危害植物的真菌、细菌、病毒、昆虫、线虫、杂草、害鼠、软体动物等再次引发病虫害，或者本地有害生物突然大范围发生并迅速传播，对农作物、林木等植物造成严重危害的情形。</w:t>
      </w:r>
    </w:p>
    <w:p>
      <w:pPr>
        <w:spacing w:line="240" w:lineRule="auto"/>
        <w:ind w:firstLine="640"/>
        <w:jc w:val="both"/>
      </w:pPr>
      <w:r>
        <w:rPr>
          <w:rFonts w:ascii="仿宋_GB2312" w:hAnsi="仿宋_GB2312" w:eastAsia="仿宋_GB2312" w:cs="仿宋_GB2312"/>
          <w:sz w:val="32"/>
        </w:rPr>
        <w:t>（五）生物技术研究、开发与应用，是指通过科学和工程原理认识、改造、合成、利用生物而从事的科学研究、技术开发与应用等活动。</w:t>
      </w:r>
    </w:p>
    <w:p>
      <w:pPr>
        <w:spacing w:line="240" w:lineRule="auto"/>
        <w:ind w:firstLine="640"/>
        <w:jc w:val="both"/>
      </w:pPr>
      <w:r>
        <w:rPr>
          <w:rFonts w:ascii="仿宋_GB2312" w:hAnsi="仿宋_GB2312" w:eastAsia="仿宋_GB2312" w:cs="仿宋_GB2312"/>
          <w:sz w:val="32"/>
        </w:rPr>
        <w:t>（六）病原微生物，是指可以侵犯人、动物引起感染甚至传染病的微生物，包括病毒、细菌、真菌、立克次体、寄生虫等。</w:t>
      </w:r>
    </w:p>
    <w:p>
      <w:pPr>
        <w:spacing w:line="240" w:lineRule="auto"/>
        <w:ind w:firstLine="640"/>
        <w:jc w:val="both"/>
      </w:pPr>
      <w:r>
        <w:rPr>
          <w:rFonts w:ascii="仿宋_GB2312" w:hAnsi="仿宋_GB2312" w:eastAsia="仿宋_GB2312" w:cs="仿宋_GB2312"/>
          <w:sz w:val="32"/>
        </w:rPr>
        <w:t>（七）植物有害生物，是指能够对农作物、林木等植物造成危害的真菌、细菌、病毒、昆虫、线虫、杂草、害鼠、软体动物等生物。</w:t>
      </w:r>
    </w:p>
    <w:p>
      <w:pPr>
        <w:spacing w:line="240" w:lineRule="auto"/>
        <w:ind w:firstLine="640"/>
        <w:jc w:val="both"/>
      </w:pPr>
      <w:r>
        <w:rPr>
          <w:rFonts w:ascii="仿宋_GB2312" w:hAnsi="仿宋_GB2312" w:eastAsia="仿宋_GB2312" w:cs="仿宋_GB2312"/>
          <w:sz w:val="32"/>
        </w:rPr>
        <w:t>（八）人类遗传资源，包括人类遗传资源材料和人类遗传资源信息。人类遗传资源材料是指含有人体基因组、基因等遗传物质的器官、组织、细胞等遗传材料。人类遗传资源信息是指利用人类遗传资源材料产生的数据等信息资料。</w:t>
      </w:r>
    </w:p>
    <w:p>
      <w:pPr>
        <w:spacing w:line="240" w:lineRule="auto"/>
        <w:ind w:firstLine="640"/>
        <w:jc w:val="both"/>
      </w:pPr>
      <w:r>
        <w:rPr>
          <w:rFonts w:ascii="仿宋_GB2312" w:hAnsi="仿宋_GB2312" w:eastAsia="仿宋_GB2312" w:cs="仿宋_GB2312"/>
          <w:sz w:val="32"/>
        </w:rPr>
        <w:t>（九）微生物耐药，是指微生物对抗微生物药物产生抗性，导致抗微生物药物不能有效控制微生物的感染。</w:t>
      </w:r>
    </w:p>
    <w:p>
      <w:pPr>
        <w:spacing w:line="240" w:lineRule="auto"/>
        <w:ind w:firstLine="640"/>
        <w:jc w:val="both"/>
      </w:pPr>
      <w:r>
        <w:rPr>
          <w:rFonts w:ascii="仿宋_GB2312" w:hAnsi="仿宋_GB2312" w:eastAsia="仿宋_GB2312" w:cs="仿宋_GB2312"/>
          <w:sz w:val="32"/>
        </w:rPr>
        <w:t>（十）生物武器，是指类型和数量不属于预防、保护或者其他和平用途所正当需要的、任何来源或者任何方法产生的微生物剂、其他生物剂以及生物毒素；也包括为将上述生物剂、生物毒素使用于敌对目的或者武装冲突而设计的武器、设备或者运载工具。</w:t>
      </w:r>
    </w:p>
    <w:p>
      <w:pPr>
        <w:spacing w:line="240" w:lineRule="auto"/>
        <w:ind w:firstLine="640"/>
        <w:jc w:val="both"/>
      </w:pPr>
      <w:r>
        <w:rPr>
          <w:rFonts w:ascii="仿宋_GB2312" w:hAnsi="仿宋_GB2312" w:eastAsia="仿宋_GB2312" w:cs="仿宋_GB2312"/>
          <w:sz w:val="32"/>
        </w:rPr>
        <w:t>（十一）生物恐怖，是指故意使用致病性微生物、生物毒素等实施袭击，损害人类或者动植物健康，引起社会恐慌，企图达到特定政治目的的行为。</w:t>
      </w:r>
    </w:p>
    <w:p>
      <w:pPr>
        <w:spacing w:line="240" w:lineRule="auto"/>
        <w:ind w:firstLine="640"/>
        <w:jc w:val="both"/>
      </w:pPr>
      <w:r>
        <w:rPr>
          <w:rFonts w:ascii="黑体" w:hAnsi="黑体" w:eastAsia="黑体" w:cs="黑体"/>
          <w:sz w:val="32"/>
        </w:rPr>
        <w:t>第八十六条</w:t>
      </w:r>
      <w:r>
        <w:rPr>
          <w:rFonts w:ascii="仿宋_GB2312" w:hAnsi="仿宋_GB2312" w:eastAsia="仿宋_GB2312" w:cs="仿宋_GB2312"/>
          <w:sz w:val="32"/>
        </w:rPr>
        <w:t>　生物安全信息属于国家秘密的，应当依照《中华人民共和国保守国家秘密法》和国家其他有关保密规定实施保密管理。</w:t>
      </w:r>
    </w:p>
    <w:p>
      <w:pPr>
        <w:spacing w:line="240" w:lineRule="auto"/>
        <w:ind w:firstLine="640"/>
        <w:jc w:val="both"/>
      </w:pPr>
      <w:r>
        <w:rPr>
          <w:rFonts w:ascii="黑体" w:hAnsi="黑体" w:eastAsia="黑体" w:cs="黑体"/>
          <w:sz w:val="32"/>
        </w:rPr>
        <w:t>第八十七条</w:t>
      </w:r>
      <w:r>
        <w:rPr>
          <w:rFonts w:ascii="仿宋_GB2312" w:hAnsi="仿宋_GB2312" w:eastAsia="仿宋_GB2312" w:cs="仿宋_GB2312"/>
          <w:sz w:val="32"/>
        </w:rPr>
        <w:t>　中国人民解放军、中国人民武装警察部队的生物安全活动，由中央军事委员会依照本法规定的原则另行规定。</w:t>
      </w:r>
    </w:p>
    <w:p>
      <w:pPr>
        <w:spacing w:line="240" w:lineRule="auto"/>
        <w:ind w:firstLine="640"/>
        <w:jc w:val="both"/>
      </w:pPr>
      <w:r>
        <w:rPr>
          <w:rFonts w:ascii="黑体" w:hAnsi="黑体" w:eastAsia="黑体" w:cs="黑体"/>
          <w:sz w:val="32"/>
        </w:rPr>
        <w:t>第八十八条</w:t>
      </w:r>
      <w:r>
        <w:rPr>
          <w:rFonts w:ascii="仿宋_GB2312" w:hAnsi="仿宋_GB2312" w:eastAsia="仿宋_GB2312" w:cs="仿宋_GB2312"/>
          <w:sz w:val="32"/>
        </w:rPr>
        <w:t>　本法自</w:t>
      </w:r>
      <w:r>
        <w:rPr>
          <w:rFonts w:hint="default" w:ascii="Times New Roman" w:hAnsi="Times New Roman" w:eastAsia="仿宋_GB2312" w:cs="Times New Roman"/>
          <w:sz w:val="32"/>
        </w:rPr>
        <w:t>2021</w:t>
      </w:r>
      <w:r>
        <w:rPr>
          <w:rFonts w:ascii="仿宋_GB2312" w:hAnsi="仿宋_GB2312" w:eastAsia="仿宋_GB2312" w:cs="仿宋_GB2312"/>
          <w:sz w:val="32"/>
        </w:rPr>
        <w:t>年</w:t>
      </w:r>
      <w:r>
        <w:rPr>
          <w:rFonts w:hint="default" w:ascii="Times New Roman" w:hAnsi="Times New Roman" w:eastAsia="仿宋_GB2312" w:cs="Times New Roman"/>
          <w:sz w:val="32"/>
        </w:rPr>
        <w:t>4</w:t>
      </w:r>
      <w:r>
        <w:rPr>
          <w:rFonts w:ascii="仿宋_GB2312" w:hAnsi="仿宋_GB2312" w:eastAsia="仿宋_GB2312" w:cs="仿宋_GB2312"/>
          <w:sz w:val="32"/>
        </w:rPr>
        <w:t>月</w:t>
      </w:r>
      <w:r>
        <w:rPr>
          <w:rFonts w:hint="default" w:ascii="Times New Roman" w:hAnsi="Times New Roman" w:eastAsia="仿宋_GB2312" w:cs="Times New Roman"/>
          <w:sz w:val="32"/>
        </w:rPr>
        <w:t>15</w:t>
      </w:r>
      <w:r>
        <w:rPr>
          <w:rFonts w:ascii="仿宋_GB2312" w:hAnsi="仿宋_GB2312" w:eastAsia="仿宋_GB2312" w:cs="仿宋_GB2312"/>
          <w:sz w:val="32"/>
        </w:rPr>
        <w:t>日起施行。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pStyle w:val="18"/>
        <w:widowControl/>
        <w:pBdr>
          <w:top w:val="none" w:color="auto" w:sz="0" w:space="0"/>
        </w:pBdr>
        <w:wordWrap/>
        <w:adjustRightInd/>
        <w:snapToGrid/>
        <w:spacing w:beforeAutospacing="0" w:afterAutospacing="0" w:line="560" w:lineRule="exact"/>
        <w:ind w:left="0" w:leftChars="0" w:right="0" w:firstLine="0"/>
        <w:jc w:val="center"/>
        <w:textAlignment w:val="auto"/>
        <w:outlineLvl w:val="9"/>
        <w:rPr>
          <w:rFonts w:ascii="黑体" w:hAnsi="宋体" w:eastAsia="黑体" w:cs="黑体"/>
          <w:i w:val="0"/>
          <w:caps w:val="0"/>
          <w:color w:val="000000"/>
          <w:spacing w:val="0"/>
          <w:sz w:val="44"/>
          <w:szCs w:val="44"/>
        </w:rPr>
      </w:pPr>
      <w:r>
        <w:rPr>
          <w:rFonts w:hint="eastAsia" w:ascii="宋体" w:hAnsi="宋体" w:eastAsia="宋体" w:cs="宋体"/>
          <w:i w:val="0"/>
          <w:caps w:val="0"/>
          <w:color w:val="000000"/>
          <w:spacing w:val="0"/>
          <w:sz w:val="44"/>
          <w:szCs w:val="44"/>
        </w:rPr>
        <w:t>中华人民共和国反食品浪费法</w:t>
      </w:r>
    </w:p>
    <w:p>
      <w:pPr>
        <w:pStyle w:val="18"/>
        <w:widowControl/>
        <w:wordWrap/>
        <w:adjustRightInd/>
        <w:snapToGrid/>
        <w:spacing w:beforeAutospacing="0" w:afterAutospacing="0" w:line="560" w:lineRule="exact"/>
        <w:ind w:left="0" w:leftChars="0" w:right="0" w:firstLine="420"/>
        <w:jc w:val="both"/>
        <w:textAlignment w:val="auto"/>
        <w:outlineLvl w:val="9"/>
        <w:rPr>
          <w:rFonts w:hint="eastAsia" w:ascii="楷体" w:hAnsi="楷体" w:eastAsia="楷体" w:cs="楷体"/>
          <w:i w:val="0"/>
          <w:caps w:val="0"/>
          <w:color w:val="000000"/>
          <w:spacing w:val="0"/>
          <w:sz w:val="27"/>
          <w:szCs w:val="27"/>
        </w:rPr>
      </w:pPr>
    </w:p>
    <w:p>
      <w:pPr>
        <w:pStyle w:val="18"/>
        <w:widowControl/>
        <w:wordWrap/>
        <w:adjustRightInd/>
        <w:snapToGrid/>
        <w:spacing w:beforeAutospacing="0" w:afterAutospacing="0" w:line="560" w:lineRule="exact"/>
        <w:ind w:left="0" w:leftChars="0" w:right="0" w:firstLine="420"/>
        <w:jc w:val="both"/>
        <w:textAlignment w:val="auto"/>
        <w:outlineLvl w:val="9"/>
        <w:rPr>
          <w:rFonts w:ascii="楷体" w:hAnsi="楷体" w:eastAsia="楷体" w:cs="楷体"/>
          <w:i w:val="0"/>
          <w:caps w:val="0"/>
          <w:color w:val="000000"/>
          <w:spacing w:val="0"/>
          <w:sz w:val="27"/>
          <w:szCs w:val="27"/>
        </w:rPr>
      </w:pPr>
      <w:r>
        <w:rPr>
          <w:rFonts w:hint="eastAsia" w:ascii="楷体_GB2312" w:hAnsi="楷体_GB2312" w:eastAsia="楷体_GB2312" w:cs="楷体_GB2312"/>
          <w:i w:val="0"/>
          <w:caps w:val="0"/>
          <w:color w:val="000000"/>
          <w:spacing w:val="0"/>
          <w:sz w:val="32"/>
          <w:szCs w:val="32"/>
        </w:rPr>
        <w:t>（2021年4月29日第十三届全国人民代表大会常务委员会第二十八次会议通过）</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黑体" w:hAnsi="黑体" w:eastAsia="黑体" w:cs="黑体"/>
          <w:i w:val="0"/>
          <w:caps w:val="0"/>
          <w:color w:val="000000"/>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第一条</w:t>
      </w:r>
      <w:r>
        <w:rPr>
          <w:rFonts w:hint="eastAsia" w:ascii="仿宋_GB2312" w:hAnsi="仿宋_GB2312" w:eastAsia="仿宋_GB2312" w:cs="仿宋_GB2312"/>
          <w:i w:val="0"/>
          <w:caps w:val="0"/>
          <w:color w:val="000000"/>
          <w:spacing w:val="0"/>
          <w:sz w:val="32"/>
          <w:szCs w:val="32"/>
        </w:rPr>
        <w:t> 为了防止食品浪费，保障国家粮食安全，弘扬中华民族传统美德，践行社会主义核心价值观，节约资源，保护环境，促进经济社会可持续发展，根据宪法，制定本法。</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第二条</w:t>
      </w:r>
      <w:r>
        <w:rPr>
          <w:rFonts w:hint="eastAsia" w:ascii="仿宋_GB2312" w:hAnsi="仿宋_GB2312" w:eastAsia="仿宋_GB2312" w:cs="仿宋_GB2312"/>
          <w:i w:val="0"/>
          <w:caps w:val="0"/>
          <w:color w:val="000000"/>
          <w:spacing w:val="0"/>
          <w:sz w:val="32"/>
          <w:szCs w:val="32"/>
        </w:rPr>
        <w:t> 本法所称食品，是指《中华人民共和国食品安全法》规定的食品，包括各种供人食用或者饮用的食物。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本法所称食品浪费，是指对可安全食用或者饮用的食品未能按照其功能目的合理利用，包括废弃、因不合理利用导致食品数量减少或者质量下降等。</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第三条</w:t>
      </w:r>
      <w:r>
        <w:rPr>
          <w:rFonts w:hint="eastAsia" w:ascii="仿宋_GB2312" w:hAnsi="仿宋_GB2312" w:eastAsia="仿宋_GB2312" w:cs="仿宋_GB2312"/>
          <w:i w:val="0"/>
          <w:caps w:val="0"/>
          <w:color w:val="000000"/>
          <w:spacing w:val="0"/>
          <w:sz w:val="32"/>
          <w:szCs w:val="32"/>
        </w:rPr>
        <w:t> 国家厉行节约，反对浪费。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国家坚持多措并举、精准施策、科学管理、社会共治的原则，采取技术上可行、经济上合理的措施防止和减少食品浪费。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国家倡导文明、健康、节约资源、保护环境的消费方式，提倡简约适度、绿色低碳的生活方式。</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第四条</w:t>
      </w:r>
      <w:r>
        <w:rPr>
          <w:rFonts w:hint="eastAsia" w:ascii="仿宋_GB2312" w:hAnsi="仿宋_GB2312" w:eastAsia="仿宋_GB2312" w:cs="仿宋_GB2312"/>
          <w:i w:val="0"/>
          <w:caps w:val="0"/>
          <w:color w:val="000000"/>
          <w:spacing w:val="0"/>
          <w:sz w:val="32"/>
          <w:szCs w:val="32"/>
        </w:rPr>
        <w:t> 各级人民政府应当加强对反食品浪费工作的领导，确定反食品浪费目标任务，建立健全反食品浪费工作机制，组织对食品浪费情况进行监测、调查、分析和评估，加强监督管理，推进反食品浪费工作。</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县级以上地方人民政府应当每年向社会公布反食品浪费情况，提出加强反食品浪费措施，持续推动全社会反食品浪费。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第五条</w:t>
      </w:r>
      <w:r>
        <w:rPr>
          <w:rFonts w:hint="eastAsia" w:ascii="仿宋_GB2312" w:hAnsi="仿宋_GB2312" w:eastAsia="仿宋_GB2312" w:cs="仿宋_GB2312"/>
          <w:i w:val="0"/>
          <w:caps w:val="0"/>
          <w:color w:val="000000"/>
          <w:spacing w:val="0"/>
          <w:sz w:val="32"/>
          <w:szCs w:val="32"/>
        </w:rPr>
        <w:t> 国务院发展改革部门应当加强对全国反食品浪费工作的组织协调；会同国务院有关部门每年分析评估食品浪费情况，整体部署反食品浪费工作，提出相关工作措施和意见，由各有关部门落实。</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务院商务主管部门应当加强对餐饮行业的管理，建立健全行业标准、服务规范；会同国务院市场监督管理部门等建立餐饮行业反食品浪费制度规范，采取措施鼓励餐饮服务经营者提供分餐服务、向社会公开其反食品浪费情况。</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国务院市场监督管理部门应当加强对食品生产经营者反食品浪费情况的监督，督促食品生产经营者落实反食品浪费措施。</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国家粮食和物资储备部门应当加强粮食仓储流通过程中的节粮减损管理，会同国务院有关部门组织实施粮食储存、运输、加工标准。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国务院有关部门依照本法和国务院规定的职责，采取措施开展反食品浪费工作。</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第六条</w:t>
      </w:r>
      <w:r>
        <w:rPr>
          <w:rFonts w:hint="eastAsia" w:ascii="仿宋_GB2312" w:hAnsi="仿宋_GB2312" w:eastAsia="仿宋_GB2312" w:cs="仿宋_GB2312"/>
          <w:i w:val="0"/>
          <w:caps w:val="0"/>
          <w:color w:val="000000"/>
          <w:spacing w:val="0"/>
          <w:sz w:val="32"/>
          <w:szCs w:val="32"/>
        </w:rPr>
        <w:t> 机关、人民团体、国有企业事业单位应当按照国家有关规定，细化完善公务接待、会议、培训等公务活动用餐规范，加强管理，带头厉行节约，反对浪费。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公务活动需要安排用餐的，应当根据实际情况，节俭安排用餐数量、形式，不得超过规定的标准。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第七条</w:t>
      </w:r>
      <w:r>
        <w:rPr>
          <w:rFonts w:hint="eastAsia" w:ascii="仿宋_GB2312" w:hAnsi="仿宋_GB2312" w:eastAsia="仿宋_GB2312" w:cs="仿宋_GB2312"/>
          <w:i w:val="0"/>
          <w:caps w:val="0"/>
          <w:color w:val="000000"/>
          <w:spacing w:val="0"/>
          <w:sz w:val="32"/>
          <w:szCs w:val="32"/>
        </w:rPr>
        <w:t> 餐饮服务经营者应当采取下列措施，防止食品浪费：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（一）建立健全食品采购、储存、加工管理制度，加强服务人员职业培训，将珍惜粮食、反对浪费纳入培训内容；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（二）主动对消费者进行防止食品浪费提示提醒，在醒目位置张贴或者摆放反食品浪费标识，或者由服务人员提示说明，引导消费者按需适量点餐；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（三）提升餐饮供给质量，按照标准规范制作食品，合理确定数量、分量，提供小份餐等不同规格选择；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（四）提供团体用餐服务的，应当将防止食品浪费理念纳入菜单设计，按照用餐人数合理配置菜品、主食；</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（五）提供自助餐服务的，应当主动告知消费规则和防止食品浪费要求，提供不同规格餐具，提醒消费者适量取餐。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餐饮服务经营者不得诱导、误导消费者超量点餐。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餐饮服务经营者可以通过在菜单上标注食品分量、规格、建议消费人数等方式充实菜单信息，为消费者提供点餐提示，根据消费者需要提供公勺公筷和打包服务。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餐饮服务经营者可以对参与“光盘行动”的消费者给予奖励；也可以对造成明显浪费的消费者收取处理厨余垃圾的相应费用，收费标准应当明示。</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餐饮服务经营者可以运用信息化手段分析用餐需求，通过建设中央厨房、配送中心等措施，对食品采购、运输、储存、加工等进行科学管理。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第八条</w:t>
      </w:r>
      <w:r>
        <w:rPr>
          <w:rFonts w:hint="eastAsia" w:ascii="仿宋_GB2312" w:hAnsi="仿宋_GB2312" w:eastAsia="仿宋_GB2312" w:cs="仿宋_GB2312"/>
          <w:i w:val="0"/>
          <w:caps w:val="0"/>
          <w:color w:val="000000"/>
          <w:spacing w:val="0"/>
          <w:sz w:val="32"/>
          <w:szCs w:val="32"/>
        </w:rPr>
        <w:t> 设有食堂的单位应当建立健全食堂用餐管理制度，制定、实施防止食品浪费措施，加强宣传教育，增强反食品浪费意识。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单位食堂应当加强食品采购、储存、加工动态管理，根据用餐人数采购、做餐、配餐，提高原材料利用率和烹饪水平，按照健康、经济、规范的原则提供饮食，注重饮食平衡。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单位食堂应当改进供餐方式，在醒目位置张贴或者摆放反食品浪费标识，引导用餐人员适量点餐、取餐；对有浪费行为的，应当及时予以提醒、纠正。</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第九条</w:t>
      </w:r>
      <w:r>
        <w:rPr>
          <w:rFonts w:hint="eastAsia" w:ascii="仿宋_GB2312" w:hAnsi="仿宋_GB2312" w:eastAsia="仿宋_GB2312" w:cs="仿宋_GB2312"/>
          <w:i w:val="0"/>
          <w:caps w:val="0"/>
          <w:color w:val="000000"/>
          <w:spacing w:val="0"/>
          <w:sz w:val="32"/>
          <w:szCs w:val="32"/>
        </w:rPr>
        <w:t> 学校应当对用餐人员数量、结构进行监测、分析和评估,加强学校食堂餐饮服务管理；选择校外供餐单位的，应当建立健全引进和退出机制，择优选择。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学校食堂、校外供餐单位应当加强精细化管理，按需供餐，改进供餐方式，科学营养配餐，丰富不同规格配餐和口味选择，定期听取用餐人员意见，保证菜品、主食质量。</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第十条</w:t>
      </w:r>
      <w:r>
        <w:rPr>
          <w:rFonts w:hint="eastAsia" w:ascii="仿宋_GB2312" w:hAnsi="仿宋_GB2312" w:eastAsia="仿宋_GB2312" w:cs="仿宋_GB2312"/>
          <w:i w:val="0"/>
          <w:caps w:val="0"/>
          <w:color w:val="000000"/>
          <w:spacing w:val="0"/>
          <w:sz w:val="32"/>
          <w:szCs w:val="32"/>
        </w:rPr>
        <w:t> 餐饮外卖平台应当以显著方式提示消费者适量点餐。餐饮服务经营者通过餐饮外卖平台提供服务的，应当在平台页面上向消费者提供食品分量、规格或者建议消费人数等信息。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第十一条</w:t>
      </w:r>
      <w:r>
        <w:rPr>
          <w:rFonts w:hint="eastAsia" w:ascii="仿宋_GB2312" w:hAnsi="仿宋_GB2312" w:eastAsia="仿宋_GB2312" w:cs="仿宋_GB2312"/>
          <w:i w:val="0"/>
          <w:caps w:val="0"/>
          <w:color w:val="000000"/>
          <w:spacing w:val="0"/>
          <w:sz w:val="32"/>
          <w:szCs w:val="32"/>
        </w:rPr>
        <w:t> 旅游经营者应当引导旅游者文明、健康用餐。旅行社及导游应当合理安排团队用餐，提醒旅游者适量点餐、取餐。有关行业应当将旅游经营者反食品浪费工作情况纳入相关质量标准等级评定指标。</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第十二条</w:t>
      </w:r>
      <w:r>
        <w:rPr>
          <w:rFonts w:hint="eastAsia" w:ascii="仿宋_GB2312" w:hAnsi="仿宋_GB2312" w:eastAsia="仿宋_GB2312" w:cs="仿宋_GB2312"/>
          <w:i w:val="0"/>
          <w:caps w:val="0"/>
          <w:color w:val="000000"/>
          <w:spacing w:val="0"/>
          <w:sz w:val="32"/>
          <w:szCs w:val="32"/>
        </w:rPr>
        <w:t> 超市、商场等食品经营者应当对其经营的食品加强日常检查，对临近保质期的食品分类管理，作特别标示或者集中陈列出售。</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第十三条</w:t>
      </w:r>
      <w:r>
        <w:rPr>
          <w:rFonts w:hint="eastAsia" w:ascii="仿宋_GB2312" w:hAnsi="仿宋_GB2312" w:eastAsia="仿宋_GB2312" w:cs="仿宋_GB2312"/>
          <w:i w:val="0"/>
          <w:caps w:val="0"/>
          <w:color w:val="000000"/>
          <w:spacing w:val="0"/>
          <w:sz w:val="32"/>
          <w:szCs w:val="32"/>
        </w:rPr>
        <w:t> 各级人民政府及其有关部门应当采取措施，反对铺张浪费，鼓励和推动文明、节俭举办活动，形成浪费可耻、节约为荣的氛围。</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婚丧嫁娶、朋友和家庭聚会、商务活动等需要用餐的，组织者、参加者应当适度备餐、点餐，文明、健康用餐。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第十四条</w:t>
      </w:r>
      <w:r>
        <w:rPr>
          <w:rFonts w:hint="eastAsia" w:ascii="仿宋_GB2312" w:hAnsi="仿宋_GB2312" w:eastAsia="仿宋_GB2312" w:cs="仿宋_GB2312"/>
          <w:i w:val="0"/>
          <w:caps w:val="0"/>
          <w:color w:val="000000"/>
          <w:spacing w:val="0"/>
          <w:sz w:val="32"/>
          <w:szCs w:val="32"/>
        </w:rPr>
        <w:t> 个人应当树立文明、健康、理性、绿色的消费理念，外出就餐时根据个人健康状况、饮食习惯和用餐需求合理点餐、取餐。</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家庭及成员在家庭生活中，应当培养形成科学健康、物尽其用、防止浪费的良好习惯，按照日常生活实际需要采购、储存和制作食品。</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第十五条</w:t>
      </w:r>
      <w:r>
        <w:rPr>
          <w:rFonts w:hint="eastAsia" w:ascii="仿宋_GB2312" w:hAnsi="仿宋_GB2312" w:eastAsia="仿宋_GB2312" w:cs="仿宋_GB2312"/>
          <w:i w:val="0"/>
          <w:caps w:val="0"/>
          <w:color w:val="000000"/>
          <w:spacing w:val="0"/>
          <w:sz w:val="32"/>
          <w:szCs w:val="32"/>
        </w:rPr>
        <w:t> 国家完善粮食和其他食用农产品的生产、储存、运输、加工标准，推广使用新技术、新工艺、新设备，引导适度加工和综合利用，降低损耗。</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食品生产经营者应当采取措施，改善食品储存、运输、加工条件，防止食品变质，降低储存、运输中的损耗；提高食品加工利用率，避免过度加工和过量使用原材料。</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第十六条</w:t>
      </w:r>
      <w:r>
        <w:rPr>
          <w:rFonts w:hint="eastAsia" w:ascii="仿宋_GB2312" w:hAnsi="仿宋_GB2312" w:eastAsia="仿宋_GB2312" w:cs="仿宋_GB2312"/>
          <w:i w:val="0"/>
          <w:caps w:val="0"/>
          <w:color w:val="000000"/>
          <w:spacing w:val="0"/>
          <w:sz w:val="32"/>
          <w:szCs w:val="32"/>
        </w:rPr>
        <w:t> 制定和修改有关国家标准、行业标准和地方标准，应当将防止食品浪费作为重要考虑因素，在保证食品安全的前提下，最大程度防止浪费。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食品保质期应当科学合理设置，显著标注，容易辨识。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第十七条</w:t>
      </w:r>
      <w:r>
        <w:rPr>
          <w:rFonts w:hint="eastAsia" w:ascii="仿宋_GB2312" w:hAnsi="仿宋_GB2312" w:eastAsia="仿宋_GB2312" w:cs="仿宋_GB2312"/>
          <w:i w:val="0"/>
          <w:caps w:val="0"/>
          <w:color w:val="000000"/>
          <w:spacing w:val="0"/>
          <w:sz w:val="32"/>
          <w:szCs w:val="32"/>
        </w:rPr>
        <w:t> 各级人民政府及其有关部门应当建立反食品浪费监督检查机制，对发现的食品浪费问题及时督促整改。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食品生产经营者在食品生产经营过程中严重浪费食品的，县级以上地方人民政府市场监督管理、商务等部门可以对其法定代表人或者主要负责人进行约谈。被约谈的食品生产经营者应当立即整改。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第十八条</w:t>
      </w:r>
      <w:r>
        <w:rPr>
          <w:rFonts w:hint="eastAsia" w:ascii="仿宋_GB2312" w:hAnsi="仿宋_GB2312" w:eastAsia="仿宋_GB2312" w:cs="仿宋_GB2312"/>
          <w:i w:val="0"/>
          <w:caps w:val="0"/>
          <w:color w:val="000000"/>
          <w:spacing w:val="0"/>
          <w:sz w:val="32"/>
          <w:szCs w:val="32"/>
        </w:rPr>
        <w:t> 机关事务管理部门会同有关部门建立机关食堂反食品浪费工作成效评估和通报制度，将反食品浪费纳入公共机构节约能源资源考核和节约型机关创建活动内容。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第十九条</w:t>
      </w:r>
      <w:r>
        <w:rPr>
          <w:rFonts w:hint="eastAsia" w:ascii="仿宋_GB2312" w:hAnsi="仿宋_GB2312" w:eastAsia="仿宋_GB2312" w:cs="仿宋_GB2312"/>
          <w:i w:val="0"/>
          <w:caps w:val="0"/>
          <w:color w:val="000000"/>
          <w:spacing w:val="0"/>
          <w:sz w:val="32"/>
          <w:szCs w:val="32"/>
        </w:rPr>
        <w:t> 食品、餐饮行业协会等应当加强行业自律，依法制定、实施反食品浪费等相关团体标准和行业自律规范，宣传、普及防止食品浪费知识，推广先进典型，引导会员自觉开展反食品浪费活动，对有浪费行为的会员采取必要的自律措施。</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食品、餐饮行业协会等应当开展食品浪费监测，加强分析评估，每年向社会公布有关反食品浪费情况及监测评估结果，为国家机关制定法律、法规、政策、标准和开展有关问题研究提供支持，接受社会监督。</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消费者协会和其他消费者组织应当对消费者加强饮食消费教育，引导形成自觉抵制浪费的消费习惯。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第二十条</w:t>
      </w:r>
      <w:r>
        <w:rPr>
          <w:rFonts w:hint="eastAsia" w:ascii="仿宋_GB2312" w:hAnsi="仿宋_GB2312" w:eastAsia="仿宋_GB2312" w:cs="仿宋_GB2312"/>
          <w:i w:val="0"/>
          <w:caps w:val="0"/>
          <w:color w:val="000000"/>
          <w:spacing w:val="0"/>
          <w:sz w:val="32"/>
          <w:szCs w:val="32"/>
        </w:rPr>
        <w:t> 机关、人民团体、社会组织、企业事业单位和基层群众性自治组织应当将厉行节约、反对浪费作为群众性精神文明创建活动内容，纳入相关创建测评体系和各地市民公约、村规民约、行业规范等，加强反食品浪费宣传教育和科学普及，推动开展“光盘行动”，倡导文明、健康、科学的饮食文化，增强公众反食品浪费意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县级以上人民政府及其有关部门应当持续组织开展反食品浪费宣传教育，并将反食品浪费作为全国粮食安全宣传周的重要内容。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第二十一条</w:t>
      </w:r>
      <w:r>
        <w:rPr>
          <w:rFonts w:hint="eastAsia" w:ascii="仿宋_GB2312" w:hAnsi="仿宋_GB2312" w:eastAsia="仿宋_GB2312" w:cs="仿宋_GB2312"/>
          <w:i w:val="0"/>
          <w:caps w:val="0"/>
          <w:color w:val="000000"/>
          <w:spacing w:val="0"/>
          <w:sz w:val="32"/>
          <w:szCs w:val="32"/>
        </w:rPr>
        <w:t> 教育行政部门应当指导、督促学校加强反食品浪费教育和管理。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学校应当按照规定开展国情教育，将厉行节约、反对浪费纳入教育教学内容，通过学习实践、体验劳动等形式，开展反食品浪费专题教育活动，培养学生形成勤俭节约、珍惜粮食的习惯。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学校应当建立防止食品浪费的监督检查机制，制定、实施相应的奖惩措施。</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第二十二条</w:t>
      </w:r>
      <w:r>
        <w:rPr>
          <w:rFonts w:hint="eastAsia" w:ascii="仿宋_GB2312" w:hAnsi="仿宋_GB2312" w:eastAsia="仿宋_GB2312" w:cs="仿宋_GB2312"/>
          <w:i w:val="0"/>
          <w:caps w:val="0"/>
          <w:color w:val="000000"/>
          <w:spacing w:val="0"/>
          <w:sz w:val="32"/>
          <w:szCs w:val="32"/>
        </w:rPr>
        <w:t> 新闻媒体应当开展反食品浪费法律、法规以及相关标准和知识的公益宣传，报道先进典型，曝光浪费现象，引导公众树立正确饮食消费观念，对食品浪费行为进行舆论监督。有关反食品浪费的宣传报道应当真实、公正。</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禁止制作、发布、传播宣扬量大多吃、暴饮暴食等浪费食品的节目或者音视频信息。</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网络音视频服务提供者发现用户有违反前款规定行为的，应当立即停止传输相关信息；情节严重的，应当停止提供信息服务。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第二十三条</w:t>
      </w:r>
      <w:r>
        <w:rPr>
          <w:rFonts w:hint="eastAsia" w:ascii="仿宋_GB2312" w:hAnsi="仿宋_GB2312" w:eastAsia="仿宋_GB2312" w:cs="仿宋_GB2312"/>
          <w:i w:val="0"/>
          <w:caps w:val="0"/>
          <w:color w:val="000000"/>
          <w:spacing w:val="0"/>
          <w:sz w:val="32"/>
          <w:szCs w:val="32"/>
        </w:rPr>
        <w:t> 县级以上地方人民政府民政、市场监督管理部门等建立捐赠需求对接机制，引导食品生产经营者等在保证食品安全的前提下向有关社会组织、福利机构、救助机构等组织或者个人捐赠食品。有关组织根据需要，及时接收、分发食品。</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国家鼓励社会力量参与食品捐赠活动。网络信息服务提供者可以搭建平台，为食品捐赠等提供服务。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第二十四条</w:t>
      </w:r>
      <w:r>
        <w:rPr>
          <w:rFonts w:hint="eastAsia" w:ascii="仿宋_GB2312" w:hAnsi="仿宋_GB2312" w:eastAsia="仿宋_GB2312" w:cs="仿宋_GB2312"/>
          <w:i w:val="0"/>
          <w:caps w:val="0"/>
          <w:color w:val="000000"/>
          <w:spacing w:val="0"/>
          <w:sz w:val="32"/>
          <w:szCs w:val="32"/>
        </w:rPr>
        <w:t> 产生厨余垃圾的单位、家庭和个人应当依法履行厨余垃圾源头减量义务。</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第二十五条</w:t>
      </w:r>
      <w:r>
        <w:rPr>
          <w:rFonts w:hint="eastAsia" w:ascii="仿宋_GB2312" w:hAnsi="仿宋_GB2312" w:eastAsia="仿宋_GB2312" w:cs="仿宋_GB2312"/>
          <w:i w:val="0"/>
          <w:caps w:val="0"/>
          <w:color w:val="000000"/>
          <w:spacing w:val="0"/>
          <w:sz w:val="32"/>
          <w:szCs w:val="32"/>
        </w:rPr>
        <w:t> 国家组织开展营养状况监测、营养知识普及，引导公民形成科学的饮食习惯，减少不健康饮食引起的疾病风险。</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第二十六条</w:t>
      </w:r>
      <w:r>
        <w:rPr>
          <w:rFonts w:hint="eastAsia" w:ascii="仿宋_GB2312" w:hAnsi="仿宋_GB2312" w:eastAsia="仿宋_GB2312" w:cs="仿宋_GB2312"/>
          <w:i w:val="0"/>
          <w:caps w:val="0"/>
          <w:color w:val="000000"/>
          <w:spacing w:val="0"/>
          <w:sz w:val="32"/>
          <w:szCs w:val="32"/>
        </w:rPr>
        <w:t> 县级以上人民政府应当采取措施，对防止食品浪费的科学研究、技术开发等活动予以支持。</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政府采购有关商品和服务，应当有利于防止食品浪费。</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国家实行有利于防止食品浪费的税收政策。</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第二十七条</w:t>
      </w:r>
      <w:r>
        <w:rPr>
          <w:rFonts w:hint="eastAsia" w:ascii="仿宋_GB2312" w:hAnsi="仿宋_GB2312" w:eastAsia="仿宋_GB2312" w:cs="仿宋_GB2312"/>
          <w:i w:val="0"/>
          <w:caps w:val="0"/>
          <w:color w:val="000000"/>
          <w:spacing w:val="0"/>
          <w:sz w:val="32"/>
          <w:szCs w:val="32"/>
        </w:rPr>
        <w:t> 任何单位和个人发现食品生产经营者等有食品浪费行为的，有权向有关部门和机关举报。接到举报的部门和机关应当及时依法处理。</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第二十八条</w:t>
      </w:r>
      <w:r>
        <w:rPr>
          <w:rFonts w:hint="eastAsia" w:ascii="仿宋_GB2312" w:hAnsi="仿宋_GB2312" w:eastAsia="仿宋_GB2312" w:cs="仿宋_GB2312"/>
          <w:i w:val="0"/>
          <w:caps w:val="0"/>
          <w:color w:val="000000"/>
          <w:spacing w:val="0"/>
          <w:sz w:val="32"/>
          <w:szCs w:val="32"/>
        </w:rPr>
        <w:t> 违反本法规定，餐饮服务经营者未主动对消费者进行防止食品浪费提示提醒的，由县级以上地方人民政府市场监督管理部门或者县级以上地方人民政府指定的部门责令改正，给予警告。</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违反本法规定，餐饮服务经营者诱导、误导消费者超量点餐造成明显浪费的，由县级以上地方人民政府市场监督管理部门或者县级以上地方人民政府指定的部门责令改正，给予警告；拒不改正的，处一千元以上一万元以下罚款。</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i w:val="0"/>
          <w:caps w:val="0"/>
          <w:color w:val="000000"/>
          <w:spacing w:val="0"/>
          <w:sz w:val="32"/>
          <w:szCs w:val="32"/>
        </w:rPr>
        <w:t>违反本法规定，食品生产经营者在食品生产经营过程中造成严重食品浪费的，由县级以上地方人民政府市场监督管理部门或者县级以上地方人民政府指定的部门责令改正，拒不改正的，处五千元以上五万元以下罚款。</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第二十九条</w:t>
      </w:r>
      <w:r>
        <w:rPr>
          <w:rFonts w:hint="eastAsia" w:ascii="仿宋_GB2312" w:hAnsi="仿宋_GB2312" w:eastAsia="仿宋_GB2312" w:cs="仿宋_GB2312"/>
          <w:i w:val="0"/>
          <w:caps w:val="0"/>
          <w:color w:val="000000"/>
          <w:spacing w:val="0"/>
          <w:sz w:val="32"/>
          <w:szCs w:val="32"/>
        </w:rPr>
        <w:t> 违反本法规定，设有食堂的单位未制定或者未实施防止食品浪费措施的，由县级以上地方人民政府指定的部门责令改正，给予警告。</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第三十条</w:t>
      </w:r>
      <w:r>
        <w:rPr>
          <w:rFonts w:hint="eastAsia" w:ascii="仿宋_GB2312" w:hAnsi="仿宋_GB2312" w:eastAsia="仿宋_GB2312" w:cs="仿宋_GB2312"/>
          <w:i w:val="0"/>
          <w:caps w:val="0"/>
          <w:color w:val="000000"/>
          <w:spacing w:val="0"/>
          <w:sz w:val="32"/>
          <w:szCs w:val="32"/>
        </w:rPr>
        <w:t> 违反本法规定，广播电台、电视台、网络音视频服务提供者制作、发布、传播宣扬量大多吃、暴饮暴食等浪费食品的节目或者音视频信息的，由广播电视、网信等部门按照各自职责责令改正，给予警告；拒不改正或者情节严重的，处一万元以上十万元以下罚款，并可以责令暂停相关业务、停业整顿,对直接负责的主管人员和其他直接责任人员依法追究法律责任。</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仿宋_GB2312" w:hAnsi="仿宋_GB2312" w:eastAsia="仿宋_GB2312" w:cs="仿宋_GB2312"/>
          <w:color w:val="000000"/>
          <w:sz w:val="32"/>
          <w:szCs w:val="32"/>
        </w:rPr>
      </w:pPr>
      <w:r>
        <w:rPr>
          <w:rFonts w:hint="eastAsia" w:ascii="黑体" w:hAnsi="黑体" w:eastAsia="黑体" w:cs="黑体"/>
          <w:i w:val="0"/>
          <w:caps w:val="0"/>
          <w:color w:val="000000"/>
          <w:spacing w:val="0"/>
          <w:sz w:val="32"/>
          <w:szCs w:val="32"/>
        </w:rPr>
        <w:t>第三十一条</w:t>
      </w:r>
      <w:r>
        <w:rPr>
          <w:rFonts w:hint="eastAsia" w:ascii="仿宋_GB2312" w:hAnsi="仿宋_GB2312" w:eastAsia="仿宋_GB2312" w:cs="仿宋_GB2312"/>
          <w:i w:val="0"/>
          <w:caps w:val="0"/>
          <w:color w:val="000000"/>
          <w:spacing w:val="0"/>
          <w:sz w:val="32"/>
          <w:szCs w:val="32"/>
        </w:rPr>
        <w:t> 省、自治区、直辖市或者设区的市、自治州根据具体情况和实际需要，制定本地方反食品浪费的具体办法。</w:t>
      </w:r>
    </w:p>
    <w:p>
      <w:pPr>
        <w:pStyle w:val="18"/>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leftChars="0" w:right="0" w:firstLine="420"/>
        <w:jc w:val="both"/>
        <w:textAlignment w:val="auto"/>
        <w:outlineLvl w:val="9"/>
        <w:rPr>
          <w:rFonts w:hint="eastAsia" w:ascii="宋体" w:hAnsi="宋体" w:eastAsia="宋体" w:cs="宋体"/>
          <w:color w:val="000000"/>
          <w:sz w:val="24"/>
          <w:szCs w:val="24"/>
        </w:rPr>
      </w:pPr>
      <w:r>
        <w:rPr>
          <w:rFonts w:hint="eastAsia" w:ascii="黑体" w:hAnsi="黑体" w:eastAsia="黑体" w:cs="黑体"/>
          <w:i w:val="0"/>
          <w:caps w:val="0"/>
          <w:color w:val="000000"/>
          <w:spacing w:val="0"/>
          <w:sz w:val="32"/>
          <w:szCs w:val="32"/>
        </w:rPr>
        <w:t>第三十二条</w:t>
      </w:r>
      <w:r>
        <w:rPr>
          <w:rFonts w:hint="eastAsia" w:ascii="仿宋_GB2312" w:hAnsi="仿宋_GB2312" w:eastAsia="仿宋_GB2312" w:cs="仿宋_GB2312"/>
          <w:i w:val="0"/>
          <w:caps w:val="0"/>
          <w:color w:val="000000"/>
          <w:spacing w:val="0"/>
          <w:sz w:val="32"/>
          <w:szCs w:val="32"/>
        </w:rPr>
        <w:t> 本法自公布之日起施行。</w:t>
      </w:r>
    </w:p>
    <w:p>
      <w:pPr>
        <w:wordWrap/>
        <w:adjustRightInd/>
        <w:snapToGrid/>
        <w:spacing w:line="560" w:lineRule="exact"/>
        <w:ind w:left="0" w:leftChars="0" w:right="0"/>
        <w:jc w:val="both"/>
        <w:textAlignment w:val="auto"/>
        <w:outlineLvl w:val="9"/>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firstLineChars="0"/>
        <w:textAlignment w:val="auto"/>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rPr>
          <w:rFonts w:hint="eastAsia" w:ascii="宋体" w:hAnsi="宋体" w:eastAsia="宋体" w:cs="Arial"/>
          <w:kern w:val="0"/>
          <w:szCs w:val="32"/>
        </w:rPr>
      </w:pPr>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中华人民共和国出口管制法</w:t>
      </w:r>
    </w:p>
    <w:p>
      <w:pPr>
        <w:ind w:left="640" w:leftChars="200" w:right="640" w:rightChars="200"/>
        <w:rPr>
          <w:rFonts w:ascii="宋体" w:hAnsi="宋体" w:eastAsia="宋体" w:cs="Arial"/>
          <w:bCs/>
          <w:szCs w:val="32"/>
        </w:rPr>
      </w:pPr>
    </w:p>
    <w:p>
      <w:pPr>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2020</w:t>
      </w:r>
      <w:r>
        <w:rPr>
          <w:rFonts w:hint="eastAsia" w:ascii="楷体_GB2312" w:hAnsi="Arial" w:eastAsia="楷体_GB2312" w:cs="Arial"/>
          <w:szCs w:val="32"/>
        </w:rPr>
        <w:t>年</w:t>
      </w:r>
      <w:r>
        <w:rPr>
          <w:rFonts w:hint="default" w:ascii="Times New Roman" w:hAnsi="Times New Roman" w:eastAsia="楷体_GB2312" w:cs="Times New Roman"/>
          <w:szCs w:val="32"/>
        </w:rPr>
        <w:t>10</w:t>
      </w:r>
      <w:r>
        <w:rPr>
          <w:rFonts w:hint="eastAsia" w:ascii="楷体_GB2312" w:hAnsi="Arial" w:eastAsia="楷体_GB2312" w:cs="Arial"/>
          <w:szCs w:val="32"/>
        </w:rPr>
        <w:t>月</w:t>
      </w:r>
      <w:r>
        <w:rPr>
          <w:rFonts w:hint="default" w:ascii="Times New Roman" w:hAnsi="Times New Roman" w:eastAsia="楷体_GB2312" w:cs="Times New Roman"/>
          <w:szCs w:val="32"/>
        </w:rPr>
        <w:t>17</w:t>
      </w:r>
      <w:r>
        <w:rPr>
          <w:rFonts w:hint="eastAsia" w:ascii="楷体_GB2312" w:hAnsi="Arial" w:eastAsia="楷体_GB2312" w:cs="Arial"/>
          <w:szCs w:val="32"/>
        </w:rPr>
        <w:t>日第十三届全国人民代表大会常务委员会第二十二次会议通过）</w:t>
      </w:r>
    </w:p>
    <w:p>
      <w:pPr>
        <w:spacing w:line="240" w:lineRule="auto"/>
        <w:ind w:firstLine="0"/>
        <w:jc w:val="center"/>
        <w:rPr>
          <w:rFonts w:hint="eastAsia" w:ascii="楷体_GB2312" w:hAnsi="楷体_GB2312" w:eastAsia="楷体_GB2312" w:cs="楷体_GB2312"/>
          <w:sz w:val="32"/>
          <w:lang w:eastAsia="zh-CN"/>
        </w:rPr>
      </w:pPr>
    </w:p>
    <w:p>
      <w:pPr>
        <w:spacing w:line="560" w:lineRule="exact"/>
        <w:ind w:firstLine="0"/>
        <w:jc w:val="center"/>
      </w:pPr>
      <w:r>
        <w:rPr>
          <w:rFonts w:ascii="楷体_GB2312" w:hAnsi="楷体_GB2312" w:eastAsia="楷体_GB2312" w:cs="楷体_GB2312"/>
          <w:sz w:val="32"/>
        </w:rPr>
        <w:t>目　　录</w:t>
      </w:r>
    </w:p>
    <w:p>
      <w:pPr>
        <w:spacing w:line="560" w:lineRule="exact"/>
        <w:ind w:firstLine="640"/>
        <w:jc w:val="both"/>
      </w:pPr>
      <w:r>
        <w:rPr>
          <w:rFonts w:ascii="楷体_GB2312" w:hAnsi="楷体_GB2312" w:eastAsia="楷体_GB2312" w:cs="楷体_GB2312"/>
          <w:sz w:val="32"/>
        </w:rPr>
        <w:t>第一章　总　　则</w:t>
      </w:r>
    </w:p>
    <w:p>
      <w:pPr>
        <w:spacing w:line="560" w:lineRule="exact"/>
        <w:ind w:firstLine="640"/>
        <w:jc w:val="both"/>
      </w:pPr>
      <w:r>
        <w:rPr>
          <w:rFonts w:ascii="楷体_GB2312" w:hAnsi="楷体_GB2312" w:eastAsia="楷体_GB2312" w:cs="楷体_GB2312"/>
          <w:sz w:val="32"/>
        </w:rPr>
        <w:t>第二章　管制政策、管制清单和管制措施</w:t>
      </w:r>
    </w:p>
    <w:p>
      <w:pPr>
        <w:spacing w:line="560" w:lineRule="exact"/>
        <w:ind w:firstLine="1280"/>
        <w:jc w:val="both"/>
      </w:pPr>
      <w:r>
        <w:rPr>
          <w:rFonts w:ascii="楷体_GB2312" w:hAnsi="楷体_GB2312" w:eastAsia="楷体_GB2312" w:cs="楷体_GB2312"/>
          <w:sz w:val="32"/>
        </w:rPr>
        <w:t>第一节　一般规定</w:t>
      </w:r>
    </w:p>
    <w:p>
      <w:pPr>
        <w:spacing w:line="560" w:lineRule="exact"/>
        <w:ind w:firstLine="1280"/>
        <w:jc w:val="both"/>
      </w:pPr>
      <w:r>
        <w:rPr>
          <w:rFonts w:ascii="楷体_GB2312" w:hAnsi="楷体_GB2312" w:eastAsia="楷体_GB2312" w:cs="楷体_GB2312"/>
          <w:sz w:val="32"/>
        </w:rPr>
        <w:t>第二节　两用物项出口管理</w:t>
      </w:r>
    </w:p>
    <w:p>
      <w:pPr>
        <w:spacing w:line="560" w:lineRule="exact"/>
        <w:ind w:firstLine="1280"/>
        <w:jc w:val="both"/>
      </w:pPr>
      <w:r>
        <w:rPr>
          <w:rFonts w:ascii="楷体_GB2312" w:hAnsi="楷体_GB2312" w:eastAsia="楷体_GB2312" w:cs="楷体_GB2312"/>
          <w:sz w:val="32"/>
        </w:rPr>
        <w:t>第三节　军品出口管理</w:t>
      </w:r>
    </w:p>
    <w:p>
      <w:pPr>
        <w:spacing w:line="560" w:lineRule="exact"/>
        <w:ind w:firstLine="640"/>
        <w:jc w:val="both"/>
      </w:pPr>
      <w:r>
        <w:rPr>
          <w:rFonts w:ascii="楷体_GB2312" w:hAnsi="楷体_GB2312" w:eastAsia="楷体_GB2312" w:cs="楷体_GB2312"/>
          <w:sz w:val="32"/>
        </w:rPr>
        <w:t>第三章　监督管理</w:t>
      </w:r>
    </w:p>
    <w:p>
      <w:pPr>
        <w:spacing w:line="560" w:lineRule="exact"/>
        <w:ind w:firstLine="640"/>
        <w:jc w:val="both"/>
      </w:pPr>
      <w:r>
        <w:rPr>
          <w:rFonts w:ascii="楷体_GB2312" w:hAnsi="楷体_GB2312" w:eastAsia="楷体_GB2312" w:cs="楷体_GB2312"/>
          <w:sz w:val="32"/>
        </w:rPr>
        <w:t>第四章　法律责任</w:t>
      </w:r>
    </w:p>
    <w:p>
      <w:pPr>
        <w:spacing w:line="560" w:lineRule="exact"/>
        <w:ind w:firstLine="640"/>
        <w:jc w:val="both"/>
      </w:pPr>
      <w:r>
        <w:rPr>
          <w:rFonts w:ascii="楷体_GB2312" w:hAnsi="楷体_GB2312" w:eastAsia="楷体_GB2312" w:cs="楷体_GB2312"/>
          <w:sz w:val="32"/>
        </w:rPr>
        <w:t>第五章　附　　则</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第一章　总　　则</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为了维护国家安全和利益，履行防扩散等国际义务，加强和规范出口管制，制定本法。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国家对两用物项、军品、核以及其他与维护国家安全和利益、履行防扩散等国际义务相关的货物、技术、服务等物项（以下统称管制物项）的出口管制，适用本法。</w:t>
      </w:r>
    </w:p>
    <w:p>
      <w:pPr>
        <w:spacing w:line="560" w:lineRule="exact"/>
        <w:ind w:firstLine="640"/>
        <w:jc w:val="both"/>
      </w:pPr>
      <w:r>
        <w:rPr>
          <w:rFonts w:ascii="仿宋_GB2312" w:hAnsi="仿宋_GB2312" w:eastAsia="仿宋_GB2312" w:cs="仿宋_GB2312"/>
          <w:sz w:val="32"/>
        </w:rPr>
        <w:t>前款所称管制物项，包括物项相关的技术资料等数据。</w:t>
      </w:r>
    </w:p>
    <w:p>
      <w:pPr>
        <w:spacing w:line="560" w:lineRule="exact"/>
        <w:ind w:firstLine="640"/>
        <w:jc w:val="both"/>
      </w:pPr>
      <w:r>
        <w:rPr>
          <w:rFonts w:ascii="仿宋_GB2312" w:hAnsi="仿宋_GB2312" w:eastAsia="仿宋_GB2312" w:cs="仿宋_GB2312"/>
          <w:sz w:val="32"/>
        </w:rPr>
        <w:t>本法所称出口管制，是指国家对从中华人民共和国境内向境外转移管制物项，以及中华人民共和国公民、法人和非法人组织向外国组织和个人提供管制物项，采取禁止或者限制性措施。</w:t>
      </w:r>
    </w:p>
    <w:p>
      <w:pPr>
        <w:spacing w:line="560" w:lineRule="exact"/>
        <w:ind w:firstLine="640"/>
        <w:jc w:val="both"/>
      </w:pPr>
      <w:r>
        <w:rPr>
          <w:rFonts w:ascii="仿宋_GB2312" w:hAnsi="仿宋_GB2312" w:eastAsia="仿宋_GB2312" w:cs="仿宋_GB2312"/>
          <w:sz w:val="32"/>
        </w:rPr>
        <w:t>本法所称两用物项，是指既有民事用途，又有军事用途或者有助于提升军事潜力，特别是可以用于设计、开发、生产或者使用大规模杀伤性武器及其运载工具的货物、技术和服务。</w:t>
      </w:r>
    </w:p>
    <w:p>
      <w:pPr>
        <w:spacing w:line="560" w:lineRule="exact"/>
        <w:ind w:firstLine="640"/>
        <w:jc w:val="both"/>
      </w:pPr>
      <w:r>
        <w:rPr>
          <w:rFonts w:ascii="仿宋_GB2312" w:hAnsi="仿宋_GB2312" w:eastAsia="仿宋_GB2312" w:cs="仿宋_GB2312"/>
          <w:sz w:val="32"/>
        </w:rPr>
        <w:t>本法所称军品，是指用于军事目的的装备、专用生产设备以及其他相关货物、技术和服务。</w:t>
      </w:r>
    </w:p>
    <w:p>
      <w:pPr>
        <w:spacing w:line="560" w:lineRule="exact"/>
        <w:ind w:firstLine="640"/>
        <w:jc w:val="both"/>
      </w:pPr>
      <w:r>
        <w:rPr>
          <w:rFonts w:ascii="仿宋_GB2312" w:hAnsi="仿宋_GB2312" w:eastAsia="仿宋_GB2312" w:cs="仿宋_GB2312"/>
          <w:sz w:val="32"/>
        </w:rPr>
        <w:t>本法所称核，是指核材料、核设备、反应堆用非核材料以及相关技术和服务。</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出口管制工作应当坚持总体国家安全观，维护国际和平，统筹安全和发展，完善出口管制管理和服务。</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国家实行统一的出口管制制度，通过制定管制清单、名录或者目录（以下统称管制清单）、实施出口许可等方式进行管理。</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国务院、中央军事委员会承担出口管制职能的部门（以下统称国家出口管制管理部门）按照职责分工负责出口管制工作。国务院、中央军事委员会其他有关部门按照职责分工负责出口管制有关工作。</w:t>
      </w:r>
    </w:p>
    <w:p>
      <w:pPr>
        <w:spacing w:line="560" w:lineRule="exact"/>
        <w:ind w:firstLine="640"/>
        <w:jc w:val="both"/>
      </w:pPr>
      <w:r>
        <w:rPr>
          <w:rFonts w:ascii="仿宋_GB2312" w:hAnsi="仿宋_GB2312" w:eastAsia="仿宋_GB2312" w:cs="仿宋_GB2312"/>
          <w:sz w:val="32"/>
        </w:rPr>
        <w:t>国家建立出口管制工作协调机制，统筹协调出口管制工作重大事项。国家出口管制管理部门和国务院有关部门应当密切配合，加强信息共享。</w:t>
      </w:r>
    </w:p>
    <w:p>
      <w:pPr>
        <w:spacing w:line="560" w:lineRule="exact"/>
        <w:ind w:firstLine="640"/>
        <w:jc w:val="both"/>
      </w:pPr>
      <w:r>
        <w:rPr>
          <w:rFonts w:ascii="仿宋_GB2312" w:hAnsi="仿宋_GB2312" w:eastAsia="仿宋_GB2312" w:cs="仿宋_GB2312"/>
          <w:sz w:val="32"/>
        </w:rPr>
        <w:t>国家出口管制管理部门会同有关部门建立出口管制专家咨询机制，为出口管制工作提供咨询意见。</w:t>
      </w:r>
    </w:p>
    <w:p>
      <w:pPr>
        <w:spacing w:line="560" w:lineRule="exact"/>
        <w:ind w:firstLine="640"/>
        <w:jc w:val="both"/>
      </w:pPr>
      <w:r>
        <w:rPr>
          <w:rFonts w:ascii="仿宋_GB2312" w:hAnsi="仿宋_GB2312" w:eastAsia="仿宋_GB2312" w:cs="仿宋_GB2312"/>
          <w:sz w:val="32"/>
        </w:rPr>
        <w:t>国家出口管制管理部门适时发布有关行业出口管制指南，引导出口经营者建立健全出口管制内部合规制度，规范经营。</w:t>
      </w:r>
    </w:p>
    <w:p>
      <w:pPr>
        <w:spacing w:line="560" w:lineRule="exact"/>
        <w:ind w:firstLine="640"/>
        <w:jc w:val="both"/>
      </w:pPr>
      <w:r>
        <w:rPr>
          <w:rFonts w:ascii="仿宋_GB2312" w:hAnsi="仿宋_GB2312" w:eastAsia="仿宋_GB2312" w:cs="仿宋_GB2312"/>
          <w:sz w:val="32"/>
        </w:rPr>
        <w:t>省、自治区、直辖市人民政府有关部门依照法律、行政法规的规定负责出口管制有关工作。</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国家加强出口管制国际合作，参与出口管制有关国际规则的制定。</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出口经营者可以依法成立和参加有关的商会、协会等行业自律组织。</w:t>
      </w:r>
    </w:p>
    <w:p>
      <w:pPr>
        <w:spacing w:line="560" w:lineRule="exact"/>
        <w:ind w:firstLine="640"/>
        <w:jc w:val="both"/>
      </w:pPr>
      <w:r>
        <w:rPr>
          <w:rFonts w:ascii="仿宋_GB2312" w:hAnsi="仿宋_GB2312" w:eastAsia="仿宋_GB2312" w:cs="仿宋_GB2312"/>
          <w:sz w:val="32"/>
        </w:rPr>
        <w:t>有关商会、协会等行业自律组织应当遵守法律、行政法规，按照章程对其成员提供与出口管制有关的服务，发挥协调和自律作用。</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第二章　管制政策、管制清单和管制措施</w:t>
      </w:r>
    </w:p>
    <w:p>
      <w:pPr>
        <w:spacing w:line="560" w:lineRule="exact"/>
        <w:ind w:firstLine="0"/>
        <w:jc w:val="center"/>
        <w:rPr>
          <w:rFonts w:hint="eastAsia" w:ascii="宋体" w:hAnsi="宋体" w:eastAsia="宋体" w:cs="宋体"/>
          <w:sz w:val="32"/>
          <w:lang w:eastAsia="zh-CN"/>
        </w:rPr>
      </w:pPr>
    </w:p>
    <w:p>
      <w:pPr>
        <w:spacing w:line="560" w:lineRule="exact"/>
        <w:ind w:firstLine="0"/>
        <w:jc w:val="center"/>
      </w:pPr>
      <w:r>
        <w:rPr>
          <w:rFonts w:ascii="宋体" w:hAnsi="宋体" w:eastAsia="宋体" w:cs="宋体"/>
          <w:sz w:val="32"/>
        </w:rPr>
        <w:t>第一节　一般规定</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国家出口管制管理部门会同有关部门制定出口管制政策，其中重大政策应当报国务院批准，或者报国务院、中央军事委员会批准。</w:t>
      </w:r>
    </w:p>
    <w:p>
      <w:pPr>
        <w:spacing w:line="560" w:lineRule="exact"/>
        <w:ind w:firstLine="640"/>
        <w:jc w:val="both"/>
      </w:pPr>
      <w:r>
        <w:rPr>
          <w:rFonts w:ascii="仿宋_GB2312" w:hAnsi="仿宋_GB2312" w:eastAsia="仿宋_GB2312" w:cs="仿宋_GB2312"/>
          <w:sz w:val="32"/>
        </w:rPr>
        <w:t>国家出口管制管理部门可以对管制物项出口目的国家和地区进行评估，确定风险等级，采取相应的管制措施。</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国家出口管制管理部门依据本法和有关法律、行政法规的规定，根据出口管制政策，按照规定程序会同有关部门制定、调整管制物项出口管制清单，并及时公布。</w:t>
      </w:r>
    </w:p>
    <w:p>
      <w:pPr>
        <w:spacing w:line="560" w:lineRule="exact"/>
        <w:ind w:firstLine="640"/>
        <w:jc w:val="both"/>
      </w:pPr>
      <w:r>
        <w:rPr>
          <w:rFonts w:ascii="仿宋_GB2312" w:hAnsi="仿宋_GB2312" w:eastAsia="仿宋_GB2312" w:cs="仿宋_GB2312"/>
          <w:sz w:val="32"/>
        </w:rPr>
        <w:t>根据维护国家安全和利益、履行防扩散等国际义务的需要，经国务院批准，或者经国务院、中央军事委员会批准，国家出口管制管理部门可以对出口管制清单以外的货物、技术和服务实施临时管制，并予以公告。临时管制的实施期限不超过二年。临时管制实施期限届满前应当及时进行评估，根据评估结果决定取消临时管制、延长临时管制或者将临时管制物项列入出口管制清单。</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根据维护国家安全和利益、履行防扩散等国际义务的需要，经国务院批准，或者经国务院、中央军事委员会批准，国家出口管制管理部门会同有关部门可以禁止相关管制物项的出口，或者禁止相关管制物项向特定目的国家和地区、特定组织和个人出口。</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出口经营者从事管制物项出口，应当遵守本法和有关法律、行政法规的规定；依法需要取得相关管制物项出口经营资格的，应当取得相应的资格。</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国家对管制物项的出口实行许可制度。</w:t>
      </w:r>
    </w:p>
    <w:p>
      <w:pPr>
        <w:spacing w:line="560" w:lineRule="exact"/>
        <w:ind w:firstLine="640"/>
        <w:jc w:val="both"/>
      </w:pPr>
      <w:r>
        <w:rPr>
          <w:rFonts w:ascii="仿宋_GB2312" w:hAnsi="仿宋_GB2312" w:eastAsia="仿宋_GB2312" w:cs="仿宋_GB2312"/>
          <w:sz w:val="32"/>
        </w:rPr>
        <w:t>出口管制清单所列管制物项或者临时管制物项，出口经营者应当向国家出口管制管理部门申请许可。</w:t>
      </w:r>
    </w:p>
    <w:p>
      <w:pPr>
        <w:spacing w:line="560" w:lineRule="exact"/>
        <w:ind w:firstLine="640"/>
        <w:jc w:val="both"/>
      </w:pPr>
      <w:r>
        <w:rPr>
          <w:rFonts w:ascii="仿宋_GB2312" w:hAnsi="仿宋_GB2312" w:eastAsia="仿宋_GB2312" w:cs="仿宋_GB2312"/>
          <w:sz w:val="32"/>
        </w:rPr>
        <w:t>出口管制清单所列管制物项以及临时管制物项之外的货物、技术和服务，出口经营者知道或者应当知道，或者得到国家出口管制管理部门通知，相关货物、技术和服务可能存在以下风险的，应当向国家出口管制管理部门申请许可：</w:t>
      </w:r>
    </w:p>
    <w:p>
      <w:pPr>
        <w:spacing w:line="560" w:lineRule="exact"/>
        <w:ind w:firstLine="640"/>
        <w:jc w:val="both"/>
      </w:pPr>
      <w:r>
        <w:rPr>
          <w:rFonts w:ascii="仿宋_GB2312" w:hAnsi="仿宋_GB2312" w:eastAsia="仿宋_GB2312" w:cs="仿宋_GB2312"/>
          <w:sz w:val="32"/>
        </w:rPr>
        <w:t>（一）危害国家安全和利益；</w:t>
      </w:r>
    </w:p>
    <w:p>
      <w:pPr>
        <w:spacing w:line="560" w:lineRule="exact"/>
        <w:ind w:firstLine="640"/>
        <w:jc w:val="both"/>
      </w:pPr>
      <w:r>
        <w:rPr>
          <w:rFonts w:ascii="仿宋_GB2312" w:hAnsi="仿宋_GB2312" w:eastAsia="仿宋_GB2312" w:cs="仿宋_GB2312"/>
          <w:sz w:val="32"/>
        </w:rPr>
        <w:t>（二）被用于设计、开发、生产或者使用大规模杀伤性武器及其运载工具；</w:t>
      </w:r>
    </w:p>
    <w:p>
      <w:pPr>
        <w:spacing w:line="560" w:lineRule="exact"/>
        <w:ind w:firstLine="640"/>
        <w:jc w:val="both"/>
      </w:pPr>
      <w:r>
        <w:rPr>
          <w:rFonts w:ascii="仿宋_GB2312" w:hAnsi="仿宋_GB2312" w:eastAsia="仿宋_GB2312" w:cs="仿宋_GB2312"/>
          <w:sz w:val="32"/>
        </w:rPr>
        <w:t>（三）被用于恐怖主义目的。</w:t>
      </w:r>
    </w:p>
    <w:p>
      <w:pPr>
        <w:spacing w:line="560" w:lineRule="exact"/>
        <w:ind w:firstLine="640"/>
        <w:jc w:val="both"/>
      </w:pPr>
      <w:r>
        <w:rPr>
          <w:rFonts w:ascii="仿宋_GB2312" w:hAnsi="仿宋_GB2312" w:eastAsia="仿宋_GB2312" w:cs="仿宋_GB2312"/>
          <w:sz w:val="32"/>
        </w:rPr>
        <w:t>出口经营者无法确定拟出口的货物、技术和服务是否属于本法规定的管制物项，向国家出口管制管理部门提出咨询的，国家出口管制管理部门应当及时答复。</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国家出口管制管理部门综合考虑下列因素，对出口经营者出口管制物项的申请进行审查，作出准予或者不予许可的决定：</w:t>
      </w:r>
    </w:p>
    <w:p>
      <w:pPr>
        <w:spacing w:line="560" w:lineRule="exact"/>
        <w:ind w:firstLine="640"/>
        <w:jc w:val="both"/>
      </w:pPr>
      <w:r>
        <w:rPr>
          <w:rFonts w:ascii="仿宋_GB2312" w:hAnsi="仿宋_GB2312" w:eastAsia="仿宋_GB2312" w:cs="仿宋_GB2312"/>
          <w:sz w:val="32"/>
        </w:rPr>
        <w:t>（一）国家安全和利益；</w:t>
      </w:r>
    </w:p>
    <w:p>
      <w:pPr>
        <w:spacing w:line="560" w:lineRule="exact"/>
        <w:ind w:firstLine="640"/>
        <w:jc w:val="both"/>
      </w:pPr>
      <w:r>
        <w:rPr>
          <w:rFonts w:ascii="仿宋_GB2312" w:hAnsi="仿宋_GB2312" w:eastAsia="仿宋_GB2312" w:cs="仿宋_GB2312"/>
          <w:sz w:val="32"/>
        </w:rPr>
        <w:t>（二）国际义务和对外承诺；</w:t>
      </w:r>
    </w:p>
    <w:p>
      <w:pPr>
        <w:spacing w:line="560" w:lineRule="exact"/>
        <w:ind w:firstLine="640"/>
        <w:jc w:val="both"/>
      </w:pPr>
      <w:r>
        <w:rPr>
          <w:rFonts w:ascii="仿宋_GB2312" w:hAnsi="仿宋_GB2312" w:eastAsia="仿宋_GB2312" w:cs="仿宋_GB2312"/>
          <w:sz w:val="32"/>
        </w:rPr>
        <w:t>（三）出口类型；</w:t>
      </w:r>
    </w:p>
    <w:p>
      <w:pPr>
        <w:spacing w:line="560" w:lineRule="exact"/>
        <w:ind w:firstLine="640"/>
        <w:jc w:val="both"/>
      </w:pPr>
      <w:r>
        <w:rPr>
          <w:rFonts w:ascii="仿宋_GB2312" w:hAnsi="仿宋_GB2312" w:eastAsia="仿宋_GB2312" w:cs="仿宋_GB2312"/>
          <w:sz w:val="32"/>
        </w:rPr>
        <w:t>（四）管制物项敏感程度；</w:t>
      </w:r>
    </w:p>
    <w:p>
      <w:pPr>
        <w:spacing w:line="560" w:lineRule="exact"/>
        <w:ind w:firstLine="640"/>
        <w:jc w:val="both"/>
      </w:pPr>
      <w:r>
        <w:rPr>
          <w:rFonts w:ascii="仿宋_GB2312" w:hAnsi="仿宋_GB2312" w:eastAsia="仿宋_GB2312" w:cs="仿宋_GB2312"/>
          <w:sz w:val="32"/>
        </w:rPr>
        <w:t>（五）出口目的国家或者地区；</w:t>
      </w:r>
    </w:p>
    <w:p>
      <w:pPr>
        <w:spacing w:line="560" w:lineRule="exact"/>
        <w:ind w:firstLine="640"/>
        <w:jc w:val="both"/>
      </w:pPr>
      <w:r>
        <w:rPr>
          <w:rFonts w:ascii="仿宋_GB2312" w:hAnsi="仿宋_GB2312" w:eastAsia="仿宋_GB2312" w:cs="仿宋_GB2312"/>
          <w:sz w:val="32"/>
        </w:rPr>
        <w:t>（六）最终用户和最终用途；</w:t>
      </w:r>
    </w:p>
    <w:p>
      <w:pPr>
        <w:spacing w:line="560" w:lineRule="exact"/>
        <w:ind w:firstLine="640"/>
        <w:jc w:val="both"/>
      </w:pPr>
      <w:r>
        <w:rPr>
          <w:rFonts w:ascii="仿宋_GB2312" w:hAnsi="仿宋_GB2312" w:eastAsia="仿宋_GB2312" w:cs="仿宋_GB2312"/>
          <w:sz w:val="32"/>
        </w:rPr>
        <w:t>（七）出口经营者的相关信用记录；</w:t>
      </w:r>
    </w:p>
    <w:p>
      <w:pPr>
        <w:spacing w:line="560" w:lineRule="exact"/>
        <w:ind w:firstLine="640"/>
        <w:jc w:val="both"/>
      </w:pPr>
      <w:r>
        <w:rPr>
          <w:rFonts w:ascii="仿宋_GB2312" w:hAnsi="仿宋_GB2312" w:eastAsia="仿宋_GB2312" w:cs="仿宋_GB2312"/>
          <w:sz w:val="32"/>
        </w:rPr>
        <w:t>（八）法律、行政法规规定的其他因素。</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出口经营者建立出口管制内部合规制度，且运行情况良好的，国家出口管制管理部门可以对其出口有关管制物项给予通用许可等便利措施。具体办法由国家出口管制管理部门规定。</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出口经营者应当向国家出口管制管理部门提交管制物项的最终用户和最终用途证明文件，有关证明文件由最终用户或者最终用户所在国家和地区政府机构出具。</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管制物项的最终用户应当承诺，未经国家出口管制管理部门允许，不得擅自改变相关管制物项的最终用途或者向任何第三方转让。</w:t>
      </w:r>
    </w:p>
    <w:p>
      <w:pPr>
        <w:spacing w:line="560" w:lineRule="exact"/>
        <w:ind w:firstLine="640"/>
        <w:jc w:val="both"/>
      </w:pPr>
      <w:r>
        <w:rPr>
          <w:rFonts w:ascii="仿宋_GB2312" w:hAnsi="仿宋_GB2312" w:eastAsia="仿宋_GB2312" w:cs="仿宋_GB2312"/>
          <w:sz w:val="32"/>
        </w:rPr>
        <w:t>出口经营者、进口商发现最终用户或者最终用途有可能改变的，应当按照规定立即报告国家出口管制管理部门。</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国家出口管制管理部门建立管制物项最终用户和最终用途风险管理制度，对管制物项的最终用户和最终用途进行评估、核查，加强最终用户和最终用途管理。</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国家出口管制管理部门对有下列情形之一的进口商和最终用户，建立管控名单：</w:t>
      </w:r>
    </w:p>
    <w:p>
      <w:pPr>
        <w:spacing w:line="560" w:lineRule="exact"/>
        <w:ind w:firstLine="640"/>
        <w:jc w:val="both"/>
      </w:pPr>
      <w:r>
        <w:rPr>
          <w:rFonts w:ascii="仿宋_GB2312" w:hAnsi="仿宋_GB2312" w:eastAsia="仿宋_GB2312" w:cs="仿宋_GB2312"/>
          <w:sz w:val="32"/>
        </w:rPr>
        <w:t>（一）违反最终用户或者最终用途管理要求的；</w:t>
      </w:r>
    </w:p>
    <w:p>
      <w:pPr>
        <w:spacing w:line="560" w:lineRule="exact"/>
        <w:ind w:firstLine="640"/>
        <w:jc w:val="both"/>
      </w:pPr>
      <w:r>
        <w:rPr>
          <w:rFonts w:ascii="仿宋_GB2312" w:hAnsi="仿宋_GB2312" w:eastAsia="仿宋_GB2312" w:cs="仿宋_GB2312"/>
          <w:sz w:val="32"/>
        </w:rPr>
        <w:t>（二）可能危害国家安全和利益的；</w:t>
      </w:r>
    </w:p>
    <w:p>
      <w:pPr>
        <w:spacing w:line="560" w:lineRule="exact"/>
        <w:ind w:firstLine="640"/>
        <w:jc w:val="both"/>
      </w:pPr>
      <w:r>
        <w:rPr>
          <w:rFonts w:ascii="仿宋_GB2312" w:hAnsi="仿宋_GB2312" w:eastAsia="仿宋_GB2312" w:cs="仿宋_GB2312"/>
          <w:sz w:val="32"/>
        </w:rPr>
        <w:t>（三）将管制物项用于恐怖主义目的的。</w:t>
      </w:r>
    </w:p>
    <w:p>
      <w:pPr>
        <w:spacing w:line="560" w:lineRule="exact"/>
        <w:ind w:firstLine="640"/>
        <w:jc w:val="both"/>
      </w:pPr>
      <w:r>
        <w:rPr>
          <w:rFonts w:ascii="仿宋_GB2312" w:hAnsi="仿宋_GB2312" w:eastAsia="仿宋_GB2312" w:cs="仿宋_GB2312"/>
          <w:sz w:val="32"/>
        </w:rPr>
        <w:t>对列入管控名单的进口商和最终用户，国家出口管制管理部门可以采取禁止、限制有关管制物项交易，责令中止有关管制物项出口等必要的措施。</w:t>
      </w:r>
    </w:p>
    <w:p>
      <w:pPr>
        <w:spacing w:line="560" w:lineRule="exact"/>
        <w:ind w:firstLine="640"/>
        <w:jc w:val="both"/>
      </w:pPr>
      <w:r>
        <w:rPr>
          <w:rFonts w:ascii="仿宋_GB2312" w:hAnsi="仿宋_GB2312" w:eastAsia="仿宋_GB2312" w:cs="仿宋_GB2312"/>
          <w:sz w:val="32"/>
        </w:rPr>
        <w:t>出口经营者不得违反规定与列入管控名单的进口商、最终用户进行交易。出口经营者在特殊情况下确需与列入管控名单的进口商、最终用户进行交易的，可以向国家出口管制管理部门提出申请。</w:t>
      </w:r>
    </w:p>
    <w:p>
      <w:pPr>
        <w:spacing w:line="560" w:lineRule="exact"/>
        <w:ind w:firstLine="640"/>
        <w:jc w:val="both"/>
      </w:pPr>
      <w:r>
        <w:rPr>
          <w:rFonts w:ascii="仿宋_GB2312" w:hAnsi="仿宋_GB2312" w:eastAsia="仿宋_GB2312" w:cs="仿宋_GB2312"/>
          <w:sz w:val="32"/>
        </w:rPr>
        <w:t>列入管控名单的进口商、最终用户经采取措施，不再有第一款规定情形的，可以向国家出口管制管理部门申请移出管控名单；国家出口管制管理部门可以根据实际情况，决定将列入管控名单的进口商、最终用户移出管控名单。</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出口货物的发货人或者代理报关企业出口管制货物时，应当向海关交验由国家出口管制管理部门颁发的许可证件，并按照国家有关规定办理报关手续。</w:t>
      </w:r>
    </w:p>
    <w:p>
      <w:pPr>
        <w:spacing w:line="560" w:lineRule="exact"/>
        <w:ind w:firstLine="640"/>
        <w:jc w:val="both"/>
      </w:pPr>
      <w:r>
        <w:rPr>
          <w:rFonts w:ascii="仿宋_GB2312" w:hAnsi="仿宋_GB2312" w:eastAsia="仿宋_GB2312" w:cs="仿宋_GB2312"/>
          <w:sz w:val="32"/>
        </w:rPr>
        <w:t>出口货物的发货人未向海关交验由国家出口管制管理部门颁发的许可证件，海关有证据表明出口货物可能属于出口管制范围的，应当向出口货物发货人提出质疑；海关可以向国家出口管制管理部门提出组织鉴别，并根据国家出口管制管理部门作出的鉴别结论依法处置。在鉴别或者质疑期间，海关对出口货物不予放行。</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任何组织和个人不得为出口经营者从事出口管制违法行为提供代理、货运、寄递、报关、第三方电子商务交易平台和金融等服务。</w:t>
      </w:r>
    </w:p>
    <w:p>
      <w:pPr>
        <w:spacing w:line="560" w:lineRule="exact"/>
        <w:ind w:firstLine="0"/>
        <w:jc w:val="center"/>
        <w:rPr>
          <w:rFonts w:hint="eastAsia" w:ascii="宋体" w:hAnsi="宋体" w:eastAsia="宋体" w:cs="宋体"/>
          <w:sz w:val="32"/>
          <w:lang w:eastAsia="zh-CN"/>
        </w:rPr>
      </w:pPr>
    </w:p>
    <w:p>
      <w:pPr>
        <w:spacing w:line="560" w:lineRule="exact"/>
        <w:ind w:firstLine="0"/>
        <w:jc w:val="center"/>
      </w:pPr>
      <w:r>
        <w:rPr>
          <w:rFonts w:ascii="宋体" w:hAnsi="宋体" w:eastAsia="宋体" w:cs="宋体"/>
          <w:sz w:val="32"/>
        </w:rPr>
        <w:t>第二节　两用物项出口管理</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出口经营者向国家两用物项出口管制管理部门申请出口两用物项时，应当依照法律、行政法规的规定如实提交相关材料。</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国家两用物项出口管制管理部门受理两用物项出口申请，单独或者会同有关部门依照本法和有关法律、行政法规的规定对两用物项出口申请进行审查，并在法定期限内作出准予或者不予许可的决定。作出准予许可决定的，由发证机关统一颁发出口许可证。</w:t>
      </w:r>
    </w:p>
    <w:p>
      <w:pPr>
        <w:spacing w:line="560" w:lineRule="exact"/>
        <w:ind w:firstLine="0"/>
        <w:jc w:val="center"/>
        <w:rPr>
          <w:rFonts w:hint="eastAsia" w:ascii="宋体" w:hAnsi="宋体" w:eastAsia="宋体" w:cs="宋体"/>
          <w:sz w:val="32"/>
          <w:lang w:eastAsia="zh-CN"/>
        </w:rPr>
      </w:pPr>
    </w:p>
    <w:p>
      <w:pPr>
        <w:spacing w:line="560" w:lineRule="exact"/>
        <w:ind w:firstLine="0"/>
        <w:jc w:val="center"/>
      </w:pPr>
      <w:r>
        <w:rPr>
          <w:rFonts w:ascii="宋体" w:hAnsi="宋体" w:eastAsia="宋体" w:cs="宋体"/>
          <w:sz w:val="32"/>
        </w:rPr>
        <w:t>第三节　军品出口管理</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国家实行军品出口专营制度。从事军品出口的经营者，应当获得军品出口专营资格并在核定的经营范围内从事军品出口经营活动。</w:t>
      </w:r>
    </w:p>
    <w:p>
      <w:pPr>
        <w:spacing w:line="560" w:lineRule="exact"/>
        <w:ind w:firstLine="640"/>
        <w:jc w:val="both"/>
      </w:pPr>
      <w:r>
        <w:rPr>
          <w:rFonts w:ascii="仿宋_GB2312" w:hAnsi="仿宋_GB2312" w:eastAsia="仿宋_GB2312" w:cs="仿宋_GB2312"/>
          <w:sz w:val="32"/>
        </w:rPr>
        <w:t>军品出口专营资格由国家军品出口管制管理部门审查批准。</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军品出口经营者应当根据管制政策和产品属性，向国家军品出口管制管理部门申请办理军品出口立项、军品出口项目、军品出口合同审查批准手续。</w:t>
      </w:r>
    </w:p>
    <w:p>
      <w:pPr>
        <w:spacing w:line="560" w:lineRule="exact"/>
        <w:ind w:firstLine="640"/>
        <w:jc w:val="both"/>
      </w:pPr>
      <w:r>
        <w:rPr>
          <w:rFonts w:ascii="仿宋_GB2312" w:hAnsi="仿宋_GB2312" w:eastAsia="仿宋_GB2312" w:cs="仿宋_GB2312"/>
          <w:sz w:val="32"/>
        </w:rPr>
        <w:t>重大军品出口立项、重大军品出口项目、重大军品出口合同，应当经国家军品出口管制管理部门会同有关部门审查，报国务院、中央军事委员会批准。</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军品出口经营者在出口军品前，应当向国家军品出口管制管理部门申请领取军品出口许可证。</w:t>
      </w:r>
    </w:p>
    <w:p>
      <w:pPr>
        <w:spacing w:line="560" w:lineRule="exact"/>
        <w:ind w:firstLine="640"/>
        <w:jc w:val="both"/>
      </w:pPr>
      <w:r>
        <w:rPr>
          <w:rFonts w:ascii="仿宋_GB2312" w:hAnsi="仿宋_GB2312" w:eastAsia="仿宋_GB2312" w:cs="仿宋_GB2312"/>
          <w:sz w:val="32"/>
        </w:rPr>
        <w:t>军品出口经营者出口军品时，应当向海关交验由国家军品出口管制管理部门颁发的许可证件，并按照国家有关规定办理报关手续。</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军品出口经营者应当委托经批准的军品出口运输企业办理军品出口运输及相关业务。具体办法由国家军品出口管制管理部门会同有关部门规定。</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军品出口经营者或者科研生产单位参加国际性军品展览，应当按照程序向国家军品出口管制管理部门办理审批手续。</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第三章　监督管理</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国家出口管制管理部门依法对管制物项出口活动进行监督检查。</w:t>
      </w:r>
    </w:p>
    <w:p>
      <w:pPr>
        <w:spacing w:line="560" w:lineRule="exact"/>
        <w:ind w:firstLine="640"/>
        <w:jc w:val="both"/>
      </w:pPr>
      <w:r>
        <w:rPr>
          <w:rFonts w:ascii="仿宋_GB2312" w:hAnsi="仿宋_GB2312" w:eastAsia="仿宋_GB2312" w:cs="仿宋_GB2312"/>
          <w:sz w:val="32"/>
        </w:rPr>
        <w:t>国家出口管制管理部门对涉嫌违反本法规定的行为进行调查，可以采取下列措施：</w:t>
      </w:r>
    </w:p>
    <w:p>
      <w:pPr>
        <w:spacing w:line="560" w:lineRule="exact"/>
        <w:ind w:firstLine="640"/>
        <w:jc w:val="both"/>
      </w:pPr>
      <w:r>
        <w:rPr>
          <w:rFonts w:ascii="仿宋_GB2312" w:hAnsi="仿宋_GB2312" w:eastAsia="仿宋_GB2312" w:cs="仿宋_GB2312"/>
          <w:sz w:val="32"/>
        </w:rPr>
        <w:t>（一）进入被调查者营业场所或者其他有关场所进行检查；</w:t>
      </w:r>
    </w:p>
    <w:p>
      <w:pPr>
        <w:spacing w:line="560" w:lineRule="exact"/>
        <w:ind w:firstLine="640"/>
        <w:jc w:val="both"/>
      </w:pPr>
      <w:r>
        <w:rPr>
          <w:rFonts w:ascii="仿宋_GB2312" w:hAnsi="仿宋_GB2312" w:eastAsia="仿宋_GB2312" w:cs="仿宋_GB2312"/>
          <w:sz w:val="32"/>
        </w:rPr>
        <w:t>（二）询问被调查者、利害关系人以及其他有关组织或者个人，要求其对与被调查事件有关的事项作出说明；</w:t>
      </w:r>
    </w:p>
    <w:p>
      <w:pPr>
        <w:spacing w:line="560" w:lineRule="exact"/>
        <w:ind w:firstLine="640"/>
        <w:jc w:val="both"/>
      </w:pPr>
      <w:r>
        <w:rPr>
          <w:rFonts w:ascii="仿宋_GB2312" w:hAnsi="仿宋_GB2312" w:eastAsia="仿宋_GB2312" w:cs="仿宋_GB2312"/>
          <w:sz w:val="32"/>
        </w:rPr>
        <w:t>（三）查阅、复制被调查者、利害关系人以及其他有关组织或者个人的有关单证、协议、会计账簿、业务函电等文件、资料；</w:t>
      </w:r>
    </w:p>
    <w:p>
      <w:pPr>
        <w:spacing w:line="560" w:lineRule="exact"/>
        <w:ind w:firstLine="640"/>
        <w:jc w:val="both"/>
      </w:pPr>
      <w:r>
        <w:rPr>
          <w:rFonts w:ascii="仿宋_GB2312" w:hAnsi="仿宋_GB2312" w:eastAsia="仿宋_GB2312" w:cs="仿宋_GB2312"/>
          <w:sz w:val="32"/>
        </w:rPr>
        <w:t>（四）检查用于出口的运输工具，制止装载可疑的出口物项，责令运回非法出口的物项；</w:t>
      </w:r>
    </w:p>
    <w:p>
      <w:pPr>
        <w:spacing w:line="560" w:lineRule="exact"/>
        <w:ind w:firstLine="640"/>
        <w:jc w:val="both"/>
      </w:pPr>
      <w:r>
        <w:rPr>
          <w:rFonts w:ascii="仿宋_GB2312" w:hAnsi="仿宋_GB2312" w:eastAsia="仿宋_GB2312" w:cs="仿宋_GB2312"/>
          <w:sz w:val="32"/>
        </w:rPr>
        <w:t>（五）查封、扣押相关涉案物项；</w:t>
      </w:r>
    </w:p>
    <w:p>
      <w:pPr>
        <w:spacing w:line="560" w:lineRule="exact"/>
        <w:ind w:firstLine="640"/>
        <w:jc w:val="both"/>
      </w:pPr>
      <w:r>
        <w:rPr>
          <w:rFonts w:ascii="仿宋_GB2312" w:hAnsi="仿宋_GB2312" w:eastAsia="仿宋_GB2312" w:cs="仿宋_GB2312"/>
          <w:sz w:val="32"/>
        </w:rPr>
        <w:t>（六）查询被调查者的银行账户。</w:t>
      </w:r>
    </w:p>
    <w:p>
      <w:pPr>
        <w:spacing w:line="560" w:lineRule="exact"/>
        <w:ind w:firstLine="640"/>
        <w:jc w:val="both"/>
      </w:pPr>
      <w:r>
        <w:rPr>
          <w:rFonts w:ascii="仿宋_GB2312" w:hAnsi="仿宋_GB2312" w:eastAsia="仿宋_GB2312" w:cs="仿宋_GB2312"/>
          <w:sz w:val="32"/>
        </w:rPr>
        <w:t>采取前款第五项、第六项措施，应当经国家出口管制管理部门负责人书面批准。</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国家出口管制管理部门依法履行职责，国务院有关部门、地方人民政府及其有关部门应当予以协助。</w:t>
      </w:r>
    </w:p>
    <w:p>
      <w:pPr>
        <w:spacing w:line="560" w:lineRule="exact"/>
        <w:ind w:firstLine="640"/>
        <w:jc w:val="both"/>
      </w:pPr>
      <w:r>
        <w:rPr>
          <w:rFonts w:ascii="仿宋_GB2312" w:hAnsi="仿宋_GB2312" w:eastAsia="仿宋_GB2312" w:cs="仿宋_GB2312"/>
          <w:sz w:val="32"/>
        </w:rPr>
        <w:t>国家出口管制管理部门单独或者会同有关部门依法开展监督检查和调查工作，有关组织和个人应当予以配合，不得拒绝、阻碍。</w:t>
      </w:r>
    </w:p>
    <w:p>
      <w:pPr>
        <w:spacing w:line="560" w:lineRule="exact"/>
        <w:ind w:firstLine="640"/>
        <w:jc w:val="both"/>
      </w:pPr>
      <w:r>
        <w:rPr>
          <w:rFonts w:ascii="仿宋_GB2312" w:hAnsi="仿宋_GB2312" w:eastAsia="仿宋_GB2312" w:cs="仿宋_GB2312"/>
          <w:sz w:val="32"/>
        </w:rPr>
        <w:t>有关国家机关及其工作人员对调查中知悉的国家秘密、商业秘密、个人隐私和个人信息依法负有保密义务。</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为加强管制物项出口管理，防范管制物项出口违法风险，国家出口管制管理部门可以采取监管谈话、出具警示函等措施。</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对涉嫌违反本法规定的行为，任何组织和个人有权向国家出口管制管理部门举报，国家出口管制管理部门接到举报后应当依法及时处理，并为举报人保密。</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国家出口管制管理部门根据缔结或者参加的国际条约，或者按照平等互惠原则，与其他国家或者地区、国际组织等开展出口管制合作与交流。</w:t>
      </w:r>
    </w:p>
    <w:p>
      <w:pPr>
        <w:spacing w:line="560" w:lineRule="exact"/>
        <w:ind w:firstLine="640"/>
        <w:jc w:val="both"/>
      </w:pPr>
      <w:r>
        <w:rPr>
          <w:rFonts w:ascii="仿宋_GB2312" w:hAnsi="仿宋_GB2312" w:eastAsia="仿宋_GB2312" w:cs="仿宋_GB2312"/>
          <w:sz w:val="32"/>
        </w:rPr>
        <w:t>中华人民共和国境内的组织和个人向境外提供出口管制相关信息，应当依法进行；可能危害国家安全和利益的，不得提供。</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第四章　法律责任</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出口经营者未取得相关管制物项的出口经营资格从事有关管制物项出口的，给予警告，责令停止违法行为，没收违法所得，违法经营额五十万元以上的，并处违法经营额五倍以上十倍以下罚款；没有违法经营额或者违法经营额不足五十万元的，并处五十万元以上五百万元以下罚款。</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出口经营者有下列行为之一的，责令停止违法行为，没收违法所得，违法经营额五十万元以上的，并处违法经营额五倍以上十倍以下罚款；没有违法经营额或者违法经营额不足五十万元的，并处五十万元以上五百万元以下罚款；情节严重的，责令停业整顿，直至吊销相关管制物项出口经营资格：</w:t>
      </w:r>
    </w:p>
    <w:p>
      <w:pPr>
        <w:spacing w:line="560" w:lineRule="exact"/>
        <w:ind w:firstLine="640"/>
        <w:jc w:val="both"/>
      </w:pPr>
      <w:r>
        <w:rPr>
          <w:rFonts w:ascii="仿宋_GB2312" w:hAnsi="仿宋_GB2312" w:eastAsia="仿宋_GB2312" w:cs="仿宋_GB2312"/>
          <w:sz w:val="32"/>
        </w:rPr>
        <w:t>（一）未经许可擅自出口管制物项；</w:t>
      </w:r>
    </w:p>
    <w:p>
      <w:pPr>
        <w:spacing w:line="560" w:lineRule="exact"/>
        <w:ind w:firstLine="640"/>
        <w:jc w:val="both"/>
      </w:pPr>
      <w:r>
        <w:rPr>
          <w:rFonts w:ascii="仿宋_GB2312" w:hAnsi="仿宋_GB2312" w:eastAsia="仿宋_GB2312" w:cs="仿宋_GB2312"/>
          <w:sz w:val="32"/>
        </w:rPr>
        <w:t>（二）超出出口许可证件规定的许可范围出口管制物项；</w:t>
      </w:r>
    </w:p>
    <w:p>
      <w:pPr>
        <w:spacing w:line="560" w:lineRule="exact"/>
        <w:ind w:firstLine="640"/>
        <w:jc w:val="both"/>
      </w:pPr>
      <w:r>
        <w:rPr>
          <w:rFonts w:ascii="仿宋_GB2312" w:hAnsi="仿宋_GB2312" w:eastAsia="仿宋_GB2312" w:cs="仿宋_GB2312"/>
          <w:sz w:val="32"/>
        </w:rPr>
        <w:t>（三）出口禁止出口的管制物项。</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以欺骗、贿赂等不正当手段获取管制物项出口许可证件，或者非法转让管制物项出口许可证件的，撤销许可，收缴出口许可证，没收违法所得，违法经营额二十万元以上的，并处违法经营额五倍以上十倍以下罚款；没有违法经营额或者违法经营额不足二十万元的，并处二十万元以上二百万元以下罚款。</w:t>
      </w:r>
    </w:p>
    <w:p>
      <w:pPr>
        <w:spacing w:line="560" w:lineRule="exact"/>
        <w:ind w:firstLine="640"/>
        <w:jc w:val="both"/>
      </w:pPr>
      <w:r>
        <w:rPr>
          <w:rFonts w:ascii="仿宋_GB2312" w:hAnsi="仿宋_GB2312" w:eastAsia="仿宋_GB2312" w:cs="仿宋_GB2312"/>
          <w:sz w:val="32"/>
        </w:rPr>
        <w:t>伪造、变造、买卖管制物项出口许可证件的，没收违法所得，违法经营额五万元以上的，并处违法经营额五倍以上十倍以下罚款；没有违法经营额或者违法经营额不足五万元的，并处五万元以上五十万元以下罚款。</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明知出口经营者从事出口管制违法行为仍为其提供代理、货运、寄递、报关、第三方电子商务交易平台和金融等服务的，给予警告，责令停止违法行为，没收违法所得，违法经营额十万元以上的，并处违法经营额三倍以上五倍以下罚款；没有违法经营额或者违法经营额不足十万元的，并处十万元以上五十万元以下罚款。</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出口经营者违反本法规定与列入管控名单的进口商、最终用户进行交易的，给予警告，责令停止违法行为，没收违法所得，违法经营额五十万元以上的，并处违法经营额十倍以上二十倍以下罚款；没有违法经营额或者违法经营额不足五十万元的，并处五十万元以上五百万元以下罚款；情节严重的，责令停业整顿，直至吊销相关管制物项出口经营资格。</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出口经营者拒绝、阻碍监督检查的，给予警告，并处十万元以上三十万元以下罚款；情节严重的，责令停业整顿，直至吊销相关管制物项出口经营资格。</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违反本法规定受到处罚的出口经营者，自处罚决定生效之日起，国家出口管制管理部门可以在五年内不受理其提出的出口许可申请；对其直接负责的主管人员和其他直接责任人员，可以禁止其在五年内从事有关出口经营活动，因出口管制违法行为受到刑事处罚的，终身不得从事有关出口经营活动。</w:t>
      </w:r>
    </w:p>
    <w:p>
      <w:pPr>
        <w:spacing w:line="560" w:lineRule="exact"/>
        <w:ind w:firstLine="640"/>
        <w:jc w:val="both"/>
      </w:pPr>
      <w:r>
        <w:rPr>
          <w:rFonts w:ascii="仿宋_GB2312" w:hAnsi="仿宋_GB2312" w:eastAsia="仿宋_GB2312" w:cs="仿宋_GB2312"/>
          <w:sz w:val="32"/>
        </w:rPr>
        <w:t>国家出口管制管理部门依法将出口经营者违反本法的情况纳入信用记录。</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本法规定的出口管制违法行为，由国家出口管制管理部门进行处罚；法律、行政法规规定由海关处罚的，由其依照本法进行处罚。</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有关组织或者个人对国家出口管制管理部门的不予许可决定不服的，可以依法申请行政复议。行政复议决定为最终裁决。</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从事出口管制管理的国家工作人员玩忽职守、徇私舞弊、滥用职权的，依法给予处分。</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违反本法有关出口管制管理规定，危害国家安全和利益的，除依照本法规定处罚外，还应当依照有关法律、行政法规的规定进行处理和处罚。</w:t>
      </w:r>
    </w:p>
    <w:p>
      <w:pPr>
        <w:spacing w:line="560" w:lineRule="exact"/>
        <w:ind w:firstLine="640"/>
        <w:jc w:val="both"/>
      </w:pPr>
      <w:r>
        <w:rPr>
          <w:rFonts w:ascii="仿宋_GB2312" w:hAnsi="仿宋_GB2312" w:eastAsia="仿宋_GB2312" w:cs="仿宋_GB2312"/>
          <w:sz w:val="32"/>
        </w:rPr>
        <w:t>违反本法规定，出口国家禁止出口的管制物项或者未经许可出口管制物项的，依法追究刑事责任。</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中华人民共和国境外的组织和个人，违反本法有关出口管制管理规定，危害中华人民共和国国家安全和利益，妨碍履行防扩散等国际义务的，依法处理并追究其法律责任。</w:t>
      </w:r>
    </w:p>
    <w:p>
      <w:pPr>
        <w:spacing w:line="560" w:lineRule="exact"/>
        <w:ind w:firstLine="0"/>
        <w:jc w:val="center"/>
        <w:rPr>
          <w:rFonts w:hint="eastAsia" w:ascii="黑体" w:hAnsi="黑体" w:eastAsia="黑体" w:cs="黑体"/>
          <w:sz w:val="32"/>
          <w:lang w:eastAsia="zh-CN"/>
        </w:rPr>
      </w:pPr>
    </w:p>
    <w:p>
      <w:pPr>
        <w:spacing w:line="560" w:lineRule="exact"/>
        <w:ind w:firstLine="0"/>
        <w:jc w:val="center"/>
      </w:pPr>
      <w:r>
        <w:rPr>
          <w:rFonts w:ascii="黑体" w:hAnsi="黑体" w:eastAsia="黑体" w:cs="黑体"/>
          <w:sz w:val="32"/>
        </w:rPr>
        <w:t>第五章　附　　则</w:t>
      </w:r>
    </w:p>
    <w:p>
      <w:pPr>
        <w:spacing w:line="560" w:lineRule="exact"/>
        <w:ind w:firstLine="640"/>
        <w:jc w:val="both"/>
        <w:rPr>
          <w:rFonts w:hint="eastAsia" w:ascii="黑体" w:hAnsi="黑体" w:eastAsia="黑体" w:cs="黑体"/>
          <w:sz w:val="32"/>
          <w:lang w:eastAsia="zh-CN"/>
        </w:rPr>
      </w:pP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管制物项的过境、转运、通运、再出口或者从保税区、出口加工区等海关特殊监管区域和出口监管仓库、保税物流中心等保税监管场所向境外出口，依照本法的有关规定执行。</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核以及其他管制物项的出口，本法未作规定的，依照有关法律、行政法规的规定执行。</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用于武装力量海外运用、对外军事交流、军事援助等的军品出口，依照有关法律法规的规定执行。</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任何国家或者地区滥用出口管制措施危害中华人民共和国国家安全和利益的，中华人民共和国可以根据实际情况对该国家或者地区对等采取措施。</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本法自</w:t>
      </w:r>
      <w:r>
        <w:rPr>
          <w:rFonts w:hint="default" w:ascii="Times New Roman" w:hAnsi="Times New Roman" w:eastAsia="仿宋_GB2312" w:cs="Times New Roman"/>
          <w:sz w:val="32"/>
        </w:rPr>
        <w:t>2020</w:t>
      </w:r>
      <w:r>
        <w:rPr>
          <w:rFonts w:ascii="仿宋_GB2312" w:hAnsi="仿宋_GB2312" w:eastAsia="仿宋_GB2312" w:cs="仿宋_GB2312"/>
          <w:sz w:val="32"/>
        </w:rPr>
        <w:t>年</w:t>
      </w:r>
      <w:r>
        <w:rPr>
          <w:rFonts w:hint="default" w:ascii="Times New Roman" w:hAnsi="Times New Roman" w:eastAsia="仿宋_GB2312" w:cs="Times New Roman"/>
          <w:sz w:val="32"/>
        </w:rPr>
        <w:t>12</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firstLineChars="0"/>
        <w:textAlignment w:val="auto"/>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80" w:firstLineChars="200"/>
        <w:textAlignment w:val="auto"/>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widowControl w:val="0"/>
        <w:wordWrap/>
        <w:adjustRightInd/>
        <w:snapToGrid/>
        <w:spacing w:line="560" w:lineRule="exact"/>
        <w:jc w:val="center"/>
        <w:textAlignment w:val="auto"/>
        <w:outlineLvl w:val="0"/>
        <w:rPr>
          <w:rFonts w:hint="eastAsia" w:ascii="宋体" w:hAnsi="宋体" w:eastAsia="宋体" w:cs="宋体"/>
          <w:b w:val="0"/>
          <w:bCs w:val="0"/>
          <w:kern w:val="0"/>
          <w:sz w:val="44"/>
          <w:szCs w:val="44"/>
          <w:lang w:val="en-US" w:eastAsia="zh-CN" w:bidi="ar-SA"/>
        </w:rPr>
      </w:pPr>
      <w:bookmarkStart w:id="186" w:name="_Toc29243"/>
      <w:r>
        <w:rPr>
          <w:rFonts w:hint="eastAsia" w:ascii="宋体" w:hAnsi="宋体" w:eastAsia="宋体" w:cs="宋体"/>
          <w:b w:val="0"/>
          <w:bCs w:val="0"/>
          <w:kern w:val="0"/>
          <w:sz w:val="44"/>
          <w:szCs w:val="44"/>
          <w:lang w:val="en-US" w:eastAsia="zh-CN" w:bidi="ar-SA"/>
        </w:rPr>
        <w:t>中华人民共和国渔业法</w:t>
      </w:r>
      <w:bookmarkEnd w:id="186"/>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仿宋" w:hAnsi="仿宋" w:eastAsia="仿宋" w:cs="仿宋"/>
          <w:kern w:val="0"/>
          <w:sz w:val="32"/>
          <w:szCs w:val="32"/>
          <w:lang w:val="en-US" w:eastAsia="zh-CN"/>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楷体" w:hAnsi="楷体" w:eastAsia="楷体" w:cs="楷体"/>
          <w:kern w:val="0"/>
          <w:szCs w:val="32"/>
          <w:lang w:val="en-US" w:eastAsia="zh-CN"/>
        </w:rPr>
      </w:pPr>
      <w:r>
        <w:rPr>
          <w:rFonts w:hint="eastAsia" w:ascii="楷体" w:hAnsi="楷体" w:eastAsia="楷体" w:cs="楷体"/>
          <w:kern w:val="0"/>
          <w:szCs w:val="32"/>
          <w:lang w:val="en-US" w:eastAsia="zh-CN"/>
        </w:rPr>
        <w:t>（1986年1月20日第六届全国人民代表大会常务委员会第十四次会议通过 根据2000年10月31日第九届全国人民代表大会常务委员会第十八次会议《关于修改〈中华人民共和国渔业法〉的决定》第一次修正 根据2004年8月28日第十届全国人民代表大会常务委员会第十一次会议《关于修改〈中华人民共和国渔业法〉的决定》第二次修正 根据2009年8月27日第十一届全国人民代表大会常务委员会第十次会议《关于修改部分法律的决定》第三次修正 根据2013年12月28日第十二届全国人民代表大会常务委员会第六次会议《关于修改〈中华人民共和国海洋环境保护法〉等七部法律的决定》第四次修正）</w:t>
      </w:r>
    </w:p>
    <w:p>
      <w:pPr>
        <w:widowControl w:val="0"/>
        <w:wordWrap/>
        <w:adjustRightInd/>
        <w:snapToGrid/>
        <w:spacing w:line="560" w:lineRule="exact"/>
        <w:textAlignment w:val="auto"/>
        <w:rPr>
          <w:rFonts w:hint="eastAsia" w:ascii="仿宋" w:hAnsi="仿宋" w:eastAsia="仿宋" w:cs="仿宋"/>
          <w:b w:val="0"/>
          <w:bCs w:val="0"/>
          <w:kern w:val="0"/>
          <w:sz w:val="32"/>
          <w:szCs w:val="32"/>
          <w:lang w:val="en-US" w:eastAsia="zh-CN" w:bidi="ar-SA"/>
        </w:rPr>
      </w:pPr>
    </w:p>
    <w:p>
      <w:pPr>
        <w:widowControl w:val="0"/>
        <w:wordWrap/>
        <w:overflowPunct w:val="0"/>
        <w:adjustRightInd/>
        <w:snapToGrid/>
        <w:spacing w:beforeAutospacing="0" w:afterAutospacing="0" w:line="560" w:lineRule="exact"/>
        <w:ind w:right="640" w:rightChars="200"/>
        <w:jc w:val="center"/>
        <w:textAlignment w:val="auto"/>
        <w:outlineLvl w:val="9"/>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目  录</w:t>
      </w:r>
    </w:p>
    <w:p>
      <w:pPr>
        <w:widowControl w:val="0"/>
        <w:wordWrap/>
        <w:adjustRightInd/>
        <w:snapToGrid/>
        <w:spacing w:line="560" w:lineRule="exact"/>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第一章　总则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第二章　养殖业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第三章　捕捞业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第四章　渔业资源的增殖和保护</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第五章　法律责任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第六章　附则</w:t>
      </w:r>
    </w:p>
    <w:p>
      <w:pPr>
        <w:widowControl w:val="0"/>
        <w:wordWrap/>
        <w:adjustRightInd/>
        <w:snapToGrid/>
        <w:spacing w:line="560" w:lineRule="exact"/>
        <w:textAlignment w:val="auto"/>
        <w:rPr>
          <w:rFonts w:hint="eastAsia" w:ascii="仿宋" w:hAnsi="仿宋" w:eastAsia="仿宋" w:cs="仿宋"/>
          <w:b w:val="0"/>
          <w:bCs w:val="0"/>
          <w:kern w:val="0"/>
          <w:sz w:val="32"/>
          <w:szCs w:val="32"/>
          <w:lang w:val="en-US" w:eastAsia="zh-CN" w:bidi="ar-S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第一章　总则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第一条 </w:t>
      </w:r>
      <w:r>
        <w:rPr>
          <w:rFonts w:hint="eastAsia" w:ascii="仿宋" w:hAnsi="仿宋" w:eastAsia="仿宋" w:cs="仿宋"/>
          <w:b w:val="0"/>
          <w:bCs w:val="0"/>
          <w:kern w:val="0"/>
          <w:sz w:val="32"/>
          <w:szCs w:val="32"/>
          <w:lang w:val="en-US" w:eastAsia="zh-CN" w:bidi="ar-SA"/>
        </w:rPr>
        <w:t>为了加强渔业资源的保护、增殖、开发和合理利用，发展人工养殖，保障渔业生产者的合法权益，促进渔业生产的发展，适应社会主义建设和人民生活的需要，特制定本法。</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第二条</w:t>
      </w:r>
      <w:r>
        <w:rPr>
          <w:rFonts w:hint="eastAsia" w:ascii="仿宋" w:hAnsi="仿宋" w:eastAsia="仿宋" w:cs="仿宋"/>
          <w:b w:val="0"/>
          <w:bCs w:val="0"/>
          <w:kern w:val="0"/>
          <w:sz w:val="32"/>
          <w:szCs w:val="32"/>
          <w:lang w:val="en-US" w:eastAsia="zh-CN" w:bidi="ar-SA"/>
        </w:rPr>
        <w:t xml:space="preserve"> 在中华人民共和国的内水、滩涂、领海、专属经济区以及中华人民共和国管辖的一切其他海域从事养殖和捕捞水生动物、水生植物等渔业生产活动，都必须遵守本法。</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第三条 </w:t>
      </w:r>
      <w:r>
        <w:rPr>
          <w:rFonts w:hint="eastAsia" w:ascii="仿宋" w:hAnsi="仿宋" w:eastAsia="仿宋" w:cs="仿宋"/>
          <w:b w:val="0"/>
          <w:bCs w:val="0"/>
          <w:kern w:val="0"/>
          <w:sz w:val="32"/>
          <w:szCs w:val="32"/>
          <w:lang w:val="en-US" w:eastAsia="zh-CN" w:bidi="ar-SA"/>
        </w:rPr>
        <w:t>国家对渔业生产实行以养殖为主，养殖、捕捞、加工并举，因地制宜，各有侧重的方针。</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各级人民政府应当把渔业生产纳入国民经济发展计划，采取措施，加强水域的统一规划和综合利用。</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第四条 </w:t>
      </w:r>
      <w:r>
        <w:rPr>
          <w:rFonts w:hint="eastAsia" w:ascii="仿宋" w:hAnsi="仿宋" w:eastAsia="仿宋" w:cs="仿宋"/>
          <w:b w:val="0"/>
          <w:bCs w:val="0"/>
          <w:kern w:val="0"/>
          <w:sz w:val="32"/>
          <w:szCs w:val="32"/>
          <w:lang w:val="en-US" w:eastAsia="zh-CN" w:bidi="ar-SA"/>
        </w:rPr>
        <w:t>国家鼓励渔业科学技术研究，推广先进技术，提高渔业科学技术水平。</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第五条</w:t>
      </w:r>
      <w:r>
        <w:rPr>
          <w:rFonts w:hint="eastAsia" w:ascii="仿宋" w:hAnsi="仿宋" w:eastAsia="仿宋" w:cs="仿宋"/>
          <w:b w:val="0"/>
          <w:bCs w:val="0"/>
          <w:kern w:val="0"/>
          <w:sz w:val="32"/>
          <w:szCs w:val="32"/>
          <w:lang w:val="en-US" w:eastAsia="zh-CN" w:bidi="ar-SA"/>
        </w:rPr>
        <w:t xml:space="preserve"> 在增殖和保护渔业资源、发展渔业生产、进行渔业科学技术研究等方面成绩显著的单位和个人，由各级人民政府给予精神的或者物质的奖励。</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第六条</w:t>
      </w:r>
      <w:r>
        <w:rPr>
          <w:rFonts w:hint="eastAsia" w:ascii="仿宋" w:hAnsi="仿宋" w:eastAsia="仿宋" w:cs="仿宋"/>
          <w:b w:val="0"/>
          <w:bCs w:val="0"/>
          <w:kern w:val="0"/>
          <w:sz w:val="32"/>
          <w:szCs w:val="32"/>
          <w:lang w:val="en-US" w:eastAsia="zh-CN" w:bidi="ar-SA"/>
        </w:rPr>
        <w:t xml:space="preserve"> 国务院渔业行政主管部门主管全国的渔业工作。县级以上地方人民政府渔业行政主管部门主管本行政区域内的渔业工作。县级以上人民政府渔业行政主管部门可以在重要渔业水域、渔港设渔政监督管理机构。</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县级以上人民政府渔业行政主管部门及其所属的渔政监督管理机构可以设渔政检查人员。渔政检查人员执行渔业行政主管部门及其所属的渔政监督管理机构交付的任务。</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第七条</w:t>
      </w:r>
      <w:r>
        <w:rPr>
          <w:rFonts w:hint="eastAsia" w:ascii="仿宋" w:hAnsi="仿宋" w:eastAsia="仿宋" w:cs="仿宋"/>
          <w:b w:val="0"/>
          <w:bCs w:val="0"/>
          <w:kern w:val="0"/>
          <w:sz w:val="32"/>
          <w:szCs w:val="32"/>
          <w:lang w:val="en-US" w:eastAsia="zh-CN" w:bidi="ar-SA"/>
        </w:rPr>
        <w:t xml:space="preserve"> 国家对渔业的监督管理，实行统一领导、分级管理。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海洋渔业，除国务院划定由国务院渔业行政主管部门及其所属的渔政监督管理机构监督管理的海域和特定渔业资源渔场外，由毗邻海域的省、自治区、直辖市人民政府渔业行政主管部门监督管理。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江河、湖泊等水域的渔业，按照行政区划由有关县级以上人民政府渔业行政主管部门监督管理；跨行政区域的，由有关县级以上地方人民政府协商制定管理办法，或者由上一级人民政府渔业行政主管部门及其所属的渔政监督管理机构监督管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第八条 </w:t>
      </w:r>
      <w:r>
        <w:rPr>
          <w:rFonts w:hint="eastAsia" w:ascii="仿宋" w:hAnsi="仿宋" w:eastAsia="仿宋" w:cs="仿宋"/>
          <w:b w:val="0"/>
          <w:bCs w:val="0"/>
          <w:kern w:val="0"/>
          <w:sz w:val="32"/>
          <w:szCs w:val="32"/>
          <w:lang w:val="en-US" w:eastAsia="zh-CN" w:bidi="ar-SA"/>
        </w:rPr>
        <w:t>外国人、外国渔业船舶进入中华人民共和国管辖水域，从事渔业生产或者渔业资源调查活动，必须经国务院有关主管部门批准，并遵守本法和中华人民共和国其他有关法律、法规的规定；同中华人民共和国订有条约、协定的，按照条约、协定办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国家渔政渔港监督管理机构对外行使渔政渔港监督管理权。</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第九条 </w:t>
      </w:r>
      <w:r>
        <w:rPr>
          <w:rFonts w:hint="eastAsia" w:ascii="仿宋" w:hAnsi="仿宋" w:eastAsia="仿宋" w:cs="仿宋"/>
          <w:b w:val="0"/>
          <w:bCs w:val="0"/>
          <w:kern w:val="0"/>
          <w:sz w:val="32"/>
          <w:szCs w:val="32"/>
          <w:lang w:val="en-US" w:eastAsia="zh-CN" w:bidi="ar-SA"/>
        </w:rPr>
        <w:t>渔业行政主管部门和其所属的渔政监督管理机构及其工作人员不得参与和从事渔业生产经营活动。</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第二章　养殖业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第十条</w:t>
      </w:r>
      <w:r>
        <w:rPr>
          <w:rFonts w:hint="eastAsia" w:ascii="仿宋" w:hAnsi="仿宋" w:eastAsia="仿宋" w:cs="仿宋"/>
          <w:b w:val="0"/>
          <w:bCs w:val="0"/>
          <w:kern w:val="0"/>
          <w:sz w:val="32"/>
          <w:szCs w:val="32"/>
          <w:lang w:val="en-US" w:eastAsia="zh-CN" w:bidi="ar-SA"/>
        </w:rPr>
        <w:t xml:space="preserve"> 国家鼓励全民所有制单位、集体所有制单位和个人充分利用适于养殖的水域、滩涂，发展养殖业。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第十一条</w:t>
      </w:r>
      <w:r>
        <w:rPr>
          <w:rFonts w:hint="eastAsia" w:ascii="仿宋" w:hAnsi="仿宋" w:eastAsia="仿宋" w:cs="仿宋"/>
          <w:b w:val="0"/>
          <w:bCs w:val="0"/>
          <w:kern w:val="0"/>
          <w:sz w:val="32"/>
          <w:szCs w:val="32"/>
          <w:lang w:val="en-US" w:eastAsia="zh-CN" w:bidi="ar-SA"/>
        </w:rPr>
        <w:t xml:space="preserve"> 国家对水域利用进行统一规划，确定可以用于养殖业的水域和滩涂。单位和个人使用国家规划确定用于养殖业的全民所有的水域、滩涂的，使用者应当向县级以上地方人民政府渔业行政主管部门提出申请，由本级人民政府核发养殖证，许可其使用该水域、滩涂从事养殖生产。核发养殖证的具体办法由国务院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集体所有的或者全民所有由农业集体经济组织使用的水域、滩涂，可以由个人或者集体承包，从事养殖生产。</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第十二条</w:t>
      </w:r>
      <w:r>
        <w:rPr>
          <w:rFonts w:hint="eastAsia" w:ascii="仿宋" w:hAnsi="仿宋" w:eastAsia="仿宋" w:cs="仿宋"/>
          <w:b w:val="0"/>
          <w:bCs w:val="0"/>
          <w:kern w:val="0"/>
          <w:sz w:val="32"/>
          <w:szCs w:val="32"/>
          <w:lang w:val="en-US" w:eastAsia="zh-CN" w:bidi="ar-SA"/>
        </w:rPr>
        <w:t xml:space="preserve"> 县级以上地方人民政府在核发养殖证时，应当优先安排当地的渔业生产者。</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第十三条 </w:t>
      </w:r>
      <w:r>
        <w:rPr>
          <w:rFonts w:hint="eastAsia" w:ascii="仿宋" w:hAnsi="仿宋" w:eastAsia="仿宋" w:cs="仿宋"/>
          <w:b w:val="0"/>
          <w:bCs w:val="0"/>
          <w:kern w:val="0"/>
          <w:sz w:val="32"/>
          <w:szCs w:val="32"/>
          <w:lang w:val="en-US" w:eastAsia="zh-CN" w:bidi="ar-SA"/>
        </w:rPr>
        <w:t>当事人因使用国家规划确定用于养殖业的水域、滩涂从事养殖生产发生争议的，按照有关法律规定的程序处理。在争议解决以前，任何一方不得破坏养殖生产。</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第十四条</w:t>
      </w:r>
      <w:r>
        <w:rPr>
          <w:rFonts w:hint="eastAsia" w:ascii="仿宋" w:hAnsi="仿宋" w:eastAsia="仿宋" w:cs="仿宋"/>
          <w:b w:val="0"/>
          <w:bCs w:val="0"/>
          <w:kern w:val="0"/>
          <w:sz w:val="32"/>
          <w:szCs w:val="32"/>
          <w:lang w:val="en-US" w:eastAsia="zh-CN" w:bidi="ar-SA"/>
        </w:rPr>
        <w:t xml:space="preserve"> 国家建设征收集体所有的水域、滩涂，按照《中华人民共和国土地管理法》有关征地的规定办理。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第十五条 </w:t>
      </w:r>
      <w:r>
        <w:rPr>
          <w:rFonts w:hint="eastAsia" w:ascii="仿宋" w:hAnsi="仿宋" w:eastAsia="仿宋" w:cs="仿宋"/>
          <w:b w:val="0"/>
          <w:bCs w:val="0"/>
          <w:kern w:val="0"/>
          <w:sz w:val="32"/>
          <w:szCs w:val="32"/>
          <w:lang w:val="en-US" w:eastAsia="zh-CN" w:bidi="ar-SA"/>
        </w:rPr>
        <w:t>县级以上地方人民政府应当采取措施，加强对商品鱼生产基地和城市郊区重要养殖水域的保护。</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第十六条</w:t>
      </w:r>
      <w:r>
        <w:rPr>
          <w:rFonts w:hint="eastAsia" w:ascii="仿宋" w:hAnsi="仿宋" w:eastAsia="仿宋" w:cs="仿宋"/>
          <w:b w:val="0"/>
          <w:bCs w:val="0"/>
          <w:kern w:val="0"/>
          <w:sz w:val="32"/>
          <w:szCs w:val="32"/>
          <w:lang w:val="en-US" w:eastAsia="zh-CN" w:bidi="ar-SA"/>
        </w:rPr>
        <w:t xml:space="preserve"> 国家鼓励和支持水产优良品种的选育、培育和推广。水产新品种必须经全国水产原种和良种审定委员会审定，由国务院渔业行政主管部门公告后推广。</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水产苗种的进口、出口由国务院渔业行政主管部门或者省、自治区、直辖市人民政府渔业行政主管部门审批。</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水产苗种的生产由县级以上地方人民政府渔业行政主管部门审批。但是，渔业生产者自育、自用水产苗种的除外。</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第十七条</w:t>
      </w:r>
      <w:r>
        <w:rPr>
          <w:rFonts w:hint="eastAsia" w:ascii="仿宋" w:hAnsi="仿宋" w:eastAsia="仿宋" w:cs="仿宋"/>
          <w:b w:val="0"/>
          <w:bCs w:val="0"/>
          <w:kern w:val="0"/>
          <w:sz w:val="32"/>
          <w:szCs w:val="32"/>
          <w:lang w:val="en-US" w:eastAsia="zh-CN" w:bidi="ar-SA"/>
        </w:rPr>
        <w:t xml:space="preserve"> 水产苗种的进口、出口必须实施检疫，防止病害传入境内和传出境外，具体检疫工作按照有关动植物进出境检疫法律、行政法规的规定执行。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引进转基因水产苗种必须进行安全性评价，具体管理工作按照国务院有关规定执行。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第十八条 </w:t>
      </w:r>
      <w:r>
        <w:rPr>
          <w:rFonts w:hint="eastAsia" w:ascii="仿宋" w:hAnsi="仿宋" w:eastAsia="仿宋" w:cs="仿宋"/>
          <w:b w:val="0"/>
          <w:bCs w:val="0"/>
          <w:kern w:val="0"/>
          <w:sz w:val="32"/>
          <w:szCs w:val="32"/>
          <w:lang w:val="en-US" w:eastAsia="zh-CN" w:bidi="ar-SA"/>
        </w:rPr>
        <w:t>县级以上人民政府渔业行政主管部门应当加强对养殖生产的技术指导和病害防治工作。</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第十九条</w:t>
      </w:r>
      <w:r>
        <w:rPr>
          <w:rFonts w:hint="eastAsia" w:ascii="仿宋" w:hAnsi="仿宋" w:eastAsia="仿宋" w:cs="仿宋"/>
          <w:b w:val="0"/>
          <w:bCs w:val="0"/>
          <w:kern w:val="0"/>
          <w:sz w:val="32"/>
          <w:szCs w:val="32"/>
          <w:lang w:val="en-US" w:eastAsia="zh-CN" w:bidi="ar-SA"/>
        </w:rPr>
        <w:t xml:space="preserve"> 从事养殖生产不得使用含有毒有害物质的饵料、饲料。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第二十条</w:t>
      </w:r>
      <w:r>
        <w:rPr>
          <w:rFonts w:hint="eastAsia" w:ascii="仿宋" w:hAnsi="仿宋" w:eastAsia="仿宋" w:cs="仿宋"/>
          <w:b w:val="0"/>
          <w:bCs w:val="0"/>
          <w:kern w:val="0"/>
          <w:sz w:val="32"/>
          <w:szCs w:val="32"/>
          <w:lang w:val="en-US" w:eastAsia="zh-CN" w:bidi="ar-SA"/>
        </w:rPr>
        <w:t xml:space="preserve"> 从事养殖生产应当保护水域生态环境，科学确定养殖密度，合理投饵、施肥、使用药物，不得造成水域的环境污染。</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第三章　捕捞业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第二十一条</w:t>
      </w:r>
      <w:r>
        <w:rPr>
          <w:rFonts w:hint="eastAsia" w:ascii="仿宋" w:hAnsi="仿宋" w:eastAsia="仿宋" w:cs="仿宋"/>
          <w:b w:val="0"/>
          <w:bCs w:val="0"/>
          <w:kern w:val="0"/>
          <w:sz w:val="32"/>
          <w:szCs w:val="32"/>
          <w:lang w:val="en-US" w:eastAsia="zh-CN" w:bidi="ar-SA"/>
        </w:rPr>
        <w:t xml:space="preserve"> 国家在财政、信贷和税收等方面采取措施，鼓励、扶持远洋捕捞业的发展，并根据渔业资源的可捕捞量，安排内水和近海捕捞力量。</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第二十二条 </w:t>
      </w:r>
      <w:r>
        <w:rPr>
          <w:rFonts w:hint="eastAsia" w:ascii="仿宋" w:hAnsi="仿宋" w:eastAsia="仿宋" w:cs="仿宋"/>
          <w:b w:val="0"/>
          <w:bCs w:val="0"/>
          <w:kern w:val="0"/>
          <w:sz w:val="32"/>
          <w:szCs w:val="32"/>
          <w:lang w:val="en-US" w:eastAsia="zh-CN" w:bidi="ar-SA"/>
        </w:rPr>
        <w:t>国家根据捕捞量低于渔业资源增长量的原则，确定渔业资源的总可捕捞量，实行捕捞限额制度。国务院渔业行政主管部门负责组织渔业资源的调查和评估，为实行捕捞限额制度提供科学依据。中华人民共和国内海、领海、专属经济区和其他管辖海域的捕捞限额总量由国务院渔业行政主管部门确定，报国务院批准后逐级分解下达；国家确定的重要江河、湖泊的捕捞限额总量由有关省、自治区、直辖市人民政府确定或者协商确定，逐级分解下达。捕捞限额总量的分配应当体现公平、公正的原则，分配办法和分配结果必须向社会公开，并接受监督。</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国务院渔业行政主管部门和省、自治区、直辖市人民政府渔业行政主管部门应当加强对捕捞限额制度实施情况的监督检查，对超过上级下达的捕捞限额指标的，应当在其次年捕捞限额指标中予以核减。</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第二十三条</w:t>
      </w:r>
      <w:r>
        <w:rPr>
          <w:rFonts w:hint="eastAsia" w:ascii="仿宋" w:hAnsi="仿宋" w:eastAsia="仿宋" w:cs="仿宋"/>
          <w:b w:val="0"/>
          <w:bCs w:val="0"/>
          <w:kern w:val="0"/>
          <w:sz w:val="32"/>
          <w:szCs w:val="32"/>
          <w:lang w:val="en-US" w:eastAsia="zh-CN" w:bidi="ar-SA"/>
        </w:rPr>
        <w:t xml:space="preserve"> 国家对捕捞业实行捕捞许可证制度。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到中华人民共和国与有关国家缔结的协定确定的共同管理的渔区或者公海从事捕捞作业的捕捞许可证，由国务院渔业行政主管部门批准发放。海洋大型拖网、围网作业的捕捞许可证，由省、自治区、直辖市人民政府渔业行政主管部门批准发放。其他作业的捕捞许可证，由县级以上地方人民政府渔业行政主管部门批准发放；但是，批准发放海洋作业的捕捞许可证不得超过国家下达的船网工具控制指标，具体办法由省、自治区、直辖市人民政府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捕捞许可证不得买卖、出租和以其他形式转让，不得涂改、伪造、变造。</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到他国管辖海域从事捕捞作业的，应当经国务院渔业行政主管部门批准，并遵守中华人民共和国缔结的或者参加的有关条约、协定和有关国家的法律。</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第二十四条</w:t>
      </w:r>
      <w:r>
        <w:rPr>
          <w:rFonts w:hint="eastAsia" w:ascii="仿宋" w:hAnsi="仿宋" w:eastAsia="仿宋" w:cs="仿宋"/>
          <w:b w:val="0"/>
          <w:bCs w:val="0"/>
          <w:kern w:val="0"/>
          <w:sz w:val="32"/>
          <w:szCs w:val="32"/>
          <w:lang w:val="en-US" w:eastAsia="zh-CN" w:bidi="ar-SA"/>
        </w:rPr>
        <w:t xml:space="preserve"> 具备下列条件的，方可发给捕捞许可证：</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（一）有渔业船舶检验证书；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（二）有渔业船舶登记证书；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（三）符合国务院渔业行政主管部门规定的其他条件。</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县级以上地方人民政府渔业行政主管部门批准发放的捕捞许可证，应当与上级人民政府渔业行政主管部门下达的捕捞限额指标相适应。</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第二十五条</w:t>
      </w:r>
      <w:r>
        <w:rPr>
          <w:rFonts w:hint="eastAsia" w:ascii="仿宋" w:hAnsi="仿宋" w:eastAsia="仿宋" w:cs="仿宋"/>
          <w:b w:val="0"/>
          <w:bCs w:val="0"/>
          <w:kern w:val="0"/>
          <w:sz w:val="32"/>
          <w:szCs w:val="32"/>
          <w:lang w:val="en-US" w:eastAsia="zh-CN" w:bidi="ar-SA"/>
        </w:rPr>
        <w:t xml:space="preserve"> 从事捕捞作业的单位和个人，必须按照捕捞许可证关于作业类型、场所、时限、渔具数量和捕捞限额的规定进行作业，并遵守国家有关保护渔业资源的规定，大中型渔船应当填写渔捞日志。</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第二十六条</w:t>
      </w:r>
      <w:r>
        <w:rPr>
          <w:rFonts w:hint="eastAsia" w:ascii="仿宋" w:hAnsi="仿宋" w:eastAsia="仿宋" w:cs="仿宋"/>
          <w:b w:val="0"/>
          <w:bCs w:val="0"/>
          <w:kern w:val="0"/>
          <w:sz w:val="32"/>
          <w:szCs w:val="32"/>
          <w:lang w:val="en-US" w:eastAsia="zh-CN" w:bidi="ar-SA"/>
        </w:rPr>
        <w:t xml:space="preserve"> 制造、更新改造、购置、进口的从事捕捞作业的船舶必须经渔业船舶检验部门检验合格后，方可下水作业。具体管理办法由国务院规定。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第二十七条</w:t>
      </w:r>
      <w:r>
        <w:rPr>
          <w:rFonts w:hint="eastAsia" w:ascii="仿宋" w:hAnsi="仿宋" w:eastAsia="仿宋" w:cs="仿宋"/>
          <w:b w:val="0"/>
          <w:bCs w:val="0"/>
          <w:kern w:val="0"/>
          <w:sz w:val="32"/>
          <w:szCs w:val="32"/>
          <w:lang w:val="en-US" w:eastAsia="zh-CN" w:bidi="ar-SA"/>
        </w:rPr>
        <w:t xml:space="preserve"> 渔港建设应当遵守国家的统一规划，实行谁投资谁受益的原则。县级以上地方人民政府应当对位于本行政区域内的渔港加强监督管理，维护渔港的正常秩序。</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第四章　渔业资源的增殖和保护</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第二十八条 </w:t>
      </w:r>
      <w:r>
        <w:rPr>
          <w:rFonts w:hint="eastAsia" w:ascii="仿宋" w:hAnsi="仿宋" w:eastAsia="仿宋" w:cs="仿宋"/>
          <w:b w:val="0"/>
          <w:bCs w:val="0"/>
          <w:kern w:val="0"/>
          <w:sz w:val="32"/>
          <w:szCs w:val="32"/>
          <w:lang w:val="en-US" w:eastAsia="zh-CN" w:bidi="ar-SA"/>
        </w:rPr>
        <w:t>县级以上人民政府渔业行政主管部门应当对其管理的渔业水域统一规划，采取措施，增殖渔业资源。县级以上人民政府渔业行政主管部门可以向受益的单位和个人征收渔业资源增殖保护费，专门用于增殖和保护渔业资源。渔业资源增殖保护费的征收办法由国务院渔业行政主管部门会同财政部门制定，报国务院批准后施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第二十九条</w:t>
      </w:r>
      <w:r>
        <w:rPr>
          <w:rFonts w:hint="eastAsia" w:ascii="仿宋" w:hAnsi="仿宋" w:eastAsia="仿宋" w:cs="仿宋"/>
          <w:b w:val="0"/>
          <w:bCs w:val="0"/>
          <w:kern w:val="0"/>
          <w:sz w:val="32"/>
          <w:szCs w:val="32"/>
          <w:lang w:val="en-US" w:eastAsia="zh-CN" w:bidi="ar-SA"/>
        </w:rPr>
        <w:t xml:space="preserve"> 国家保护水产种质资源及其生存环境，并在具有较高经济价值和遗传育种价值的水产种质资源的主要生长繁育区域建立水产种质资源保护区。未经国务院渔业行政主管部门批准，任何单位或者个人不得在水产种质资源保护区内从事捕捞活动。</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第三十条</w:t>
      </w:r>
      <w:r>
        <w:rPr>
          <w:rFonts w:hint="eastAsia" w:ascii="仿宋" w:hAnsi="仿宋" w:eastAsia="仿宋" w:cs="仿宋"/>
          <w:b w:val="0"/>
          <w:bCs w:val="0"/>
          <w:kern w:val="0"/>
          <w:sz w:val="32"/>
          <w:szCs w:val="32"/>
          <w:lang w:val="en-US" w:eastAsia="zh-CN" w:bidi="ar-SA"/>
        </w:rPr>
        <w:t xml:space="preserve"> 禁止使用炸鱼、毒鱼、电鱼等破坏渔业资源的方法进行捕捞。禁止制造、销售、使用禁用的渔具。禁止在禁渔区、禁渔期进行捕捞。禁止使用小于最小网目尺寸的网具进行捕捞。捕捞的渔获物中幼鱼不得超过规定的比例。在禁渔区或者禁渔期内禁止销售非法捕捞的渔获物。</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重点保护的渔业资源品种及其可捕捞标准，禁渔区和禁渔期，禁止使用或者限制使用的渔具和捕捞方法，最小网目尺寸以及其他保护渔业资源的措施，由国务院渔业行政主管部门或者省、自治区、直辖市人民政府渔业行政主管部门规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第三十一条</w:t>
      </w:r>
      <w:r>
        <w:rPr>
          <w:rFonts w:hint="eastAsia" w:ascii="仿宋" w:hAnsi="仿宋" w:eastAsia="仿宋" w:cs="仿宋"/>
          <w:b w:val="0"/>
          <w:bCs w:val="0"/>
          <w:kern w:val="0"/>
          <w:sz w:val="32"/>
          <w:szCs w:val="32"/>
          <w:lang w:val="en-US" w:eastAsia="zh-CN" w:bidi="ar-SA"/>
        </w:rPr>
        <w:t xml:space="preserve"> 禁止捕捞有重要经济价值的水生动物苗种。因养殖或者其他特殊需要，捕捞有重要经济价值的苗种或者禁捕的怀卵亲体的，必须经国务院渔业行政主管部门或者省、自治区、直辖市人民政府渔业行政主管部门批准，在指定的区域和时间内，按照限额捕捞。</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在水生动物苗种重点产区引水用水时，应当采取措施，保护苗种。</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第三十二条</w:t>
      </w:r>
      <w:r>
        <w:rPr>
          <w:rFonts w:hint="eastAsia" w:ascii="仿宋" w:hAnsi="仿宋" w:eastAsia="仿宋" w:cs="仿宋"/>
          <w:b w:val="0"/>
          <w:bCs w:val="0"/>
          <w:kern w:val="0"/>
          <w:sz w:val="32"/>
          <w:szCs w:val="32"/>
          <w:lang w:val="en-US" w:eastAsia="zh-CN" w:bidi="ar-SA"/>
        </w:rPr>
        <w:t xml:space="preserve"> 在鱼、虾、蟹洄游通道建闸、筑坝，对渔业资源有严重影响的，建设单位应当建造过鱼设施或者采取其他补救措施。</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第三十三条</w:t>
      </w:r>
      <w:r>
        <w:rPr>
          <w:rFonts w:hint="eastAsia" w:ascii="仿宋" w:hAnsi="仿宋" w:eastAsia="仿宋" w:cs="仿宋"/>
          <w:b w:val="0"/>
          <w:bCs w:val="0"/>
          <w:kern w:val="0"/>
          <w:sz w:val="32"/>
          <w:szCs w:val="32"/>
          <w:lang w:val="en-US" w:eastAsia="zh-CN" w:bidi="ar-SA"/>
        </w:rPr>
        <w:t xml:space="preserve"> 用于渔业并兼有调蓄、灌溉等功能的水体，有关主管部门应当确定渔业生产所需的最低水位线。</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第三十四条</w:t>
      </w:r>
      <w:r>
        <w:rPr>
          <w:rFonts w:hint="eastAsia" w:ascii="仿宋" w:hAnsi="仿宋" w:eastAsia="仿宋" w:cs="仿宋"/>
          <w:b w:val="0"/>
          <w:bCs w:val="0"/>
          <w:kern w:val="0"/>
          <w:sz w:val="32"/>
          <w:szCs w:val="32"/>
          <w:lang w:val="en-US" w:eastAsia="zh-CN" w:bidi="ar-SA"/>
        </w:rPr>
        <w:t xml:space="preserve"> 禁止围湖造田。沿海滩涂未经县级以上人民政府批准，不得围垦；重要的苗种基地和养殖场所不得围垦。</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第三十五条</w:t>
      </w:r>
      <w:r>
        <w:rPr>
          <w:rFonts w:hint="eastAsia" w:ascii="仿宋" w:hAnsi="仿宋" w:eastAsia="仿宋" w:cs="仿宋"/>
          <w:b w:val="0"/>
          <w:bCs w:val="0"/>
          <w:kern w:val="0"/>
          <w:sz w:val="32"/>
          <w:szCs w:val="32"/>
          <w:lang w:val="en-US" w:eastAsia="zh-CN" w:bidi="ar-SA"/>
        </w:rPr>
        <w:t xml:space="preserve"> 进行水下爆破、勘探、施工作业，对渔业资源有严重影响的，作业单位应当事先同有关县级以上人民政府渔业行政主管部门协商，采取措施，防止或者减少对渔业资源的损害；造成渔业资源损失的，由有关县级以上人民政府责令赔偿。</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第三十六条</w:t>
      </w:r>
      <w:r>
        <w:rPr>
          <w:rFonts w:hint="eastAsia" w:ascii="仿宋" w:hAnsi="仿宋" w:eastAsia="仿宋" w:cs="仿宋"/>
          <w:b w:val="0"/>
          <w:bCs w:val="0"/>
          <w:kern w:val="0"/>
          <w:sz w:val="32"/>
          <w:szCs w:val="32"/>
          <w:lang w:val="en-US" w:eastAsia="zh-CN" w:bidi="ar-SA"/>
        </w:rPr>
        <w:t xml:space="preserve"> 各级人民政府应当采取措施，保护和改善渔业水域的生态环境，防治污染。</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渔业水域生态环境的监督管理和渔业污染事故的调查处理，依照《中华人民共和国海洋环境保护法》和《中华人民共和国水污染防治法》的有关规定执行。</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第三十七条</w:t>
      </w:r>
      <w:r>
        <w:rPr>
          <w:rFonts w:hint="eastAsia" w:ascii="仿宋" w:hAnsi="仿宋" w:eastAsia="仿宋" w:cs="仿宋"/>
          <w:b w:val="0"/>
          <w:bCs w:val="0"/>
          <w:kern w:val="0"/>
          <w:sz w:val="32"/>
          <w:szCs w:val="32"/>
          <w:lang w:val="en-US" w:eastAsia="zh-CN" w:bidi="ar-SA"/>
        </w:rPr>
        <w:t xml:space="preserve"> 国家对白鳍豚等珍贵、濒危水生野生动物实行重点保护，防止其灭绝。禁止捕杀、伤害国家重点保护的水生野生动物。因科学研究、驯养繁殖、展览或者其他特殊情况，需要捕捞国家重点保护的水生野生动物的，依照《中华人民共和国野生动物保护法》的规定执行。</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第五章　法律责任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第三十八条</w:t>
      </w:r>
      <w:r>
        <w:rPr>
          <w:rFonts w:hint="eastAsia" w:ascii="仿宋" w:hAnsi="仿宋" w:eastAsia="仿宋" w:cs="仿宋"/>
          <w:b w:val="0"/>
          <w:bCs w:val="0"/>
          <w:kern w:val="0"/>
          <w:sz w:val="32"/>
          <w:szCs w:val="32"/>
          <w:lang w:val="en-US" w:eastAsia="zh-CN" w:bidi="ar-SA"/>
        </w:rPr>
        <w:t xml:space="preserve"> 使用炸鱼、毒鱼、电鱼等破坏渔业资源方法进行捕捞的，违反关于禁渔区、禁渔期的规定进行捕捞的，或者使用禁用的渔具、捕捞方法和小于最小网目尺寸的网具进行捕捞或者渔获物中幼鱼超过规定比例的，没收渔获物和违法所得，处五万元以下的罚款；情节严重的，没收渔具，吊销捕捞许可证；情节特别严重的，可以没收渔船；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在禁渔区或者禁渔期内销售非法捕捞的渔获物的，县级以上地方人民政府渔业行政主管部门应当及时进行调查处理。</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制造、销售禁用的渔具的，没收非法制造、销售的渔具和违法所得，并处一万元以下的罚款。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第三十九条</w:t>
      </w:r>
      <w:r>
        <w:rPr>
          <w:rFonts w:hint="eastAsia" w:ascii="仿宋" w:hAnsi="仿宋" w:eastAsia="仿宋" w:cs="仿宋"/>
          <w:b w:val="0"/>
          <w:bCs w:val="0"/>
          <w:kern w:val="0"/>
          <w:sz w:val="32"/>
          <w:szCs w:val="32"/>
          <w:lang w:val="en-US" w:eastAsia="zh-CN" w:bidi="ar-SA"/>
        </w:rPr>
        <w:t xml:space="preserve"> 偷捕、抢夺他人养殖的水产品的，或者破坏他人养殖水体、养殖设施的，责令改正，可以处二万元以下的罚款；造成他人损失的，依法承担赔偿责任；构成犯罪的，依法追究刑事责任。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第四十条</w:t>
      </w:r>
      <w:r>
        <w:rPr>
          <w:rFonts w:hint="eastAsia" w:ascii="仿宋" w:hAnsi="仿宋" w:eastAsia="仿宋" w:cs="仿宋"/>
          <w:b w:val="0"/>
          <w:bCs w:val="0"/>
          <w:kern w:val="0"/>
          <w:sz w:val="32"/>
          <w:szCs w:val="32"/>
          <w:lang w:val="en-US" w:eastAsia="zh-CN" w:bidi="ar-SA"/>
        </w:rPr>
        <w:t xml:space="preserve"> 使用全民所有的水域、滩涂从事养殖生产，无正当理由使水域、滩涂荒芜满一年的，由发放养殖证的机关责令限期开发利用；逾期未开发利用的，吊销养殖证，可以并处一万元以下的罚款。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未依法取得养殖证擅自在全民所有的水域从事养殖生产的，责令改正，补办养殖证或者限期拆除养殖设施。</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未依法取得养殖证或者超越养殖证许可范围在全民所有的水域从事养殖生产，妨碍航运、行洪的，责令限期拆除养殖设施，可以并处一万元以下的罚款。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 xml:space="preserve">第四十一条 </w:t>
      </w:r>
      <w:r>
        <w:rPr>
          <w:rFonts w:hint="eastAsia" w:ascii="仿宋" w:hAnsi="仿宋" w:eastAsia="仿宋" w:cs="仿宋"/>
          <w:b w:val="0"/>
          <w:bCs w:val="0"/>
          <w:kern w:val="0"/>
          <w:sz w:val="32"/>
          <w:szCs w:val="32"/>
          <w:lang w:val="en-US" w:eastAsia="zh-CN" w:bidi="ar-SA"/>
        </w:rPr>
        <w:t>未依法取得捕捞许可证擅自进行捕捞的，没收渔获物和违法所得，并处十万元以下的罚款；情节严重的，并可以没收渔具和渔船。</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第四十二条</w:t>
      </w:r>
      <w:r>
        <w:rPr>
          <w:rFonts w:hint="eastAsia" w:ascii="仿宋" w:hAnsi="仿宋" w:eastAsia="仿宋" w:cs="仿宋"/>
          <w:b w:val="0"/>
          <w:bCs w:val="0"/>
          <w:kern w:val="0"/>
          <w:sz w:val="32"/>
          <w:szCs w:val="32"/>
          <w:lang w:val="en-US" w:eastAsia="zh-CN" w:bidi="ar-SA"/>
        </w:rPr>
        <w:t xml:space="preserve"> 违反捕捞许可证关于作业类型、场所、时限和渔具数量的规定进行捕捞的，没收渔获物和违法所得，可以并处五万元以下的罚款；情节严重的，并可以没收渔具，吊销捕捞许可证。</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第四十三条</w:t>
      </w:r>
      <w:r>
        <w:rPr>
          <w:rFonts w:hint="eastAsia" w:ascii="仿宋" w:hAnsi="仿宋" w:eastAsia="仿宋" w:cs="仿宋"/>
          <w:b w:val="0"/>
          <w:bCs w:val="0"/>
          <w:kern w:val="0"/>
          <w:sz w:val="32"/>
          <w:szCs w:val="32"/>
          <w:lang w:val="en-US" w:eastAsia="zh-CN" w:bidi="ar-SA"/>
        </w:rPr>
        <w:t xml:space="preserve"> 涂改、买卖、出租或者以其他形式转让捕捞许可证的，没收违法所得，吊销捕捞许可证，可以并处一万元以下的罚款；伪造、变造、买卖捕捞许可证，构成犯罪的，依法追究刑事责任。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第四十四条</w:t>
      </w:r>
      <w:r>
        <w:rPr>
          <w:rFonts w:hint="eastAsia" w:ascii="仿宋" w:hAnsi="仿宋" w:eastAsia="仿宋" w:cs="仿宋"/>
          <w:b w:val="0"/>
          <w:bCs w:val="0"/>
          <w:kern w:val="0"/>
          <w:sz w:val="32"/>
          <w:szCs w:val="32"/>
          <w:lang w:val="en-US" w:eastAsia="zh-CN" w:bidi="ar-SA"/>
        </w:rPr>
        <w:t xml:space="preserve"> 非法生产、进口、出口水产苗种的，没收苗种和违法所得，并处五万元以下的罚款。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经营未经审定的水产苗种的，责令立即停止经营，没收违法所得，可以并处五万元以下的罚款。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第四十五条</w:t>
      </w:r>
      <w:r>
        <w:rPr>
          <w:rFonts w:hint="eastAsia" w:ascii="仿宋" w:hAnsi="仿宋" w:eastAsia="仿宋" w:cs="仿宋"/>
          <w:b w:val="0"/>
          <w:bCs w:val="0"/>
          <w:kern w:val="0"/>
          <w:sz w:val="32"/>
          <w:szCs w:val="32"/>
          <w:lang w:val="en-US" w:eastAsia="zh-CN" w:bidi="ar-SA"/>
        </w:rPr>
        <w:t xml:space="preserve"> 未经批准在水产种质资源保护区内从事捕捞活动的，责令立即停止捕捞，没收渔获物和渔具，可以并处一万元以下的罚款。</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第四十六条</w:t>
      </w:r>
      <w:r>
        <w:rPr>
          <w:rFonts w:hint="eastAsia" w:ascii="仿宋" w:hAnsi="仿宋" w:eastAsia="仿宋" w:cs="仿宋"/>
          <w:b w:val="0"/>
          <w:bCs w:val="0"/>
          <w:kern w:val="0"/>
          <w:sz w:val="32"/>
          <w:szCs w:val="32"/>
          <w:lang w:val="en-US" w:eastAsia="zh-CN" w:bidi="ar-SA"/>
        </w:rPr>
        <w:t xml:space="preserve"> 外国人、外国渔船违反本法规定，擅自进入中华人民共和国管辖水域从事渔业生产和渔业资源调查活动的，责令其离开或者将其驱逐，可以没收渔获物、渔具，并处五十万元以下的罚款；情节严重的，可以没收渔船；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第四十七条</w:t>
      </w:r>
      <w:r>
        <w:rPr>
          <w:rFonts w:hint="eastAsia" w:ascii="仿宋" w:hAnsi="仿宋" w:eastAsia="仿宋" w:cs="仿宋"/>
          <w:b w:val="0"/>
          <w:bCs w:val="0"/>
          <w:kern w:val="0"/>
          <w:sz w:val="32"/>
          <w:szCs w:val="32"/>
          <w:lang w:val="en-US" w:eastAsia="zh-CN" w:bidi="ar-SA"/>
        </w:rPr>
        <w:t xml:space="preserve"> 造成渔业水域生态环境破坏或者渔业污染事故的，依照《中华人民共和国海洋环境保护法》和《中华人民共和国水污染防治法》的规定追究法律责任。</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第四十八条</w:t>
      </w:r>
      <w:r>
        <w:rPr>
          <w:rFonts w:hint="eastAsia" w:ascii="仿宋" w:hAnsi="仿宋" w:eastAsia="仿宋" w:cs="仿宋"/>
          <w:b w:val="0"/>
          <w:bCs w:val="0"/>
          <w:kern w:val="0"/>
          <w:sz w:val="32"/>
          <w:szCs w:val="32"/>
          <w:lang w:val="en-US" w:eastAsia="zh-CN" w:bidi="ar-SA"/>
        </w:rPr>
        <w:t xml:space="preserve"> 本法规定的行政处罚，由县级以上人民政府渔业行政主管部门或者其所属的渔政监督管理机构决定。但是，本法已对处罚机关作出规定的除外。</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仿宋" w:hAnsi="仿宋" w:eastAsia="仿宋" w:cs="仿宋"/>
          <w:b w:val="0"/>
          <w:bCs w:val="0"/>
          <w:kern w:val="0"/>
          <w:sz w:val="32"/>
          <w:szCs w:val="32"/>
          <w:lang w:val="en-US" w:eastAsia="zh-CN" w:bidi="ar-SA"/>
        </w:rPr>
        <w:t>在海上执法时，对违反禁渔区、禁渔期的规定或者使用禁用的渔具、捕捞方法进行捕捞，以及未取得捕捞许可证进行捕捞的，事实清楚、证据充分，但是当场不能按照法定程序作出和执行行政处罚决定的，可以先暂时扣押捕捞许可证、渔具或者渔船，回港后依法作出和执行行政处罚决定。</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第四十九条</w:t>
      </w:r>
      <w:r>
        <w:rPr>
          <w:rFonts w:hint="eastAsia" w:ascii="仿宋" w:hAnsi="仿宋" w:eastAsia="仿宋" w:cs="仿宋"/>
          <w:b w:val="0"/>
          <w:bCs w:val="0"/>
          <w:kern w:val="0"/>
          <w:sz w:val="32"/>
          <w:szCs w:val="32"/>
          <w:lang w:val="en-US" w:eastAsia="zh-CN" w:bidi="ar-SA"/>
        </w:rPr>
        <w:t xml:space="preserve"> 渔业行政主管部门和其所属的渔政监督管理机构及其工作人员违反本法规定核发许可证、分配捕捞限额或者从事渔业生产经营活动的，或者有其他玩忽职守不履行法定义务、滥用职权、徇私舞弊的行为的，依法给予行政处分；构成犯罪的，依法追究刑事责任。</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val="en-US" w:eastAsia="zh-CN"/>
        </w:rPr>
      </w:pPr>
      <w:r>
        <w:rPr>
          <w:rFonts w:hint="eastAsia" w:ascii="宋体" w:hAnsi="宋体" w:eastAsia="黑体" w:cs="黑体"/>
          <w:kern w:val="0"/>
          <w:szCs w:val="32"/>
          <w:lang w:val="en-US" w:eastAsia="zh-CN"/>
        </w:rPr>
        <w:t>第六章　附则</w:t>
      </w: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p>
    <w:p>
      <w:pPr>
        <w:widowControl w:val="0"/>
        <w:wordWrap/>
        <w:adjustRightInd/>
        <w:snapToGrid/>
        <w:spacing w:line="560" w:lineRule="exact"/>
        <w:ind w:firstLine="640" w:firstLineChars="200"/>
        <w:textAlignment w:val="auto"/>
        <w:rPr>
          <w:rFonts w:hint="eastAsia" w:ascii="仿宋" w:hAnsi="仿宋" w:eastAsia="仿宋" w:cs="仿宋"/>
          <w:b w:val="0"/>
          <w:bCs w:val="0"/>
          <w:kern w:val="0"/>
          <w:sz w:val="32"/>
          <w:szCs w:val="32"/>
          <w:lang w:val="en-US" w:eastAsia="zh-CN" w:bidi="ar-SA"/>
        </w:rPr>
      </w:pPr>
      <w:r>
        <w:rPr>
          <w:rFonts w:hint="eastAsia" w:ascii="宋体" w:hAnsi="宋体" w:eastAsia="黑体" w:cs="黑体"/>
          <w:kern w:val="0"/>
          <w:szCs w:val="32"/>
          <w:lang w:val="en-US" w:eastAsia="zh-CN"/>
        </w:rPr>
        <w:t>第五十条</w:t>
      </w:r>
      <w:r>
        <w:rPr>
          <w:rFonts w:hint="eastAsia" w:ascii="仿宋" w:hAnsi="仿宋" w:eastAsia="仿宋" w:cs="仿宋"/>
          <w:b w:val="0"/>
          <w:bCs w:val="0"/>
          <w:kern w:val="0"/>
          <w:sz w:val="32"/>
          <w:szCs w:val="32"/>
          <w:lang w:val="en-US" w:eastAsia="zh-CN" w:bidi="ar-SA"/>
        </w:rPr>
        <w:t xml:space="preserve"> 本法自1986年7月1日起施行。</w:t>
      </w:r>
      <w:r>
        <w:rPr>
          <w:rFonts w:hint="eastAsia" w:ascii="仿宋" w:hAnsi="仿宋" w:eastAsia="仿宋" w:cs="仿宋"/>
          <w:b w:val="0"/>
          <w:bCs w:val="0"/>
          <w:kern w:val="0"/>
          <w:sz w:val="32"/>
          <w:szCs w:val="32"/>
          <w:lang w:val="en-US" w:eastAsia="zh-CN"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187" w:name="_Toc12020"/>
      <w:r>
        <w:rPr>
          <w:rFonts w:hint="eastAsia" w:ascii="宋体" w:hAnsi="宋体" w:eastAsia="宋体" w:cs="宋体"/>
          <w:sz w:val="44"/>
          <w:szCs w:val="44"/>
        </w:rPr>
        <w:t>中华人民共和国畜牧法</w:t>
      </w:r>
      <w:bookmarkEnd w:id="187"/>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firstLine="0" w:firstLineChars="0"/>
        <w:textAlignment w:val="auto"/>
        <w:rPr>
          <w:rFonts w:hint="eastAsia" w:ascii="楷体" w:hAnsi="楷体" w:eastAsia="楷体" w:cs="楷体"/>
          <w:sz w:val="32"/>
          <w:szCs w:val="32"/>
        </w:rPr>
      </w:pPr>
      <w:r>
        <w:rPr>
          <w:rFonts w:hint="eastAsia" w:ascii="楷体" w:hAnsi="楷体" w:eastAsia="楷体" w:cs="楷体"/>
          <w:sz w:val="32"/>
          <w:szCs w:val="32"/>
        </w:rPr>
        <w:t>（2005年12月29日第十届全国人民代表大会常务委员会第十九次会议通过 根据2015年4月24日第十二届全国人民代表大会常务委员会第十四次会议《关于修改〈中华人民共和国计量法〉等五部法律的决定》修正）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rPr>
      </w:pPr>
      <w:r>
        <w:rPr>
          <w:rFonts w:hint="eastAsia" w:ascii="楷体" w:hAnsi="楷体" w:eastAsia="楷体" w:cs="楷体"/>
          <w:sz w:val="32"/>
          <w:szCs w:val="32"/>
        </w:rPr>
        <w:t>目录</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第一章　总则</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第二章　畜禽遗传资源保护</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第三章　种畜禽品种选育与生产经营</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第四章　畜禽养殖</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第五章　畜禽交易与运输</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第六章　质量安全保障</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第七章　法律责任</w:t>
      </w:r>
    </w:p>
    <w:p>
      <w:pPr>
        <w:widowControl w:val="0"/>
        <w:wordWrap/>
        <w:adjustRightInd/>
        <w:snapToGrid/>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第八章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为了规范畜牧业生产经营行为，保障畜禽产品质量安全，保护和合理利用畜禽遗传资源，维护畜牧业生产经营者的合法权益，促进畜牧业持续健康发展，制定本法。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在中华人民共和国境内从事畜禽的遗传资源保护利用、繁育、饲养、经营、运输等活动，适用本法。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本法所称畜禽，是指列入依照本法第十一条规定公布的畜禽遗传资源目录的畜禽。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蜂、蚕的资源保护利用和生产经营，适用本法有关规定。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家支持畜牧业发展，发挥畜牧业在发展农业、农村经济和增加农民收入中的作用。县级以上人民政府应当采取措施，加强畜牧业基础设施建设，鼓励和扶持发展规模化养殖，推进畜牧产业化经营，提高畜牧业综合生产能力，发展优质、高效、生态、安全的畜牧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国家帮助和扶持少数民族地区、贫困地区畜牧业的发展，保护和合理利用草原，改善畜牧业生产条件。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国家采取措施，培养畜牧兽医专业人才，发展畜牧兽医科学技术研究和推广事业，开展畜牧兽医科学技术知识的教育宣传工作和畜牧兽医信息服务，推进畜牧业科技进步。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畜牧业生产经营者可以依法自愿成立行业协会，为成员提供信息、技术、营销、培训等服务，加强行业自律，维护成员和行业利益。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畜牧业生产经营者应当依法履行动物防疫和环境保护义务，接受有关主管部门依法实施的监督检查。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国务院畜牧兽医行政主管部门负责全国畜牧业的监督管理工作。县级以上地方人民政府畜牧兽医行政主管部门负责本行政区域内的畜牧业监督管理工作。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县级以上人民政府有关主管部门在各自的职责范围内，负责有关促进畜牧业发展的工作。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第八条 </w:t>
      </w:r>
      <w:r>
        <w:rPr>
          <w:rFonts w:hint="eastAsia" w:ascii="仿宋" w:hAnsi="仿宋" w:eastAsia="仿宋" w:cs="仿宋"/>
          <w:sz w:val="32"/>
          <w:szCs w:val="32"/>
        </w:rPr>
        <w:t>国务院畜牧兽医行政主管部门应当指导畜牧业生产经营者改善畜禽繁育、饲养、运输的条件和环境。</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畜禽遗传资源保护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国家建立畜禽遗传资源保护制度。各级人民政府应当采取措施，加强畜禽遗传资源保护，畜禽遗传资源保护经费列入财政预算。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畜禽遗传资源保护以国家为主，鼓励和支持有关单位、个人依法发展畜禽遗传资源保护事业。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国务院畜牧兽医行政主管部门设立由专业人员组成的国家畜禽遗传资源委员会，负责畜禽遗传资源的鉴定、评估和畜禽新品种、配套系的审定，承担畜禽遗传资源保护和利用规划论证及有关畜禽遗传资源保护的咨询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国务院畜牧兽医行政主管部门负责组织畜禽遗传资源的调查工作，发布国家畜禽遗传资源状况报告，公布经国务院批准的畜禽遗传资源目录。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国务院畜牧兽医行政主管部门根据畜禽遗传资源分布状况，制定全国畜禽遗传资源保护和利用规划，制定并公布国家级畜禽遗传资源保护名录，对原产我国的珍贵、稀有、濒危的畜禽遗传资源实行重点保护。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省级人民政府畜牧兽医行政主管部门根据全国畜禽遗传资源保护和利用规划及本行政区域内畜禽遗传资源状况，制定和公布省级畜禽遗传资源保护名录，并报国务院畜牧兽医行政主管部门备案。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国务院畜牧兽医行政主管部门根据全国畜禽遗传资源保护和利用规划及国家级畜禽遗传资源保护名录，省级人民政府畜牧兽医行政主管部门根据省级畜禽遗传资源保护名录，分别建立或者确定畜禽遗传资源保种场、保护区和基因库，承担畜禽遗传资源保护任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享受中央和省级财政资金支持的畜禽遗传资源保种场、保护区和基因库，未经国务院畜牧兽医行政主管部门或者省级人民政府畜牧兽医行政主管部门批准，不得擅自处理受保护的畜禽遗传资源。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遗传资源基因库应当按照国务院畜牧兽医行政主管部门或者省级人民政府畜牧兽医行政主管部门的规定，定期采集和更新畜禽遗传材料。有关单位、个人应当配合畜禽遗传资源基因库采集畜禽遗传材料，并有权获得适当的经济补偿。</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畜禽遗传资源保种场、保护区和基因库的管理办法由国务院畜牧兽医行政主管部门制定。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新发现的畜禽遗传资源在国家畜禽遗传资源委员会鉴定前，省级人民政府畜牧兽医行政主管部门应当制定保护方案，采取临时保护措施，并报国务院畜牧兽医行政主管部门备案。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从境外引进畜禽遗传资源的，应当向省级人民政府畜牧兽医行政主管部门提出申请；受理申请的畜牧兽医行政主管部门经审核，报国务院畜牧兽医行政主管部门经评估论证后批准。经批准的，依照《中华人民共和国进出境动植物检疫法》的规定办理相关手续并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从境外引进的畜禽遗传资源被发现对境内畜禽遗传资源、生态环境有危害或者可能产生危害的，国务院畜牧兽医行政主管部门应当商有关主管部门，采取相应的安全控制措施。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向境外输出或者在境内与境外机构、个人合作研究利用列入保护名录的畜禽遗传资源的，应当向省级人民政府畜牧兽医行政主管部门提出申请，同时提出国家共享惠益的方案；受理申请的畜牧兽医行政主管部门经审核，报国务院畜牧兽医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向境外输出畜禽遗传资源的，还应当依照《中华人民共和国进出境动植物检疫法》的规定办理相关手续并实施检疫。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新发现的畜禽遗传资源在国家畜禽遗传资源委员会鉴定前，不得向境外输出，不得与境外机构、个人合作研究利用。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畜禽遗传资源的进出境和对外合作研究利用的审批办法由国务院规定。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种畜禽品种选育与生产经营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国家扶持畜禽品种的选育和优良品种的推广使用，支持企业、院校、科研机构和技术推广单位开展联合育种，建立畜禽良种繁育体系。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培育的畜禽新品种、配套系和新发现的畜禽遗传资源在推广前，应当通过国家畜禽遗传资源委员会审定或者鉴定，并由国务院畜牧兽医行政主管部门公告。畜禽新品种、配套系的审定办法和畜禽遗传资源的鉴定办法，由国务院畜牧兽医行政主管部门制定。审定或者鉴定所需的试验、检测等费用由申请者承担，收费办法由国务院财政、价格部门会同国务院畜牧兽医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培育新的畜禽品种、配套系进行中间试验，应当经试验所在地省级人民政府畜牧兽医行政主管部门批准。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畜禽新品种、配套系培育者的合法权益受法律保护。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转基因畜禽品种的培育、试验、审定和推广，应当符合国家有关农业转基因生物管理的规定。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省级以上畜牧兽医技术推广机构可以组织开展种畜优良个体登记，向社会推荐优良种畜。优良种畜登记规则由国务院畜牧兽医行政主管部门制定。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从事种畜禽生产经营或者生产商品代仔畜、雏禽的单位、个人，应当取得种畜禽生产经营许可证。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申请取得种畜禽生产经营许可证，应当具备下列条件：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（一）生产经营的种畜禽必须是通过国家畜禽遗传资源委员会审定或者鉴定的品种、配套系，或者是经批准引进的境外品种、配套系；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（二）有与生产经营规模相适应的畜牧兽医技术人员；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（三）有与生产经营规模相适应的繁育设施设备；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（四）具备法律、行政法规和国务院畜牧兽医行政主管部门规定的种畜禽防疫条件；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（五）有完善的质量管理和育种记录制度；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（六）具备法律、行政法规规定的其他条件。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申请取得生产家畜卵子、冷冻精液、胚胎等遗传材料的生产经营许可证，除应当符合本法第二十二条第二款规定的条件外，还应当具备下列条件：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（一）符合国务院畜牧兽医行政主管部门规定的实验室、保存和运输条件；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（二）符合国务院畜牧兽医行政主管部门规定的种畜数量和质量要求；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（三）体外授精取得的胚胎、使用的卵子来源明确，供体畜符合国家规定的种畜健康标准和质量要求；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（四）符合国务院畜牧兽医行政主管部门规定的其他技术要求。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申请取得生产家畜卵子、冷冻精液、胚胎等遗传材料的生产经营许可证，应当向省级人民政府畜牧兽医行政主管部门提出申请。受理申请的畜牧兽医行政主管部门应当自收到申请之日起六十个工作日内依法决定是否发给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其他种畜禽的生产经营许可证由县级以上地方人民政府畜牧兽医行政主管部门审核发放，具体审核发放办法由省级人民政府规定。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种畜禽生产经营许可证样式由国务院畜牧兽医行政主管部门制定，许可证有效期为三年。发放种畜禽生产经营许可证可以收取工本费，具体收费管理办法由国务院财政、价格部门制定。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种畜禽生产经营许可证应当注明生产经营者名称、场（厂）址、生产经营范围及许可证有效期的起止日期等。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禁止任何单位、个人无种畜禽生产经营许可证或者违反种畜禽生产经营许可证的规定生产经营种畜禽。禁止伪造、变造、转让、租借种畜禽生产经营许可证。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农户饲养的种畜禽用于自繁自养和有少量剩余仔畜、雏禽出售的，农户饲养种公畜进行互助配种的，不需要办理种畜禽生产经营许可证。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专门从事家畜人工授精、胚胎移植等繁殖工作的人员，应当取得相应的国家职业资格证书。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发布种畜禽广告的，广告主应当提供种畜禽生产经营许可证和营业执照。广告内容应当符合有关法律、行政法规的规定，并注明种畜禽品种、配套系的审定或者鉴定名称；对主要性状的描述应当符合该品种、配套系的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销售的种畜禽和家畜配种站（点）使用的种公畜，必须符合种用标准。销售种畜禽时，应当附具种畜禽场出具的种畜禽合格证明、动物防疫监督机构出具的检疫合格证明，销售的种畜还应当附具种畜禽场出具的家畜系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生产家畜卵子、冷冻精液、胚胎等遗传材料，应当有完整的采集、销售、移植等记录，记录应当保存二年。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第三十条 </w:t>
      </w:r>
      <w:r>
        <w:rPr>
          <w:rFonts w:hint="eastAsia" w:ascii="仿宋" w:hAnsi="仿宋" w:eastAsia="仿宋" w:cs="仿宋"/>
          <w:sz w:val="32"/>
          <w:szCs w:val="32"/>
        </w:rPr>
        <w:t>销售种畜禽，不得有下列行为：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（一）以其他畜禽品种、配套系冒充所销售的种畜禽品种、配套系；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（二）以低代别种畜禽冒充高代别种畜禽；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（三）以不符合种用标准的畜禽冒充种畜禽；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（四）销售未经批准进口的种畜禽；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（五）销售未附具本法第二十九条规定的种畜禽合格证明、检疫合格证明的种畜禽或者未附具家畜系谱的种畜；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（六）销售未经审定或者鉴定的种畜禽品种、配套系。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申请进口种畜禽的，应当持有种畜禽生产经营许可证。进口种畜禽的批准文件有效期为六个月。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进口的种畜禽应当符合国务院畜牧兽医行政主管部门规定的技术要求。首次进口的种畜禽还应当由国家畜禽遗传资源委员会进行种用性能的评估。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种畜禽的进出口管理除适用前两款的规定外，还适用本法第十五条和第十六条的相关规定。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国家鼓励畜禽养殖者对进口的畜禽进行新品种、配套系的选育；选育的新品种、配套系在推广前，应当经国家畜禽遗传资源委员会审定。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种畜禽场和孵化场（厂）销售商品代仔畜、雏禽的，应当向购买者提供其销售的商品代仔畜、雏禽的主要生产性能指标、免疫情况、饲养技术要求和有关咨询服务，并附具动物防疫监督机构出具的检疫合格证明。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销售种畜禽和商品代仔畜、雏禽，因质量问题给畜禽养殖者造成损失的，应当依法赔偿损失。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第三十三条 </w:t>
      </w:r>
      <w:r>
        <w:rPr>
          <w:rFonts w:hint="eastAsia" w:ascii="仿宋" w:hAnsi="仿宋" w:eastAsia="仿宋" w:cs="仿宋"/>
          <w:sz w:val="32"/>
          <w:szCs w:val="32"/>
        </w:rPr>
        <w:t>县级以上人民政府畜牧兽医行政主管部门负责种畜禽质量安全的监督管理工作。种畜禽质量安全的监督检验应当委托具有法定资质的种畜禽质量检验机构进行；所需检验费用按照国务院规定列支，不得向被检验人收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蚕种的资源保护、新品种选育、生产经营和推广适用本法有关规定，具体管理办法由国务院农业行政主管部门制定。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畜禽养殖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县级以上人民政府畜牧兽医行政主管部门应当根据畜牧业发展规划和市场需求，引导和支持畜牧业结构调整，发展优势畜禽生产，提高畜禽产品市场竞争力。</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国家支持草原牧区开展草原围栏、草原水利、草原改良、饲草饲料基地等草原基本建设，优化畜群结构，改良牲畜品种，转变生产方式，发展舍饲圈养、划区轮牧，逐步实现畜草平衡，改善草原生态环境。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国务院和省级人民政府应当在其财政预算内安排支持畜牧业发展的良种补贴、贴息补助等资金，并鼓励有关金融机构通过提供贷款、保险服务等形式，支持畜禽养殖者购买优良畜禽、繁育良种、改善生产设施、扩大养殖规模，提高养殖效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国家支持农村集体经济组织、农民和畜牧业合作经济组织建立畜禽养殖场、养殖小区，发展规模化、标准化养殖。乡（镇）土地利用总体规划应当根据本地实际情况安排畜禽养殖用地。农村集体经济组织、农民、畜牧业合作经济组织按照乡（镇）土地利用总体规划建立的畜禽养殖场、养殖小区用地按农业用地管理。畜禽养殖场、养殖小区用地使用权期限届满，需要恢复为原用途的，由畜禽养殖场、养殖小区土地使用权人负责恢复。在畜禽养殖场、养殖小区用地范围内需要兴建永久性建（构）筑物，涉及农用地转用的，依照《中华人民共和国土地管理法》的规定办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国家设立的畜牧兽医技术推广机构，应当向农民提供畜禽养殖技术培训、良种推广、疫病防治等服务。县级以上人民政府应当保障国家设立的畜牧兽医技术推广机构从事公益性技术服务的工作经费。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国家鼓励畜禽产品加工企业和其他相关生产经营者为畜禽养殖者提供所需的服务。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畜禽养殖场、养殖小区应当具备下列条件：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（一）有与其饲养规模相适应的生产场所和配套的生产设施；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（二）有为其服务的畜牧兽医技术人员；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（三）具备法律、行政法规和国务院畜牧兽医行政主管部门规定的防疫条件；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（四）有对畜禽粪便、废水和其他固体废弃物进行综合利用的沼气池等设施或者其他无害化处理设施；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（五）具备法律、行政法规规定的其他条件。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养殖场、养殖小区兴办者应当将养殖场、养殖小区的名称、养殖地址、畜禽品种和养殖规模，向养殖场、养殖小区所在地县级人民政府畜牧兽医行政主管部门备案，取得畜禽标识代码。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省级人民政府根据本行政区域畜牧业发展状况制定畜禽养殖场、养殖小区的规模标准和备案程序。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禁止在下列区域内建设畜禽养殖场、养殖小区：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（一）生活饮用水的水源保护区，风景名胜区，以及自然保护区的核心区和缓冲区；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（二）城镇居民区、文化教育科学研究区等人口集中区域；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（三）法律、法规规定的其他禁养区域。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畜禽养殖场应当建立养殖档案，载明以下内容：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（一）畜禽的品种、数量、繁殖记录、标识情况、来源和进出场日期；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（二）饲料、饲料添加剂、兽药等投入品的来源、名称、使用对象、时间和用量；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（三）检疫、免疫、消毒情况；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（四）畜禽发病、死亡和无害化处理情况；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（五）国务院畜牧兽医行政主管部门规定的其他内容。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畜禽养殖场应当为其饲养的畜禽提供适当的繁殖条件和生存、生长环境。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从事畜禽养殖，不得有下列行为：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（一）违反法律、行政法规的规定和国家技术规范的强制性要求使用饲料、饲料添加剂、兽药；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（二）使用未经高温处理的餐馆、食堂的泔水饲喂家畜；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（三）在垃圾场或者使用垃圾场中的物质饲养畜禽；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（四）法律、行政法规和国务院畜牧兽医行政主管部门规定的危害人和畜禽健康的其他行为。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从事畜禽养殖，应当依照《中华人民共和国动物防疫法》的规定，做好畜禽疫病的防治工作。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第四十五条</w:t>
      </w:r>
      <w:r>
        <w:rPr>
          <w:rFonts w:hint="eastAsia" w:ascii="仿宋" w:hAnsi="仿宋" w:eastAsia="仿宋" w:cs="仿宋"/>
          <w:sz w:val="32"/>
          <w:szCs w:val="32"/>
        </w:rPr>
        <w:t xml:space="preserve"> 畜禽养殖者应当按照国家关于畜禽标识管理的规定，在应当加施标识的畜禽的指定部位加施标识。畜牧兽医行政主管部门提供标识不得收费，所需费用列入省级人民政府财政预算。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畜禽标识不得重复使用。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第四十六条</w:t>
      </w:r>
      <w:r>
        <w:rPr>
          <w:rFonts w:hint="eastAsia" w:ascii="仿宋" w:hAnsi="仿宋" w:eastAsia="仿宋" w:cs="仿宋"/>
          <w:sz w:val="32"/>
          <w:szCs w:val="32"/>
        </w:rPr>
        <w:t xml:space="preserve"> 畜禽养殖场、养殖小区应当保证畜禽粪便、废水及其他固体废弃物综合利用或者无害化处理设施的正常运转，保证污染物达标排放，防止污染环境。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畜禽养殖场、养殖小区违法排放畜禽粪便、废水及其他固体废弃物，造成环境污染危害的，应当排除危害，依法赔偿损失。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国家支持畜禽养殖场、养殖小区建设畜禽粪便、废水及其他固体废弃物的综合利用设施。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第四十七条</w:t>
      </w:r>
      <w:r>
        <w:rPr>
          <w:rFonts w:hint="eastAsia" w:ascii="仿宋" w:hAnsi="仿宋" w:eastAsia="仿宋" w:cs="仿宋"/>
          <w:sz w:val="32"/>
          <w:szCs w:val="32"/>
        </w:rPr>
        <w:t xml:space="preserve"> 国家鼓励发展养蜂业，维护养蜂生产者的合法权益。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有关部门应当积极宣传和推广蜜蜂授粉农艺措施。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第四十八条</w:t>
      </w:r>
      <w:r>
        <w:rPr>
          <w:rFonts w:hint="eastAsia" w:ascii="仿宋" w:hAnsi="仿宋" w:eastAsia="仿宋" w:cs="仿宋"/>
          <w:sz w:val="32"/>
          <w:szCs w:val="32"/>
        </w:rPr>
        <w:t xml:space="preserve"> 养蜂生产者在生产过程中，不得使用危害蜂产品质量安全的药品和容器，确保蜂产品质量。养蜂器具应当符合国家技术规范的强制性要求。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第四十九条</w:t>
      </w:r>
      <w:r>
        <w:rPr>
          <w:rFonts w:hint="eastAsia" w:ascii="仿宋" w:hAnsi="仿宋" w:eastAsia="仿宋" w:cs="仿宋"/>
          <w:sz w:val="32"/>
          <w:szCs w:val="32"/>
        </w:rPr>
        <w:t xml:space="preserve"> 养蜂生产者在转地放蜂时，当地公安、交通运输、畜牧兽医等有关部门应当为其提供必要的便利。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养蜂生产者在国内转地放蜂，凭国务院畜牧兽医行政主管部门统一格式印制的检疫合格证明运输蜂群，在检疫合格证明有效期内不得重复检疫。</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畜禽交易与运输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第五十条</w:t>
      </w:r>
      <w:r>
        <w:rPr>
          <w:rFonts w:hint="eastAsia" w:ascii="仿宋" w:hAnsi="仿宋" w:eastAsia="仿宋" w:cs="仿宋"/>
          <w:sz w:val="32"/>
          <w:szCs w:val="32"/>
        </w:rPr>
        <w:t xml:space="preserve"> 县级以上人民政府应当促进开放统一、竞争有序的畜禽交易市场建设。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县级以上人民政府畜牧兽医行政主管部门和其他有关主管部门应当组织搜集、整理、发布畜禽产销信息，为生产者提供信息服务。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第五十一条</w:t>
      </w:r>
      <w:r>
        <w:rPr>
          <w:rFonts w:hint="eastAsia" w:ascii="仿宋" w:hAnsi="仿宋" w:eastAsia="仿宋" w:cs="仿宋"/>
          <w:sz w:val="32"/>
          <w:szCs w:val="32"/>
        </w:rPr>
        <w:t xml:space="preserve"> 县级以上地方人民政府根据农产品批发市场发展规划，对在畜禽集散地建立畜禽批发市场给予扶持。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畜禽批发市场选址，应当符合法律、行政法规和国务院畜牧兽医行政主管部门规定的动物防疫条件，并距离种畜禽场和大型畜禽养殖场三公里以外。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第五十二条</w:t>
      </w:r>
      <w:r>
        <w:rPr>
          <w:rFonts w:hint="eastAsia" w:ascii="仿宋" w:hAnsi="仿宋" w:eastAsia="仿宋" w:cs="仿宋"/>
          <w:sz w:val="32"/>
          <w:szCs w:val="32"/>
        </w:rPr>
        <w:t xml:space="preserve"> 进行交易的畜禽必须符合国家技术规范的强制性要求。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国务院畜牧兽医行政主管部门规定应当加施标识而没有标识的畜禽，不得销售和收购。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第五十三条</w:t>
      </w:r>
      <w:r>
        <w:rPr>
          <w:rFonts w:hint="eastAsia" w:ascii="仿宋" w:hAnsi="仿宋" w:eastAsia="仿宋" w:cs="仿宋"/>
          <w:sz w:val="32"/>
          <w:szCs w:val="32"/>
        </w:rPr>
        <w:t xml:space="preserve"> 运输畜禽，必须符合法律、行政法规和国务院畜牧兽医行政主管部门规定的动物防疫条件，采取措施保护畜禽安全，并为运输的畜禽提供必要的空间和饲喂饮水条件。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有关部门对运输中的畜禽进行检查，应当有法律、行政法规的依据。</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质量安全保障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第五十四条</w:t>
      </w:r>
      <w:r>
        <w:rPr>
          <w:rFonts w:hint="eastAsia" w:ascii="仿宋" w:hAnsi="仿宋" w:eastAsia="仿宋" w:cs="仿宋"/>
          <w:sz w:val="32"/>
          <w:szCs w:val="32"/>
        </w:rPr>
        <w:t xml:space="preserve"> 县级以上人民政府应当组织畜牧兽医行政主管部门和其他有关主管部门，依照本法和有关法律、行政法规的规定，加强对畜禽饲养环境、种畜禽质量、饲料和兽药等投入品的使用以及畜禽交易与运输的监督管理。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第五十五条</w:t>
      </w:r>
      <w:r>
        <w:rPr>
          <w:rFonts w:hint="eastAsia" w:ascii="仿宋" w:hAnsi="仿宋" w:eastAsia="仿宋" w:cs="仿宋"/>
          <w:sz w:val="32"/>
          <w:szCs w:val="32"/>
        </w:rPr>
        <w:t xml:space="preserve"> 国务院畜牧兽医行政主管部门应当制定畜禽标识和养殖档案管理办法，采取措施落实畜禽产品质量责任追究制度。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第五十六条</w:t>
      </w:r>
      <w:r>
        <w:rPr>
          <w:rFonts w:hint="eastAsia" w:ascii="仿宋" w:hAnsi="仿宋" w:eastAsia="仿宋" w:cs="仿宋"/>
          <w:sz w:val="32"/>
          <w:szCs w:val="32"/>
        </w:rPr>
        <w:t xml:space="preserve"> 县级以上人民政府畜牧兽医行政主管部门应当制定畜禽质量安全监督检查计划，按计划开展监督抽查工作。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第五十七条</w:t>
      </w:r>
      <w:r>
        <w:rPr>
          <w:rFonts w:hint="eastAsia" w:ascii="仿宋" w:hAnsi="仿宋" w:eastAsia="仿宋" w:cs="仿宋"/>
          <w:sz w:val="32"/>
          <w:szCs w:val="32"/>
        </w:rPr>
        <w:t xml:space="preserve"> 省级以上人民政府畜牧兽医行政主管部门应当组织制定畜禽生产规范，指导畜禽的安全生产。</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第五十八条</w:t>
      </w:r>
      <w:r>
        <w:rPr>
          <w:rFonts w:hint="eastAsia" w:ascii="仿宋" w:hAnsi="仿宋" w:eastAsia="仿宋" w:cs="仿宋"/>
          <w:sz w:val="32"/>
          <w:szCs w:val="32"/>
        </w:rPr>
        <w:t xml:space="preserve"> 违反本法第十三条第二款规定，擅自处理受保护的畜禽遗传资源，造成畜禽遗传资源损失的，由省级以上人民政府畜牧兽医行政主管部门处五万元以上五十万元以下罚款。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第五十九条</w:t>
      </w:r>
      <w:r>
        <w:rPr>
          <w:rFonts w:hint="eastAsia" w:ascii="仿宋" w:hAnsi="仿宋" w:eastAsia="仿宋" w:cs="仿宋"/>
          <w:sz w:val="32"/>
          <w:szCs w:val="32"/>
        </w:rPr>
        <w:t xml:space="preserve"> 违反本法有关规定，有下列行为之一的，由省级以上人民政府畜牧兽医行政主管部门责令停止违法行为，没收畜禽遗传资源和违法所得，并处一万元以上五万元以下罚款：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（一）未经审核批准，从境外引进畜禽遗传资源的；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（二）未经审核批准，在境内与境外机构、个人合作研究利用列入保护名录的畜禽遗传资源的；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（三）在境内与境外机构、个人合作研究利用未经国家畜禽遗传资源委员会鉴定的新发现的畜禽遗传资源的。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第六十条</w:t>
      </w:r>
      <w:r>
        <w:rPr>
          <w:rFonts w:hint="eastAsia" w:ascii="仿宋" w:hAnsi="仿宋" w:eastAsia="仿宋" w:cs="仿宋"/>
          <w:sz w:val="32"/>
          <w:szCs w:val="32"/>
        </w:rPr>
        <w:t xml:space="preserve"> 未经国务院畜牧兽医行政主管部门批准，向境外输出畜禽遗传资源的，依照《中华人民共和国海关法》的有关规定追究法律责任。海关应当将扣留的畜禽遗传资源移送省级人民政府畜牧兽医行政主管部门处理。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第六十一条</w:t>
      </w:r>
      <w:r>
        <w:rPr>
          <w:rFonts w:hint="eastAsia" w:ascii="仿宋" w:hAnsi="仿宋" w:eastAsia="仿宋" w:cs="仿宋"/>
          <w:sz w:val="32"/>
          <w:szCs w:val="32"/>
        </w:rPr>
        <w:t xml:space="preserve"> 违反本法有关规定，销售、推广未经审定或者鉴定的畜禽品种的，由县级以上人民政府畜牧兽医行政主管部门责令停止违法行为，没收畜禽和违法所得；违法所得在五万元以上的，并处违法所得一倍以上三倍以下罚款；没有违法所得或者违法所得不足五万元的，并处五千元以上五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第六十二条 </w:t>
      </w:r>
      <w:r>
        <w:rPr>
          <w:rFonts w:hint="eastAsia" w:ascii="仿宋" w:hAnsi="仿宋" w:eastAsia="仿宋" w:cs="仿宋"/>
          <w:sz w:val="32"/>
          <w:szCs w:val="32"/>
        </w:rPr>
        <w:t>违反本法有关规定，无种畜禽生产经营许可证或者违反种畜禽生产经营许可证的规定生产经营种畜禽的，转让、租借种畜禽生产经营许可证的，由县级以上人民政府畜牧兽医行政主管部门责令停止违法行为，没收违法所得；违法所得在三万元以上的，并处违法所得一倍以上三倍以下罚款；没有违法所得或者违法所得不足三万元的，并处三千元以上三万元以下罚款。违反种畜禽生产经营许可证的规定生产经营种畜禽或者转让、租借种畜禽生产经营许可证，情节严重的，并处吊销种畜禽生产经营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第六十三条</w:t>
      </w:r>
      <w:r>
        <w:rPr>
          <w:rFonts w:hint="eastAsia" w:ascii="仿宋" w:hAnsi="仿宋" w:eastAsia="仿宋" w:cs="仿宋"/>
          <w:sz w:val="32"/>
          <w:szCs w:val="32"/>
        </w:rPr>
        <w:t xml:space="preserve"> 违反本法第二十八条规定的，依照《中华人民共和国广告法》的有关规定追究法律责任。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第六十四条</w:t>
      </w:r>
      <w:r>
        <w:rPr>
          <w:rFonts w:hint="eastAsia" w:ascii="仿宋" w:hAnsi="仿宋" w:eastAsia="仿宋" w:cs="仿宋"/>
          <w:sz w:val="32"/>
          <w:szCs w:val="32"/>
        </w:rPr>
        <w:t xml:space="preserve"> 违反本法有关规定，使用的种畜禽不符合种用标准的，由县级以上地方人民政府畜牧兽医行政主管部门责令停止违法行为，没收违法所得；违法所得在五千元以上的，并处违法所得一倍以上二倍以下罚款；没有违法所得或者违法所得不足五千元的，并处一千元以上五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第六十五条</w:t>
      </w:r>
      <w:r>
        <w:rPr>
          <w:rFonts w:hint="eastAsia" w:ascii="仿宋" w:hAnsi="仿宋" w:eastAsia="仿宋" w:cs="仿宋"/>
          <w:sz w:val="32"/>
          <w:szCs w:val="32"/>
        </w:rPr>
        <w:t xml:space="preserve"> 销售种畜禽有本法第三十条第一项至第四项违法行为之一的，由县级以上人民政府畜牧兽医行政主管部门或者工商行政管理部门责令停止销售，没收违法销售的畜禽和违法所得；违法所得在五万元以上的，并处违法所得一倍以上五倍以下罚款；没有违法所得或者违法所得不足五万元的，并处五千元以上五万元以下罚款；情节严重的，并处吊销种畜禽生产经营许可证或者营业执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第六十六条</w:t>
      </w:r>
      <w:r>
        <w:rPr>
          <w:rFonts w:hint="eastAsia" w:ascii="仿宋" w:hAnsi="仿宋" w:eastAsia="仿宋" w:cs="仿宋"/>
          <w:sz w:val="32"/>
          <w:szCs w:val="32"/>
        </w:rPr>
        <w:t xml:space="preserve"> 违反本法第四十一条规定，畜禽养殖场未建立养殖档案的，或者未按照规定保存养殖档案的，由县级以上人民政府畜牧兽医行政主管部门责令限期改正，可以处一万元以下罚款。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第六十七条</w:t>
      </w:r>
      <w:r>
        <w:rPr>
          <w:rFonts w:hint="eastAsia" w:ascii="仿宋" w:hAnsi="仿宋" w:eastAsia="仿宋" w:cs="仿宋"/>
          <w:sz w:val="32"/>
          <w:szCs w:val="32"/>
        </w:rPr>
        <w:t xml:space="preserve"> 违反本法第四十三条规定养殖畜禽的，依照有关法律、行政法规的规定处罚。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第六十八条</w:t>
      </w:r>
      <w:r>
        <w:rPr>
          <w:rFonts w:hint="eastAsia" w:ascii="仿宋" w:hAnsi="仿宋" w:eastAsia="仿宋" w:cs="仿宋"/>
          <w:sz w:val="32"/>
          <w:szCs w:val="32"/>
        </w:rPr>
        <w:t xml:space="preserve"> 违反本法有关规定，销售的种畜禽未附具种畜禽合格证明、检疫合格证明、家畜系谱的，销售、收购国务院畜牧兽医行政主管部门规定应当加施标识而没有标识的畜禽的，或者重复使用畜禽标识的，由县级以上地方人民政府畜牧兽医行政主管部门或者工商行政管理部门责令改正，可以处二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违反本法有关规定，使用伪造、变造的畜禽标识的，由县级以上人民政府畜牧兽医行政主管部门没收伪造、变造的畜禽标识和违法所得，并处三千元以上三万元以下罚款。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第六十九条</w:t>
      </w:r>
      <w:r>
        <w:rPr>
          <w:rFonts w:hint="eastAsia" w:ascii="仿宋" w:hAnsi="仿宋" w:eastAsia="仿宋" w:cs="仿宋"/>
          <w:sz w:val="32"/>
          <w:szCs w:val="32"/>
        </w:rPr>
        <w:t xml:space="preserve"> 销售不符合国家技术规范的强制性要求的畜禽的，由县级以上地方人民政府畜牧兽医行政主管部门或者工商行政管理部门责令停止违法行为，没收违法销售的畜禽和违法所得，并处违法所得一倍以上三倍以下罚款；情节严重的，由工商行政管理部门并处吊销营业执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第七十条 </w:t>
      </w:r>
      <w:r>
        <w:rPr>
          <w:rFonts w:hint="eastAsia" w:ascii="仿宋" w:hAnsi="仿宋" w:eastAsia="仿宋" w:cs="仿宋"/>
          <w:sz w:val="32"/>
          <w:szCs w:val="32"/>
        </w:rPr>
        <w:t>畜牧兽医行政主管部门的工作人员利用职务上的便利，收受他人财物或者谋取其他利益，对不符合法定条件的单位、个人核发许可证或者有关批准文件，不履行监督职责，或者发现违法行为不予查处的，依法给予行政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第七十一条</w:t>
      </w:r>
      <w:r>
        <w:rPr>
          <w:rFonts w:hint="eastAsia" w:ascii="仿宋" w:hAnsi="仿宋" w:eastAsia="仿宋" w:cs="仿宋"/>
          <w:sz w:val="32"/>
          <w:szCs w:val="32"/>
        </w:rPr>
        <w:t xml:space="preserve"> 违反本法规定，构成犯罪的，依法追究刑事责任。</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第七十二条</w:t>
      </w:r>
      <w:r>
        <w:rPr>
          <w:rFonts w:hint="eastAsia" w:ascii="仿宋" w:hAnsi="仿宋" w:eastAsia="仿宋" w:cs="仿宋"/>
          <w:sz w:val="32"/>
          <w:szCs w:val="32"/>
        </w:rPr>
        <w:t xml:space="preserve"> 本法所称畜禽遗传资源，是指畜禽及其卵子（蛋）、胚胎、精液、基因物质等遗传材料。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本法所称种畜禽，是指经过选育、具有种用价值、适于繁殖后代的畜禽及其卵子（蛋）、胚胎、精液等。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第七十三条</w:t>
      </w:r>
      <w:r>
        <w:rPr>
          <w:rFonts w:hint="eastAsia" w:ascii="仿宋" w:hAnsi="仿宋" w:eastAsia="仿宋" w:cs="仿宋"/>
          <w:sz w:val="32"/>
          <w:szCs w:val="32"/>
        </w:rPr>
        <w:t xml:space="preserve"> 本法自2006年7月1日起施行。</w:t>
      </w:r>
    </w:p>
    <w:p>
      <w:pPr>
        <w:widowControl w:val="0"/>
        <w:wordWrap/>
        <w:adjustRightInd/>
        <w:snapToGrid/>
        <w:spacing w:line="560" w:lineRule="exact"/>
        <w:textAlignment w:val="auto"/>
        <w:rPr>
          <w:rFonts w:hint="eastAsia" w:ascii="宋体" w:hAnsi="宋体" w:eastAsia="宋体" w:cs="宋体"/>
          <w:b w:val="0"/>
          <w:bCs w:val="0"/>
          <w:kern w:val="0"/>
          <w:sz w:val="44"/>
          <w:szCs w:val="44"/>
          <w:lang w:val="en-US" w:eastAsia="zh-CN" w:bidi="ar-SA"/>
        </w:rPr>
      </w:pPr>
    </w:p>
    <w:p>
      <w:pPr>
        <w:rPr>
          <w:rFonts w:hint="eastAsia" w:ascii="宋体" w:hAnsi="宋体" w:eastAsia="宋体" w:cs="宋体"/>
          <w:b w:val="0"/>
          <w:bCs w:val="0"/>
          <w:kern w:val="0"/>
          <w:sz w:val="44"/>
          <w:szCs w:val="44"/>
          <w:lang w:val="en-US" w:eastAsia="zh-CN" w:bidi="ar-SA"/>
        </w:rPr>
      </w:pPr>
      <w:r>
        <w:rPr>
          <w:rFonts w:hint="eastAsia" w:ascii="宋体" w:hAnsi="宋体" w:eastAsia="宋体" w:cs="宋体"/>
          <w:b w:val="0"/>
          <w:bCs w:val="0"/>
          <w:kern w:val="0"/>
          <w:sz w:val="44"/>
          <w:szCs w:val="44"/>
          <w:lang w:val="en-US" w:eastAsia="zh-CN" w:bidi="ar-SA"/>
        </w:rPr>
        <w:br w:type="page"/>
      </w:r>
    </w:p>
    <w:p>
      <w:pPr>
        <w:rPr>
          <w:rFonts w:hint="eastAsia" w:ascii="宋体" w:hAnsi="宋体" w:eastAsia="宋体" w:cs="Arial"/>
          <w:kern w:val="0"/>
          <w:szCs w:val="32"/>
        </w:rPr>
      </w:pPr>
      <w:bookmarkStart w:id="188" w:name="_Toc18365"/>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中华人民共和国动物防疫法</w:t>
      </w:r>
    </w:p>
    <w:p>
      <w:pPr>
        <w:ind w:left="640" w:leftChars="200" w:right="640" w:rightChars="200"/>
        <w:rPr>
          <w:rFonts w:ascii="宋体" w:hAnsi="宋体" w:eastAsia="宋体" w:cs="Arial"/>
          <w:bCs/>
          <w:szCs w:val="32"/>
        </w:rPr>
      </w:pPr>
    </w:p>
    <w:p>
      <w:pPr>
        <w:spacing w:line="560" w:lineRule="exact"/>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1997</w:t>
      </w:r>
      <w:r>
        <w:rPr>
          <w:rFonts w:hint="eastAsia" w:ascii="楷体_GB2312" w:hAnsi="Arial" w:eastAsia="楷体_GB2312" w:cs="Arial"/>
          <w:szCs w:val="32"/>
        </w:rPr>
        <w:t>年</w:t>
      </w:r>
      <w:r>
        <w:rPr>
          <w:rFonts w:hint="default" w:ascii="Times New Roman" w:hAnsi="Times New Roman" w:eastAsia="楷体_GB2312" w:cs="Times New Roman"/>
          <w:szCs w:val="32"/>
        </w:rPr>
        <w:t>7</w:t>
      </w:r>
      <w:r>
        <w:rPr>
          <w:rFonts w:hint="eastAsia" w:ascii="楷体_GB2312" w:hAnsi="Arial" w:eastAsia="楷体_GB2312" w:cs="Arial"/>
          <w:szCs w:val="32"/>
        </w:rPr>
        <w:t>月</w:t>
      </w:r>
      <w:r>
        <w:rPr>
          <w:rFonts w:hint="default" w:ascii="Times New Roman" w:hAnsi="Times New Roman" w:eastAsia="楷体_GB2312" w:cs="Times New Roman"/>
          <w:szCs w:val="32"/>
        </w:rPr>
        <w:t>3</w:t>
      </w:r>
      <w:r>
        <w:rPr>
          <w:rFonts w:hint="eastAsia" w:ascii="楷体_GB2312" w:hAnsi="Arial" w:eastAsia="楷体_GB2312" w:cs="Arial"/>
          <w:szCs w:val="32"/>
        </w:rPr>
        <w:t>日第八届全国人民代表大会常务委员会第二十六次会议通过　</w:t>
      </w:r>
      <w:r>
        <w:rPr>
          <w:rFonts w:hint="default" w:ascii="Times New Roman" w:hAnsi="Times New Roman" w:eastAsia="楷体_GB2312" w:cs="Times New Roman"/>
          <w:szCs w:val="32"/>
        </w:rPr>
        <w:t>2007</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30</w:t>
      </w:r>
      <w:r>
        <w:rPr>
          <w:rFonts w:hint="eastAsia" w:ascii="楷体_GB2312" w:hAnsi="Arial" w:eastAsia="楷体_GB2312" w:cs="Arial"/>
          <w:szCs w:val="32"/>
        </w:rPr>
        <w:t>日第十届全国人民代表大会常务委员会第二十九次会议第一次修订　根据</w:t>
      </w:r>
      <w:r>
        <w:rPr>
          <w:rFonts w:hint="default" w:ascii="Times New Roman" w:hAnsi="Times New Roman" w:eastAsia="楷体_GB2312" w:cs="Times New Roman"/>
          <w:szCs w:val="32"/>
        </w:rPr>
        <w:t>2013</w:t>
      </w:r>
      <w:r>
        <w:rPr>
          <w:rFonts w:hint="eastAsia" w:ascii="楷体_GB2312" w:hAnsi="Arial" w:eastAsia="楷体_GB2312" w:cs="Arial"/>
          <w:szCs w:val="32"/>
        </w:rPr>
        <w:t>年</w:t>
      </w:r>
      <w:r>
        <w:rPr>
          <w:rFonts w:hint="default" w:ascii="Times New Roman" w:hAnsi="Times New Roman" w:eastAsia="楷体_GB2312" w:cs="Times New Roman"/>
          <w:szCs w:val="32"/>
        </w:rPr>
        <w:t>6</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日第十二届全国人民代表大会常务委员会第三次会议《关于修改〈中华人民共和国文物保护法〉等十二部法律的决定》第一次修正　根据</w:t>
      </w:r>
      <w:r>
        <w:rPr>
          <w:rFonts w:hint="default" w:ascii="Times New Roman" w:hAnsi="Times New Roman" w:eastAsia="楷体_GB2312" w:cs="Times New Roman"/>
          <w:szCs w:val="32"/>
        </w:rPr>
        <w:t>2015</w:t>
      </w:r>
      <w:r>
        <w:rPr>
          <w:rFonts w:hint="eastAsia" w:ascii="楷体_GB2312" w:hAnsi="Arial" w:eastAsia="楷体_GB2312" w:cs="Arial"/>
          <w:szCs w:val="32"/>
        </w:rPr>
        <w:t>年</w:t>
      </w:r>
      <w:r>
        <w:rPr>
          <w:rFonts w:hint="default" w:ascii="Times New Roman" w:hAnsi="Times New Roman" w:eastAsia="楷体_GB2312" w:cs="Times New Roman"/>
          <w:szCs w:val="32"/>
        </w:rPr>
        <w:t>4</w:t>
      </w:r>
      <w:r>
        <w:rPr>
          <w:rFonts w:hint="eastAsia" w:ascii="楷体_GB2312" w:hAnsi="Arial" w:eastAsia="楷体_GB2312" w:cs="Arial"/>
          <w:szCs w:val="32"/>
        </w:rPr>
        <w:t>月</w:t>
      </w:r>
      <w:r>
        <w:rPr>
          <w:rFonts w:hint="default" w:ascii="Times New Roman" w:hAnsi="Times New Roman" w:eastAsia="楷体_GB2312" w:cs="Times New Roman"/>
          <w:szCs w:val="32"/>
        </w:rPr>
        <w:t>24</w:t>
      </w:r>
      <w:r>
        <w:rPr>
          <w:rFonts w:hint="eastAsia" w:ascii="楷体_GB2312" w:hAnsi="Arial" w:eastAsia="楷体_GB2312" w:cs="Arial"/>
          <w:szCs w:val="32"/>
        </w:rPr>
        <w:t>日第十二届全国人民代表大会常务委员会第十四次会议《关于修改〈中华人民共和国电力法〉等六部法律的决定》第二次修正　</w:t>
      </w:r>
      <w:r>
        <w:rPr>
          <w:rFonts w:hint="default" w:ascii="Times New Roman" w:hAnsi="Times New Roman" w:eastAsia="楷体_GB2312" w:cs="Times New Roman"/>
          <w:szCs w:val="32"/>
        </w:rPr>
        <w:t>2021</w:t>
      </w:r>
      <w:r>
        <w:rPr>
          <w:rFonts w:hint="eastAsia" w:ascii="楷体_GB2312" w:hAnsi="Arial" w:eastAsia="楷体_GB2312" w:cs="Arial"/>
          <w:szCs w:val="32"/>
        </w:rPr>
        <w:t>年</w:t>
      </w:r>
      <w:r>
        <w:rPr>
          <w:rFonts w:hint="default" w:ascii="Times New Roman" w:hAnsi="Times New Roman" w:eastAsia="楷体_GB2312" w:cs="Times New Roman"/>
          <w:szCs w:val="32"/>
        </w:rPr>
        <w:t>1</w:t>
      </w:r>
      <w:r>
        <w:rPr>
          <w:rFonts w:hint="eastAsia" w:ascii="楷体_GB2312" w:hAnsi="Arial" w:eastAsia="楷体_GB2312" w:cs="Arial"/>
          <w:szCs w:val="32"/>
        </w:rPr>
        <w:t>月</w:t>
      </w:r>
      <w:r>
        <w:rPr>
          <w:rFonts w:hint="default" w:ascii="Times New Roman" w:hAnsi="Times New Roman" w:eastAsia="楷体_GB2312" w:cs="Times New Roman"/>
          <w:szCs w:val="32"/>
        </w:rPr>
        <w:t>22</w:t>
      </w:r>
      <w:r>
        <w:rPr>
          <w:rFonts w:hint="eastAsia" w:ascii="楷体_GB2312" w:hAnsi="Arial" w:eastAsia="楷体_GB2312" w:cs="Arial"/>
          <w:szCs w:val="32"/>
        </w:rPr>
        <w:t>日第十三届全国人民代表大会常务委员会第二十五次会议第二次修订）</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楷体_GB2312" w:hAnsi="楷体_GB2312" w:eastAsia="楷体_GB2312" w:cs="楷体_GB2312"/>
          <w:sz w:val="32"/>
        </w:rPr>
        <w:t>目　　录</w:t>
      </w:r>
    </w:p>
    <w:p>
      <w:pPr>
        <w:spacing w:line="560" w:lineRule="exact"/>
        <w:ind w:firstLine="640"/>
        <w:jc w:val="both"/>
      </w:pPr>
      <w:r>
        <w:rPr>
          <w:rFonts w:ascii="楷体_GB2312" w:hAnsi="楷体_GB2312" w:eastAsia="楷体_GB2312" w:cs="楷体_GB2312"/>
          <w:sz w:val="32"/>
        </w:rPr>
        <w:t>第一章　总则</w:t>
      </w:r>
    </w:p>
    <w:p>
      <w:pPr>
        <w:spacing w:line="560" w:lineRule="exact"/>
        <w:ind w:firstLine="640"/>
        <w:jc w:val="both"/>
      </w:pPr>
      <w:r>
        <w:rPr>
          <w:rFonts w:ascii="楷体_GB2312" w:hAnsi="楷体_GB2312" w:eastAsia="楷体_GB2312" w:cs="楷体_GB2312"/>
          <w:sz w:val="32"/>
        </w:rPr>
        <w:t>第二章　动物疫病的预防</w:t>
      </w:r>
    </w:p>
    <w:p>
      <w:pPr>
        <w:spacing w:line="560" w:lineRule="exact"/>
        <w:ind w:firstLine="640"/>
        <w:jc w:val="both"/>
      </w:pPr>
      <w:r>
        <w:rPr>
          <w:rFonts w:ascii="楷体_GB2312" w:hAnsi="楷体_GB2312" w:eastAsia="楷体_GB2312" w:cs="楷体_GB2312"/>
          <w:sz w:val="32"/>
        </w:rPr>
        <w:t>第三章　动物疫情的报告、通报和公布</w:t>
      </w:r>
    </w:p>
    <w:p>
      <w:pPr>
        <w:spacing w:line="560" w:lineRule="exact"/>
        <w:ind w:firstLine="640"/>
        <w:jc w:val="both"/>
      </w:pPr>
      <w:r>
        <w:rPr>
          <w:rFonts w:ascii="楷体_GB2312" w:hAnsi="楷体_GB2312" w:eastAsia="楷体_GB2312" w:cs="楷体_GB2312"/>
          <w:sz w:val="32"/>
        </w:rPr>
        <w:t>第四章　动物疫病的控制</w:t>
      </w:r>
    </w:p>
    <w:p>
      <w:pPr>
        <w:spacing w:line="560" w:lineRule="exact"/>
        <w:ind w:firstLine="640"/>
        <w:jc w:val="both"/>
      </w:pPr>
      <w:r>
        <w:rPr>
          <w:rFonts w:ascii="楷体_GB2312" w:hAnsi="楷体_GB2312" w:eastAsia="楷体_GB2312" w:cs="楷体_GB2312"/>
          <w:sz w:val="32"/>
        </w:rPr>
        <w:t>第五章　动物和动物产品的检疫</w:t>
      </w:r>
    </w:p>
    <w:p>
      <w:pPr>
        <w:spacing w:line="560" w:lineRule="exact"/>
        <w:ind w:firstLine="640"/>
        <w:jc w:val="both"/>
      </w:pPr>
      <w:r>
        <w:rPr>
          <w:rFonts w:ascii="楷体_GB2312" w:hAnsi="楷体_GB2312" w:eastAsia="楷体_GB2312" w:cs="楷体_GB2312"/>
          <w:sz w:val="32"/>
        </w:rPr>
        <w:t>第六章　病死动物和病害动物产品的无害化处理</w:t>
      </w:r>
    </w:p>
    <w:p>
      <w:pPr>
        <w:spacing w:line="560" w:lineRule="exact"/>
        <w:ind w:firstLine="640"/>
        <w:jc w:val="both"/>
      </w:pPr>
      <w:r>
        <w:rPr>
          <w:rFonts w:ascii="楷体_GB2312" w:hAnsi="楷体_GB2312" w:eastAsia="楷体_GB2312" w:cs="楷体_GB2312"/>
          <w:sz w:val="32"/>
        </w:rPr>
        <w:t>第七章　动物诊疗</w:t>
      </w:r>
    </w:p>
    <w:p>
      <w:pPr>
        <w:spacing w:line="560" w:lineRule="exact"/>
        <w:ind w:firstLine="640"/>
        <w:jc w:val="both"/>
      </w:pPr>
      <w:r>
        <w:rPr>
          <w:rFonts w:ascii="楷体_GB2312" w:hAnsi="楷体_GB2312" w:eastAsia="楷体_GB2312" w:cs="楷体_GB2312"/>
          <w:sz w:val="32"/>
        </w:rPr>
        <w:t>第八章　兽医管理</w:t>
      </w:r>
    </w:p>
    <w:p>
      <w:pPr>
        <w:spacing w:line="560" w:lineRule="exact"/>
        <w:ind w:firstLine="640"/>
        <w:jc w:val="both"/>
      </w:pPr>
      <w:r>
        <w:rPr>
          <w:rFonts w:ascii="楷体_GB2312" w:hAnsi="楷体_GB2312" w:eastAsia="楷体_GB2312" w:cs="楷体_GB2312"/>
          <w:sz w:val="32"/>
        </w:rPr>
        <w:t>第九章　监督管理</w:t>
      </w:r>
    </w:p>
    <w:p>
      <w:pPr>
        <w:spacing w:line="560" w:lineRule="exact"/>
        <w:ind w:firstLine="640"/>
        <w:jc w:val="both"/>
      </w:pPr>
      <w:r>
        <w:rPr>
          <w:rFonts w:ascii="楷体_GB2312" w:hAnsi="楷体_GB2312" w:eastAsia="楷体_GB2312" w:cs="楷体_GB2312"/>
          <w:sz w:val="32"/>
        </w:rPr>
        <w:t>第十章　保障措施</w:t>
      </w:r>
    </w:p>
    <w:p>
      <w:pPr>
        <w:spacing w:line="560" w:lineRule="exact"/>
        <w:ind w:firstLine="640"/>
        <w:jc w:val="both"/>
      </w:pPr>
      <w:r>
        <w:rPr>
          <w:rFonts w:ascii="楷体_GB2312" w:hAnsi="楷体_GB2312" w:eastAsia="楷体_GB2312" w:cs="楷体_GB2312"/>
          <w:sz w:val="32"/>
        </w:rPr>
        <w:t>第十一章　法律责任</w:t>
      </w:r>
    </w:p>
    <w:p>
      <w:pPr>
        <w:spacing w:line="560" w:lineRule="exact"/>
        <w:ind w:firstLine="640"/>
        <w:jc w:val="both"/>
      </w:pPr>
      <w:r>
        <w:rPr>
          <w:rFonts w:ascii="楷体_GB2312" w:hAnsi="楷体_GB2312" w:eastAsia="楷体_GB2312" w:cs="楷体_GB2312"/>
          <w:sz w:val="32"/>
        </w:rPr>
        <w:t>第十二章　附则</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黑体" w:hAnsi="黑体" w:eastAsia="黑体" w:cs="黑体"/>
          <w:sz w:val="32"/>
        </w:rPr>
        <w:t>第一章　总则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为了加强对动物防疫活动的管理，预防、控制、净化、消灭动物疫病，促进养殖业发展，防控人畜共患传染病，保障公共卫生安全和人体健康，制定本法。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本法适用于在中华人民共和国领域内的动物防疫及其监督管理活动。</w:t>
      </w:r>
    </w:p>
    <w:p>
      <w:pPr>
        <w:spacing w:line="560" w:lineRule="exact"/>
        <w:ind w:firstLine="640"/>
        <w:jc w:val="both"/>
      </w:pPr>
      <w:r>
        <w:rPr>
          <w:rFonts w:ascii="仿宋_GB2312" w:hAnsi="仿宋_GB2312" w:eastAsia="仿宋_GB2312" w:cs="仿宋_GB2312"/>
          <w:sz w:val="32"/>
        </w:rPr>
        <w:t>进出境动物、动物产品的检疫，适用《中华人民共和国进出境动植物检疫法》。</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本法所称动物，是指家畜家禽和人工饲养、捕获的其他动物。</w:t>
      </w:r>
    </w:p>
    <w:p>
      <w:pPr>
        <w:spacing w:line="560" w:lineRule="exact"/>
        <w:ind w:firstLine="640"/>
        <w:jc w:val="both"/>
      </w:pPr>
      <w:r>
        <w:rPr>
          <w:rFonts w:ascii="仿宋_GB2312" w:hAnsi="仿宋_GB2312" w:eastAsia="仿宋_GB2312" w:cs="仿宋_GB2312"/>
          <w:sz w:val="32"/>
        </w:rPr>
        <w:t>本法所称动物产品，是指动物的肉、生皮、原毛、绒、脏器、脂、血液、精液、卵、胚胎、骨、蹄、头、角、筋以及可能传播动物疫病的奶、蛋等。</w:t>
      </w:r>
    </w:p>
    <w:p>
      <w:pPr>
        <w:spacing w:line="560" w:lineRule="exact"/>
        <w:ind w:firstLine="640"/>
        <w:jc w:val="both"/>
      </w:pPr>
      <w:r>
        <w:rPr>
          <w:rFonts w:ascii="仿宋_GB2312" w:hAnsi="仿宋_GB2312" w:eastAsia="仿宋_GB2312" w:cs="仿宋_GB2312"/>
          <w:sz w:val="32"/>
        </w:rPr>
        <w:t>本法所称动物疫病，是指动物传染病，包括寄生虫病。</w:t>
      </w:r>
    </w:p>
    <w:p>
      <w:pPr>
        <w:spacing w:line="560" w:lineRule="exact"/>
        <w:ind w:firstLine="640"/>
        <w:jc w:val="both"/>
      </w:pPr>
      <w:r>
        <w:rPr>
          <w:rFonts w:ascii="仿宋_GB2312" w:hAnsi="仿宋_GB2312" w:eastAsia="仿宋_GB2312" w:cs="仿宋_GB2312"/>
          <w:sz w:val="32"/>
        </w:rPr>
        <w:t>本法所称动物防疫，是指动物疫病的预防、控制、诊疗、净化、消灭和动物、动物产品的检疫，以及病死动物、病害动物产品的无害化处理。</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根据动物疫病对养殖业生产和人体健康的危害程度，本法规定的动物疫病分为下列三类：</w:t>
      </w:r>
    </w:p>
    <w:p>
      <w:pPr>
        <w:spacing w:line="560" w:lineRule="exact"/>
        <w:ind w:firstLine="640"/>
        <w:jc w:val="both"/>
      </w:pPr>
      <w:r>
        <w:rPr>
          <w:rFonts w:ascii="仿宋_GB2312" w:hAnsi="仿宋_GB2312" w:eastAsia="仿宋_GB2312" w:cs="仿宋_GB2312"/>
          <w:sz w:val="32"/>
        </w:rPr>
        <w:t>（一）一类疫病，是指口蹄疫、非洲猪瘟、高致病性禽流感等对人、动物构成特别严重危害，可能造成重大经济损失和社会影响，需要采取紧急、严厉的强制预防、控制等措施的；</w:t>
      </w:r>
    </w:p>
    <w:p>
      <w:pPr>
        <w:spacing w:line="560" w:lineRule="exact"/>
        <w:ind w:firstLine="640"/>
        <w:jc w:val="both"/>
      </w:pPr>
      <w:r>
        <w:rPr>
          <w:rFonts w:ascii="仿宋_GB2312" w:hAnsi="仿宋_GB2312" w:eastAsia="仿宋_GB2312" w:cs="仿宋_GB2312"/>
          <w:sz w:val="32"/>
        </w:rPr>
        <w:t>（二）二类疫病，是指狂犬病、布鲁氏菌病、草鱼出血病等对人、动物构成严重危害，可能造成较大经济损失和社会影响，需要采取严格预防、控制等措施的；</w:t>
      </w:r>
    </w:p>
    <w:p>
      <w:pPr>
        <w:spacing w:line="560" w:lineRule="exact"/>
        <w:ind w:firstLine="640"/>
        <w:jc w:val="both"/>
      </w:pPr>
      <w:r>
        <w:rPr>
          <w:rFonts w:ascii="仿宋_GB2312" w:hAnsi="仿宋_GB2312" w:eastAsia="仿宋_GB2312" w:cs="仿宋_GB2312"/>
          <w:sz w:val="32"/>
        </w:rPr>
        <w:t>（三）三类疫病，是指大肠杆菌病、禽结核病、鳖腮腺炎病等常见多发，对人、动物构成危害，可能造成一定程度的经济损失和社会影响，需要及时预防、控制的。</w:t>
      </w:r>
    </w:p>
    <w:p>
      <w:pPr>
        <w:spacing w:line="560" w:lineRule="exact"/>
        <w:ind w:firstLine="640"/>
        <w:jc w:val="both"/>
      </w:pPr>
      <w:r>
        <w:rPr>
          <w:rFonts w:ascii="仿宋_GB2312" w:hAnsi="仿宋_GB2312" w:eastAsia="仿宋_GB2312" w:cs="仿宋_GB2312"/>
          <w:sz w:val="32"/>
        </w:rPr>
        <w:t>前款一、二、三类动物疫病具体病种名录由国务院农业农村主管部门制定并公布。国务院农业农村主管部门应当根据动物疫病发生、流行情况和危害程度，及时增加、减少或者调整一、二、三类动物疫病具体病种并予以公布。</w:t>
      </w:r>
    </w:p>
    <w:p>
      <w:pPr>
        <w:spacing w:line="560" w:lineRule="exact"/>
        <w:ind w:firstLine="640"/>
        <w:jc w:val="both"/>
      </w:pPr>
      <w:r>
        <w:rPr>
          <w:rFonts w:ascii="仿宋_GB2312" w:hAnsi="仿宋_GB2312" w:eastAsia="仿宋_GB2312" w:cs="仿宋_GB2312"/>
          <w:sz w:val="32"/>
        </w:rPr>
        <w:t>人畜共患传染病名录由国务院农业农村主管部门会同国务院卫生健康、野生动物保护等主管部门制定并公布。</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动物防疫实行预防为主，预防与控制、净化、消灭相结合的方针。</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国家鼓励社会力量参与动物防疫工作。各级人民政府采取措施，支持单位和个人参与动物防疫的宣传教育、疫情报告、志愿服务和捐赠等活动。</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从事动物饲养、屠宰、经营、隔离、运输以及动物产品生产、经营、加工、贮藏等活动的单位和个人，依照本法和国务院农业农村主管部门的规定，做好免疫、消毒、检测、隔离、净化、消灭、无害化处理等动物防疫工作，承担动物防疫相关责任。</w:t>
      </w: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县级以上人民政府对动物防疫工作实行统一领导，采取有效措施稳定基层机构队伍，加强动物防疫队伍建设，建立健全动物防疫体系，制定并组织实施动物疫病防治规划。</w:t>
      </w:r>
    </w:p>
    <w:p>
      <w:pPr>
        <w:spacing w:line="560" w:lineRule="exact"/>
        <w:ind w:firstLine="640"/>
        <w:jc w:val="both"/>
      </w:pPr>
      <w:r>
        <w:rPr>
          <w:rFonts w:ascii="仿宋_GB2312" w:hAnsi="仿宋_GB2312" w:eastAsia="仿宋_GB2312" w:cs="仿宋_GB2312"/>
          <w:sz w:val="32"/>
        </w:rPr>
        <w:t>乡级人民政府、街道办事处组织群众做好本辖区的动物疫病预防与控制工作，村民委员会、居民委员会予以协助。</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国务院农业农村主管部门主管全国的动物防疫工作。</w:t>
      </w:r>
    </w:p>
    <w:p>
      <w:pPr>
        <w:spacing w:line="560" w:lineRule="exact"/>
        <w:ind w:firstLine="640"/>
        <w:jc w:val="both"/>
      </w:pPr>
      <w:r>
        <w:rPr>
          <w:rFonts w:ascii="仿宋_GB2312" w:hAnsi="仿宋_GB2312" w:eastAsia="仿宋_GB2312" w:cs="仿宋_GB2312"/>
          <w:sz w:val="32"/>
        </w:rPr>
        <w:t>县级以上地方人民政府农业农村主管部门主管本行政区域的动物防疫工作。</w:t>
      </w:r>
    </w:p>
    <w:p>
      <w:pPr>
        <w:spacing w:line="560" w:lineRule="exact"/>
        <w:ind w:firstLine="640"/>
        <w:jc w:val="both"/>
      </w:pPr>
      <w:r>
        <w:rPr>
          <w:rFonts w:ascii="仿宋_GB2312" w:hAnsi="仿宋_GB2312" w:eastAsia="仿宋_GB2312" w:cs="仿宋_GB2312"/>
          <w:sz w:val="32"/>
        </w:rPr>
        <w:t>县级以上人民政府其他有关部门在各自职责范围内做好动物防疫工作。</w:t>
      </w:r>
    </w:p>
    <w:p>
      <w:pPr>
        <w:spacing w:line="560" w:lineRule="exact"/>
        <w:ind w:firstLine="640"/>
        <w:jc w:val="both"/>
      </w:pPr>
      <w:r>
        <w:rPr>
          <w:rFonts w:ascii="仿宋_GB2312" w:hAnsi="仿宋_GB2312" w:eastAsia="仿宋_GB2312" w:cs="仿宋_GB2312"/>
          <w:sz w:val="32"/>
        </w:rPr>
        <w:t>军队动物卫生监督职能部门负责军队现役动物和饲养自用动物的防疫工作。</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县级以上人民政府卫生健康主管部门和本级人民政府农业农村、野生动物保护等主管部门应当建立人畜共患传染病防治的协作机制。</w:t>
      </w:r>
    </w:p>
    <w:p>
      <w:pPr>
        <w:spacing w:line="560" w:lineRule="exact"/>
        <w:ind w:firstLine="640"/>
        <w:jc w:val="both"/>
      </w:pPr>
      <w:r>
        <w:rPr>
          <w:rFonts w:ascii="仿宋_GB2312" w:hAnsi="仿宋_GB2312" w:eastAsia="仿宋_GB2312" w:cs="仿宋_GB2312"/>
          <w:sz w:val="32"/>
        </w:rPr>
        <w:t>国务院农业农村主管部门和海关总署等部门应当建立防止境外动物疫病输入的协作机制。</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县级以上地方人民政府的动物卫生监督机构依照本法规定，负责动物、动物产品的检疫工作。</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县级以上人民政府按照国务院的规定，根据统筹规划、合理布局、综合设置的原则建立动物疫病预防控制机构。</w:t>
      </w:r>
    </w:p>
    <w:p>
      <w:pPr>
        <w:spacing w:line="560" w:lineRule="exact"/>
        <w:ind w:firstLine="640"/>
        <w:jc w:val="both"/>
      </w:pPr>
      <w:r>
        <w:rPr>
          <w:rFonts w:ascii="仿宋_GB2312" w:hAnsi="仿宋_GB2312" w:eastAsia="仿宋_GB2312" w:cs="仿宋_GB2312"/>
          <w:sz w:val="32"/>
        </w:rPr>
        <w:t>动物疫病预防控制机构承担动物疫病的监测、检测、诊断、流行病学调查、疫情报告以及其他预防、控制等技术工作；承担动物疫病净化、消灭的技术工作。</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国家鼓励和支持开展动物疫病的科学研究以及国际合作与交流，推广先进适用的科学研究成果，提高动物疫病防治的科学技术水平。</w:t>
      </w:r>
    </w:p>
    <w:p>
      <w:pPr>
        <w:spacing w:line="560" w:lineRule="exact"/>
        <w:ind w:firstLine="640"/>
        <w:jc w:val="both"/>
      </w:pPr>
      <w:r>
        <w:rPr>
          <w:rFonts w:ascii="仿宋_GB2312" w:hAnsi="仿宋_GB2312" w:eastAsia="仿宋_GB2312" w:cs="仿宋_GB2312"/>
          <w:sz w:val="32"/>
        </w:rPr>
        <w:t>各级人民政府和有关部门、新闻媒体，应当加强对动物防疫法律法规和动物防疫知识的宣传。</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对在动物防疫工作、相关科学研究、动物疫情扑灭中做出贡献的单位和个人，各级人民政府和有关部门按照国家有关规定给予表彰、奖励。</w:t>
      </w:r>
    </w:p>
    <w:p>
      <w:pPr>
        <w:spacing w:line="560" w:lineRule="exact"/>
        <w:ind w:firstLine="640"/>
        <w:jc w:val="both"/>
      </w:pPr>
      <w:r>
        <w:rPr>
          <w:rFonts w:ascii="仿宋_GB2312" w:hAnsi="仿宋_GB2312" w:eastAsia="仿宋_GB2312" w:cs="仿宋_GB2312"/>
          <w:sz w:val="32"/>
        </w:rPr>
        <w:t>有关单位应当依法为动物防疫人员缴纳工伤保险费。对因参与动物防疫工作致病、致残、死亡的人员，按照国家有关规定给予补助或者抚恤。</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第二章　动物疫病的预防</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国家建立动物疫病风险评估制度。</w:t>
      </w:r>
    </w:p>
    <w:p>
      <w:pPr>
        <w:spacing w:line="560" w:lineRule="exact"/>
        <w:ind w:firstLine="640"/>
        <w:jc w:val="both"/>
      </w:pPr>
      <w:r>
        <w:rPr>
          <w:rFonts w:ascii="仿宋_GB2312" w:hAnsi="仿宋_GB2312" w:eastAsia="仿宋_GB2312" w:cs="仿宋_GB2312"/>
          <w:sz w:val="32"/>
        </w:rPr>
        <w:t>国务院农业农村主管部门根据国内外动物疫情以及保护养殖业生产和人体健康的需要，及时会同国务院卫生健康等有关部门对动物疫病进行风险评估，并制定、公布动物疫病预防、控制、净化、消灭措施和技术规范。</w:t>
      </w:r>
    </w:p>
    <w:p>
      <w:pPr>
        <w:spacing w:line="560" w:lineRule="exact"/>
        <w:ind w:firstLine="640"/>
        <w:jc w:val="both"/>
      </w:pPr>
      <w:r>
        <w:rPr>
          <w:rFonts w:ascii="仿宋_GB2312" w:hAnsi="仿宋_GB2312" w:eastAsia="仿宋_GB2312" w:cs="仿宋_GB2312"/>
          <w:sz w:val="32"/>
        </w:rPr>
        <w:t>省、自治区、直辖市人民政府农业农村主管部门会同本级人民政府卫生健康等有关部门开展本行政区域的动物疫病风险评估，并落实动物疫病预防、控制、净化、消灭措施。</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国家对严重危害养殖业生产和人体健康的动物疫病实施强制免疫。</w:t>
      </w:r>
    </w:p>
    <w:p>
      <w:pPr>
        <w:spacing w:line="560" w:lineRule="exact"/>
        <w:ind w:firstLine="640"/>
        <w:jc w:val="both"/>
      </w:pPr>
      <w:r>
        <w:rPr>
          <w:rFonts w:ascii="仿宋_GB2312" w:hAnsi="仿宋_GB2312" w:eastAsia="仿宋_GB2312" w:cs="仿宋_GB2312"/>
          <w:sz w:val="32"/>
        </w:rPr>
        <w:t>国务院农业农村主管部门确定强制免疫的动物疫病病种和区域。</w:t>
      </w:r>
    </w:p>
    <w:p>
      <w:pPr>
        <w:spacing w:line="560" w:lineRule="exact"/>
        <w:ind w:firstLine="640"/>
        <w:jc w:val="both"/>
      </w:pPr>
      <w:r>
        <w:rPr>
          <w:rFonts w:ascii="仿宋_GB2312" w:hAnsi="仿宋_GB2312" w:eastAsia="仿宋_GB2312" w:cs="仿宋_GB2312"/>
          <w:sz w:val="32"/>
        </w:rPr>
        <w:t>省、自治区、直辖市人民政府农业农村主管部门制定本行政区域的强制免疫计划；根据本行政区域动物疫病流行情况增加实施强制免疫的动物疫病病种和区域，报本级人民政府批准后执行，并报国务院农业农村主管部门备案。</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饲养动物的单位和个人应当履行动物疫病强制免疫义务，按照强制免疫计划和技术规范，对动物实施免疫接种，并按照国家有关规定建立免疫档案、加施畜禽标识，保证可追溯。</w:t>
      </w:r>
    </w:p>
    <w:p>
      <w:pPr>
        <w:spacing w:line="560" w:lineRule="exact"/>
        <w:ind w:firstLine="640"/>
        <w:jc w:val="both"/>
      </w:pPr>
      <w:r>
        <w:rPr>
          <w:rFonts w:ascii="仿宋_GB2312" w:hAnsi="仿宋_GB2312" w:eastAsia="仿宋_GB2312" w:cs="仿宋_GB2312"/>
          <w:sz w:val="32"/>
        </w:rPr>
        <w:t>实施强制免疫接种的动物未达到免疫质量要求，实施补充免疫接种后仍不符合免疫质量要求的，有关单位和个人应当按照国家有关规定处理。</w:t>
      </w:r>
    </w:p>
    <w:p>
      <w:pPr>
        <w:spacing w:line="560" w:lineRule="exact"/>
        <w:ind w:firstLine="640"/>
        <w:jc w:val="both"/>
      </w:pPr>
      <w:r>
        <w:rPr>
          <w:rFonts w:ascii="仿宋_GB2312" w:hAnsi="仿宋_GB2312" w:eastAsia="仿宋_GB2312" w:cs="仿宋_GB2312"/>
          <w:sz w:val="32"/>
        </w:rPr>
        <w:t>用于预防接种的疫苗应当符合国家质量标准。</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县级以上地方人民政府农业农村主管部门负责组织实施动物疫病强制免疫计划，并对饲养动物的单位和个人履行强制免疫义务的情况进行监督检查。</w:t>
      </w:r>
    </w:p>
    <w:p>
      <w:pPr>
        <w:spacing w:line="560" w:lineRule="exact"/>
        <w:ind w:firstLine="640"/>
        <w:jc w:val="both"/>
      </w:pPr>
      <w:r>
        <w:rPr>
          <w:rFonts w:ascii="仿宋_GB2312" w:hAnsi="仿宋_GB2312" w:eastAsia="仿宋_GB2312" w:cs="仿宋_GB2312"/>
          <w:sz w:val="32"/>
        </w:rPr>
        <w:t>乡级人民政府、街道办事处组织本辖区饲养动物的单位和个人做好强制免疫，协助做好监督检查；村民委员会、居民委员会协助做好相关工作。</w:t>
      </w:r>
    </w:p>
    <w:p>
      <w:pPr>
        <w:spacing w:line="560" w:lineRule="exact"/>
        <w:ind w:firstLine="640"/>
        <w:jc w:val="both"/>
      </w:pPr>
      <w:r>
        <w:rPr>
          <w:rFonts w:ascii="仿宋_GB2312" w:hAnsi="仿宋_GB2312" w:eastAsia="仿宋_GB2312" w:cs="仿宋_GB2312"/>
          <w:sz w:val="32"/>
        </w:rPr>
        <w:t>县级以上地方人民政府农业农村主管部门应当定期对本行政区域的强制免疫计划实施情况和效果进行评估，并向社会公布评估结果。</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国家实行动物疫病监测和疫情预警制度。</w:t>
      </w:r>
    </w:p>
    <w:p>
      <w:pPr>
        <w:spacing w:line="560" w:lineRule="exact"/>
        <w:ind w:firstLine="640"/>
        <w:jc w:val="both"/>
      </w:pPr>
      <w:r>
        <w:rPr>
          <w:rFonts w:ascii="仿宋_GB2312" w:hAnsi="仿宋_GB2312" w:eastAsia="仿宋_GB2312" w:cs="仿宋_GB2312"/>
          <w:sz w:val="32"/>
        </w:rPr>
        <w:t>县级以上人民政府建立健全动物疫病监测网络，加强动物疫病监测。</w:t>
      </w:r>
    </w:p>
    <w:p>
      <w:pPr>
        <w:spacing w:line="560" w:lineRule="exact"/>
        <w:ind w:firstLine="640"/>
        <w:jc w:val="both"/>
      </w:pPr>
      <w:r>
        <w:rPr>
          <w:rFonts w:ascii="仿宋_GB2312" w:hAnsi="仿宋_GB2312" w:eastAsia="仿宋_GB2312" w:cs="仿宋_GB2312"/>
          <w:sz w:val="32"/>
        </w:rPr>
        <w:t>国务院农业农村主管部门会同国务院有关部门制定国家动物疫病监测计划。省、自治区、直辖市人民政府农业农村主管部门根据国家动物疫病监测计划，制定本行政区域的动物疫病监测计划。</w:t>
      </w:r>
    </w:p>
    <w:p>
      <w:pPr>
        <w:spacing w:line="560" w:lineRule="exact"/>
        <w:ind w:firstLine="640"/>
        <w:jc w:val="both"/>
      </w:pPr>
      <w:r>
        <w:rPr>
          <w:rFonts w:ascii="仿宋_GB2312" w:hAnsi="仿宋_GB2312" w:eastAsia="仿宋_GB2312" w:cs="仿宋_GB2312"/>
          <w:sz w:val="32"/>
        </w:rPr>
        <w:t>动物疫病预防控制机构按照国务院农业农村主管部门的规定和动物疫病监测计划，对动物疫病的发生、流行等情况进行监测；从事动物饲养、屠宰、经营、隔离、运输以及动物产品生产、经营、加工、贮藏、无害化处理等活动的单位和个人不得拒绝或者阻碍。</w:t>
      </w:r>
    </w:p>
    <w:p>
      <w:pPr>
        <w:spacing w:line="560" w:lineRule="exact"/>
        <w:ind w:firstLine="640"/>
        <w:jc w:val="both"/>
      </w:pPr>
      <w:r>
        <w:rPr>
          <w:rFonts w:ascii="仿宋_GB2312" w:hAnsi="仿宋_GB2312" w:eastAsia="仿宋_GB2312" w:cs="仿宋_GB2312"/>
          <w:sz w:val="32"/>
        </w:rPr>
        <w:t>国务院农业农村主管部门和省、自治区、直辖市人民政府农业农村主管部门根据对动物疫病发生、流行趋势的预测，及时发出动物疫情预警。地方各级人民政府接到动物疫情预警后，应当及时采取预防、控制措施。</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陆路边境省、自治区人民政府根据动物疫病防控需要，合理设置动物疫病监测站点，健全监测工作机制，防范境外动物疫病传入。</w:t>
      </w:r>
    </w:p>
    <w:p>
      <w:pPr>
        <w:spacing w:line="560" w:lineRule="exact"/>
        <w:ind w:firstLine="640"/>
        <w:jc w:val="both"/>
      </w:pPr>
      <w:r>
        <w:rPr>
          <w:rFonts w:ascii="仿宋_GB2312" w:hAnsi="仿宋_GB2312" w:eastAsia="仿宋_GB2312" w:cs="仿宋_GB2312"/>
          <w:sz w:val="32"/>
        </w:rPr>
        <w:t>科技、海关等部门按照本法和有关法律法规的规定做好动物疫病监测预警工作，并定期与农业农村主管部门互通情况，紧急情况及时通报。</w:t>
      </w:r>
    </w:p>
    <w:p>
      <w:pPr>
        <w:spacing w:line="560" w:lineRule="exact"/>
        <w:ind w:firstLine="640"/>
        <w:jc w:val="both"/>
      </w:pPr>
      <w:r>
        <w:rPr>
          <w:rFonts w:ascii="仿宋_GB2312" w:hAnsi="仿宋_GB2312" w:eastAsia="仿宋_GB2312" w:cs="仿宋_GB2312"/>
          <w:sz w:val="32"/>
        </w:rPr>
        <w:t>县级以上人民政府应当完善野生动物疫源疫病监测体系和工作机制，根据需要合理布局监测站点；野生动物保护、农业农村主管部门按照职责分工做好野生动物疫源疫病监测等工作，并定期互通情况，紧急情况及时通报。</w:t>
      </w: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国家支持地方建立无规定动物疫病区，鼓励动物饲养场建设无规定动物疫病生物安全隔离区。对符合国务院农业农村主管部门规定标准的无规定动物疫病区和无规定动物疫病生物安全隔离区，国务院农业农村主管部门验收合格予以公布，并对其维持情况进行监督检查。</w:t>
      </w:r>
    </w:p>
    <w:p>
      <w:pPr>
        <w:spacing w:line="560" w:lineRule="exact"/>
        <w:ind w:firstLine="640"/>
        <w:jc w:val="both"/>
      </w:pPr>
      <w:r>
        <w:rPr>
          <w:rFonts w:ascii="仿宋_GB2312" w:hAnsi="仿宋_GB2312" w:eastAsia="仿宋_GB2312" w:cs="仿宋_GB2312"/>
          <w:sz w:val="32"/>
        </w:rPr>
        <w:t>省、自治区、直辖市人民政府制定并组织实施本行政区域的无规定动物疫病区建设方案。国务院农业农村主管部门指导跨省、自治区、直辖市无规定动物疫病区建设。</w:t>
      </w:r>
    </w:p>
    <w:p>
      <w:pPr>
        <w:spacing w:line="560" w:lineRule="exact"/>
        <w:ind w:firstLine="640"/>
        <w:jc w:val="both"/>
      </w:pPr>
      <w:r>
        <w:rPr>
          <w:rFonts w:ascii="仿宋_GB2312" w:hAnsi="仿宋_GB2312" w:eastAsia="仿宋_GB2312" w:cs="仿宋_GB2312"/>
          <w:sz w:val="32"/>
        </w:rPr>
        <w:t>国务院农业农村主管部门根据行政区划、养殖屠宰产业布局、风险评估情况等对动物疫病实施分区防控，可以采取禁止或者限制特定动物、动物产品跨区域调运等措施。</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国务院农业农村主管部门制定并组织实施动物疫病净化、消灭规划。</w:t>
      </w:r>
    </w:p>
    <w:p>
      <w:pPr>
        <w:spacing w:line="560" w:lineRule="exact"/>
        <w:ind w:firstLine="640"/>
        <w:jc w:val="both"/>
      </w:pPr>
      <w:r>
        <w:rPr>
          <w:rFonts w:ascii="仿宋_GB2312" w:hAnsi="仿宋_GB2312" w:eastAsia="仿宋_GB2312" w:cs="仿宋_GB2312"/>
          <w:sz w:val="32"/>
        </w:rPr>
        <w:t>县级以上地方人民政府根据动物疫病净化、消灭规划，制定并组织实施本行政区域的动物疫病净化、消灭计划。</w:t>
      </w:r>
    </w:p>
    <w:p>
      <w:pPr>
        <w:spacing w:line="560" w:lineRule="exact"/>
        <w:ind w:firstLine="640"/>
        <w:jc w:val="both"/>
      </w:pPr>
      <w:r>
        <w:rPr>
          <w:rFonts w:ascii="仿宋_GB2312" w:hAnsi="仿宋_GB2312" w:eastAsia="仿宋_GB2312" w:cs="仿宋_GB2312"/>
          <w:sz w:val="32"/>
        </w:rPr>
        <w:t>动物疫病预防控制机构按照动物疫病净化、消灭规划、计划，开展动物疫病净化技术指导、培训，对动物疫病净化效果进行监测、评估。</w:t>
      </w:r>
    </w:p>
    <w:p>
      <w:pPr>
        <w:spacing w:line="560" w:lineRule="exact"/>
        <w:ind w:firstLine="640"/>
        <w:jc w:val="both"/>
      </w:pPr>
      <w:r>
        <w:rPr>
          <w:rFonts w:ascii="仿宋_GB2312" w:hAnsi="仿宋_GB2312" w:eastAsia="仿宋_GB2312" w:cs="仿宋_GB2312"/>
          <w:sz w:val="32"/>
        </w:rPr>
        <w:t>国家推进动物疫病净化，鼓励和支持饲养动物的单位和个人开展动物疫病净化。饲养动物的单位和个人达到国务院农业农村主管部门规定的净化标准的，由省级以上人民政府农业农村主管部门予以公布。</w:t>
      </w: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种用、乳用动物应当符合国务院农业农村主管部门规定的健康标准。</w:t>
      </w:r>
    </w:p>
    <w:p>
      <w:pPr>
        <w:spacing w:line="560" w:lineRule="exact"/>
        <w:ind w:firstLine="640"/>
        <w:jc w:val="both"/>
      </w:pPr>
      <w:r>
        <w:rPr>
          <w:rFonts w:ascii="仿宋_GB2312" w:hAnsi="仿宋_GB2312" w:eastAsia="仿宋_GB2312" w:cs="仿宋_GB2312"/>
          <w:sz w:val="32"/>
        </w:rPr>
        <w:t>饲养种用、乳用动物的单位和个人，应当按照国务院农业农村主管部门的要求，定期开展动物疫病检测；检测不合格的，应当按照国家有关规定处理。</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动物饲养场和隔离场所、动物屠宰加工场所以及动物和动物产品无害化处理场所，应当符合下列动物防疫条件：</w:t>
      </w:r>
    </w:p>
    <w:p>
      <w:pPr>
        <w:spacing w:line="560" w:lineRule="exact"/>
        <w:ind w:firstLine="640"/>
        <w:jc w:val="both"/>
      </w:pPr>
      <w:r>
        <w:rPr>
          <w:rFonts w:ascii="仿宋_GB2312" w:hAnsi="仿宋_GB2312" w:eastAsia="仿宋_GB2312" w:cs="仿宋_GB2312"/>
          <w:sz w:val="32"/>
        </w:rPr>
        <w:t>（一）场所的位置与居民生活区、生活饮用水水源地、学校、医院等公共场所的距离符合国务院农业农村主管部门的规定；</w:t>
      </w:r>
    </w:p>
    <w:p>
      <w:pPr>
        <w:spacing w:line="560" w:lineRule="exact"/>
        <w:ind w:firstLine="640"/>
        <w:jc w:val="both"/>
      </w:pPr>
      <w:r>
        <w:rPr>
          <w:rFonts w:ascii="仿宋_GB2312" w:hAnsi="仿宋_GB2312" w:eastAsia="仿宋_GB2312" w:cs="仿宋_GB2312"/>
          <w:sz w:val="32"/>
        </w:rPr>
        <w:t>（二）生产经营区域封闭隔离，工程设计和有关流程符合动物防疫要求；</w:t>
      </w:r>
    </w:p>
    <w:p>
      <w:pPr>
        <w:spacing w:line="560" w:lineRule="exact"/>
        <w:ind w:firstLine="640"/>
        <w:jc w:val="both"/>
      </w:pPr>
      <w:r>
        <w:rPr>
          <w:rFonts w:ascii="仿宋_GB2312" w:hAnsi="仿宋_GB2312" w:eastAsia="仿宋_GB2312" w:cs="仿宋_GB2312"/>
          <w:sz w:val="32"/>
        </w:rPr>
        <w:t>（三）有与其规模相适应的污水、污物处理设施，病死动物、病害动物产品无害化处理设施设备或者冷藏冷冻设施设备，以及清洗消毒设施设备；</w:t>
      </w:r>
    </w:p>
    <w:p>
      <w:pPr>
        <w:spacing w:line="560" w:lineRule="exact"/>
        <w:ind w:firstLine="640"/>
        <w:jc w:val="both"/>
      </w:pPr>
      <w:r>
        <w:rPr>
          <w:rFonts w:ascii="仿宋_GB2312" w:hAnsi="仿宋_GB2312" w:eastAsia="仿宋_GB2312" w:cs="仿宋_GB2312"/>
          <w:sz w:val="32"/>
        </w:rPr>
        <w:t>（四）有与其规模相适应的执业兽医或者动物防疫技术人员；</w:t>
      </w:r>
    </w:p>
    <w:p>
      <w:pPr>
        <w:spacing w:line="560" w:lineRule="exact"/>
        <w:ind w:firstLine="640"/>
        <w:jc w:val="both"/>
      </w:pPr>
      <w:r>
        <w:rPr>
          <w:rFonts w:ascii="仿宋_GB2312" w:hAnsi="仿宋_GB2312" w:eastAsia="仿宋_GB2312" w:cs="仿宋_GB2312"/>
          <w:sz w:val="32"/>
        </w:rPr>
        <w:t>（五）有完善的隔离消毒、购销台账、日常巡查等动物防疫制度；</w:t>
      </w:r>
    </w:p>
    <w:p>
      <w:pPr>
        <w:spacing w:line="560" w:lineRule="exact"/>
        <w:ind w:firstLine="640"/>
        <w:jc w:val="both"/>
      </w:pPr>
      <w:r>
        <w:rPr>
          <w:rFonts w:ascii="仿宋_GB2312" w:hAnsi="仿宋_GB2312" w:eastAsia="仿宋_GB2312" w:cs="仿宋_GB2312"/>
          <w:sz w:val="32"/>
        </w:rPr>
        <w:t>（六）具备国务院农业农村主管部门规定的其他动物防疫条件。</w:t>
      </w:r>
    </w:p>
    <w:p>
      <w:pPr>
        <w:spacing w:line="560" w:lineRule="exact"/>
        <w:ind w:firstLine="640"/>
        <w:jc w:val="both"/>
      </w:pPr>
      <w:r>
        <w:rPr>
          <w:rFonts w:ascii="仿宋_GB2312" w:hAnsi="仿宋_GB2312" w:eastAsia="仿宋_GB2312" w:cs="仿宋_GB2312"/>
          <w:sz w:val="32"/>
        </w:rPr>
        <w:t>动物和动物产品无害化处理场所除应当符合前款规定的条件外，还应当具有病原检测设备、检测能力和符合动物防疫要求的专用运输车辆。</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国家实行动物防疫条件审查制度。</w:t>
      </w:r>
    </w:p>
    <w:p>
      <w:pPr>
        <w:spacing w:line="560" w:lineRule="exact"/>
        <w:ind w:firstLine="640"/>
        <w:jc w:val="both"/>
      </w:pPr>
      <w:r>
        <w:rPr>
          <w:rFonts w:ascii="仿宋_GB2312" w:hAnsi="仿宋_GB2312" w:eastAsia="仿宋_GB2312" w:cs="仿宋_GB2312"/>
          <w:sz w:val="32"/>
        </w:rPr>
        <w:t>开办动物饲养场和隔离场所、动物屠宰加工场所以及动物和动物产品无害化处理场所，应当向县级以上地方人民政府农业农村主管部门提出申请，并附具相关材料。受理申请的农业农村主管部门应当依照本法和《中华人民共和国行政许可法》的规定进行审查。经审查合格的，发给动物防疫条件合格证；不合格的，应当通知申请人并说明理由。</w:t>
      </w:r>
    </w:p>
    <w:p>
      <w:pPr>
        <w:spacing w:line="560" w:lineRule="exact"/>
        <w:ind w:firstLine="640"/>
        <w:jc w:val="both"/>
      </w:pPr>
      <w:r>
        <w:rPr>
          <w:rFonts w:ascii="仿宋_GB2312" w:hAnsi="仿宋_GB2312" w:eastAsia="仿宋_GB2312" w:cs="仿宋_GB2312"/>
          <w:sz w:val="32"/>
        </w:rPr>
        <w:t>动物防疫条件合格证应当载明申请人的名称（姓名）、场（厂）址、动物（动物产品）种类等事项。</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经营动物、动物产品的集贸市场应当具备国务院农业农村主管部门规定的动物防疫条件，并接受农业农村主管部门的监督检查。具体办法由国务院农业农村主管部门制定。</w:t>
      </w:r>
    </w:p>
    <w:p>
      <w:pPr>
        <w:spacing w:line="560" w:lineRule="exact"/>
        <w:ind w:firstLine="640"/>
        <w:jc w:val="both"/>
      </w:pPr>
      <w:r>
        <w:rPr>
          <w:rFonts w:ascii="仿宋_GB2312" w:hAnsi="仿宋_GB2312" w:eastAsia="仿宋_GB2312" w:cs="仿宋_GB2312"/>
          <w:sz w:val="32"/>
        </w:rPr>
        <w:t>县级以上地方人民政府应当根据本地情况，决定在城市特定区域禁止家畜家禽活体交易。</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动物、动物产品的运载工具、垫料、包装物、容器等应当符合国务院农业农村主管部门规定的动物防疫要求。</w:t>
      </w:r>
    </w:p>
    <w:p>
      <w:pPr>
        <w:spacing w:line="560" w:lineRule="exact"/>
        <w:ind w:firstLine="640"/>
        <w:jc w:val="both"/>
      </w:pPr>
      <w:r>
        <w:rPr>
          <w:rFonts w:ascii="仿宋_GB2312" w:hAnsi="仿宋_GB2312" w:eastAsia="仿宋_GB2312" w:cs="仿宋_GB2312"/>
          <w:sz w:val="32"/>
        </w:rPr>
        <w:t>染疫动物及其排泄物、染疫动物产品，运载工具中的动物排泄物以及垫料、包装物、容器等被污染的物品，应当按照国家有关规定处理，不得随意处置。</w:t>
      </w: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采集、保存、运输动物病料或者病原微生物以及从事病原微生物研究、教学、检测、诊断等活动，应当遵守国家有关病原微生物实验室管理的规定。</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禁止屠宰、经营、运输下列动物和生产、经营、加工、贮藏、运输下列动物产品：</w:t>
      </w:r>
    </w:p>
    <w:p>
      <w:pPr>
        <w:spacing w:line="560" w:lineRule="exact"/>
        <w:ind w:firstLine="640"/>
        <w:jc w:val="both"/>
      </w:pPr>
      <w:r>
        <w:rPr>
          <w:rFonts w:ascii="仿宋_GB2312" w:hAnsi="仿宋_GB2312" w:eastAsia="仿宋_GB2312" w:cs="仿宋_GB2312"/>
          <w:sz w:val="32"/>
        </w:rPr>
        <w:t>（一）封锁疫区内与所发生动物疫病有关的；</w:t>
      </w:r>
    </w:p>
    <w:p>
      <w:pPr>
        <w:spacing w:line="560" w:lineRule="exact"/>
        <w:ind w:firstLine="640"/>
        <w:jc w:val="both"/>
      </w:pPr>
      <w:r>
        <w:rPr>
          <w:rFonts w:ascii="仿宋_GB2312" w:hAnsi="仿宋_GB2312" w:eastAsia="仿宋_GB2312" w:cs="仿宋_GB2312"/>
          <w:sz w:val="32"/>
        </w:rPr>
        <w:t>（二）疫区内易感染的；</w:t>
      </w:r>
    </w:p>
    <w:p>
      <w:pPr>
        <w:spacing w:line="560" w:lineRule="exact"/>
        <w:ind w:firstLine="640"/>
        <w:jc w:val="both"/>
      </w:pPr>
      <w:r>
        <w:rPr>
          <w:rFonts w:ascii="仿宋_GB2312" w:hAnsi="仿宋_GB2312" w:eastAsia="仿宋_GB2312" w:cs="仿宋_GB2312"/>
          <w:sz w:val="32"/>
        </w:rPr>
        <w:t>（三）依法应当检疫而未经检疫或者检疫不合格的；</w:t>
      </w:r>
    </w:p>
    <w:p>
      <w:pPr>
        <w:spacing w:line="560" w:lineRule="exact"/>
        <w:ind w:firstLine="640"/>
        <w:jc w:val="both"/>
      </w:pPr>
      <w:r>
        <w:rPr>
          <w:rFonts w:ascii="仿宋_GB2312" w:hAnsi="仿宋_GB2312" w:eastAsia="仿宋_GB2312" w:cs="仿宋_GB2312"/>
          <w:sz w:val="32"/>
        </w:rPr>
        <w:t>（四）染疫或者疑似染疫的；</w:t>
      </w:r>
    </w:p>
    <w:p>
      <w:pPr>
        <w:spacing w:line="560" w:lineRule="exact"/>
        <w:ind w:firstLine="640"/>
        <w:jc w:val="both"/>
      </w:pPr>
      <w:r>
        <w:rPr>
          <w:rFonts w:ascii="仿宋_GB2312" w:hAnsi="仿宋_GB2312" w:eastAsia="仿宋_GB2312" w:cs="仿宋_GB2312"/>
          <w:sz w:val="32"/>
        </w:rPr>
        <w:t>（五）病死或者死因不明的；</w:t>
      </w:r>
    </w:p>
    <w:p>
      <w:pPr>
        <w:spacing w:line="560" w:lineRule="exact"/>
        <w:ind w:firstLine="640"/>
        <w:jc w:val="both"/>
      </w:pPr>
      <w:r>
        <w:rPr>
          <w:rFonts w:ascii="仿宋_GB2312" w:hAnsi="仿宋_GB2312" w:eastAsia="仿宋_GB2312" w:cs="仿宋_GB2312"/>
          <w:sz w:val="32"/>
        </w:rPr>
        <w:t>（六）其他不符合国务院农业农村主管部门有关动物防疫规定的。</w:t>
      </w:r>
    </w:p>
    <w:p>
      <w:pPr>
        <w:spacing w:line="560" w:lineRule="exact"/>
        <w:ind w:firstLine="640"/>
        <w:jc w:val="both"/>
      </w:pPr>
      <w:r>
        <w:rPr>
          <w:rFonts w:ascii="仿宋_GB2312" w:hAnsi="仿宋_GB2312" w:eastAsia="仿宋_GB2312" w:cs="仿宋_GB2312"/>
          <w:sz w:val="32"/>
        </w:rPr>
        <w:t>因实施集中无害化处理需要暂存、运输动物和动物产品并按照规定采取防疫措施的，不适用前款规定。</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单位和个人饲养犬只，应当按照规定定期免疫接种狂犬病疫苗，凭动物诊疗机构出具的免疫证明向所在地养犬登记机关申请登记。</w:t>
      </w:r>
    </w:p>
    <w:p>
      <w:pPr>
        <w:spacing w:line="560" w:lineRule="exact"/>
        <w:ind w:firstLine="640"/>
        <w:jc w:val="both"/>
      </w:pPr>
      <w:r>
        <w:rPr>
          <w:rFonts w:ascii="仿宋_GB2312" w:hAnsi="仿宋_GB2312" w:eastAsia="仿宋_GB2312" w:cs="仿宋_GB2312"/>
          <w:sz w:val="32"/>
        </w:rPr>
        <w:t>携带犬只出户的，应当按照规定佩戴犬牌并采取系犬绳等措施，防止犬只伤人、疫病传播。</w:t>
      </w:r>
    </w:p>
    <w:p>
      <w:pPr>
        <w:spacing w:line="560" w:lineRule="exact"/>
        <w:ind w:firstLine="640"/>
        <w:jc w:val="both"/>
      </w:pPr>
      <w:r>
        <w:rPr>
          <w:rFonts w:ascii="仿宋_GB2312" w:hAnsi="仿宋_GB2312" w:eastAsia="仿宋_GB2312" w:cs="仿宋_GB2312"/>
          <w:sz w:val="32"/>
        </w:rPr>
        <w:t>街道办事处、乡级人民政府组织协调居民委员会、村民委员会，做好本辖区流浪犬、猫的控制和处置，防止疫病传播。</w:t>
      </w:r>
    </w:p>
    <w:p>
      <w:pPr>
        <w:spacing w:line="560" w:lineRule="exact"/>
        <w:ind w:firstLine="640"/>
        <w:jc w:val="both"/>
      </w:pPr>
      <w:r>
        <w:rPr>
          <w:rFonts w:ascii="仿宋_GB2312" w:hAnsi="仿宋_GB2312" w:eastAsia="仿宋_GB2312" w:cs="仿宋_GB2312"/>
          <w:sz w:val="32"/>
        </w:rPr>
        <w:t>县级人民政府和乡级人民政府、街道办事处应当结合本地实际，做好农村地区饲养犬只的防疫管理工作。</w:t>
      </w:r>
    </w:p>
    <w:p>
      <w:pPr>
        <w:spacing w:line="560" w:lineRule="exact"/>
        <w:ind w:firstLine="640"/>
        <w:jc w:val="both"/>
      </w:pPr>
      <w:r>
        <w:rPr>
          <w:rFonts w:ascii="仿宋_GB2312" w:hAnsi="仿宋_GB2312" w:eastAsia="仿宋_GB2312" w:cs="仿宋_GB2312"/>
          <w:sz w:val="32"/>
        </w:rPr>
        <w:t>饲养犬只防疫管理的具体办法，由省、自治区、直辖市制定。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第三章　动物疫情的报告、通报和公布</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从事动物疫病监测、检测、检验检疫、研究、诊疗以及动物饲养、屠宰、经营、隔离、运输等活动的单位和个人，发现动物染疫或者疑似染疫的，应当立即向所在地农业农村主管部门或者动物疫病预防控制机构报告，并迅速采取隔离等控制措施，防止动物疫情扩散。其他单位和个人发现动物染疫或者疑似染疫的，应当及时报告。</w:t>
      </w:r>
    </w:p>
    <w:p>
      <w:pPr>
        <w:spacing w:line="560" w:lineRule="exact"/>
        <w:ind w:firstLine="640"/>
        <w:jc w:val="both"/>
      </w:pPr>
      <w:r>
        <w:rPr>
          <w:rFonts w:ascii="仿宋_GB2312" w:hAnsi="仿宋_GB2312" w:eastAsia="仿宋_GB2312" w:cs="仿宋_GB2312"/>
          <w:sz w:val="32"/>
        </w:rPr>
        <w:t>接到动物疫情报告的单位，应当及时采取临时隔离控制等必要措施，防止延误防控时机，并及时按照国家规定的程序上报。</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动物疫情由县级以上人民政府农业农村主管部门认定；其中重大动物疫情由省、自治区、直辖市人民政府农业农村主管部门认定，必要时报国务院农业农村主管部门认定。</w:t>
      </w:r>
    </w:p>
    <w:p>
      <w:pPr>
        <w:spacing w:line="560" w:lineRule="exact"/>
        <w:ind w:firstLine="640"/>
        <w:jc w:val="both"/>
      </w:pPr>
      <w:r>
        <w:rPr>
          <w:rFonts w:ascii="仿宋_GB2312" w:hAnsi="仿宋_GB2312" w:eastAsia="仿宋_GB2312" w:cs="仿宋_GB2312"/>
          <w:sz w:val="32"/>
        </w:rPr>
        <w:t>本法所称重大动物疫情，是指一、二、三类动物疫病突然发生，迅速传播，给养殖业生产安全造成严重威胁、危害，以及可能对公众身体健康与生命安全造成危害的情形。</w:t>
      </w:r>
    </w:p>
    <w:p>
      <w:pPr>
        <w:spacing w:line="560" w:lineRule="exact"/>
        <w:ind w:firstLine="640"/>
        <w:jc w:val="both"/>
      </w:pPr>
      <w:r>
        <w:rPr>
          <w:rFonts w:ascii="仿宋_GB2312" w:hAnsi="仿宋_GB2312" w:eastAsia="仿宋_GB2312" w:cs="仿宋_GB2312"/>
          <w:sz w:val="32"/>
        </w:rPr>
        <w:t>在重大动物疫情报告期间，必要时，所在地县级以上地方人民政府可以作出封锁决定并采取扑杀、销毁等措施。</w:t>
      </w: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国家实行动物疫情通报制度。</w:t>
      </w:r>
    </w:p>
    <w:p>
      <w:pPr>
        <w:spacing w:line="560" w:lineRule="exact"/>
        <w:ind w:firstLine="640"/>
        <w:jc w:val="both"/>
      </w:pPr>
      <w:r>
        <w:rPr>
          <w:rFonts w:ascii="仿宋_GB2312" w:hAnsi="仿宋_GB2312" w:eastAsia="仿宋_GB2312" w:cs="仿宋_GB2312"/>
          <w:sz w:val="32"/>
        </w:rPr>
        <w:t>国务院农业农村主管部门应当及时向国务院卫生健康等有关部门和军队有关部门以及省、自治区、直辖市人民政府农业农村主管部门通报重大动物疫情的发生和处置情况。</w:t>
      </w:r>
    </w:p>
    <w:p>
      <w:pPr>
        <w:spacing w:line="560" w:lineRule="exact"/>
        <w:ind w:firstLine="640"/>
        <w:jc w:val="both"/>
      </w:pPr>
      <w:r>
        <w:rPr>
          <w:rFonts w:ascii="仿宋_GB2312" w:hAnsi="仿宋_GB2312" w:eastAsia="仿宋_GB2312" w:cs="仿宋_GB2312"/>
          <w:sz w:val="32"/>
        </w:rPr>
        <w:t>海关发现进出境动物和动物产品染疫或者疑似染疫的，应当及时处置并向农业农村主管部门通报。</w:t>
      </w:r>
    </w:p>
    <w:p>
      <w:pPr>
        <w:spacing w:line="560" w:lineRule="exact"/>
        <w:ind w:firstLine="640"/>
        <w:jc w:val="both"/>
      </w:pPr>
      <w:r>
        <w:rPr>
          <w:rFonts w:ascii="仿宋_GB2312" w:hAnsi="仿宋_GB2312" w:eastAsia="仿宋_GB2312" w:cs="仿宋_GB2312"/>
          <w:sz w:val="32"/>
        </w:rPr>
        <w:t>县级以上地方人民政府野生动物保护主管部门发现野生动物染疫或者疑似染疫的，应当及时处置并向本级人民政府农业农村主管部门通报。</w:t>
      </w:r>
    </w:p>
    <w:p>
      <w:pPr>
        <w:spacing w:line="560" w:lineRule="exact"/>
        <w:ind w:firstLine="640"/>
        <w:jc w:val="both"/>
      </w:pPr>
      <w:r>
        <w:rPr>
          <w:rFonts w:ascii="仿宋_GB2312" w:hAnsi="仿宋_GB2312" w:eastAsia="仿宋_GB2312" w:cs="仿宋_GB2312"/>
          <w:sz w:val="32"/>
        </w:rPr>
        <w:t>国务院农业农村主管部门应当依照我国缔结或者参加的条约、协定，及时向有关国际组织或者贸易方通报重大动物疫情的发生和处置情况。</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发生人畜共患传染病疫情时，县级以上人民政府农业农村主管部门与本级人民政府卫生健康、野生动物保护等主管部门应当及时相互通报。</w:t>
      </w:r>
    </w:p>
    <w:p>
      <w:pPr>
        <w:spacing w:line="560" w:lineRule="exact"/>
        <w:ind w:firstLine="640"/>
        <w:jc w:val="both"/>
      </w:pPr>
      <w:r>
        <w:rPr>
          <w:rFonts w:ascii="仿宋_GB2312" w:hAnsi="仿宋_GB2312" w:eastAsia="仿宋_GB2312" w:cs="仿宋_GB2312"/>
          <w:sz w:val="32"/>
        </w:rPr>
        <w:t>发生人畜共患传染病时，卫生健康主管部门应当对疫区易感染的人群进行监测，并应当依照《中华人民共和国传染病防治法》的规定及时公布疫情，采取相应的预防、控制措施。</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患有人畜共患传染病的人员不得直接从事动物疫病监测、检测、检验检疫、诊疗以及易感染动物的饲养、屠宰、经营、隔离、运输等活动。</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国务院农业农村主管部门向社会及时公布全国动物疫情，也可以根据需要授权省、自治区、直辖市人民政府农业农村主管部门公布本行政区域的动物疫情。其他单位和个人不得发布动物疫情。</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任何单位和个人不得瞒报、谎报、迟报、漏报动物疫情，不得授意他人瞒报、谎报、迟报动物疫情，不得阻碍他人报告动物疫情。</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第四章　动物疫病的控制</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发生一类动物疫病时，应当采取下列控制措施：</w:t>
      </w:r>
    </w:p>
    <w:p>
      <w:pPr>
        <w:spacing w:line="560" w:lineRule="exact"/>
        <w:ind w:firstLine="640"/>
        <w:jc w:val="both"/>
      </w:pPr>
      <w:r>
        <w:rPr>
          <w:rFonts w:ascii="仿宋_GB2312" w:hAnsi="仿宋_GB2312" w:eastAsia="仿宋_GB2312" w:cs="仿宋_GB2312"/>
          <w:sz w:val="32"/>
        </w:rPr>
        <w:t>（一）所在地县级以上地方人民政府农业农村主管部门应当立即派人到现场，划定疫点、疫区、受威胁区，调查疫源，及时报请本级人民政府对疫区实行封锁。疫区范围涉及两个以上行政区域的，由有关行政区域共同的上一级人民政府对疫区实行封锁，或者由各有关行政区域的上一级人民政府共同对疫区实行封锁。必要时，上级人民政府可以责成下级人民政府对疫区实行封锁；</w:t>
      </w:r>
    </w:p>
    <w:p>
      <w:pPr>
        <w:spacing w:line="560" w:lineRule="exact"/>
        <w:ind w:firstLine="640"/>
        <w:jc w:val="both"/>
      </w:pPr>
      <w:r>
        <w:rPr>
          <w:rFonts w:ascii="仿宋_GB2312" w:hAnsi="仿宋_GB2312" w:eastAsia="仿宋_GB2312" w:cs="仿宋_GB2312"/>
          <w:sz w:val="32"/>
        </w:rPr>
        <w:t>（二）县级以上地方人民政府应当立即组织有关部门和单位采取封锁、隔离、扑杀、销毁、消毒、无害化处理、紧急免疫接种等强制性措施；</w:t>
      </w:r>
    </w:p>
    <w:p>
      <w:pPr>
        <w:spacing w:line="560" w:lineRule="exact"/>
        <w:ind w:firstLine="640"/>
        <w:jc w:val="both"/>
      </w:pPr>
      <w:r>
        <w:rPr>
          <w:rFonts w:ascii="仿宋_GB2312" w:hAnsi="仿宋_GB2312" w:eastAsia="仿宋_GB2312" w:cs="仿宋_GB2312"/>
          <w:sz w:val="32"/>
        </w:rPr>
        <w:t>（三）在封锁期间，禁止染疫、疑似染疫和易感染的动物、动物产品流出疫区，禁止非疫区的易感染动物进入疫区，并根据需要对出入疫区的人员、运输工具及有关物品采取消毒和其他限制性措施。</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发生二类动物疫病时，应当采取下列控制措施：</w:t>
      </w:r>
    </w:p>
    <w:p>
      <w:pPr>
        <w:spacing w:line="560" w:lineRule="exact"/>
        <w:ind w:firstLine="640"/>
        <w:jc w:val="both"/>
      </w:pPr>
      <w:r>
        <w:rPr>
          <w:rFonts w:ascii="仿宋_GB2312" w:hAnsi="仿宋_GB2312" w:eastAsia="仿宋_GB2312" w:cs="仿宋_GB2312"/>
          <w:sz w:val="32"/>
        </w:rPr>
        <w:t>（一）所在地县级以上地方人民政府农业农村主管部门应当划定疫点、疫区、受威胁区；</w:t>
      </w:r>
    </w:p>
    <w:p>
      <w:pPr>
        <w:spacing w:line="560" w:lineRule="exact"/>
        <w:ind w:firstLine="640"/>
        <w:jc w:val="both"/>
      </w:pPr>
      <w:r>
        <w:rPr>
          <w:rFonts w:ascii="仿宋_GB2312" w:hAnsi="仿宋_GB2312" w:eastAsia="仿宋_GB2312" w:cs="仿宋_GB2312"/>
          <w:sz w:val="32"/>
        </w:rPr>
        <w:t>（二）县级以上地方人民政府根据需要组织有关部门和单位采取隔离、扑杀、销毁、消毒、无害化处理、紧急免疫接种、限制易感染的动物和动物产品及有关物品出入等措施。</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疫点、疫区、受威胁区的撤销和疫区封锁的解除，按照国务院农业农村主管部门规定的标准和程序评估后，由原决定机关决定并宣布。</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发生三类动物疫病时，所在地县级、乡级人民政府应当按照国务院农业农村主管部门的规定组织防治。</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二、三类动物疫病呈暴发性流行时，按照一类动物疫病处理。</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疫区内有关单位和个人，应当遵守县级以上人民政府及其农业农村主管部门依法作出的有关控制动物疫病的规定。</w:t>
      </w:r>
    </w:p>
    <w:p>
      <w:pPr>
        <w:spacing w:line="560" w:lineRule="exact"/>
        <w:ind w:firstLine="640"/>
        <w:jc w:val="both"/>
      </w:pPr>
      <w:r>
        <w:rPr>
          <w:rFonts w:ascii="仿宋_GB2312" w:hAnsi="仿宋_GB2312" w:eastAsia="仿宋_GB2312" w:cs="仿宋_GB2312"/>
          <w:sz w:val="32"/>
        </w:rPr>
        <w:t>任何单位和个人不得藏匿、转移、盗掘已被依法隔离、封存、处理的动物和动物产品。</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发生动物疫情时，航空、铁路、道路、水路运输企业应当优先组织运送防疫人员和物资。</w:t>
      </w: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国务院农业农村主管部门根据动物疫病的性质、特点和可能造成的社会危害，制定国家重大动物疫情应急预案报国务院批准，并按照不同动物疫病病种、流行特点和危害程度，分别制定实施方案。</w:t>
      </w:r>
    </w:p>
    <w:p>
      <w:pPr>
        <w:spacing w:line="560" w:lineRule="exact"/>
        <w:ind w:firstLine="640"/>
        <w:jc w:val="both"/>
      </w:pPr>
      <w:r>
        <w:rPr>
          <w:rFonts w:ascii="仿宋_GB2312" w:hAnsi="仿宋_GB2312" w:eastAsia="仿宋_GB2312" w:cs="仿宋_GB2312"/>
          <w:sz w:val="32"/>
        </w:rPr>
        <w:t>县级以上地方人民政府根据上级重大动物疫情应急预案和本地区的实际情况，制定本行政区域的重大动物疫情应急预案，报上一级人民政府农业农村主管部门备案，并抄送上一级人民政府应急管理部门。县级以上地方人民政府农业农村主管部门按照不同动物疫病病种、流行特点和危害程度，分别制定实施方案。</w:t>
      </w:r>
    </w:p>
    <w:p>
      <w:pPr>
        <w:spacing w:line="560" w:lineRule="exact"/>
        <w:ind w:firstLine="640"/>
        <w:jc w:val="both"/>
      </w:pPr>
      <w:r>
        <w:rPr>
          <w:rFonts w:ascii="仿宋_GB2312" w:hAnsi="仿宋_GB2312" w:eastAsia="仿宋_GB2312" w:cs="仿宋_GB2312"/>
          <w:sz w:val="32"/>
        </w:rPr>
        <w:t>重大动物疫情应急预案和实施方案根据疫情状况及时调整。</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发生重大动物疫情时，国务院农业农村主管部门负责划定动物疫病风险区，禁止或者限制特定动物、动物产品由高风险区向低风险区调运。</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发生重大动物疫情时，依照法律和国务院的规定以及应急预案采取应急处置措施。</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第五章　动物和动物产品的检疫</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动物卫生监督机构依照本法和国务院农业农村主管部门的规定对动物、动物产品实施检疫。</w:t>
      </w:r>
    </w:p>
    <w:p>
      <w:pPr>
        <w:spacing w:line="560" w:lineRule="exact"/>
        <w:ind w:firstLine="640"/>
        <w:jc w:val="both"/>
      </w:pPr>
      <w:r>
        <w:rPr>
          <w:rFonts w:ascii="仿宋_GB2312" w:hAnsi="仿宋_GB2312" w:eastAsia="仿宋_GB2312" w:cs="仿宋_GB2312"/>
          <w:sz w:val="32"/>
        </w:rPr>
        <w:t>动物卫生监督机构的官方兽医具体实施动物、动物产品检疫。</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屠宰、出售或者运输动物以及出售或者运输动物产品前，货主应当按照国务院农业农村主管部门的规定向所在地动物卫生监督机构申报检疫。</w:t>
      </w:r>
    </w:p>
    <w:p>
      <w:pPr>
        <w:spacing w:line="560" w:lineRule="exact"/>
        <w:ind w:firstLine="640"/>
        <w:jc w:val="both"/>
      </w:pPr>
      <w:r>
        <w:rPr>
          <w:rFonts w:ascii="仿宋_GB2312" w:hAnsi="仿宋_GB2312" w:eastAsia="仿宋_GB2312" w:cs="仿宋_GB2312"/>
          <w:sz w:val="32"/>
        </w:rPr>
        <w:t>动物卫生监督机构接到检疫申报后，应当及时指派官方兽医对动物、动物产品实施检疫；检疫合格的，出具检疫证明、加施检疫标志。实施检疫的官方兽医应当在检疫证明、检疫标志上签字或者盖章，并对检疫结论负责。</w:t>
      </w:r>
    </w:p>
    <w:p>
      <w:pPr>
        <w:spacing w:line="560" w:lineRule="exact"/>
        <w:ind w:firstLine="640"/>
        <w:jc w:val="both"/>
      </w:pPr>
      <w:r>
        <w:rPr>
          <w:rFonts w:ascii="仿宋_GB2312" w:hAnsi="仿宋_GB2312" w:eastAsia="仿宋_GB2312" w:cs="仿宋_GB2312"/>
          <w:sz w:val="32"/>
        </w:rPr>
        <w:t>动物饲养场、屠宰企业的执业兽医或者动物防疫技术人员，应当协助官方兽医实施检疫。</w:t>
      </w:r>
    </w:p>
    <w:p>
      <w:pPr>
        <w:spacing w:line="560" w:lineRule="exact"/>
        <w:ind w:firstLine="640"/>
        <w:jc w:val="both"/>
      </w:pPr>
      <w:r>
        <w:rPr>
          <w:rFonts w:ascii="黑体" w:hAnsi="黑体" w:eastAsia="黑体" w:cs="黑体"/>
          <w:sz w:val="32"/>
        </w:rPr>
        <w:t>第五十条</w:t>
      </w:r>
      <w:r>
        <w:rPr>
          <w:rFonts w:ascii="仿宋_GB2312" w:hAnsi="仿宋_GB2312" w:eastAsia="仿宋_GB2312" w:cs="仿宋_GB2312"/>
          <w:sz w:val="32"/>
        </w:rPr>
        <w:t>　因科研、药用、展示等特殊情形需要非食用性利用的野生动物，应当按照国家有关规定报动物卫生监督机构检疫，检疫合格的，方可利用。</w:t>
      </w:r>
    </w:p>
    <w:p>
      <w:pPr>
        <w:spacing w:line="560" w:lineRule="exact"/>
        <w:ind w:firstLine="640"/>
        <w:jc w:val="both"/>
      </w:pPr>
      <w:r>
        <w:rPr>
          <w:rFonts w:ascii="仿宋_GB2312" w:hAnsi="仿宋_GB2312" w:eastAsia="仿宋_GB2312" w:cs="仿宋_GB2312"/>
          <w:sz w:val="32"/>
        </w:rPr>
        <w:t>人工捕获的野生动物，应当按照国家有关规定报捕获地动物卫生监督机构检疫，检疫合格的，方可饲养、经营和运输。</w:t>
      </w:r>
    </w:p>
    <w:p>
      <w:pPr>
        <w:spacing w:line="560" w:lineRule="exact"/>
        <w:ind w:firstLine="640"/>
        <w:jc w:val="both"/>
      </w:pPr>
      <w:r>
        <w:rPr>
          <w:rFonts w:ascii="仿宋_GB2312" w:hAnsi="仿宋_GB2312" w:eastAsia="仿宋_GB2312" w:cs="仿宋_GB2312"/>
          <w:sz w:val="32"/>
        </w:rPr>
        <w:t>国务院农业农村主管部门会同国务院野生动物保护主管部门制定野生动物检疫办法。</w:t>
      </w:r>
    </w:p>
    <w:p>
      <w:pPr>
        <w:spacing w:line="560" w:lineRule="exact"/>
        <w:ind w:firstLine="640"/>
        <w:jc w:val="both"/>
      </w:pPr>
      <w:r>
        <w:rPr>
          <w:rFonts w:ascii="黑体" w:hAnsi="黑体" w:eastAsia="黑体" w:cs="黑体"/>
          <w:sz w:val="32"/>
        </w:rPr>
        <w:t>第五十一条</w:t>
      </w:r>
      <w:r>
        <w:rPr>
          <w:rFonts w:ascii="仿宋_GB2312" w:hAnsi="仿宋_GB2312" w:eastAsia="仿宋_GB2312" w:cs="仿宋_GB2312"/>
          <w:sz w:val="32"/>
        </w:rPr>
        <w:t>　屠宰、经营、运输的动物，以及用于科研、展示、演出和比赛等非食用性利用的动物，应当附有检疫证明；经营和运输的动物产品，应当附有检疫证明、检疫标志。</w:t>
      </w:r>
    </w:p>
    <w:p>
      <w:pPr>
        <w:spacing w:line="560" w:lineRule="exact"/>
        <w:ind w:firstLine="640"/>
        <w:jc w:val="both"/>
      </w:pPr>
      <w:r>
        <w:rPr>
          <w:rFonts w:ascii="黑体" w:hAnsi="黑体" w:eastAsia="黑体" w:cs="黑体"/>
          <w:sz w:val="32"/>
        </w:rPr>
        <w:t>第五十二条</w:t>
      </w:r>
      <w:r>
        <w:rPr>
          <w:rFonts w:ascii="仿宋_GB2312" w:hAnsi="仿宋_GB2312" w:eastAsia="仿宋_GB2312" w:cs="仿宋_GB2312"/>
          <w:sz w:val="32"/>
        </w:rPr>
        <w:t>　经航空、铁路、道路、水路运输动物和动物产品的，托运人托运时应当提供检疫证明；没有检疫证明的，承运人不得承运。</w:t>
      </w:r>
    </w:p>
    <w:p>
      <w:pPr>
        <w:spacing w:line="560" w:lineRule="exact"/>
        <w:ind w:firstLine="640"/>
        <w:jc w:val="both"/>
      </w:pPr>
      <w:r>
        <w:rPr>
          <w:rFonts w:ascii="仿宋_GB2312" w:hAnsi="仿宋_GB2312" w:eastAsia="仿宋_GB2312" w:cs="仿宋_GB2312"/>
          <w:sz w:val="32"/>
        </w:rPr>
        <w:t>进出口动物和动物产品，承运人凭进口报关单证或者海关签发的检疫单证运递。</w:t>
      </w:r>
    </w:p>
    <w:p>
      <w:pPr>
        <w:spacing w:line="560" w:lineRule="exact"/>
        <w:ind w:firstLine="640"/>
        <w:jc w:val="both"/>
      </w:pPr>
      <w:r>
        <w:rPr>
          <w:rFonts w:ascii="仿宋_GB2312" w:hAnsi="仿宋_GB2312" w:eastAsia="仿宋_GB2312" w:cs="仿宋_GB2312"/>
          <w:sz w:val="32"/>
        </w:rPr>
        <w:t>从事动物运输的单位、个人以及车辆，应当向所在地县级人民政府农业农村主管部门备案，妥善保存行程路线和托运人提供的动物名称、检疫证明编号、数量等信息。具体办法由国务院农业农村主管部门制定。</w:t>
      </w:r>
    </w:p>
    <w:p>
      <w:pPr>
        <w:spacing w:line="560" w:lineRule="exact"/>
        <w:ind w:firstLine="640"/>
        <w:jc w:val="both"/>
      </w:pPr>
      <w:r>
        <w:rPr>
          <w:rFonts w:ascii="仿宋_GB2312" w:hAnsi="仿宋_GB2312" w:eastAsia="仿宋_GB2312" w:cs="仿宋_GB2312"/>
          <w:sz w:val="32"/>
        </w:rPr>
        <w:t>运载工具在装载前和卸载后应当及时清洗、消毒。</w:t>
      </w:r>
    </w:p>
    <w:p>
      <w:pPr>
        <w:spacing w:line="560" w:lineRule="exact"/>
        <w:ind w:firstLine="640"/>
        <w:jc w:val="both"/>
      </w:pPr>
      <w:r>
        <w:rPr>
          <w:rFonts w:ascii="黑体" w:hAnsi="黑体" w:eastAsia="黑体" w:cs="黑体"/>
          <w:sz w:val="32"/>
        </w:rPr>
        <w:t>第五十三条</w:t>
      </w:r>
      <w:r>
        <w:rPr>
          <w:rFonts w:ascii="仿宋_GB2312" w:hAnsi="仿宋_GB2312" w:eastAsia="仿宋_GB2312" w:cs="仿宋_GB2312"/>
          <w:sz w:val="32"/>
        </w:rPr>
        <w:t>　省、自治区、直辖市人民政府确定并公布道路运输的动物进入本行政区域的指定通道，设置引导标志。跨省、自治区、直辖市通过道路运输动物的，应当经省、自治区、直辖市人民政府设立的指定通道入省境或者过省境。</w:t>
      </w:r>
    </w:p>
    <w:p>
      <w:pPr>
        <w:spacing w:line="560" w:lineRule="exact"/>
        <w:ind w:firstLine="640"/>
        <w:jc w:val="both"/>
      </w:pPr>
      <w:r>
        <w:rPr>
          <w:rFonts w:ascii="黑体" w:hAnsi="黑体" w:eastAsia="黑体" w:cs="黑体"/>
          <w:sz w:val="32"/>
        </w:rPr>
        <w:t>第五十四条</w:t>
      </w:r>
      <w:r>
        <w:rPr>
          <w:rFonts w:ascii="仿宋_GB2312" w:hAnsi="仿宋_GB2312" w:eastAsia="仿宋_GB2312" w:cs="仿宋_GB2312"/>
          <w:sz w:val="32"/>
        </w:rPr>
        <w:t>　输入到无规定动物疫病区的动物、动物产品，货主应当按照国务院农业农村主管部门的规定向无规定动物疫病区所在地动物卫生监督机构申报检疫，经检疫合格的，方可进入。</w:t>
      </w:r>
    </w:p>
    <w:p>
      <w:pPr>
        <w:spacing w:line="560" w:lineRule="exact"/>
        <w:ind w:firstLine="640"/>
        <w:jc w:val="both"/>
      </w:pPr>
      <w:r>
        <w:rPr>
          <w:rFonts w:ascii="黑体" w:hAnsi="黑体" w:eastAsia="黑体" w:cs="黑体"/>
          <w:sz w:val="32"/>
        </w:rPr>
        <w:t>第五十五条</w:t>
      </w:r>
      <w:r>
        <w:rPr>
          <w:rFonts w:ascii="仿宋_GB2312" w:hAnsi="仿宋_GB2312" w:eastAsia="仿宋_GB2312" w:cs="仿宋_GB2312"/>
          <w:sz w:val="32"/>
        </w:rPr>
        <w:t>　跨省、自治区、直辖市引进的种用、乳用动物到达输入地后，货主应当按照国务院农业农村主管部门的规定对引进的种用、乳用动物进行隔离观察。</w:t>
      </w:r>
    </w:p>
    <w:p>
      <w:pPr>
        <w:spacing w:line="560" w:lineRule="exact"/>
        <w:ind w:firstLine="640"/>
        <w:jc w:val="both"/>
      </w:pPr>
      <w:r>
        <w:rPr>
          <w:rFonts w:ascii="黑体" w:hAnsi="黑体" w:eastAsia="黑体" w:cs="黑体"/>
          <w:sz w:val="32"/>
        </w:rPr>
        <w:t>第五十六条</w:t>
      </w:r>
      <w:r>
        <w:rPr>
          <w:rFonts w:ascii="仿宋_GB2312" w:hAnsi="仿宋_GB2312" w:eastAsia="仿宋_GB2312" w:cs="仿宋_GB2312"/>
          <w:sz w:val="32"/>
        </w:rPr>
        <w:t>　经检疫不合格的动物、动物产品，货主应当在农业农村主管部门的监督下按照国家有关规定处理，处理费用由货主承担。</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第六章　病死动物和病害动物产品的无害化处理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第五十七条</w:t>
      </w:r>
      <w:r>
        <w:rPr>
          <w:rFonts w:ascii="仿宋_GB2312" w:hAnsi="仿宋_GB2312" w:eastAsia="仿宋_GB2312" w:cs="仿宋_GB2312"/>
          <w:sz w:val="32"/>
        </w:rPr>
        <w:t>　从事动物饲养、屠宰、经营、隔离以及动物产品生产、经营、加工、贮藏等活动的单位和个人，应当按照国家有关规定做好病死动物、病害动物产品的无害化处理，或者委托动物和动物产品无害化处理场所处理。</w:t>
      </w:r>
    </w:p>
    <w:p>
      <w:pPr>
        <w:spacing w:line="560" w:lineRule="exact"/>
        <w:ind w:firstLine="640"/>
        <w:jc w:val="both"/>
      </w:pPr>
      <w:r>
        <w:rPr>
          <w:rFonts w:ascii="仿宋_GB2312" w:hAnsi="仿宋_GB2312" w:eastAsia="仿宋_GB2312" w:cs="仿宋_GB2312"/>
          <w:sz w:val="32"/>
        </w:rPr>
        <w:t>从事动物、动物产品运输的单位和个人，应当配合做好病死动物和病害动物产品的无害化处理，不得在途中擅自弃置和处理有关动物和动物产品。</w:t>
      </w:r>
    </w:p>
    <w:p>
      <w:pPr>
        <w:spacing w:line="560" w:lineRule="exact"/>
        <w:ind w:firstLine="640"/>
        <w:jc w:val="both"/>
      </w:pPr>
      <w:r>
        <w:rPr>
          <w:rFonts w:ascii="仿宋_GB2312" w:hAnsi="仿宋_GB2312" w:eastAsia="仿宋_GB2312" w:cs="仿宋_GB2312"/>
          <w:sz w:val="32"/>
        </w:rPr>
        <w:t>任何单位和个人不得买卖、加工、随意弃置病死动物和病害动物产品。</w:t>
      </w:r>
    </w:p>
    <w:p>
      <w:pPr>
        <w:spacing w:line="560" w:lineRule="exact"/>
        <w:ind w:firstLine="640"/>
        <w:jc w:val="both"/>
      </w:pPr>
      <w:r>
        <w:rPr>
          <w:rFonts w:ascii="仿宋_GB2312" w:hAnsi="仿宋_GB2312" w:eastAsia="仿宋_GB2312" w:cs="仿宋_GB2312"/>
          <w:sz w:val="32"/>
        </w:rPr>
        <w:t>动物和动物产品无害化处理管理办法由国务院农业农村、野生动物保护主管部门按照职责制定。</w:t>
      </w:r>
    </w:p>
    <w:p>
      <w:pPr>
        <w:spacing w:line="560" w:lineRule="exact"/>
        <w:ind w:firstLine="640"/>
        <w:jc w:val="both"/>
      </w:pPr>
      <w:r>
        <w:rPr>
          <w:rFonts w:ascii="黑体" w:hAnsi="黑体" w:eastAsia="黑体" w:cs="黑体"/>
          <w:sz w:val="32"/>
        </w:rPr>
        <w:t>第五十八条</w:t>
      </w:r>
      <w:r>
        <w:rPr>
          <w:rFonts w:ascii="仿宋_GB2312" w:hAnsi="仿宋_GB2312" w:eastAsia="仿宋_GB2312" w:cs="仿宋_GB2312"/>
          <w:sz w:val="32"/>
        </w:rPr>
        <w:t>　在江河、湖泊、水库等水域发现的死亡畜禽，由所在地县级人民政府组织收集、处理并溯源。</w:t>
      </w:r>
    </w:p>
    <w:p>
      <w:pPr>
        <w:spacing w:line="560" w:lineRule="exact"/>
        <w:ind w:firstLine="640"/>
        <w:jc w:val="both"/>
      </w:pPr>
      <w:r>
        <w:rPr>
          <w:rFonts w:ascii="仿宋_GB2312" w:hAnsi="仿宋_GB2312" w:eastAsia="仿宋_GB2312" w:cs="仿宋_GB2312"/>
          <w:sz w:val="32"/>
        </w:rPr>
        <w:t>在城市公共场所和乡村发现的死亡畜禽，由所在地街道办事处、乡级人民政府组织收集、处理并溯源。</w:t>
      </w:r>
    </w:p>
    <w:p>
      <w:pPr>
        <w:spacing w:line="560" w:lineRule="exact"/>
        <w:ind w:firstLine="640"/>
        <w:jc w:val="both"/>
      </w:pPr>
      <w:r>
        <w:rPr>
          <w:rFonts w:ascii="仿宋_GB2312" w:hAnsi="仿宋_GB2312" w:eastAsia="仿宋_GB2312" w:cs="仿宋_GB2312"/>
          <w:sz w:val="32"/>
        </w:rPr>
        <w:t>在野外环境发现的死亡野生动物，由所在地野生动物保护主管部门收集、处理。</w:t>
      </w:r>
    </w:p>
    <w:p>
      <w:pPr>
        <w:spacing w:line="560" w:lineRule="exact"/>
        <w:ind w:firstLine="640"/>
        <w:jc w:val="both"/>
      </w:pPr>
      <w:r>
        <w:rPr>
          <w:rFonts w:ascii="黑体" w:hAnsi="黑体" w:eastAsia="黑体" w:cs="黑体"/>
          <w:sz w:val="32"/>
        </w:rPr>
        <w:t>第五十九条</w:t>
      </w:r>
      <w:r>
        <w:rPr>
          <w:rFonts w:ascii="仿宋_GB2312" w:hAnsi="仿宋_GB2312" w:eastAsia="仿宋_GB2312" w:cs="仿宋_GB2312"/>
          <w:sz w:val="32"/>
        </w:rPr>
        <w:t>　省、自治区、直辖市人民政府制定动物和动物产品集中无害化处理场所建设规划，建立政府主导、市场运作的无害化处理机制。</w:t>
      </w:r>
    </w:p>
    <w:p>
      <w:pPr>
        <w:spacing w:line="560" w:lineRule="exact"/>
        <w:ind w:firstLine="640"/>
        <w:jc w:val="both"/>
      </w:pPr>
      <w:r>
        <w:rPr>
          <w:rFonts w:ascii="黑体" w:hAnsi="黑体" w:eastAsia="黑体" w:cs="黑体"/>
          <w:sz w:val="32"/>
        </w:rPr>
        <w:t>第六十条</w:t>
      </w:r>
      <w:r>
        <w:rPr>
          <w:rFonts w:ascii="仿宋_GB2312" w:hAnsi="仿宋_GB2312" w:eastAsia="仿宋_GB2312" w:cs="仿宋_GB2312"/>
          <w:sz w:val="32"/>
        </w:rPr>
        <w:t>　各级财政对病死动物无害化处理提供补助。具体补助标准和办法由县级以上人民政府财政部门会同本级人民政府农业农村、野生动物保护等有关部门制定。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第七章　动物诊疗</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第六十一条</w:t>
      </w:r>
      <w:r>
        <w:rPr>
          <w:rFonts w:ascii="仿宋_GB2312" w:hAnsi="仿宋_GB2312" w:eastAsia="仿宋_GB2312" w:cs="仿宋_GB2312"/>
          <w:sz w:val="32"/>
        </w:rPr>
        <w:t>　从事动物诊疗活动的机构，应当具备下列条件：</w:t>
      </w:r>
    </w:p>
    <w:p>
      <w:pPr>
        <w:spacing w:line="560" w:lineRule="exact"/>
        <w:ind w:firstLine="640"/>
        <w:jc w:val="both"/>
      </w:pPr>
      <w:r>
        <w:rPr>
          <w:rFonts w:ascii="仿宋_GB2312" w:hAnsi="仿宋_GB2312" w:eastAsia="仿宋_GB2312" w:cs="仿宋_GB2312"/>
          <w:sz w:val="32"/>
        </w:rPr>
        <w:t>（一）有与动物诊疗活动相适应并符合动物防疫条件的场所；</w:t>
      </w:r>
    </w:p>
    <w:p>
      <w:pPr>
        <w:spacing w:line="560" w:lineRule="exact"/>
        <w:ind w:firstLine="640"/>
        <w:jc w:val="both"/>
      </w:pPr>
      <w:r>
        <w:rPr>
          <w:rFonts w:ascii="仿宋_GB2312" w:hAnsi="仿宋_GB2312" w:eastAsia="仿宋_GB2312" w:cs="仿宋_GB2312"/>
          <w:sz w:val="32"/>
        </w:rPr>
        <w:t>（二）有与动物诊疗活动相适应的执业兽医；</w:t>
      </w:r>
    </w:p>
    <w:p>
      <w:pPr>
        <w:spacing w:line="560" w:lineRule="exact"/>
        <w:ind w:firstLine="640"/>
        <w:jc w:val="both"/>
      </w:pPr>
      <w:r>
        <w:rPr>
          <w:rFonts w:ascii="仿宋_GB2312" w:hAnsi="仿宋_GB2312" w:eastAsia="仿宋_GB2312" w:cs="仿宋_GB2312"/>
          <w:sz w:val="32"/>
        </w:rPr>
        <w:t>（三）有与动物诊疗活动相适应的兽医器械和设备；</w:t>
      </w:r>
    </w:p>
    <w:p>
      <w:pPr>
        <w:spacing w:line="560" w:lineRule="exact"/>
        <w:ind w:firstLine="640"/>
        <w:jc w:val="both"/>
      </w:pPr>
      <w:r>
        <w:rPr>
          <w:rFonts w:ascii="仿宋_GB2312" w:hAnsi="仿宋_GB2312" w:eastAsia="仿宋_GB2312" w:cs="仿宋_GB2312"/>
          <w:sz w:val="32"/>
        </w:rPr>
        <w:t>（四）有完善的管理制度。</w:t>
      </w:r>
    </w:p>
    <w:p>
      <w:pPr>
        <w:spacing w:line="560" w:lineRule="exact"/>
        <w:ind w:firstLine="640"/>
        <w:jc w:val="both"/>
      </w:pPr>
      <w:r>
        <w:rPr>
          <w:rFonts w:ascii="仿宋_GB2312" w:hAnsi="仿宋_GB2312" w:eastAsia="仿宋_GB2312" w:cs="仿宋_GB2312"/>
          <w:sz w:val="32"/>
        </w:rPr>
        <w:t>动物诊疗机构包括动物医院、动物诊所以及其他提供动物诊疗服务的机构。</w:t>
      </w:r>
    </w:p>
    <w:p>
      <w:pPr>
        <w:spacing w:line="560" w:lineRule="exact"/>
        <w:ind w:firstLine="640"/>
        <w:jc w:val="both"/>
      </w:pPr>
      <w:r>
        <w:rPr>
          <w:rFonts w:ascii="黑体" w:hAnsi="黑体" w:eastAsia="黑体" w:cs="黑体"/>
          <w:sz w:val="32"/>
        </w:rPr>
        <w:t>第六十二条</w:t>
      </w:r>
      <w:r>
        <w:rPr>
          <w:rFonts w:ascii="仿宋_GB2312" w:hAnsi="仿宋_GB2312" w:eastAsia="仿宋_GB2312" w:cs="仿宋_GB2312"/>
          <w:sz w:val="32"/>
        </w:rPr>
        <w:t>　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p>
      <w:pPr>
        <w:spacing w:line="560" w:lineRule="exact"/>
        <w:ind w:firstLine="640"/>
        <w:jc w:val="both"/>
      </w:pPr>
      <w:r>
        <w:rPr>
          <w:rFonts w:ascii="黑体" w:hAnsi="黑体" w:eastAsia="黑体" w:cs="黑体"/>
          <w:sz w:val="32"/>
        </w:rPr>
        <w:t>第六十三条</w:t>
      </w:r>
      <w:r>
        <w:rPr>
          <w:rFonts w:ascii="仿宋_GB2312" w:hAnsi="仿宋_GB2312" w:eastAsia="仿宋_GB2312" w:cs="仿宋_GB2312"/>
          <w:sz w:val="32"/>
        </w:rPr>
        <w:t>　动物诊疗许可证应当载明诊疗机构名称、诊疗活动范围、从业地点和法定代表人（负责人）等事项。</w:t>
      </w:r>
    </w:p>
    <w:p>
      <w:pPr>
        <w:spacing w:line="560" w:lineRule="exact"/>
        <w:ind w:firstLine="640"/>
        <w:jc w:val="both"/>
      </w:pPr>
      <w:r>
        <w:rPr>
          <w:rFonts w:ascii="仿宋_GB2312" w:hAnsi="仿宋_GB2312" w:eastAsia="仿宋_GB2312" w:cs="仿宋_GB2312"/>
          <w:sz w:val="32"/>
        </w:rPr>
        <w:t>动物诊疗许可证载明事项变更的，应当申请变更或者换发动物诊疗许可证。</w:t>
      </w:r>
    </w:p>
    <w:p>
      <w:pPr>
        <w:spacing w:line="560" w:lineRule="exact"/>
        <w:ind w:firstLine="640"/>
        <w:jc w:val="both"/>
      </w:pPr>
      <w:r>
        <w:rPr>
          <w:rFonts w:ascii="黑体" w:hAnsi="黑体" w:eastAsia="黑体" w:cs="黑体"/>
          <w:sz w:val="32"/>
        </w:rPr>
        <w:t>第六十四条</w:t>
      </w:r>
      <w:r>
        <w:rPr>
          <w:rFonts w:ascii="仿宋_GB2312" w:hAnsi="仿宋_GB2312" w:eastAsia="仿宋_GB2312" w:cs="仿宋_GB2312"/>
          <w:sz w:val="32"/>
        </w:rPr>
        <w:t>　动物诊疗机构应当按照国务院农业农村主管部门的规定，做好诊疗活动中的卫生安全防护、消毒、隔离和诊疗废弃物处置等工作。</w:t>
      </w:r>
    </w:p>
    <w:p>
      <w:pPr>
        <w:spacing w:line="560" w:lineRule="exact"/>
        <w:ind w:firstLine="640"/>
        <w:jc w:val="both"/>
      </w:pPr>
      <w:r>
        <w:rPr>
          <w:rFonts w:ascii="黑体" w:hAnsi="黑体" w:eastAsia="黑体" w:cs="黑体"/>
          <w:sz w:val="32"/>
        </w:rPr>
        <w:t>第六十五条</w:t>
      </w:r>
      <w:r>
        <w:rPr>
          <w:rFonts w:ascii="仿宋_GB2312" w:hAnsi="仿宋_GB2312" w:eastAsia="仿宋_GB2312" w:cs="仿宋_GB2312"/>
          <w:sz w:val="32"/>
        </w:rPr>
        <w:t>　从事动物诊疗活动，应当遵守有关动物诊疗的操作技术规范，使用符合规定的兽药和兽医器械。</w:t>
      </w:r>
    </w:p>
    <w:p>
      <w:pPr>
        <w:spacing w:line="560" w:lineRule="exact"/>
        <w:ind w:firstLine="640"/>
        <w:jc w:val="both"/>
      </w:pPr>
      <w:r>
        <w:rPr>
          <w:rFonts w:ascii="仿宋_GB2312" w:hAnsi="仿宋_GB2312" w:eastAsia="仿宋_GB2312" w:cs="仿宋_GB2312"/>
          <w:sz w:val="32"/>
        </w:rPr>
        <w:t>兽药和兽医器械的管理办法由国务院规定。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第八章　兽医管理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第六十六条</w:t>
      </w:r>
      <w:r>
        <w:rPr>
          <w:rFonts w:ascii="仿宋_GB2312" w:hAnsi="仿宋_GB2312" w:eastAsia="仿宋_GB2312" w:cs="仿宋_GB2312"/>
          <w:sz w:val="32"/>
        </w:rPr>
        <w:t>　国家实行官方兽医任命制度。</w:t>
      </w:r>
    </w:p>
    <w:p>
      <w:pPr>
        <w:spacing w:line="560" w:lineRule="exact"/>
        <w:ind w:firstLine="640"/>
        <w:jc w:val="both"/>
      </w:pPr>
      <w:r>
        <w:rPr>
          <w:rFonts w:ascii="仿宋_GB2312" w:hAnsi="仿宋_GB2312" w:eastAsia="仿宋_GB2312" w:cs="仿宋_GB2312"/>
          <w:sz w:val="32"/>
        </w:rPr>
        <w:t>官方兽医应当具备国务院农业农村主管部门规定的条件，由省、自治区、直辖市人民政府农业农村主管部门按照程序确认，由所在地县级以上人民政府农业农村主管部门任命。具体办法由国务院农业农村主管部门制定。</w:t>
      </w:r>
    </w:p>
    <w:p>
      <w:pPr>
        <w:spacing w:line="560" w:lineRule="exact"/>
        <w:ind w:firstLine="640"/>
        <w:jc w:val="both"/>
      </w:pPr>
      <w:r>
        <w:rPr>
          <w:rFonts w:ascii="仿宋_GB2312" w:hAnsi="仿宋_GB2312" w:eastAsia="仿宋_GB2312" w:cs="仿宋_GB2312"/>
          <w:sz w:val="32"/>
        </w:rPr>
        <w:t>海关的官方兽医应当具备规定的条件，由海关总署任命。具体办法由海关总署会同国务院农业农村主管部门制定。</w:t>
      </w:r>
    </w:p>
    <w:p>
      <w:pPr>
        <w:spacing w:line="560" w:lineRule="exact"/>
        <w:ind w:firstLine="640"/>
        <w:jc w:val="both"/>
      </w:pPr>
      <w:r>
        <w:rPr>
          <w:rFonts w:ascii="黑体" w:hAnsi="黑体" w:eastAsia="黑体" w:cs="黑体"/>
          <w:sz w:val="32"/>
        </w:rPr>
        <w:t>第六十七条</w:t>
      </w:r>
      <w:r>
        <w:rPr>
          <w:rFonts w:ascii="仿宋_GB2312" w:hAnsi="仿宋_GB2312" w:eastAsia="仿宋_GB2312" w:cs="仿宋_GB2312"/>
          <w:sz w:val="32"/>
        </w:rPr>
        <w:t>　官方兽医依法履行动物、动物产品检疫职责，任何单位和个人不得拒绝或者阻碍。</w:t>
      </w:r>
    </w:p>
    <w:p>
      <w:pPr>
        <w:spacing w:line="560" w:lineRule="exact"/>
        <w:ind w:firstLine="640"/>
        <w:jc w:val="both"/>
      </w:pPr>
      <w:r>
        <w:rPr>
          <w:rFonts w:ascii="黑体" w:hAnsi="黑体" w:eastAsia="黑体" w:cs="黑体"/>
          <w:sz w:val="32"/>
        </w:rPr>
        <w:t>第六十八条</w:t>
      </w:r>
      <w:r>
        <w:rPr>
          <w:rFonts w:ascii="仿宋_GB2312" w:hAnsi="仿宋_GB2312" w:eastAsia="仿宋_GB2312" w:cs="仿宋_GB2312"/>
          <w:sz w:val="32"/>
        </w:rPr>
        <w:t>　县级以上人民政府农业农村主管部门制定官方兽医培训计划，提供培训条件，定期对官方兽医进行培训和考核。</w:t>
      </w:r>
    </w:p>
    <w:p>
      <w:pPr>
        <w:spacing w:line="560" w:lineRule="exact"/>
        <w:ind w:firstLine="640"/>
        <w:jc w:val="both"/>
      </w:pPr>
      <w:r>
        <w:rPr>
          <w:rFonts w:ascii="黑体" w:hAnsi="黑体" w:eastAsia="黑体" w:cs="黑体"/>
          <w:sz w:val="32"/>
        </w:rPr>
        <w:t>第六十九条</w:t>
      </w:r>
      <w:r>
        <w:rPr>
          <w:rFonts w:ascii="仿宋_GB2312" w:hAnsi="仿宋_GB2312" w:eastAsia="仿宋_GB2312" w:cs="仿宋_GB2312"/>
          <w:sz w:val="32"/>
        </w:rPr>
        <w:t>　国家实行执业兽医资格考试制度。具有兽医相关专业大学专科以上学历的人员或者符合条件的乡村兽医，通过执业兽医资格考试的，由省、自治区、直辖市人民政府农业农村主管部门颁发执业兽医资格证书；从事动物诊疗等经营活动的，还应当向所在地县级人民政府农业农村主管部门备案。</w:t>
      </w:r>
    </w:p>
    <w:p>
      <w:pPr>
        <w:spacing w:line="560" w:lineRule="exact"/>
        <w:ind w:firstLine="640"/>
        <w:jc w:val="both"/>
      </w:pPr>
      <w:r>
        <w:rPr>
          <w:rFonts w:ascii="仿宋_GB2312" w:hAnsi="仿宋_GB2312" w:eastAsia="仿宋_GB2312" w:cs="仿宋_GB2312"/>
          <w:sz w:val="32"/>
        </w:rPr>
        <w:t>执业兽医资格考试办法由国务院农业农村主管部门商国务院人力资源主管部门制定。</w:t>
      </w:r>
    </w:p>
    <w:p>
      <w:pPr>
        <w:spacing w:line="560" w:lineRule="exact"/>
        <w:ind w:firstLine="640"/>
        <w:jc w:val="both"/>
      </w:pPr>
      <w:r>
        <w:rPr>
          <w:rFonts w:ascii="黑体" w:hAnsi="黑体" w:eastAsia="黑体" w:cs="黑体"/>
          <w:sz w:val="32"/>
        </w:rPr>
        <w:t>第七十条</w:t>
      </w:r>
      <w:r>
        <w:rPr>
          <w:rFonts w:ascii="仿宋_GB2312" w:hAnsi="仿宋_GB2312" w:eastAsia="仿宋_GB2312" w:cs="仿宋_GB2312"/>
          <w:sz w:val="32"/>
        </w:rPr>
        <w:t>　执业兽医开具兽医处方应当亲自诊断，并对诊断结论负责。</w:t>
      </w:r>
    </w:p>
    <w:p>
      <w:pPr>
        <w:spacing w:line="560" w:lineRule="exact"/>
        <w:ind w:firstLine="640"/>
        <w:jc w:val="both"/>
      </w:pPr>
      <w:r>
        <w:rPr>
          <w:rFonts w:ascii="仿宋_GB2312" w:hAnsi="仿宋_GB2312" w:eastAsia="仿宋_GB2312" w:cs="仿宋_GB2312"/>
          <w:sz w:val="32"/>
        </w:rPr>
        <w:t>国家鼓励执业兽医接受继续教育。执业兽医所在机构应当支持执业兽医参加继续教育。</w:t>
      </w:r>
    </w:p>
    <w:p>
      <w:pPr>
        <w:spacing w:line="560" w:lineRule="exact"/>
        <w:ind w:firstLine="640"/>
        <w:jc w:val="both"/>
      </w:pPr>
      <w:r>
        <w:rPr>
          <w:rFonts w:ascii="黑体" w:hAnsi="黑体" w:eastAsia="黑体" w:cs="黑体"/>
          <w:sz w:val="32"/>
        </w:rPr>
        <w:t>第七十一条</w:t>
      </w:r>
      <w:r>
        <w:rPr>
          <w:rFonts w:ascii="仿宋_GB2312" w:hAnsi="仿宋_GB2312" w:eastAsia="仿宋_GB2312" w:cs="仿宋_GB2312"/>
          <w:sz w:val="32"/>
        </w:rPr>
        <w:t>　乡村兽医可以在乡村从事动物诊疗活动。具体管理办法由国务院农业农村主管部门制定。</w:t>
      </w:r>
    </w:p>
    <w:p>
      <w:pPr>
        <w:spacing w:line="560" w:lineRule="exact"/>
        <w:ind w:firstLine="640"/>
        <w:jc w:val="both"/>
      </w:pPr>
      <w:r>
        <w:rPr>
          <w:rFonts w:ascii="黑体" w:hAnsi="黑体" w:eastAsia="黑体" w:cs="黑体"/>
          <w:sz w:val="32"/>
        </w:rPr>
        <w:t>第七十二条</w:t>
      </w:r>
      <w:r>
        <w:rPr>
          <w:rFonts w:ascii="仿宋_GB2312" w:hAnsi="仿宋_GB2312" w:eastAsia="仿宋_GB2312" w:cs="仿宋_GB2312"/>
          <w:sz w:val="32"/>
        </w:rPr>
        <w:t>　执业兽医、乡村兽医应当按照所在地人民政府和农业农村主管部门的要求，参加动物疫病预防、控制和动物疫情扑灭等活动。</w:t>
      </w:r>
    </w:p>
    <w:p>
      <w:pPr>
        <w:spacing w:line="560" w:lineRule="exact"/>
        <w:ind w:firstLine="640"/>
        <w:jc w:val="both"/>
      </w:pPr>
      <w:r>
        <w:rPr>
          <w:rFonts w:ascii="黑体" w:hAnsi="黑体" w:eastAsia="黑体" w:cs="黑体"/>
          <w:sz w:val="32"/>
        </w:rPr>
        <w:t>第七十三条</w:t>
      </w:r>
      <w:r>
        <w:rPr>
          <w:rFonts w:ascii="仿宋_GB2312" w:hAnsi="仿宋_GB2312" w:eastAsia="仿宋_GB2312" w:cs="仿宋_GB2312"/>
          <w:sz w:val="32"/>
        </w:rPr>
        <w:t>　兽医行业协会提供兽医信息、技术、培训等服务，维护成员合法权益，按照章程建立健全行业规范和奖惩机制，加强行业自律，推动行业诚信建设，宣传动物防疫和兽医知识。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第九章　监督管理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第七十四条</w:t>
      </w:r>
      <w:r>
        <w:rPr>
          <w:rFonts w:ascii="仿宋_GB2312" w:hAnsi="仿宋_GB2312" w:eastAsia="仿宋_GB2312" w:cs="仿宋_GB2312"/>
          <w:sz w:val="32"/>
        </w:rPr>
        <w:t>　县级以上地方人民政府农业农村主管部门依照本法规定，对动物饲养、屠宰、经营、隔离、运输以及动物产品生产、经营、加工、贮藏、运输等活动中的动物防疫实施监督管理。</w:t>
      </w:r>
    </w:p>
    <w:p>
      <w:pPr>
        <w:spacing w:line="560" w:lineRule="exact"/>
        <w:ind w:firstLine="640"/>
        <w:jc w:val="both"/>
      </w:pPr>
      <w:r>
        <w:rPr>
          <w:rFonts w:ascii="黑体" w:hAnsi="黑体" w:eastAsia="黑体" w:cs="黑体"/>
          <w:sz w:val="32"/>
        </w:rPr>
        <w:t>第七十五条</w:t>
      </w:r>
      <w:r>
        <w:rPr>
          <w:rFonts w:ascii="仿宋_GB2312" w:hAnsi="仿宋_GB2312" w:eastAsia="仿宋_GB2312" w:cs="仿宋_GB2312"/>
          <w:sz w:val="32"/>
        </w:rPr>
        <w:t>　为控制动物疫病，县级人民政府农业农村主管部门应当派人在所在地依法设立的现有检查站执行监督检查任务；必要时，经省、自治区、直辖市人民政府批准，可以设立临时性的动物防疫检查站，执行监督检查任务。</w:t>
      </w:r>
    </w:p>
    <w:p>
      <w:pPr>
        <w:spacing w:line="560" w:lineRule="exact"/>
        <w:ind w:firstLine="640"/>
        <w:jc w:val="both"/>
      </w:pPr>
      <w:r>
        <w:rPr>
          <w:rFonts w:ascii="黑体" w:hAnsi="黑体" w:eastAsia="黑体" w:cs="黑体"/>
          <w:sz w:val="32"/>
        </w:rPr>
        <w:t>第七十六条</w:t>
      </w:r>
      <w:r>
        <w:rPr>
          <w:rFonts w:ascii="仿宋_GB2312" w:hAnsi="仿宋_GB2312" w:eastAsia="仿宋_GB2312" w:cs="仿宋_GB2312"/>
          <w:sz w:val="32"/>
        </w:rPr>
        <w:t>　县级以上地方人民政府农业农村主管部门执行监督检查任务，可以采取下列措施，有关单位和个人不得拒绝或者阻碍：</w:t>
      </w:r>
    </w:p>
    <w:p>
      <w:pPr>
        <w:spacing w:line="560" w:lineRule="exact"/>
        <w:ind w:firstLine="640"/>
        <w:jc w:val="both"/>
      </w:pPr>
      <w:r>
        <w:rPr>
          <w:rFonts w:ascii="仿宋_GB2312" w:hAnsi="仿宋_GB2312" w:eastAsia="仿宋_GB2312" w:cs="仿宋_GB2312"/>
          <w:sz w:val="32"/>
        </w:rPr>
        <w:t>（一）对动物、动物产品按照规定采样、留验、抽检；</w:t>
      </w:r>
    </w:p>
    <w:p>
      <w:pPr>
        <w:spacing w:line="560" w:lineRule="exact"/>
        <w:ind w:firstLine="640"/>
        <w:jc w:val="both"/>
      </w:pPr>
      <w:r>
        <w:rPr>
          <w:rFonts w:ascii="仿宋_GB2312" w:hAnsi="仿宋_GB2312" w:eastAsia="仿宋_GB2312" w:cs="仿宋_GB2312"/>
          <w:sz w:val="32"/>
        </w:rPr>
        <w:t>（二）对染疫或者疑似染疫的动物、动物产品及相关物品进行隔离、查封、扣押和处理；</w:t>
      </w:r>
    </w:p>
    <w:p>
      <w:pPr>
        <w:spacing w:line="560" w:lineRule="exact"/>
        <w:ind w:firstLine="640"/>
        <w:jc w:val="both"/>
      </w:pPr>
      <w:r>
        <w:rPr>
          <w:rFonts w:ascii="仿宋_GB2312" w:hAnsi="仿宋_GB2312" w:eastAsia="仿宋_GB2312" w:cs="仿宋_GB2312"/>
          <w:sz w:val="32"/>
        </w:rPr>
        <w:t>（三）对依法应当检疫而未经检疫的动物和动物产品，具备补检条件的实施补检，不具备补检条件的予以收缴销毁；</w:t>
      </w:r>
    </w:p>
    <w:p>
      <w:pPr>
        <w:spacing w:line="560" w:lineRule="exact"/>
        <w:ind w:firstLine="640"/>
        <w:jc w:val="both"/>
      </w:pPr>
      <w:r>
        <w:rPr>
          <w:rFonts w:ascii="仿宋_GB2312" w:hAnsi="仿宋_GB2312" w:eastAsia="仿宋_GB2312" w:cs="仿宋_GB2312"/>
          <w:sz w:val="32"/>
        </w:rPr>
        <w:t>（四）查验检疫证明、检疫标志和畜禽标识；</w:t>
      </w:r>
    </w:p>
    <w:p>
      <w:pPr>
        <w:spacing w:line="560" w:lineRule="exact"/>
        <w:ind w:firstLine="640"/>
        <w:jc w:val="both"/>
      </w:pPr>
      <w:r>
        <w:rPr>
          <w:rFonts w:ascii="仿宋_GB2312" w:hAnsi="仿宋_GB2312" w:eastAsia="仿宋_GB2312" w:cs="仿宋_GB2312"/>
          <w:sz w:val="32"/>
        </w:rPr>
        <w:t>（五）进入有关场所调查取证，查阅、复制与动物防疫有关的资料。</w:t>
      </w:r>
    </w:p>
    <w:p>
      <w:pPr>
        <w:spacing w:line="560" w:lineRule="exact"/>
        <w:ind w:firstLine="640"/>
        <w:jc w:val="both"/>
      </w:pPr>
      <w:r>
        <w:rPr>
          <w:rFonts w:ascii="仿宋_GB2312" w:hAnsi="仿宋_GB2312" w:eastAsia="仿宋_GB2312" w:cs="仿宋_GB2312"/>
          <w:sz w:val="32"/>
        </w:rPr>
        <w:t>县级以上地方人民政府农业农村主管部门根据动物疫病预防、控制需要，经所在地县级以上地方人民政府批准，可以在车站、港口、机场等相关场所派驻官方兽医或者工作人员。</w:t>
      </w:r>
    </w:p>
    <w:p>
      <w:pPr>
        <w:spacing w:line="560" w:lineRule="exact"/>
        <w:ind w:firstLine="640"/>
        <w:jc w:val="both"/>
      </w:pPr>
      <w:r>
        <w:rPr>
          <w:rFonts w:ascii="黑体" w:hAnsi="黑体" w:eastAsia="黑体" w:cs="黑体"/>
          <w:sz w:val="32"/>
        </w:rPr>
        <w:t>第七十七条</w:t>
      </w:r>
      <w:r>
        <w:rPr>
          <w:rFonts w:ascii="仿宋_GB2312" w:hAnsi="仿宋_GB2312" w:eastAsia="仿宋_GB2312" w:cs="仿宋_GB2312"/>
          <w:sz w:val="32"/>
        </w:rPr>
        <w:t>　执法人员执行动物防疫监督检查任务，应当出示行政执法证件，佩带统一标志。</w:t>
      </w:r>
    </w:p>
    <w:p>
      <w:pPr>
        <w:spacing w:line="560" w:lineRule="exact"/>
        <w:ind w:firstLine="640"/>
        <w:jc w:val="both"/>
      </w:pPr>
      <w:r>
        <w:rPr>
          <w:rFonts w:ascii="仿宋_GB2312" w:hAnsi="仿宋_GB2312" w:eastAsia="仿宋_GB2312" w:cs="仿宋_GB2312"/>
          <w:sz w:val="32"/>
        </w:rPr>
        <w:t>县级以上人民政府农业农村主管部门及其工作人员不得从事与动物防疫有关的经营性活动，进行监督检查不得收取任何费用。</w:t>
      </w:r>
    </w:p>
    <w:p>
      <w:pPr>
        <w:spacing w:line="560" w:lineRule="exact"/>
        <w:ind w:firstLine="640"/>
        <w:jc w:val="both"/>
      </w:pPr>
      <w:r>
        <w:rPr>
          <w:rFonts w:ascii="黑体" w:hAnsi="黑体" w:eastAsia="黑体" w:cs="黑体"/>
          <w:sz w:val="32"/>
        </w:rPr>
        <w:t>第七十八条</w:t>
      </w:r>
      <w:r>
        <w:rPr>
          <w:rFonts w:ascii="仿宋_GB2312" w:hAnsi="仿宋_GB2312" w:eastAsia="仿宋_GB2312" w:cs="仿宋_GB2312"/>
          <w:sz w:val="32"/>
        </w:rPr>
        <w:t>　禁止转让、伪造或者变造检疫证明、检疫标志或者畜禽标识。</w:t>
      </w:r>
    </w:p>
    <w:p>
      <w:pPr>
        <w:spacing w:line="560" w:lineRule="exact"/>
        <w:ind w:firstLine="640"/>
        <w:jc w:val="both"/>
      </w:pPr>
      <w:r>
        <w:rPr>
          <w:rFonts w:ascii="仿宋_GB2312" w:hAnsi="仿宋_GB2312" w:eastAsia="仿宋_GB2312" w:cs="仿宋_GB2312"/>
          <w:sz w:val="32"/>
        </w:rPr>
        <w:t>禁止持有、使用伪造或者变造的检疫证明、检疫标志或者畜禽标识。</w:t>
      </w:r>
    </w:p>
    <w:p>
      <w:pPr>
        <w:spacing w:line="560" w:lineRule="exact"/>
        <w:ind w:firstLine="640"/>
        <w:jc w:val="both"/>
      </w:pPr>
      <w:r>
        <w:rPr>
          <w:rFonts w:ascii="仿宋_GB2312" w:hAnsi="仿宋_GB2312" w:eastAsia="仿宋_GB2312" w:cs="仿宋_GB2312"/>
          <w:sz w:val="32"/>
        </w:rPr>
        <w:t>检疫证明、检疫标志的管理办法由国务院农业农村主管部门制定。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第十章　保障措施</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第七十九条</w:t>
      </w:r>
      <w:r>
        <w:rPr>
          <w:rFonts w:ascii="仿宋_GB2312" w:hAnsi="仿宋_GB2312" w:eastAsia="仿宋_GB2312" w:cs="仿宋_GB2312"/>
          <w:sz w:val="32"/>
        </w:rPr>
        <w:t>　县级以上人民政府应当将动物防疫工作纳入本级国民经济和社会发展规划及年度计划。</w:t>
      </w:r>
    </w:p>
    <w:p>
      <w:pPr>
        <w:spacing w:line="560" w:lineRule="exact"/>
        <w:ind w:firstLine="640"/>
        <w:jc w:val="both"/>
      </w:pPr>
      <w:r>
        <w:rPr>
          <w:rFonts w:ascii="黑体" w:hAnsi="黑体" w:eastAsia="黑体" w:cs="黑体"/>
          <w:sz w:val="32"/>
        </w:rPr>
        <w:t>第八十条</w:t>
      </w:r>
      <w:r>
        <w:rPr>
          <w:rFonts w:ascii="仿宋_GB2312" w:hAnsi="仿宋_GB2312" w:eastAsia="仿宋_GB2312" w:cs="仿宋_GB2312"/>
          <w:sz w:val="32"/>
        </w:rPr>
        <w:t>　国家鼓励和支持动物防疫领域新技术、新设备、新产品等科学技术研究开发。</w:t>
      </w:r>
    </w:p>
    <w:p>
      <w:pPr>
        <w:spacing w:line="560" w:lineRule="exact"/>
        <w:ind w:firstLine="640"/>
        <w:jc w:val="both"/>
      </w:pPr>
      <w:r>
        <w:rPr>
          <w:rFonts w:ascii="黑体" w:hAnsi="黑体" w:eastAsia="黑体" w:cs="黑体"/>
          <w:sz w:val="32"/>
        </w:rPr>
        <w:t>第八十一条</w:t>
      </w:r>
      <w:r>
        <w:rPr>
          <w:rFonts w:ascii="仿宋_GB2312" w:hAnsi="仿宋_GB2312" w:eastAsia="仿宋_GB2312" w:cs="仿宋_GB2312"/>
          <w:sz w:val="32"/>
        </w:rPr>
        <w:t>　县级人民政府应当为动物卫生监督机构配备与动物、动物产品检疫工作相适应的官方兽医，保障检疫工作条件。</w:t>
      </w:r>
    </w:p>
    <w:p>
      <w:pPr>
        <w:spacing w:line="560" w:lineRule="exact"/>
        <w:ind w:firstLine="640"/>
        <w:jc w:val="both"/>
      </w:pPr>
      <w:r>
        <w:rPr>
          <w:rFonts w:ascii="仿宋_GB2312" w:hAnsi="仿宋_GB2312" w:eastAsia="仿宋_GB2312" w:cs="仿宋_GB2312"/>
          <w:sz w:val="32"/>
        </w:rPr>
        <w:t>县级人民政府农业农村主管部门可以根据动物防疫工作需要，向乡、镇或者特定区域派驻兽医机构或者工作人员。</w:t>
      </w:r>
    </w:p>
    <w:p>
      <w:pPr>
        <w:spacing w:line="560" w:lineRule="exact"/>
        <w:ind w:firstLine="640"/>
        <w:jc w:val="both"/>
      </w:pPr>
      <w:r>
        <w:rPr>
          <w:rFonts w:ascii="黑体" w:hAnsi="黑体" w:eastAsia="黑体" w:cs="黑体"/>
          <w:sz w:val="32"/>
        </w:rPr>
        <w:t>第八十二条</w:t>
      </w:r>
      <w:r>
        <w:rPr>
          <w:rFonts w:ascii="仿宋_GB2312" w:hAnsi="仿宋_GB2312" w:eastAsia="仿宋_GB2312" w:cs="仿宋_GB2312"/>
          <w:sz w:val="32"/>
        </w:rPr>
        <w:t>　国家鼓励和支持执业兽医、乡村兽医和动物诊疗机构开展动物防疫和疫病诊疗活动；鼓励养殖企业、兽药及饲料生产企业组建动物防疫服务团队，提供防疫服务。地方人民政府组织村级防疫员参加动物疫病防治工作的，应当保障村级防疫员合理劳务报酬。</w:t>
      </w:r>
    </w:p>
    <w:p>
      <w:pPr>
        <w:spacing w:line="560" w:lineRule="exact"/>
        <w:ind w:firstLine="640"/>
        <w:jc w:val="both"/>
      </w:pPr>
      <w:r>
        <w:rPr>
          <w:rFonts w:ascii="黑体" w:hAnsi="黑体" w:eastAsia="黑体" w:cs="黑体"/>
          <w:sz w:val="32"/>
        </w:rPr>
        <w:t>第八十三条</w:t>
      </w:r>
      <w:r>
        <w:rPr>
          <w:rFonts w:ascii="仿宋_GB2312" w:hAnsi="仿宋_GB2312" w:eastAsia="仿宋_GB2312" w:cs="仿宋_GB2312"/>
          <w:sz w:val="32"/>
        </w:rPr>
        <w:t>　县级以上人民政府按照本级政府职责，将动物疫病的监测、预防、控制、净化、消灭，动物、动物产品的检疫和病死动物的无害化处理，以及监督管理所需经费纳入本级预算。</w:t>
      </w:r>
    </w:p>
    <w:p>
      <w:pPr>
        <w:spacing w:line="560" w:lineRule="exact"/>
        <w:ind w:firstLine="640"/>
        <w:jc w:val="both"/>
      </w:pPr>
      <w:r>
        <w:rPr>
          <w:rFonts w:ascii="黑体" w:hAnsi="黑体" w:eastAsia="黑体" w:cs="黑体"/>
          <w:sz w:val="32"/>
        </w:rPr>
        <w:t>第八十四条</w:t>
      </w:r>
      <w:r>
        <w:rPr>
          <w:rFonts w:ascii="仿宋_GB2312" w:hAnsi="仿宋_GB2312" w:eastAsia="仿宋_GB2312" w:cs="仿宋_GB2312"/>
          <w:sz w:val="32"/>
        </w:rPr>
        <w:t>　县级以上人民政府应当储备动物疫情应急处置所需的防疫物资。</w:t>
      </w:r>
    </w:p>
    <w:p>
      <w:pPr>
        <w:spacing w:line="560" w:lineRule="exact"/>
        <w:ind w:firstLine="640"/>
        <w:jc w:val="both"/>
      </w:pPr>
      <w:r>
        <w:rPr>
          <w:rFonts w:ascii="黑体" w:hAnsi="黑体" w:eastAsia="黑体" w:cs="黑体"/>
          <w:sz w:val="32"/>
        </w:rPr>
        <w:t>第八十五条</w:t>
      </w:r>
      <w:r>
        <w:rPr>
          <w:rFonts w:ascii="仿宋_GB2312" w:hAnsi="仿宋_GB2312" w:eastAsia="仿宋_GB2312" w:cs="仿宋_GB2312"/>
          <w:sz w:val="32"/>
        </w:rPr>
        <w:t>　对在动物疫病预防、控制、净化、消灭过程中强制扑杀的动物、销毁的动物产品和相关物品，县级以上人民政府给予补偿。具体补偿标准和办法由国务院财政部门会同有关部门制定。</w:t>
      </w:r>
    </w:p>
    <w:p>
      <w:pPr>
        <w:spacing w:line="560" w:lineRule="exact"/>
        <w:ind w:firstLine="640"/>
        <w:jc w:val="both"/>
      </w:pPr>
      <w:r>
        <w:rPr>
          <w:rFonts w:ascii="黑体" w:hAnsi="黑体" w:eastAsia="黑体" w:cs="黑体"/>
          <w:sz w:val="32"/>
        </w:rPr>
        <w:t>第八十六条</w:t>
      </w:r>
      <w:r>
        <w:rPr>
          <w:rFonts w:ascii="仿宋_GB2312" w:hAnsi="仿宋_GB2312" w:eastAsia="仿宋_GB2312" w:cs="仿宋_GB2312"/>
          <w:sz w:val="32"/>
        </w:rPr>
        <w:t>　对从事动物疫病预防、检疫、监督检查、现场处理疫情以及在工作中接触动物疫病病原体的人员，有关单位按照国家规定，采取有效的卫生防护、医疗保健措施，给予畜牧兽医医疗卫生津贴等相关待遇。</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第十一章　法律责任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第八十七条</w:t>
      </w:r>
      <w:r>
        <w:rPr>
          <w:rFonts w:ascii="仿宋_GB2312" w:hAnsi="仿宋_GB2312" w:eastAsia="仿宋_GB2312" w:cs="仿宋_GB2312"/>
          <w:sz w:val="32"/>
        </w:rPr>
        <w:t>　地方各级人民政府及其工作人员未依照本法规定履行职责的，对直接负责的主管人员和其他直接责任人员依法给予处分。</w:t>
      </w:r>
    </w:p>
    <w:p>
      <w:pPr>
        <w:spacing w:line="560" w:lineRule="exact"/>
        <w:ind w:firstLine="640"/>
        <w:jc w:val="both"/>
      </w:pPr>
      <w:r>
        <w:rPr>
          <w:rFonts w:ascii="黑体" w:hAnsi="黑体" w:eastAsia="黑体" w:cs="黑体"/>
          <w:sz w:val="32"/>
        </w:rPr>
        <w:t>第八十八条</w:t>
      </w:r>
      <w:r>
        <w:rPr>
          <w:rFonts w:ascii="仿宋_GB2312" w:hAnsi="仿宋_GB2312" w:eastAsia="仿宋_GB2312" w:cs="仿宋_GB2312"/>
          <w:sz w:val="32"/>
        </w:rPr>
        <w:t>　县级以上人民政府农业农村主管部门及其工作人员违反本法规定，有下列行为之一的，由本级人民政府责令改正，通报批评；对直接负责的主管人员和其他直接责任人员依法给予处分：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（一）未及时采取预防、控制、扑灭等措施的；</w:t>
      </w:r>
    </w:p>
    <w:p>
      <w:pPr>
        <w:spacing w:line="560" w:lineRule="exact"/>
        <w:ind w:firstLine="640"/>
        <w:jc w:val="both"/>
      </w:pPr>
      <w:r>
        <w:rPr>
          <w:rFonts w:ascii="仿宋_GB2312" w:hAnsi="仿宋_GB2312" w:eastAsia="仿宋_GB2312" w:cs="仿宋_GB2312"/>
          <w:sz w:val="32"/>
        </w:rPr>
        <w:t>（二）对不符合条件的颁发动物防疫条件合格证、动物诊疗许可证，或者对符合条件的拒不颁发动物防疫条件合格证、动物诊疗许可证的；</w:t>
      </w:r>
    </w:p>
    <w:p>
      <w:pPr>
        <w:spacing w:line="560" w:lineRule="exact"/>
        <w:ind w:firstLine="640"/>
        <w:jc w:val="both"/>
      </w:pPr>
      <w:r>
        <w:rPr>
          <w:rFonts w:ascii="仿宋_GB2312" w:hAnsi="仿宋_GB2312" w:eastAsia="仿宋_GB2312" w:cs="仿宋_GB2312"/>
          <w:sz w:val="32"/>
        </w:rPr>
        <w:t>（三）从事与动物防疫有关的经营性活动，或者违法收取费用的；</w:t>
      </w:r>
    </w:p>
    <w:p>
      <w:pPr>
        <w:spacing w:line="560" w:lineRule="exact"/>
        <w:ind w:firstLine="640"/>
        <w:jc w:val="both"/>
      </w:pPr>
      <w:r>
        <w:rPr>
          <w:rFonts w:ascii="仿宋_GB2312" w:hAnsi="仿宋_GB2312" w:eastAsia="仿宋_GB2312" w:cs="仿宋_GB2312"/>
          <w:sz w:val="32"/>
        </w:rPr>
        <w:t>（四）其他未依照本法规定履行职责的行为。</w:t>
      </w:r>
    </w:p>
    <w:p>
      <w:pPr>
        <w:spacing w:line="560" w:lineRule="exact"/>
        <w:ind w:firstLine="640"/>
        <w:jc w:val="both"/>
      </w:pPr>
      <w:r>
        <w:rPr>
          <w:rFonts w:ascii="黑体" w:hAnsi="黑体" w:eastAsia="黑体" w:cs="黑体"/>
          <w:sz w:val="32"/>
        </w:rPr>
        <w:t>第八十九条</w:t>
      </w:r>
      <w:r>
        <w:rPr>
          <w:rFonts w:ascii="仿宋_GB2312" w:hAnsi="仿宋_GB2312" w:eastAsia="仿宋_GB2312" w:cs="仿宋_GB2312"/>
          <w:sz w:val="32"/>
        </w:rPr>
        <w:t>　动物卫生监督机构及其工作人员违反本法规定，有下列行为之一的，由本级人民政府或者农业农村主管部门责令改正，通报批评；对直接负责的主管人员和其他直接责任人员依法给予处分：</w:t>
      </w:r>
    </w:p>
    <w:p>
      <w:pPr>
        <w:spacing w:line="560" w:lineRule="exact"/>
        <w:ind w:firstLine="640"/>
        <w:jc w:val="both"/>
      </w:pPr>
      <w:r>
        <w:rPr>
          <w:rFonts w:ascii="仿宋_GB2312" w:hAnsi="仿宋_GB2312" w:eastAsia="仿宋_GB2312" w:cs="仿宋_GB2312"/>
          <w:sz w:val="32"/>
        </w:rPr>
        <w:t>（一）对未经检疫或者检疫不合格的动物、动物产品出具检疫证明、加施检疫标志，或者对检疫合格的动物、动物产品拒不出具检疫证明、加施检疫标志的；</w:t>
      </w:r>
    </w:p>
    <w:p>
      <w:pPr>
        <w:spacing w:line="560" w:lineRule="exact"/>
        <w:ind w:firstLine="640"/>
        <w:jc w:val="both"/>
      </w:pPr>
      <w:r>
        <w:rPr>
          <w:rFonts w:ascii="仿宋_GB2312" w:hAnsi="仿宋_GB2312" w:eastAsia="仿宋_GB2312" w:cs="仿宋_GB2312"/>
          <w:sz w:val="32"/>
        </w:rPr>
        <w:t>（二）对附有检疫证明、检疫标志的动物、动物产品重复检疫的；</w:t>
      </w:r>
    </w:p>
    <w:p>
      <w:pPr>
        <w:spacing w:line="560" w:lineRule="exact"/>
        <w:ind w:firstLine="640"/>
        <w:jc w:val="both"/>
      </w:pPr>
      <w:r>
        <w:rPr>
          <w:rFonts w:ascii="仿宋_GB2312" w:hAnsi="仿宋_GB2312" w:eastAsia="仿宋_GB2312" w:cs="仿宋_GB2312"/>
          <w:sz w:val="32"/>
        </w:rPr>
        <w:t>（三）从事与动物防疫有关的经营性活动，或者违法收取费用的；</w:t>
      </w:r>
    </w:p>
    <w:p>
      <w:pPr>
        <w:spacing w:line="560" w:lineRule="exact"/>
        <w:ind w:firstLine="640"/>
        <w:jc w:val="both"/>
      </w:pPr>
      <w:r>
        <w:rPr>
          <w:rFonts w:ascii="仿宋_GB2312" w:hAnsi="仿宋_GB2312" w:eastAsia="仿宋_GB2312" w:cs="仿宋_GB2312"/>
          <w:sz w:val="32"/>
        </w:rPr>
        <w:t>（四）其他未依照本法规定履行职责的行为。</w:t>
      </w:r>
    </w:p>
    <w:p>
      <w:pPr>
        <w:spacing w:line="560" w:lineRule="exact"/>
        <w:ind w:firstLine="640"/>
        <w:jc w:val="both"/>
      </w:pPr>
      <w:r>
        <w:rPr>
          <w:rFonts w:ascii="黑体" w:hAnsi="黑体" w:eastAsia="黑体" w:cs="黑体"/>
          <w:sz w:val="32"/>
        </w:rPr>
        <w:t>第九十条</w:t>
      </w:r>
      <w:r>
        <w:rPr>
          <w:rFonts w:ascii="仿宋_GB2312" w:hAnsi="仿宋_GB2312" w:eastAsia="仿宋_GB2312" w:cs="仿宋_GB2312"/>
          <w:sz w:val="32"/>
        </w:rPr>
        <w:t>　动物疫病预防控制机构及其工作人员违反本法规定，有下列行为之一的，由本级人民政府或者农业农村主管部门责令改正，通报批评；对直接负责的主管人员和其他直接责任人员依法给予处分：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（一）未履行动物疫病监测、检测、评估职责或者伪造监测、检测、评估结果的；</w:t>
      </w:r>
    </w:p>
    <w:p>
      <w:pPr>
        <w:spacing w:line="560" w:lineRule="exact"/>
        <w:ind w:firstLine="640"/>
        <w:jc w:val="both"/>
      </w:pPr>
      <w:r>
        <w:rPr>
          <w:rFonts w:ascii="仿宋_GB2312" w:hAnsi="仿宋_GB2312" w:eastAsia="仿宋_GB2312" w:cs="仿宋_GB2312"/>
          <w:sz w:val="32"/>
        </w:rPr>
        <w:t>（二）发生动物疫情时未及时进行诊断、调查的；</w:t>
      </w:r>
    </w:p>
    <w:p>
      <w:pPr>
        <w:spacing w:line="560" w:lineRule="exact"/>
        <w:ind w:firstLine="640"/>
        <w:jc w:val="both"/>
      </w:pPr>
      <w:r>
        <w:rPr>
          <w:rFonts w:ascii="仿宋_GB2312" w:hAnsi="仿宋_GB2312" w:eastAsia="仿宋_GB2312" w:cs="仿宋_GB2312"/>
          <w:sz w:val="32"/>
        </w:rPr>
        <w:t>（三）接到染疫或者疑似染疫报告后，未及时按照国家规定采取措施、上报的；</w:t>
      </w:r>
    </w:p>
    <w:p>
      <w:pPr>
        <w:spacing w:line="560" w:lineRule="exact"/>
        <w:ind w:firstLine="640"/>
        <w:jc w:val="both"/>
      </w:pPr>
      <w:r>
        <w:rPr>
          <w:rFonts w:ascii="仿宋_GB2312" w:hAnsi="仿宋_GB2312" w:eastAsia="仿宋_GB2312" w:cs="仿宋_GB2312"/>
          <w:sz w:val="32"/>
        </w:rPr>
        <w:t>（四）其他未依照本法规定履行职责的行为。</w:t>
      </w:r>
    </w:p>
    <w:p>
      <w:pPr>
        <w:spacing w:line="560" w:lineRule="exact"/>
        <w:ind w:firstLine="640"/>
        <w:jc w:val="both"/>
      </w:pPr>
      <w:r>
        <w:rPr>
          <w:rFonts w:ascii="黑体" w:hAnsi="黑体" w:eastAsia="黑体" w:cs="黑体"/>
          <w:sz w:val="32"/>
        </w:rPr>
        <w:t>第九十一条</w:t>
      </w:r>
      <w:r>
        <w:rPr>
          <w:rFonts w:ascii="仿宋_GB2312" w:hAnsi="仿宋_GB2312" w:eastAsia="仿宋_GB2312" w:cs="仿宋_GB2312"/>
          <w:sz w:val="32"/>
        </w:rPr>
        <w:t>　地方各级人民政府、有关部门及其工作人员瞒报、谎报、迟报、漏报或者授意他人瞒报、谎报、迟报动物疫情，或者阻碍他人报告动物疫情的，由上级人民政府或者有关部门责令改正，通报批评；对直接负责的主管人员和其他直接责任人员依法给予处分。</w:t>
      </w:r>
    </w:p>
    <w:p>
      <w:pPr>
        <w:spacing w:line="560" w:lineRule="exact"/>
        <w:ind w:firstLine="640"/>
        <w:jc w:val="both"/>
      </w:pPr>
      <w:r>
        <w:rPr>
          <w:rFonts w:ascii="黑体" w:hAnsi="黑体" w:eastAsia="黑体" w:cs="黑体"/>
          <w:sz w:val="32"/>
        </w:rPr>
        <w:t>第九十二条</w:t>
      </w:r>
      <w:r>
        <w:rPr>
          <w:rFonts w:ascii="仿宋_GB2312" w:hAnsi="仿宋_GB2312" w:eastAsia="仿宋_GB2312" w:cs="仿宋_GB2312"/>
          <w:sz w:val="32"/>
        </w:rPr>
        <w:t>　违反本法规定，有下列行为之一的，由县级以上地方人民政府农业农村主管部门责令限期改正，可以处一千元以下罚款；逾期不改正的，处一千元以上五千元以下罚款，由县级以上地方人民政府农业农村主管部门委托动物诊疗机构、无害化处理场所等代为处理，所需费用由违法行为人承担：</w:t>
      </w:r>
    </w:p>
    <w:p>
      <w:pPr>
        <w:spacing w:line="560" w:lineRule="exact"/>
        <w:ind w:firstLine="640"/>
        <w:jc w:val="both"/>
      </w:pPr>
      <w:r>
        <w:rPr>
          <w:rFonts w:ascii="仿宋_GB2312" w:hAnsi="仿宋_GB2312" w:eastAsia="仿宋_GB2312" w:cs="仿宋_GB2312"/>
          <w:sz w:val="32"/>
        </w:rPr>
        <w:t>（一）对饲养的动物未按照动物疫病强制免疫计划或者免疫技术规范实施免疫接种的；</w:t>
      </w:r>
    </w:p>
    <w:p>
      <w:pPr>
        <w:spacing w:line="560" w:lineRule="exact"/>
        <w:ind w:firstLine="640"/>
        <w:jc w:val="both"/>
      </w:pPr>
      <w:r>
        <w:rPr>
          <w:rFonts w:ascii="仿宋_GB2312" w:hAnsi="仿宋_GB2312" w:eastAsia="仿宋_GB2312" w:cs="仿宋_GB2312"/>
          <w:sz w:val="32"/>
        </w:rPr>
        <w:t>（二）对饲养的种用、乳用动物未按照国务院农业农村主管部门的要求定期开展疫病检测，或者经检测不合格而未按照规定处理的；</w:t>
      </w:r>
    </w:p>
    <w:p>
      <w:pPr>
        <w:spacing w:line="560" w:lineRule="exact"/>
        <w:ind w:firstLine="640"/>
        <w:jc w:val="both"/>
      </w:pPr>
      <w:r>
        <w:rPr>
          <w:rFonts w:ascii="仿宋_GB2312" w:hAnsi="仿宋_GB2312" w:eastAsia="仿宋_GB2312" w:cs="仿宋_GB2312"/>
          <w:sz w:val="32"/>
        </w:rPr>
        <w:t>（三）对饲养的犬只未按照规定定期进行狂犬病免疫接种的；</w:t>
      </w:r>
    </w:p>
    <w:p>
      <w:pPr>
        <w:spacing w:line="560" w:lineRule="exact"/>
        <w:ind w:firstLine="640"/>
        <w:jc w:val="both"/>
      </w:pPr>
      <w:r>
        <w:rPr>
          <w:rFonts w:ascii="仿宋_GB2312" w:hAnsi="仿宋_GB2312" w:eastAsia="仿宋_GB2312" w:cs="仿宋_GB2312"/>
          <w:sz w:val="32"/>
        </w:rPr>
        <w:t>（四）动物、动物产品的运载工具在装载前和卸载后未按照规定及时清洗、消毒的。</w:t>
      </w:r>
    </w:p>
    <w:p>
      <w:pPr>
        <w:spacing w:line="560" w:lineRule="exact"/>
        <w:ind w:firstLine="640"/>
        <w:jc w:val="both"/>
      </w:pPr>
      <w:r>
        <w:rPr>
          <w:rFonts w:ascii="黑体" w:hAnsi="黑体" w:eastAsia="黑体" w:cs="黑体"/>
          <w:sz w:val="32"/>
        </w:rPr>
        <w:t>第九十三条</w:t>
      </w:r>
      <w:r>
        <w:rPr>
          <w:rFonts w:ascii="仿宋_GB2312" w:hAnsi="仿宋_GB2312" w:eastAsia="仿宋_GB2312" w:cs="仿宋_GB2312"/>
          <w:sz w:val="32"/>
        </w:rPr>
        <w:t>　违反本法规定，对经强制免疫的动物未按照规定建立免疫档案，或者未按照规定加施畜禽标识的，依照《中华人民共和国畜牧法》的有关规定处罚。</w:t>
      </w:r>
    </w:p>
    <w:p>
      <w:pPr>
        <w:spacing w:line="560" w:lineRule="exact"/>
        <w:ind w:firstLine="640"/>
        <w:jc w:val="both"/>
      </w:pPr>
      <w:r>
        <w:rPr>
          <w:rFonts w:ascii="黑体" w:hAnsi="黑体" w:eastAsia="黑体" w:cs="黑体"/>
          <w:sz w:val="32"/>
        </w:rPr>
        <w:t>第九十四条</w:t>
      </w:r>
      <w:r>
        <w:rPr>
          <w:rFonts w:ascii="仿宋_GB2312" w:hAnsi="仿宋_GB2312" w:eastAsia="仿宋_GB2312" w:cs="仿宋_GB2312"/>
          <w:sz w:val="32"/>
        </w:rPr>
        <w:t>　违反本法规定，动物、动物产品的运载工具、垫料、包装物、容器等不符合国务院农业农村主管部门规定的动物防疫要求的，由县级以上地方人民政府农业农村主管部门责令改正，可以处五千元以下罚款；情节严重的，处五千元以上五万元以下罚款。</w:t>
      </w:r>
    </w:p>
    <w:p>
      <w:pPr>
        <w:spacing w:line="560" w:lineRule="exact"/>
        <w:ind w:firstLine="640"/>
        <w:jc w:val="both"/>
      </w:pPr>
      <w:r>
        <w:rPr>
          <w:rFonts w:ascii="黑体" w:hAnsi="黑体" w:eastAsia="黑体" w:cs="黑体"/>
          <w:sz w:val="32"/>
        </w:rPr>
        <w:t>第九十五条</w:t>
      </w:r>
      <w:r>
        <w:rPr>
          <w:rFonts w:ascii="仿宋_GB2312" w:hAnsi="仿宋_GB2312" w:eastAsia="仿宋_GB2312" w:cs="仿宋_GB2312"/>
          <w:sz w:val="32"/>
        </w:rPr>
        <w:t>　违反本法规定，对染疫动物及其排泄物、染疫动物产品或者被染疫动物、动物产品污染的运载工具、垫料、包装物、容器等未按照规定处置的，由县级以上地方人民政府农业农村主管部门责令限期处理；逾期不处理的，由县级以上地方人民政府农业农村主管部门委托有关单位代为处理，所需费用由违法行为人承担，处五千元以上五万元以下罚款。</w:t>
      </w:r>
    </w:p>
    <w:p>
      <w:pPr>
        <w:spacing w:line="560" w:lineRule="exact"/>
        <w:ind w:firstLine="640"/>
        <w:jc w:val="both"/>
      </w:pPr>
      <w:r>
        <w:rPr>
          <w:rFonts w:ascii="仿宋_GB2312" w:hAnsi="仿宋_GB2312" w:eastAsia="仿宋_GB2312" w:cs="仿宋_GB2312"/>
          <w:sz w:val="32"/>
        </w:rPr>
        <w:t>造成环境污染或者生态破坏的，依照环境保护有关法律法规进行处罚。</w:t>
      </w:r>
    </w:p>
    <w:p>
      <w:pPr>
        <w:spacing w:line="560" w:lineRule="exact"/>
        <w:ind w:firstLine="640"/>
        <w:jc w:val="both"/>
      </w:pPr>
      <w:r>
        <w:rPr>
          <w:rFonts w:ascii="黑体" w:hAnsi="黑体" w:eastAsia="黑体" w:cs="黑体"/>
          <w:sz w:val="32"/>
        </w:rPr>
        <w:t>第九十六条</w:t>
      </w:r>
      <w:r>
        <w:rPr>
          <w:rFonts w:ascii="仿宋_GB2312" w:hAnsi="仿宋_GB2312" w:eastAsia="仿宋_GB2312" w:cs="仿宋_GB2312"/>
          <w:sz w:val="32"/>
        </w:rPr>
        <w:t>　违反本法规定，患有人畜共患传染病的人员，直接从事动物疫病监测、检测、检验检疫，动物诊疗以及易感染动物的饲养、屠宰、经营、隔离、运输等活动的，由县级以上地方人民政府农业农村或者野生动物保护主管部门责令改正；拒不改正的，处一千元以上一万元以下罚款；情节严重的，处一万元以上五万元以下罚款。</w:t>
      </w:r>
    </w:p>
    <w:p>
      <w:pPr>
        <w:spacing w:line="560" w:lineRule="exact"/>
        <w:ind w:firstLine="640"/>
        <w:jc w:val="both"/>
      </w:pPr>
      <w:r>
        <w:rPr>
          <w:rFonts w:ascii="黑体" w:hAnsi="黑体" w:eastAsia="黑体" w:cs="黑体"/>
          <w:sz w:val="32"/>
        </w:rPr>
        <w:t>第九十七条</w:t>
      </w:r>
      <w:r>
        <w:rPr>
          <w:rFonts w:ascii="仿宋_GB2312" w:hAnsi="仿宋_GB2312" w:eastAsia="仿宋_GB2312" w:cs="仿宋_GB2312"/>
          <w:sz w:val="32"/>
        </w:rPr>
        <w:t>　违反本法第二十九条规定，屠宰、经营、运输动物或者生产、经营、加工、贮藏、运输动物产品的，由县级以上地方人民政府农业农村主管部门责令改正、采取补救措施，没收违法所得、动物和动物产品，并处同类检疫合格动物、动物产品货值金额十五倍以上三十倍以下罚款；同类检疫合格动物、动物产品货值金额不足一万元的，并处五万元以上十五万元以下罚款；其中依法应当检疫而未检疫的，依照本法第一百条的规定处罚。</w:t>
      </w:r>
    </w:p>
    <w:p>
      <w:pPr>
        <w:spacing w:line="560" w:lineRule="exact"/>
        <w:ind w:firstLine="640"/>
        <w:jc w:val="both"/>
      </w:pPr>
      <w:r>
        <w:rPr>
          <w:rFonts w:ascii="仿宋_GB2312" w:hAnsi="仿宋_GB2312" w:eastAsia="仿宋_GB2312" w:cs="仿宋_GB2312"/>
          <w:sz w:val="32"/>
        </w:rPr>
        <w:t>前款规定的违法行为人及其法定代表人（负责人）、直接负责的主管人员和其他直接责任人员，自处罚决定作出之日起五年内不得从事相关活动；构成犯罪的，终身不得从事屠宰、经营、运输动物或者生产、经营、加工、贮藏、运输动物产品等相关活动。</w:t>
      </w:r>
    </w:p>
    <w:p>
      <w:pPr>
        <w:spacing w:line="560" w:lineRule="exact"/>
        <w:ind w:firstLine="640"/>
        <w:jc w:val="both"/>
      </w:pPr>
      <w:r>
        <w:rPr>
          <w:rFonts w:ascii="黑体" w:hAnsi="黑体" w:eastAsia="黑体" w:cs="黑体"/>
          <w:sz w:val="32"/>
        </w:rPr>
        <w:t>第九十八条</w:t>
      </w:r>
      <w:r>
        <w:rPr>
          <w:rFonts w:ascii="仿宋_GB2312" w:hAnsi="仿宋_GB2312" w:eastAsia="仿宋_GB2312" w:cs="仿宋_GB2312"/>
          <w:sz w:val="32"/>
        </w:rPr>
        <w:t>　违反本法规定，有下列行为之一的，由县级以上地方人民政府农业农村主管部门责令改正，处三千元以上三万元以下罚款；情节严重的，责令停业整顿，并处三万元以上十万元以下罚款：</w:t>
      </w:r>
    </w:p>
    <w:p>
      <w:pPr>
        <w:spacing w:line="560" w:lineRule="exact"/>
        <w:ind w:firstLine="640"/>
        <w:jc w:val="both"/>
      </w:pPr>
      <w:r>
        <w:rPr>
          <w:rFonts w:ascii="仿宋_GB2312" w:hAnsi="仿宋_GB2312" w:eastAsia="仿宋_GB2312" w:cs="仿宋_GB2312"/>
          <w:sz w:val="32"/>
        </w:rPr>
        <w:t>（一）开办动物饲养场和隔离场所、动物屠宰加工场所以及动物和动物产品无害化处理场所，未取得动物防疫条件合格证的；</w:t>
      </w:r>
    </w:p>
    <w:p>
      <w:pPr>
        <w:spacing w:line="560" w:lineRule="exact"/>
        <w:ind w:firstLine="640"/>
        <w:jc w:val="both"/>
      </w:pPr>
      <w:r>
        <w:rPr>
          <w:rFonts w:ascii="仿宋_GB2312" w:hAnsi="仿宋_GB2312" w:eastAsia="仿宋_GB2312" w:cs="仿宋_GB2312"/>
          <w:sz w:val="32"/>
        </w:rPr>
        <w:t>（二）经营动物、动物产品的集贸市场不具备国务院农业农村主管部门规定的防疫条件的；</w:t>
      </w:r>
    </w:p>
    <w:p>
      <w:pPr>
        <w:spacing w:line="560" w:lineRule="exact"/>
        <w:ind w:firstLine="640"/>
        <w:jc w:val="both"/>
      </w:pPr>
      <w:r>
        <w:rPr>
          <w:rFonts w:ascii="仿宋_GB2312" w:hAnsi="仿宋_GB2312" w:eastAsia="仿宋_GB2312" w:cs="仿宋_GB2312"/>
          <w:sz w:val="32"/>
        </w:rPr>
        <w:t>（三）未经备案从事动物运输的；</w:t>
      </w:r>
    </w:p>
    <w:p>
      <w:pPr>
        <w:spacing w:line="560" w:lineRule="exact"/>
        <w:ind w:firstLine="640"/>
        <w:jc w:val="both"/>
      </w:pPr>
      <w:r>
        <w:rPr>
          <w:rFonts w:ascii="仿宋_GB2312" w:hAnsi="仿宋_GB2312" w:eastAsia="仿宋_GB2312" w:cs="仿宋_GB2312"/>
          <w:sz w:val="32"/>
        </w:rPr>
        <w:t>（四）未按照规定保存行程路线和托运人提供的动物名称、检疫证明编号、数量等信息的；</w:t>
      </w:r>
    </w:p>
    <w:p>
      <w:pPr>
        <w:spacing w:line="560" w:lineRule="exact"/>
        <w:ind w:firstLine="640"/>
        <w:jc w:val="both"/>
      </w:pPr>
      <w:r>
        <w:rPr>
          <w:rFonts w:ascii="仿宋_GB2312" w:hAnsi="仿宋_GB2312" w:eastAsia="仿宋_GB2312" w:cs="仿宋_GB2312"/>
          <w:sz w:val="32"/>
        </w:rPr>
        <w:t>（五）未经检疫合格，向无规定动物疫病区输入动物、动物产品的；</w:t>
      </w:r>
    </w:p>
    <w:p>
      <w:pPr>
        <w:spacing w:line="560" w:lineRule="exact"/>
        <w:ind w:firstLine="640"/>
        <w:jc w:val="both"/>
      </w:pPr>
      <w:r>
        <w:rPr>
          <w:rFonts w:ascii="仿宋_GB2312" w:hAnsi="仿宋_GB2312" w:eastAsia="仿宋_GB2312" w:cs="仿宋_GB2312"/>
          <w:sz w:val="32"/>
        </w:rPr>
        <w:t>（六）跨省、自治区、直辖市引进种用、乳用动物到达输入地后未按照规定进行隔离观察的；</w:t>
      </w:r>
    </w:p>
    <w:p>
      <w:pPr>
        <w:spacing w:line="560" w:lineRule="exact"/>
        <w:ind w:firstLine="640"/>
        <w:jc w:val="both"/>
      </w:pPr>
      <w:r>
        <w:rPr>
          <w:rFonts w:ascii="仿宋_GB2312" w:hAnsi="仿宋_GB2312" w:eastAsia="仿宋_GB2312" w:cs="仿宋_GB2312"/>
          <w:sz w:val="32"/>
        </w:rPr>
        <w:t>（七）未按照规定处理或者随意弃置病死动物、病害动物产品的。</w:t>
      </w:r>
    </w:p>
    <w:p>
      <w:pPr>
        <w:spacing w:line="560" w:lineRule="exact"/>
        <w:ind w:firstLine="640"/>
        <w:jc w:val="both"/>
      </w:pPr>
      <w:r>
        <w:rPr>
          <w:rFonts w:ascii="黑体" w:hAnsi="黑体" w:eastAsia="黑体" w:cs="黑体"/>
          <w:sz w:val="32"/>
        </w:rPr>
        <w:t>第九十九条</w:t>
      </w:r>
      <w:r>
        <w:rPr>
          <w:rFonts w:ascii="仿宋_GB2312" w:hAnsi="仿宋_GB2312" w:eastAsia="仿宋_GB2312" w:cs="仿宋_GB2312"/>
          <w:sz w:val="32"/>
        </w:rPr>
        <w:t>　动物饲养场和隔离场所、动物屠宰加工场所以及动物和动物产品无害化处理场所，生产经营条件发生变化，不再符合本法第二十四条规定的动物防疫条件继续从事相关活动的，由县级以上地方人民政府农业农村主管部门给予警告，责令限期改正；逾期仍达不到规定条件的，吊销动物防疫条件合格证，并通报市场监督管理部门依法处理。</w:t>
      </w:r>
    </w:p>
    <w:p>
      <w:pPr>
        <w:spacing w:line="560" w:lineRule="exact"/>
        <w:ind w:firstLine="640"/>
        <w:jc w:val="both"/>
      </w:pPr>
      <w:r>
        <w:rPr>
          <w:rFonts w:ascii="黑体" w:hAnsi="黑体" w:eastAsia="黑体" w:cs="黑体"/>
          <w:sz w:val="32"/>
        </w:rPr>
        <w:t>第一百条</w:t>
      </w:r>
      <w:r>
        <w:rPr>
          <w:rFonts w:ascii="仿宋_GB2312" w:hAnsi="仿宋_GB2312" w:eastAsia="仿宋_GB2312" w:cs="仿宋_GB2312"/>
          <w:sz w:val="32"/>
        </w:rPr>
        <w:t>　违反本法规定，屠宰、经营、运输的动物未附有检疫证明，经营和运输的动物产品未附有检疫证明、检疫标志的，由县级以上地方人民政府农业农村主管部门责令改正，处同类检疫合格动物、动物产品货值金额一倍以下罚款；对货主以外的承运人处运输费用三倍以上五倍以下罚款，情节严重的，处五倍以上十倍以下罚款。</w:t>
      </w:r>
    </w:p>
    <w:p>
      <w:pPr>
        <w:spacing w:line="560" w:lineRule="exact"/>
        <w:ind w:firstLine="640"/>
        <w:jc w:val="both"/>
      </w:pPr>
      <w:r>
        <w:rPr>
          <w:rFonts w:ascii="仿宋_GB2312" w:hAnsi="仿宋_GB2312" w:eastAsia="仿宋_GB2312" w:cs="仿宋_GB2312"/>
          <w:sz w:val="32"/>
        </w:rPr>
        <w:t>违反本法规定，用于科研、展示、演出和比赛等非食用性利用的动物未附有检疫证明的，由县级以上地方人民政府农业农村主管部门责令改正，处三千元以上一万元以下罚款。</w:t>
      </w:r>
    </w:p>
    <w:p>
      <w:pPr>
        <w:spacing w:line="560" w:lineRule="exact"/>
        <w:ind w:firstLine="640"/>
        <w:jc w:val="both"/>
      </w:pPr>
      <w:r>
        <w:rPr>
          <w:rFonts w:ascii="黑体" w:hAnsi="黑体" w:eastAsia="黑体" w:cs="黑体"/>
          <w:sz w:val="32"/>
        </w:rPr>
        <w:t>第一百零一条</w:t>
      </w:r>
      <w:r>
        <w:rPr>
          <w:rFonts w:ascii="仿宋_GB2312" w:hAnsi="仿宋_GB2312" w:eastAsia="仿宋_GB2312" w:cs="仿宋_GB2312"/>
          <w:sz w:val="32"/>
        </w:rPr>
        <w:t>　违反本法规定，将禁止或者限制调运的特定动物、动物产品由动物疫病高风险区调入低风险区的，由县级以上地方人民政府农业农村主管部门没收运输费用、违法运输的动物和动物产品，并处运输费用一倍以上五倍以下罚款。</w:t>
      </w:r>
    </w:p>
    <w:p>
      <w:pPr>
        <w:spacing w:line="560" w:lineRule="exact"/>
        <w:ind w:firstLine="640"/>
        <w:jc w:val="both"/>
      </w:pPr>
      <w:r>
        <w:rPr>
          <w:rFonts w:ascii="黑体" w:hAnsi="黑体" w:eastAsia="黑体" w:cs="黑体"/>
          <w:sz w:val="32"/>
        </w:rPr>
        <w:t>第一百零二条</w:t>
      </w:r>
      <w:r>
        <w:rPr>
          <w:rFonts w:ascii="仿宋_GB2312" w:hAnsi="仿宋_GB2312" w:eastAsia="仿宋_GB2312" w:cs="仿宋_GB2312"/>
          <w:sz w:val="32"/>
        </w:rPr>
        <w:t>　违反本法规定，通过道路跨省、自治区、直辖市运输动物，未经省、自治区、直辖市人民政府设立的指定通道入省境或者过省境的，由县级以上地方人民政府农业农村主管部门对运输人处五千元以上一万元以下罚款；情节严重的，处一万元以上五万元以下罚款。</w:t>
      </w:r>
    </w:p>
    <w:p>
      <w:pPr>
        <w:spacing w:line="560" w:lineRule="exact"/>
        <w:ind w:firstLine="640"/>
        <w:jc w:val="both"/>
      </w:pPr>
      <w:r>
        <w:rPr>
          <w:rFonts w:ascii="黑体" w:hAnsi="黑体" w:eastAsia="黑体" w:cs="黑体"/>
          <w:sz w:val="32"/>
        </w:rPr>
        <w:t>第一百零三条</w:t>
      </w:r>
      <w:r>
        <w:rPr>
          <w:rFonts w:ascii="仿宋_GB2312" w:hAnsi="仿宋_GB2312" w:eastAsia="仿宋_GB2312" w:cs="仿宋_GB2312"/>
          <w:sz w:val="32"/>
        </w:rPr>
        <w:t>　违反本法规定，转让、伪造或者变造检疫证明、检疫标志或者畜禽标识的，由县级以上地方人民政府农业农村主管部门没收违法所得和检疫证明、检疫标志、畜禽标识，并处五千元以上五万元以下罚款。</w:t>
      </w:r>
    </w:p>
    <w:p>
      <w:pPr>
        <w:spacing w:line="560" w:lineRule="exact"/>
        <w:ind w:firstLine="640"/>
        <w:jc w:val="both"/>
      </w:pPr>
      <w:r>
        <w:rPr>
          <w:rFonts w:ascii="仿宋_GB2312" w:hAnsi="仿宋_GB2312" w:eastAsia="仿宋_GB2312" w:cs="仿宋_GB2312"/>
          <w:sz w:val="32"/>
        </w:rPr>
        <w:t>持有、使用伪造或者变造的检疫证明、检疫标志或者畜禽标识的，由县级以上人民政府农业农村主管部门没收检疫证明、检疫标志、畜禽标识和对应的动物、动物产品，并处三千元以上三万元以下罚款。</w:t>
      </w:r>
    </w:p>
    <w:p>
      <w:pPr>
        <w:spacing w:line="560" w:lineRule="exact"/>
        <w:ind w:firstLine="640"/>
        <w:jc w:val="both"/>
      </w:pPr>
      <w:r>
        <w:rPr>
          <w:rFonts w:ascii="黑体" w:hAnsi="黑体" w:eastAsia="黑体" w:cs="黑体"/>
          <w:sz w:val="32"/>
        </w:rPr>
        <w:t>第一百零四条</w:t>
      </w:r>
      <w:r>
        <w:rPr>
          <w:rFonts w:ascii="仿宋_GB2312" w:hAnsi="仿宋_GB2312" w:eastAsia="仿宋_GB2312" w:cs="仿宋_GB2312"/>
          <w:sz w:val="32"/>
        </w:rPr>
        <w:t>　违反本法规定，有下列行为之一的，由县级以上地方人民政府农业农村主管部门责令改正，处三千元以上三万元以下罚款：</w:t>
      </w:r>
    </w:p>
    <w:p>
      <w:pPr>
        <w:spacing w:line="560" w:lineRule="exact"/>
        <w:ind w:firstLine="640"/>
        <w:jc w:val="both"/>
      </w:pPr>
      <w:r>
        <w:rPr>
          <w:rFonts w:ascii="仿宋_GB2312" w:hAnsi="仿宋_GB2312" w:eastAsia="仿宋_GB2312" w:cs="仿宋_GB2312"/>
          <w:sz w:val="32"/>
        </w:rPr>
        <w:t>（一）擅自发布动物疫情的；</w:t>
      </w:r>
    </w:p>
    <w:p>
      <w:pPr>
        <w:spacing w:line="560" w:lineRule="exact"/>
        <w:ind w:firstLine="640"/>
        <w:jc w:val="both"/>
      </w:pPr>
      <w:r>
        <w:rPr>
          <w:rFonts w:ascii="仿宋_GB2312" w:hAnsi="仿宋_GB2312" w:eastAsia="仿宋_GB2312" w:cs="仿宋_GB2312"/>
          <w:sz w:val="32"/>
        </w:rPr>
        <w:t>（二）不遵守县级以上人民政府及其农业农村主管部门依法作出的有关控制动物疫病规定的；</w:t>
      </w:r>
    </w:p>
    <w:p>
      <w:pPr>
        <w:spacing w:line="560" w:lineRule="exact"/>
        <w:ind w:firstLine="640"/>
        <w:jc w:val="both"/>
      </w:pPr>
      <w:r>
        <w:rPr>
          <w:rFonts w:ascii="仿宋_GB2312" w:hAnsi="仿宋_GB2312" w:eastAsia="仿宋_GB2312" w:cs="仿宋_GB2312"/>
          <w:sz w:val="32"/>
        </w:rPr>
        <w:t>（三）藏匿、转移、盗掘已被依法隔离、封存、处理的动物和动物产品的。</w:t>
      </w:r>
    </w:p>
    <w:p>
      <w:pPr>
        <w:spacing w:line="560" w:lineRule="exact"/>
        <w:ind w:firstLine="640"/>
        <w:jc w:val="both"/>
      </w:pPr>
      <w:r>
        <w:rPr>
          <w:rFonts w:ascii="黑体" w:hAnsi="黑体" w:eastAsia="黑体" w:cs="黑体"/>
          <w:sz w:val="32"/>
        </w:rPr>
        <w:t>第一百零五条</w:t>
      </w:r>
      <w:r>
        <w:rPr>
          <w:rFonts w:ascii="仿宋_GB2312" w:hAnsi="仿宋_GB2312" w:eastAsia="仿宋_GB2312" w:cs="仿宋_GB2312"/>
          <w:sz w:val="32"/>
        </w:rPr>
        <w:t>　违反本法规定，未取得动物诊疗许可证从事动物诊疗活动的，由县级以上地方人民政府农业农村主管部门责令停止诊疗活动，没收违法所得，并处违法所得一倍以上三倍以下罚款；违法所得不足三万元的，并处三千元以上三万元以下罚款。</w:t>
      </w:r>
    </w:p>
    <w:p>
      <w:pPr>
        <w:spacing w:line="560" w:lineRule="exact"/>
        <w:ind w:firstLine="640"/>
        <w:jc w:val="both"/>
      </w:pPr>
      <w:r>
        <w:rPr>
          <w:rFonts w:ascii="仿宋_GB2312" w:hAnsi="仿宋_GB2312" w:eastAsia="仿宋_GB2312" w:cs="仿宋_GB2312"/>
          <w:sz w:val="32"/>
        </w:rPr>
        <w:t>动物诊疗机构违反本法规定，未按照规定实施卫生安全防护、消毒、隔离和处置诊疗废弃物的，由县级以上地方人民政府农业农村主管部门责令改正，处一千元以上一万元以下罚款；造成动物疫病扩散的，处一万元以上五万元以下罚款；情节严重的，吊销动物诊疗许可证。</w:t>
      </w:r>
    </w:p>
    <w:p>
      <w:pPr>
        <w:spacing w:line="560" w:lineRule="exact"/>
        <w:ind w:firstLine="640"/>
        <w:jc w:val="both"/>
      </w:pPr>
      <w:r>
        <w:rPr>
          <w:rFonts w:ascii="黑体" w:hAnsi="黑体" w:eastAsia="黑体" w:cs="黑体"/>
          <w:sz w:val="32"/>
        </w:rPr>
        <w:t>第一百零六条</w:t>
      </w:r>
      <w:r>
        <w:rPr>
          <w:rFonts w:ascii="仿宋_GB2312" w:hAnsi="仿宋_GB2312" w:eastAsia="仿宋_GB2312" w:cs="仿宋_GB2312"/>
          <w:sz w:val="32"/>
        </w:rPr>
        <w:t>　违反本法规定，未经执业兽医备案从事经营性动物诊疗活动的，由县级以上地方人民政府农业农村主管部门责令停止动物诊疗活动，没收违法所得，并处三千元以上三万元以下罚款；对其所在的动物诊疗机构处一万元以上五万元以下罚款。</w:t>
      </w:r>
    </w:p>
    <w:p>
      <w:pPr>
        <w:spacing w:line="560" w:lineRule="exact"/>
        <w:ind w:firstLine="640"/>
        <w:jc w:val="both"/>
      </w:pPr>
      <w:r>
        <w:rPr>
          <w:rFonts w:ascii="仿宋_GB2312" w:hAnsi="仿宋_GB2312" w:eastAsia="仿宋_GB2312" w:cs="仿宋_GB2312"/>
          <w:sz w:val="32"/>
        </w:rPr>
        <w:t>执业兽医有下列行为之一的，由县级以上地方人民政府农业农村主管部门给予警告，责令暂停六个月以上一年以下动物诊疗活动；情节严重的，吊销执业兽医资格证书：</w:t>
      </w:r>
    </w:p>
    <w:p>
      <w:pPr>
        <w:spacing w:line="560" w:lineRule="exact"/>
        <w:ind w:firstLine="640"/>
        <w:jc w:val="both"/>
      </w:pPr>
      <w:r>
        <w:rPr>
          <w:rFonts w:ascii="仿宋_GB2312" w:hAnsi="仿宋_GB2312" w:eastAsia="仿宋_GB2312" w:cs="仿宋_GB2312"/>
          <w:sz w:val="32"/>
        </w:rPr>
        <w:t>（一）违反有关动物诊疗的操作技术规范，造成或者可能造成动物疫病传播、流行的；</w:t>
      </w:r>
    </w:p>
    <w:p>
      <w:pPr>
        <w:spacing w:line="560" w:lineRule="exact"/>
        <w:ind w:firstLine="640"/>
        <w:jc w:val="both"/>
      </w:pPr>
      <w:r>
        <w:rPr>
          <w:rFonts w:ascii="仿宋_GB2312" w:hAnsi="仿宋_GB2312" w:eastAsia="仿宋_GB2312" w:cs="仿宋_GB2312"/>
          <w:sz w:val="32"/>
        </w:rPr>
        <w:t>（二）使用不符合规定的兽药和兽医器械的；</w:t>
      </w:r>
    </w:p>
    <w:p>
      <w:pPr>
        <w:spacing w:line="560" w:lineRule="exact"/>
        <w:ind w:firstLine="640"/>
        <w:jc w:val="both"/>
      </w:pPr>
      <w:r>
        <w:rPr>
          <w:rFonts w:ascii="仿宋_GB2312" w:hAnsi="仿宋_GB2312" w:eastAsia="仿宋_GB2312" w:cs="仿宋_GB2312"/>
          <w:sz w:val="32"/>
        </w:rPr>
        <w:t>（三）未按照当地人民政府或者农业农村主管部门要求参加动物疫病预防、控制和动物疫情扑灭活动的。</w:t>
      </w:r>
    </w:p>
    <w:p>
      <w:pPr>
        <w:spacing w:line="560" w:lineRule="exact"/>
        <w:ind w:firstLine="640"/>
        <w:jc w:val="both"/>
      </w:pPr>
      <w:r>
        <w:rPr>
          <w:rFonts w:ascii="黑体" w:hAnsi="黑体" w:eastAsia="黑体" w:cs="黑体"/>
          <w:sz w:val="32"/>
        </w:rPr>
        <w:t>第一百零七条</w:t>
      </w:r>
      <w:r>
        <w:rPr>
          <w:rFonts w:ascii="仿宋_GB2312" w:hAnsi="仿宋_GB2312" w:eastAsia="仿宋_GB2312" w:cs="仿宋_GB2312"/>
          <w:sz w:val="32"/>
        </w:rPr>
        <w:t>　违反本法规定，生产经营兽医器械，产品质量不符合要求的，由县级以上地方人民政府农业农村主管部门责令限期整改；情节严重的，责令停业整顿，并处二万元以上十万元以下罚款。</w:t>
      </w:r>
    </w:p>
    <w:p>
      <w:pPr>
        <w:spacing w:line="560" w:lineRule="exact"/>
        <w:ind w:firstLine="640"/>
        <w:jc w:val="both"/>
      </w:pPr>
      <w:r>
        <w:rPr>
          <w:rFonts w:ascii="黑体" w:hAnsi="黑体" w:eastAsia="黑体" w:cs="黑体"/>
          <w:sz w:val="32"/>
        </w:rPr>
        <w:t>第一百零八条</w:t>
      </w:r>
      <w:r>
        <w:rPr>
          <w:rFonts w:ascii="仿宋_GB2312" w:hAnsi="仿宋_GB2312" w:eastAsia="仿宋_GB2312" w:cs="仿宋_GB2312"/>
          <w:sz w:val="32"/>
        </w:rPr>
        <w:t>　违反本法规定，从事动物疫病研究、诊疗和动物饲养、屠宰、经营、隔离、运输，以及动物产品生产、经营、加工、贮藏、无害化处理等活动的单位和个人，有下列行为之一的，由县级以上地方人民政府农业农村主管部门责令改正，可以处一万元以下罚款；拒不改正的，处一万元以上五万元以下罚款，并可以责令停业整顿：</w:t>
      </w:r>
    </w:p>
    <w:p>
      <w:pPr>
        <w:spacing w:line="560" w:lineRule="exact"/>
        <w:ind w:firstLine="640"/>
        <w:jc w:val="both"/>
      </w:pPr>
      <w:r>
        <w:rPr>
          <w:rFonts w:ascii="仿宋_GB2312" w:hAnsi="仿宋_GB2312" w:eastAsia="仿宋_GB2312" w:cs="仿宋_GB2312"/>
          <w:sz w:val="32"/>
        </w:rPr>
        <w:t>（一）发现动物染疫、疑似染疫未报告，或者未采取隔离等控制措施的；</w:t>
      </w:r>
    </w:p>
    <w:p>
      <w:pPr>
        <w:spacing w:line="560" w:lineRule="exact"/>
        <w:ind w:firstLine="640"/>
        <w:jc w:val="both"/>
      </w:pPr>
      <w:r>
        <w:rPr>
          <w:rFonts w:ascii="仿宋_GB2312" w:hAnsi="仿宋_GB2312" w:eastAsia="仿宋_GB2312" w:cs="仿宋_GB2312"/>
          <w:sz w:val="32"/>
        </w:rPr>
        <w:t>（二）不如实提供与动物防疫有关的资料的；</w:t>
      </w:r>
    </w:p>
    <w:p>
      <w:pPr>
        <w:spacing w:line="560" w:lineRule="exact"/>
        <w:ind w:firstLine="640"/>
        <w:jc w:val="both"/>
      </w:pPr>
      <w:r>
        <w:rPr>
          <w:rFonts w:ascii="仿宋_GB2312" w:hAnsi="仿宋_GB2312" w:eastAsia="仿宋_GB2312" w:cs="仿宋_GB2312"/>
          <w:sz w:val="32"/>
        </w:rPr>
        <w:t>（三）拒绝或者阻碍农业农村主管部门进行监督检查的；</w:t>
      </w:r>
    </w:p>
    <w:p>
      <w:pPr>
        <w:spacing w:line="560" w:lineRule="exact"/>
        <w:ind w:firstLine="640"/>
        <w:jc w:val="both"/>
      </w:pPr>
      <w:r>
        <w:rPr>
          <w:rFonts w:ascii="仿宋_GB2312" w:hAnsi="仿宋_GB2312" w:eastAsia="仿宋_GB2312" w:cs="仿宋_GB2312"/>
          <w:sz w:val="32"/>
        </w:rPr>
        <w:t>（四）拒绝或者阻碍动物疫病预防控制机构进行动物疫病监测、检测、评估的；</w:t>
      </w:r>
    </w:p>
    <w:p>
      <w:pPr>
        <w:spacing w:line="560" w:lineRule="exact"/>
        <w:ind w:firstLine="640"/>
        <w:jc w:val="both"/>
      </w:pPr>
      <w:r>
        <w:rPr>
          <w:rFonts w:ascii="仿宋_GB2312" w:hAnsi="仿宋_GB2312" w:eastAsia="仿宋_GB2312" w:cs="仿宋_GB2312"/>
          <w:sz w:val="32"/>
        </w:rPr>
        <w:t>（五）拒绝或者阻碍官方兽医依法履行职责的。</w:t>
      </w:r>
    </w:p>
    <w:p>
      <w:pPr>
        <w:spacing w:line="560" w:lineRule="exact"/>
        <w:ind w:firstLine="640"/>
        <w:jc w:val="both"/>
      </w:pPr>
      <w:r>
        <w:rPr>
          <w:rFonts w:ascii="黑体" w:hAnsi="黑体" w:eastAsia="黑体" w:cs="黑体"/>
          <w:sz w:val="32"/>
        </w:rPr>
        <w:t>第一百零九条</w:t>
      </w:r>
      <w:r>
        <w:rPr>
          <w:rFonts w:ascii="仿宋_GB2312" w:hAnsi="仿宋_GB2312" w:eastAsia="仿宋_GB2312" w:cs="仿宋_GB2312"/>
          <w:sz w:val="32"/>
        </w:rPr>
        <w:t>　违反本法规定，造成人畜共患传染病传播、流行的，依法从重给予处分、处罚。</w:t>
      </w:r>
    </w:p>
    <w:p>
      <w:pPr>
        <w:spacing w:line="560" w:lineRule="exact"/>
        <w:ind w:firstLine="640"/>
        <w:jc w:val="both"/>
      </w:pPr>
      <w:r>
        <w:rPr>
          <w:rFonts w:ascii="仿宋_GB2312" w:hAnsi="仿宋_GB2312" w:eastAsia="仿宋_GB2312" w:cs="仿宋_GB2312"/>
          <w:sz w:val="32"/>
        </w:rPr>
        <w:t>违反本法规定，构成违反治安管理行为的，依法给予治安管理处罚；构成犯罪的，依法追究刑事责任。</w:t>
      </w:r>
    </w:p>
    <w:p>
      <w:pPr>
        <w:spacing w:line="560" w:lineRule="exact"/>
        <w:ind w:firstLine="640"/>
        <w:jc w:val="both"/>
      </w:pPr>
      <w:r>
        <w:rPr>
          <w:rFonts w:ascii="仿宋_GB2312" w:hAnsi="仿宋_GB2312" w:eastAsia="仿宋_GB2312" w:cs="仿宋_GB2312"/>
          <w:sz w:val="32"/>
        </w:rPr>
        <w:t>违反本法规定，给他人人身、财产造成损害的，依法承担民事责任。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第十二章　附则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第一百一十条</w:t>
      </w:r>
      <w:r>
        <w:rPr>
          <w:rFonts w:ascii="仿宋_GB2312" w:hAnsi="仿宋_GB2312" w:eastAsia="仿宋_GB2312" w:cs="仿宋_GB2312"/>
          <w:sz w:val="32"/>
        </w:rPr>
        <w:t>　本法下列用语的含义：</w:t>
      </w:r>
    </w:p>
    <w:p>
      <w:pPr>
        <w:spacing w:line="560" w:lineRule="exact"/>
        <w:ind w:firstLine="640"/>
        <w:jc w:val="both"/>
      </w:pPr>
      <w:r>
        <w:rPr>
          <w:rFonts w:ascii="仿宋_GB2312" w:hAnsi="仿宋_GB2312" w:eastAsia="仿宋_GB2312" w:cs="仿宋_GB2312"/>
          <w:sz w:val="32"/>
        </w:rPr>
        <w:t>（一）无规定动物疫病区，是指具有天然屏障或者采取人工措施，在一定期限内没有发生规定的一种或者几种动物疫病，并经验收合格的区域；</w:t>
      </w:r>
    </w:p>
    <w:p>
      <w:pPr>
        <w:spacing w:line="560" w:lineRule="exact"/>
        <w:ind w:firstLine="640"/>
        <w:jc w:val="both"/>
      </w:pPr>
      <w:r>
        <w:rPr>
          <w:rFonts w:ascii="仿宋_GB2312" w:hAnsi="仿宋_GB2312" w:eastAsia="仿宋_GB2312" w:cs="仿宋_GB2312"/>
          <w:sz w:val="32"/>
        </w:rPr>
        <w:t>（二）无规定动物疫病生物安全隔离区，是指处于同一生物安全管理体系下，在一定期限内没有发生规定的一种或者几种动物疫病的若干动物饲养场及其辅助生产场所构成的，并经验收合格的特定小型区域；</w:t>
      </w:r>
    </w:p>
    <w:p>
      <w:pPr>
        <w:spacing w:line="560" w:lineRule="exact"/>
        <w:ind w:firstLine="640"/>
        <w:jc w:val="both"/>
      </w:pPr>
      <w:r>
        <w:rPr>
          <w:rFonts w:ascii="仿宋_GB2312" w:hAnsi="仿宋_GB2312" w:eastAsia="仿宋_GB2312" w:cs="仿宋_GB2312"/>
          <w:sz w:val="32"/>
        </w:rPr>
        <w:t>（三）病死动物，是指染疫死亡、因病死亡、死因不明或者经检验检疫可能危害人体或者动物健康的死亡动物；</w:t>
      </w:r>
    </w:p>
    <w:p>
      <w:pPr>
        <w:spacing w:line="560" w:lineRule="exact"/>
        <w:ind w:firstLine="640"/>
        <w:jc w:val="both"/>
      </w:pPr>
      <w:r>
        <w:rPr>
          <w:rFonts w:ascii="仿宋_GB2312" w:hAnsi="仿宋_GB2312" w:eastAsia="仿宋_GB2312" w:cs="仿宋_GB2312"/>
          <w:sz w:val="32"/>
        </w:rPr>
        <w:t>（四）病害动物产品，是指来源于病死动物的产品，或者经检验检疫可能危害人体或者动物健康的动物产品。</w:t>
      </w:r>
    </w:p>
    <w:p>
      <w:pPr>
        <w:spacing w:line="560" w:lineRule="exact"/>
        <w:ind w:firstLine="640"/>
        <w:jc w:val="both"/>
      </w:pPr>
      <w:r>
        <w:rPr>
          <w:rFonts w:ascii="黑体" w:hAnsi="黑体" w:eastAsia="黑体" w:cs="黑体"/>
          <w:sz w:val="32"/>
        </w:rPr>
        <w:t>第一百一十一条</w:t>
      </w:r>
      <w:r>
        <w:rPr>
          <w:rFonts w:ascii="仿宋_GB2312" w:hAnsi="仿宋_GB2312" w:eastAsia="仿宋_GB2312" w:cs="仿宋_GB2312"/>
          <w:sz w:val="32"/>
        </w:rPr>
        <w:t>　境外无规定动物疫病区和无规定动物疫病生物安全隔离区的无疫等效性评估，参照本法有关规定执行。</w:t>
      </w:r>
    </w:p>
    <w:p>
      <w:pPr>
        <w:spacing w:line="560" w:lineRule="exact"/>
        <w:ind w:firstLine="640"/>
        <w:jc w:val="both"/>
      </w:pPr>
      <w:r>
        <w:rPr>
          <w:rFonts w:ascii="黑体" w:hAnsi="黑体" w:eastAsia="黑体" w:cs="黑体"/>
          <w:sz w:val="32"/>
        </w:rPr>
        <w:t>第一百一十二条</w:t>
      </w:r>
      <w:r>
        <w:rPr>
          <w:rFonts w:ascii="仿宋_GB2312" w:hAnsi="仿宋_GB2312" w:eastAsia="仿宋_GB2312" w:cs="仿宋_GB2312"/>
          <w:sz w:val="32"/>
        </w:rPr>
        <w:t>　实验动物防疫有特殊要求的，按照实验动物管理的有关规定执行。</w:t>
      </w:r>
    </w:p>
    <w:p>
      <w:pPr>
        <w:spacing w:line="560" w:lineRule="exact"/>
        <w:ind w:firstLine="640"/>
        <w:jc w:val="both"/>
      </w:pPr>
      <w:r>
        <w:rPr>
          <w:rFonts w:ascii="黑体" w:hAnsi="黑体" w:eastAsia="黑体" w:cs="黑体"/>
          <w:sz w:val="32"/>
        </w:rPr>
        <w:t>第一百一十三条</w:t>
      </w:r>
      <w:r>
        <w:rPr>
          <w:rFonts w:ascii="仿宋_GB2312" w:hAnsi="仿宋_GB2312" w:eastAsia="仿宋_GB2312" w:cs="仿宋_GB2312"/>
          <w:sz w:val="32"/>
        </w:rPr>
        <w:t>　本法自</w:t>
      </w:r>
      <w:r>
        <w:rPr>
          <w:rFonts w:hint="default" w:ascii="Times New Roman" w:hAnsi="Times New Roman" w:eastAsia="仿宋_GB2312" w:cs="Times New Roman"/>
          <w:sz w:val="32"/>
        </w:rPr>
        <w:t>2021</w:t>
      </w:r>
      <w:r>
        <w:rPr>
          <w:rFonts w:ascii="仿宋_GB2312" w:hAnsi="仿宋_GB2312" w:eastAsia="仿宋_GB2312" w:cs="仿宋_GB2312"/>
          <w:sz w:val="32"/>
        </w:rPr>
        <w:t>年</w:t>
      </w:r>
      <w:r>
        <w:rPr>
          <w:rFonts w:hint="default" w:ascii="Times New Roman" w:hAnsi="Times New Roman" w:eastAsia="仿宋_GB2312" w:cs="Times New Roman"/>
          <w:sz w:val="32"/>
        </w:rPr>
        <w:t>5</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bookmarkEnd w:id="174"/>
    <w:bookmarkEnd w:id="175"/>
    <w:bookmarkEnd w:id="176"/>
    <w:bookmarkEnd w:id="177"/>
    <w:bookmarkEnd w:id="178"/>
    <w:bookmarkEnd w:id="179"/>
    <w:bookmarkEnd w:id="180"/>
    <w:bookmarkEnd w:id="181"/>
    <w:bookmarkEnd w:id="182"/>
    <w:bookmarkEnd w:id="188"/>
    <w:p>
      <w:pPr>
        <w:widowControl w:val="0"/>
        <w:wordWrap/>
        <w:overflowPunct w:val="0"/>
        <w:adjustRightInd/>
        <w:snapToGrid/>
        <w:spacing w:beforeAutospacing="0" w:afterAutospacing="0" w:line="560" w:lineRule="exact"/>
        <w:ind w:firstLine="640" w:firstLineChars="200"/>
        <w:textAlignment w:val="auto"/>
        <w:outlineLvl w:val="9"/>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89" w:name="_Toc24752"/>
      <w:r>
        <w:rPr>
          <w:rFonts w:hint="eastAsia" w:ascii="宋体" w:hAnsi="宋体" w:eastAsia="宋体" w:cs="宋体"/>
          <w:kern w:val="0"/>
          <w:sz w:val="44"/>
          <w:szCs w:val="44"/>
          <w:lang w:val="en-US" w:eastAsia="zh-CN"/>
        </w:rPr>
        <w:t>中华人民共和国大气污染防治法</w:t>
      </w:r>
      <w:bookmarkEnd w:id="189"/>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楷体" w:hAnsi="楷体" w:eastAsia="楷体" w:cs="楷体"/>
          <w:kern w:val="0"/>
          <w:szCs w:val="32"/>
        </w:rPr>
      </w:pPr>
      <w:r>
        <w:rPr>
          <w:rFonts w:hint="eastAsia" w:ascii="楷体" w:hAnsi="楷体" w:eastAsia="楷体" w:cs="楷体"/>
          <w:kern w:val="0"/>
          <w:szCs w:val="32"/>
        </w:rPr>
        <w:t>（1987年9月5日第六届全国人民代表大会常务委员会第二十二次会议通过　根据1995年8月29日第八届全国人民代表大会常务委员会第十五次会议《关于修改〈中华人民共和国大气污染防治法〉的决定》第一次修正　2000年4月29日第九届全国人民代表大会常务委员会第十五次会议第一次修订　2015年8月29日第十二届全国人民代表大会常务委员会第十六次会议第二次修订　根据2018年10月26日第十三届全国人民代表大会常务委员会第六次会议《关于修改〈中华人民共和国野生动物保护法〉等十五部法律的决定》第二次修正）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第二章　大气污染防治标准和限期达标规划</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第三章　大气污染防治的监督管理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第四章　大气污染防治措施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第一节　燃煤和其他能源污染防治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第二节　工业污染防治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第三节　机动车船等污染防治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第四节　扬尘污染防治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　　第五节　农业和其他污染防治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第五章　重点区域大气污染联合防治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第六章　重污染天气应对</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第八章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第一条</w:t>
      </w:r>
      <w:r>
        <w:rPr>
          <w:rFonts w:hint="eastAsia" w:ascii="宋体" w:hAnsi="宋体" w:eastAsia="仿宋_GB2312" w:cs="仿宋_GB2312"/>
          <w:kern w:val="0"/>
          <w:szCs w:val="32"/>
        </w:rPr>
        <w:t>　为保护和改善环境，防治大气污染，保障公众健康，推进生态文明建设，促进经济社会可持续发展，制定本法。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第二条</w:t>
      </w:r>
      <w:r>
        <w:rPr>
          <w:rFonts w:hint="eastAsia" w:ascii="宋体" w:hAnsi="宋体" w:eastAsia="仿宋_GB2312" w:cs="仿宋_GB2312"/>
          <w:kern w:val="0"/>
          <w:szCs w:val="32"/>
        </w:rPr>
        <w:t>　防治大气污染，应当以改善大气环境质量为目标，坚持源头治理，规划先行，转变经济发展方式，优化产业结构和布局，调整能源结构。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防治大气污染，应当加强对燃煤、工业、机动车船、扬尘、农业等大气污染的综合防治，推行区域大气污染联合防治，对颗粒物、二氧化硫、氮氧化物、挥发性有机物、氨等大气污染物和温室气体实施协同控制。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第三条</w:t>
      </w:r>
      <w:r>
        <w:rPr>
          <w:rFonts w:hint="eastAsia" w:ascii="宋体" w:hAnsi="宋体" w:eastAsia="仿宋_GB2312" w:cs="仿宋_GB2312"/>
          <w:kern w:val="0"/>
          <w:szCs w:val="32"/>
        </w:rPr>
        <w:t>　县级以上人民政府应当将大气污染防治工作纳入国民经济和社会发展规划，加大对大气污染防治的财政投入。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地方各级人民政府应当对本行政区域的大气环境质量负责，制定规划，采取措施，控制或者逐步削减大气污染物的排放量，使大气环境质量达到规定标准并逐步改善。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第四条</w:t>
      </w:r>
      <w:r>
        <w:rPr>
          <w:rFonts w:hint="eastAsia" w:ascii="宋体" w:hAnsi="宋体" w:eastAsia="仿宋_GB2312" w:cs="仿宋_GB2312"/>
          <w:kern w:val="0"/>
          <w:szCs w:val="32"/>
        </w:rPr>
        <w:t>　国务院生态环境主管部门会同国务院有关部门，按照国务院的规定，对省、自治区、直辖市大气环境质量改善目标、大气污染防治重点任务完成情况进行考核。省、自治区、直辖市人民政府制定考核办法，对本行政区域内地方大气环境质量改善目标、大气污染防治重点任务完成情况实施考核。考核结果应当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第五条</w:t>
      </w:r>
      <w:r>
        <w:rPr>
          <w:rFonts w:hint="eastAsia" w:ascii="宋体" w:hAnsi="宋体" w:eastAsia="仿宋_GB2312" w:cs="仿宋_GB2312"/>
          <w:kern w:val="0"/>
          <w:szCs w:val="32"/>
        </w:rPr>
        <w:t>　县级以上人民政府生态环境主管部门对大气污染防治实施统一监督管理。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县级以上人民政府其他有关部门在各自职责范围内对大气污染防治实施监督管理。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第六条</w:t>
      </w:r>
      <w:r>
        <w:rPr>
          <w:rFonts w:hint="eastAsia" w:ascii="宋体" w:hAnsi="宋体" w:eastAsia="仿宋_GB2312" w:cs="仿宋_GB2312"/>
          <w:kern w:val="0"/>
          <w:szCs w:val="32"/>
        </w:rPr>
        <w:t>　国家鼓励和支持大气污染防治科学技术研究，开展对大气污染来源及其变化趋势的分析，推广先进适用的大气污染防治技术和装备，促进科技成果转化，发挥科学技术在大气污染防治中的支撑作用。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第七条</w:t>
      </w:r>
      <w:r>
        <w:rPr>
          <w:rFonts w:hint="eastAsia" w:ascii="宋体" w:hAnsi="宋体" w:eastAsia="仿宋_GB2312" w:cs="仿宋_GB2312"/>
          <w:kern w:val="0"/>
          <w:szCs w:val="32"/>
        </w:rPr>
        <w:t>　企业事业单位和其他生产经营者应当采取有效措施，防止、减少大气污染，对所造成的损害依法承担责任。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公民应当增强大气环境保护意识，采取低碳、节俭的生活方式，自觉履行大气环境保护义务。</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大气污染防治标准和限期达标规划</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第八条</w:t>
      </w:r>
      <w:r>
        <w:rPr>
          <w:rFonts w:hint="eastAsia" w:ascii="宋体" w:hAnsi="宋体" w:eastAsia="仿宋_GB2312" w:cs="仿宋_GB2312"/>
          <w:kern w:val="0"/>
          <w:szCs w:val="32"/>
        </w:rPr>
        <w:t>　国务院生态环境主管部门或者省、自治区、直辖市人民政府制定大气环境质量标准，应当以保障公众健康和保护生态环境为宗旨，与经济社会发展相适应，做到科学合理。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第九条</w:t>
      </w:r>
      <w:r>
        <w:rPr>
          <w:rFonts w:hint="eastAsia" w:ascii="宋体" w:hAnsi="宋体" w:eastAsia="仿宋_GB2312" w:cs="仿宋_GB2312"/>
          <w:kern w:val="0"/>
          <w:szCs w:val="32"/>
        </w:rPr>
        <w:t>　国务院生态环境主管部门或者省、自治区、直辖市人民政府制定大气污染物排放标准，应当以大气环境质量标准和国家经济、技术条件为依据。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第十条</w:t>
      </w:r>
      <w:r>
        <w:rPr>
          <w:rFonts w:hint="eastAsia" w:ascii="宋体" w:hAnsi="宋体" w:eastAsia="仿宋_GB2312" w:cs="仿宋_GB2312"/>
          <w:kern w:val="0"/>
          <w:szCs w:val="32"/>
        </w:rPr>
        <w:t>　制定大气环境质量标准、大气污染物排放标准，应当组织专家进行审查和论证，并征求有关部门、行业协会、企业事业单位和公众等方面的意见。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第十一条</w:t>
      </w:r>
      <w:r>
        <w:rPr>
          <w:rFonts w:hint="eastAsia" w:ascii="宋体" w:hAnsi="宋体" w:eastAsia="仿宋_GB2312" w:cs="仿宋_GB2312"/>
          <w:kern w:val="0"/>
          <w:szCs w:val="32"/>
        </w:rPr>
        <w:t>　省级以上人民政府生态环境主管部门应当在其网站上公布大气环境质量标准、大气污染物排放标准，供公众免费查阅、下载。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第十二条</w:t>
      </w:r>
      <w:r>
        <w:rPr>
          <w:rFonts w:hint="eastAsia" w:ascii="宋体" w:hAnsi="宋体" w:eastAsia="仿宋_GB2312" w:cs="仿宋_GB2312"/>
          <w:kern w:val="0"/>
          <w:szCs w:val="32"/>
        </w:rPr>
        <w:t>　大气环境质量标准、大气污染物排放标准的执行情况应当定期进行评估，根据评估结果对标准适时进行修订。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第十三条</w:t>
      </w:r>
      <w:r>
        <w:rPr>
          <w:rFonts w:hint="eastAsia" w:ascii="宋体" w:hAnsi="宋体" w:eastAsia="仿宋_GB2312" w:cs="仿宋_GB2312"/>
          <w:kern w:val="0"/>
          <w:szCs w:val="32"/>
        </w:rPr>
        <w:t>　制定燃煤、石油焦、生物质燃料、涂料等含挥发性有机物的产品、烟花爆竹以及锅炉等产品的质量标准，应当明确大气环境保护要求。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制定燃油质量标准，应当符合国家大气污染物控制要求，并与国家机动车船、非道路移动机械大气污染物排放标准相互衔接，同步实施。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前款所称非道路移动机械，是指装配有发动机的移动机械和可运输工业设备。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第十四条</w:t>
      </w:r>
      <w:r>
        <w:rPr>
          <w:rFonts w:hint="eastAsia" w:ascii="宋体" w:hAnsi="宋体" w:eastAsia="仿宋_GB2312" w:cs="仿宋_GB2312"/>
          <w:kern w:val="0"/>
          <w:szCs w:val="32"/>
        </w:rPr>
        <w:t>　未达到国家大气环境质量标准城市的人民政府应当及时编制大气环境质量限期达标规划，采取措施，按照国务院或者省级人民政府规定的期限达到大气环境质量标准。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编制城市大气环境质量限期达标规划，应当征求有关行业协会、企业事业单位、专家和公众等方面的意见。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第十五条</w:t>
      </w:r>
      <w:r>
        <w:rPr>
          <w:rFonts w:hint="eastAsia" w:ascii="宋体" w:hAnsi="宋体" w:eastAsia="仿宋_GB2312" w:cs="仿宋_GB2312"/>
          <w:kern w:val="0"/>
          <w:szCs w:val="32"/>
        </w:rPr>
        <w:t>　城市大气环境质量限期达标规划应当向社会公开。直辖市和设区的市的大气环境质量限期达标规划应当报国务院生态环境主管部门备案。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第十六条</w:t>
      </w:r>
      <w:r>
        <w:rPr>
          <w:rFonts w:hint="eastAsia" w:ascii="宋体" w:hAnsi="宋体" w:eastAsia="仿宋_GB2312" w:cs="仿宋_GB2312"/>
          <w:kern w:val="0"/>
          <w:szCs w:val="32"/>
        </w:rPr>
        <w:t>　城市人民政府每年在向本级人民代表大会或者其常务委员会报告环境状况和环境保护目标完成情况时，应当报告大气环境质量限期达标规划执行情况，并向社会公开。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第十七条</w:t>
      </w:r>
      <w:r>
        <w:rPr>
          <w:rFonts w:hint="eastAsia" w:ascii="宋体" w:hAnsi="宋体" w:eastAsia="仿宋_GB2312" w:cs="仿宋_GB2312"/>
          <w:kern w:val="0"/>
          <w:szCs w:val="32"/>
        </w:rPr>
        <w:t>　城市大气环境质量限期达标规划应当根据大气污染防治的要求和经济、技术条件适时进行评估、修订。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大气污染防治的监督管理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第十八条</w:t>
      </w:r>
      <w:r>
        <w:rPr>
          <w:rFonts w:hint="eastAsia" w:ascii="宋体" w:hAnsi="宋体" w:eastAsia="仿宋_GB2312" w:cs="仿宋_GB2312"/>
          <w:kern w:val="0"/>
          <w:szCs w:val="32"/>
        </w:rPr>
        <w:t>　企业事业单位和其他生产经营者建设对大气环境有影响的项目，应当依法进行环境影响评价、公开环境影响评价文件；向大气排放污染物的，应当符合大气污染物排放标准，遵守重点大气污染物排放总量控制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第十九条</w:t>
      </w:r>
      <w:r>
        <w:rPr>
          <w:rFonts w:hint="eastAsia" w:ascii="宋体" w:hAnsi="宋体" w:eastAsia="仿宋_GB2312" w:cs="仿宋_GB2312"/>
          <w:kern w:val="0"/>
          <w:szCs w:val="32"/>
        </w:rPr>
        <w:t>　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第二十条</w:t>
      </w:r>
      <w:r>
        <w:rPr>
          <w:rFonts w:hint="eastAsia" w:ascii="宋体" w:hAnsi="宋体" w:eastAsia="仿宋_GB2312" w:cs="仿宋_GB2312"/>
          <w:kern w:val="0"/>
          <w:szCs w:val="32"/>
        </w:rPr>
        <w:t>　企业事业单位和其他生产经营者向大气排放污染物的，应当依照法律法规和国务院生态环境主管部门的规定设置大气污染物排放口。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禁止通过偷排、篡改或者伪造监测数据、以逃避现场检查为目的的临时停产、非紧急情况下开启应急排放通道、不正常运行大气污染防治设施等逃避监管的方式排放大气污染物。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第二十一条</w:t>
      </w:r>
      <w:r>
        <w:rPr>
          <w:rFonts w:hint="eastAsia" w:ascii="宋体" w:hAnsi="宋体" w:eastAsia="仿宋_GB2312" w:cs="仿宋_GB2312"/>
          <w:kern w:val="0"/>
          <w:szCs w:val="32"/>
        </w:rPr>
        <w:t>　国家对重点大气污染物排放实行总量控制。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重点大气污染物排放总量控制目标，由国务院生态环境主管部门在征求国务院有关部门和各省、自治区、直辖市人民政府意见后，会同国务院经济综合主管部门报国务院批准并下达实施。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省、自治区、直辖市人民政府应当按照国务院下达的总量控制目标，控制或者削减本行政区域的重点大气污染物排放总量。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确定总量控制目标和分解总量控制指标的具体办法，由国务院生态环境主管部门会同国务院有关部门规定。省、自治区、直辖市人民政府可以根据本行政区域大气污染防治的需要，对国家重点大气污染物之外的其他大气污染物排放实行总量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国家逐步推行重点大气污染物排污权交易。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第二十二条</w:t>
      </w:r>
      <w:r>
        <w:rPr>
          <w:rFonts w:hint="eastAsia" w:ascii="宋体" w:hAnsi="宋体" w:eastAsia="仿宋_GB2312" w:cs="仿宋_GB2312"/>
          <w:kern w:val="0"/>
          <w:szCs w:val="32"/>
        </w:rPr>
        <w:t>　对超过国家重点大气污染物排放总量控制指标或者未完成国家下达的大气环境质量改善目标的地区，省级以上人民政府生态环境主管部门应当会同有关部门约谈该地区人民政府的主要负责人，并暂停审批该地区新增重点大气污染物排放总量的建设项目环境影响评价文件。约谈情况应当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第二十三条</w:t>
      </w:r>
      <w:r>
        <w:rPr>
          <w:rFonts w:hint="eastAsia" w:ascii="宋体" w:hAnsi="宋体" w:eastAsia="仿宋_GB2312" w:cs="仿宋_GB2312"/>
          <w:kern w:val="0"/>
          <w:szCs w:val="32"/>
        </w:rPr>
        <w:t>　国务院生态环境主管部门负责制定大气环境质量和大气污染源的监测和评价规范，组织建设与管理全国大气环境质量和大气污染源监测网，组织开展大气环境质量和大气污染源监测，统一发布全国大气环境质量状况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县级以上地方人民政府生态环境主管部门负责组织建设与管理本行政区域大气环境质量和大气污染源监测网，开展大气环境质量和大气污染源监测，统一发布本行政区域大气环境质量状况信息。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第二十四条</w:t>
      </w:r>
      <w:r>
        <w:rPr>
          <w:rFonts w:hint="eastAsia" w:ascii="宋体" w:hAnsi="宋体" w:eastAsia="仿宋_GB2312" w:cs="仿宋_GB2312"/>
          <w:kern w:val="0"/>
          <w:szCs w:val="32"/>
        </w:rPr>
        <w:t>　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生态环境主管部门的监控设备联网，保证监测设备正常运行并依法公开排放信息。监测的具体办法和重点排污单位的条件由国务院生态环境主管部门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排污单位名录由设区的市级以上地方人民政府生态环境主管部门按照国务院生态环境主管部门的规定，根据本行政区域的大气环境承载力、重点大气污染物排放总量控制指标的要求以及排污单位排放大气污染物的种类、数量和浓度等因素，商有关部门确定，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第二十五条</w:t>
      </w:r>
      <w:r>
        <w:rPr>
          <w:rFonts w:hint="eastAsia" w:ascii="宋体" w:hAnsi="宋体" w:eastAsia="仿宋_GB2312" w:cs="仿宋_GB2312"/>
          <w:kern w:val="0"/>
          <w:szCs w:val="32"/>
        </w:rPr>
        <w:t>　重点排污单位应当对自动监测数据的真实性和准确性负责。生态环境主管部门发现重点排污单位的大气污染物排放自动监测设备传输数据异常，应当及时进行调查。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第二十六条</w:t>
      </w:r>
      <w:r>
        <w:rPr>
          <w:rFonts w:hint="eastAsia" w:ascii="宋体" w:hAnsi="宋体" w:eastAsia="仿宋_GB2312" w:cs="仿宋_GB2312"/>
          <w:kern w:val="0"/>
          <w:szCs w:val="32"/>
        </w:rPr>
        <w:t>　禁止侵占、损毁或者擅自移动、改变大气环境质量监测设施和大气污染物排放自动监测设备。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国家对严重污染大气环境的工艺、设备和产品实行淘汰制度。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国务院经济综合主管部门会同国务院有关部门确定严重污染大气环境的工艺、设备和产品淘汰期限，并纳入国家综合性产业政策目录。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生产者、进口者、销售者或者使用者应当在规定期限内停止生产、进口、销售或者使用列入前款规定目录中的设备和产品。工艺的采用者应当在规定期限内停止采用列入前款规定目录中的工艺。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被淘汰的设备和产品，不得转让给他人使用。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国务院生态环境主管部门会同有关部门，建立和完善大气污染损害评估制度。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第二十九条</w:t>
      </w:r>
      <w:r>
        <w:rPr>
          <w:rFonts w:hint="eastAsia" w:ascii="宋体" w:hAnsi="宋体" w:eastAsia="仿宋_GB2312" w:cs="仿宋_GB2312"/>
          <w:kern w:val="0"/>
          <w:szCs w:val="32"/>
        </w:rPr>
        <w:t>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第三十条</w:t>
      </w:r>
      <w:r>
        <w:rPr>
          <w:rFonts w:hint="eastAsia" w:ascii="宋体" w:hAnsi="宋体" w:eastAsia="仿宋_GB2312" w:cs="仿宋_GB2312"/>
          <w:kern w:val="0"/>
          <w:szCs w:val="32"/>
        </w:rPr>
        <w:t>　企业事业单位和其他生产经营者违反法律法规规定排放大气污染物，造成或者可能造成严重大气污染，或者有关证据可能灭失或者被隐匿的，县级以上人民政府生态环境主管部门和其他负有大气环境保护监督管理职责的部门，可以对有关设施、设备、物品采取查封、扣押等行政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第三十一条</w:t>
      </w:r>
      <w:r>
        <w:rPr>
          <w:rFonts w:hint="eastAsia" w:ascii="宋体" w:hAnsi="宋体" w:eastAsia="仿宋_GB2312" w:cs="仿宋_GB2312"/>
          <w:kern w:val="0"/>
          <w:szCs w:val="32"/>
        </w:rPr>
        <w:t>　生态环境主管部门和其他负有大气环境保护监督管理职责的部门应当公布举报电话、电子邮箱等，方便公众举报。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态环境主管部门和其他负有大气环境保护监督管理职责的部门接到举报的，应当及时处理并对举报人的相关信息予以保密；对实名举报的，应当反馈处理结果等情况，查证属实的，处理结果依法向社会公开，并对举报人给予奖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举报人举报所在单位的，该单位不得以解除、变更劳动合同或者其他方式对举报人进行打击报复。</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大气污染防治措施</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第一节　燃煤和其他能源污染防治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rPr>
        <w:t>　　第三十二条</w:t>
      </w:r>
      <w:r>
        <w:rPr>
          <w:rFonts w:hint="eastAsia" w:ascii="宋体" w:hAnsi="宋体" w:eastAsia="仿宋_GB2312" w:cs="仿宋_GB2312"/>
          <w:kern w:val="0"/>
          <w:szCs w:val="32"/>
        </w:rPr>
        <w:t>　国务院有关部门和地方各级人民政府应当采取措施，调整能源结构，推广清洁能源的生产和使用；优化煤炭使用方式，推广煤炭清洁高效利用，逐步降低煤炭在一次能源消费中的比重，减少煤炭生产、使用、转化过程中的大气污染物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第三十三条</w:t>
      </w:r>
      <w:r>
        <w:rPr>
          <w:rFonts w:hint="eastAsia" w:ascii="宋体" w:hAnsi="宋体" w:eastAsia="仿宋_GB2312" w:cs="仿宋_GB2312"/>
          <w:kern w:val="0"/>
          <w:szCs w:val="32"/>
        </w:rPr>
        <w:t>　国家推行煤炭洗选加工，降低煤炭的硫分和灰分，限制高硫分、高灰分煤炭的开采。新建煤矿应当同步建设配套的煤炭洗选设施，使煤炭的硫分、灰分含量达到规定标准；已建成的煤矿除所采煤炭属于低硫分、低灰分或者根据已达标排放的燃煤电厂要求不需要洗选的以外，应当限期建成配套的煤炭洗选设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禁止开采含放射性和砷等有毒有害物质超过规定标准的煤炭。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第三十四条</w:t>
      </w:r>
      <w:r>
        <w:rPr>
          <w:rFonts w:hint="eastAsia" w:ascii="宋体" w:hAnsi="宋体" w:eastAsia="仿宋_GB2312" w:cs="仿宋_GB2312"/>
          <w:kern w:val="0"/>
          <w:szCs w:val="32"/>
        </w:rPr>
        <w:t>　国家采取有利于煤炭清洁高效利用的经济、技术政策和措施，鼓励和支持洁净煤技术的开发和推广。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国家鼓励煤矿企业等采用合理、可行的技术措施，对煤层气进行开采利用，对煤矸石进行综合利用。从事煤层气开采利用的，煤层气排放应当符合有关标准规范。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第三十五条</w:t>
      </w:r>
      <w:r>
        <w:rPr>
          <w:rFonts w:hint="eastAsia" w:ascii="宋体" w:hAnsi="宋体" w:eastAsia="仿宋_GB2312" w:cs="仿宋_GB2312"/>
          <w:kern w:val="0"/>
          <w:szCs w:val="32"/>
        </w:rPr>
        <w:t>　国家禁止进口、销售和燃用不符合质量标准的煤炭，鼓励燃用优质煤炭。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单位存放煤炭、煤矸石、煤渣、煤灰等物料，应当采取防燃措施，防止大气污染。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第三十六条</w:t>
      </w:r>
      <w:r>
        <w:rPr>
          <w:rFonts w:hint="eastAsia" w:ascii="宋体" w:hAnsi="宋体" w:eastAsia="仿宋_GB2312" w:cs="仿宋_GB2312"/>
          <w:kern w:val="0"/>
          <w:szCs w:val="32"/>
        </w:rPr>
        <w:t>　地方各级人民政府应当采取措施，加强民用散煤的管理，禁止销售不符合民用散煤质量标准的煤炭，鼓励居民燃用优质煤炭和洁净型煤，推广节能环保型炉灶。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第三十七条</w:t>
      </w:r>
      <w:r>
        <w:rPr>
          <w:rFonts w:hint="eastAsia" w:ascii="宋体" w:hAnsi="宋体" w:eastAsia="仿宋_GB2312" w:cs="仿宋_GB2312"/>
          <w:kern w:val="0"/>
          <w:szCs w:val="32"/>
        </w:rPr>
        <w:t>　石油炼制企业应当按照燃油质量标准生产燃油。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禁止进口、销售和燃用不符合质量标准的石油焦。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第三十八条</w:t>
      </w:r>
      <w:r>
        <w:rPr>
          <w:rFonts w:hint="eastAsia" w:ascii="宋体" w:hAnsi="宋体" w:eastAsia="仿宋_GB2312" w:cs="仿宋_GB2312"/>
          <w:kern w:val="0"/>
          <w:szCs w:val="32"/>
        </w:rPr>
        <w:t>　城市人民政府可以划定并公布高污染燃料禁燃区，并根据大气环境质量改善要求，逐步扩大高污染燃料禁燃区范围。高污染燃料的目录由国务院生态环境主管部门确定。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在禁燃区内，禁止销售、燃用高污染燃料；禁止新建、扩建燃用高污染燃料的设施，已建成的，应当在城市人民政府规定的期限内改用天然气、页岩气、液化石油气、电或者其他清洁能源。</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第三十九条</w:t>
      </w:r>
      <w:r>
        <w:rPr>
          <w:rFonts w:hint="eastAsia" w:ascii="宋体" w:hAnsi="宋体" w:eastAsia="仿宋_GB2312" w:cs="仿宋_GB2312"/>
          <w:kern w:val="0"/>
          <w:szCs w:val="32"/>
        </w:rPr>
        <w:t>　城市建设应当统筹规划，在燃煤供热地区，推进热电联产和集中供热。在集中供热管网覆盖地区，禁止新建、扩建分散燃煤供热锅炉；已建成的不能达标排放的燃煤供热锅炉，应当在城市人民政府规定的期限内拆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第四十条</w:t>
      </w:r>
      <w:r>
        <w:rPr>
          <w:rFonts w:hint="eastAsia" w:ascii="宋体" w:hAnsi="宋体" w:eastAsia="仿宋_GB2312" w:cs="仿宋_GB2312"/>
          <w:kern w:val="0"/>
          <w:szCs w:val="32"/>
        </w:rPr>
        <w:t>　县级以上人民政府市场监督管理部门应当会同生态环境主管部门对锅炉生产、进口、销售和使用环节执行环境保护标准或者要求的情况进行监督检查；不符合环境保护标准或者要求的，不得生产、进口、销售和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第四十一条</w:t>
      </w:r>
      <w:r>
        <w:rPr>
          <w:rFonts w:hint="eastAsia" w:ascii="宋体" w:hAnsi="宋体" w:eastAsia="仿宋_GB2312" w:cs="仿宋_GB2312"/>
          <w:kern w:val="0"/>
          <w:szCs w:val="32"/>
        </w:rPr>
        <w:t>　燃煤电厂和其他燃煤单位应当采用清洁生产工艺，配套建设除尘、脱硫、脱硝等装置，或者采取技术改造等其他控制大气污染物排放的措施。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国家鼓励燃煤单位采用先进的除尘、脱硫、脱硝、脱汞等大气污染物协同控制的技术和装置，减少大气污染物的排放。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第四十二条</w:t>
      </w:r>
      <w:r>
        <w:rPr>
          <w:rFonts w:hint="eastAsia" w:ascii="宋体" w:hAnsi="宋体" w:eastAsia="仿宋_GB2312" w:cs="仿宋_GB2312"/>
          <w:kern w:val="0"/>
          <w:szCs w:val="32"/>
        </w:rPr>
        <w:t>　电力调度应当优先安排清洁能源发电上网。</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第二节　工业污染防治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第四十三条</w:t>
      </w:r>
      <w:r>
        <w:rPr>
          <w:rFonts w:hint="eastAsia" w:ascii="宋体" w:hAnsi="宋体" w:eastAsia="仿宋_GB2312" w:cs="仿宋_GB2312"/>
          <w:kern w:val="0"/>
          <w:szCs w:val="32"/>
        </w:rPr>
        <w:t>　钢铁、建材、有色金属、石油、化工等企业生产过程中排放粉尘、硫化物和氮氧化物的，应当采用清洁生产工艺，配套建设除尘、脱硫、脱硝等装置，或者采取技术改造等其他控制大气污染物排放的措施。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第四十四条</w:t>
      </w:r>
      <w:r>
        <w:rPr>
          <w:rFonts w:hint="eastAsia" w:ascii="宋体" w:hAnsi="宋体" w:eastAsia="仿宋_GB2312" w:cs="仿宋_GB2312"/>
          <w:kern w:val="0"/>
          <w:szCs w:val="32"/>
        </w:rPr>
        <w:t>　生产、进口、销售和使用含挥发性有机物的原材料和产品的，其挥发性有机物含量应当符合质量标准或者要求。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国家鼓励生产、进口、销售和使用低毒、低挥发性有机溶剂。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第四十五条</w:t>
      </w:r>
      <w:r>
        <w:rPr>
          <w:rFonts w:hint="eastAsia" w:ascii="宋体" w:hAnsi="宋体" w:eastAsia="仿宋_GB2312" w:cs="仿宋_GB2312"/>
          <w:kern w:val="0"/>
          <w:szCs w:val="32"/>
        </w:rPr>
        <w:t>　产生含挥发性有机物废气的生产和服务活动，应当在密闭空间或者设备中进行，并按照规定安装、使用污染防治设施；无法密闭的，应当采取措施减少废气排放。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第四十六条</w:t>
      </w:r>
      <w:r>
        <w:rPr>
          <w:rFonts w:hint="eastAsia" w:ascii="宋体" w:hAnsi="宋体" w:eastAsia="仿宋_GB2312" w:cs="仿宋_GB2312"/>
          <w:kern w:val="0"/>
          <w:szCs w:val="32"/>
        </w:rPr>
        <w:t>　工业涂装企业应当使用低挥发性有机物含量的涂料，并建立台账，记录生产原料、辅料的使用量、废弃量、去向以及挥发性有机物含量。台账保存期限不得少于三年。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第四十七条</w:t>
      </w:r>
      <w:r>
        <w:rPr>
          <w:rFonts w:hint="eastAsia" w:ascii="宋体" w:hAnsi="宋体" w:eastAsia="仿宋_GB2312" w:cs="仿宋_GB2312"/>
          <w:kern w:val="0"/>
          <w:szCs w:val="32"/>
        </w:rPr>
        <w:t>　石油、化工以及其他生产和使用有机溶剂的企业，应当采取措施对管道、设备进行日常维护、维修，减少物料泄漏，对泄漏的物料应当及时收集处理。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储油储气库、加油加气站、原油成品油码头、原油成品油运输船舶和油罐车、气罐车等，应当按照国家有关规定安装油气回收装置并保持正常使用。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第四十八条</w:t>
      </w:r>
      <w:r>
        <w:rPr>
          <w:rFonts w:hint="eastAsia" w:ascii="宋体" w:hAnsi="宋体" w:eastAsia="仿宋_GB2312" w:cs="仿宋_GB2312"/>
          <w:kern w:val="0"/>
          <w:szCs w:val="32"/>
        </w:rPr>
        <w:t>　钢铁、建材、有色金属、石油、化工、制药、矿产开采等企业，应当加强精细化管理，采取集中收集处理等措施，严格控制粉尘和气态污染物的排放。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工业生产企业应当采取密闭、围挡、遮盖、清扫、洒水等措施，减少内部物料的堆存、传输、装卸等环节产生的粉尘和气态污染物的排放。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第四十九条</w:t>
      </w:r>
      <w:r>
        <w:rPr>
          <w:rFonts w:hint="eastAsia" w:ascii="宋体" w:hAnsi="宋体" w:eastAsia="仿宋_GB2312" w:cs="仿宋_GB2312"/>
          <w:kern w:val="0"/>
          <w:szCs w:val="32"/>
        </w:rPr>
        <w:t>　工业生产、垃圾填埋或者其他活动产生的可燃性气体应当回收利用，不具备回收利用条件的，应当进行污染防治处理。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可燃性气体回收利用装置不能正常作业的，应当及时修复或者更新。在回收利用装置不能正常作业期间确需排放可燃性气体的，应当将排放的可燃性气体充分燃烧或者采取其他控制大气污染物排放的措施，并向当地生态环境主管部门报告，按照要求限期修复或者更新。</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第三节　机动车船等污染防治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第五十条</w:t>
      </w:r>
      <w:r>
        <w:rPr>
          <w:rFonts w:hint="eastAsia" w:ascii="宋体" w:hAnsi="宋体" w:eastAsia="仿宋_GB2312" w:cs="仿宋_GB2312"/>
          <w:kern w:val="0"/>
          <w:szCs w:val="32"/>
        </w:rPr>
        <w:t>　国家倡导低碳、环保出行，根据城市规划合理控制燃油机动车保有量，大力发展城市公共交通，提高公共交通出行比例。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国家采取财政、税收、政府采购等措施推广应用节能环保型和新能源机动车船、非道路移动机械，限制高油耗、高排放机动车船、非道路移动机械的发展，减少化石能源的消耗。</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省、自治区、直辖市人民政府可以在条件具备的地区，提前执行国家机动车大气污染物排放标准中相应阶段排放限值，并报国务院生态环境主管部门备案。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城市人民政府应当加强并改善城市交通管理，优化道路设置，保障人行道和非机动车道的连续、畅通。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第五十一条</w:t>
      </w:r>
      <w:r>
        <w:rPr>
          <w:rFonts w:hint="eastAsia" w:ascii="宋体" w:hAnsi="宋体" w:eastAsia="仿宋_GB2312" w:cs="仿宋_GB2312"/>
          <w:kern w:val="0"/>
          <w:szCs w:val="32"/>
        </w:rPr>
        <w:t>　机动车船、非道路移动机械不得超过标准排放大气污染物。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禁止生产、进口或者销售大气污染物排放超过标准的机动车船、非道路移动机械。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第五十二条</w:t>
      </w:r>
      <w:r>
        <w:rPr>
          <w:rFonts w:hint="eastAsia" w:ascii="宋体" w:hAnsi="宋体" w:eastAsia="仿宋_GB2312" w:cs="仿宋_GB2312"/>
          <w:kern w:val="0"/>
          <w:szCs w:val="32"/>
        </w:rPr>
        <w:t>　机动车、非道路移动机械生产企业应当对新生产的机动车和非道路移动机械进行排放检验。经检验合格的，方可出厂销售。检验信息应当向社会公开。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省级以上人民政府生态环境主管部门可以通过现场检查、抽样检测等方式，加强对新生产、销售机动车和非道路移动机械大气污染物排放状况的监督检查。工业、市场监督管理等有关部门予以配合。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在用机动车应当按照国家或者地方的有关规定，由机动车排放检验机构定期对其进行排放检验。经检验合格的，方可上道路行驶。未经检验合格的，公安机关交通管理部门不得核发安全技术检验合格标志。</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以上地方人民政府生态环境主管部门可以在机动车集中停放地、维修地对在用机动车的大气污染物排放状况进行监督抽测；在不影响正常通行的情况下，可以通过遥感监测等技术手段对在道路上行驶的机动车的大气污染物排放状况进行监督抽测，公安机关交通管理部门予以配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第五十四条</w:t>
      </w:r>
      <w:r>
        <w:rPr>
          <w:rFonts w:hint="eastAsia" w:ascii="宋体" w:hAnsi="宋体" w:eastAsia="仿宋_GB2312" w:cs="仿宋_GB2312"/>
          <w:kern w:val="0"/>
          <w:szCs w:val="32"/>
        </w:rPr>
        <w:t>　机动车排放检验机构应当依法通过计量认证，使用经依法检定合格的机动车排放检验设备，按照国务院生态环境主管部门制定的规范，对机动车进行排放检验，并与生态环境主管部门联网，实现检验数据实时共享。机动车排放检验机构及其负责人对检验数据的真实性和准确性负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生态环境主管部门和认证认可监督管理部门应当对机动车排放检验机构的排放检验情况进行监督检查。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第五十五条</w:t>
      </w:r>
      <w:r>
        <w:rPr>
          <w:rFonts w:hint="eastAsia" w:ascii="宋体" w:hAnsi="宋体" w:eastAsia="仿宋_GB2312" w:cs="仿宋_GB2312"/>
          <w:kern w:val="0"/>
          <w:szCs w:val="32"/>
        </w:rPr>
        <w:t>　机动车生产、进口企业应当向社会公布其生产、进口机动车车型的排放检验信息、污染控制技术信息和有关维修技术信息。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机动车维修单位应当按照防治大气污染的要求和国家有关技术规范对在用机动车进行维修，使其达到规定的排放标准。交通运输、生态环境主管部门应当依法加强监督管理。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禁止机动车所有人以临时更换机动车污染控制装置等弄虚作假的方式通过机动车排放检验。禁止机动车维修单位提供该类维修服务。禁止破坏机动车车载排放诊断系统。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第五十六条</w:t>
      </w:r>
      <w:r>
        <w:rPr>
          <w:rFonts w:hint="eastAsia" w:ascii="宋体" w:hAnsi="宋体" w:eastAsia="仿宋_GB2312" w:cs="仿宋_GB2312"/>
          <w:kern w:val="0"/>
          <w:szCs w:val="32"/>
        </w:rPr>
        <w:t>　生态环境主管部门应当会同交通运输、住房城乡建设、农业行政、水行政等有关部门对非道路移动机械的大气污染物排放状况进行监督检查，排放不合格的，不得使用。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第五十七条</w:t>
      </w:r>
      <w:r>
        <w:rPr>
          <w:rFonts w:hint="eastAsia" w:ascii="宋体" w:hAnsi="宋体" w:eastAsia="仿宋_GB2312" w:cs="仿宋_GB2312"/>
          <w:kern w:val="0"/>
          <w:szCs w:val="32"/>
        </w:rPr>
        <w:t>　国家倡导环保驾驶，鼓励燃油机动车驾驶人在不影响道路通行且需停车三分钟以上的情况下熄灭发动机，减少大气污染物的排放。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第五十八条</w:t>
      </w:r>
      <w:r>
        <w:rPr>
          <w:rFonts w:hint="eastAsia" w:ascii="宋体" w:hAnsi="宋体" w:eastAsia="仿宋_GB2312" w:cs="仿宋_GB2312"/>
          <w:kern w:val="0"/>
          <w:szCs w:val="32"/>
        </w:rPr>
        <w:t>　国家建立机动车和非道路移动机械环境保护召回制度。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生产、进口企业获知机动车、非道路移动机械排放大气污染物超过标准，属于设计、生产缺陷或者不符合规定的环境保护耐久性要求的，应当召回；未召回的，由国务院市场监督管理部门会同国务院生态环境主管部门责令其召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第五十九条</w:t>
      </w:r>
      <w:r>
        <w:rPr>
          <w:rFonts w:hint="eastAsia" w:ascii="宋体" w:hAnsi="宋体" w:eastAsia="仿宋_GB2312" w:cs="仿宋_GB2312"/>
          <w:kern w:val="0"/>
          <w:szCs w:val="32"/>
        </w:rPr>
        <w:t>　在用重型柴油车、非道路移动机械未安装污染控制装置或者污染控制装置不符合要求，不能达标排放的，应当加装或者更换符合要求的污染控制装置。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第六十条</w:t>
      </w:r>
      <w:r>
        <w:rPr>
          <w:rFonts w:hint="eastAsia" w:ascii="宋体" w:hAnsi="宋体" w:eastAsia="仿宋_GB2312" w:cs="仿宋_GB2312"/>
          <w:kern w:val="0"/>
          <w:szCs w:val="32"/>
        </w:rPr>
        <w:t>　在用机动车排放大气污染物超过标准的，应当进行维修；经维修或者采用污染控制技术后，大气污染物排放仍不符合国家在用机动车排放标准的，应当强制报废。其所有人应当将机动车交售给报废机动车回收拆解企业，由报废机动车回收拆解企业按照国家有关规定进行登记、拆解、销毁等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国家鼓励和支持高排放机动车船、非道路移动机械提前报废。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第六十一条</w:t>
      </w:r>
      <w:r>
        <w:rPr>
          <w:rFonts w:hint="eastAsia" w:ascii="宋体" w:hAnsi="宋体" w:eastAsia="仿宋_GB2312" w:cs="仿宋_GB2312"/>
          <w:kern w:val="0"/>
          <w:szCs w:val="32"/>
        </w:rPr>
        <w:t>　城市人民政府可以根据大气环境质量状况，划定并公布禁止使用高排放非道路移动机械的区域。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第六十二条</w:t>
      </w:r>
      <w:r>
        <w:rPr>
          <w:rFonts w:hint="eastAsia" w:ascii="宋体" w:hAnsi="宋体" w:eastAsia="仿宋_GB2312" w:cs="仿宋_GB2312"/>
          <w:kern w:val="0"/>
          <w:szCs w:val="32"/>
        </w:rPr>
        <w:t>　船舶检验机构对船舶发动机及有关设备进行排放检验。经检验符合国家排放标准的，船舶方可运营。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第六十三条</w:t>
      </w:r>
      <w:r>
        <w:rPr>
          <w:rFonts w:hint="eastAsia" w:ascii="宋体" w:hAnsi="宋体" w:eastAsia="仿宋_GB2312" w:cs="仿宋_GB2312"/>
          <w:kern w:val="0"/>
          <w:szCs w:val="32"/>
        </w:rPr>
        <w:t>　内河和江海直达船舶应当使用符合标准的普通柴油。远洋船舶靠港后应当使用符合大气污染物控制要求的船舶用燃油。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新建码头应当规划、设计和建设岸基供电设施；已建成的码头应当逐步实施岸基供电设施改造。船舶靠港后应当优先使用岸电。</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第六十四条</w:t>
      </w:r>
      <w:r>
        <w:rPr>
          <w:rFonts w:hint="eastAsia" w:ascii="宋体" w:hAnsi="宋体" w:eastAsia="仿宋_GB2312" w:cs="仿宋_GB2312"/>
          <w:kern w:val="0"/>
          <w:szCs w:val="32"/>
        </w:rPr>
        <w:t>　国务院交通运输主管部门可以在沿海海域划定船舶大气污染物排放控制区，进入排放控制区的船舶应当符合船舶相关排放要求。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第六十五条</w:t>
      </w:r>
      <w:r>
        <w:rPr>
          <w:rFonts w:hint="eastAsia" w:ascii="宋体" w:hAnsi="宋体" w:eastAsia="仿宋_GB2312" w:cs="仿宋_GB2312"/>
          <w:kern w:val="0"/>
          <w:szCs w:val="32"/>
        </w:rPr>
        <w:t>　禁止生产、进口、销售不符合标准的机动车船、非道路移动机械用燃料；禁止向汽车和摩托车销售普通柴油以及其他非机动车用燃料；禁止向非道路移动机械、内河和江海直达船舶销售渣油和重油。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第六十六条</w:t>
      </w:r>
      <w:r>
        <w:rPr>
          <w:rFonts w:hint="eastAsia" w:ascii="宋体" w:hAnsi="宋体" w:eastAsia="仿宋_GB2312" w:cs="仿宋_GB2312"/>
          <w:kern w:val="0"/>
          <w:szCs w:val="32"/>
        </w:rPr>
        <w:t>　发动机油、氮氧化物还原剂、燃料和润滑油添加剂以及其他添加剂的有害物质含量和其他大气环境保护指标，应当符合有关标准的要求，不得损害机动车船污染控制装置效果和耐久性，不得增加新的大气污染物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第六十七条</w:t>
      </w:r>
      <w:r>
        <w:rPr>
          <w:rFonts w:hint="eastAsia" w:ascii="宋体" w:hAnsi="宋体" w:eastAsia="仿宋_GB2312" w:cs="仿宋_GB2312"/>
          <w:kern w:val="0"/>
          <w:szCs w:val="32"/>
        </w:rPr>
        <w:t>　国家积极推进民用航空器的大气污染防治，鼓励在设计、生产、使用过程中采取有效措施减少大气污染物排放。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民用航空器应当符合国家规定的适航标准中的有关发动机排出物要求。</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第四节　扬尘污染防治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第六十八条</w:t>
      </w:r>
      <w:r>
        <w:rPr>
          <w:rFonts w:hint="eastAsia" w:ascii="宋体" w:hAnsi="宋体" w:eastAsia="仿宋_GB2312" w:cs="仿宋_GB2312"/>
          <w:kern w:val="0"/>
          <w:szCs w:val="32"/>
        </w:rPr>
        <w:t>　地方各级人民政府应当加强对建设施工和运输的管理，保持道路清洁，控制料堆和渣土堆放，扩大绿地、水面、湿地和地面铺装面积，防治扬尘污染。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住房城乡建设、市容环境卫生、交通运输、国土资源等有关部门，应当根据本级人民政府确定的职责，做好扬尘污染防治工作。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第六十九条</w:t>
      </w:r>
      <w:r>
        <w:rPr>
          <w:rFonts w:hint="eastAsia" w:ascii="宋体" w:hAnsi="宋体" w:eastAsia="仿宋_GB2312" w:cs="仿宋_GB2312"/>
          <w:kern w:val="0"/>
          <w:szCs w:val="32"/>
        </w:rPr>
        <w:t>　建设单位应当将防治扬尘污染的费用列入工程造价，并在施工承包合同中明确施工单位扬尘污染防治责任。施工单位应当制定具体的施工扬尘污染防治实施方案。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从事房屋建筑、市政基础设施建设、河道整治以及建筑物拆除等施工单位，应当向负责监督管理扬尘污染防治的主管部门备案。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施工单位应当在施工工地公示扬尘污染防治措施、负责人、扬尘监督管理主管部门等信息。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暂时不能开工的建设用地，建设单位应当对裸露地面进行覆盖；超过三个月的，应当进行绿化、铺装或者遮盖。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第七十条</w:t>
      </w:r>
      <w:r>
        <w:rPr>
          <w:rFonts w:hint="eastAsia" w:ascii="宋体" w:hAnsi="宋体" w:eastAsia="仿宋_GB2312" w:cs="仿宋_GB2312"/>
          <w:kern w:val="0"/>
          <w:szCs w:val="32"/>
        </w:rPr>
        <w:t>　运输煤炭、垃圾、渣土、砂石、土方、灰浆等散装、流体物料的车辆应当采取密闭或者其他措施防止物料遗撒造成扬尘污染，并按照规定路线行驶。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装卸物料应当采取密闭或者喷淋等方式防治扬尘污染。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城市人民政府应当加强道路、广场、停车场和其他公共场所的清扫保洁管理，推行清洁动力机械化清扫等低尘作业方式，防治扬尘污染。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第七十一条</w:t>
      </w:r>
      <w:r>
        <w:rPr>
          <w:rFonts w:hint="eastAsia" w:ascii="宋体" w:hAnsi="宋体" w:eastAsia="仿宋_GB2312" w:cs="仿宋_GB2312"/>
          <w:kern w:val="0"/>
          <w:szCs w:val="32"/>
        </w:rPr>
        <w:t>　市政河道以及河道沿线、公共用地的裸露地面以及其他城镇裸露地面，有关部门应当按照规划组织实施绿化或者透水铺装。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第七十二条</w:t>
      </w:r>
      <w:r>
        <w:rPr>
          <w:rFonts w:hint="eastAsia" w:ascii="宋体" w:hAnsi="宋体" w:eastAsia="仿宋_GB2312" w:cs="仿宋_GB2312"/>
          <w:kern w:val="0"/>
          <w:szCs w:val="32"/>
        </w:rPr>
        <w:t>　贮存煤炭、煤矸石、煤渣、煤灰、水泥、石灰、石膏、砂土等易产生扬尘的物料应当密闭；不能密闭的，应当设置不低于堆放物高度的严密围挡，并采取有效覆盖措施防治扬尘污染。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码头、矿山、填埋场和消纳场应当实施分区作业，并采取有效措施防治扬尘污染。</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第五节　农业和其他污染防治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第七十三条</w:t>
      </w:r>
      <w:r>
        <w:rPr>
          <w:rFonts w:hint="eastAsia" w:ascii="宋体" w:hAnsi="宋体" w:eastAsia="仿宋_GB2312" w:cs="仿宋_GB2312"/>
          <w:kern w:val="0"/>
          <w:szCs w:val="32"/>
        </w:rPr>
        <w:t>　地方各级人民政府应当推动转变农业生产方式，发展农业循环经济，加大对废弃物综合处理的支持力度，加强对农业生产经营活动排放大气污染物的控制。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第七十四条</w:t>
      </w:r>
      <w:r>
        <w:rPr>
          <w:rFonts w:hint="eastAsia" w:ascii="宋体" w:hAnsi="宋体" w:eastAsia="仿宋_GB2312" w:cs="仿宋_GB2312"/>
          <w:kern w:val="0"/>
          <w:szCs w:val="32"/>
        </w:rPr>
        <w:t>　农业生产经营者应当改进施肥方式，科学合理施用化肥并按照国家有关规定使用农药，减少氨、挥发性有机物等大气污染物的排放。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禁止在人口集中地区对树木、花草喷洒剧毒、高毒农药。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第七十五条</w:t>
      </w:r>
      <w:r>
        <w:rPr>
          <w:rFonts w:hint="eastAsia" w:ascii="宋体" w:hAnsi="宋体" w:eastAsia="仿宋_GB2312" w:cs="仿宋_GB2312"/>
          <w:kern w:val="0"/>
          <w:szCs w:val="32"/>
        </w:rPr>
        <w:t>　畜禽养殖场、养殖小区应当及时对污水、畜禽粪便和尸体等进行收集、贮存、清运和无害化处理，防止排放恶臭气体。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第七十六条</w:t>
      </w:r>
      <w:r>
        <w:rPr>
          <w:rFonts w:hint="eastAsia" w:ascii="宋体" w:hAnsi="宋体" w:eastAsia="仿宋_GB2312" w:cs="仿宋_GB2312"/>
          <w:kern w:val="0"/>
          <w:szCs w:val="32"/>
        </w:rPr>
        <w:t>　各级人民政府及其农业行政等有关部门应当鼓励和支持采用先进适用技术，对秸秆、落叶等进行肥料化、饲料化、能源化、工业原料化、食用菌基料化等综合利用，加大对秸秆还田、收集一体化农业机械的财政补贴力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县级人民政府应当组织建立秸秆收集、贮存、运输和综合利用服务体系，采用财政补贴等措施支持农村集体经济组织、农民专业合作经济组织、企业等开展秸秆收集、贮存、运输和综合利用服务。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第七十七条</w:t>
      </w:r>
      <w:r>
        <w:rPr>
          <w:rFonts w:hint="eastAsia" w:ascii="宋体" w:hAnsi="宋体" w:eastAsia="仿宋_GB2312" w:cs="仿宋_GB2312"/>
          <w:kern w:val="0"/>
          <w:szCs w:val="32"/>
        </w:rPr>
        <w:t>　省、自治区、直辖市人民政府应当划定区域，禁止露天焚烧秸秆、落叶等产生烟尘污染的物质。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第七十八条</w:t>
      </w:r>
      <w:r>
        <w:rPr>
          <w:rFonts w:hint="eastAsia" w:ascii="宋体" w:hAnsi="宋体" w:eastAsia="仿宋_GB2312" w:cs="仿宋_GB2312"/>
          <w:kern w:val="0"/>
          <w:szCs w:val="32"/>
        </w:rPr>
        <w:t>　国务院生态环境主管部门应当会同国务院卫生行政部门，根据大气污染物对公众健康和生态环境的危害和影响程度，公布有毒有害大气污染物名录，实行风险管理。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排放前款规定名录中所列有毒有害大气污染物的企业事业单位，应当按照国家有关规定建设环境风险预警体系，对排放口和周边环境进行定期监测，评估环境风险，排查环境安全隐患，并采取有效措施防范环境风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第七十九条</w:t>
      </w:r>
      <w:r>
        <w:rPr>
          <w:rFonts w:hint="eastAsia" w:ascii="宋体" w:hAnsi="宋体" w:eastAsia="仿宋_GB2312" w:cs="仿宋_GB2312"/>
          <w:kern w:val="0"/>
          <w:szCs w:val="32"/>
        </w:rPr>
        <w:t>　向大气排放持久性有机污染物的企业事业单位和其他生产经营者以及废弃物焚烧设施的运营单位，应当按照国家有关规定，采取有利于减少持久性有机污染物排放的技术方法和工艺，配备有效的净化装置，实现达标排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第八十条</w:t>
      </w:r>
      <w:r>
        <w:rPr>
          <w:rFonts w:hint="eastAsia" w:ascii="宋体" w:hAnsi="宋体" w:eastAsia="仿宋_GB2312" w:cs="仿宋_GB2312"/>
          <w:kern w:val="0"/>
          <w:szCs w:val="32"/>
        </w:rPr>
        <w:t>　企业事业单位和其他生产经营者在生产经营活动中产生恶臭气体的，应当科学选址，设置合理的防护距离，并安装净化装置或者采取其他措施，防止排放恶臭气体。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第八十一条</w:t>
      </w:r>
      <w:r>
        <w:rPr>
          <w:rFonts w:hint="eastAsia" w:ascii="宋体" w:hAnsi="宋体" w:eastAsia="仿宋_GB2312" w:cs="仿宋_GB2312"/>
          <w:kern w:val="0"/>
          <w:szCs w:val="32"/>
        </w:rPr>
        <w:t>　排放油烟的餐饮服务业经营者应当安装油烟净化设施并保持正常使用，或者采取其他油烟净化措施，使油烟达标排放，并防止对附近居民的正常生活环境造成污染。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禁止在居民住宅楼、未配套设立专用烟道的商住综合楼以及商住综合楼内与居住层相邻的商业楼层内新建、改建、扩建产生油烟、异味、废气的餐饮服务项目。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任何单位和个人不得在当地人民政府禁止的区域内露天烧烤食品或者为露天烧烤食品提供场地。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第八十二条</w:t>
      </w:r>
      <w:r>
        <w:rPr>
          <w:rFonts w:hint="eastAsia" w:ascii="宋体" w:hAnsi="宋体" w:eastAsia="仿宋_GB2312" w:cs="仿宋_GB2312"/>
          <w:kern w:val="0"/>
          <w:szCs w:val="32"/>
        </w:rPr>
        <w:t>　禁止在人口集中地区和其他依法需要特殊保护的区域内焚烧沥青、油毡、橡胶、塑料、皮革、垃圾以及其他产生有毒有害烟尘和恶臭气体的物质。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禁止生产、销售和燃放不符合质量标准的烟花爆竹。任何单位和个人不得在城市人民政府禁止的时段和区域内燃放烟花爆竹。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第八十三条</w:t>
      </w:r>
      <w:r>
        <w:rPr>
          <w:rFonts w:hint="eastAsia" w:ascii="宋体" w:hAnsi="宋体" w:eastAsia="仿宋_GB2312" w:cs="仿宋_GB2312"/>
          <w:kern w:val="0"/>
          <w:szCs w:val="32"/>
        </w:rPr>
        <w:t>　国家鼓励和倡导文明、绿色祭祀。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火葬场应当设置除尘等污染防治设施并保持正常使用，防止影响周边环境。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第八十四条</w:t>
      </w:r>
      <w:r>
        <w:rPr>
          <w:rFonts w:hint="eastAsia" w:ascii="宋体" w:hAnsi="宋体" w:eastAsia="仿宋_GB2312" w:cs="仿宋_GB2312"/>
          <w:kern w:val="0"/>
          <w:szCs w:val="32"/>
        </w:rPr>
        <w:t>　从事服装干洗和机动车维修等服务活动的经营者，应当按照国家有关标准或者要求设置异味和废气处理装置等污染防治设施并保持正常使用，防止影响周边环境。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第八十五条</w:t>
      </w:r>
      <w:r>
        <w:rPr>
          <w:rFonts w:hint="eastAsia" w:ascii="宋体" w:hAnsi="宋体" w:eastAsia="仿宋_GB2312" w:cs="仿宋_GB2312"/>
          <w:kern w:val="0"/>
          <w:szCs w:val="32"/>
        </w:rPr>
        <w:t>　国家鼓励、支持消耗臭氧层物质替代品的生产和使用，逐步减少直至停止消耗臭氧层物质的生产和使用。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国家对消耗臭氧层物质的生产、使用、进出口实行总量控制和配额管理。具体办法由国务院规定。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重点区域大气污染联合防治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第八十六条</w:t>
      </w:r>
      <w:r>
        <w:rPr>
          <w:rFonts w:hint="eastAsia" w:ascii="宋体" w:hAnsi="宋体" w:eastAsia="仿宋_GB2312" w:cs="仿宋_GB2312"/>
          <w:kern w:val="0"/>
          <w:szCs w:val="32"/>
        </w:rPr>
        <w:t>　国家建立重点区域大气污染联防联控机制，统筹协调重点区域内大气污染防治工作。国务院生态环境主管部门根据主体功能区划、区域大气环境质量状况和大气污染传输扩散规律，划定国家大气污染防治重点区域，报国务院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区域内有关省、自治区、直辖市人民政府应当确定牵头的地方人民政府，定期召开联席会议，按照统一规划、统一标准、统一监测、统一的防治措施的要求，开展大气污染联合防治，落实大气污染防治目标责任。国务院生态环境主管部门应当加强指导、督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省、自治区、直辖市可以参照第一款规定划定本行政区域的大气污染防治重点区域。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第八十七条</w:t>
      </w:r>
      <w:r>
        <w:rPr>
          <w:rFonts w:hint="eastAsia" w:ascii="宋体" w:hAnsi="宋体" w:eastAsia="仿宋_GB2312" w:cs="仿宋_GB2312"/>
          <w:kern w:val="0"/>
          <w:szCs w:val="32"/>
        </w:rPr>
        <w:t>　国务院生态环境主管部门会同国务院有关部门、国家大气污染防治重点区域内有关省、自治区、直辖市人民政府，根据重点区域经济社会发展和大气环境承载力，制定重点区域大气污染联合防治行动计划，明确控制目标，优化区域经济布局，统筹交通管理，发展清洁能源，提出重点防治任务和措施，促进重点区域大气环境质量改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第八十八条</w:t>
      </w:r>
      <w:r>
        <w:rPr>
          <w:rFonts w:hint="eastAsia" w:ascii="宋体" w:hAnsi="宋体" w:eastAsia="仿宋_GB2312" w:cs="仿宋_GB2312"/>
          <w:kern w:val="0"/>
          <w:szCs w:val="32"/>
        </w:rPr>
        <w:t>　国务院经济综合主管部门会同国务院生态环境主管部门，结合国家大气污染防治重点区域产业发展实际和大气环境质量状况，进一步提高环境保护、能耗、安全、质量等要求。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重点区域内有关省、自治区、直辖市人民政府应当实施更严格的机动车大气污染物排放标准，统一在用机动车检验方法和排放限值，并配套供应合格的车用燃油。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第八十九条</w:t>
      </w:r>
      <w:r>
        <w:rPr>
          <w:rFonts w:hint="eastAsia" w:ascii="宋体" w:hAnsi="宋体" w:eastAsia="仿宋_GB2312" w:cs="仿宋_GB2312"/>
          <w:kern w:val="0"/>
          <w:szCs w:val="32"/>
        </w:rPr>
        <w:t>　编制可能对国家大气污染防治重点区域的大气环境造成严重污染的有关工业园区、开发区、区域产业和发展等规划，应当依法进行环境影响评价。规划编制机关应当与重点区域内有关省、自治区、直辖市人民政府或者有关部门会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重点区域内有关省、自治区、直辖市建设可能对相邻省、自治区、直辖市大气环境质量产生重大影响的项目，应当及时通报有关信息，进行会商。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会商意见及其采纳情况作为环境影响评价文件审查或者审批的重要依据。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第九十条</w:t>
      </w:r>
      <w:r>
        <w:rPr>
          <w:rFonts w:hint="eastAsia" w:ascii="宋体" w:hAnsi="宋体" w:eastAsia="仿宋_GB2312" w:cs="仿宋_GB2312"/>
          <w:kern w:val="0"/>
          <w:szCs w:val="32"/>
        </w:rPr>
        <w:t>　国家大气污染防治重点区域内新建、改建、扩建用煤项目的，应当实行煤炭的等量或者减量替代。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第九十一条</w:t>
      </w:r>
      <w:r>
        <w:rPr>
          <w:rFonts w:hint="eastAsia" w:ascii="宋体" w:hAnsi="宋体" w:eastAsia="仿宋_GB2312" w:cs="仿宋_GB2312"/>
          <w:kern w:val="0"/>
          <w:szCs w:val="32"/>
        </w:rPr>
        <w:t>　国务院生态环境主管部门应当组织建立国家大气污染防治重点区域的大气环境质量监测、大气污染源监测等相关信息共享机制，利用监测、模拟以及卫星、航测、遥感等新技术分析重点区域内大气污染来源及其变化趋势，并向社会公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第九十二条</w:t>
      </w:r>
      <w:r>
        <w:rPr>
          <w:rFonts w:hint="eastAsia" w:ascii="宋体" w:hAnsi="宋体" w:eastAsia="仿宋_GB2312" w:cs="仿宋_GB2312"/>
          <w:kern w:val="0"/>
          <w:szCs w:val="32"/>
        </w:rPr>
        <w:t>　国务院生态环境主管部门和国家大气污染防治重点区域内有关省、自治区、直辖市人民政府可以组织有关部门开展联合执法、跨区域执法、交叉执法。</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重污染天气应对</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第九十三条</w:t>
      </w:r>
      <w:r>
        <w:rPr>
          <w:rFonts w:hint="eastAsia" w:ascii="宋体" w:hAnsi="宋体" w:eastAsia="仿宋_GB2312" w:cs="仿宋_GB2312"/>
          <w:kern w:val="0"/>
          <w:szCs w:val="32"/>
        </w:rPr>
        <w:t>　国家建立重污染天气监测预警体系。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国务院生态环境主管部门会同国务院气象主管机构等有关部门、国家大气污染防治重点区域内有关省、自治区、直辖市人民政府，建立重点区域重污染天气监测预警机制，统一预警分级标准。可能发生区域重污染天气的，应当及时向重点区域内有关省、自治区、直辖市人民政府通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省、自治区、直辖市、设区的市人民政府生态环境主管部门会同气象主管机构等有关部门建立本行政区域重污染天气监测预警机制。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第九十四条</w:t>
      </w:r>
      <w:r>
        <w:rPr>
          <w:rFonts w:hint="eastAsia" w:ascii="宋体" w:hAnsi="宋体" w:eastAsia="仿宋_GB2312" w:cs="仿宋_GB2312"/>
          <w:kern w:val="0"/>
          <w:szCs w:val="32"/>
        </w:rPr>
        <w:t>　县级以上地方人民政府应当将重污染天气应对纳入突发事件应急管理体系。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省、自治区、直辖市、设区的市人民政府以及可能发生重污染天气的县级人民政府，应当制定重污染天气应急预案，向上一级人民政府生态环境主管部门备案，并向社会公布。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第九十五条</w:t>
      </w:r>
      <w:r>
        <w:rPr>
          <w:rFonts w:hint="eastAsia" w:ascii="宋体" w:hAnsi="宋体" w:eastAsia="仿宋_GB2312" w:cs="仿宋_GB2312"/>
          <w:kern w:val="0"/>
          <w:szCs w:val="32"/>
        </w:rPr>
        <w:t>　省、自治区、直辖市、设区的市人民政府生态环境主管部门应当会同气象主管机构建立会商机制，进行大气环境质量预报。可能发生重污染天气的，应当及时向本级人民政府报告。省、自治区、直辖市、设区的市人民政府依据重污染天气预报信息，进行综合研判，确定预警等级并及时发出预警。预警等级根据情况变化及时调整。任何单位和个人不得擅自向社会发布重污染天气预报预警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预警信息发布后，人民政府及其有关部门应当通过电视、广播、网络、短信等途径告知公众采取健康防护措施，指导公众出行和调整其他相关社会活动。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第九十六条</w:t>
      </w:r>
      <w:r>
        <w:rPr>
          <w:rFonts w:hint="eastAsia" w:ascii="宋体" w:hAnsi="宋体" w:eastAsia="仿宋_GB2312" w:cs="仿宋_GB2312"/>
          <w:kern w:val="0"/>
          <w:szCs w:val="32"/>
        </w:rPr>
        <w:t>　县级以上地方人民政府应当依据重污染天气的预警等级，及时启动应急预案，根据应急需要可以采取责令有关企业停产或者限产、限制部分机动车行驶、禁止燃放烟花爆竹、停止工地土石方作业和建筑物拆除施工、停止露天烧烤、停止幼儿园和学校组织的户外活动、组织开展人工影响天气作业等应急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应急响应结束后，人民政府应当及时开展应急预案实施情况的评估，适时修改完善应急预案。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第九十七条</w:t>
      </w:r>
      <w:r>
        <w:rPr>
          <w:rFonts w:hint="eastAsia" w:ascii="宋体" w:hAnsi="宋体" w:eastAsia="仿宋_GB2312" w:cs="仿宋_GB2312"/>
          <w:kern w:val="0"/>
          <w:szCs w:val="32"/>
        </w:rPr>
        <w:t>　发生造成大气污染的突发环境事件，人民政府及其有关部门和相关企业事业单位，应当依照《中华人民共和国突发事件应对法》、《中华人民共和国环境保护法》的规定，做好应急处置工作。生态环境主管部门应当及时对突发环境事件产生的大气污染物进行监测，并向社会公布监测信息。</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第九十八条</w:t>
      </w:r>
      <w:r>
        <w:rPr>
          <w:rFonts w:hint="eastAsia" w:ascii="宋体" w:hAnsi="宋体" w:eastAsia="仿宋_GB2312" w:cs="仿宋_GB2312"/>
          <w:kern w:val="0"/>
          <w:szCs w:val="32"/>
        </w:rPr>
        <w:t>　违反本法规定，以拒绝进入现场等方式拒不接受生态环境主管部门及其环境执法机构或者其他负有大气环境保护监督管理职责的部门的监督检查，或者在接受监督检查时弄虚作假的，由县级以上人民政府生态环境主管部门或者其他负有大气环境保护监督管理职责的部门责令改正，处二万元以上二十万元以下的罚款；构成违反治安管理行为的，由公安机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第九十九条</w:t>
      </w:r>
      <w:r>
        <w:rPr>
          <w:rFonts w:hint="eastAsia" w:ascii="宋体" w:hAnsi="宋体" w:eastAsia="仿宋_GB2312" w:cs="仿宋_GB2312"/>
          <w:kern w:val="0"/>
          <w:szCs w:val="32"/>
        </w:rPr>
        <w:t>　违反本法规定，有下列行为之一的，由县级以上人民政府生态环境主管部门责令改正或者限制生产、停产整治，并处十万元以上一百万元以下的罚款；情节严重的，报经有批准权的人民政府批准，责令停业、关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（一）未依法取得排污许可证排放大气污染物的；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（二）超过大气污染物排放标准或者超过重点大气污染物排放总量控制指标排放大气污染物的；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（三）通过逃避监管的方式排放大气污染物的。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第一百条</w:t>
      </w:r>
      <w:r>
        <w:rPr>
          <w:rFonts w:hint="eastAsia" w:ascii="宋体" w:hAnsi="宋体" w:eastAsia="仿宋_GB2312" w:cs="仿宋_GB2312"/>
          <w:kern w:val="0"/>
          <w:szCs w:val="32"/>
        </w:rPr>
        <w:t>　违反本法规定，有下列行为之一的，由县级以上人民政府生态环境主管部门责令改正，处二万元以上二十万元以下的罚款；拒不改正的，责令停产整治：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（一）侵占、损毁或者擅自移动、改变大气环境质量监测设施或者大气污染物排放自动监测设备的；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（二）未按照规定对所排放的工业废气和有毒有害大气污染物进行监测并保存原始监测记录的；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（三）未按照规定安装、使用大气污染物排放自动监测设备或者未按照规定与生态环境主管部门的监控设备联网，并保证监测设备正常运行的；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（四）重点排污单位不公开或者不如实公开自动监测数据的；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（五）未按照规定设置大气污染物排放口的。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第一百零一条</w:t>
      </w:r>
      <w:r>
        <w:rPr>
          <w:rFonts w:hint="eastAsia" w:ascii="宋体" w:hAnsi="宋体" w:eastAsia="仿宋_GB2312" w:cs="仿宋_GB2312"/>
          <w:kern w:val="0"/>
          <w:szCs w:val="32"/>
        </w:rPr>
        <w:t>　违反本法规定，生产、进口、销售或者使用国家综合性产业政策目录中禁止的设备和产品，采用国家综合性产业政策目录中禁止的工艺，或者将淘汰的设备和产品转让给他人使用的，由县级以上人民政府经济综合主管部门、海关按照职责责令改正，没收违法所得，并处货值金额一倍以上三倍以下的罚款；拒不改正的，报经有批准权的人民政府批准，责令停业、关闭。进口行为构成走私的，由海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第一百零二条</w:t>
      </w:r>
      <w:r>
        <w:rPr>
          <w:rFonts w:hint="eastAsia" w:ascii="宋体" w:hAnsi="宋体" w:eastAsia="仿宋_GB2312" w:cs="仿宋_GB2312"/>
          <w:kern w:val="0"/>
          <w:szCs w:val="32"/>
        </w:rPr>
        <w:t>　违反本法规定，煤矿未按照规定建设配套煤炭洗选设施的，由县级以上人民政府能源主管部门责令改正，处十万元以上一百万元以下的罚款；拒不改正的，报经有批准权的人民政府批准，责令停业、关闭。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违反本法规定，开采含放射性和砷等有毒有害物质超过规定标准的煤炭的，由县级以上人民政府按照国务院规定的权限责令停业、关闭。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第一百零三条</w:t>
      </w:r>
      <w:r>
        <w:rPr>
          <w:rFonts w:hint="eastAsia" w:ascii="宋体" w:hAnsi="宋体" w:eastAsia="仿宋_GB2312" w:cs="仿宋_GB2312"/>
          <w:kern w:val="0"/>
          <w:szCs w:val="32"/>
        </w:rPr>
        <w:t>　违反本法规定，有下列行为之一的，由县级以上地方人民政府市场监督管理部门责令改正，没收原材料、产品和违法所得，并处货值金额一倍以上三倍以下的罚款：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（一）销售不符合质量标准的煤炭、石油焦的；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（二）生产、销售挥发性有机物含量不符合质量标准或者要求的原材料和产品的；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（三）生产、销售不符合标准的机动车船和非道路移动机械用燃料、发动机油、氮氧化物还原剂、燃料和润滑油添加剂以及其他添加剂的；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（四）在禁燃区内销售高污染燃料的。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第一百零四条</w:t>
      </w:r>
      <w:r>
        <w:rPr>
          <w:rFonts w:hint="eastAsia" w:ascii="宋体" w:hAnsi="宋体" w:eastAsia="仿宋_GB2312" w:cs="仿宋_GB2312"/>
          <w:kern w:val="0"/>
          <w:szCs w:val="32"/>
        </w:rPr>
        <w:t>　违反本法规定，有下列行为之一的，由海关责令改正，没收原材料、产品和违法所得，并处货值金额一倍以上三倍以下的罚款；构成走私的，由海关依法予以处罚：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（一）进口不符合质量标准的煤炭、石油焦的；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（二）进口挥发性有机物含量不符合质量标准或者要求的原材料和产品的；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（三）进口不符合标准的机动车船和非道路移动机械用燃料、发动机油、氮氧化物还原剂、燃料和润滑油添加剂以及其他添加剂的。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第一百零五条</w:t>
      </w:r>
      <w:r>
        <w:rPr>
          <w:rFonts w:hint="eastAsia" w:ascii="宋体" w:hAnsi="宋体" w:eastAsia="仿宋_GB2312" w:cs="仿宋_GB2312"/>
          <w:kern w:val="0"/>
          <w:szCs w:val="32"/>
        </w:rPr>
        <w:t>　违反本法规定，单位燃用不符合质量标准的煤炭、石油焦的，由县级以上人民政府生态环境主管部门责令改正，处货值金额一倍以上三倍以下的罚款。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第一百零六条</w:t>
      </w:r>
      <w:r>
        <w:rPr>
          <w:rFonts w:hint="eastAsia" w:ascii="宋体" w:hAnsi="宋体" w:eastAsia="仿宋_GB2312" w:cs="仿宋_GB2312"/>
          <w:kern w:val="0"/>
          <w:szCs w:val="32"/>
        </w:rPr>
        <w:t>　违反本法规定，使用不符合标准或者要求的船舶用燃油的，由海事管理机构、渔业主管部门按照职责处一万元以上十万元以下的罚款。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第一百零七条</w:t>
      </w:r>
      <w:r>
        <w:rPr>
          <w:rFonts w:hint="eastAsia" w:ascii="宋体" w:hAnsi="宋体" w:eastAsia="仿宋_GB2312" w:cs="仿宋_GB2312"/>
          <w:kern w:val="0"/>
          <w:szCs w:val="32"/>
        </w:rPr>
        <w:t>　违反本法规定，在禁燃区内新建、扩建燃用高污染燃料的设施，或者未按照规定停止燃用高污染燃料，或者在城市集中供热管网覆盖地区新建、扩建分散燃煤供热锅炉，或者未按照规定拆除已建成的不能达标排放的燃煤供热锅炉的，由县级以上地方人民政府生态环境主管部门没收燃用高污染燃料的设施，组织拆除燃煤供热锅炉，并处二万元以上二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违反本法规定，生产、进口、销售或者使用不符合规定标准或者要求的锅炉，由县级以上人民政府市场监督管理、生态环境主管部门责令改正，没收违法所得，并处二万元以上二十万元以下的罚款。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第一百零八条</w:t>
      </w:r>
      <w:r>
        <w:rPr>
          <w:rFonts w:hint="eastAsia" w:ascii="宋体" w:hAnsi="宋体" w:eastAsia="仿宋_GB2312" w:cs="仿宋_GB2312"/>
          <w:kern w:val="0"/>
          <w:szCs w:val="32"/>
        </w:rPr>
        <w:t>　违反本法规定，有下列行为之一的，由县级以上人民政府生态环境主管部门责令改正，处二万元以上二十万元以下的罚款；拒不改正的，责令停产整治：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（一）产生含挥发性有机物废气的生产和服务活动，未在密闭空间或者设备中进行，未按照规定安装、使用污染防治设施，或者未采取减少废气排放措施的；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（二）工业涂装企业未使用低挥发性有机物含量涂料或者未建立、保存台账的；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（三）石油、化工以及其他生产和使用有机溶剂的企业，未采取措施对管道、设备进行日常维护、维修，减少物料泄漏或者对泄漏的物料未及时收集处理的；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（四）储油储气库、加油加气站和油罐车、气罐车等，未按照国家有关规定安装并正常使用油气回收装置的；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（五）钢铁、建材、有色金属、石油、化工、制药、矿产开采等企业，未采取集中收集处理、密闭、围挡、遮盖、清扫、洒水等措施，控制、减少粉尘和气态污染物排放的；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（六）工业生产、垃圾填埋或者其他活动中产生的可燃性气体未回收利用，不具备回收利用条件未进行防治污染处理，或者可燃性气体回收利用装置不能正常作业，未及时修复或者更新的。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第一百零九条</w:t>
      </w:r>
      <w:r>
        <w:rPr>
          <w:rFonts w:hint="eastAsia" w:ascii="宋体" w:hAnsi="宋体" w:eastAsia="仿宋_GB2312" w:cs="仿宋_GB2312"/>
          <w:kern w:val="0"/>
          <w:szCs w:val="32"/>
        </w:rPr>
        <w:t>　违反本法规定，生产超过污染物排放标准的机动车、非道路移动机械的，由省级以上人民政府生态环境主管部门责令改正，没收违法所得，并处货值金额一倍以上三倍以下的罚款，没收销毁无法达到污染物排放标准的机动车、非道路移动机械；拒不改正的，责令停产整治，并由国务院机动车生产主管部门责令停止生产该车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机动车、非道路移动机械生产企业对发动机、污染控制装置弄虚作假、以次充好，冒充排放检验合格产品出厂销售的，由省级以上人民政府生态环境主管部门责令停产整治，没收违法所得，并处货值金额一倍以上三倍以下的罚款，没收销毁无法达到污染物排放标准的机动车、非道路移动机械，并由国务院机动车生产主管部门责令停止生产该车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第一百一十条</w:t>
      </w:r>
      <w:r>
        <w:rPr>
          <w:rFonts w:hint="eastAsia" w:ascii="宋体" w:hAnsi="宋体" w:eastAsia="仿宋_GB2312" w:cs="仿宋_GB2312"/>
          <w:kern w:val="0"/>
          <w:szCs w:val="32"/>
        </w:rPr>
        <w:t>　违反本法规定，进口、销售超过污染物排放标准的机动车、非道路移动机械的，由县级以上人民政府市场监督管理部门、海关按照职责没收违法所得，并处货值金额一倍以上三倍以下的罚款，没收销毁无法达到污染物排放标准的机动车、非道路移动机械；进口行为构成走私的，由海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违反本法规定，销售的机动车、非道路移动机械不符合污染物排放标准的，销售者应当负责修理、更换、退货；给购买者造成损失的，销售者应当赔偿损失。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第一百一十一条</w:t>
      </w:r>
      <w:r>
        <w:rPr>
          <w:rFonts w:hint="eastAsia" w:ascii="宋体" w:hAnsi="宋体" w:eastAsia="仿宋_GB2312" w:cs="仿宋_GB2312"/>
          <w:kern w:val="0"/>
          <w:szCs w:val="32"/>
        </w:rPr>
        <w:t>　违反本法规定，机动车生产、进口企业未按照规定向社会公布其生产、进口机动车车型的排放检验信息或者污染控制技术信息的，由省级以上人民政府生态环境主管部门责令改正，处五万元以上五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违反本法规定，机动车生产、进口企业未按照规定向社会公布其生产、进口机动车车型的有关维修技术信息的，由省级以上人民政府交通运输主管部门责令改正，处五万元以上五十万元以下的罚款。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第一百一十二条</w:t>
      </w:r>
      <w:r>
        <w:rPr>
          <w:rFonts w:hint="eastAsia" w:ascii="宋体" w:hAnsi="宋体" w:eastAsia="仿宋_GB2312" w:cs="仿宋_GB2312"/>
          <w:kern w:val="0"/>
          <w:szCs w:val="32"/>
        </w:rPr>
        <w:t>　违反本法规定，伪造机动车、非道路移动机械排放检验结果或者出具虚假排放检验报告的，由县级以上人民政府生态环境主管部门没收违法所得，并处十万元以上五十万元以下的罚款；情节严重的，由负责资质认定的部门取消其检验资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违反本法规定，伪造船舶排放检验结果或者出具虚假排放检验报告的，由海事管理机构依法予以处罚。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以临时更换机动车污染控制装置等弄虚作假的方式通过机动车排放检验或者破坏机动车车载排放诊断系统的，由县级以上人民政府生态环境主管部门责令改正，对机动车所有人处五千元的罚款；对机动车维修单位处每辆机动车五千元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第一百一十三条</w:t>
      </w:r>
      <w:r>
        <w:rPr>
          <w:rFonts w:hint="eastAsia" w:ascii="宋体" w:hAnsi="宋体" w:eastAsia="仿宋_GB2312" w:cs="仿宋_GB2312"/>
          <w:kern w:val="0"/>
          <w:szCs w:val="32"/>
        </w:rPr>
        <w:t>　违反本法规定，机动车驾驶人驾驶排放检验不合格的机动车上道路行驶的，由公安机关交通管理部门依法予以处罚。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第一百一十四条</w:t>
      </w:r>
      <w:r>
        <w:rPr>
          <w:rFonts w:hint="eastAsia" w:ascii="宋体" w:hAnsi="宋体" w:eastAsia="仿宋_GB2312" w:cs="仿宋_GB2312"/>
          <w:kern w:val="0"/>
          <w:szCs w:val="32"/>
        </w:rPr>
        <w:t>　违反本法规定，使用排放不合格的非道路移动机械，或者在用重型柴油车、非道路移动机械未按照规定加装、更换污染控制装置的，由县级以上人民政府生态环境等主管部门按照职责责令改正，处五千元的罚款。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违反本法规定，在禁止使用高排放非道路移动机械的区域使用高排放非道路移动机械的，由城市人民政府生态环境等主管部门依法予以处罚。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第一百一十五条</w:t>
      </w:r>
      <w:r>
        <w:rPr>
          <w:rFonts w:hint="eastAsia" w:ascii="宋体" w:hAnsi="宋体" w:eastAsia="仿宋_GB2312" w:cs="仿宋_GB2312"/>
          <w:kern w:val="0"/>
          <w:szCs w:val="32"/>
        </w:rPr>
        <w:t>　违反本法规定，施工单位有下列行为之一的，由县级以上人民政府住房城乡建设等主管部门按照职责责令改正，处一万元以上十万元以下的罚款；拒不改正的，责令停工整治：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（一）施工工地未设置硬质围挡，或者未采取覆盖、分段作业、择时施工、洒水抑尘、冲洗地面和车辆等有效防尘降尘措施的；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（二）建筑土方、工程渣土、建筑垃圾未及时清运，或者未采用密闭式防尘网遮盖的。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建设单位未对暂时不能开工的建设用地的裸露地面进行覆盖，或者未对超过三个月不能开工的建设用地的裸露地面进行绿化、铺装或者遮盖的，由县级以上人民政府住房城乡建设等主管部门依照前款规定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第一百一十六条</w:t>
      </w:r>
      <w:r>
        <w:rPr>
          <w:rFonts w:hint="eastAsia" w:ascii="宋体" w:hAnsi="宋体" w:eastAsia="仿宋_GB2312" w:cs="仿宋_GB2312"/>
          <w:kern w:val="0"/>
          <w:szCs w:val="32"/>
        </w:rPr>
        <w:t>　违反本法规定，运输煤炭、垃圾、渣土、砂石、土方、灰浆等散装、流体物料的车辆，未采取密闭或者其他措施防止物料遗撒的，由县级以上地方人民政府确定的监督管理部门责令改正，处二千元以上二万元以下的罚款；拒不改正的，车辆不得上道路行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第一百一十七条</w:t>
      </w:r>
      <w:r>
        <w:rPr>
          <w:rFonts w:hint="eastAsia" w:ascii="宋体" w:hAnsi="宋体" w:eastAsia="仿宋_GB2312" w:cs="仿宋_GB2312"/>
          <w:kern w:val="0"/>
          <w:szCs w:val="32"/>
        </w:rPr>
        <w:t>　违反本法规定，有下列行为之一的，由县级以上人民政府生态环境等主管部门按照职责责令改正，处一万元以上十万元以下的罚款；拒不改正的，责令停工整治或者停业整治：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（一）未密闭煤炭、煤矸石、煤渣、煤灰、水泥、石灰、石膏、砂土等易产生扬尘的物料的；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（二）对不能密闭的易产生扬尘的物料，未设置不低于堆放物高度的严密围挡，或者未采取有效覆盖措施防治扬尘污染的；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（三）装卸物料未采取密闭或者喷淋等方式控制扬尘排放的；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（四）存放煤炭、煤矸石、煤渣、煤灰等物料，未采取防燃措施的；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（五）码头、矿山、填埋场和消纳场未采取有效措施防治扬尘污染的；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（六）排放有毒有害大气污染物名录中所列有毒有害大气污染物的企业事业单位，未按照规定建设环境风险预警体系或者对排放口和周边环境进行定期监测、排查环境安全隐患并采取有效措施防范环境风险的；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（七）向大气排放持久性有机污染物的企业事业单位和其他生产经营者以及废弃物焚烧设施的运营单位，未按照国家有关规定采取有利于减少持久性有机污染物排放的技术方法和工艺，配备净化装置的；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（八）未采取措施防止排放恶臭气体的。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第一百一十八条</w:t>
      </w:r>
      <w:r>
        <w:rPr>
          <w:rFonts w:hint="eastAsia" w:ascii="宋体" w:hAnsi="宋体" w:eastAsia="仿宋_GB2312" w:cs="仿宋_GB2312"/>
          <w:kern w:val="0"/>
          <w:szCs w:val="32"/>
        </w:rPr>
        <w:t>　违反本法规定，排放油烟的餐饮服务业经营者未安装油烟净化设施、不正常使用油烟净化设施或者未采取其他油烟净化措施，超过排放标准排放油烟的，由县级以上地方人民政府确定的监督管理部门责令改正，处五千元以上五万元以下的罚款；拒不改正的，责令停业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居民住宅楼、未配套设立专用烟道的商住综合楼、商住综合楼内与居住层相邻的商业楼层内新建、改建、扩建产生油烟、异味、废气的餐饮服务项目的，由县级以上地方人民政府确定的监督管理部门责令改正；拒不改正的，予以关闭，并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当地人民政府禁止的时段和区域内露天烧烤食品或者为露天烧烤食品提供场地的，由县级以上地方人民政府确定的监督管理部门责令改正，没收烧烤工具和违法所得，并处五百元以上二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第一百一十九条</w:t>
      </w:r>
      <w:r>
        <w:rPr>
          <w:rFonts w:hint="eastAsia" w:ascii="宋体" w:hAnsi="宋体" w:eastAsia="仿宋_GB2312" w:cs="仿宋_GB2312"/>
          <w:kern w:val="0"/>
          <w:szCs w:val="32"/>
        </w:rPr>
        <w:t>　违反本法规定，在人口集中地区对树木、花草喷洒剧毒、高毒农药，或者露天焚烧秸秆、落叶等产生烟尘污染的物质的，由县级以上地方人民政府确定的监督管理部门责令改正，并可以处五百元以上二千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人口集中地区和其他依法需要特殊保护的区域内，焚烧沥青、油毡、橡胶、塑料、皮革、垃圾以及其他产生有毒有害烟尘和恶臭气体的物质的，由县级人民政府确定的监督管理部门责令改正，对单位处一万元以上十万元以下的罚款，对个人处五百元以上二千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违反本法规定，在城市人民政府禁止的时段和区域内燃放烟花爆竹的，由县级以上地方人民政府确定的监督管理部门依法予以处罚。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第一百二十条</w:t>
      </w:r>
      <w:r>
        <w:rPr>
          <w:rFonts w:hint="eastAsia" w:ascii="宋体" w:hAnsi="宋体" w:eastAsia="仿宋_GB2312" w:cs="仿宋_GB2312"/>
          <w:kern w:val="0"/>
          <w:szCs w:val="32"/>
        </w:rPr>
        <w:t>　违反本法规定，从事服装干洗和机动车维修等服务活动，未设置异味和废气处理装置等污染防治设施并保持正常使用，影响周边环境的，由县级以上地方人民政府生态环境主管部门责令改正，处二千元以上二万元以下的罚款；拒不改正的，责令停业整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第一百二十一条</w:t>
      </w:r>
      <w:r>
        <w:rPr>
          <w:rFonts w:hint="eastAsia" w:ascii="宋体" w:hAnsi="宋体" w:eastAsia="仿宋_GB2312" w:cs="仿宋_GB2312"/>
          <w:kern w:val="0"/>
          <w:szCs w:val="32"/>
        </w:rPr>
        <w:t>　违反本法规定，擅自向社会发布重污染天气预报预警信息，构成违反治安管理行为的，由公安机关依法予以处罚。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违反本法规定，拒不执行停止工地土石方作业或者建筑物拆除施工等重污染天气应急措施的，由县级以上地方人民政府确定的监督管理部门处一万元以上十万元以下的罚款。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第一百二十二条</w:t>
      </w:r>
      <w:r>
        <w:rPr>
          <w:rFonts w:hint="eastAsia" w:ascii="宋体" w:hAnsi="宋体" w:eastAsia="仿宋_GB2312" w:cs="仿宋_GB2312"/>
          <w:kern w:val="0"/>
          <w:szCs w:val="32"/>
        </w:rPr>
        <w:t>　违反本法规定，造成大气污染事故的，由县级以上人民政府生态环境主管部门依照本条第二款的规定处以罚款；对直接负责的主管人员和其他直接责任人员可以处上一年度从本企业事业单位取得收入百分之五十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对造成一般或者较大大气污染事故的，按照污染事故造成直接损失的一倍以上三倍以下计算罚款；对造成重大或者特大大气污染事故的，按照污染事故造成的直接损失的三倍以上五倍以下计算罚款。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第一百二十三条</w:t>
      </w:r>
      <w:r>
        <w:rPr>
          <w:rFonts w:hint="eastAsia" w:ascii="宋体" w:hAnsi="宋体" w:eastAsia="仿宋_GB2312" w:cs="仿宋_GB2312"/>
          <w:kern w:val="0"/>
          <w:szCs w:val="32"/>
        </w:rPr>
        <w:t>　违反本法规定，企业事业单位和其他生产经营者有下列行为之一，受到罚款处罚，被责令改正，拒不改正的，依法作出处罚决定的行政机关可以自责令改正之日的次日起，按照原处罚数额按日连续处罚：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（一）未依法取得排污许可证排放大气污染物的；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（二）超过大气污染物排放标准或者超过重点大气污染物排放总量控制指标排放大气污染物的；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（三）通过逃避监管的方式排放大气污染物的；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（四）建筑施工或者贮存易产生扬尘的物料未采取有效措施防治扬尘污染的。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第一百二十四条</w:t>
      </w:r>
      <w:r>
        <w:rPr>
          <w:rFonts w:hint="eastAsia" w:ascii="宋体" w:hAnsi="宋体" w:eastAsia="仿宋_GB2312" w:cs="仿宋_GB2312"/>
          <w:kern w:val="0"/>
          <w:szCs w:val="32"/>
        </w:rPr>
        <w:t>　违反本法规定，对举报人以解除、变更劳动合同或者其他方式打击报复的，应当依照有关法律的规定承担责任。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第一百二十五条</w:t>
      </w:r>
      <w:r>
        <w:rPr>
          <w:rFonts w:hint="eastAsia" w:ascii="宋体" w:hAnsi="宋体" w:eastAsia="仿宋_GB2312" w:cs="仿宋_GB2312"/>
          <w:kern w:val="0"/>
          <w:szCs w:val="32"/>
        </w:rPr>
        <w:t>　排放大气污染物造成损害的，应当依法承担侵权责任。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第一百二十六条</w:t>
      </w:r>
      <w:r>
        <w:rPr>
          <w:rFonts w:hint="eastAsia" w:ascii="宋体" w:hAnsi="宋体" w:eastAsia="仿宋_GB2312" w:cs="仿宋_GB2312"/>
          <w:kern w:val="0"/>
          <w:szCs w:val="32"/>
        </w:rPr>
        <w:t>　地方各级人民政府、县级以上人民政府生态环境主管部门和其他负有大气环境保护监督管理职责的部门及其工作人员滥用职权、玩忽职守、徇私舞弊、弄虚作假的，依法给予处分。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第一百二十七条</w:t>
      </w:r>
      <w:r>
        <w:rPr>
          <w:rFonts w:hint="eastAsia" w:ascii="宋体" w:hAnsi="宋体" w:eastAsia="仿宋_GB2312" w:cs="仿宋_GB2312"/>
          <w:kern w:val="0"/>
          <w:szCs w:val="32"/>
        </w:rPr>
        <w:t>　违反本法规定，构成犯罪的，依法追究刑事责任。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第一百二十八条</w:t>
      </w:r>
      <w:r>
        <w:rPr>
          <w:rFonts w:hint="eastAsia" w:ascii="宋体" w:hAnsi="宋体" w:eastAsia="仿宋_GB2312" w:cs="仿宋_GB2312"/>
          <w:kern w:val="0"/>
          <w:szCs w:val="32"/>
        </w:rPr>
        <w:t>　海洋工程的大气污染防治，依照《中华人民共和国海洋环境保护法》的有关规定执行。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第一百二十九条</w:t>
      </w:r>
      <w:r>
        <w:rPr>
          <w:rFonts w:hint="eastAsia" w:ascii="宋体" w:hAnsi="宋体" w:eastAsia="仿宋_GB2312" w:cs="仿宋_GB2312"/>
          <w:kern w:val="0"/>
          <w:szCs w:val="32"/>
        </w:rPr>
        <w:t>　本法自2016年1月1日起施行。</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0" w:name="_Toc15201"/>
      <w:r>
        <w:rPr>
          <w:rFonts w:hint="eastAsia" w:ascii="宋体" w:hAnsi="宋体" w:eastAsia="宋体" w:cs="宋体"/>
          <w:kern w:val="0"/>
          <w:sz w:val="44"/>
          <w:szCs w:val="44"/>
          <w:lang w:val="en-US" w:eastAsia="zh-CN"/>
        </w:rPr>
        <w:t>中华人民共和国水污染防治法</w:t>
      </w:r>
      <w:bookmarkEnd w:id="190"/>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kern w:val="0"/>
          <w:szCs w:val="32"/>
        </w:rPr>
      </w:pPr>
      <w:r>
        <w:rPr>
          <w:rFonts w:hint="eastAsia" w:ascii="宋体" w:hAnsi="宋体" w:eastAsia="楷体_GB2312" w:cs="楷体_GB2312"/>
          <w:kern w:val="0"/>
          <w:szCs w:val="32"/>
        </w:rPr>
        <w:t>（1984年5月11日第六届全国人民代表大会常务委员会第五次会议通过　根据1996年5月15日第八届全国人民代表大会常务委员会第十九次会议《关于修改&lt;中华人民共和国水污染防治法&gt;的决定》第一次修正　2008年2月28日第十届全国人民代表大会常务委员会第三十二次会议修订　根据2017年6月27日第十二届全国人民代表大会常务委员会第二十八次会议《关于修改&lt;中华人民共和国水污染防治法&gt;的决定》第二次修正）</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水污染防治的标准和规划</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水污染防治的监督管理</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水污染防治措施</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工业水污染防治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第三节　城镇水污染防治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第四节　农业和农村水污染防治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第五节　船舶水污染防治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饮用水水源和其他特殊水体保护</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水污染事故处置</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第八章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为了保护和改善环境，防治水污染，保护水生态，保障饮用水安全，维护公众健康，推进生态文明建设，促进经济社会可持续发展，制定本法。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本法适用于中华人民共和国领域内的江河、湖泊、运河、渠道、水库等地表水体以及地下水体的污染防治。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海洋污染防治适用《中华人民共和国海洋环境保护法》。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水污染防治应当坚持预防为主、防治结合、综合治理的原则，优先保护饮用水水源，严格控制工业污染、城镇生活污染，防治农业面源污染，积极推进生态治理工程建设，预防、控制和减少水环境污染和生态破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县级以上人民政府应当将水环境保护工作纳入国民经济和社会发展规划。</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地方各级人民政府对本行政区域的水环境质量负责，应当及时采取措施防治水污染。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省、市、县、乡建立河长制，分级分段组织领导本行政区域内江河、湖泊的水资源保护、水域岸线管理、水污染防治、水环境治理等工作。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国家实行水环境保护目标责任制和考核评价制度，将水环境保护目标完成情况作为对地方人民政府及其负责人考核评价的内容。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国家鼓励、支持水污染防治的科学技术研究和先进适用技术的推广应用，加强水环境保护的宣传教育。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国家通过财政转移支付等方式，建立健全对位于饮用水水源保护区区域和江河、湖泊、水库上游地区的水环境生态保护补偿机制。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县级以上人民政府环境保护主管部门对水污染防治实施统一监督管理。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交通主管部门的海事管理机构对船舶污染水域的防治实施监督管理。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县级以上人民政府水行政、国土资源、卫生、建设、农业、渔业等部门以及重要江河、湖泊的流域水资源保护机构，在各自的职责范围内，对有关水污染防治实施监督管理。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排放水污染物，不得超过国家或者地方规定的水污染物排放标准和重点水污染物排放总量控制指标。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任何单位和个人都有义务保护水环境，并有权对污染损害水环境的行为进行检举。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县级以上人民政府及其有关主管部门对在水污染防治工作中做出显著成绩的单位和个人给予表彰和奖励。</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水污染防治的标准和规划</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国务院环境保护主管部门制定国家水环境质量标准。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省、自治区、直辖市人民政府可以对国家水环境质量标准中未作规定的项目，制定地方标准，并报国务院环境保护主管部门备案。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国务院环境保护主管部门会同国务院水行政主管部门和有关省、自治区、直辖市人民政府，可以根据国家确定的重要江河、湖泊流域水体的使用功能以及有关地区的经济、技术条件，确定该重要江河、湖泊流域的省界水体适用的水环境质量标准，报国务院批准后施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国务院环境保护主管部门根据国家水环境质量标准和国家经济、技术条件，制定国家水污染物排放标准。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对国家水污染物排放标准中未作规定的项目，可以制定地方水污染物排放标准；对国家水污染物排放标准中已作规定的项目，可以制定严于国家水污染物排放标准的地方水污染物排放标准。地方水污染物排放标准须报国务院环境保护主管部门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向已有地方水污染物排放标准的水体排放污染物的，应当执行地方水污染物排放标准。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国务院环境保护主管部门和省、自治区、直辖市人民政府，应当根据水污染防治的要求和国家或者地方的经济、技术条件，适时修订水环境质量标准和水污染物排放标准。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防治水污染应当按流域或者按区域进行统一规划。国家确定的重要江河、湖泊的流域水污染防治规划，由国务院环境保护主管部门会同国务院经济综合宏观调控、水行政等部门和有关省、自治区、直辖市人民政府编制，报国务院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前款规定外的其他跨省、自治区、直辖市江河、湖泊的流域水污染防治规划，根据国家确定的重要江河、湖泊的流域水污染防治规划和本地实际情况，由有关省、自治区、直辖市人民政府环境保护主管部门会同同级水行政等部门和有关市、县人民政府编制，经有关省、自治区、直辖市人民政府审核，报国务院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内跨县江河、湖泊的流域水污染防治规划，根据国家确定的重要江河、湖泊的流域水污染防治规划和本地实际情况，由省、自治区、直辖市人民政府环境保护主管部门会同同级水行政等部门编制，报省、自治区、直辖市人民政府批准，并报国务院备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经批准的水污染防治规划是防治水污染的基本依据，规划的修订须经原批准机关批准。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县级以上地方人民政府应当根据依法批准的江河、湖泊的流域水污染防治规划，组织制定本行政区域的水污染防治规划。</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有关市、县级人民政府应当按照水污染防治规划确定的水环境质量改善目标的要求，制定限期达标规划，采取措施按期达标。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有关市、县级人民政府应当将限期达标规划报上一级人民政府备案，并向社会公开。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　</w:t>
      </w:r>
      <w:r>
        <w:rPr>
          <w:rFonts w:hint="eastAsia" w:ascii="宋体" w:hAnsi="宋体" w:cs="Arial"/>
          <w:kern w:val="0"/>
          <w:szCs w:val="32"/>
        </w:rPr>
        <w:t>市、县级人民政府每年在向本级人民代表大会或者其常务委员会报告环境状况和环境保护目标完成情况时，应当报告水环境质量限期达标规划执行情况，并向社会公开。</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水污染防治的监督管理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新建、改建、扩建直接或者间接向水体排放污染物的建设项目和其他水上设施，应当依法进行环境影响评价。</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建设单位在江河、湖泊新建、改建、扩建排污口的，应当取得水行政主管部门或者流域管理机构同意；涉及通航、渔业水域的，环境保护主管部门在审批环境影响评价文件时，应当征求交通、渔业主管部门的意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建设项目的水污染防治设施，应当与主体工程同时设计、同时施工、同时投入使用。水污染防治设施应当符合经批准或者备案的环境影响评价文件的要求。</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国家对重点水污染物排放实施总量控制制度。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重点水污染物排放总量控制指标，由国务院环境保护主管部门在征求国务院有关部门和各省、自治区、直辖市人民政府意见后，会同国务院经济综合宏观调控部门报国务院批准并下达实施。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省、自治区、直辖市人民政府应当按照国务院的规定削减和控制本行政区域的重点水污染物排放总量。具体办法由国务院环境保护主管部门会同国务院有关部门规定。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省、自治区、直辖市人民政府可以根据本行政区域水环境质量状况和水污染防治工作的需要，对国家重点水污染物之外的其他水污染物排放实行总量控制。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超过重点水污染物排放总量控制指标或者未完成水环境质量改善目标的地区，省级以上人民政府环境保护主管部门应当会同有关部门约谈该地区人民政府的主要负责人，并暂停审批新增重点水污染物排放总量的建设项目的环境影响评价文件。约谈情况应当向社会公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直接或者间接向水体排放工业废水和医疗污水以及其他按照规定应当取得排污许可证方可排放的废水、污水的企业事业单位和其他生产经营者，应当取得排污许可证；城镇污水集中处理设施的运营单位，也应当取得排污许可证。排污许可证应当明确排放水污染物的种类、浓度、总量和排放去向等要求。排污许可的具体办法由国务院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禁止企业事业单位和其他生产经营者无排污许可证或者违反排污许可证的规定向水体排放前款规定的废水、污水。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向水体排放污染物的企业事业单位和其他生产经营者，应当按照法律、行政法规和国务院环境保护主管部门的规定设置排污口；在江河、湖泊设置排污口的，还应当遵守国务院水行政主管部门的规定。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实行排污许可管理的企业事业单位和其他生产经营者应当按照国家有关规定和监测规范，对所排放的水污染物自行监测，并保存原始监测记录。重点排污单位还应当安装水污染物排放自动监测设备，与环境保护主管部门的监控设备联网，并保证监测设备正常运行。具体办法由国务院环境保护主管部门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应当安装水污染物排放自动监测设备的重点排污单位名录，由设区的市级以上地方人民政府环境保护主管部门根据本行政区域的环境容量、重点水污染物排放总量控制指标的要求以及排污单位排放水污染物的种类、数量和浓度等因素，商同级有关部门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实行排污许可管理的企业事业单位和其他生产经营者应当对监测数据的真实性和准确性负责。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环境保护主管部门发现重点排污单位的水污染物排放自动监测设备传输数据异常，应当及时进行调查。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国家建立水环境质量监测和水污染物排放监测制度。国务院环境保护主管部门负责制定水环境监测规范，统一发布国家水环境状况信息，会同国务院水行政等部门组织监测网络，统一规划国家水环境质量监测站（点）的设置，建立监测数据共享机制，加强对水环境监测的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国家确定的重要江河、湖泊流域的水资源保护工作机构负责监测其所在流域的省界水体的水环境质量状况，并将监测结果及时报国务院环境保护主管部门和国务院水行政主管部门；有经国务院批准成立的流域水资源保护领导机构的，应当将监测结果及时报告流域水资源保护领导机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国务院有关部门和县级以上地方人民政府开发、利用和调节、调度水资源时，应当统筹兼顾，维持江河的合理流量和湖泊、水库以及地下水体的合理水位，保障基本生态用水，维护水体的生态功能。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国务院环境保护主管部门应当会同国务院水行政等部门和有关省、自治区、直辖市人民政府，建立重要江河、湖泊的流域水环境保护联合协调机制，实行统一规划、统一标准、统一监测、统一的防治措施。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国务院环境保护主管部门和省、自治区、直辖市人民政府环境保护主管部门应当会同同级有关部门根据流域生态环境功能需要，明确流域生态环境保护要求，组织开展流域环境资源承载能力监测、评价，实施流域环境资源承载能力预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根据流域生态环境功能需要，组织开展江河、湖泊、湿地保护与修复，因地制宜建设人工湿地、水源涵养林、沿河沿湖植被缓冲带和隔离带等生态环境治理与保护工程，整治黑臭水体，提高流域环境资源承载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从事开发建设活动，应当采取有效措施，维护流域生态环境功能，严守生态保护红线。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跨行政区域的水污染纠纷，由有关地方人民政府协商解决，或者由其共同的上级人民政府协调解决。</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水污染防治措施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国务院环境保护主管部门应当会同国务院卫生主管部门，根据对公众健康和生态环境的危害和影响程度，公布有毒有害水污染物名录，实行风险管理。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排放前款规定名录中所列有毒有害水污染物的企业事业单位和其他生产经营者，应当对排污口和周边环境进行监测，评估环境风险，排查环境安全隐患，并公开有毒有害水污染物信息，采取有效措施防范环境风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禁止向水体排放油类、酸液、碱液或者剧毒废液。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禁止在水体清洗装贮过油类或者有毒污染物的车辆和容器。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禁止向水体排放、倾倒放射性固体废物或者含有高放射性和中放射性物质的废水。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向水体排放含低放射性物质的废水，应当符合国家有关放射性污染防治的规定和标准。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向水体排放含热废水，应当采取措施，保证水体的水温符合水环境质量标准。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含病原体的污水应当经过消毒处理；符合国家有关标准后，方可排放。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禁止向水体排放、倾倒工业废渣、城镇垃圾和其他废弃物。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禁止将含有汞、镉、砷、铬、铅、氰化物、黄磷等的可溶性剧毒废渣向水体排放、倾倒或者直接埋入地下。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存放可溶性剧毒废渣的场所，应当采取防水、防渗漏、防流失的措施。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禁止在江河、湖泊、运河、渠道、水库最高水位线以下的滩地和岸坡堆放、存贮固体废弃物和其他污染物。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禁止利用渗井、渗坑、裂隙、溶洞，私设暗管，篡改、伪造监测数据，或者不正常运行水污染防治设施等逃避监管的方式排放水污染物。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化学品生产企业以及工业集聚区、矿山开采区、尾矿库、危险废物处置场、垃圾填埋场等的运营、管理单位，应当采取防渗漏等措施，并建设地下水水质监测井进行监测，防止地下水污染。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加油站等的地下油罐应当使用双层罐或者采取建造防渗池等其他有效措施，并进行防渗漏监测，防止地下水污染。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禁止利用无防渗漏措施的沟渠、坑塘等输送或者存贮含有毒污染物的废水、含病原体的污水和其他废弃物。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多层地下水的含水层水质差异大的，应当分层开采；对已受污染的潜水和承压水，不得混合开采。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兴建地下工程设施或者进行地下勘探、采矿等活动，应当采取防护性措施，防止地下水污染。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报废矿井、钻井或者取水井等，应当实施封井或者回填。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人工回灌补给地下水，不得恶化地下水质。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第二节　工业水污染防治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国务院有关部门和县级以上地方人民政府应当合理规划工业布局，要求造成水污染的企业进行技术改造，采取综合防治措施，提高水的重复利用率，减少废水和污染物排放量。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排放工业废水的企业应当采取有效措施，收集和处理产生的全部废水，防止污染环境。含有毒有害水污染物的工业废水应当分类收集和处理，不得稀释排放。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工业集聚区应当配套建设相应的污水集中处理设施，安装自动监测设备，与环境保护主管部门的监控设备联网，并保证监测设备正常运行。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向污水集中处理设施排放工业废水的，应当按照国家有关规定进行预处理，达到集中处理设施处理工艺要求后方可排放。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国家对严重污染水环境的落后工艺和设备实行淘汰制度。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国务院经济综合宏观调控部门会同国务院有关部门，公布限期禁止采用的严重污染水环境的工艺名录和限期禁止生产、销售、进口、使用的严重污染水环境的设备名录。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生产者、销售者、进口者或者使用者应当在规定的期限内停止生产、销售、进口或者使用列入前款规定的设备名录中的设备。工艺的采用者应当在规定的期限内停止采用列入前款规定的工艺名录中的工艺。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依照本条第二款、第三款规定被淘汰的设备，不得转让给他人使用。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国家禁止新建不符合国家产业政策的小型造纸、制革、印染、染料、炼焦、炼硫、炼砷、炼汞、炼油、电镀、农药、石棉、水泥、玻璃、钢铁、火电以及其他严重污染水环境的生产项目。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企业应当采用原材料利用效率高、污染物排放量少的清洁工艺，并加强管理，减少水污染物的产生。</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第三节　城镇水污染防治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城镇污水应当集中处理。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县级以上地方人民政府应当通过财政预算和其他渠道筹集资金，统筹安排建设城镇污水集中处理设施及配套管网，提高本行政区域城镇污水的收集率和处理率。</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建设主管部门应当会同国务院经济综合宏观调控、环境保护主管部门，根据城乡规划和水污染防治规划，组织编制全国城镇污水处理设施建设规划。县级以上地方人民政府组织建设、经济综合宏观调控、环境保护、水行政等部门编制本行政区域的城镇污水处理设施建设规划。县级以上地方人民政府建设主管部门应当按照城镇污水处理设施建设规划，组织建设城镇污水集中处理设施及配套管网，并加强对城镇污水集中处理设施运营的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城镇污水集中处理设施的运营单位按照国家规定向排污者提供污水处理的有偿服务，收取污水处理费用，保证污水集中处理设施的正常运行。收取的污水处理费用应当用于城镇污水集中处理设施的建设运行和污泥处理处置，不得挪作他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城镇污水集中处理设施的污水处理收费、管理以及使用的具体办法，由国务院规定。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向城镇污水集中处理设施排放水污染物，应当符合国家或者地方规定的水污染物排放标准。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城镇污水集中处理设施的运营单位，应当对城镇污水集中处理设施的出水水质负责。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环境保护主管部门应当对城镇污水集中处理设施的出水水质和水量进行监督检查。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城镇污水集中处理设施的运营单位或者污泥处理处置单位应当安全处理处置污泥，保证处理处置后的污泥符合国家标准，并对污泥的去向等进行记录。</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第四节　农业和农村水污染防治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国家支持农村污水、垃圾处理设施的建设，推进农村污水、垃圾集中处理。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地方各级人民政府应当统筹规划建设农村污水、垃圾处理设施，并保障其正常运行。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制定化肥、农药等产品的质量标准和使用标准，应当适应水环境保护要求。</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使用农药，应当符合国家有关农药安全使用的规定和标准。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运输、存贮农药和处置过期失效农药，应当加强管理，防止造成水污染。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县级以上地方人民政府农业主管部门和其他有关部门，应当采取措施，指导农业生产者科学、合理地施用化肥和农药，推广测土配方施肥技术和高效低毒低残留农药，控制化肥和农药的过量使用，防止造成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国家支持畜禽养殖场、养殖小区建设畜禽粪便、废水的综合利用或者无害化处理设施。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畜禽养殖场、养殖小区应当保证其畜禽粪便、废水的综合利用或者无害化处理设施正常运转，保证污水达标排放，防止污染水环境。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畜禽散养密集区所在地县、乡级人民政府应当组织对畜禽粪便污水进行分户收集、集中处理利用。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从事水产养殖应当保护水域生态环境，科学确定养殖密度，合理投饵和使用药物，防止污染水环境。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农田灌溉用水应当符合相应的水质标准，防止污染土壤、地下水和农产品。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禁止向农田灌溉渠道排放工业废水或者医疗污水。向农田灌溉渠道排放城镇污水以及未综合利用的畜禽养殖废水、农产品加工废水的，应当保证其下游最近的灌溉取水点的水质符合农田灌溉水质标准。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第五节　船舶水污染防治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船舶排放含油污水、生活污水，应当符合船舶污染物排放标准。从事海洋航运的船舶进入内河和港口的，应当遵守内河的船舶污染物排放标准。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船舶的残油、废油应当回收，禁止排入水体。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禁止向水体倾倒船舶垃圾。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船舶装载运输油类或者有毒货物，应当采取防止溢流和渗漏的措施，防止货物落水造成水污染。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进入中华人民共和国内河的国际航线船舶排放压载水的，应当采用压载水处理装置或者采取其他等效措施，对压载水进行灭活等处理。禁止排放不符合规定的船舶压载水。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船舶应当按照国家有关规定配置相应的防污设备和器材，并持有合法有效的防止水域环境污染的证书与文书。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船舶进行涉及污染物排放的作业，应当严格遵守操作规程，并在相应的记录簿上如实记载。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港口、码头、装卸站和船舶修造厂所在地市、县级人民政府应当统筹规划建设船舶污染物、废弃物的接收、转运及处理处置设施。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船舶及有关作业单位从事有污染风险的作业活动，应当按照有关法律法规和标准，采取有效措施，防止造成水污染。海事管理机构、渔业主管部门应当加强对船舶及有关作业活动的监督管理。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船舶进行散装液体污染危害性货物的过驳作业，应当编制作业方案，采取有效的安全和污染防治措施，并报作业地海事管理机构批准。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禁止采取冲滩方式进行船舶拆解作业。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饮用水水源和其他特殊水体保护</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国家建立饮用水水源保护区制度。饮用水水源保护区分为一级保护区和二级保护区；必要时，可以在饮用水水源保护区外围划定一定的区域作为准保护区。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水源保护区的划定，由有关市、县人民政府提出划定方案，报省、自治区、直辖市人民政府批准；跨市、县饮用水水源保护区的划定，由有关市、县人民政府协商提出划定方案，报省、自治区、直辖市人民政府批准；协商不成的，由省、自治区、直辖市人民政府环境保护主管部门会同同级水行政、国土资源、卫生、建设等部门提出划定方案，征求同级有关部门的意见后，报省、自治区、直辖市人民政府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跨省、自治区、直辖市的饮用水水源保护区，由有关省、自治区、直辖市人民政府商有关流域管理机构划定；协商不成的，由国务院环境保护主管部门会同同级水行政、国土资源、卫生、建设等部门提出划定方案，征求国务院有关部门的意见后，报国务院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务院和省、自治区、直辖市人民政府可以根据保护饮用水水源的实际需要，调整饮用水水源保护区的范围，确保饮用水安全。有关地方人民政府应当在饮用水水源保护区的边界设立明确的地理界标和明显的警示标志。</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在饮用水水源保护区内，禁止设置排污口。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禁止在饮用水水源一级保护区内新建、改建、扩建与供水设施和保护水源无关的建设项目；已建成的与供水设施和保护水源无关的建设项目，由县级以上人民政府责令拆除或者关闭。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禁止在饮用水水源一级保护区内从事网箱养殖、旅游、游泳、垂钓或者其他可能污染饮用水水体的活动。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禁止在饮用水水源二级保护区内新建、改建、扩建排放污染物的建设项目；已建成的排放污染物的建设项目，由县级以上人民政府责令拆除或者关闭。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在饮用水水源二级保护区内从事网箱养殖、旅游等活动的，应当按照规定采取措施，防止污染饮用水水体。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禁止在饮用水水源准保护区内新建、扩建对水体污染严重的建设项目；改建建设项目，不得增加排污量。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县级以上地方人民政府应当根据保护饮用水水源的实际需要，在准保护区内采取工程措施或者建造湿地、水源涵养林等生态保护措施，防止水污染物直接排入饮用水水体，确保饮用水安全。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县级以上地方人民政府应当组织环境保护等部门，对饮用水水源保护区、地下水型饮用水源的补给区及供水单位周边区域的环境状况和污染风险进行调查评估，筛查可能存在的污染风险因素，并采取相应的风险防范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水源受到污染可能威胁供水安全的，环境保护主管部门应当责令有关企业事业单位和其他生产经营者采取停止排放水污染物等措施，并通报饮用水供水单位和供水、卫生、水行政等部门；跨行政区域的，还应当通报相关地方人民政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单一水源供水城市的人民政府应当建设应急水源或者备用水源，有条件的地区可以开展区域联网供水。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县级以上地方人民政府应当合理安排、布局农村饮用水水源，有条件的地区可以采取城镇供水管网延伸或者建设跨村、跨乡镇联片集中供水工程等方式，发展规模集中供水。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仿宋_GB2312"/>
          <w:kern w:val="0"/>
          <w:szCs w:val="32"/>
        </w:rPr>
        <w:t>　</w:t>
      </w:r>
      <w:r>
        <w:rPr>
          <w:rFonts w:hint="eastAsia" w:ascii="宋体" w:hAnsi="宋体" w:cs="Arial"/>
          <w:kern w:val="0"/>
          <w:szCs w:val="32"/>
        </w:rPr>
        <w:t>饮用水供水单位应当做好取水口和出水口的水质检测工作。发现取水口水质不符合饮用水水源水质标准或者出水口水质不符合饮用水卫生标准的，应当及时采取相应措施，并向所在地市、县级人民政府供水主管部门报告。供水主管部门接到报告后，应当通报环境保护、卫生、水行政等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饮用水供水单位应当对供水水质负责，确保供水设施安全可靠运行，保证供水水质符合国家有关标准。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第七十二条</w:t>
      </w:r>
      <w:r>
        <w:rPr>
          <w:rFonts w:hint="eastAsia" w:ascii="宋体" w:hAnsi="宋体" w:cs="Arial"/>
          <w:kern w:val="0"/>
          <w:szCs w:val="32"/>
        </w:rPr>
        <w:t>　县级以上地方人民政府应当组织有关部门监测、评估本行政区域内饮用水水源、供水单位供水和用户水龙头出水的水质等饮用水安全状况。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县级以上地方人民政府有关部门应当至少每季度向社会公开一次饮用水安全状况信息。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第七十三条</w:t>
      </w:r>
      <w:r>
        <w:rPr>
          <w:rFonts w:hint="eastAsia" w:ascii="宋体" w:hAnsi="宋体" w:cs="Arial"/>
          <w:kern w:val="0"/>
          <w:szCs w:val="32"/>
        </w:rPr>
        <w:t>　国务院和省、自治区、直辖市人民政府根据水环境保护的需要，可以规定在饮用水水源保护区内，采取禁止或者限制使用含磷洗涤剂、化肥、农药以及限制种植养殖等措施。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第七十四条</w:t>
      </w:r>
      <w:r>
        <w:rPr>
          <w:rFonts w:hint="eastAsia" w:ascii="宋体" w:hAnsi="宋体" w:cs="Arial"/>
          <w:kern w:val="0"/>
          <w:szCs w:val="32"/>
        </w:rPr>
        <w:t>　县级以上人民政府可以对风景名胜区水体、重要渔业水体和其他具有特殊经济文化价值的水体划定保护区，并采取措施，保证保护区的水质符合规定用途的水环境质量标准。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第七十五条</w:t>
      </w:r>
      <w:r>
        <w:rPr>
          <w:rFonts w:hint="eastAsia" w:ascii="宋体" w:hAnsi="宋体" w:cs="Arial"/>
          <w:kern w:val="0"/>
          <w:szCs w:val="32"/>
        </w:rPr>
        <w:t>　在风景名胜区水体、重要渔业水体和其他具有特殊经济文化价值的水体的保护区内，不得新建排污口。在保护区附近新建排污口，应当保证保护区水体不受污染。</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水污染事故处置</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第七十六条</w:t>
      </w:r>
      <w:r>
        <w:rPr>
          <w:rFonts w:hint="eastAsia" w:ascii="宋体" w:hAnsi="宋体" w:cs="Arial"/>
          <w:kern w:val="0"/>
          <w:szCs w:val="32"/>
        </w:rPr>
        <w:t>　各级人民政府及其有关部门，可能发生水污染事故的企业事业单位，应当依照《中华人民共和国突发事件应对法》的规定，做好突发水污染事故的应急准备、应急处置和事后恢复等工作。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第七十七条</w:t>
      </w:r>
      <w:r>
        <w:rPr>
          <w:rFonts w:hint="eastAsia" w:ascii="宋体" w:hAnsi="宋体" w:cs="Arial"/>
          <w:kern w:val="0"/>
          <w:szCs w:val="32"/>
        </w:rPr>
        <w:t>　可能发生水污染事故的企业事业单位，应当制定有关水污染事故的应急方案，做好应急准备，并定期进行演练。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生产、储存危险化学品的企业事业单位，应当采取措施，防止在处理安全生产事故过程中产生的可能严重污染水体的消防废水、废液直接排入水体。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第七十八条</w:t>
      </w:r>
      <w:r>
        <w:rPr>
          <w:rFonts w:hint="eastAsia" w:ascii="宋体" w:hAnsi="宋体" w:cs="Arial"/>
          <w:kern w:val="0"/>
          <w:szCs w:val="32"/>
        </w:rPr>
        <w:t>　企业事业单位发生事故或者其他突发性事件，造成或者可能造成水污染事故的，应当立即启动本单位的应急方案，采取隔离等应急措施，防止水污染物进入水体，并向事故发生地的县级以上地方人民政府或者环境保护主管部门报告。环境保护主管部门接到报告后，应当及时向本级人民政府报告，并抄送有关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造成渔业污染事故或者渔业船舶造成水污染事故的，应当向事故发生地的渔业主管部门报告，接受调查处理。其他船舶造成水污染事故的，应当向事故发生地的海事管理机构报告，接受调查处理；给渔业造成损害的，海事管理机构应当通知渔业主管部门参与调查处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第七十九条</w:t>
      </w:r>
      <w:r>
        <w:rPr>
          <w:rFonts w:hint="eastAsia" w:ascii="宋体" w:hAnsi="宋体" w:cs="Arial"/>
          <w:kern w:val="0"/>
          <w:szCs w:val="32"/>
        </w:rPr>
        <w:t>　市、县级人民政府应当组织编制饮用水安全突发事件应急预案。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饮用水供水单位应当根据所在地饮用水安全突发事件应急预案，制定相应的突发事件应急方案，报所在地市、县级人民政府备案，并定期进行演练。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饮用水水源发生水污染事故，或者发生其他可能影响饮用水安全的突发性事件，饮用水供水单位应当采取应急处理措施，向所在地市、县级人民政府报告，并向社会公开。有关人民政府应当根据情况及时启动应急预案，采取有效措施，保障供水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第八十条</w:t>
      </w:r>
      <w:r>
        <w:rPr>
          <w:rFonts w:hint="eastAsia" w:ascii="宋体" w:hAnsi="宋体" w:cs="Arial"/>
          <w:kern w:val="0"/>
          <w:szCs w:val="32"/>
        </w:rPr>
        <w:t>　环境保护主管部门或者其他依照本法规定行使监督管理权的部门，不依法作出行政许可或者办理批准文件的，发现违法行为或者接到对违法行为的举报后不予查处的，或者有其他未依照本法规定履行职责的行为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第八十一条</w:t>
      </w:r>
      <w:r>
        <w:rPr>
          <w:rFonts w:hint="eastAsia" w:ascii="宋体" w:hAnsi="宋体" w:cs="Arial"/>
          <w:kern w:val="0"/>
          <w:szCs w:val="32"/>
        </w:rPr>
        <w:t>　以拖延、围堵、滞留执法人员等方式拒绝、阻挠环境保护主管部门或者其他依照本法规定行使监督管理权的部门的监督检查，或者在接受监督检查时弄虚作假的，由县级以上人民政府环境保护主管部门或者其他依照本法规定行使监督管理权的部门责令改正，处二万元以上二十万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第八十二条</w:t>
      </w:r>
      <w:r>
        <w:rPr>
          <w:rFonts w:hint="eastAsia" w:ascii="宋体" w:hAnsi="宋体" w:cs="Arial"/>
          <w:kern w:val="0"/>
          <w:szCs w:val="32"/>
        </w:rPr>
        <w:t>　违反本法规定，有下列行为之一的，由县级以上人民政府环境保护主管部门责令限期改正，处二万元以上二十万元以下的罚款；逾期不改正的，责令停产整治: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（一）未按照规定对所排放的水污染物自行监测，或者未保存原始监测记录的；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（二）未按照规定安装水污染物排放自动监测设备，未按照规定与环境保护主管部门的监控设备联网，或者未保证监测设备正常运行的；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（三）未按照规定对有毒有害水污染物的排污口和周边环境进行监测，或者未公开有毒有害水污染物信息的。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第八十三条</w:t>
      </w:r>
      <w:r>
        <w:rPr>
          <w:rFonts w:hint="eastAsia" w:ascii="宋体" w:hAnsi="宋体" w:cs="Arial"/>
          <w:kern w:val="0"/>
          <w:szCs w:val="32"/>
        </w:rPr>
        <w:t>　违反本法规定，有下列行为之一的，由县级以上人民政府环境保护主管部门责令改正或者责令限制生产、停产整治，并处十万元以上一百万元以下的罚款；情节严重的，报经有批准权的人民政府批准，责令停业、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（一）未依法取得排污许可证排放水污染物的；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（二）超过水污染物排放标准或者超过重点水污染物排放总量控制指标排放水污染物的；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（三）利用渗井、渗坑、裂隙、溶洞，私设暗管，篡改、伪造监测数据，或者不正常运行水污染防治设施等逃避监管的方式排放水污染物的；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（四）未按照规定进行预处理，向污水集中处理设施排放不符合处理工艺要求的工业废水的。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第八十四条</w:t>
      </w:r>
      <w:r>
        <w:rPr>
          <w:rFonts w:hint="eastAsia" w:ascii="宋体" w:hAnsi="宋体" w:cs="Arial"/>
          <w:kern w:val="0"/>
          <w:szCs w:val="32"/>
        </w:rPr>
        <w:t>　在饮用水水源保护区内设置排污口的，由县级以上地方人民政府责令限期拆除，处十万元以上五十万元以下的罚款；逾期不拆除的，强制拆除，所需费用由违法者承担，处五十万元以上一百万元以下的罚款，并可以责令停产整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除前款规定外，违反法律、行政法规和国务院环境保护主管部门的规定设置排污口的，由县级以上地方人民政府环境保护主管部门责令限期拆除，处二万元以上十万元以下的罚款；逾期不拆除的，强制拆除，所需费用由违法者承担，处十万元以上五十万元以下的罚款；情节严重的，可以责令停产整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未经水行政主管部门或者流域管理机构同意，在江河、湖泊新建、改建、扩建排污口的，由县级以上人民政府水行政主管部门或者流域管理机构依据职权，依照前款规定采取措施、给予处罚。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第八十五条</w:t>
      </w:r>
      <w:r>
        <w:rPr>
          <w:rFonts w:hint="eastAsia" w:ascii="宋体" w:hAnsi="宋体" w:cs="Arial"/>
          <w:kern w:val="0"/>
          <w:szCs w:val="32"/>
        </w:rPr>
        <w:t>　有下列行为之一的，由县级以上地方人民政府环境保护主管部门责令停止违法行为，限期采取治理措施，消除污染，处以罚款；逾期不采取治理措施的，环境保护主管部门可以指定有治理能力的单位代为治理，所需费用由违法者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（一）向水体排放油类、酸液、碱液的；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（二）向水体排放剧毒废液，或者将含有汞、镉、砷、铬、铅、氰化物、黄磷等的可溶性剧毒废渣向水体排放、倾倒或者直接埋入地下的；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（三）在水体清洗装贮过油类、有毒污染物的车辆或者容器的；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（四）向水体排放、倾倒工业废渣、城镇垃圾或者其他废弃物，或者在江河、湖泊、运河、渠道、水库最高水位线以下的滩地、岸坡堆放、存贮固体废弃物或者其他污染物的；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（五）向水体排放、倾倒放射性固体废物或者含有高放射性、中放射性物质的废水的；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（六）违反国家有关规定或者标准，向水体排放含低放射性物质的废水、热废水或者含病原体的污水的；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（七）未采取防渗漏等措施，或者未建设地下水水质监测井进行监测的；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（八）加油站等的地下油罐未使用双层罐或者采取建造防渗池等其他有效措施，或者未进行防渗漏监测的；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（九）未按照规定采取防护性措施，或者利用无防渗漏措施的沟渠、坑塘等输送或者存贮含有毒污染物的废水、含病原体的污水或者其他废弃物的。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前款第三项、第四项、第六项、第七项、第八项行为之一的，处二万元以上二十万元以下的罚款。有前款第一项、第二项、第五项、第九项行为之一的，处十万元以上一百万元以下的罚款；情节严重的，报经有批准权的人民政府批准，责令停业、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第八十六条</w:t>
      </w:r>
      <w:r>
        <w:rPr>
          <w:rFonts w:hint="eastAsia" w:ascii="宋体" w:hAnsi="宋体" w:cs="Arial"/>
          <w:kern w:val="0"/>
          <w:szCs w:val="32"/>
        </w:rPr>
        <w:t>　违反本法规定，生产、销售、进口或者使用列入禁止生产、销售、进口、使用的严重污染水环境的设备名录中的设备，或者采用列入禁止采用的严重污染水环境的工艺名录中的工艺的，由县级以上人民政府经济综合宏观调控部门责令改正，处五万元以上二十万元以下的罚款；情节严重的，由县级以上人民政府经济综合宏观调控部门提出意见，报请本级人民政府责令停业、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第八十七条</w:t>
      </w:r>
      <w:r>
        <w:rPr>
          <w:rFonts w:hint="eastAsia" w:ascii="宋体" w:hAnsi="宋体" w:cs="Arial"/>
          <w:kern w:val="0"/>
          <w:szCs w:val="32"/>
        </w:rPr>
        <w:t>　违反本法规定，建设不符合国家产业政策的小型造纸、制革、印染、染料、炼焦、炼硫、炼砷、炼汞、炼油、电镀、农药、石棉、水泥、玻璃、钢铁、火电以及其他严重污染水环境的生产项目的，由所在地的市、县人民政府责令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第八十八条</w:t>
      </w:r>
      <w:r>
        <w:rPr>
          <w:rFonts w:hint="eastAsia" w:ascii="宋体" w:hAnsi="宋体" w:cs="Arial"/>
          <w:kern w:val="0"/>
          <w:szCs w:val="32"/>
        </w:rPr>
        <w:t>　城镇污水集中处理设施的运营单位或者污泥处理处置单位，处理处置后的污泥不符合国家标准，或者对污泥去向等未进行记录的，由城镇排水主管部门责令限期采取治理措施，给予警告；造成严重后果的，处十万元以上二十万元以下的罚款；逾期不采取治理措施的，城镇排水主管部门可以指定有治理能力的单位代为治理，所需费用由违法者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第八十九条</w:t>
      </w:r>
      <w:r>
        <w:rPr>
          <w:rFonts w:hint="eastAsia" w:ascii="宋体" w:hAnsi="宋体" w:cs="Arial"/>
          <w:kern w:val="0"/>
          <w:szCs w:val="32"/>
        </w:rPr>
        <w:t>　船舶未配置相应的防污染设备和器材，或者未持有合法有效的防止水域环境污染的证书与文书的，由海事管理机构、渔业主管部门按照职责分工责令限期改正，处二千元以上二万元以下的罚款；逾期不改正的，责令船舶临时停航。</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船舶进行涉及污染物排放的作业，未遵守操作规程或者未在相应的记录簿上如实记载的，由海事管理机构、渔业主管部门按照职责分工责令改正，处二千元以上二万元以下的罚款。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第九十条</w:t>
      </w:r>
      <w:r>
        <w:rPr>
          <w:rFonts w:hint="eastAsia" w:ascii="宋体" w:hAnsi="宋体" w:cs="Arial"/>
          <w:kern w:val="0"/>
          <w:szCs w:val="32"/>
        </w:rPr>
        <w:t>　违反本法规定，有下列行为之一的，由海事管理机构、渔业主管部门按照职责分工责令停止违法行为，处一万元以上十万元以下的罚款；造成水污染的，责令限期采取治理措施，消除污染，处二万元以上二十万元以下的罚款；逾期不采取治理措施的，海事管理机构、渔业主管部门按照职责分工可以指定有治理能力的单位代为治理，所需费用由船舶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（一）向水体倾倒船舶垃圾或者排放船舶的残油、废油的；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（二）未经作业地海事管理机构批准，船舶进行散装液体污染危害性货物的过驳作业的；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（三）船舶及有关作业单位从事有污染风险的作业活动，未按照规定采取污染防治措施的；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（四）以冲滩方式进行船舶拆解的；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（五）进入中华人民共和国内河的国际航线船舶，排放不符合规定的船舶压载水的。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第九十一条</w:t>
      </w:r>
      <w:r>
        <w:rPr>
          <w:rFonts w:hint="eastAsia" w:ascii="宋体" w:hAnsi="宋体" w:cs="Arial"/>
          <w:kern w:val="0"/>
          <w:szCs w:val="32"/>
        </w:rPr>
        <w:t>　有下列行为之一的，由县级以上地方人民政府环境保护主管部门责令停止违法行为，处十万元以上五十万元以下的罚款；并报经有批准权的人民政府批准，责令拆除或者关闭: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（一）在饮用水水源一级保护区内新建、改建、扩建与供水设施和保护水源无关的建设项目的；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（二）在饮用水水源二级保护区内新建、改建、扩建排放污染物的建设项目的；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（三）在饮用水水源准保护区内新建、扩建对水体污染严重的建设项目，或者改建建设项目增加排污量的。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饮用水水源一级保护区内从事网箱养殖或者组织进行旅游、垂钓或者其他可能污染饮用水水体的活动的，由县级以上地方人民政府环境保护主管部门责令停止违法行为，处二万元以上十万元以下的罚款。个人在饮用水水源一级保护区内游泳、垂钓或者从事其他可能污染饮用水水体的活动的，由县级以上地方人民政府环境保护主管部门责令停止违法行为，可以处五百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第九十二条</w:t>
      </w:r>
      <w:r>
        <w:rPr>
          <w:rFonts w:hint="eastAsia" w:ascii="宋体" w:hAnsi="宋体" w:cs="Arial"/>
          <w:kern w:val="0"/>
          <w:szCs w:val="32"/>
        </w:rPr>
        <w:t>　饮用水供水单位供水水质不符合国家规定标准的，由所在地市、县级人民政府供水主管部门责令改正，处二万元以上二十万元以下的罚款；情节严重的，报经有批准权的人民政府批准，可以责令停业整顿；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第九十三条</w:t>
      </w:r>
      <w:r>
        <w:rPr>
          <w:rFonts w:hint="eastAsia" w:ascii="宋体" w:hAnsi="宋体" w:cs="Arial"/>
          <w:kern w:val="0"/>
          <w:szCs w:val="32"/>
        </w:rPr>
        <w:t>　企业事业单位有下列行为之一的，由县级以上人民政府环境保护主管部门责令改正；情节严重的，处二万元以上十万元以下的罚款: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（一）不按照规定制定水污染事故的应急方案的；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（二）水污染事故发生后，未及时启动水污染事故的应急方案，采取有关应急措施的。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第九十四条</w:t>
      </w:r>
      <w:r>
        <w:rPr>
          <w:rFonts w:hint="eastAsia" w:ascii="宋体" w:hAnsi="宋体" w:cs="Arial"/>
          <w:kern w:val="0"/>
          <w:szCs w:val="32"/>
        </w:rPr>
        <w:t>　企业事业单位违反本法规定，造成水污染事故的，除依法承担赔偿责任外，由县级以上人民政府环境保护主管部门依照本条第二款的规定处以罚款，责令限期采取治理措施，消除污染；未按照要求采取治理措施或者不具备治理能力的，由环境保护主管部门指定有治理能力的单位代为治理，所需费用由违法者承担；对造成重大或者特大水污染事故的，还可以报经有批准权的人民政府批准，责令关闭；对直接负责的主管人员和其他直接责任人员可以处上一年度从本单位取得的收入百分之五十以下的罚款；有《中华人民共和国环境保护法》第六十三条规定的违法排放水污染物等行为之一，尚不构成犯罪的，由公安机关对直接负责的主管人员和其他直接责任人员处十日以上十五日以下的拘留；情节较轻的，处五日以上十日以下的拘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对造成一般或者较大水污染事故的，按照水污染事故造成的直接损失的百分之二十计算罚款；对造成重大或者特大水污染事故的，按照水污染事故造成的直接损失的百分之三十计算罚款。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造成渔业污染事故或者渔业船舶造成水污染事故的，由渔业主管部门进行处罚；其他船舶造成水污染事故的，由海事管理机构进行处罚。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第九十五条</w:t>
      </w:r>
      <w:r>
        <w:rPr>
          <w:rFonts w:hint="eastAsia" w:ascii="宋体" w:hAnsi="宋体" w:cs="Arial"/>
          <w:kern w:val="0"/>
          <w:szCs w:val="32"/>
        </w:rPr>
        <w:t>　企业事业单位和其他生产经营者违法排放水污染物，受到罚款处罚，被责令改正的，依法作出处罚决定的行政机关应当组织复查，发现其继续违法排放水污染物或者拒绝、阻挠复查的，依照《中华人民共和国环境保护法》的规定按日连续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第九十六条</w:t>
      </w:r>
      <w:r>
        <w:rPr>
          <w:rFonts w:hint="eastAsia" w:ascii="宋体" w:hAnsi="宋体" w:cs="Arial"/>
          <w:kern w:val="0"/>
          <w:szCs w:val="32"/>
        </w:rPr>
        <w:t>　因水污染受到损害的当事人，有权要求排污方排除危害和赔偿损失。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由于不可抗力造成水污染损害的，排污方不承担赔偿责任；法律另有规定的除外。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水污染损害是由受害人故意造成的，排污方不承担赔偿责任。水污染损害是由受害人重大过失造成的，可以减轻排污方的赔偿责任。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水污染损害是由第三人造成的，排污方承担赔偿责任后，有权向第三人追偿。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第九十七条</w:t>
      </w:r>
      <w:r>
        <w:rPr>
          <w:rFonts w:hint="eastAsia" w:ascii="宋体" w:hAnsi="宋体" w:cs="Arial"/>
          <w:kern w:val="0"/>
          <w:szCs w:val="32"/>
        </w:rPr>
        <w:t>　因水污染引起的损害赔偿责任和赔偿金额的纠纷，可以根据当事人的请求，由环境保护主管部门或者海事管理机构、渔业主管部门按照职责分工调解处理；调解不成的，当事人可以向人民法院提起诉讼。当事人也可以直接向人民法院提起诉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第九十八条</w:t>
      </w:r>
      <w:r>
        <w:rPr>
          <w:rFonts w:hint="eastAsia" w:ascii="宋体" w:hAnsi="宋体" w:cs="Arial"/>
          <w:kern w:val="0"/>
          <w:szCs w:val="32"/>
        </w:rPr>
        <w:t>　因水污染引起的损害赔偿诉讼，由排污方就法律规定的免责事由及其行为与损害结果之间不存在因果关系承担举证责任。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第九十九条</w:t>
      </w:r>
      <w:r>
        <w:rPr>
          <w:rFonts w:hint="eastAsia" w:ascii="宋体" w:hAnsi="宋体" w:cs="Arial"/>
          <w:kern w:val="0"/>
          <w:szCs w:val="32"/>
        </w:rPr>
        <w:t>　因水污染受到损害的当事人人数众多的，可以依法由当事人推选代表人进行共同诉讼。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环境保护主管部门和有关社会团体可以依法支持因水污染受到损害的当事人向人民法院提起诉讼。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国家鼓励法律服务机构和律师为水污染损害诉讼中的受害人提供法律援助。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第一百条</w:t>
      </w:r>
      <w:r>
        <w:rPr>
          <w:rFonts w:hint="eastAsia" w:ascii="宋体" w:hAnsi="宋体" w:cs="Arial"/>
          <w:kern w:val="0"/>
          <w:szCs w:val="32"/>
        </w:rPr>
        <w:t>　因水污染引起的损害赔偿责任和赔偿金额的纠纷，当事人可以委托环境监测机构提供监测数据。环境监测机构应当接受委托，如实提供有关监测数据。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第一百零一条</w:t>
      </w:r>
      <w:r>
        <w:rPr>
          <w:rFonts w:hint="eastAsia" w:ascii="宋体" w:hAnsi="宋体" w:cs="Arial"/>
          <w:kern w:val="0"/>
          <w:szCs w:val="32"/>
        </w:rPr>
        <w:t>　违反本法规定，构成犯罪的，依法追究刑事责任。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第一百零二条</w:t>
      </w:r>
      <w:r>
        <w:rPr>
          <w:rFonts w:hint="eastAsia" w:ascii="宋体" w:hAnsi="宋体" w:cs="Arial"/>
          <w:kern w:val="0"/>
          <w:szCs w:val="32"/>
        </w:rPr>
        <w:t>　本法中下列用语的含义: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（一）水污染，是指水体因某种物质的介入，而导致其化学、物理、生物或者放射性等方面特性的改变，从而影响水的有效利用，危害人体健康或者破坏生态环境，造成水质恶化的现象。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（二）水污染物，是指直接或者间接向水体排放的，能导致水体污染的物质。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（三）有毒污染物，是指那些直接或者间接被生物摄入体内后，可能导致该生物或者其后代发病、行为反常、遗传异变、生理机能失常、机体变形或者死亡的污染物。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（四）污泥，是指污水处理过程中产生的半固态或者固态物质。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（五）渔业水体，是指划定的鱼虾类的产卵场、索饵场、越冬场、洄游通道和鱼虾贝藻类的养殖场的水体。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第一百零三条</w:t>
      </w:r>
      <w:r>
        <w:rPr>
          <w:rFonts w:hint="eastAsia" w:ascii="宋体" w:hAnsi="宋体" w:cs="Arial"/>
          <w:kern w:val="0"/>
          <w:szCs w:val="32"/>
        </w:rPr>
        <w:t>　本法自2008年6月1日起施行。</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rPr>
          <w:rFonts w:hint="eastAsia" w:ascii="宋体" w:hAnsi="宋体" w:eastAsia="宋体" w:cs="Arial"/>
          <w:kern w:val="0"/>
          <w:szCs w:val="32"/>
        </w:rPr>
      </w:pPr>
    </w:p>
    <w:p>
      <w:pPr>
        <w:rPr>
          <w:rFonts w:hint="eastAsia" w:ascii="宋体" w:hAnsi="宋体" w:eastAsia="宋体" w:cs="Arial"/>
          <w:kern w:val="0"/>
          <w:szCs w:val="32"/>
        </w:rPr>
      </w:pPr>
    </w:p>
    <w:p>
      <w:pPr>
        <w:jc w:val="center"/>
        <w:rPr>
          <w:rFonts w:hint="eastAsia" w:ascii="宋体" w:hAnsi="宋体" w:eastAsia="宋体" w:cs="Arial"/>
          <w:bCs/>
          <w:sz w:val="44"/>
          <w:szCs w:val="44"/>
        </w:rPr>
      </w:pPr>
      <w:r>
        <w:rPr>
          <w:rFonts w:ascii="宋体" w:hAnsi="宋体" w:eastAsia="宋体" w:cs="Arial"/>
          <w:bCs/>
          <w:sz w:val="44"/>
          <w:szCs w:val="44"/>
        </w:rPr>
        <w:t>中华人民共和国固体废物污染环境防治法</w:t>
      </w:r>
    </w:p>
    <w:p>
      <w:pPr>
        <w:ind w:firstLine="640" w:firstLineChars="200"/>
        <w:rPr>
          <w:rFonts w:hint="eastAsia" w:ascii="宋体" w:hAnsi="宋体" w:eastAsia="宋体" w:cs="Arial"/>
          <w:szCs w:val="32"/>
        </w:rPr>
      </w:pPr>
    </w:p>
    <w:p>
      <w:pPr>
        <w:spacing w:line="560" w:lineRule="exact"/>
        <w:ind w:left="640" w:leftChars="200" w:right="640" w:rightChars="200"/>
        <w:rPr>
          <w:rFonts w:hint="eastAsia" w:ascii="楷体_GB2312" w:eastAsia="楷体_GB2312"/>
          <w:szCs w:val="32"/>
        </w:rPr>
      </w:pPr>
      <w:r>
        <w:rPr>
          <w:rFonts w:hint="eastAsia" w:ascii="楷体_GB2312" w:hAnsi="Arial" w:eastAsia="楷体_GB2312" w:cs="Arial"/>
          <w:color w:val="auto"/>
          <w:szCs w:val="32"/>
        </w:rPr>
        <w:t>（</w:t>
      </w:r>
      <w:r>
        <w:rPr>
          <w:rFonts w:hint="default" w:ascii="Times New Roman" w:hAnsi="Times New Roman" w:eastAsia="楷体" w:cs="Times New Roman"/>
          <w:color w:val="auto"/>
          <w:sz w:val="32"/>
          <w:szCs w:val="32"/>
          <w:shd w:val="clear" w:color="040000" w:fill="FFFFFF"/>
        </w:rPr>
        <w:t>1995</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10</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30</w:t>
      </w:r>
      <w:r>
        <w:rPr>
          <w:rFonts w:hint="eastAsia" w:ascii="楷体" w:hAnsi="楷体" w:eastAsia="楷体" w:cs="楷体"/>
          <w:color w:val="auto"/>
          <w:sz w:val="32"/>
          <w:szCs w:val="32"/>
          <w:shd w:val="clear" w:color="040000" w:fill="FFFFFF"/>
        </w:rPr>
        <w:t>日第八届全国人民代表大会常务委员会第十六次会议通过　</w:t>
      </w:r>
      <w:r>
        <w:rPr>
          <w:rFonts w:hint="default" w:ascii="Times New Roman" w:hAnsi="Times New Roman" w:eastAsia="楷体" w:cs="Times New Roman"/>
          <w:color w:val="auto"/>
          <w:sz w:val="32"/>
          <w:szCs w:val="32"/>
          <w:shd w:val="clear" w:color="040000" w:fill="FFFFFF"/>
        </w:rPr>
        <w:t>2004</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12</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29</w:t>
      </w:r>
      <w:r>
        <w:rPr>
          <w:rFonts w:hint="eastAsia" w:ascii="楷体" w:hAnsi="楷体" w:eastAsia="楷体" w:cs="楷体"/>
          <w:color w:val="auto"/>
          <w:sz w:val="32"/>
          <w:szCs w:val="32"/>
          <w:shd w:val="clear" w:color="040000" w:fill="FFFFFF"/>
        </w:rPr>
        <w:t>日第十届全国人民代表大会常务委员会第十三次会议第一次修订　根据</w:t>
      </w:r>
      <w:r>
        <w:rPr>
          <w:rFonts w:hint="default" w:ascii="Times New Roman" w:hAnsi="Times New Roman" w:eastAsia="楷体" w:cs="Times New Roman"/>
          <w:color w:val="auto"/>
          <w:sz w:val="32"/>
          <w:szCs w:val="32"/>
          <w:shd w:val="clear" w:color="040000" w:fill="FFFFFF"/>
        </w:rPr>
        <w:t>2013</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6</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29</w:t>
      </w:r>
      <w:r>
        <w:rPr>
          <w:rFonts w:hint="eastAsia" w:ascii="楷体" w:hAnsi="楷体" w:eastAsia="楷体" w:cs="楷体"/>
          <w:color w:val="auto"/>
          <w:sz w:val="32"/>
          <w:szCs w:val="32"/>
          <w:shd w:val="clear" w:color="040000" w:fill="FFFFFF"/>
        </w:rPr>
        <w:t>日第十二届全国人民代表大会常务委员会第三次会议《</w:t>
      </w:r>
      <w:r>
        <w:rPr>
          <w:rStyle w:val="65"/>
          <w:rFonts w:hint="eastAsia" w:ascii="楷体" w:hAnsi="楷体" w:eastAsia="楷体" w:cs="楷体"/>
          <w:color w:val="auto"/>
          <w:sz w:val="32"/>
          <w:szCs w:val="32"/>
          <w:shd w:val="clear" w:color="050000" w:fill="FFFFFF"/>
        </w:rPr>
        <w:fldChar w:fldCharType="begin"/>
      </w:r>
      <w:r>
        <w:rPr>
          <w:rStyle w:val="65"/>
          <w:rFonts w:hint="eastAsia" w:ascii="楷体" w:hAnsi="楷体" w:eastAsia="楷体" w:cs="楷体"/>
          <w:color w:val="auto"/>
          <w:sz w:val="32"/>
          <w:szCs w:val="32"/>
          <w:shd w:val="clear" w:color="050000" w:fill="FFFFFF"/>
        </w:rPr>
        <w:instrText xml:space="preserve"> HYPERLINK "http://fagui.pkulaw.cn:18080/javascript:SLC(205890,0)" </w:instrText>
      </w:r>
      <w:r>
        <w:rPr>
          <w:rStyle w:val="65"/>
          <w:rFonts w:hint="eastAsia" w:ascii="楷体" w:hAnsi="楷体" w:eastAsia="楷体" w:cs="楷体"/>
          <w:color w:val="auto"/>
          <w:sz w:val="32"/>
          <w:szCs w:val="32"/>
          <w:shd w:val="clear" w:color="050000" w:fill="FFFFFF"/>
        </w:rPr>
        <w:fldChar w:fldCharType="separate"/>
      </w:r>
      <w:r>
        <w:rPr>
          <w:rStyle w:val="27"/>
          <w:rFonts w:hint="eastAsia" w:ascii="楷体" w:hAnsi="楷体" w:eastAsia="楷体" w:cs="楷体"/>
          <w:color w:val="auto"/>
          <w:sz w:val="32"/>
          <w:szCs w:val="32"/>
          <w:shd w:val="clear" w:color="050000" w:fill="FFFFFF"/>
        </w:rPr>
        <w:t>关于修改〈中华人民共和国文物保护法〉等十二部法律的决定</w:t>
      </w:r>
      <w:r>
        <w:rPr>
          <w:rStyle w:val="65"/>
          <w:rFonts w:hint="eastAsia" w:ascii="楷体" w:hAnsi="楷体" w:eastAsia="楷体" w:cs="楷体"/>
          <w:color w:val="auto"/>
          <w:sz w:val="32"/>
          <w:szCs w:val="32"/>
          <w:shd w:val="clear" w:color="050000" w:fill="FFFFFF"/>
        </w:rPr>
        <w:fldChar w:fldCharType="end"/>
      </w:r>
      <w:r>
        <w:rPr>
          <w:rFonts w:hint="eastAsia" w:ascii="楷体" w:hAnsi="楷体" w:eastAsia="楷体" w:cs="楷体"/>
          <w:color w:val="auto"/>
          <w:sz w:val="32"/>
          <w:szCs w:val="32"/>
          <w:shd w:val="clear" w:color="040000" w:fill="FFFFFF"/>
        </w:rPr>
        <w:t>》第一次修正　根据</w:t>
      </w:r>
      <w:r>
        <w:rPr>
          <w:rFonts w:hint="default" w:ascii="Times New Roman" w:hAnsi="Times New Roman" w:eastAsia="楷体" w:cs="Times New Roman"/>
          <w:color w:val="auto"/>
          <w:sz w:val="32"/>
          <w:szCs w:val="32"/>
          <w:shd w:val="clear" w:color="040000" w:fill="FFFFFF"/>
        </w:rPr>
        <w:t>2015</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4</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24</w:t>
      </w:r>
      <w:r>
        <w:rPr>
          <w:rFonts w:hint="eastAsia" w:ascii="楷体" w:hAnsi="楷体" w:eastAsia="楷体" w:cs="楷体"/>
          <w:color w:val="auto"/>
          <w:sz w:val="32"/>
          <w:szCs w:val="32"/>
          <w:shd w:val="clear" w:color="040000" w:fill="FFFFFF"/>
        </w:rPr>
        <w:t>日第十二届全国人民代表大会常务委员会第十四次会议《</w:t>
      </w:r>
      <w:r>
        <w:rPr>
          <w:rStyle w:val="65"/>
          <w:rFonts w:hint="eastAsia" w:ascii="楷体" w:hAnsi="楷体" w:eastAsia="楷体" w:cs="楷体"/>
          <w:color w:val="auto"/>
          <w:sz w:val="32"/>
          <w:szCs w:val="32"/>
          <w:shd w:val="clear" w:color="050000" w:fill="FFFFFF"/>
        </w:rPr>
        <w:fldChar w:fldCharType="begin"/>
      </w:r>
      <w:r>
        <w:rPr>
          <w:rStyle w:val="65"/>
          <w:rFonts w:hint="eastAsia" w:ascii="楷体" w:hAnsi="楷体" w:eastAsia="楷体" w:cs="楷体"/>
          <w:color w:val="auto"/>
          <w:sz w:val="32"/>
          <w:szCs w:val="32"/>
          <w:shd w:val="clear" w:color="050000" w:fill="FFFFFF"/>
        </w:rPr>
        <w:instrText xml:space="preserve"> HYPERLINK "http://fagui.pkulaw.cn:18080/javascript:SLC(247406,0)" </w:instrText>
      </w:r>
      <w:r>
        <w:rPr>
          <w:rStyle w:val="65"/>
          <w:rFonts w:hint="eastAsia" w:ascii="楷体" w:hAnsi="楷体" w:eastAsia="楷体" w:cs="楷体"/>
          <w:color w:val="auto"/>
          <w:sz w:val="32"/>
          <w:szCs w:val="32"/>
          <w:shd w:val="clear" w:color="050000" w:fill="FFFFFF"/>
        </w:rPr>
        <w:fldChar w:fldCharType="separate"/>
      </w:r>
      <w:r>
        <w:rPr>
          <w:rStyle w:val="27"/>
          <w:rFonts w:hint="eastAsia" w:ascii="楷体" w:hAnsi="楷体" w:eastAsia="楷体" w:cs="楷体"/>
          <w:color w:val="auto"/>
          <w:sz w:val="32"/>
          <w:szCs w:val="32"/>
          <w:shd w:val="clear" w:color="050000" w:fill="FFFFFF"/>
        </w:rPr>
        <w:t>关于修改〈中华人民共和国港口法〉等七部法律的决定</w:t>
      </w:r>
      <w:r>
        <w:rPr>
          <w:rStyle w:val="65"/>
          <w:rFonts w:hint="eastAsia" w:ascii="楷体" w:hAnsi="楷体" w:eastAsia="楷体" w:cs="楷体"/>
          <w:color w:val="auto"/>
          <w:sz w:val="32"/>
          <w:szCs w:val="32"/>
          <w:shd w:val="clear" w:color="050000" w:fill="FFFFFF"/>
        </w:rPr>
        <w:fldChar w:fldCharType="end"/>
      </w:r>
      <w:r>
        <w:rPr>
          <w:rFonts w:hint="eastAsia" w:ascii="楷体" w:hAnsi="楷体" w:eastAsia="楷体" w:cs="楷体"/>
          <w:color w:val="auto"/>
          <w:sz w:val="32"/>
          <w:szCs w:val="32"/>
          <w:shd w:val="clear" w:color="040000" w:fill="FFFFFF"/>
        </w:rPr>
        <w:t>》第二次修正　根据</w:t>
      </w:r>
      <w:r>
        <w:rPr>
          <w:rFonts w:hint="default" w:ascii="Times New Roman" w:hAnsi="Times New Roman" w:eastAsia="楷体" w:cs="Times New Roman"/>
          <w:color w:val="auto"/>
          <w:sz w:val="32"/>
          <w:szCs w:val="32"/>
          <w:shd w:val="clear" w:color="040000" w:fill="FFFFFF"/>
        </w:rPr>
        <w:t>2016</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11</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7</w:t>
      </w:r>
      <w:r>
        <w:rPr>
          <w:rFonts w:hint="eastAsia" w:ascii="楷体" w:hAnsi="楷体" w:eastAsia="楷体" w:cs="楷体"/>
          <w:color w:val="auto"/>
          <w:sz w:val="32"/>
          <w:szCs w:val="32"/>
          <w:shd w:val="clear" w:color="040000" w:fill="FFFFFF"/>
        </w:rPr>
        <w:t>日第十二届全国人民代表大会常务委员会第二十四次会议《</w:t>
      </w:r>
      <w:r>
        <w:rPr>
          <w:rStyle w:val="65"/>
          <w:rFonts w:hint="eastAsia" w:ascii="楷体" w:hAnsi="楷体" w:eastAsia="楷体" w:cs="楷体"/>
          <w:color w:val="auto"/>
          <w:sz w:val="32"/>
          <w:szCs w:val="32"/>
          <w:shd w:val="clear" w:color="050000" w:fill="FFFFFF"/>
        </w:rPr>
        <w:fldChar w:fldCharType="begin"/>
      </w:r>
      <w:r>
        <w:rPr>
          <w:rStyle w:val="65"/>
          <w:rFonts w:hint="eastAsia" w:ascii="楷体" w:hAnsi="楷体" w:eastAsia="楷体" w:cs="楷体"/>
          <w:color w:val="auto"/>
          <w:sz w:val="32"/>
          <w:szCs w:val="32"/>
          <w:shd w:val="clear" w:color="050000" w:fill="FFFFFF"/>
        </w:rPr>
        <w:instrText xml:space="preserve"> HYPERLINK "http://fagui.pkulaw.cn:18080/javascript:SLC(283837,0)" </w:instrText>
      </w:r>
      <w:r>
        <w:rPr>
          <w:rStyle w:val="65"/>
          <w:rFonts w:hint="eastAsia" w:ascii="楷体" w:hAnsi="楷体" w:eastAsia="楷体" w:cs="楷体"/>
          <w:color w:val="auto"/>
          <w:sz w:val="32"/>
          <w:szCs w:val="32"/>
          <w:shd w:val="clear" w:color="050000" w:fill="FFFFFF"/>
        </w:rPr>
        <w:fldChar w:fldCharType="separate"/>
      </w:r>
      <w:r>
        <w:rPr>
          <w:rStyle w:val="27"/>
          <w:rFonts w:hint="eastAsia" w:ascii="楷体" w:hAnsi="楷体" w:eastAsia="楷体" w:cs="楷体"/>
          <w:color w:val="auto"/>
          <w:sz w:val="32"/>
          <w:szCs w:val="32"/>
          <w:shd w:val="clear" w:color="050000" w:fill="FFFFFF"/>
        </w:rPr>
        <w:t>关于修改〈中华人民共和国对外贸易法〉等十二部法律的决定</w:t>
      </w:r>
      <w:r>
        <w:rPr>
          <w:rStyle w:val="65"/>
          <w:rFonts w:hint="eastAsia" w:ascii="楷体" w:hAnsi="楷体" w:eastAsia="楷体" w:cs="楷体"/>
          <w:color w:val="auto"/>
          <w:sz w:val="32"/>
          <w:szCs w:val="32"/>
          <w:shd w:val="clear" w:color="050000" w:fill="FFFFFF"/>
        </w:rPr>
        <w:fldChar w:fldCharType="end"/>
      </w:r>
      <w:r>
        <w:rPr>
          <w:rFonts w:hint="eastAsia" w:ascii="楷体" w:hAnsi="楷体" w:eastAsia="楷体" w:cs="楷体"/>
          <w:color w:val="auto"/>
          <w:sz w:val="32"/>
          <w:szCs w:val="32"/>
          <w:shd w:val="clear" w:color="040000" w:fill="FFFFFF"/>
        </w:rPr>
        <w:t>》第三次修正　</w:t>
      </w:r>
      <w:r>
        <w:rPr>
          <w:rFonts w:hint="default" w:ascii="Times New Roman" w:hAnsi="Times New Roman" w:eastAsia="楷体" w:cs="Times New Roman"/>
          <w:color w:val="auto"/>
          <w:sz w:val="32"/>
          <w:szCs w:val="32"/>
          <w:shd w:val="clear" w:color="040000" w:fill="FFFFFF"/>
        </w:rPr>
        <w:t>2020</w:t>
      </w:r>
      <w:r>
        <w:rPr>
          <w:rFonts w:hint="eastAsia" w:ascii="楷体" w:hAnsi="楷体" w:eastAsia="楷体" w:cs="楷体"/>
          <w:color w:val="auto"/>
          <w:sz w:val="32"/>
          <w:szCs w:val="32"/>
          <w:shd w:val="clear" w:color="040000" w:fill="FFFFFF"/>
        </w:rPr>
        <w:t>年</w:t>
      </w:r>
      <w:r>
        <w:rPr>
          <w:rFonts w:hint="default" w:ascii="Times New Roman" w:hAnsi="Times New Roman" w:eastAsia="楷体" w:cs="Times New Roman"/>
          <w:color w:val="auto"/>
          <w:sz w:val="32"/>
          <w:szCs w:val="32"/>
          <w:shd w:val="clear" w:color="040000" w:fill="FFFFFF"/>
        </w:rPr>
        <w:t>4</w:t>
      </w:r>
      <w:r>
        <w:rPr>
          <w:rFonts w:hint="eastAsia" w:ascii="楷体" w:hAnsi="楷体" w:eastAsia="楷体" w:cs="楷体"/>
          <w:color w:val="auto"/>
          <w:sz w:val="32"/>
          <w:szCs w:val="32"/>
          <w:shd w:val="clear" w:color="040000" w:fill="FFFFFF"/>
        </w:rPr>
        <w:t>月</w:t>
      </w:r>
      <w:r>
        <w:rPr>
          <w:rFonts w:hint="default" w:ascii="Times New Roman" w:hAnsi="Times New Roman" w:eastAsia="楷体" w:cs="Times New Roman"/>
          <w:color w:val="auto"/>
          <w:sz w:val="32"/>
          <w:szCs w:val="32"/>
          <w:shd w:val="clear" w:color="040000" w:fill="FFFFFF"/>
        </w:rPr>
        <w:t>29</w:t>
      </w:r>
      <w:r>
        <w:rPr>
          <w:rFonts w:hint="eastAsia" w:ascii="楷体" w:hAnsi="楷体" w:eastAsia="楷体" w:cs="楷体"/>
          <w:color w:val="auto"/>
          <w:sz w:val="32"/>
          <w:szCs w:val="32"/>
          <w:shd w:val="clear" w:color="040000" w:fill="FFFFFF"/>
        </w:rPr>
        <w:t>日第十三届全国人民代表大会常务委员会第十七次会议第二次修订</w:t>
      </w:r>
      <w:r>
        <w:rPr>
          <w:rFonts w:hint="eastAsia" w:ascii="楷体_GB2312" w:hAnsi="Arial" w:eastAsia="楷体_GB2312" w:cs="Arial"/>
          <w:color w:val="auto"/>
          <w:szCs w:val="32"/>
        </w:rPr>
        <w:t>）</w:t>
      </w:r>
    </w:p>
    <w:p>
      <w:pPr>
        <w:spacing w:line="560" w:lineRule="exact"/>
        <w:ind w:firstLine="0"/>
        <w:jc w:val="both"/>
      </w:pPr>
    </w:p>
    <w:p>
      <w:pPr>
        <w:spacing w:line="560" w:lineRule="exact"/>
        <w:ind w:firstLine="0"/>
        <w:jc w:val="center"/>
      </w:pPr>
      <w:r>
        <w:rPr>
          <w:rFonts w:ascii="楷体_GB2312" w:hAnsi="楷体_GB2312" w:eastAsia="楷体_GB2312" w:cs="楷体_GB2312"/>
          <w:sz w:val="32"/>
        </w:rPr>
        <w:t>目</w:t>
      </w:r>
      <w:r>
        <w:rPr>
          <w:rFonts w:hint="eastAsia" w:ascii="楷体_GB2312" w:hAnsi="楷体_GB2312" w:eastAsia="楷体_GB2312" w:cs="楷体_GB2312"/>
          <w:sz w:val="32"/>
          <w:lang w:eastAsia="zh-CN"/>
        </w:rPr>
        <w:t>　　</w:t>
      </w:r>
      <w:r>
        <w:rPr>
          <w:rFonts w:ascii="楷体_GB2312" w:hAnsi="楷体_GB2312" w:eastAsia="楷体_GB2312" w:cs="楷体_GB2312"/>
          <w:sz w:val="32"/>
        </w:rPr>
        <w:t>录</w:t>
      </w:r>
    </w:p>
    <w:p>
      <w:pPr>
        <w:spacing w:line="560" w:lineRule="exact"/>
        <w:ind w:firstLine="640"/>
        <w:jc w:val="both"/>
      </w:pPr>
      <w:r>
        <w:rPr>
          <w:rFonts w:ascii="楷体_GB2312" w:hAnsi="楷体_GB2312" w:eastAsia="楷体_GB2312" w:cs="楷体_GB2312"/>
          <w:sz w:val="32"/>
        </w:rPr>
        <w:t>第一章  总则</w:t>
      </w:r>
    </w:p>
    <w:p>
      <w:pPr>
        <w:spacing w:line="560" w:lineRule="exact"/>
        <w:ind w:firstLine="640"/>
        <w:jc w:val="both"/>
      </w:pPr>
      <w:r>
        <w:rPr>
          <w:rFonts w:ascii="楷体_GB2312" w:hAnsi="楷体_GB2312" w:eastAsia="楷体_GB2312" w:cs="楷体_GB2312"/>
          <w:sz w:val="32"/>
        </w:rPr>
        <w:t>第二章  监督管理</w:t>
      </w:r>
    </w:p>
    <w:p>
      <w:pPr>
        <w:spacing w:line="560" w:lineRule="exact"/>
        <w:ind w:firstLine="640"/>
        <w:jc w:val="both"/>
      </w:pPr>
      <w:r>
        <w:rPr>
          <w:rFonts w:ascii="楷体_GB2312" w:hAnsi="楷体_GB2312" w:eastAsia="楷体_GB2312" w:cs="楷体_GB2312"/>
          <w:sz w:val="32"/>
        </w:rPr>
        <w:t>第三章  工业固体废物</w:t>
      </w:r>
    </w:p>
    <w:p>
      <w:pPr>
        <w:spacing w:line="560" w:lineRule="exact"/>
        <w:ind w:firstLine="640"/>
        <w:jc w:val="both"/>
      </w:pPr>
      <w:r>
        <w:rPr>
          <w:rFonts w:ascii="楷体_GB2312" w:hAnsi="楷体_GB2312" w:eastAsia="楷体_GB2312" w:cs="楷体_GB2312"/>
          <w:sz w:val="32"/>
        </w:rPr>
        <w:t>第四章  生活垃圾</w:t>
      </w:r>
    </w:p>
    <w:p>
      <w:pPr>
        <w:spacing w:line="560" w:lineRule="exact"/>
        <w:ind w:firstLine="640"/>
        <w:jc w:val="both"/>
      </w:pPr>
      <w:r>
        <w:rPr>
          <w:rFonts w:ascii="楷体_GB2312" w:hAnsi="楷体_GB2312" w:eastAsia="楷体_GB2312" w:cs="楷体_GB2312"/>
          <w:sz w:val="32"/>
        </w:rPr>
        <w:t>第五章  建筑垃圾、农业固体废物等</w:t>
      </w:r>
    </w:p>
    <w:p>
      <w:pPr>
        <w:spacing w:line="560" w:lineRule="exact"/>
        <w:ind w:firstLine="640"/>
        <w:jc w:val="both"/>
      </w:pPr>
      <w:r>
        <w:rPr>
          <w:rFonts w:ascii="楷体_GB2312" w:hAnsi="楷体_GB2312" w:eastAsia="楷体_GB2312" w:cs="楷体_GB2312"/>
          <w:sz w:val="32"/>
        </w:rPr>
        <w:t>第六章  危险废物</w:t>
      </w:r>
    </w:p>
    <w:p>
      <w:pPr>
        <w:spacing w:line="560" w:lineRule="exact"/>
        <w:ind w:firstLine="640"/>
        <w:jc w:val="both"/>
      </w:pPr>
      <w:r>
        <w:rPr>
          <w:rFonts w:ascii="楷体_GB2312" w:hAnsi="楷体_GB2312" w:eastAsia="楷体_GB2312" w:cs="楷体_GB2312"/>
          <w:sz w:val="32"/>
        </w:rPr>
        <w:t>第七章  保障措施</w:t>
      </w:r>
    </w:p>
    <w:p>
      <w:pPr>
        <w:spacing w:line="560" w:lineRule="exact"/>
        <w:ind w:firstLine="640"/>
        <w:jc w:val="both"/>
      </w:pPr>
      <w:r>
        <w:rPr>
          <w:rFonts w:ascii="楷体_GB2312" w:hAnsi="楷体_GB2312" w:eastAsia="楷体_GB2312" w:cs="楷体_GB2312"/>
          <w:sz w:val="32"/>
        </w:rPr>
        <w:t>第八章  法律责任</w:t>
      </w:r>
    </w:p>
    <w:p>
      <w:pPr>
        <w:spacing w:line="560" w:lineRule="exact"/>
        <w:ind w:firstLine="640"/>
        <w:jc w:val="both"/>
      </w:pPr>
      <w:r>
        <w:rPr>
          <w:rFonts w:ascii="楷体_GB2312" w:hAnsi="楷体_GB2312" w:eastAsia="楷体_GB2312" w:cs="楷体_GB2312"/>
          <w:sz w:val="32"/>
        </w:rPr>
        <w:t>第九章  附则</w:t>
      </w:r>
    </w:p>
    <w:p>
      <w:pPr>
        <w:spacing w:line="560" w:lineRule="exact"/>
        <w:ind w:firstLine="0"/>
        <w:jc w:val="both"/>
      </w:pPr>
    </w:p>
    <w:p>
      <w:pPr>
        <w:spacing w:line="560" w:lineRule="exact"/>
        <w:ind w:firstLine="0"/>
        <w:jc w:val="center"/>
      </w:pPr>
    </w:p>
    <w:p>
      <w:pPr>
        <w:spacing w:line="560" w:lineRule="exact"/>
        <w:ind w:firstLine="0"/>
        <w:jc w:val="center"/>
      </w:pPr>
      <w:r>
        <w:rPr>
          <w:rFonts w:ascii="黑体" w:hAnsi="黑体" w:eastAsia="黑体" w:cs="黑体"/>
          <w:sz w:val="32"/>
        </w:rPr>
        <w:t>第一章  总则</w:t>
      </w:r>
    </w:p>
    <w:p>
      <w:pPr>
        <w:spacing w:line="560" w:lineRule="exact"/>
        <w:ind w:firstLine="0"/>
        <w:jc w:val="center"/>
      </w:pP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xml:space="preserve">  为了保护和改善生态环境，防治固体废物污染环境，保障公众健康，维护生态安全，推进生态文明建设，促进经济社会可持续发展，制定本法。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xml:space="preserve">  固体废物污染环境的防治适用本法。</w:t>
      </w:r>
    </w:p>
    <w:p>
      <w:pPr>
        <w:spacing w:line="560" w:lineRule="exact"/>
        <w:ind w:firstLine="640"/>
        <w:jc w:val="both"/>
      </w:pPr>
      <w:r>
        <w:rPr>
          <w:rFonts w:ascii="仿宋_GB2312" w:hAnsi="仿宋_GB2312" w:eastAsia="仿宋_GB2312" w:cs="仿宋_GB2312"/>
          <w:sz w:val="32"/>
        </w:rPr>
        <w:t>固体废物污染海洋环境的防治和放射性固体废物污染环境的防治不适用本法。</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xml:space="preserve">  国家推行绿色发展方式，促进清洁生产和循环经济发展。</w:t>
      </w:r>
    </w:p>
    <w:p>
      <w:pPr>
        <w:spacing w:line="560" w:lineRule="exact"/>
        <w:ind w:firstLine="640"/>
        <w:jc w:val="both"/>
      </w:pPr>
      <w:r>
        <w:rPr>
          <w:rFonts w:ascii="仿宋_GB2312" w:hAnsi="仿宋_GB2312" w:eastAsia="仿宋_GB2312" w:cs="仿宋_GB2312"/>
          <w:sz w:val="32"/>
        </w:rPr>
        <w:t>国家倡导简约适度、绿色低碳的生活方式，引导公众积极参与固体废物污染环境防治。</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xml:space="preserve">  固体废物污染环境防治坚持减量化、资源化和无害化的原则。</w:t>
      </w:r>
    </w:p>
    <w:p>
      <w:pPr>
        <w:spacing w:line="560" w:lineRule="exact"/>
        <w:ind w:firstLine="640"/>
        <w:jc w:val="both"/>
      </w:pPr>
      <w:r>
        <w:rPr>
          <w:rFonts w:ascii="仿宋_GB2312" w:hAnsi="仿宋_GB2312" w:eastAsia="仿宋_GB2312" w:cs="仿宋_GB2312"/>
          <w:sz w:val="32"/>
        </w:rPr>
        <w:t>任何单位和个人都应当采取措施，减少固体废物的产生量，促进固体废物的综合利用，降低固体废物的危害性。</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xml:space="preserve">  固体废物污染环境防治坚持污染担责的原则。</w:t>
      </w:r>
    </w:p>
    <w:p>
      <w:pPr>
        <w:spacing w:line="560" w:lineRule="exact"/>
        <w:ind w:firstLine="640"/>
        <w:jc w:val="both"/>
      </w:pPr>
      <w:r>
        <w:rPr>
          <w:rFonts w:ascii="仿宋_GB2312" w:hAnsi="仿宋_GB2312" w:eastAsia="仿宋_GB2312" w:cs="仿宋_GB2312"/>
          <w:sz w:val="32"/>
        </w:rPr>
        <w:t>产生、收集、贮存、运输、利用、处置固体废物的单位和个人，应当采取措施，防止或者减少固体废物对环境的污染，对所造成的环境污染依法承担责任。</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xml:space="preserve">  国家推行生活垃圾分类制度。</w:t>
      </w:r>
    </w:p>
    <w:p>
      <w:pPr>
        <w:spacing w:line="560" w:lineRule="exact"/>
        <w:ind w:firstLine="640"/>
        <w:jc w:val="both"/>
      </w:pPr>
      <w:r>
        <w:rPr>
          <w:rFonts w:ascii="仿宋_GB2312" w:hAnsi="仿宋_GB2312" w:eastAsia="仿宋_GB2312" w:cs="仿宋_GB2312"/>
          <w:sz w:val="32"/>
        </w:rPr>
        <w:t>生活垃圾分类坚持政府推动、全民参与、城乡统筹、因地制宜、简便易行的原则。</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xml:space="preserve">  地方各级人民政府对本行政区域固体废物污染环境防治负责。</w:t>
      </w:r>
    </w:p>
    <w:p>
      <w:pPr>
        <w:spacing w:line="560" w:lineRule="exact"/>
        <w:ind w:firstLine="640"/>
        <w:jc w:val="both"/>
      </w:pPr>
      <w:r>
        <w:rPr>
          <w:rFonts w:ascii="仿宋_GB2312" w:hAnsi="仿宋_GB2312" w:eastAsia="仿宋_GB2312" w:cs="仿宋_GB2312"/>
          <w:sz w:val="32"/>
        </w:rPr>
        <w:t>国家实行固体废物污染环境防治目标责任制和考核评价制度，将固体废物污染环境防治目标完成情况纳入考核评价的内容。</w:t>
      </w: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xml:space="preserve">  各级人民政府应当加强对固体废物污染环境防治工作的领导，组织、协调、督促有关部门依法履行固体废物污染环境防治监督管理职责。</w:t>
      </w:r>
    </w:p>
    <w:p>
      <w:pPr>
        <w:spacing w:line="560" w:lineRule="exact"/>
        <w:ind w:firstLine="640"/>
        <w:jc w:val="both"/>
      </w:pPr>
      <w:r>
        <w:rPr>
          <w:rFonts w:ascii="仿宋_GB2312" w:hAnsi="仿宋_GB2312" w:eastAsia="仿宋_GB2312" w:cs="仿宋_GB2312"/>
          <w:sz w:val="32"/>
        </w:rPr>
        <w:t>省、自治区、直辖市之间可以协商建立跨行政区域固体废物污染环境的联防联控机制，统筹规划制定、设施建设、固体废物转移等工作。</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xml:space="preserve">  国务院生态环境主管部门对全国固体废物污染环境防治工作实施统一监督管理。国务院发展改革、工业和信息化、自然资源、住房城乡建设、交通运输、农业农村、商务、卫生健康、海关等主管部门在各自职责范围内负责固体废物污染环境防治的监督管理工作。</w:t>
      </w:r>
    </w:p>
    <w:p>
      <w:pPr>
        <w:spacing w:line="560" w:lineRule="exact"/>
        <w:ind w:firstLine="640"/>
        <w:jc w:val="both"/>
      </w:pPr>
      <w:r>
        <w:rPr>
          <w:rFonts w:ascii="仿宋_GB2312" w:hAnsi="仿宋_GB2312" w:eastAsia="仿宋_GB2312" w:cs="仿宋_GB2312"/>
          <w:sz w:val="32"/>
        </w:rPr>
        <w:t>地方人民政府生态环境主管部门对本行政区域固体废物污染环境防治工作实施统一监督管理。地方人民政府发展改革、工业和信息化、自然资源、住房城乡建设、交通运输、农业农村、商务、卫生健康等主管部门在各自职责范围内负责固体废物污染环境防治的监督管理工作。</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xml:space="preserve">  国家鼓励、支持固体废物污染环境防治的科学研究、技术开发、先进技术推广和科学普及，加强固体废物污染环境防治科技支撑。</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xml:space="preserve">  国家机关、社会团体、企业事业单位、基层群众性自治组织和新闻媒体应当加强固体废物污染环境防治宣传教育和科学普及，增强公众固体废物污染环境防治意识。</w:t>
      </w:r>
    </w:p>
    <w:p>
      <w:pPr>
        <w:spacing w:line="560" w:lineRule="exact"/>
        <w:ind w:firstLine="640"/>
        <w:jc w:val="both"/>
      </w:pPr>
      <w:r>
        <w:rPr>
          <w:rFonts w:ascii="仿宋_GB2312" w:hAnsi="仿宋_GB2312" w:eastAsia="仿宋_GB2312" w:cs="仿宋_GB2312"/>
          <w:sz w:val="32"/>
        </w:rPr>
        <w:t>学校应当开展生活垃圾分类以及其他固体废物污染环境防治知识普及和教育。</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xml:space="preserve">  各级人民政府对在固体废物污染环境防治工作以及相关的综合利用活动中做出显著成绩的单位和个人，按照国家有关规定给予表彰、奖励。</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第二章  监督管理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xml:space="preserve">  县级以上人民政府应当将固体废物污染环境防治工作纳入国民经济和社会发展规划、生态环境保护规划，并采取有效措施减少固体废物的产生量、促进固体废物的综合利用、降低固体废物的危害性，最大限度降低固体废物填埋量。</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xml:space="preserve">  国务院生态环境主管部门应当会同国务院有关部门根据国家环境质量标准和国家经济、技术条件，制定固体废物鉴别标准、鉴别程序和国家固体废物污染环境防治技术标准。</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xml:space="preserve">  国务院标准化主管部门应当会同国务院发展改革、工业和信息化、生态环境、农业农村等主管部门，制定固体废物综合利用标准。</w:t>
      </w:r>
    </w:p>
    <w:p>
      <w:pPr>
        <w:spacing w:line="560" w:lineRule="exact"/>
        <w:ind w:firstLine="640"/>
        <w:jc w:val="both"/>
      </w:pPr>
      <w:r>
        <w:rPr>
          <w:rFonts w:ascii="仿宋_GB2312" w:hAnsi="仿宋_GB2312" w:eastAsia="仿宋_GB2312" w:cs="仿宋_GB2312"/>
          <w:sz w:val="32"/>
        </w:rPr>
        <w:t>综合利用固体废物应当遵守生态环境法律法规，符合固体废物污染环境防治技术标准。使用固体废物综合利用产物应当符合国家规定的用途、标准。</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xml:space="preserve">  国务院生态环境主管部门应当会同国务院有关部门建立全国危险废物等固体废物污染环境防治信息平台，推进固体废物收集、转移、处置等全过程监控和信息化追溯。</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xml:space="preserve">  建设产生、贮存、利用、处置固体废物的项目，应当依法进行环境影响评价，并遵守国家有关建设项目环境保护管理的规定。</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xml:space="preserve">  建设项目的环境影响评价文件确定需要配套建设的固体废物污染环境防治设施，应当与主体工程同时设计、同时施工、同时投入使用。建设项目的初步设计，应当按照环境保护设计规范的要求，将固体废物污染环境防治内容纳入环境影响评价文件，落实防治固体废物污染环境和破坏生态的措施以及固体废物污染环境防治设施投资概算。</w:t>
      </w:r>
    </w:p>
    <w:p>
      <w:pPr>
        <w:spacing w:line="560" w:lineRule="exact"/>
        <w:ind w:firstLine="640"/>
        <w:jc w:val="both"/>
      </w:pPr>
      <w:r>
        <w:rPr>
          <w:rFonts w:ascii="仿宋_GB2312" w:hAnsi="仿宋_GB2312" w:eastAsia="仿宋_GB2312" w:cs="仿宋_GB2312"/>
          <w:sz w:val="32"/>
        </w:rPr>
        <w:t>建设单位应当依照有关法律法规的规定，对配套建设的固体废物污染环境防治设施进行验收，编制验收报告，并向社会公开。</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xml:space="preserve">  收集、贮存、运输、利用、处置固体废物的单位和其他生产经营者，应当加强对相关设施、设备和场所的管理和维护，保证其正常运行和使用。</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xml:space="preserve">  产生、收集、贮存、运输、利用、处置固体废物的单位和其他生产经营者，应当采取防扬散、防流失、防渗漏或者其他防止污染环境的措施，不得擅自倾倒、堆放、丢弃、遗撒固体废物。</w:t>
      </w:r>
    </w:p>
    <w:p>
      <w:pPr>
        <w:spacing w:line="560" w:lineRule="exact"/>
        <w:ind w:firstLine="640"/>
        <w:jc w:val="both"/>
      </w:pPr>
      <w:r>
        <w:rPr>
          <w:rFonts w:ascii="仿宋_GB2312" w:hAnsi="仿宋_GB2312" w:eastAsia="仿宋_GB2312" w:cs="仿宋_GB2312"/>
          <w:sz w:val="32"/>
        </w:rPr>
        <w:t>禁止任何单位或者个人向江河、湖泊、运河、渠道、水库及其最高水位线以下的滩地和岸坡以及法律法规规定的其他地点倾倒、堆放、贮存固体废物。</w:t>
      </w: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xml:space="preserve">  在生态保护红线区域、永久基本农田集中区域和其他需要特别保护的区域内，禁止建设工业固体废物、危险废物集中贮存、利用、处置的设施、场所和生活垃圾填埋场。</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xml:space="preserve">  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p>
    <w:p>
      <w:pPr>
        <w:spacing w:line="560" w:lineRule="exact"/>
        <w:ind w:firstLine="640"/>
        <w:jc w:val="both"/>
      </w:pPr>
      <w:r>
        <w:rPr>
          <w:rFonts w:ascii="仿宋_GB2312" w:hAnsi="仿宋_GB2312" w:eastAsia="仿宋_GB2312" w:cs="仿宋_GB2312"/>
          <w:sz w:val="32"/>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xml:space="preserve">  禁止中华人民共和国境外的固体废物进境倾倒、堆放、处置。</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xml:space="preserve">  国家逐步实现固体废物零进口，由国务院生态环境主管部门会同国务院商务、发展改革、海关等主管部门组织实施。</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xml:space="preserve">  海关发现进口货物疑似固体废物的，可以委托专业机构开展属性鉴别，并根据鉴别结论依法管理。</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xml:space="preserve">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w:t>
      </w:r>
    </w:p>
    <w:p>
      <w:pPr>
        <w:spacing w:line="560" w:lineRule="exact"/>
        <w:ind w:firstLine="640"/>
        <w:jc w:val="both"/>
      </w:pPr>
      <w:r>
        <w:rPr>
          <w:rFonts w:ascii="仿宋_GB2312" w:hAnsi="仿宋_GB2312" w:eastAsia="仿宋_GB2312" w:cs="仿宋_GB2312"/>
          <w:sz w:val="32"/>
        </w:rPr>
        <w:t>实施现场检查，可以采取现场监测、采集样品、查阅或者复制与固体废物污染环境防治相关的资料等措施。检查人员进行现场检查，应当出示证件。对现场检查中知悉的商业秘密应当保密。</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xml:space="preserve">  有下列情形之一，生态环境主管部门和其他负有固体废物污染环境防治监督管理职责的部门，可以对违法收集、贮存、运输、利用、处置的固体废物及设施、设备、场所、工具、物品予以查封、扣押：</w:t>
      </w:r>
    </w:p>
    <w:p>
      <w:pPr>
        <w:spacing w:line="560" w:lineRule="exact"/>
        <w:ind w:firstLine="640"/>
        <w:jc w:val="both"/>
      </w:pPr>
      <w:r>
        <w:rPr>
          <w:rFonts w:ascii="仿宋_GB2312" w:hAnsi="仿宋_GB2312" w:eastAsia="仿宋_GB2312" w:cs="仿宋_GB2312"/>
          <w:sz w:val="32"/>
        </w:rPr>
        <w:t>（一）可能造成证据灭失、被隐匿或者非法转移的；</w:t>
      </w:r>
    </w:p>
    <w:p>
      <w:pPr>
        <w:spacing w:line="560" w:lineRule="exact"/>
        <w:ind w:firstLine="640"/>
        <w:jc w:val="both"/>
      </w:pPr>
      <w:r>
        <w:rPr>
          <w:rFonts w:ascii="仿宋_GB2312" w:hAnsi="仿宋_GB2312" w:eastAsia="仿宋_GB2312" w:cs="仿宋_GB2312"/>
          <w:sz w:val="32"/>
        </w:rPr>
        <w:t>（二）造成或者可能造成严重环境污染的。</w:t>
      </w: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xml:space="preserve">  生态环境主管部门应当会同有关部门建立产生、收集、贮存、运输、利用、处置固体废物的单位和其他生产经营者信用记录制度，将相关信用记录纳入全国信用信息共享平台。</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xml:space="preserve">  设区的市级人民政府生态环境主管部门应当会同住房城乡建设、农业农村、卫生健康等主管部门，定期向社会发布固体废物的种类、产生量、处置能力、利用处置状况等信息。</w:t>
      </w:r>
    </w:p>
    <w:p>
      <w:pPr>
        <w:spacing w:line="560" w:lineRule="exact"/>
        <w:ind w:firstLine="640"/>
        <w:jc w:val="both"/>
      </w:pPr>
      <w:r>
        <w:rPr>
          <w:rFonts w:ascii="仿宋_GB2312" w:hAnsi="仿宋_GB2312" w:eastAsia="仿宋_GB2312" w:cs="仿宋_GB2312"/>
          <w:sz w:val="32"/>
        </w:rPr>
        <w:t>产生、收集、贮存、运输、利用、处置固体废物的单位，应当依法及时公开固体废物污染环境防治信息，主动接受社会监督。</w:t>
      </w:r>
    </w:p>
    <w:p>
      <w:pPr>
        <w:spacing w:line="560" w:lineRule="exact"/>
        <w:ind w:firstLine="640"/>
        <w:jc w:val="both"/>
      </w:pPr>
      <w:r>
        <w:rPr>
          <w:rFonts w:ascii="仿宋_GB2312" w:hAnsi="仿宋_GB2312" w:eastAsia="仿宋_GB2312" w:cs="仿宋_GB2312"/>
          <w:sz w:val="32"/>
        </w:rPr>
        <w:t>利用、处置固体废物的单位，应当依法向公众开放设施、场所，提高公众环境保护意识和参与程度。</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xml:space="preserve">  县级以上人民政府应当将工业固体废物、生活垃圾、危险废物等固体废物污染环境防治情况纳入环境状况和环境保护目标完成情况年度报告，向本级人民代表大会或者人民代表大会常务委员会报告。</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xml:space="preserve">  任何单位和个人都有权对造成固体废物污染环境的单位和个人进行举报。</w:t>
      </w:r>
    </w:p>
    <w:p>
      <w:pPr>
        <w:spacing w:line="560" w:lineRule="exact"/>
        <w:ind w:firstLine="640"/>
        <w:jc w:val="both"/>
      </w:pPr>
      <w:r>
        <w:rPr>
          <w:rFonts w:ascii="仿宋_GB2312" w:hAnsi="仿宋_GB2312" w:eastAsia="仿宋_GB2312" w:cs="仿宋_GB2312"/>
          <w:sz w:val="32"/>
        </w:rPr>
        <w:t>生态环境主管部门和其他负有固体废物污染环境防治监督管理职责的部门应当将固体废物污染环境防治举报方式向社会公布，方便公众举报。</w:t>
      </w:r>
    </w:p>
    <w:p>
      <w:pPr>
        <w:spacing w:line="560" w:lineRule="exact"/>
        <w:ind w:firstLine="640"/>
        <w:jc w:val="both"/>
      </w:pPr>
      <w:r>
        <w:rPr>
          <w:rFonts w:ascii="仿宋_GB2312" w:hAnsi="仿宋_GB2312" w:eastAsia="仿宋_GB2312" w:cs="仿宋_GB2312"/>
          <w:sz w:val="32"/>
        </w:rPr>
        <w:t>接到举报的部门应当及时处理并对举报人的相关信息予以保密；对实名举报并查证属实的，给予奖励。</w:t>
      </w:r>
    </w:p>
    <w:p>
      <w:pPr>
        <w:spacing w:line="560" w:lineRule="exact"/>
        <w:ind w:firstLine="640"/>
        <w:jc w:val="both"/>
      </w:pPr>
      <w:r>
        <w:rPr>
          <w:rFonts w:ascii="仿宋_GB2312" w:hAnsi="仿宋_GB2312" w:eastAsia="仿宋_GB2312" w:cs="仿宋_GB2312"/>
          <w:sz w:val="32"/>
        </w:rPr>
        <w:t>举报人举报所在单位的，该单位不得以解除、变更劳动合同或者其他方式对举报人进行打击报复。</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第三章  工业固体废物</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xml:space="preserve">  国务院生态环境主管部门应当会同国务院发展改革、工业和信息化等主管部门对工业固体废物对公众健康、生态环境的危害和影响程度等作出界定，制定防治工业固体废物污染环境的技术政策，组织推广先进的防治工业固体废物污染环境的生产工艺和设备。</w:t>
      </w: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xml:space="preserve">  国务院工业和信息化主管部门应当会同国务院有关部门组织研究开发、推广减少工业固体废物产生量和降低工业固体废物危害性的生产工艺和设备，公布限期淘汰产生严重污染环境的工业固体废物的落后生产工艺、设备的名录。</w:t>
      </w:r>
    </w:p>
    <w:p>
      <w:pPr>
        <w:spacing w:line="560" w:lineRule="exact"/>
        <w:ind w:firstLine="640"/>
        <w:jc w:val="both"/>
      </w:pPr>
      <w:r>
        <w:rPr>
          <w:rFonts w:ascii="仿宋_GB2312" w:hAnsi="仿宋_GB2312" w:eastAsia="仿宋_GB2312" w:cs="仿宋_GB2312"/>
          <w:sz w:val="32"/>
        </w:rPr>
        <w:t>生产者、销售者、进口者、使用者应当在国务院工业和信息化主管部门会同国务院有关部门规定的期限内分别停止生产、销售、进口或者使用列入前款规定名录中的设备。生产工艺的采用者应当在国务院工业和信息化主管部门会同国务院有关部门规定的期限内停止采用列入前款规定名录中的工艺。</w:t>
      </w:r>
    </w:p>
    <w:p>
      <w:pPr>
        <w:spacing w:line="560" w:lineRule="exact"/>
        <w:ind w:firstLine="640"/>
        <w:jc w:val="both"/>
      </w:pPr>
      <w:r>
        <w:rPr>
          <w:rFonts w:ascii="仿宋_GB2312" w:hAnsi="仿宋_GB2312" w:eastAsia="仿宋_GB2312" w:cs="仿宋_GB2312"/>
          <w:sz w:val="32"/>
        </w:rPr>
        <w:t>列入限期淘汰名录被淘汰的设备，不得转让给他人使用。</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xml:space="preserve">  国务院工业和信息化主管部门应当会同国务院发展改革、生态环境等主管部门，定期发布工业固体废物综合利用技术、工艺、设备和产品导向目录，组织开展工业固体废物资源综合利用评价，推动工业固体废物综合利用。</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xml:space="preserve">  县级以上地方人民政府应当制定工业固体废物污染环境防治工作规划，组织建设工业固体废物集中处置等设施，推动工业固体废物污染环境防治工作。</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xml:space="preserve">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spacing w:line="560" w:lineRule="exact"/>
        <w:ind w:firstLine="640"/>
        <w:jc w:val="both"/>
      </w:pPr>
      <w:r>
        <w:rPr>
          <w:rFonts w:ascii="仿宋_GB2312" w:hAnsi="仿宋_GB2312" w:eastAsia="仿宋_GB2312" w:cs="仿宋_GB2312"/>
          <w:sz w:val="32"/>
        </w:rPr>
        <w:t>禁止向生活垃圾收集设施中投放工业固体废物。</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xml:space="preserve">  产生工业固体废物的单位委托他人运输、利用、处置工业固体废物的，应当对受托方的主体资格和技术能力进行核实，依法签订书面合同，在合同中约定污染防治要求。</w:t>
      </w:r>
    </w:p>
    <w:p>
      <w:pPr>
        <w:spacing w:line="560" w:lineRule="exact"/>
        <w:ind w:firstLine="640"/>
        <w:jc w:val="both"/>
      </w:pPr>
      <w:r>
        <w:rPr>
          <w:rFonts w:ascii="仿宋_GB2312" w:hAnsi="仿宋_GB2312" w:eastAsia="仿宋_GB2312" w:cs="仿宋_GB2312"/>
          <w:sz w:val="32"/>
        </w:rPr>
        <w:t>受托方运输、利用、处置工业固体废物，应当依照有关法律法规的规定和合同约定履行污染防治要求，并将运输、利用、处置情况告知产生工业固体废物的单位。</w:t>
      </w:r>
    </w:p>
    <w:p>
      <w:pPr>
        <w:spacing w:line="560" w:lineRule="exact"/>
        <w:ind w:firstLine="640"/>
        <w:jc w:val="both"/>
      </w:pPr>
      <w:r>
        <w:rPr>
          <w:rFonts w:ascii="仿宋_GB2312" w:hAnsi="仿宋_GB2312" w:eastAsia="仿宋_GB2312" w:cs="仿宋_GB2312"/>
          <w:sz w:val="32"/>
        </w:rPr>
        <w:t>产生工业固体废物的单位违反本条第一款规定的，除依照有关法律法规的规定予以处罚外，还应当与造成环境污染和生态破坏的受托方承担连带责任。</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xml:space="preserve">  产生工业固体废物的单位应当依法实施清洁生产审核，合理选择和利用原材料、能源和其他资源，采用先进的生产工艺和设备，减少工业固体废物的产生量，降低工业固体废物的危害性。</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xml:space="preserve">  产生工业固体废物的单位应当取得排污许可证。排污许可的具体办法和实施步骤由国务院规定。</w:t>
      </w:r>
    </w:p>
    <w:p>
      <w:pPr>
        <w:spacing w:line="560" w:lineRule="exact"/>
        <w:ind w:firstLine="640"/>
        <w:jc w:val="both"/>
      </w:pPr>
      <w:r>
        <w:rPr>
          <w:rFonts w:ascii="仿宋_GB2312" w:hAnsi="仿宋_GB2312" w:eastAsia="仿宋_GB2312" w:cs="仿宋_GB2312"/>
          <w:sz w:val="32"/>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xml:space="preserve">  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pPr>
        <w:spacing w:line="560" w:lineRule="exact"/>
        <w:ind w:firstLine="640"/>
        <w:jc w:val="both"/>
      </w:pPr>
      <w:r>
        <w:rPr>
          <w:rFonts w:ascii="仿宋_GB2312" w:hAnsi="仿宋_GB2312" w:eastAsia="仿宋_GB2312" w:cs="仿宋_GB2312"/>
          <w:sz w:val="32"/>
        </w:rPr>
        <w:t>建设工业固体废物贮存、处置的设施、场所，应当符合国家环境保护标准。</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xml:space="preserve">  产生工业固体废物的单位终止的，应当在终止前对工业固体废物的贮存、处置的设施、场所采取污染防治措施，并对未处置的工业固体废物作出妥善处置，防止污染环境。</w:t>
      </w:r>
    </w:p>
    <w:p>
      <w:pPr>
        <w:spacing w:line="560" w:lineRule="exact"/>
        <w:ind w:firstLine="640"/>
        <w:jc w:val="both"/>
      </w:pPr>
      <w:r>
        <w:rPr>
          <w:rFonts w:ascii="仿宋_GB2312" w:hAnsi="仿宋_GB2312" w:eastAsia="仿宋_GB2312" w:cs="仿宋_GB2312"/>
          <w:sz w:val="32"/>
        </w:rPr>
        <w:t>产生工业固体废物的单位发生变更的，变更后的单位应当按照国家有关环境保护的规定对未处置的工业固体废物及其贮存、处置的设施、场所进行安全处置或者采取有效措施保证该设施、场所安全运行。变更前当事人对工业固体废物及其贮存、处置的设施、场所的污染防治责任另有约定的，从其约定；但是，不得免除当事人的污染防治义务。</w:t>
      </w:r>
    </w:p>
    <w:p>
      <w:pPr>
        <w:spacing w:line="560" w:lineRule="exact"/>
        <w:ind w:firstLine="640"/>
        <w:jc w:val="both"/>
      </w:pPr>
      <w:r>
        <w:rPr>
          <w:rFonts w:ascii="仿宋_GB2312" w:hAnsi="仿宋_GB2312" w:eastAsia="仿宋_GB2312" w:cs="仿宋_GB2312"/>
          <w:sz w:val="32"/>
        </w:rPr>
        <w:t>对</w:t>
      </w:r>
      <w:r>
        <w:rPr>
          <w:rFonts w:hint="default" w:ascii="Times New Roman" w:hAnsi="Times New Roman" w:eastAsia="仿宋_GB2312" w:cs="Times New Roman"/>
          <w:sz w:val="32"/>
        </w:rPr>
        <w:t>2005</w:t>
      </w:r>
      <w:r>
        <w:rPr>
          <w:rFonts w:ascii="仿宋_GB2312" w:hAnsi="仿宋_GB2312" w:eastAsia="仿宋_GB2312" w:cs="仿宋_GB2312"/>
          <w:sz w:val="32"/>
        </w:rPr>
        <w:t>年</w:t>
      </w:r>
      <w:r>
        <w:rPr>
          <w:rFonts w:hint="default" w:ascii="Times New Roman" w:hAnsi="Times New Roman" w:eastAsia="仿宋_GB2312" w:cs="Times New Roman"/>
          <w:sz w:val="32"/>
        </w:rPr>
        <w:t>4</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前已经终止的单位未处置的工业固体废物及其贮存、处置的设施、场所进行安全处置的费用，由有关人民政府承担；但是，该单位享有的土地使用权依法转让的，应当由土地使用权受让人承担处置费用。当事人另有约定的，从其约定；但是，不得免除当事人的污染防治义务。</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xml:space="preserve">  矿山企业应当采取科学的开采方法和选矿工艺，减少尾矿、煤矸石、废石等矿业固体废物的产生量和贮存量。</w:t>
      </w:r>
    </w:p>
    <w:p>
      <w:pPr>
        <w:spacing w:line="560" w:lineRule="exact"/>
        <w:ind w:firstLine="640"/>
        <w:jc w:val="both"/>
      </w:pPr>
      <w:r>
        <w:rPr>
          <w:rFonts w:ascii="仿宋_GB2312" w:hAnsi="仿宋_GB2312" w:eastAsia="仿宋_GB2312" w:cs="仿宋_GB2312"/>
          <w:sz w:val="32"/>
        </w:rPr>
        <w:t>国家鼓励采取先进工艺对尾矿、煤矸石、废石等矿业固体废物进行综合利用。</w:t>
      </w:r>
    </w:p>
    <w:p>
      <w:pPr>
        <w:spacing w:line="560" w:lineRule="exact"/>
        <w:ind w:firstLine="640"/>
        <w:jc w:val="both"/>
      </w:pPr>
      <w:r>
        <w:rPr>
          <w:rFonts w:ascii="仿宋_GB2312" w:hAnsi="仿宋_GB2312" w:eastAsia="仿宋_GB2312" w:cs="仿宋_GB2312"/>
          <w:sz w:val="32"/>
        </w:rPr>
        <w:t>尾矿、煤矸石、废石等矿业固体废物贮存设施停止使用后，矿山企业应当按照国家有关环境保护等规定进行封场，防止造成环境污染和生态破坏。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第四章  生活垃圾</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xml:space="preserve">  县级以上地方人民政府应当加快建立分类投放、分类收集、分类运输、分类处理的生活垃圾管理系统，实现生活垃圾分类制度有效覆盖。</w:t>
      </w:r>
    </w:p>
    <w:p>
      <w:pPr>
        <w:spacing w:line="560" w:lineRule="exact"/>
        <w:ind w:firstLine="640"/>
        <w:jc w:val="both"/>
      </w:pPr>
      <w:r>
        <w:rPr>
          <w:rFonts w:ascii="仿宋_GB2312" w:hAnsi="仿宋_GB2312" w:eastAsia="仿宋_GB2312" w:cs="仿宋_GB2312"/>
          <w:sz w:val="32"/>
        </w:rPr>
        <w:t>县级以上地方人民政府应当建立生活垃圾分类工作协调机制，加强和统筹生活垃圾分类管理能力建设。</w:t>
      </w:r>
    </w:p>
    <w:p>
      <w:pPr>
        <w:spacing w:line="560" w:lineRule="exact"/>
        <w:ind w:firstLine="640"/>
        <w:jc w:val="both"/>
      </w:pPr>
      <w:r>
        <w:rPr>
          <w:rFonts w:ascii="仿宋_GB2312" w:hAnsi="仿宋_GB2312" w:eastAsia="仿宋_GB2312" w:cs="仿宋_GB2312"/>
          <w:sz w:val="32"/>
        </w:rPr>
        <w:t>各级人民政府及其有关部门应当组织开展生活垃圾分类宣传，教育引导公众养成生活垃圾分类习惯，督促和指导生活垃圾分类工作。</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xml:space="preserve">  县级以上地方人民政府应当有计划地改进燃料结构，发展清洁能源，减少燃料废渣等固体废物的产生量。</w:t>
      </w:r>
    </w:p>
    <w:p>
      <w:pPr>
        <w:spacing w:line="560" w:lineRule="exact"/>
        <w:ind w:firstLine="640"/>
        <w:jc w:val="both"/>
      </w:pPr>
      <w:r>
        <w:rPr>
          <w:rFonts w:ascii="仿宋_GB2312" w:hAnsi="仿宋_GB2312" w:eastAsia="仿宋_GB2312" w:cs="仿宋_GB2312"/>
          <w:sz w:val="32"/>
        </w:rPr>
        <w:t>县级以上地方人民政府有关部门应当加强产品生产和流通过程管理，避免过度包装，组织净菜上市，减少生活垃圾的产生量。</w:t>
      </w: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xml:space="preserve">  县级以上人民政府应当统筹安排建设城乡生活垃圾收集、运输、处理设施，确定设施厂址，提高生活垃圾的综合利用和无害化处置水平，促进生活垃圾收集、处理的产业化发展，逐步建立和完善生活垃圾污染环境防治的社会服务体系。</w:t>
      </w:r>
    </w:p>
    <w:p>
      <w:pPr>
        <w:spacing w:line="560" w:lineRule="exact"/>
        <w:ind w:firstLine="640"/>
        <w:jc w:val="both"/>
      </w:pPr>
      <w:r>
        <w:rPr>
          <w:rFonts w:ascii="仿宋_GB2312" w:hAnsi="仿宋_GB2312" w:eastAsia="仿宋_GB2312" w:cs="仿宋_GB2312"/>
          <w:sz w:val="32"/>
        </w:rPr>
        <w:t>县级以上地方人民政府有关部门应当统筹规划，合理安排回收、分拣、打包网点，促进生活垃圾的回收利用工作。</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xml:space="preserve">  地方各级人民政府应当加强农村生活垃圾污染环境的防治，保护和改善农村人居环境。</w:t>
      </w:r>
    </w:p>
    <w:p>
      <w:pPr>
        <w:spacing w:line="560" w:lineRule="exact"/>
        <w:ind w:firstLine="640"/>
        <w:jc w:val="both"/>
      </w:pPr>
      <w:r>
        <w:rPr>
          <w:rFonts w:ascii="仿宋_GB2312" w:hAnsi="仿宋_GB2312" w:eastAsia="仿宋_GB2312" w:cs="仿宋_GB2312"/>
          <w:sz w:val="32"/>
        </w:rPr>
        <w:t>国家鼓励农村生活垃圾源头减量。城乡结合部、人口密集的农村地区和其他有条件的地方，应当建立城乡一体的生活垃圾管理系统；其他农村地区应当积极探索生活垃圾管理模式，因地制宜，就近就地利用或者妥善处理生活垃圾。</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xml:space="preserve">  设区的市级以上人民政府环境卫生主管部门应当制定生活垃圾清扫、收集、贮存、运输和处理设施、场所建设运行规范，发布生活垃圾分类指导目录，加强监督管理。</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xml:space="preserve">  县级以上地方人民政府环境卫生等主管部门应当组织对城乡生活垃圾进行清扫、收集、运输和处理，可以通过招标等方式选择具备条件的单位从事生活垃圾的清扫、收集、运输和处理。</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xml:space="preserve">  产生生活垃圾的单位、家庭和个人应当依法履行生活垃圾源头减量和分类投放义务，承担生活垃圾产生者责任。</w:t>
      </w:r>
    </w:p>
    <w:p>
      <w:pPr>
        <w:spacing w:line="560" w:lineRule="exact"/>
        <w:ind w:firstLine="640"/>
        <w:jc w:val="both"/>
      </w:pPr>
      <w:r>
        <w:rPr>
          <w:rFonts w:ascii="仿宋_GB2312" w:hAnsi="仿宋_GB2312" w:eastAsia="仿宋_GB2312" w:cs="仿宋_GB2312"/>
          <w:sz w:val="32"/>
        </w:rPr>
        <w:t>任何单位和个人都应当依法在指定的地点分类投放生活垃圾。禁止随意倾倒、抛撒、堆放或者焚烧生活垃圾。</w:t>
      </w:r>
    </w:p>
    <w:p>
      <w:pPr>
        <w:spacing w:line="560" w:lineRule="exact"/>
        <w:ind w:firstLine="640"/>
        <w:jc w:val="both"/>
      </w:pPr>
      <w:r>
        <w:rPr>
          <w:rFonts w:ascii="仿宋_GB2312" w:hAnsi="仿宋_GB2312" w:eastAsia="仿宋_GB2312" w:cs="仿宋_GB2312"/>
          <w:sz w:val="32"/>
        </w:rPr>
        <w:t>机关、事业单位等应当在生活垃圾分类工作中起示范带头作用。</w:t>
      </w:r>
    </w:p>
    <w:p>
      <w:pPr>
        <w:spacing w:line="560" w:lineRule="exact"/>
        <w:ind w:firstLine="640"/>
        <w:jc w:val="both"/>
      </w:pPr>
      <w:r>
        <w:rPr>
          <w:rFonts w:ascii="仿宋_GB2312" w:hAnsi="仿宋_GB2312" w:eastAsia="仿宋_GB2312" w:cs="仿宋_GB2312"/>
          <w:sz w:val="32"/>
        </w:rPr>
        <w:t>已经分类投放的生活垃圾，应当按照规定分类收集、分类运输、分类处理。</w:t>
      </w:r>
    </w:p>
    <w:p>
      <w:pPr>
        <w:spacing w:line="560" w:lineRule="exact"/>
        <w:ind w:firstLine="640"/>
        <w:jc w:val="both"/>
      </w:pPr>
      <w:r>
        <w:rPr>
          <w:rFonts w:ascii="黑体" w:hAnsi="黑体" w:eastAsia="黑体" w:cs="黑体"/>
          <w:sz w:val="32"/>
        </w:rPr>
        <w:t>第五十条</w:t>
      </w:r>
      <w:r>
        <w:rPr>
          <w:rFonts w:ascii="仿宋_GB2312" w:hAnsi="仿宋_GB2312" w:eastAsia="仿宋_GB2312" w:cs="仿宋_GB2312"/>
          <w:sz w:val="32"/>
        </w:rPr>
        <w:t xml:space="preserve">  清扫、收集、运输、处理城乡生活垃圾，应当遵守国家有关环境保护和环境卫生管理的规定，防止污染环境。</w:t>
      </w:r>
    </w:p>
    <w:p>
      <w:pPr>
        <w:spacing w:line="560" w:lineRule="exact"/>
        <w:ind w:firstLine="640"/>
        <w:jc w:val="both"/>
      </w:pPr>
      <w:r>
        <w:rPr>
          <w:rFonts w:ascii="仿宋_GB2312" w:hAnsi="仿宋_GB2312" w:eastAsia="仿宋_GB2312" w:cs="仿宋_GB2312"/>
          <w:sz w:val="32"/>
        </w:rPr>
        <w:t>从生活垃圾中分类并集中收集的有害垃圾，属于危险废物的，应当按照危险废物管理。</w:t>
      </w:r>
    </w:p>
    <w:p>
      <w:pPr>
        <w:spacing w:line="560" w:lineRule="exact"/>
        <w:ind w:firstLine="640"/>
        <w:jc w:val="both"/>
      </w:pPr>
      <w:r>
        <w:rPr>
          <w:rFonts w:ascii="黑体" w:hAnsi="黑体" w:eastAsia="黑体" w:cs="黑体"/>
          <w:sz w:val="32"/>
        </w:rPr>
        <w:t>第五十一条</w:t>
      </w:r>
      <w:r>
        <w:rPr>
          <w:rFonts w:ascii="仿宋_GB2312" w:hAnsi="仿宋_GB2312" w:eastAsia="仿宋_GB2312" w:cs="仿宋_GB2312"/>
          <w:sz w:val="32"/>
        </w:rPr>
        <w:t xml:space="preserve">  从事公共交通运输的经营单位，应当及时清扫、收集运输过程中产生的生活垃圾。</w:t>
      </w:r>
    </w:p>
    <w:p>
      <w:pPr>
        <w:spacing w:line="560" w:lineRule="exact"/>
        <w:ind w:firstLine="640"/>
        <w:jc w:val="both"/>
      </w:pPr>
      <w:r>
        <w:rPr>
          <w:rFonts w:ascii="黑体" w:hAnsi="黑体" w:eastAsia="黑体" w:cs="黑体"/>
          <w:sz w:val="32"/>
        </w:rPr>
        <w:t>第五十二条</w:t>
      </w:r>
      <w:r>
        <w:rPr>
          <w:rFonts w:ascii="仿宋_GB2312" w:hAnsi="仿宋_GB2312" w:eastAsia="仿宋_GB2312" w:cs="仿宋_GB2312"/>
          <w:sz w:val="32"/>
        </w:rPr>
        <w:t xml:space="preserve">  农贸市场、农产品批发市场等应当加强环境卫生管理，保持环境卫生清洁，对所产生的垃圾及时清扫、分类收集、妥善处理。</w:t>
      </w:r>
    </w:p>
    <w:p>
      <w:pPr>
        <w:spacing w:line="560" w:lineRule="exact"/>
        <w:ind w:firstLine="640"/>
        <w:jc w:val="both"/>
      </w:pPr>
      <w:r>
        <w:rPr>
          <w:rFonts w:ascii="黑体" w:hAnsi="黑体" w:eastAsia="黑体" w:cs="黑体"/>
          <w:sz w:val="32"/>
        </w:rPr>
        <w:t>第五十三条</w:t>
      </w:r>
      <w:r>
        <w:rPr>
          <w:rFonts w:ascii="仿宋_GB2312" w:hAnsi="仿宋_GB2312" w:eastAsia="仿宋_GB2312" w:cs="仿宋_GB2312"/>
          <w:sz w:val="32"/>
        </w:rPr>
        <w:t xml:space="preserve">  从事城市新区开发、旧区改建和住宅小区开发建设、村镇建设的单位，以及机场、码头、车站、公园、商场、体育场馆等公共设施、场所的经营管理单位，应当按照国家有关环境卫生的规定，配套建设生活垃圾收集设施。</w:t>
      </w:r>
    </w:p>
    <w:p>
      <w:pPr>
        <w:spacing w:line="560" w:lineRule="exact"/>
        <w:ind w:firstLine="640"/>
        <w:jc w:val="both"/>
      </w:pPr>
      <w:r>
        <w:rPr>
          <w:rFonts w:ascii="仿宋_GB2312" w:hAnsi="仿宋_GB2312" w:eastAsia="仿宋_GB2312" w:cs="仿宋_GB2312"/>
          <w:sz w:val="32"/>
        </w:rPr>
        <w:t>县级以上地方人民政府应当统筹生活垃圾公共转运、处理设施与前款规定的收集设施的有效衔接，并加强生活垃圾分类收运体系和再生资源回收体系在规划、建设、运营等方面的融合。</w:t>
      </w:r>
    </w:p>
    <w:p>
      <w:pPr>
        <w:spacing w:line="560" w:lineRule="exact"/>
        <w:ind w:firstLine="640"/>
        <w:jc w:val="both"/>
      </w:pPr>
      <w:r>
        <w:rPr>
          <w:rFonts w:ascii="黑体" w:hAnsi="黑体" w:eastAsia="黑体" w:cs="黑体"/>
          <w:sz w:val="32"/>
        </w:rPr>
        <w:t>第五十四条</w:t>
      </w:r>
      <w:r>
        <w:rPr>
          <w:rFonts w:ascii="仿宋_GB2312" w:hAnsi="仿宋_GB2312" w:eastAsia="仿宋_GB2312" w:cs="仿宋_GB2312"/>
          <w:sz w:val="32"/>
        </w:rPr>
        <w:t xml:space="preserve">  从生活垃圾中回收的物质应当按照国家规定的用途、标准使用，不得用于生产可能危害人体健康的产品。</w:t>
      </w:r>
    </w:p>
    <w:p>
      <w:pPr>
        <w:spacing w:line="560" w:lineRule="exact"/>
        <w:ind w:firstLine="640"/>
        <w:jc w:val="both"/>
      </w:pPr>
      <w:r>
        <w:rPr>
          <w:rFonts w:ascii="黑体" w:hAnsi="黑体" w:eastAsia="黑体" w:cs="黑体"/>
          <w:sz w:val="32"/>
        </w:rPr>
        <w:t>第五十五条</w:t>
      </w:r>
      <w:r>
        <w:rPr>
          <w:rFonts w:ascii="仿宋_GB2312" w:hAnsi="仿宋_GB2312" w:eastAsia="仿宋_GB2312" w:cs="仿宋_GB2312"/>
          <w:sz w:val="32"/>
        </w:rPr>
        <w:t xml:space="preserve">  建设生活垃圾处理设施、场所，应当符合国务院生态环境主管部门和国务院住房城乡建设主管部门规定的环境保护和环境卫生标准。</w:t>
      </w:r>
    </w:p>
    <w:p>
      <w:pPr>
        <w:spacing w:line="560" w:lineRule="exact"/>
        <w:ind w:firstLine="640"/>
        <w:jc w:val="both"/>
      </w:pPr>
      <w:r>
        <w:rPr>
          <w:rFonts w:ascii="仿宋_GB2312" w:hAnsi="仿宋_GB2312" w:eastAsia="仿宋_GB2312" w:cs="仿宋_GB2312"/>
          <w:sz w:val="32"/>
        </w:rPr>
        <w:t>鼓励相邻地区统筹生活垃圾处理设施建设，促进生活垃圾处理设施跨行政区域共建共享。</w:t>
      </w:r>
    </w:p>
    <w:p>
      <w:pPr>
        <w:spacing w:line="560" w:lineRule="exact"/>
        <w:ind w:firstLine="640"/>
        <w:jc w:val="both"/>
      </w:pPr>
      <w:r>
        <w:rPr>
          <w:rFonts w:ascii="仿宋_GB2312" w:hAnsi="仿宋_GB2312" w:eastAsia="仿宋_GB2312" w:cs="仿宋_GB2312"/>
          <w:sz w:val="32"/>
        </w:rPr>
        <w:t>禁止擅自关闭、闲置或者拆除生活垃圾处理设施、场所；确有必要关闭、闲置或者拆除的，应当经所在地的市、县级人民政府环境卫生主管部门商所在地生态环境主管部门同意后核准，并采取防止污染环境的措施。</w:t>
      </w:r>
    </w:p>
    <w:p>
      <w:pPr>
        <w:spacing w:line="560" w:lineRule="exact"/>
        <w:ind w:firstLine="640"/>
        <w:jc w:val="both"/>
      </w:pPr>
      <w:r>
        <w:rPr>
          <w:rFonts w:ascii="黑体" w:hAnsi="黑体" w:eastAsia="黑体" w:cs="黑体"/>
          <w:sz w:val="32"/>
        </w:rPr>
        <w:t>第五十六条</w:t>
      </w:r>
      <w:r>
        <w:rPr>
          <w:rFonts w:ascii="仿宋_GB2312" w:hAnsi="仿宋_GB2312" w:eastAsia="仿宋_GB2312" w:cs="仿宋_GB2312"/>
          <w:sz w:val="32"/>
        </w:rPr>
        <w:t xml:space="preserve">  生活垃圾处理单位应当按照国家有关规定，安装使用监测设备，实时监测污染物的排放情况，将污染排放数据实时公开。监测设备应当与所在地生态环境主管部门的监控设备联网。</w:t>
      </w:r>
    </w:p>
    <w:p>
      <w:pPr>
        <w:spacing w:line="560" w:lineRule="exact"/>
        <w:ind w:firstLine="640"/>
        <w:jc w:val="both"/>
      </w:pPr>
      <w:r>
        <w:rPr>
          <w:rFonts w:ascii="黑体" w:hAnsi="黑体" w:eastAsia="黑体" w:cs="黑体"/>
          <w:sz w:val="32"/>
        </w:rPr>
        <w:t>第五十七条</w:t>
      </w:r>
      <w:r>
        <w:rPr>
          <w:rFonts w:ascii="仿宋_GB2312" w:hAnsi="仿宋_GB2312" w:eastAsia="仿宋_GB2312" w:cs="仿宋_GB2312"/>
          <w:sz w:val="32"/>
        </w:rPr>
        <w:t xml:space="preserve">  县级以上地方人民政府环境卫生主管部门负责组织开展厨余垃圾资源化、无害化处理工作。</w:t>
      </w:r>
    </w:p>
    <w:p>
      <w:pPr>
        <w:spacing w:line="560" w:lineRule="exact"/>
        <w:ind w:firstLine="640"/>
        <w:jc w:val="both"/>
      </w:pPr>
      <w:r>
        <w:rPr>
          <w:rFonts w:ascii="仿宋_GB2312" w:hAnsi="仿宋_GB2312" w:eastAsia="仿宋_GB2312" w:cs="仿宋_GB2312"/>
          <w:sz w:val="32"/>
        </w:rPr>
        <w:t>产生、收集厨余垃圾的单位和其他生产经营者，应当将厨余垃圾交由具备相应资质条件的单位进行无害化处理。</w:t>
      </w:r>
    </w:p>
    <w:p>
      <w:pPr>
        <w:spacing w:line="560" w:lineRule="exact"/>
        <w:ind w:firstLine="640"/>
        <w:jc w:val="both"/>
      </w:pPr>
      <w:r>
        <w:rPr>
          <w:rFonts w:ascii="仿宋_GB2312" w:hAnsi="仿宋_GB2312" w:eastAsia="仿宋_GB2312" w:cs="仿宋_GB2312"/>
          <w:sz w:val="32"/>
        </w:rPr>
        <w:t>禁止畜禽养殖场、养殖小区利用未经无害化处理的厨余垃圾饲喂畜禽。</w:t>
      </w:r>
    </w:p>
    <w:p>
      <w:pPr>
        <w:spacing w:line="560" w:lineRule="exact"/>
        <w:ind w:firstLine="640"/>
        <w:jc w:val="both"/>
      </w:pPr>
      <w:r>
        <w:rPr>
          <w:rFonts w:ascii="黑体" w:hAnsi="黑体" w:eastAsia="黑体" w:cs="黑体"/>
          <w:sz w:val="32"/>
        </w:rPr>
        <w:t>第五十八条</w:t>
      </w:r>
      <w:r>
        <w:rPr>
          <w:rFonts w:ascii="仿宋_GB2312" w:hAnsi="仿宋_GB2312" w:eastAsia="仿宋_GB2312" w:cs="仿宋_GB2312"/>
          <w:sz w:val="32"/>
        </w:rPr>
        <w:t xml:space="preserve">  县级以上地方人民政府应当按照产生者付费原则，建立生活垃圾处理收费制度。</w:t>
      </w:r>
    </w:p>
    <w:p>
      <w:pPr>
        <w:spacing w:line="560" w:lineRule="exact"/>
        <w:ind w:firstLine="640"/>
        <w:jc w:val="both"/>
      </w:pPr>
      <w:r>
        <w:rPr>
          <w:rFonts w:ascii="仿宋_GB2312" w:hAnsi="仿宋_GB2312" w:eastAsia="仿宋_GB2312" w:cs="仿宋_GB2312"/>
          <w:sz w:val="32"/>
        </w:rPr>
        <w:t>县级以上地方人民政府制定生活垃圾处理收费标准，应当根据本地实际，结合生活垃圾分类情况，体现分类计价、计量收费等差别化管理，并充分征求公众意见。生活垃圾处理收费标准应当向社会公布。</w:t>
      </w:r>
    </w:p>
    <w:p>
      <w:pPr>
        <w:spacing w:line="560" w:lineRule="exact"/>
        <w:ind w:firstLine="640"/>
        <w:jc w:val="both"/>
      </w:pPr>
      <w:r>
        <w:rPr>
          <w:rFonts w:ascii="仿宋_GB2312" w:hAnsi="仿宋_GB2312" w:eastAsia="仿宋_GB2312" w:cs="仿宋_GB2312"/>
          <w:sz w:val="32"/>
        </w:rPr>
        <w:t>生活垃圾处理费应当专项用于生活垃圾的收集、运输和处理等，不得挪作他用。</w:t>
      </w:r>
    </w:p>
    <w:p>
      <w:pPr>
        <w:spacing w:line="560" w:lineRule="exact"/>
        <w:ind w:firstLine="640"/>
        <w:jc w:val="both"/>
      </w:pPr>
      <w:r>
        <w:rPr>
          <w:rFonts w:ascii="黑体" w:hAnsi="黑体" w:eastAsia="黑体" w:cs="黑体"/>
          <w:sz w:val="32"/>
        </w:rPr>
        <w:t>第五十九条</w:t>
      </w:r>
      <w:r>
        <w:rPr>
          <w:rFonts w:ascii="仿宋_GB2312" w:hAnsi="仿宋_GB2312" w:eastAsia="仿宋_GB2312" w:cs="仿宋_GB2312"/>
          <w:sz w:val="32"/>
        </w:rPr>
        <w:t xml:space="preserve">  省、自治区、直辖市和设区的市、自治州可以结合实际，制定本地方生活垃圾具体管理办法。</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第五章  建筑垃圾、农业固体废物等</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第六十条</w:t>
      </w:r>
      <w:r>
        <w:rPr>
          <w:rFonts w:ascii="仿宋_GB2312" w:hAnsi="仿宋_GB2312" w:eastAsia="仿宋_GB2312" w:cs="仿宋_GB2312"/>
          <w:sz w:val="32"/>
        </w:rPr>
        <w:t xml:space="preserve">  县级以上地方人民政府应当加强建筑垃圾污染环境的防治，建立建筑垃圾分类处理制度。</w:t>
      </w:r>
    </w:p>
    <w:p>
      <w:pPr>
        <w:spacing w:line="560" w:lineRule="exact"/>
        <w:ind w:firstLine="640"/>
        <w:jc w:val="both"/>
      </w:pPr>
      <w:r>
        <w:rPr>
          <w:rFonts w:ascii="仿宋_GB2312" w:hAnsi="仿宋_GB2312" w:eastAsia="仿宋_GB2312" w:cs="仿宋_GB2312"/>
          <w:sz w:val="32"/>
        </w:rPr>
        <w:t>县级以上地方人民政府应当制定包括源头减量、分类处理、消纳设施和场所布局及建设等在内的建筑垃圾污染环境防治工作规划。</w:t>
      </w:r>
    </w:p>
    <w:p>
      <w:pPr>
        <w:spacing w:line="560" w:lineRule="exact"/>
        <w:ind w:firstLine="640"/>
        <w:jc w:val="both"/>
      </w:pPr>
      <w:r>
        <w:rPr>
          <w:rFonts w:ascii="黑体" w:hAnsi="黑体" w:eastAsia="黑体" w:cs="黑体"/>
          <w:sz w:val="32"/>
        </w:rPr>
        <w:t>第六十一条</w:t>
      </w:r>
      <w:r>
        <w:rPr>
          <w:rFonts w:ascii="仿宋_GB2312" w:hAnsi="仿宋_GB2312" w:eastAsia="仿宋_GB2312" w:cs="仿宋_GB2312"/>
          <w:sz w:val="32"/>
        </w:rPr>
        <w:t xml:space="preserve">  国家鼓励采用先进技术、工艺、设备和管理措施，推进建筑垃圾源头减量，建立建筑垃圾回收利用体系。</w:t>
      </w:r>
    </w:p>
    <w:p>
      <w:pPr>
        <w:spacing w:line="560" w:lineRule="exact"/>
        <w:ind w:firstLine="640"/>
        <w:jc w:val="both"/>
      </w:pPr>
      <w:r>
        <w:rPr>
          <w:rFonts w:ascii="仿宋_GB2312" w:hAnsi="仿宋_GB2312" w:eastAsia="仿宋_GB2312" w:cs="仿宋_GB2312"/>
          <w:sz w:val="32"/>
        </w:rPr>
        <w:t>县级以上地方人民政府应当推动建筑垃圾综合利用产品应用。</w:t>
      </w:r>
    </w:p>
    <w:p>
      <w:pPr>
        <w:spacing w:line="560" w:lineRule="exact"/>
        <w:ind w:firstLine="640"/>
        <w:jc w:val="both"/>
      </w:pPr>
      <w:r>
        <w:rPr>
          <w:rFonts w:ascii="黑体" w:hAnsi="黑体" w:eastAsia="黑体" w:cs="黑体"/>
          <w:sz w:val="32"/>
        </w:rPr>
        <w:t>第六十二条</w:t>
      </w:r>
      <w:r>
        <w:rPr>
          <w:rFonts w:ascii="仿宋_GB2312" w:hAnsi="仿宋_GB2312" w:eastAsia="仿宋_GB2312" w:cs="仿宋_GB2312"/>
          <w:sz w:val="32"/>
        </w:rPr>
        <w:t xml:space="preserve">  县级以上地方人民政府环境卫生主管部门负责建筑垃圾污染环境防治工作，建立建筑垃圾全过程管理制度，规范建筑垃圾产生、收集、贮存、运输、利用、处置行为，推进综合利用，加强建筑垃圾处置设施、场所建设，保障处置安全，防止污染环境。</w:t>
      </w:r>
    </w:p>
    <w:p>
      <w:pPr>
        <w:spacing w:line="560" w:lineRule="exact"/>
        <w:ind w:firstLine="640"/>
        <w:jc w:val="both"/>
      </w:pPr>
      <w:r>
        <w:rPr>
          <w:rFonts w:ascii="黑体" w:hAnsi="黑体" w:eastAsia="黑体" w:cs="黑体"/>
          <w:sz w:val="32"/>
        </w:rPr>
        <w:t>第六十三条</w:t>
      </w:r>
      <w:r>
        <w:rPr>
          <w:rFonts w:ascii="仿宋_GB2312" w:hAnsi="仿宋_GB2312" w:eastAsia="仿宋_GB2312" w:cs="仿宋_GB2312"/>
          <w:sz w:val="32"/>
        </w:rPr>
        <w:t xml:space="preserve">  工程施工单位应当编制建筑垃圾处理方案，采取污染防治措施，并报县级以上地方人民政府环境卫生主管部门备案。</w:t>
      </w:r>
    </w:p>
    <w:p>
      <w:pPr>
        <w:spacing w:line="560" w:lineRule="exact"/>
        <w:ind w:firstLine="640"/>
        <w:jc w:val="both"/>
      </w:pPr>
      <w:r>
        <w:rPr>
          <w:rFonts w:ascii="仿宋_GB2312" w:hAnsi="仿宋_GB2312" w:eastAsia="仿宋_GB2312" w:cs="仿宋_GB2312"/>
          <w:sz w:val="32"/>
        </w:rPr>
        <w:t>工程施工单位应当及时清运工程施工过程中产生的建筑垃圾等固体废物，并按照环境卫生主管部门的规定进行利用或者处置。</w:t>
      </w:r>
    </w:p>
    <w:p>
      <w:pPr>
        <w:spacing w:line="560" w:lineRule="exact"/>
        <w:ind w:firstLine="640"/>
        <w:jc w:val="both"/>
      </w:pPr>
      <w:r>
        <w:rPr>
          <w:rFonts w:ascii="仿宋_GB2312" w:hAnsi="仿宋_GB2312" w:eastAsia="仿宋_GB2312" w:cs="仿宋_GB2312"/>
          <w:sz w:val="32"/>
        </w:rPr>
        <w:t>工程施工单位不得擅自倾倒、抛撒或者堆放工程施工过程中产生的建筑垃圾。</w:t>
      </w:r>
    </w:p>
    <w:p>
      <w:pPr>
        <w:spacing w:line="560" w:lineRule="exact"/>
        <w:ind w:firstLine="640"/>
        <w:jc w:val="both"/>
      </w:pPr>
      <w:r>
        <w:rPr>
          <w:rFonts w:ascii="黑体" w:hAnsi="黑体" w:eastAsia="黑体" w:cs="黑体"/>
          <w:sz w:val="32"/>
        </w:rPr>
        <w:t>第六十四条</w:t>
      </w:r>
      <w:r>
        <w:rPr>
          <w:rFonts w:ascii="仿宋_GB2312" w:hAnsi="仿宋_GB2312" w:eastAsia="仿宋_GB2312" w:cs="仿宋_GB2312"/>
          <w:sz w:val="32"/>
        </w:rPr>
        <w:t xml:space="preserve">  县级以上人民政府农业农村主管部门负责指导农业固体废物回收利用体系建设，鼓励和引导有关单位和其他生产经营者依法收集、贮存、运输、利用、处置农业固体废物，加强监督管理，防止污染环境。</w:t>
      </w:r>
    </w:p>
    <w:p>
      <w:pPr>
        <w:spacing w:line="560" w:lineRule="exact"/>
        <w:ind w:firstLine="640"/>
        <w:jc w:val="both"/>
      </w:pPr>
      <w:r>
        <w:rPr>
          <w:rFonts w:ascii="黑体" w:hAnsi="黑体" w:eastAsia="黑体" w:cs="黑体"/>
          <w:sz w:val="32"/>
        </w:rPr>
        <w:t>第六十五条</w:t>
      </w:r>
      <w:r>
        <w:rPr>
          <w:rFonts w:ascii="仿宋_GB2312" w:hAnsi="仿宋_GB2312" w:eastAsia="仿宋_GB2312" w:cs="仿宋_GB2312"/>
          <w:sz w:val="32"/>
        </w:rPr>
        <w:t xml:space="preserve">  产生秸秆、废弃农用薄膜、农药包装废弃物等农业固体废物的单位和其他生产经营者，应当采取回收利用和其他防止污染环境的措施。</w:t>
      </w:r>
    </w:p>
    <w:p>
      <w:pPr>
        <w:spacing w:line="560" w:lineRule="exact"/>
        <w:ind w:firstLine="640"/>
        <w:jc w:val="both"/>
      </w:pPr>
      <w:r>
        <w:rPr>
          <w:rFonts w:ascii="仿宋_GB2312" w:hAnsi="仿宋_GB2312" w:eastAsia="仿宋_GB2312" w:cs="仿宋_GB2312"/>
          <w:sz w:val="32"/>
        </w:rPr>
        <w:t>从事畜禽规模养殖应当及时收集、贮存、利用或者处置养殖过程中产生的畜禽粪污等固体废物，避免造成环境污染。</w:t>
      </w:r>
    </w:p>
    <w:p>
      <w:pPr>
        <w:spacing w:line="560" w:lineRule="exact"/>
        <w:ind w:firstLine="640"/>
        <w:jc w:val="both"/>
      </w:pPr>
      <w:r>
        <w:rPr>
          <w:rFonts w:ascii="仿宋_GB2312" w:hAnsi="仿宋_GB2312" w:eastAsia="仿宋_GB2312" w:cs="仿宋_GB2312"/>
          <w:sz w:val="32"/>
        </w:rPr>
        <w:t>禁止在人口集中地区、机场周围、交通干线附近以及当地人民政府划定的其他区域露天焚烧秸秆。</w:t>
      </w:r>
    </w:p>
    <w:p>
      <w:pPr>
        <w:spacing w:line="560" w:lineRule="exact"/>
        <w:ind w:firstLine="640"/>
        <w:jc w:val="both"/>
      </w:pPr>
      <w:r>
        <w:rPr>
          <w:rFonts w:ascii="仿宋_GB2312" w:hAnsi="仿宋_GB2312" w:eastAsia="仿宋_GB2312" w:cs="仿宋_GB2312"/>
          <w:sz w:val="32"/>
        </w:rPr>
        <w:t>国家鼓励研究开发、生产、销售、使用在环境中可降解且无害的农用薄膜。</w:t>
      </w:r>
    </w:p>
    <w:p>
      <w:pPr>
        <w:spacing w:line="560" w:lineRule="exact"/>
        <w:ind w:firstLine="640"/>
        <w:jc w:val="both"/>
      </w:pPr>
      <w:r>
        <w:rPr>
          <w:rFonts w:ascii="黑体" w:hAnsi="黑体" w:eastAsia="黑体" w:cs="黑体"/>
          <w:sz w:val="32"/>
        </w:rPr>
        <w:t>第六十六条</w:t>
      </w:r>
      <w:r>
        <w:rPr>
          <w:rFonts w:ascii="仿宋_GB2312" w:hAnsi="仿宋_GB2312" w:eastAsia="仿宋_GB2312" w:cs="仿宋_GB2312"/>
          <w:sz w:val="32"/>
        </w:rPr>
        <w:t xml:space="preserve">  国家建立电器电子、铅蓄电池、车用动力电池等产品的生产者责任延伸制度。</w:t>
      </w:r>
    </w:p>
    <w:p>
      <w:pPr>
        <w:spacing w:line="560" w:lineRule="exact"/>
        <w:ind w:firstLine="640"/>
        <w:jc w:val="both"/>
      </w:pPr>
      <w:r>
        <w:rPr>
          <w:rFonts w:ascii="仿宋_GB2312" w:hAnsi="仿宋_GB2312" w:eastAsia="仿宋_GB2312" w:cs="仿宋_GB2312"/>
          <w:sz w:val="32"/>
        </w:rPr>
        <w:t>电器电子、铅蓄电池、车用动力电池等产品的生产者应当按照规定以自建或者委托等方式建立与产品销售量相匹配的废旧产品回收体系，并向社会公开，实现有效回收和利用。</w:t>
      </w:r>
    </w:p>
    <w:p>
      <w:pPr>
        <w:spacing w:line="560" w:lineRule="exact"/>
        <w:ind w:firstLine="640"/>
        <w:jc w:val="both"/>
      </w:pPr>
      <w:r>
        <w:rPr>
          <w:rFonts w:ascii="仿宋_GB2312" w:hAnsi="仿宋_GB2312" w:eastAsia="仿宋_GB2312" w:cs="仿宋_GB2312"/>
          <w:sz w:val="32"/>
        </w:rPr>
        <w:t>国家鼓励产品的生产者开展生态设计，促进资源回收利用。</w:t>
      </w:r>
    </w:p>
    <w:p>
      <w:pPr>
        <w:spacing w:line="560" w:lineRule="exact"/>
        <w:ind w:firstLine="640"/>
        <w:jc w:val="both"/>
      </w:pPr>
      <w:r>
        <w:rPr>
          <w:rFonts w:ascii="黑体" w:hAnsi="黑体" w:eastAsia="黑体" w:cs="黑体"/>
          <w:sz w:val="32"/>
        </w:rPr>
        <w:t>第六十七条</w:t>
      </w:r>
      <w:r>
        <w:rPr>
          <w:rFonts w:ascii="仿宋_GB2312" w:hAnsi="仿宋_GB2312" w:eastAsia="仿宋_GB2312" w:cs="仿宋_GB2312"/>
          <w:sz w:val="32"/>
        </w:rPr>
        <w:t xml:space="preserve">  国家对废弃电器电子产品等实行多渠道回收和集中处理制度。</w:t>
      </w:r>
    </w:p>
    <w:p>
      <w:pPr>
        <w:spacing w:line="560" w:lineRule="exact"/>
        <w:ind w:firstLine="640"/>
        <w:jc w:val="both"/>
      </w:pPr>
      <w:r>
        <w:rPr>
          <w:rFonts w:ascii="仿宋_GB2312" w:hAnsi="仿宋_GB2312" w:eastAsia="仿宋_GB2312" w:cs="仿宋_GB2312"/>
          <w:sz w:val="32"/>
        </w:rPr>
        <w:t>禁止将废弃机动车船等交由不符合规定条件的企业或者个人回收、拆解。</w:t>
      </w:r>
    </w:p>
    <w:p>
      <w:pPr>
        <w:spacing w:line="560" w:lineRule="exact"/>
        <w:ind w:firstLine="640"/>
        <w:jc w:val="both"/>
      </w:pPr>
      <w:r>
        <w:rPr>
          <w:rFonts w:ascii="仿宋_GB2312" w:hAnsi="仿宋_GB2312" w:eastAsia="仿宋_GB2312" w:cs="仿宋_GB2312"/>
          <w:sz w:val="32"/>
        </w:rPr>
        <w:t>拆解、利用、处置废弃电器电子产品、废弃机动车船等，应当遵守有关法律法规的规定，采取防止污染环境的措施。</w:t>
      </w:r>
    </w:p>
    <w:p>
      <w:pPr>
        <w:spacing w:line="560" w:lineRule="exact"/>
        <w:ind w:firstLine="640"/>
        <w:jc w:val="both"/>
      </w:pPr>
      <w:r>
        <w:rPr>
          <w:rFonts w:ascii="黑体" w:hAnsi="黑体" w:eastAsia="黑体" w:cs="黑体"/>
          <w:sz w:val="32"/>
        </w:rPr>
        <w:t>第六十八条</w:t>
      </w:r>
      <w:r>
        <w:rPr>
          <w:rFonts w:ascii="仿宋_GB2312" w:hAnsi="仿宋_GB2312" w:eastAsia="仿宋_GB2312" w:cs="仿宋_GB2312"/>
          <w:sz w:val="32"/>
        </w:rPr>
        <w:t xml:space="preserve">  产品和包装物的设计、制造，应当遵守国家有关清洁生产的规定。国务院标准化主管部门应当根据国家经济和技术条件、固体废物污染环境防治状况以及产品的技术要求，组织制定有关标准，防止过度包装造成环境污染。</w:t>
      </w:r>
    </w:p>
    <w:p>
      <w:pPr>
        <w:spacing w:line="560" w:lineRule="exact"/>
        <w:ind w:firstLine="640"/>
        <w:jc w:val="both"/>
      </w:pPr>
      <w:r>
        <w:rPr>
          <w:rFonts w:ascii="仿宋_GB2312" w:hAnsi="仿宋_GB2312" w:eastAsia="仿宋_GB2312" w:cs="仿宋_GB2312"/>
          <w:sz w:val="32"/>
        </w:rPr>
        <w:t>生产经营者应当遵守限制商品过度包装的强制性标准，避免过度包装。县级以上地方人民政府市场监督管理部门和有关部门应当按照各自职责，加强对过度包装的监督管理。</w:t>
      </w:r>
    </w:p>
    <w:p>
      <w:pPr>
        <w:spacing w:line="560" w:lineRule="exact"/>
        <w:ind w:firstLine="640"/>
        <w:jc w:val="both"/>
      </w:pPr>
      <w:r>
        <w:rPr>
          <w:rFonts w:ascii="仿宋_GB2312" w:hAnsi="仿宋_GB2312" w:eastAsia="仿宋_GB2312" w:cs="仿宋_GB2312"/>
          <w:sz w:val="32"/>
        </w:rPr>
        <w:t>生产、销售、进口依法被列入强制回收目录的产品和包装物的企业，应当按照国家有关规定对该产品和包装物进行回收。</w:t>
      </w:r>
    </w:p>
    <w:p>
      <w:pPr>
        <w:spacing w:line="560" w:lineRule="exact"/>
        <w:ind w:firstLine="640"/>
        <w:jc w:val="both"/>
      </w:pPr>
      <w:r>
        <w:rPr>
          <w:rFonts w:ascii="仿宋_GB2312" w:hAnsi="仿宋_GB2312" w:eastAsia="仿宋_GB2312" w:cs="仿宋_GB2312"/>
          <w:sz w:val="32"/>
        </w:rPr>
        <w:t>电子商务、快递、外卖等行业应当优先采用可重复使用、易回收利用的包装物，优化物品包装，减少包装物的使用，并积极回收利用包装物。县级以上地方人民政府商务、邮政等主管部门应当加强监督管理。</w:t>
      </w:r>
    </w:p>
    <w:p>
      <w:pPr>
        <w:spacing w:line="560" w:lineRule="exact"/>
        <w:ind w:firstLine="640"/>
        <w:jc w:val="both"/>
      </w:pPr>
      <w:r>
        <w:rPr>
          <w:rFonts w:ascii="仿宋_GB2312" w:hAnsi="仿宋_GB2312" w:eastAsia="仿宋_GB2312" w:cs="仿宋_GB2312"/>
          <w:sz w:val="32"/>
        </w:rPr>
        <w:t>国家鼓励和引导消费者使用绿色包装和减量包装。</w:t>
      </w:r>
    </w:p>
    <w:p>
      <w:pPr>
        <w:spacing w:line="560" w:lineRule="exact"/>
        <w:ind w:firstLine="640"/>
        <w:jc w:val="both"/>
      </w:pPr>
      <w:r>
        <w:rPr>
          <w:rFonts w:ascii="黑体" w:hAnsi="黑体" w:eastAsia="黑体" w:cs="黑体"/>
          <w:sz w:val="32"/>
        </w:rPr>
        <w:t>第六十九条</w:t>
      </w:r>
      <w:r>
        <w:rPr>
          <w:rFonts w:ascii="仿宋_GB2312" w:hAnsi="仿宋_GB2312" w:eastAsia="仿宋_GB2312" w:cs="仿宋_GB2312"/>
          <w:sz w:val="32"/>
        </w:rPr>
        <w:t xml:space="preserve">  国家依法禁止、限制生产、销售和使用不可降解塑料袋等一次性塑料制品。</w:t>
      </w:r>
    </w:p>
    <w:p>
      <w:pPr>
        <w:spacing w:line="560" w:lineRule="exact"/>
        <w:ind w:firstLine="640"/>
        <w:jc w:val="both"/>
      </w:pPr>
      <w:r>
        <w:rPr>
          <w:rFonts w:ascii="仿宋_GB2312" w:hAnsi="仿宋_GB2312" w:eastAsia="仿宋_GB2312" w:cs="仿宋_GB2312"/>
          <w:sz w:val="32"/>
        </w:rPr>
        <w:t>商品零售场所开办单位、电子商务平台企业和快递企业、外卖企业应当按照国家有关规定向商务、邮政等主管部门报告塑料袋等一次性塑料制品的使用、回收情况。</w:t>
      </w:r>
    </w:p>
    <w:p>
      <w:pPr>
        <w:spacing w:line="560" w:lineRule="exact"/>
        <w:ind w:firstLine="640"/>
        <w:jc w:val="both"/>
      </w:pPr>
      <w:r>
        <w:rPr>
          <w:rFonts w:ascii="仿宋_GB2312" w:hAnsi="仿宋_GB2312" w:eastAsia="仿宋_GB2312" w:cs="仿宋_GB2312"/>
          <w:sz w:val="32"/>
        </w:rPr>
        <w:t>国家鼓励和引导减少使用、积极回收塑料袋等一次性塑料制品，推广应用可循环、易回收、可降解的替代产品。</w:t>
      </w:r>
    </w:p>
    <w:p>
      <w:pPr>
        <w:spacing w:line="560" w:lineRule="exact"/>
        <w:ind w:firstLine="640"/>
        <w:jc w:val="both"/>
      </w:pPr>
      <w:r>
        <w:rPr>
          <w:rFonts w:ascii="黑体" w:hAnsi="黑体" w:eastAsia="黑体" w:cs="黑体"/>
          <w:sz w:val="32"/>
        </w:rPr>
        <w:t>第七十条</w:t>
      </w:r>
      <w:r>
        <w:rPr>
          <w:rFonts w:ascii="仿宋_GB2312" w:hAnsi="仿宋_GB2312" w:eastAsia="仿宋_GB2312" w:cs="仿宋_GB2312"/>
          <w:sz w:val="32"/>
        </w:rPr>
        <w:t xml:space="preserve">  旅游、住宿等行业应当按照国家有关规定推行不主动提供一次性用品。</w:t>
      </w:r>
    </w:p>
    <w:p>
      <w:pPr>
        <w:spacing w:line="560" w:lineRule="exact"/>
        <w:ind w:firstLine="640"/>
        <w:jc w:val="both"/>
      </w:pPr>
      <w:r>
        <w:rPr>
          <w:rFonts w:ascii="仿宋_GB2312" w:hAnsi="仿宋_GB2312" w:eastAsia="仿宋_GB2312" w:cs="仿宋_GB2312"/>
          <w:sz w:val="32"/>
        </w:rPr>
        <w:t>机关、企业事业单位等的办公场所应当使用有利于保护环境的产品、设备和设施，减少使用一次性办公用品。</w:t>
      </w:r>
    </w:p>
    <w:p>
      <w:pPr>
        <w:spacing w:line="560" w:lineRule="exact"/>
        <w:ind w:firstLine="640"/>
        <w:jc w:val="both"/>
      </w:pPr>
      <w:r>
        <w:rPr>
          <w:rFonts w:ascii="黑体" w:hAnsi="黑体" w:eastAsia="黑体" w:cs="黑体"/>
          <w:sz w:val="32"/>
        </w:rPr>
        <w:t>第七十一条</w:t>
      </w:r>
      <w:r>
        <w:rPr>
          <w:rFonts w:ascii="仿宋_GB2312" w:hAnsi="仿宋_GB2312" w:eastAsia="仿宋_GB2312" w:cs="仿宋_GB2312"/>
          <w:sz w:val="32"/>
        </w:rPr>
        <w:t xml:space="preserve">  城镇污水处理设施维护运营单位或者污泥处理单位应当安全处理污泥，保证处理后的污泥符合国家有关标准，对污泥的流向、用途、用量等进行跟踪、记录，并报告城镇排水主管部门、生态环境主管部门。</w:t>
      </w:r>
    </w:p>
    <w:p>
      <w:pPr>
        <w:spacing w:line="560" w:lineRule="exact"/>
        <w:ind w:firstLine="640"/>
        <w:jc w:val="both"/>
      </w:pPr>
      <w:r>
        <w:rPr>
          <w:rFonts w:ascii="仿宋_GB2312" w:hAnsi="仿宋_GB2312" w:eastAsia="仿宋_GB2312" w:cs="仿宋_GB2312"/>
          <w:sz w:val="32"/>
        </w:rPr>
        <w:t>县级以上人民政府城镇排水主管部门应当将污泥处理设施纳入城镇排水与污水处理规划，推动同步建设污泥处理设施与污水处理设施，鼓励协同处理，污水处理费征收标准和补偿范围应当覆盖污泥处理成本和污水处理设施正常运营成本。</w:t>
      </w:r>
    </w:p>
    <w:p>
      <w:pPr>
        <w:spacing w:line="560" w:lineRule="exact"/>
        <w:ind w:firstLine="640"/>
        <w:jc w:val="both"/>
      </w:pPr>
      <w:r>
        <w:rPr>
          <w:rFonts w:ascii="黑体" w:hAnsi="黑体" w:eastAsia="黑体" w:cs="黑体"/>
          <w:sz w:val="32"/>
        </w:rPr>
        <w:t>第七十二条</w:t>
      </w:r>
      <w:r>
        <w:rPr>
          <w:rFonts w:ascii="仿宋_GB2312" w:hAnsi="仿宋_GB2312" w:eastAsia="仿宋_GB2312" w:cs="仿宋_GB2312"/>
          <w:sz w:val="32"/>
        </w:rPr>
        <w:t xml:space="preserve">  禁止擅自倾倒、堆放、丢弃、遗撒城镇污水处理设施产生的污泥和处理后的污泥。</w:t>
      </w:r>
    </w:p>
    <w:p>
      <w:pPr>
        <w:spacing w:line="560" w:lineRule="exact"/>
        <w:ind w:firstLine="640"/>
        <w:jc w:val="both"/>
      </w:pPr>
      <w:r>
        <w:rPr>
          <w:rFonts w:ascii="仿宋_GB2312" w:hAnsi="仿宋_GB2312" w:eastAsia="仿宋_GB2312" w:cs="仿宋_GB2312"/>
          <w:sz w:val="32"/>
        </w:rPr>
        <w:t>禁止重金属或者其他有毒有害物质含量超标的污泥进入农用地。</w:t>
      </w:r>
    </w:p>
    <w:p>
      <w:pPr>
        <w:spacing w:line="560" w:lineRule="exact"/>
        <w:ind w:firstLine="640"/>
        <w:jc w:val="both"/>
      </w:pPr>
      <w:r>
        <w:rPr>
          <w:rFonts w:ascii="仿宋_GB2312" w:hAnsi="仿宋_GB2312" w:eastAsia="仿宋_GB2312" w:cs="仿宋_GB2312"/>
          <w:sz w:val="32"/>
        </w:rPr>
        <w:t>从事水体清淤疏浚应当按照国家有关规定处理清淤疏浚过程中产生的底泥，防止污染环境。</w:t>
      </w:r>
    </w:p>
    <w:p>
      <w:pPr>
        <w:spacing w:line="560" w:lineRule="exact"/>
        <w:ind w:firstLine="640"/>
        <w:jc w:val="both"/>
      </w:pPr>
      <w:r>
        <w:rPr>
          <w:rFonts w:ascii="黑体" w:hAnsi="黑体" w:eastAsia="黑体" w:cs="黑体"/>
          <w:sz w:val="32"/>
        </w:rPr>
        <w:t>第七十三条</w:t>
      </w:r>
      <w:r>
        <w:rPr>
          <w:rFonts w:ascii="仿宋_GB2312" w:hAnsi="仿宋_GB2312" w:eastAsia="仿宋_GB2312" w:cs="仿宋_GB2312"/>
          <w:sz w:val="32"/>
        </w:rPr>
        <w:t xml:space="preserve">  各级各类实验室及其设立单位应当加强对实验室产生的固体废物的管理，依法收集、贮存、运输、利用、处置实验室固体废物。实验室固体废物属于危险废物的，应当按照危险废物管理。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第六章  危险废物</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第七十四条</w:t>
      </w:r>
      <w:r>
        <w:rPr>
          <w:rFonts w:ascii="仿宋_GB2312" w:hAnsi="仿宋_GB2312" w:eastAsia="仿宋_GB2312" w:cs="仿宋_GB2312"/>
          <w:sz w:val="32"/>
        </w:rPr>
        <w:t xml:space="preserve">  危险废物污染环境的防治，适用本章规定；本章未作规定的，适用本法其他有关规定。</w:t>
      </w:r>
    </w:p>
    <w:p>
      <w:pPr>
        <w:spacing w:line="560" w:lineRule="exact"/>
        <w:ind w:firstLine="640"/>
        <w:jc w:val="both"/>
      </w:pPr>
      <w:r>
        <w:rPr>
          <w:rFonts w:ascii="黑体" w:hAnsi="黑体" w:eastAsia="黑体" w:cs="黑体"/>
          <w:sz w:val="32"/>
        </w:rPr>
        <w:t>第七十五条</w:t>
      </w:r>
      <w:r>
        <w:rPr>
          <w:rFonts w:ascii="仿宋_GB2312" w:hAnsi="仿宋_GB2312" w:eastAsia="仿宋_GB2312" w:cs="仿宋_GB2312"/>
          <w:sz w:val="32"/>
        </w:rPr>
        <w:t xml:space="preserve">  国务院生态环境主管部门应当会同国务院有关部门制定国家危险废物名录，规定统一的危险废物鉴别标准、鉴别方法、识别标志和鉴别单位管理要求。国家危险废物名录应当动态调整。</w:t>
      </w:r>
    </w:p>
    <w:p>
      <w:pPr>
        <w:spacing w:line="560" w:lineRule="exact"/>
        <w:ind w:firstLine="640"/>
        <w:jc w:val="both"/>
      </w:pPr>
      <w:r>
        <w:rPr>
          <w:rFonts w:ascii="仿宋_GB2312" w:hAnsi="仿宋_GB2312" w:eastAsia="仿宋_GB2312" w:cs="仿宋_GB2312"/>
          <w:sz w:val="32"/>
        </w:rPr>
        <w:t>国务院生态环境主管部门根据危险废物的危害特性和产生数量，科学评估其环境风险，实施分级分类管理，建立信息化监管体系，并通过信息化手段管理、共享危险废物转移数据和信息。</w:t>
      </w:r>
    </w:p>
    <w:p>
      <w:pPr>
        <w:spacing w:line="560" w:lineRule="exact"/>
        <w:ind w:firstLine="640"/>
        <w:jc w:val="both"/>
      </w:pPr>
      <w:r>
        <w:rPr>
          <w:rFonts w:ascii="黑体" w:hAnsi="黑体" w:eastAsia="黑体" w:cs="黑体"/>
          <w:sz w:val="32"/>
        </w:rPr>
        <w:t>第七十六条</w:t>
      </w:r>
      <w:r>
        <w:rPr>
          <w:rFonts w:ascii="仿宋_GB2312" w:hAnsi="仿宋_GB2312" w:eastAsia="仿宋_GB2312" w:cs="仿宋_GB2312"/>
          <w:sz w:val="32"/>
        </w:rPr>
        <w:t xml:space="preserve">  省、自治区、直辖市人民政府应当组织有关部门编制危险废物集中处置设施、场所的建设规划，科学评估危险废物处置需求，合理布局危险废物集中处置设施、场所，确保本行政区域的危险废物得到妥善处置。</w:t>
      </w:r>
    </w:p>
    <w:p>
      <w:pPr>
        <w:spacing w:line="560" w:lineRule="exact"/>
        <w:ind w:firstLine="640"/>
        <w:jc w:val="both"/>
      </w:pPr>
      <w:r>
        <w:rPr>
          <w:rFonts w:ascii="仿宋_GB2312" w:hAnsi="仿宋_GB2312" w:eastAsia="仿宋_GB2312" w:cs="仿宋_GB2312"/>
          <w:sz w:val="32"/>
        </w:rPr>
        <w:t>编制危险废物集中处置设施、场所的建设规划，应当征求有关行业协会、企业事业单位、专家和公众等方面的意见。</w:t>
      </w:r>
    </w:p>
    <w:p>
      <w:pPr>
        <w:spacing w:line="560" w:lineRule="exact"/>
        <w:ind w:firstLine="640"/>
        <w:jc w:val="both"/>
      </w:pPr>
      <w:r>
        <w:rPr>
          <w:rFonts w:ascii="仿宋_GB2312" w:hAnsi="仿宋_GB2312" w:eastAsia="仿宋_GB2312" w:cs="仿宋_GB2312"/>
          <w:sz w:val="32"/>
        </w:rPr>
        <w:t>相邻省、自治区、直辖市之间可以开展区域合作，统筹建设区域性危险废物集中处置设施、场所。</w:t>
      </w:r>
    </w:p>
    <w:p>
      <w:pPr>
        <w:spacing w:line="560" w:lineRule="exact"/>
        <w:ind w:firstLine="640"/>
        <w:jc w:val="both"/>
      </w:pPr>
      <w:r>
        <w:rPr>
          <w:rFonts w:ascii="黑体" w:hAnsi="黑体" w:eastAsia="黑体" w:cs="黑体"/>
          <w:sz w:val="32"/>
        </w:rPr>
        <w:t>第七十七条</w:t>
      </w:r>
      <w:r>
        <w:rPr>
          <w:rFonts w:ascii="仿宋_GB2312" w:hAnsi="仿宋_GB2312" w:eastAsia="仿宋_GB2312" w:cs="仿宋_GB2312"/>
          <w:sz w:val="32"/>
        </w:rPr>
        <w:t xml:space="preserve">  对危险废物的容器和包装物以及收集、贮存、运输、利用、处置危险废物的设施、场所，应当按照规定设置危险废物识别标志。</w:t>
      </w:r>
    </w:p>
    <w:p>
      <w:pPr>
        <w:spacing w:line="560" w:lineRule="exact"/>
        <w:ind w:firstLine="640"/>
        <w:jc w:val="both"/>
      </w:pPr>
      <w:r>
        <w:rPr>
          <w:rFonts w:ascii="黑体" w:hAnsi="黑体" w:eastAsia="黑体" w:cs="黑体"/>
          <w:sz w:val="32"/>
        </w:rPr>
        <w:t>第七十八条</w:t>
      </w:r>
      <w:r>
        <w:rPr>
          <w:rFonts w:ascii="仿宋_GB2312" w:hAnsi="仿宋_GB2312" w:eastAsia="仿宋_GB2312" w:cs="仿宋_GB2312"/>
          <w:sz w:val="32"/>
        </w:rPr>
        <w:t xml:space="preserve">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pPr>
        <w:spacing w:line="560" w:lineRule="exact"/>
        <w:ind w:firstLine="640"/>
        <w:jc w:val="both"/>
      </w:pPr>
      <w:r>
        <w:rPr>
          <w:rFonts w:ascii="仿宋_GB2312" w:hAnsi="仿宋_GB2312" w:eastAsia="仿宋_GB2312" w:cs="仿宋_GB2312"/>
          <w:sz w:val="32"/>
        </w:rPr>
        <w:t>前款所称危险废物管理计划应当包括减少危险废物产生量和降低危险废物危害性的措施以及危险废物贮存、利用、处置措施。危险废物管理计划应当报产生危险废物的单位所在地生态环境主管部门备案。</w:t>
      </w:r>
    </w:p>
    <w:p>
      <w:pPr>
        <w:spacing w:line="560" w:lineRule="exact"/>
        <w:ind w:firstLine="640"/>
        <w:jc w:val="both"/>
      </w:pPr>
      <w:r>
        <w:rPr>
          <w:rFonts w:ascii="仿宋_GB2312" w:hAnsi="仿宋_GB2312" w:eastAsia="仿宋_GB2312" w:cs="仿宋_GB2312"/>
          <w:sz w:val="32"/>
        </w:rPr>
        <w:t>产生危险废物的单位已经取得排污许可证的，执行排污许可管理制度的规定。</w:t>
      </w:r>
    </w:p>
    <w:p>
      <w:pPr>
        <w:spacing w:line="560" w:lineRule="exact"/>
        <w:ind w:firstLine="640"/>
        <w:jc w:val="both"/>
      </w:pPr>
      <w:r>
        <w:rPr>
          <w:rFonts w:ascii="黑体" w:hAnsi="黑体" w:eastAsia="黑体" w:cs="黑体"/>
          <w:sz w:val="32"/>
        </w:rPr>
        <w:t>第七十九条</w:t>
      </w:r>
      <w:r>
        <w:rPr>
          <w:rFonts w:ascii="仿宋_GB2312" w:hAnsi="仿宋_GB2312" w:eastAsia="仿宋_GB2312" w:cs="仿宋_GB2312"/>
          <w:sz w:val="32"/>
        </w:rPr>
        <w:t xml:space="preserve">  产生危险废物的单位，应当按照国家有关规定和环境保护标准要求贮存、利用、处置危险废物，不得擅自倾倒、堆放。</w:t>
      </w:r>
    </w:p>
    <w:p>
      <w:pPr>
        <w:spacing w:line="560" w:lineRule="exact"/>
        <w:ind w:firstLine="640"/>
        <w:jc w:val="both"/>
      </w:pPr>
      <w:r>
        <w:rPr>
          <w:rFonts w:ascii="黑体" w:hAnsi="黑体" w:eastAsia="黑体" w:cs="黑体"/>
          <w:sz w:val="32"/>
        </w:rPr>
        <w:t>第八十条</w:t>
      </w:r>
      <w:r>
        <w:rPr>
          <w:rFonts w:ascii="仿宋_GB2312" w:hAnsi="仿宋_GB2312" w:eastAsia="仿宋_GB2312" w:cs="仿宋_GB2312"/>
          <w:sz w:val="32"/>
        </w:rPr>
        <w:t xml:space="preserve">  从事收集、贮存、利用、处置危险废物经营活动的单位，应当按照国家有关规定申请取得许可证。许可证的具体管理办法由国务院制定。</w:t>
      </w:r>
    </w:p>
    <w:p>
      <w:pPr>
        <w:spacing w:line="560" w:lineRule="exact"/>
        <w:ind w:firstLine="640"/>
        <w:jc w:val="both"/>
      </w:pPr>
      <w:r>
        <w:rPr>
          <w:rFonts w:ascii="仿宋_GB2312" w:hAnsi="仿宋_GB2312" w:eastAsia="仿宋_GB2312" w:cs="仿宋_GB2312"/>
          <w:sz w:val="32"/>
        </w:rPr>
        <w:t>禁止无许可证或者未按照许可证规定从事危险废物收集、贮存、利用、处置的经营活动。</w:t>
      </w:r>
    </w:p>
    <w:p>
      <w:pPr>
        <w:spacing w:line="560" w:lineRule="exact"/>
        <w:ind w:firstLine="640"/>
        <w:jc w:val="both"/>
      </w:pPr>
      <w:r>
        <w:rPr>
          <w:rFonts w:ascii="仿宋_GB2312" w:hAnsi="仿宋_GB2312" w:eastAsia="仿宋_GB2312" w:cs="仿宋_GB2312"/>
          <w:sz w:val="32"/>
        </w:rPr>
        <w:t>禁止将危险废物提供或者委托给无许可证的单位或者其他生产经营者从事收集、贮存、利用、处置活动。</w:t>
      </w:r>
    </w:p>
    <w:p>
      <w:pPr>
        <w:spacing w:line="560" w:lineRule="exact"/>
        <w:ind w:firstLine="640"/>
        <w:jc w:val="both"/>
      </w:pPr>
      <w:r>
        <w:rPr>
          <w:rFonts w:ascii="黑体" w:hAnsi="黑体" w:eastAsia="黑体" w:cs="黑体"/>
          <w:sz w:val="32"/>
        </w:rPr>
        <w:t>第八十一条</w:t>
      </w:r>
      <w:r>
        <w:rPr>
          <w:rFonts w:ascii="仿宋_GB2312" w:hAnsi="仿宋_GB2312" w:eastAsia="仿宋_GB2312" w:cs="仿宋_GB2312"/>
          <w:sz w:val="32"/>
        </w:rPr>
        <w:t xml:space="preserve">  收集、贮存危险废物，应当按照危险废物特性分类进行。禁止混合收集、贮存、运输、处置性质不相容而未经安全性处置的危险废物。</w:t>
      </w:r>
    </w:p>
    <w:p>
      <w:pPr>
        <w:spacing w:line="560" w:lineRule="exact"/>
        <w:ind w:firstLine="640"/>
        <w:jc w:val="both"/>
      </w:pPr>
      <w:r>
        <w:rPr>
          <w:rFonts w:ascii="仿宋_GB2312" w:hAnsi="仿宋_GB2312" w:eastAsia="仿宋_GB2312" w:cs="仿宋_GB2312"/>
          <w:sz w:val="32"/>
        </w:rPr>
        <w:t>贮存危险废物应当采取符合国家环境保护标准的防护措施。禁止将危险废物混入非危险废物中贮存。</w:t>
      </w:r>
    </w:p>
    <w:p>
      <w:pPr>
        <w:spacing w:line="560" w:lineRule="exact"/>
        <w:ind w:firstLine="640"/>
        <w:jc w:val="both"/>
      </w:pPr>
      <w:r>
        <w:rPr>
          <w:rFonts w:ascii="仿宋_GB2312" w:hAnsi="仿宋_GB2312" w:eastAsia="仿宋_GB2312" w:cs="仿宋_GB2312"/>
          <w:sz w:val="32"/>
        </w:rPr>
        <w:t>从事收集、贮存、利用、处置危险废物经营活动的单位，贮存危险废物不得超过一年；确需延长期限的，应当报经颁发许可证的生态环境主管部门批准；法律、行政法规另有规定的除外。</w:t>
      </w:r>
    </w:p>
    <w:p>
      <w:pPr>
        <w:spacing w:line="560" w:lineRule="exact"/>
        <w:ind w:firstLine="640"/>
        <w:jc w:val="both"/>
      </w:pPr>
      <w:r>
        <w:rPr>
          <w:rFonts w:ascii="黑体" w:hAnsi="黑体" w:eastAsia="黑体" w:cs="黑体"/>
          <w:sz w:val="32"/>
        </w:rPr>
        <w:t>第八十二条</w:t>
      </w:r>
      <w:r>
        <w:rPr>
          <w:rFonts w:ascii="仿宋_GB2312" w:hAnsi="仿宋_GB2312" w:eastAsia="仿宋_GB2312" w:cs="仿宋_GB2312"/>
          <w:sz w:val="32"/>
        </w:rPr>
        <w:t xml:space="preserve">  转移危险废物的，应当按照国家有关规定填写、运行危险废物电子或者纸质转移联单。</w:t>
      </w:r>
    </w:p>
    <w:p>
      <w:pPr>
        <w:spacing w:line="560" w:lineRule="exact"/>
        <w:ind w:firstLine="640"/>
        <w:jc w:val="both"/>
      </w:pPr>
      <w:r>
        <w:rPr>
          <w:rFonts w:ascii="仿宋_GB2312" w:hAnsi="仿宋_GB2312" w:eastAsia="仿宋_GB2312" w:cs="仿宋_GB2312"/>
          <w:sz w:val="32"/>
        </w:rPr>
        <w:t>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w:t>
      </w:r>
    </w:p>
    <w:p>
      <w:pPr>
        <w:spacing w:line="560" w:lineRule="exact"/>
        <w:ind w:firstLine="640"/>
        <w:jc w:val="both"/>
      </w:pPr>
      <w:r>
        <w:rPr>
          <w:rFonts w:ascii="仿宋_GB2312" w:hAnsi="仿宋_GB2312" w:eastAsia="仿宋_GB2312" w:cs="仿宋_GB2312"/>
          <w:sz w:val="32"/>
        </w:rPr>
        <w:t>危险废物转移管理应当全程管控、提高效率，具体办法由国务院生态环境主管部门会同国务院交通运输主管部门和公安部门制定。</w:t>
      </w:r>
    </w:p>
    <w:p>
      <w:pPr>
        <w:spacing w:line="560" w:lineRule="exact"/>
        <w:ind w:firstLine="640"/>
        <w:jc w:val="both"/>
      </w:pPr>
      <w:r>
        <w:rPr>
          <w:rFonts w:ascii="黑体" w:hAnsi="黑体" w:eastAsia="黑体" w:cs="黑体"/>
          <w:sz w:val="32"/>
        </w:rPr>
        <w:t>第八十三条</w:t>
      </w:r>
      <w:r>
        <w:rPr>
          <w:rFonts w:ascii="仿宋_GB2312" w:hAnsi="仿宋_GB2312" w:eastAsia="仿宋_GB2312" w:cs="仿宋_GB2312"/>
          <w:sz w:val="32"/>
        </w:rPr>
        <w:t xml:space="preserve">  运输危险废物，应当采取防止污染环境的措施，并遵守国家有关危险货物运输管理的规定。</w:t>
      </w:r>
    </w:p>
    <w:p>
      <w:pPr>
        <w:spacing w:line="560" w:lineRule="exact"/>
        <w:ind w:firstLine="640"/>
        <w:jc w:val="both"/>
      </w:pPr>
      <w:r>
        <w:rPr>
          <w:rFonts w:ascii="仿宋_GB2312" w:hAnsi="仿宋_GB2312" w:eastAsia="仿宋_GB2312" w:cs="仿宋_GB2312"/>
          <w:sz w:val="32"/>
        </w:rPr>
        <w:t>禁止将危险废物与旅客在同一运输工具上载运。</w:t>
      </w:r>
    </w:p>
    <w:p>
      <w:pPr>
        <w:spacing w:line="560" w:lineRule="exact"/>
        <w:ind w:firstLine="640"/>
        <w:jc w:val="both"/>
      </w:pPr>
      <w:r>
        <w:rPr>
          <w:rFonts w:ascii="黑体" w:hAnsi="黑体" w:eastAsia="黑体" w:cs="黑体"/>
          <w:sz w:val="32"/>
        </w:rPr>
        <w:t>第八十四条</w:t>
      </w:r>
      <w:r>
        <w:rPr>
          <w:rFonts w:ascii="仿宋_GB2312" w:hAnsi="仿宋_GB2312" w:eastAsia="仿宋_GB2312" w:cs="仿宋_GB2312"/>
          <w:sz w:val="32"/>
        </w:rPr>
        <w:t xml:space="preserve">  收集、贮存、运输、利用、处置危险废物的场所、设施、设备和容器、包装物及其他物品转作他用时，应当按照国家有关规定经过消除污染处理，方可使用。</w:t>
      </w:r>
    </w:p>
    <w:p>
      <w:pPr>
        <w:spacing w:line="560" w:lineRule="exact"/>
        <w:ind w:firstLine="640"/>
        <w:jc w:val="both"/>
      </w:pPr>
      <w:r>
        <w:rPr>
          <w:rFonts w:ascii="黑体" w:hAnsi="黑体" w:eastAsia="黑体" w:cs="黑体"/>
          <w:sz w:val="32"/>
        </w:rPr>
        <w:t>第八十五条</w:t>
      </w:r>
      <w:r>
        <w:rPr>
          <w:rFonts w:ascii="仿宋_GB2312" w:hAnsi="仿宋_GB2312" w:eastAsia="仿宋_GB2312" w:cs="仿宋_GB2312"/>
          <w:sz w:val="32"/>
        </w:rPr>
        <w:t xml:space="preserve">  产生、收集、贮存、运输、利用、处置危险废物的单位，应当依法制定意外事故的防范措施和应急预案，并向所在地生态环境主管部门和其他负有固体废物污染环境防治监督管理职责的部门备案；生态环境主管部门和其他负有固体废物污染环境防治监督管理职责的部门应当进行检查。</w:t>
      </w:r>
    </w:p>
    <w:p>
      <w:pPr>
        <w:spacing w:line="560" w:lineRule="exact"/>
        <w:ind w:firstLine="640"/>
        <w:jc w:val="both"/>
      </w:pPr>
      <w:r>
        <w:rPr>
          <w:rFonts w:ascii="黑体" w:hAnsi="黑体" w:eastAsia="黑体" w:cs="黑体"/>
          <w:sz w:val="32"/>
        </w:rPr>
        <w:t>第八十六条</w:t>
      </w:r>
      <w:r>
        <w:rPr>
          <w:rFonts w:ascii="仿宋_GB2312" w:hAnsi="仿宋_GB2312" w:eastAsia="仿宋_GB2312" w:cs="仿宋_GB2312"/>
          <w:sz w:val="32"/>
        </w:rPr>
        <w:t xml:space="preserve">  因发生事故或者其他突发性事件，造成危险废物严重污染环境的单位，应当立即采取有效措施消除或者减轻对环境的污染危害，及时通报可能受到污染危害的单位和居民，并向所在地生态环境主管部门和有关部门报告，接受调查处理。</w:t>
      </w:r>
    </w:p>
    <w:p>
      <w:pPr>
        <w:spacing w:line="560" w:lineRule="exact"/>
        <w:ind w:firstLine="640"/>
        <w:jc w:val="both"/>
      </w:pPr>
      <w:r>
        <w:rPr>
          <w:rFonts w:ascii="黑体" w:hAnsi="黑体" w:eastAsia="黑体" w:cs="黑体"/>
          <w:sz w:val="32"/>
        </w:rPr>
        <w:t>第八十七条</w:t>
      </w:r>
      <w:r>
        <w:rPr>
          <w:rFonts w:ascii="仿宋_GB2312" w:hAnsi="仿宋_GB2312" w:eastAsia="仿宋_GB2312" w:cs="仿宋_GB2312"/>
          <w:sz w:val="32"/>
        </w:rPr>
        <w:t xml:space="preserve">  在发生或者有证据证明可能发生危险废物严重污染环境、威胁居民生命财产安全时，生态环境主管部门或者其他负有固体废物污染环境防治监督管理职责的部门应当立即向本级人民政府和上一级人民政府有关部门报告，由人民政府采取防止或者减轻危害的有效措施。有关人民政府可以根据需要责令停止导致或者可能导致环境污染事故的作业。</w:t>
      </w:r>
    </w:p>
    <w:p>
      <w:pPr>
        <w:spacing w:line="560" w:lineRule="exact"/>
        <w:ind w:firstLine="640"/>
        <w:jc w:val="both"/>
      </w:pPr>
      <w:r>
        <w:rPr>
          <w:rFonts w:ascii="黑体" w:hAnsi="黑体" w:eastAsia="黑体" w:cs="黑体"/>
          <w:sz w:val="32"/>
        </w:rPr>
        <w:t>第八十八条</w:t>
      </w:r>
      <w:r>
        <w:rPr>
          <w:rFonts w:ascii="仿宋_GB2312" w:hAnsi="仿宋_GB2312" w:eastAsia="仿宋_GB2312" w:cs="仿宋_GB2312"/>
          <w:sz w:val="32"/>
        </w:rPr>
        <w:t xml:space="preserve">  重点危险废物集中处置设施、场所退役前，运营单位应当按照国家有关规定对设施、场所采取污染防治措施。退役的费用应当预提，列入投资概算或者生产成本，专门用于重点危险废物集中处置设施、场所的退役。具体提取和管理办法，由国务院财政部门、价格主管部门会同国务院生态环境主管部门规定。</w:t>
      </w:r>
    </w:p>
    <w:p>
      <w:pPr>
        <w:spacing w:line="560" w:lineRule="exact"/>
        <w:ind w:firstLine="640"/>
        <w:jc w:val="both"/>
      </w:pPr>
      <w:r>
        <w:rPr>
          <w:rFonts w:ascii="黑体" w:hAnsi="黑体" w:eastAsia="黑体" w:cs="黑体"/>
          <w:sz w:val="32"/>
        </w:rPr>
        <w:t>第八十九条</w:t>
      </w:r>
      <w:r>
        <w:rPr>
          <w:rFonts w:ascii="仿宋_GB2312" w:hAnsi="仿宋_GB2312" w:eastAsia="仿宋_GB2312" w:cs="仿宋_GB2312"/>
          <w:sz w:val="32"/>
        </w:rPr>
        <w:t xml:space="preserve">  禁止经中华人民共和国过境转移危险废物。</w:t>
      </w:r>
    </w:p>
    <w:p>
      <w:pPr>
        <w:spacing w:line="560" w:lineRule="exact"/>
        <w:ind w:firstLine="640"/>
        <w:jc w:val="both"/>
      </w:pPr>
      <w:r>
        <w:rPr>
          <w:rFonts w:ascii="黑体" w:hAnsi="黑体" w:eastAsia="黑体" w:cs="黑体"/>
          <w:sz w:val="32"/>
        </w:rPr>
        <w:t>第九十条</w:t>
      </w:r>
      <w:r>
        <w:rPr>
          <w:rFonts w:ascii="仿宋_GB2312" w:hAnsi="仿宋_GB2312" w:eastAsia="仿宋_GB2312" w:cs="仿宋_GB2312"/>
          <w:sz w:val="32"/>
        </w:rPr>
        <w:t xml:space="preserve">  医疗废物按照国家危险废物名录管理。县级以上地方人民政府应当加强医疗废物集中处置能力建设。</w:t>
      </w:r>
    </w:p>
    <w:p>
      <w:pPr>
        <w:spacing w:line="560" w:lineRule="exact"/>
        <w:ind w:firstLine="640"/>
        <w:jc w:val="both"/>
      </w:pPr>
      <w:r>
        <w:rPr>
          <w:rFonts w:ascii="仿宋_GB2312" w:hAnsi="仿宋_GB2312" w:eastAsia="仿宋_GB2312" w:cs="仿宋_GB2312"/>
          <w:sz w:val="32"/>
        </w:rPr>
        <w:t>县级以上人民政府卫生健康、生态环境等主管部门应当在各自职责范围内加强对医疗废物收集、贮存、运输、处置的监督管理，防止危害公众健康、污染环境。</w:t>
      </w:r>
    </w:p>
    <w:p>
      <w:pPr>
        <w:spacing w:line="560" w:lineRule="exact"/>
        <w:ind w:firstLine="640"/>
        <w:jc w:val="both"/>
      </w:pPr>
      <w:r>
        <w:rPr>
          <w:rFonts w:ascii="仿宋_GB2312" w:hAnsi="仿宋_GB2312" w:eastAsia="仿宋_GB2312" w:cs="仿宋_GB2312"/>
          <w:sz w:val="32"/>
        </w:rPr>
        <w:t>医疗卫生机构应当依法分类收集本单位产生的医疗废物，交由医疗废物集中处置单位处置。医疗废物集中处置单位应当及时收集、运输和处置医疗废物。</w:t>
      </w:r>
    </w:p>
    <w:p>
      <w:pPr>
        <w:spacing w:line="560" w:lineRule="exact"/>
        <w:ind w:firstLine="640"/>
        <w:jc w:val="both"/>
      </w:pPr>
      <w:r>
        <w:rPr>
          <w:rFonts w:ascii="仿宋_GB2312" w:hAnsi="仿宋_GB2312" w:eastAsia="仿宋_GB2312" w:cs="仿宋_GB2312"/>
          <w:sz w:val="32"/>
        </w:rPr>
        <w:t>医疗卫生机构和医疗废物集中处置单位，应当采取有效措施，防止医疗废物流失、泄漏、渗漏、扩散。</w:t>
      </w:r>
    </w:p>
    <w:p>
      <w:pPr>
        <w:spacing w:line="560" w:lineRule="exact"/>
        <w:ind w:firstLine="640"/>
        <w:jc w:val="both"/>
      </w:pPr>
      <w:r>
        <w:rPr>
          <w:rFonts w:ascii="黑体" w:hAnsi="黑体" w:eastAsia="黑体" w:cs="黑体"/>
          <w:sz w:val="32"/>
        </w:rPr>
        <w:t>第九十一条</w:t>
      </w:r>
      <w:r>
        <w:rPr>
          <w:rFonts w:ascii="仿宋_GB2312" w:hAnsi="仿宋_GB2312" w:eastAsia="仿宋_GB2312" w:cs="仿宋_GB2312"/>
          <w:sz w:val="32"/>
        </w:rPr>
        <w:t xml:space="preserve">  重大传染病疫情等突发事件发生时，县级以上人民政府应当统筹协调医疗废物等危险废物收集、贮存、运输、处置等工作，保障所需的车辆、场地、处置设施和防护物资。卫生健康、生态环境、环境卫生、交通运输等主管部门应当协同配合，依法履行应急处置职责。</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第七章  保障措施</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第九十二条</w:t>
      </w:r>
      <w:r>
        <w:rPr>
          <w:rFonts w:ascii="仿宋_GB2312" w:hAnsi="仿宋_GB2312" w:eastAsia="仿宋_GB2312" w:cs="仿宋_GB2312"/>
          <w:sz w:val="32"/>
        </w:rPr>
        <w:t xml:space="preserve">  国务院有关部门、县级以上地方人民政府及其有关部门在编制国土空间规划和相关专项规划时，应当统筹生活垃圾、建筑垃圾、危险废物等固体废物转运、集中处置等设施建设需求，保障转运、集中处置等设施用地。</w:t>
      </w:r>
    </w:p>
    <w:p>
      <w:pPr>
        <w:spacing w:line="560" w:lineRule="exact"/>
        <w:ind w:firstLine="640"/>
        <w:jc w:val="both"/>
      </w:pPr>
      <w:r>
        <w:rPr>
          <w:rFonts w:ascii="黑体" w:hAnsi="黑体" w:eastAsia="黑体" w:cs="黑体"/>
          <w:sz w:val="32"/>
        </w:rPr>
        <w:t>第九十三条</w:t>
      </w:r>
      <w:r>
        <w:rPr>
          <w:rFonts w:ascii="仿宋_GB2312" w:hAnsi="仿宋_GB2312" w:eastAsia="仿宋_GB2312" w:cs="仿宋_GB2312"/>
          <w:sz w:val="32"/>
        </w:rPr>
        <w:t xml:space="preserve">  国家采取有利于固体废物污染环境防治的经济、技术政策和措施，鼓励、支持有关方面采取有利于固体废物污染环境防治的措施，加强对从事固体废物污染环境防治工作人员的培训和指导，促进固体废物污染环境防治产业专业化、规模化发展。</w:t>
      </w:r>
    </w:p>
    <w:p>
      <w:pPr>
        <w:spacing w:line="560" w:lineRule="exact"/>
        <w:ind w:firstLine="640"/>
        <w:jc w:val="both"/>
      </w:pPr>
      <w:r>
        <w:rPr>
          <w:rFonts w:ascii="黑体" w:hAnsi="黑体" w:eastAsia="黑体" w:cs="黑体"/>
          <w:sz w:val="32"/>
        </w:rPr>
        <w:t>第九十四条</w:t>
      </w:r>
      <w:r>
        <w:rPr>
          <w:rFonts w:ascii="仿宋_GB2312" w:hAnsi="仿宋_GB2312" w:eastAsia="仿宋_GB2312" w:cs="仿宋_GB2312"/>
          <w:sz w:val="32"/>
        </w:rPr>
        <w:t xml:space="preserve">  国家鼓励和支持科研单位、固体废物产生单位、固体废物利用单位、固体废物处置单位等联合攻关，研究开发固体废物综合利用、集中处置等的新技术，推动固体废物污染环境防治技术进步。</w:t>
      </w:r>
    </w:p>
    <w:p>
      <w:pPr>
        <w:spacing w:line="560" w:lineRule="exact"/>
        <w:ind w:firstLine="640"/>
        <w:jc w:val="both"/>
      </w:pPr>
      <w:r>
        <w:rPr>
          <w:rFonts w:ascii="黑体" w:hAnsi="黑体" w:eastAsia="黑体" w:cs="黑体"/>
          <w:sz w:val="32"/>
        </w:rPr>
        <w:t>第九十五条</w:t>
      </w:r>
      <w:r>
        <w:rPr>
          <w:rFonts w:ascii="仿宋_GB2312" w:hAnsi="仿宋_GB2312" w:eastAsia="仿宋_GB2312" w:cs="仿宋_GB2312"/>
          <w:sz w:val="32"/>
        </w:rPr>
        <w:t xml:space="preserve">  各级人民政府应当加强固体废物污染环境的防治，按照事权划分的原则安排必要的资金用于下列事项：</w:t>
      </w:r>
    </w:p>
    <w:p>
      <w:pPr>
        <w:spacing w:line="560" w:lineRule="exact"/>
        <w:ind w:firstLine="640"/>
        <w:jc w:val="both"/>
      </w:pPr>
      <w:r>
        <w:rPr>
          <w:rFonts w:ascii="仿宋_GB2312" w:hAnsi="仿宋_GB2312" w:eastAsia="仿宋_GB2312" w:cs="仿宋_GB2312"/>
          <w:sz w:val="32"/>
        </w:rPr>
        <w:t>（一）固体废物污染环境防治的科学研究、技术开发；</w:t>
      </w:r>
    </w:p>
    <w:p>
      <w:pPr>
        <w:spacing w:line="560" w:lineRule="exact"/>
        <w:ind w:firstLine="640"/>
        <w:jc w:val="both"/>
      </w:pPr>
      <w:r>
        <w:rPr>
          <w:rFonts w:ascii="仿宋_GB2312" w:hAnsi="仿宋_GB2312" w:eastAsia="仿宋_GB2312" w:cs="仿宋_GB2312"/>
          <w:sz w:val="32"/>
        </w:rPr>
        <w:t>（二）生活垃圾分类；</w:t>
      </w:r>
    </w:p>
    <w:p>
      <w:pPr>
        <w:spacing w:line="560" w:lineRule="exact"/>
        <w:ind w:firstLine="640"/>
        <w:jc w:val="both"/>
      </w:pPr>
      <w:r>
        <w:rPr>
          <w:rFonts w:ascii="仿宋_GB2312" w:hAnsi="仿宋_GB2312" w:eastAsia="仿宋_GB2312" w:cs="仿宋_GB2312"/>
          <w:sz w:val="32"/>
        </w:rPr>
        <w:t>（三）固体废物集中处置设施建设；</w:t>
      </w:r>
    </w:p>
    <w:p>
      <w:pPr>
        <w:spacing w:line="560" w:lineRule="exact"/>
        <w:ind w:firstLine="640"/>
        <w:jc w:val="both"/>
      </w:pPr>
      <w:r>
        <w:rPr>
          <w:rFonts w:ascii="仿宋_GB2312" w:hAnsi="仿宋_GB2312" w:eastAsia="仿宋_GB2312" w:cs="仿宋_GB2312"/>
          <w:sz w:val="32"/>
        </w:rPr>
        <w:t>（四）重大传染病疫情等突发事件产生的医疗废物等危险废物应急处置；</w:t>
      </w:r>
    </w:p>
    <w:p>
      <w:pPr>
        <w:spacing w:line="560" w:lineRule="exact"/>
        <w:ind w:firstLine="640"/>
        <w:jc w:val="both"/>
      </w:pPr>
      <w:r>
        <w:rPr>
          <w:rFonts w:ascii="仿宋_GB2312" w:hAnsi="仿宋_GB2312" w:eastAsia="仿宋_GB2312" w:cs="仿宋_GB2312"/>
          <w:sz w:val="32"/>
        </w:rPr>
        <w:t>（五）涉及固体废物污染环境防治的其他事项。</w:t>
      </w:r>
    </w:p>
    <w:p>
      <w:pPr>
        <w:spacing w:line="560" w:lineRule="exact"/>
        <w:ind w:firstLine="640"/>
        <w:jc w:val="both"/>
      </w:pPr>
      <w:r>
        <w:rPr>
          <w:rFonts w:ascii="仿宋_GB2312" w:hAnsi="仿宋_GB2312" w:eastAsia="仿宋_GB2312" w:cs="仿宋_GB2312"/>
          <w:sz w:val="32"/>
        </w:rPr>
        <w:t>使用资金应当加强绩效管理和审计监督，确保资金使用效益。</w:t>
      </w:r>
    </w:p>
    <w:p>
      <w:pPr>
        <w:spacing w:line="560" w:lineRule="exact"/>
        <w:ind w:firstLine="640"/>
        <w:jc w:val="both"/>
      </w:pPr>
      <w:r>
        <w:rPr>
          <w:rFonts w:ascii="黑体" w:hAnsi="黑体" w:eastAsia="黑体" w:cs="黑体"/>
          <w:sz w:val="32"/>
        </w:rPr>
        <w:t>第九十六条</w:t>
      </w:r>
      <w:r>
        <w:rPr>
          <w:rFonts w:ascii="仿宋_GB2312" w:hAnsi="仿宋_GB2312" w:eastAsia="仿宋_GB2312" w:cs="仿宋_GB2312"/>
          <w:sz w:val="32"/>
        </w:rPr>
        <w:t xml:space="preserve">  国家鼓励和支持社会力量参与固体废物污染环境防治工作，并按照国家有关规定给予政策扶持。</w:t>
      </w:r>
    </w:p>
    <w:p>
      <w:pPr>
        <w:spacing w:line="560" w:lineRule="exact"/>
        <w:ind w:firstLine="640"/>
        <w:jc w:val="both"/>
      </w:pPr>
      <w:r>
        <w:rPr>
          <w:rFonts w:ascii="黑体" w:hAnsi="黑体" w:eastAsia="黑体" w:cs="黑体"/>
          <w:sz w:val="32"/>
        </w:rPr>
        <w:t>第九十七条</w:t>
      </w:r>
      <w:r>
        <w:rPr>
          <w:rFonts w:ascii="仿宋_GB2312" w:hAnsi="仿宋_GB2312" w:eastAsia="仿宋_GB2312" w:cs="仿宋_GB2312"/>
          <w:sz w:val="32"/>
        </w:rPr>
        <w:t xml:space="preserve">  国家发展绿色金融，鼓励金融机构加大对固体废物污染环境防治项目的信贷投放。</w:t>
      </w:r>
    </w:p>
    <w:p>
      <w:pPr>
        <w:spacing w:line="560" w:lineRule="exact"/>
        <w:ind w:firstLine="640"/>
        <w:jc w:val="both"/>
      </w:pPr>
      <w:r>
        <w:rPr>
          <w:rFonts w:ascii="黑体" w:hAnsi="黑体" w:eastAsia="黑体" w:cs="黑体"/>
          <w:sz w:val="32"/>
        </w:rPr>
        <w:t>第九十八条</w:t>
      </w:r>
      <w:r>
        <w:rPr>
          <w:rFonts w:ascii="仿宋_GB2312" w:hAnsi="仿宋_GB2312" w:eastAsia="仿宋_GB2312" w:cs="仿宋_GB2312"/>
          <w:sz w:val="32"/>
        </w:rPr>
        <w:t xml:space="preserve">  从事固体废物综合利用等固体废物污染环境防治工作的，依照法律、行政法规的规定，享受税收优惠。</w:t>
      </w:r>
    </w:p>
    <w:p>
      <w:pPr>
        <w:spacing w:line="560" w:lineRule="exact"/>
        <w:ind w:firstLine="640"/>
        <w:jc w:val="both"/>
      </w:pPr>
      <w:r>
        <w:rPr>
          <w:rFonts w:ascii="仿宋_GB2312" w:hAnsi="仿宋_GB2312" w:eastAsia="仿宋_GB2312" w:cs="仿宋_GB2312"/>
          <w:sz w:val="32"/>
        </w:rPr>
        <w:t>国家鼓励并提倡社会各界为防治固体废物污染环境捐赠财产，并依照法律、行政法规的规定，给予税收优惠。</w:t>
      </w:r>
    </w:p>
    <w:p>
      <w:pPr>
        <w:spacing w:line="560" w:lineRule="exact"/>
        <w:ind w:firstLine="640"/>
        <w:jc w:val="both"/>
      </w:pPr>
      <w:r>
        <w:rPr>
          <w:rFonts w:ascii="黑体" w:hAnsi="黑体" w:eastAsia="黑体" w:cs="黑体"/>
          <w:sz w:val="32"/>
        </w:rPr>
        <w:t>第九十九条</w:t>
      </w:r>
      <w:r>
        <w:rPr>
          <w:rFonts w:ascii="仿宋_GB2312" w:hAnsi="仿宋_GB2312" w:eastAsia="仿宋_GB2312" w:cs="仿宋_GB2312"/>
          <w:sz w:val="32"/>
        </w:rPr>
        <w:t xml:space="preserve">  收集、贮存、运输、利用、处置危险废物的单位，应当按照国家有关规定，投保环境污染责任保险。</w:t>
      </w:r>
    </w:p>
    <w:p>
      <w:pPr>
        <w:spacing w:line="560" w:lineRule="exact"/>
        <w:ind w:firstLine="640"/>
        <w:jc w:val="both"/>
      </w:pPr>
      <w:r>
        <w:rPr>
          <w:rFonts w:ascii="黑体" w:hAnsi="黑体" w:eastAsia="黑体" w:cs="黑体"/>
          <w:sz w:val="32"/>
        </w:rPr>
        <w:t>第一百条</w:t>
      </w:r>
      <w:r>
        <w:rPr>
          <w:rFonts w:ascii="仿宋_GB2312" w:hAnsi="仿宋_GB2312" w:eastAsia="仿宋_GB2312" w:cs="仿宋_GB2312"/>
          <w:sz w:val="32"/>
        </w:rPr>
        <w:t xml:space="preserve">  国家鼓励单位和个人购买、使用综合利用产品和可重复使用产品。</w:t>
      </w:r>
    </w:p>
    <w:p>
      <w:pPr>
        <w:spacing w:line="560" w:lineRule="exact"/>
        <w:ind w:firstLine="640"/>
        <w:jc w:val="both"/>
      </w:pPr>
      <w:r>
        <w:rPr>
          <w:rFonts w:ascii="仿宋_GB2312" w:hAnsi="仿宋_GB2312" w:eastAsia="仿宋_GB2312" w:cs="仿宋_GB2312"/>
          <w:sz w:val="32"/>
        </w:rPr>
        <w:t>县级以上人民政府及其有关部门在政府采购过程中，应当优先采购综合利用产品和可重复使用产品。</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第八章  法律责任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第一百零一条</w:t>
      </w:r>
      <w:r>
        <w:rPr>
          <w:rFonts w:ascii="仿宋_GB2312" w:hAnsi="仿宋_GB2312" w:eastAsia="仿宋_GB2312" w:cs="仿宋_GB2312"/>
          <w:sz w:val="32"/>
        </w:rPr>
        <w:t xml:space="preserve">  生态环境主管部门或者其他负有固体废物污染环境防治监督管理职责的部门违反本法规定，有下列行为之一，由本级人民政府或者上级人民政府有关部门责令改正，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（一）未依法作出行政许可或者办理批准文件的；</w:t>
      </w:r>
    </w:p>
    <w:p>
      <w:pPr>
        <w:spacing w:line="560" w:lineRule="exact"/>
        <w:ind w:firstLine="640"/>
        <w:jc w:val="both"/>
      </w:pPr>
      <w:r>
        <w:rPr>
          <w:rFonts w:ascii="仿宋_GB2312" w:hAnsi="仿宋_GB2312" w:eastAsia="仿宋_GB2312" w:cs="仿宋_GB2312"/>
          <w:sz w:val="32"/>
        </w:rPr>
        <w:t>（二）对违法行为进行包庇的；</w:t>
      </w:r>
    </w:p>
    <w:p>
      <w:pPr>
        <w:spacing w:line="560" w:lineRule="exact"/>
        <w:ind w:firstLine="640"/>
        <w:jc w:val="both"/>
      </w:pPr>
      <w:r>
        <w:rPr>
          <w:rFonts w:ascii="仿宋_GB2312" w:hAnsi="仿宋_GB2312" w:eastAsia="仿宋_GB2312" w:cs="仿宋_GB2312"/>
          <w:sz w:val="32"/>
        </w:rPr>
        <w:t>（三）未依法查封、扣押的；</w:t>
      </w:r>
    </w:p>
    <w:p>
      <w:pPr>
        <w:spacing w:line="560" w:lineRule="exact"/>
        <w:ind w:firstLine="640"/>
        <w:jc w:val="both"/>
      </w:pPr>
      <w:r>
        <w:rPr>
          <w:rFonts w:ascii="仿宋_GB2312" w:hAnsi="仿宋_GB2312" w:eastAsia="仿宋_GB2312" w:cs="仿宋_GB2312"/>
          <w:sz w:val="32"/>
        </w:rPr>
        <w:t>（四）发现违法行为或者接到对违法行为的举报后未予查处的；</w:t>
      </w:r>
    </w:p>
    <w:p>
      <w:pPr>
        <w:spacing w:line="560" w:lineRule="exact"/>
        <w:ind w:firstLine="640"/>
        <w:jc w:val="both"/>
      </w:pPr>
      <w:r>
        <w:rPr>
          <w:rFonts w:ascii="仿宋_GB2312" w:hAnsi="仿宋_GB2312" w:eastAsia="仿宋_GB2312" w:cs="仿宋_GB2312"/>
          <w:sz w:val="32"/>
        </w:rPr>
        <w:t>（五）有其他滥用职权、玩忽职守、徇私舞弊等违法行为的。</w:t>
      </w:r>
    </w:p>
    <w:p>
      <w:pPr>
        <w:spacing w:line="560" w:lineRule="exact"/>
        <w:ind w:firstLine="640"/>
        <w:jc w:val="both"/>
      </w:pPr>
      <w:r>
        <w:rPr>
          <w:rFonts w:ascii="仿宋_GB2312" w:hAnsi="仿宋_GB2312" w:eastAsia="仿宋_GB2312" w:cs="仿宋_GB2312"/>
          <w:sz w:val="32"/>
        </w:rPr>
        <w:t>依照本法规定应当作出行政处罚决定而未作出的，上级主管部门可以直接作出行政处罚决定。</w:t>
      </w:r>
    </w:p>
    <w:p>
      <w:pPr>
        <w:spacing w:line="560" w:lineRule="exact"/>
        <w:ind w:firstLine="640"/>
        <w:jc w:val="both"/>
      </w:pPr>
      <w:r>
        <w:rPr>
          <w:rFonts w:ascii="黑体" w:hAnsi="黑体" w:eastAsia="黑体" w:cs="黑体"/>
          <w:sz w:val="32"/>
        </w:rPr>
        <w:t>第一百零二条</w:t>
      </w:r>
      <w:r>
        <w:rPr>
          <w:rFonts w:ascii="仿宋_GB2312" w:hAnsi="仿宋_GB2312" w:eastAsia="仿宋_GB2312" w:cs="仿宋_GB2312"/>
          <w:sz w:val="32"/>
        </w:rPr>
        <w:t xml:space="preserve">  违反本法规定，有下列行为之一，由生态环境主管部门责令改正，处以罚款，没收违法所得；情节严重的，报经有批准权的人民政府批准，可以责令停业或者关闭：</w:t>
      </w:r>
    </w:p>
    <w:p>
      <w:pPr>
        <w:spacing w:line="560" w:lineRule="exact"/>
        <w:ind w:firstLine="640"/>
        <w:jc w:val="both"/>
      </w:pPr>
      <w:r>
        <w:rPr>
          <w:rFonts w:ascii="仿宋_GB2312" w:hAnsi="仿宋_GB2312" w:eastAsia="仿宋_GB2312" w:cs="仿宋_GB2312"/>
          <w:sz w:val="32"/>
        </w:rPr>
        <w:t>（一）产生、收集、贮存、运输、利用、处置固体废物的单位未依法及时公开固体废物污染环境防治信息的；</w:t>
      </w:r>
    </w:p>
    <w:p>
      <w:pPr>
        <w:spacing w:line="560" w:lineRule="exact"/>
        <w:ind w:firstLine="640"/>
        <w:jc w:val="both"/>
      </w:pPr>
      <w:r>
        <w:rPr>
          <w:rFonts w:ascii="仿宋_GB2312" w:hAnsi="仿宋_GB2312" w:eastAsia="仿宋_GB2312" w:cs="仿宋_GB2312"/>
          <w:sz w:val="32"/>
        </w:rPr>
        <w:t>（二）生活垃圾处理单位未按照国家有关规定安装使用监测设备、实时监测污染物的排放情况并公开污染排放数据的；</w:t>
      </w:r>
    </w:p>
    <w:p>
      <w:pPr>
        <w:spacing w:line="560" w:lineRule="exact"/>
        <w:ind w:firstLine="640"/>
        <w:jc w:val="both"/>
      </w:pPr>
      <w:r>
        <w:rPr>
          <w:rFonts w:ascii="仿宋_GB2312" w:hAnsi="仿宋_GB2312" w:eastAsia="仿宋_GB2312" w:cs="仿宋_GB2312"/>
          <w:sz w:val="32"/>
        </w:rPr>
        <w:t>（三）将列入限期淘汰名录被淘汰的设备转让给他人使用的；</w:t>
      </w:r>
    </w:p>
    <w:p>
      <w:pPr>
        <w:spacing w:line="560" w:lineRule="exact"/>
        <w:ind w:firstLine="640"/>
        <w:jc w:val="both"/>
      </w:pPr>
      <w:r>
        <w:rPr>
          <w:rFonts w:ascii="仿宋_GB2312" w:hAnsi="仿宋_GB2312" w:eastAsia="仿宋_GB2312" w:cs="仿宋_GB2312"/>
          <w:sz w:val="32"/>
        </w:rPr>
        <w:t>（四）在生态保护红线区域、永久基本农田集中区域和其他需要特别保护的区域内，建设工业固体废物、危险废物集中贮存、利用、处置的设施、场所和生活垃圾填埋场的；</w:t>
      </w:r>
    </w:p>
    <w:p>
      <w:pPr>
        <w:spacing w:line="560" w:lineRule="exact"/>
        <w:ind w:firstLine="640"/>
        <w:jc w:val="both"/>
      </w:pPr>
      <w:r>
        <w:rPr>
          <w:rFonts w:ascii="仿宋_GB2312" w:hAnsi="仿宋_GB2312" w:eastAsia="仿宋_GB2312" w:cs="仿宋_GB2312"/>
          <w:sz w:val="32"/>
        </w:rPr>
        <w:t>（五）转移固体废物出省、自治区、直辖市行政区域贮存、处置未经批准的；</w:t>
      </w:r>
    </w:p>
    <w:p>
      <w:pPr>
        <w:spacing w:line="560" w:lineRule="exact"/>
        <w:ind w:firstLine="640"/>
        <w:jc w:val="both"/>
      </w:pPr>
      <w:r>
        <w:rPr>
          <w:rFonts w:ascii="仿宋_GB2312" w:hAnsi="仿宋_GB2312" w:eastAsia="仿宋_GB2312" w:cs="仿宋_GB2312"/>
          <w:sz w:val="32"/>
        </w:rPr>
        <w:t>（六）转移固体废物出省、自治区、直辖市行政区域利用未报备案的；</w:t>
      </w:r>
    </w:p>
    <w:p>
      <w:pPr>
        <w:spacing w:line="560" w:lineRule="exact"/>
        <w:ind w:firstLine="640"/>
        <w:jc w:val="both"/>
      </w:pPr>
      <w:r>
        <w:rPr>
          <w:rFonts w:ascii="仿宋_GB2312" w:hAnsi="仿宋_GB2312" w:eastAsia="仿宋_GB2312" w:cs="仿宋_GB2312"/>
          <w:sz w:val="32"/>
        </w:rPr>
        <w:t>（七）擅自倾倒、堆放、丢弃、遗撒工业固体废物，或者未采取相应防范措施，造成工业固体废物扬散、流失、渗漏或者其他环境污染的；</w:t>
      </w:r>
    </w:p>
    <w:p>
      <w:pPr>
        <w:spacing w:line="560" w:lineRule="exact"/>
        <w:ind w:firstLine="640"/>
        <w:jc w:val="both"/>
      </w:pPr>
      <w:r>
        <w:rPr>
          <w:rFonts w:ascii="仿宋_GB2312" w:hAnsi="仿宋_GB2312" w:eastAsia="仿宋_GB2312" w:cs="仿宋_GB2312"/>
          <w:sz w:val="32"/>
        </w:rPr>
        <w:t>（八）产生工业固体废物的单位未建立固体废物管理台账并如实记录的；</w:t>
      </w:r>
    </w:p>
    <w:p>
      <w:pPr>
        <w:spacing w:line="560" w:lineRule="exact"/>
        <w:ind w:firstLine="640"/>
        <w:jc w:val="both"/>
      </w:pPr>
      <w:r>
        <w:rPr>
          <w:rFonts w:ascii="仿宋_GB2312" w:hAnsi="仿宋_GB2312" w:eastAsia="仿宋_GB2312" w:cs="仿宋_GB2312"/>
          <w:sz w:val="32"/>
        </w:rPr>
        <w:t>（九）产生工业固体废物的单位违反本法规定委托他人运输、利用、处置工业固体废物的；</w:t>
      </w:r>
    </w:p>
    <w:p>
      <w:pPr>
        <w:spacing w:line="560" w:lineRule="exact"/>
        <w:ind w:firstLine="640"/>
        <w:jc w:val="both"/>
      </w:pPr>
      <w:r>
        <w:rPr>
          <w:rFonts w:ascii="仿宋_GB2312" w:hAnsi="仿宋_GB2312" w:eastAsia="仿宋_GB2312" w:cs="仿宋_GB2312"/>
          <w:sz w:val="32"/>
        </w:rPr>
        <w:t>（十）贮存工业固体废物未采取符合国家环境保护标准的防护措施的；</w:t>
      </w:r>
    </w:p>
    <w:p>
      <w:pPr>
        <w:spacing w:line="560" w:lineRule="exact"/>
        <w:ind w:firstLine="640"/>
        <w:jc w:val="both"/>
      </w:pPr>
      <w:r>
        <w:rPr>
          <w:rFonts w:ascii="仿宋_GB2312" w:hAnsi="仿宋_GB2312" w:eastAsia="仿宋_GB2312" w:cs="仿宋_GB2312"/>
          <w:sz w:val="32"/>
        </w:rPr>
        <w:t>（十一）单位和其他生产经营者违反固体废物管理其他要求，污染环境、破坏生态的。</w:t>
      </w:r>
    </w:p>
    <w:p>
      <w:pPr>
        <w:spacing w:line="560" w:lineRule="exact"/>
        <w:ind w:firstLine="640"/>
        <w:jc w:val="both"/>
      </w:pPr>
      <w:r>
        <w:rPr>
          <w:rFonts w:ascii="仿宋_GB2312" w:hAnsi="仿宋_GB2312" w:eastAsia="仿宋_GB2312" w:cs="仿宋_GB2312"/>
          <w:sz w:val="32"/>
        </w:rPr>
        <w:t>有前款第一项、第八项行为之一，处五万元以上二十万元以下的罚款；有前款第二项、第三项、第四项、第五项、第六项、第九项、第十项、第十一项行为之一，处十万元以上一百万元以下的罚款；有前款第七项行为，处所需处置费用一倍以上三倍以下的罚款，所需处置费用不足十万元的，按十万元计算。对前款第十一项行为的处罚，有关法律、行政法规另有规定的，适用其规定。</w:t>
      </w:r>
    </w:p>
    <w:p>
      <w:pPr>
        <w:spacing w:line="560" w:lineRule="exact"/>
        <w:ind w:firstLine="640"/>
        <w:jc w:val="both"/>
      </w:pPr>
      <w:r>
        <w:rPr>
          <w:rFonts w:ascii="黑体" w:hAnsi="黑体" w:eastAsia="黑体" w:cs="黑体"/>
          <w:sz w:val="32"/>
        </w:rPr>
        <w:t>第一百零三条</w:t>
      </w:r>
      <w:r>
        <w:rPr>
          <w:rFonts w:ascii="仿宋_GB2312" w:hAnsi="仿宋_GB2312" w:eastAsia="仿宋_GB2312" w:cs="仿宋_GB2312"/>
          <w:sz w:val="32"/>
        </w:rPr>
        <w:t xml:space="preserve">  违反本法规定，以拖延、围堵、滞留执法人员等方式拒绝、阻挠监督检查，或者在接受监督检查时弄虚作假的，由生态环境主管部门或者其他负有固体废物污染环境防治监督管理职责的部门责令改正，处五万元以上二十万元以下的罚款；对直接负责的主管人员和其他直接责任人员，处二万元以上十万元以下的罚款。</w:t>
      </w:r>
    </w:p>
    <w:p>
      <w:pPr>
        <w:spacing w:line="560" w:lineRule="exact"/>
        <w:ind w:firstLine="640"/>
        <w:jc w:val="both"/>
      </w:pPr>
      <w:r>
        <w:rPr>
          <w:rFonts w:ascii="黑体" w:hAnsi="黑体" w:eastAsia="黑体" w:cs="黑体"/>
          <w:sz w:val="32"/>
        </w:rPr>
        <w:t>第一百零四条</w:t>
      </w:r>
      <w:r>
        <w:rPr>
          <w:rFonts w:ascii="仿宋_GB2312" w:hAnsi="仿宋_GB2312" w:eastAsia="仿宋_GB2312" w:cs="仿宋_GB2312"/>
          <w:sz w:val="32"/>
        </w:rPr>
        <w:t xml:space="preserve">  违反本法规定，未依法取得排污许可证产生工业固体废物的，由生态环境主管部门责令改正或者限制生产、停产整治，处十万元以上一百万元以下的罚款；情节严重的，报经有批准权的人民政府批准，责令停业或者关闭。</w:t>
      </w:r>
    </w:p>
    <w:p>
      <w:pPr>
        <w:spacing w:line="560" w:lineRule="exact"/>
        <w:ind w:firstLine="640"/>
        <w:jc w:val="both"/>
      </w:pPr>
      <w:r>
        <w:rPr>
          <w:rFonts w:ascii="黑体" w:hAnsi="黑体" w:eastAsia="黑体" w:cs="黑体"/>
          <w:sz w:val="32"/>
        </w:rPr>
        <w:t>第一百零五条</w:t>
      </w:r>
      <w:r>
        <w:rPr>
          <w:rFonts w:ascii="仿宋_GB2312" w:hAnsi="仿宋_GB2312" w:eastAsia="仿宋_GB2312" w:cs="仿宋_GB2312"/>
          <w:sz w:val="32"/>
        </w:rPr>
        <w:t xml:space="preserve">  违反本法规定，生产经营者未遵守限制商品过度包装的强制性标准的，由县级以上地方人民政府市场监督管理部门或者有关部门责令改正；拒不改正的，处二千元以上二万元以下的罚款；情节严重的，处二万元以上十万元以下的罚款。</w:t>
      </w:r>
    </w:p>
    <w:p>
      <w:pPr>
        <w:spacing w:line="560" w:lineRule="exact"/>
        <w:ind w:firstLine="640"/>
        <w:jc w:val="both"/>
      </w:pPr>
      <w:r>
        <w:rPr>
          <w:rFonts w:ascii="黑体" w:hAnsi="黑体" w:eastAsia="黑体" w:cs="黑体"/>
          <w:sz w:val="32"/>
        </w:rPr>
        <w:t>第一百零六条</w:t>
      </w:r>
      <w:r>
        <w:rPr>
          <w:rFonts w:ascii="仿宋_GB2312" w:hAnsi="仿宋_GB2312" w:eastAsia="仿宋_GB2312" w:cs="仿宋_GB2312"/>
          <w:sz w:val="32"/>
        </w:rPr>
        <w:t xml:space="preserve">  违反本法规定，未遵守国家有关禁止、限制使用不可降解塑料袋等一次性塑料制品的规定，或者未按照国家有关规定报告塑料袋等一次性塑料制品的使用情况的，由县级以上地方人民政府商务、邮政等主管部门责令改正，处一万元以上十万元以下的罚款。</w:t>
      </w:r>
    </w:p>
    <w:p>
      <w:pPr>
        <w:spacing w:line="560" w:lineRule="exact"/>
        <w:ind w:firstLine="640"/>
        <w:jc w:val="both"/>
      </w:pPr>
      <w:r>
        <w:rPr>
          <w:rFonts w:ascii="黑体" w:hAnsi="黑体" w:eastAsia="黑体" w:cs="黑体"/>
          <w:sz w:val="32"/>
        </w:rPr>
        <w:t>第一百零七条</w:t>
      </w:r>
      <w:r>
        <w:rPr>
          <w:rFonts w:ascii="仿宋_GB2312" w:hAnsi="仿宋_GB2312" w:eastAsia="仿宋_GB2312" w:cs="仿宋_GB2312"/>
          <w:sz w:val="32"/>
        </w:rPr>
        <w:t xml:space="preserve">  从事畜禽规模养殖未及时收集、贮存、利用或者处置养殖过程中产生的畜禽粪污等固体废物的，由生态环境主管部门责令改正，可以处十万元以下的罚款；情节严重的，报经有批准权的人民政府批准，责令停业或者关闭。</w:t>
      </w:r>
    </w:p>
    <w:p>
      <w:pPr>
        <w:spacing w:line="560" w:lineRule="exact"/>
        <w:ind w:firstLine="640"/>
        <w:jc w:val="both"/>
      </w:pPr>
      <w:r>
        <w:rPr>
          <w:rFonts w:ascii="黑体" w:hAnsi="黑体" w:eastAsia="黑体" w:cs="黑体"/>
          <w:sz w:val="32"/>
        </w:rPr>
        <w:t>第一百零八条</w:t>
      </w:r>
      <w:r>
        <w:rPr>
          <w:rFonts w:ascii="仿宋_GB2312" w:hAnsi="仿宋_GB2312" w:eastAsia="仿宋_GB2312" w:cs="仿宋_GB2312"/>
          <w:sz w:val="32"/>
        </w:rPr>
        <w:t xml:space="preserve">  违反本法规定，城镇污水处理设施维护运营单位或者污泥处理单位对污泥流向、用途、用量等未进行跟踪、记录，或者处理后的污泥不符合国家有关标准的，由城镇排水主管部门责令改正，给予警告；造成严重后果的，处十万元以上二十万元以下的罚款；拒不改正的，城镇排水主管部门可以指定有治理能力的单位代为治理，所需费用由违法者承担。</w:t>
      </w:r>
    </w:p>
    <w:p>
      <w:pPr>
        <w:spacing w:line="560" w:lineRule="exact"/>
        <w:ind w:firstLine="640"/>
        <w:jc w:val="both"/>
      </w:pPr>
      <w:r>
        <w:rPr>
          <w:rFonts w:ascii="仿宋_GB2312" w:hAnsi="仿宋_GB2312" w:eastAsia="仿宋_GB2312" w:cs="仿宋_GB2312"/>
          <w:sz w:val="32"/>
        </w:rPr>
        <w:t>违反本法规定，擅自倾倒、堆放、丢弃、遗撒城镇污水处理设施产生的污泥和处理后的污泥的，由城镇排水主管部门责令改正，处二十万元以上二百万元以下的罚款，对直接负责的主管人员和其他直接责任人员处二万元以上十万元以下的罚款；造成严重后果的，处二百万元以上五百万元以下的罚款，对直接负责的主管人员和其他直接责任人员处五万元以上五十万元以下的罚款；拒不改正的，城镇排水主管部门可以指定有治理能力的单位代为治理，所需费用由违法者承担。</w:t>
      </w:r>
    </w:p>
    <w:p>
      <w:pPr>
        <w:spacing w:line="560" w:lineRule="exact"/>
        <w:ind w:firstLine="640"/>
        <w:jc w:val="both"/>
      </w:pPr>
      <w:r>
        <w:rPr>
          <w:rFonts w:ascii="黑体" w:hAnsi="黑体" w:eastAsia="黑体" w:cs="黑体"/>
          <w:sz w:val="32"/>
        </w:rPr>
        <w:t>第一百零九条</w:t>
      </w:r>
      <w:r>
        <w:rPr>
          <w:rFonts w:ascii="仿宋_GB2312" w:hAnsi="仿宋_GB2312" w:eastAsia="仿宋_GB2312" w:cs="仿宋_GB2312"/>
          <w:sz w:val="32"/>
        </w:rPr>
        <w:t xml:space="preserve">  违反本法规定，生产、销售、进口或者使用淘汰的设备，或者采用淘汰的生产工艺的，由县级以上地方人民政府指定的部门责令改正，处十万元以上一百万元以下的罚款，没收违法所得；情节严重的，由县级以上地方人民政府指定的部门提出意见，报经有批准权的人民政府批准，责令停业或者关闭。</w:t>
      </w:r>
    </w:p>
    <w:p>
      <w:pPr>
        <w:spacing w:line="560" w:lineRule="exact"/>
        <w:ind w:firstLine="640"/>
        <w:jc w:val="both"/>
      </w:pPr>
      <w:r>
        <w:rPr>
          <w:rFonts w:ascii="黑体" w:hAnsi="黑体" w:eastAsia="黑体" w:cs="黑体"/>
          <w:sz w:val="32"/>
        </w:rPr>
        <w:t>第一百一十条</w:t>
      </w:r>
      <w:r>
        <w:rPr>
          <w:rFonts w:ascii="仿宋_GB2312" w:hAnsi="仿宋_GB2312" w:eastAsia="仿宋_GB2312" w:cs="仿宋_GB2312"/>
          <w:sz w:val="32"/>
        </w:rPr>
        <w:t xml:space="preserve">  尾矿、煤矸石、废石等矿业固体废物贮存设施停止使用后，未按照国家有关环境保护规定进行封场的，由生态环境主管部门责令改正，处二十万元以上一百万元以下的罚款。</w:t>
      </w:r>
    </w:p>
    <w:p>
      <w:pPr>
        <w:spacing w:line="560" w:lineRule="exact"/>
        <w:ind w:firstLine="640"/>
        <w:jc w:val="both"/>
      </w:pPr>
      <w:r>
        <w:rPr>
          <w:rFonts w:ascii="黑体" w:hAnsi="黑体" w:eastAsia="黑体" w:cs="黑体"/>
          <w:sz w:val="32"/>
        </w:rPr>
        <w:t>第一百一十一条</w:t>
      </w:r>
      <w:r>
        <w:rPr>
          <w:rFonts w:ascii="仿宋_GB2312" w:hAnsi="仿宋_GB2312" w:eastAsia="仿宋_GB2312" w:cs="仿宋_GB2312"/>
          <w:sz w:val="32"/>
        </w:rPr>
        <w:t xml:space="preserve">  违反本法规定，有下列行为之一，由县级以上地方人民政府环境卫生主管部门责令改正，处以罚款，没收违法所得：</w:t>
      </w:r>
    </w:p>
    <w:p>
      <w:pPr>
        <w:spacing w:line="560" w:lineRule="exact"/>
        <w:ind w:firstLine="640"/>
        <w:jc w:val="both"/>
      </w:pPr>
      <w:r>
        <w:rPr>
          <w:rFonts w:ascii="仿宋_GB2312" w:hAnsi="仿宋_GB2312" w:eastAsia="仿宋_GB2312" w:cs="仿宋_GB2312"/>
          <w:sz w:val="32"/>
        </w:rPr>
        <w:t>（一）随意倾倒、抛撒、堆放或者焚烧生活垃圾的；</w:t>
      </w:r>
    </w:p>
    <w:p>
      <w:pPr>
        <w:spacing w:line="560" w:lineRule="exact"/>
        <w:ind w:firstLine="640"/>
        <w:jc w:val="both"/>
      </w:pPr>
      <w:r>
        <w:rPr>
          <w:rFonts w:ascii="仿宋_GB2312" w:hAnsi="仿宋_GB2312" w:eastAsia="仿宋_GB2312" w:cs="仿宋_GB2312"/>
          <w:sz w:val="32"/>
        </w:rPr>
        <w:t>（二）擅自关闭、闲置或者拆除生活垃圾处理设施、场所的；</w:t>
      </w:r>
    </w:p>
    <w:p>
      <w:pPr>
        <w:spacing w:line="560" w:lineRule="exact"/>
        <w:ind w:firstLine="640"/>
        <w:jc w:val="both"/>
      </w:pPr>
      <w:r>
        <w:rPr>
          <w:rFonts w:ascii="仿宋_GB2312" w:hAnsi="仿宋_GB2312" w:eastAsia="仿宋_GB2312" w:cs="仿宋_GB2312"/>
          <w:sz w:val="32"/>
        </w:rPr>
        <w:t>（三）工程施工单位未编制建筑垃圾处理方案报备案，或者未及时清运施工过程中产生的固体废物的；</w:t>
      </w:r>
    </w:p>
    <w:p>
      <w:pPr>
        <w:spacing w:line="560" w:lineRule="exact"/>
        <w:ind w:firstLine="640"/>
        <w:jc w:val="both"/>
      </w:pPr>
      <w:r>
        <w:rPr>
          <w:rFonts w:ascii="仿宋_GB2312" w:hAnsi="仿宋_GB2312" w:eastAsia="仿宋_GB2312" w:cs="仿宋_GB2312"/>
          <w:sz w:val="32"/>
        </w:rPr>
        <w:t>（四）工程施工单位擅自倾倒、抛撒或者堆放工程施工过程中产生的建筑垃圾，或者未按照规定对施工过程中产生的固体废物进行利用或者处置的；</w:t>
      </w:r>
    </w:p>
    <w:p>
      <w:pPr>
        <w:spacing w:line="560" w:lineRule="exact"/>
        <w:ind w:firstLine="640"/>
        <w:jc w:val="both"/>
      </w:pPr>
      <w:r>
        <w:rPr>
          <w:rFonts w:ascii="仿宋_GB2312" w:hAnsi="仿宋_GB2312" w:eastAsia="仿宋_GB2312" w:cs="仿宋_GB2312"/>
          <w:sz w:val="32"/>
        </w:rPr>
        <w:t>（五）产生、收集厨余垃圾的单位和其他生产经营者未将厨余垃圾交由具备相应资质条件的单位进行无害化处理的；</w:t>
      </w:r>
    </w:p>
    <w:p>
      <w:pPr>
        <w:spacing w:line="560" w:lineRule="exact"/>
        <w:ind w:firstLine="640"/>
        <w:jc w:val="both"/>
      </w:pPr>
      <w:r>
        <w:rPr>
          <w:rFonts w:ascii="仿宋_GB2312" w:hAnsi="仿宋_GB2312" w:eastAsia="仿宋_GB2312" w:cs="仿宋_GB2312"/>
          <w:sz w:val="32"/>
        </w:rPr>
        <w:t>（六）畜禽养殖场、养殖小区利用未经无害化处理的厨余垃圾饲喂畜禽的；</w:t>
      </w:r>
    </w:p>
    <w:p>
      <w:pPr>
        <w:spacing w:line="560" w:lineRule="exact"/>
        <w:ind w:firstLine="640"/>
        <w:jc w:val="both"/>
      </w:pPr>
      <w:r>
        <w:rPr>
          <w:rFonts w:ascii="仿宋_GB2312" w:hAnsi="仿宋_GB2312" w:eastAsia="仿宋_GB2312" w:cs="仿宋_GB2312"/>
          <w:sz w:val="32"/>
        </w:rPr>
        <w:t>（七）在运输过程中沿途丢弃、遗撒生活垃圾的。</w:t>
      </w:r>
    </w:p>
    <w:p>
      <w:pPr>
        <w:spacing w:line="560" w:lineRule="exact"/>
        <w:ind w:firstLine="640"/>
        <w:jc w:val="both"/>
      </w:pPr>
      <w:r>
        <w:rPr>
          <w:rFonts w:ascii="仿宋_GB2312" w:hAnsi="仿宋_GB2312" w:eastAsia="仿宋_GB2312" w:cs="仿宋_GB2312"/>
          <w:sz w:val="32"/>
        </w:rPr>
        <w:t>单位有前款第一项、第七项行为之一，处五万元以上五十万元以下的罚款；单位有前款第二项、第三项、第四项、第五项、第六项行为之一，处十万元以上一百万元以下的罚款；个人有前款第一项、第五项、第七项行为之一，处一百元以上五百元以下的罚款。</w:t>
      </w:r>
    </w:p>
    <w:p>
      <w:pPr>
        <w:spacing w:line="560" w:lineRule="exact"/>
        <w:ind w:firstLine="640"/>
        <w:jc w:val="both"/>
      </w:pPr>
      <w:r>
        <w:rPr>
          <w:rFonts w:ascii="仿宋_GB2312" w:hAnsi="仿宋_GB2312" w:eastAsia="仿宋_GB2312" w:cs="仿宋_GB2312"/>
          <w:sz w:val="32"/>
        </w:rPr>
        <w:t>违反本法规定，未在指定的地点分类投放生活垃圾的，由县级以上地方人民政府环境卫生主管部门责令改正；情节严重的，对单位处五万元以上五十万元以下的罚款，对个人依法处以罚款。</w:t>
      </w:r>
    </w:p>
    <w:p>
      <w:pPr>
        <w:spacing w:line="560" w:lineRule="exact"/>
        <w:ind w:firstLine="640"/>
        <w:jc w:val="both"/>
      </w:pPr>
      <w:r>
        <w:rPr>
          <w:rFonts w:ascii="黑体" w:hAnsi="黑体" w:eastAsia="黑体" w:cs="黑体"/>
          <w:sz w:val="32"/>
        </w:rPr>
        <w:t>第一百一十二条</w:t>
      </w:r>
      <w:r>
        <w:rPr>
          <w:rFonts w:ascii="仿宋_GB2312" w:hAnsi="仿宋_GB2312" w:eastAsia="仿宋_GB2312" w:cs="仿宋_GB2312"/>
          <w:sz w:val="32"/>
        </w:rPr>
        <w:t xml:space="preserve">  违反本法规定，有下列行为之一，由生态环境主管部门责令改正，处以罚款，没收违法所得；情节严重的，报经有批准权的人民政府批准，可以责令停业或者关闭：</w:t>
      </w:r>
    </w:p>
    <w:p>
      <w:pPr>
        <w:spacing w:line="560" w:lineRule="exact"/>
        <w:ind w:firstLine="640"/>
        <w:jc w:val="both"/>
      </w:pPr>
      <w:r>
        <w:rPr>
          <w:rFonts w:ascii="仿宋_GB2312" w:hAnsi="仿宋_GB2312" w:eastAsia="仿宋_GB2312" w:cs="仿宋_GB2312"/>
          <w:sz w:val="32"/>
        </w:rPr>
        <w:t>（一）未按照规定设置危险废物识别标志的；</w:t>
      </w:r>
    </w:p>
    <w:p>
      <w:pPr>
        <w:spacing w:line="560" w:lineRule="exact"/>
        <w:ind w:firstLine="640"/>
        <w:jc w:val="both"/>
      </w:pPr>
      <w:r>
        <w:rPr>
          <w:rFonts w:ascii="仿宋_GB2312" w:hAnsi="仿宋_GB2312" w:eastAsia="仿宋_GB2312" w:cs="仿宋_GB2312"/>
          <w:sz w:val="32"/>
        </w:rPr>
        <w:t>（二）未按照国家有关规定制定危险废物管理计划或者申报危险废物有关资料的；</w:t>
      </w:r>
    </w:p>
    <w:p>
      <w:pPr>
        <w:spacing w:line="560" w:lineRule="exact"/>
        <w:ind w:firstLine="640"/>
        <w:jc w:val="both"/>
      </w:pPr>
      <w:r>
        <w:rPr>
          <w:rFonts w:ascii="仿宋_GB2312" w:hAnsi="仿宋_GB2312" w:eastAsia="仿宋_GB2312" w:cs="仿宋_GB2312"/>
          <w:sz w:val="32"/>
        </w:rPr>
        <w:t>（三）擅自倾倒、堆放危险废物的；</w:t>
      </w:r>
    </w:p>
    <w:p>
      <w:pPr>
        <w:spacing w:line="560" w:lineRule="exact"/>
        <w:ind w:firstLine="640"/>
        <w:jc w:val="both"/>
      </w:pPr>
      <w:r>
        <w:rPr>
          <w:rFonts w:ascii="仿宋_GB2312" w:hAnsi="仿宋_GB2312" w:eastAsia="仿宋_GB2312" w:cs="仿宋_GB2312"/>
          <w:sz w:val="32"/>
        </w:rPr>
        <w:t>（四）将危险废物提供或者委托给无许可证的单位或者其他生产经营者从事经营活动的；</w:t>
      </w:r>
    </w:p>
    <w:p>
      <w:pPr>
        <w:spacing w:line="560" w:lineRule="exact"/>
        <w:ind w:firstLine="640"/>
        <w:jc w:val="both"/>
      </w:pPr>
      <w:r>
        <w:rPr>
          <w:rFonts w:ascii="仿宋_GB2312" w:hAnsi="仿宋_GB2312" w:eastAsia="仿宋_GB2312" w:cs="仿宋_GB2312"/>
          <w:sz w:val="32"/>
        </w:rPr>
        <w:t>（五）未按照国家有关规定填写、运行危险废物转移联单或者未经批准擅自转移危险废物的；</w:t>
      </w:r>
    </w:p>
    <w:p>
      <w:pPr>
        <w:spacing w:line="560" w:lineRule="exact"/>
        <w:ind w:firstLine="640"/>
        <w:jc w:val="both"/>
      </w:pPr>
      <w:r>
        <w:rPr>
          <w:rFonts w:ascii="仿宋_GB2312" w:hAnsi="仿宋_GB2312" w:eastAsia="仿宋_GB2312" w:cs="仿宋_GB2312"/>
          <w:sz w:val="32"/>
        </w:rPr>
        <w:t>（六）未按照国家环境保护标准贮存、利用、处置危险废物或者将危险废物混入非危险废物中贮存的；</w:t>
      </w:r>
    </w:p>
    <w:p>
      <w:pPr>
        <w:spacing w:line="560" w:lineRule="exact"/>
        <w:ind w:firstLine="640"/>
        <w:jc w:val="both"/>
      </w:pPr>
      <w:r>
        <w:rPr>
          <w:rFonts w:ascii="仿宋_GB2312" w:hAnsi="仿宋_GB2312" w:eastAsia="仿宋_GB2312" w:cs="仿宋_GB2312"/>
          <w:sz w:val="32"/>
        </w:rPr>
        <w:t>（七）未经安全性处置，混合收集、贮存、运输、处置具有不相容性质的危险废物的；</w:t>
      </w:r>
    </w:p>
    <w:p>
      <w:pPr>
        <w:spacing w:line="560" w:lineRule="exact"/>
        <w:ind w:firstLine="640"/>
        <w:jc w:val="both"/>
      </w:pPr>
      <w:r>
        <w:rPr>
          <w:rFonts w:ascii="仿宋_GB2312" w:hAnsi="仿宋_GB2312" w:eastAsia="仿宋_GB2312" w:cs="仿宋_GB2312"/>
          <w:sz w:val="32"/>
        </w:rPr>
        <w:t>（八）将危险废物与旅客在同一运输工具上载运的；</w:t>
      </w:r>
    </w:p>
    <w:p>
      <w:pPr>
        <w:spacing w:line="560" w:lineRule="exact"/>
        <w:ind w:firstLine="640"/>
        <w:jc w:val="both"/>
      </w:pPr>
      <w:r>
        <w:rPr>
          <w:rFonts w:ascii="仿宋_GB2312" w:hAnsi="仿宋_GB2312" w:eastAsia="仿宋_GB2312" w:cs="仿宋_GB2312"/>
          <w:sz w:val="32"/>
        </w:rPr>
        <w:t>（九）未经消除污染处理，将收集、贮存、运输、处置危险废物的场所、设施、设备和容器、包装物及其他物品转作他用的；</w:t>
      </w:r>
    </w:p>
    <w:p>
      <w:pPr>
        <w:spacing w:line="560" w:lineRule="exact"/>
        <w:ind w:firstLine="640"/>
        <w:jc w:val="both"/>
      </w:pPr>
      <w:r>
        <w:rPr>
          <w:rFonts w:ascii="仿宋_GB2312" w:hAnsi="仿宋_GB2312" w:eastAsia="仿宋_GB2312" w:cs="仿宋_GB2312"/>
          <w:sz w:val="32"/>
        </w:rPr>
        <w:t>（十）未采取相应防范措施，造成危险废物扬散、流失、渗漏或者其他环境污染的；</w:t>
      </w:r>
    </w:p>
    <w:p>
      <w:pPr>
        <w:spacing w:line="560" w:lineRule="exact"/>
        <w:ind w:firstLine="640"/>
        <w:jc w:val="both"/>
      </w:pPr>
      <w:r>
        <w:rPr>
          <w:rFonts w:ascii="仿宋_GB2312" w:hAnsi="仿宋_GB2312" w:eastAsia="仿宋_GB2312" w:cs="仿宋_GB2312"/>
          <w:sz w:val="32"/>
        </w:rPr>
        <w:t>（十一）在运输过程中沿途丢弃、遗撒危险废物的；</w:t>
      </w:r>
    </w:p>
    <w:p>
      <w:pPr>
        <w:spacing w:line="560" w:lineRule="exact"/>
        <w:ind w:firstLine="640"/>
        <w:jc w:val="both"/>
      </w:pPr>
      <w:r>
        <w:rPr>
          <w:rFonts w:ascii="仿宋_GB2312" w:hAnsi="仿宋_GB2312" w:eastAsia="仿宋_GB2312" w:cs="仿宋_GB2312"/>
          <w:sz w:val="32"/>
        </w:rPr>
        <w:t>（十二）未制定危险废物意外事故防范措施和应急预案的；</w:t>
      </w:r>
    </w:p>
    <w:p>
      <w:pPr>
        <w:spacing w:line="560" w:lineRule="exact"/>
        <w:ind w:firstLine="640"/>
        <w:jc w:val="both"/>
      </w:pPr>
      <w:r>
        <w:rPr>
          <w:rFonts w:ascii="仿宋_GB2312" w:hAnsi="仿宋_GB2312" w:eastAsia="仿宋_GB2312" w:cs="仿宋_GB2312"/>
          <w:sz w:val="32"/>
        </w:rPr>
        <w:t>（十三）未按照国家有关规定建立危险废物管理台账并如实记录的。</w:t>
      </w:r>
    </w:p>
    <w:p>
      <w:pPr>
        <w:spacing w:line="560" w:lineRule="exact"/>
        <w:ind w:firstLine="640"/>
        <w:jc w:val="both"/>
      </w:pPr>
      <w:r>
        <w:rPr>
          <w:rFonts w:ascii="仿宋_GB2312" w:hAnsi="仿宋_GB2312" w:eastAsia="仿宋_GB2312" w:cs="仿宋_GB2312"/>
          <w:sz w:val="32"/>
        </w:rPr>
        <w:t>有前款第一项、第二项、第五项、第六项、第七项、第八项、第九项、第十二项、第十三项行为之一，处十万元以上一百万元以下的罚款；有前款第三项、第四项、第十项、第十一项行为之一，处所需处置费用三倍以上五倍以下的罚款，所需处置费用不足二十万元的，按二十万元计算。</w:t>
      </w:r>
    </w:p>
    <w:p>
      <w:pPr>
        <w:spacing w:line="560" w:lineRule="exact"/>
        <w:ind w:firstLine="640"/>
        <w:jc w:val="both"/>
      </w:pPr>
      <w:r>
        <w:rPr>
          <w:rFonts w:ascii="黑体" w:hAnsi="黑体" w:eastAsia="黑体" w:cs="黑体"/>
          <w:sz w:val="32"/>
        </w:rPr>
        <w:t>第一百一十三条</w:t>
      </w:r>
      <w:r>
        <w:rPr>
          <w:rFonts w:ascii="仿宋_GB2312" w:hAnsi="仿宋_GB2312" w:eastAsia="仿宋_GB2312" w:cs="仿宋_GB2312"/>
          <w:sz w:val="32"/>
        </w:rPr>
        <w:t xml:space="preserve">  违反本法规定，危险废物产生者未按照规定处置其产生的危险废物被责令改正后拒不改正的，由生态环境主管部门组织代为处置，处置费用由危险废物产生者承担；拒不承担代为处置费用的，处代为处置费用一倍以上三倍以下的罚款。</w:t>
      </w:r>
    </w:p>
    <w:p>
      <w:pPr>
        <w:spacing w:line="560" w:lineRule="exact"/>
        <w:ind w:firstLine="640"/>
        <w:jc w:val="both"/>
      </w:pPr>
      <w:r>
        <w:rPr>
          <w:rFonts w:ascii="黑体" w:hAnsi="黑体" w:eastAsia="黑体" w:cs="黑体"/>
          <w:sz w:val="32"/>
        </w:rPr>
        <w:t>第一百一十四条</w:t>
      </w:r>
      <w:r>
        <w:rPr>
          <w:rFonts w:ascii="仿宋_GB2312" w:hAnsi="仿宋_GB2312" w:eastAsia="仿宋_GB2312" w:cs="仿宋_GB2312"/>
          <w:sz w:val="32"/>
        </w:rPr>
        <w:t xml:space="preserve">  无许可证从事收集、贮存、利用、处置危险废物经营活动的，由生态环境主管部门责令改正，处一百万元以上五百万元以下的罚款，并报经有批准权的人民政府批准，责令停业或者关闭；对法定代表人、主要负责人、直接负责的主管人员和其他责任人员，处十万元以上一百万元以下的罚款。</w:t>
      </w:r>
    </w:p>
    <w:p>
      <w:pPr>
        <w:spacing w:line="560" w:lineRule="exact"/>
        <w:ind w:firstLine="640"/>
        <w:jc w:val="both"/>
      </w:pPr>
      <w:r>
        <w:rPr>
          <w:rFonts w:ascii="仿宋_GB2312" w:hAnsi="仿宋_GB2312" w:eastAsia="仿宋_GB2312" w:cs="仿宋_GB2312"/>
          <w:sz w:val="32"/>
        </w:rPr>
        <w:t>未按照许可证规定从事收集、贮存、利用、处置危险废物经营活动的，由生态环境主管部门责令改正，限制生产、停产整治，处五十万元以上二百万元以下的罚款；对法定代表人、主要负责人、直接负责的主管人员和其他责任人员，处五万元以上五十万元以下的罚款；情节严重的，报经有批准权的人民政府批准，责令停业或者关闭，还可以由发证机关吊销许可证。</w:t>
      </w:r>
    </w:p>
    <w:p>
      <w:pPr>
        <w:spacing w:line="560" w:lineRule="exact"/>
        <w:ind w:firstLine="640"/>
        <w:jc w:val="both"/>
      </w:pPr>
      <w:r>
        <w:rPr>
          <w:rFonts w:ascii="黑体" w:hAnsi="黑体" w:eastAsia="黑体" w:cs="黑体"/>
          <w:sz w:val="32"/>
        </w:rPr>
        <w:t>第一百一十五条</w:t>
      </w:r>
      <w:r>
        <w:rPr>
          <w:rFonts w:ascii="仿宋_GB2312" w:hAnsi="仿宋_GB2312" w:eastAsia="仿宋_GB2312" w:cs="仿宋_GB2312"/>
          <w:sz w:val="32"/>
        </w:rPr>
        <w:t xml:space="preserve">  违反本法规定，将中华人民共和国境外的固体废物输入境内的，由海关责令退运该固体废物，处五十万元以上五百万元以下的罚款。</w:t>
      </w:r>
    </w:p>
    <w:p>
      <w:pPr>
        <w:spacing w:line="560" w:lineRule="exact"/>
        <w:ind w:firstLine="640"/>
        <w:jc w:val="both"/>
      </w:pPr>
      <w:r>
        <w:rPr>
          <w:rFonts w:ascii="仿宋_GB2312" w:hAnsi="仿宋_GB2312" w:eastAsia="仿宋_GB2312" w:cs="仿宋_GB2312"/>
          <w:sz w:val="32"/>
        </w:rPr>
        <w:t>承运人对前款规定的固体废物的退运、处置，与进口者承担连带责任。</w:t>
      </w:r>
    </w:p>
    <w:p>
      <w:pPr>
        <w:spacing w:line="560" w:lineRule="exact"/>
        <w:ind w:firstLine="640"/>
        <w:jc w:val="both"/>
      </w:pPr>
      <w:r>
        <w:rPr>
          <w:rFonts w:ascii="黑体" w:hAnsi="黑体" w:eastAsia="黑体" w:cs="黑体"/>
          <w:sz w:val="32"/>
        </w:rPr>
        <w:t>第一百一十六条</w:t>
      </w:r>
      <w:r>
        <w:rPr>
          <w:rFonts w:ascii="仿宋_GB2312" w:hAnsi="仿宋_GB2312" w:eastAsia="仿宋_GB2312" w:cs="仿宋_GB2312"/>
          <w:sz w:val="32"/>
        </w:rPr>
        <w:t xml:space="preserve">  违反本法规定，经中华人民共和国过境转移危险废物的，由海关责令退运该危险废物，处五十万元以上五百万元以下的罚款。</w:t>
      </w:r>
    </w:p>
    <w:p>
      <w:pPr>
        <w:spacing w:line="560" w:lineRule="exact"/>
        <w:ind w:firstLine="640"/>
        <w:jc w:val="both"/>
      </w:pPr>
      <w:r>
        <w:rPr>
          <w:rFonts w:ascii="黑体" w:hAnsi="黑体" w:eastAsia="黑体" w:cs="黑体"/>
          <w:sz w:val="32"/>
        </w:rPr>
        <w:t>第一百一十七条</w:t>
      </w:r>
      <w:r>
        <w:rPr>
          <w:rFonts w:ascii="仿宋_GB2312" w:hAnsi="仿宋_GB2312" w:eastAsia="仿宋_GB2312" w:cs="仿宋_GB2312"/>
          <w:sz w:val="32"/>
        </w:rPr>
        <w:t xml:space="preserve">  对已经非法入境的固体废物，由省级以上人民政府生态环境主管部门依法向海关提出处理意见，海关应当依照本法第一百一十五条的规定作出处罚决定；已经造成环境污染的，由省级以上人民政府生态环境主管部门责令进口者消除污染。</w:t>
      </w:r>
    </w:p>
    <w:p>
      <w:pPr>
        <w:spacing w:line="560" w:lineRule="exact"/>
        <w:ind w:firstLine="640"/>
        <w:jc w:val="both"/>
      </w:pPr>
      <w:r>
        <w:rPr>
          <w:rFonts w:ascii="黑体" w:hAnsi="黑体" w:eastAsia="黑体" w:cs="黑体"/>
          <w:sz w:val="32"/>
        </w:rPr>
        <w:t>第一百一十八条</w:t>
      </w:r>
      <w:r>
        <w:rPr>
          <w:rFonts w:ascii="仿宋_GB2312" w:hAnsi="仿宋_GB2312" w:eastAsia="仿宋_GB2312" w:cs="仿宋_GB2312"/>
          <w:sz w:val="32"/>
        </w:rPr>
        <w:t xml:space="preserve">  违反本法规定，造成固体废物污染环境事故的，除依法承担赔偿责任外，由生态环境主管部门依照本条第二款的规定处以罚款，责令限期采取治理措施；造成重大或者特大固体废物污染环境事故的，还可以报经有批准权的人民政府批准，责令关闭。</w:t>
      </w:r>
    </w:p>
    <w:p>
      <w:pPr>
        <w:spacing w:line="560" w:lineRule="exact"/>
        <w:ind w:firstLine="640"/>
        <w:jc w:val="both"/>
      </w:pPr>
      <w:r>
        <w:rPr>
          <w:rFonts w:ascii="仿宋_GB2312" w:hAnsi="仿宋_GB2312" w:eastAsia="仿宋_GB2312" w:cs="仿宋_GB2312"/>
          <w:sz w:val="32"/>
        </w:rPr>
        <w:t>造成一般或者较大固体废物污染环境事故的，按照事故造成的直接经济损失的一倍以上三倍以下计算罚款；造成重大或者特大固体废物污染环境事故的，按照事故造成的直接经济损失的三倍以上五倍以下计算罚款，并对法定代表人、主要负责人、直接负责的主管人员和其他责任人员处上一年度从本单位取得的收入百分之五十以下的罚款。</w:t>
      </w:r>
    </w:p>
    <w:p>
      <w:pPr>
        <w:spacing w:line="560" w:lineRule="exact"/>
        <w:ind w:firstLine="640"/>
        <w:jc w:val="both"/>
      </w:pPr>
      <w:r>
        <w:rPr>
          <w:rFonts w:ascii="黑体" w:hAnsi="黑体" w:eastAsia="黑体" w:cs="黑体"/>
          <w:sz w:val="32"/>
        </w:rPr>
        <w:t>第一百一十九条</w:t>
      </w:r>
      <w:r>
        <w:rPr>
          <w:rFonts w:ascii="仿宋_GB2312" w:hAnsi="仿宋_GB2312" w:eastAsia="仿宋_GB2312" w:cs="仿宋_GB2312"/>
          <w:sz w:val="32"/>
        </w:rPr>
        <w:t xml:space="preserve">  单位和其他生产经营者违反本法规定排放固体废物，受到罚款处罚，被责令改正的，依法作出处罚决定的行政机关应当组织复查，发现其继续实施该违法行为的，依照《中华人民共和国环境保护法》的规定按日连续处罚。</w:t>
      </w:r>
    </w:p>
    <w:p>
      <w:pPr>
        <w:spacing w:line="560" w:lineRule="exact"/>
        <w:ind w:firstLine="640"/>
        <w:jc w:val="both"/>
      </w:pPr>
      <w:r>
        <w:rPr>
          <w:rFonts w:ascii="黑体" w:hAnsi="黑体" w:eastAsia="黑体" w:cs="黑体"/>
          <w:sz w:val="32"/>
        </w:rPr>
        <w:t>第一百二十条</w:t>
      </w:r>
      <w:r>
        <w:rPr>
          <w:rFonts w:ascii="仿宋_GB2312" w:hAnsi="仿宋_GB2312" w:eastAsia="仿宋_GB2312" w:cs="仿宋_GB2312"/>
          <w:sz w:val="32"/>
        </w:rPr>
        <w:t xml:space="preserve">  违反本法规定，有下列行为之一，尚不构成犯罪的，由公安机关对法定代表人、主要负责人、直接负责的主管人员和其他责任人员处十日以上十五日以下的拘留；情节较轻的，处五日以上十日以下的拘留：</w:t>
      </w:r>
    </w:p>
    <w:p>
      <w:pPr>
        <w:spacing w:line="560" w:lineRule="exact"/>
        <w:ind w:firstLine="640"/>
        <w:jc w:val="both"/>
      </w:pPr>
      <w:r>
        <w:rPr>
          <w:rFonts w:ascii="仿宋_GB2312" w:hAnsi="仿宋_GB2312" w:eastAsia="仿宋_GB2312" w:cs="仿宋_GB2312"/>
          <w:sz w:val="32"/>
        </w:rPr>
        <w:t>（一）擅自倾倒、堆放、丢弃、遗撒固体废物，造成严重后果的；</w:t>
      </w:r>
    </w:p>
    <w:p>
      <w:pPr>
        <w:spacing w:line="560" w:lineRule="exact"/>
        <w:ind w:firstLine="640"/>
        <w:jc w:val="both"/>
      </w:pPr>
      <w:r>
        <w:rPr>
          <w:rFonts w:ascii="仿宋_GB2312" w:hAnsi="仿宋_GB2312" w:eastAsia="仿宋_GB2312" w:cs="仿宋_GB2312"/>
          <w:sz w:val="32"/>
        </w:rPr>
        <w:t>（二）在生态保护红线区域、永久基本农田集中区域和其他需要特别保护的区域内，建设工业固体废物、危险废物集中贮存、利用、处置的设施、场所和生活垃圾填埋场的；</w:t>
      </w:r>
    </w:p>
    <w:p>
      <w:pPr>
        <w:spacing w:line="560" w:lineRule="exact"/>
        <w:ind w:firstLine="640"/>
        <w:jc w:val="both"/>
      </w:pPr>
      <w:r>
        <w:rPr>
          <w:rFonts w:ascii="仿宋_GB2312" w:hAnsi="仿宋_GB2312" w:eastAsia="仿宋_GB2312" w:cs="仿宋_GB2312"/>
          <w:sz w:val="32"/>
        </w:rPr>
        <w:t>（三）将危险废物提供或者委托给无许可证的单位或者其他生产经营者堆放、利用、处置的；</w:t>
      </w:r>
    </w:p>
    <w:p>
      <w:pPr>
        <w:spacing w:line="560" w:lineRule="exact"/>
        <w:ind w:firstLine="640"/>
        <w:jc w:val="both"/>
      </w:pPr>
      <w:r>
        <w:rPr>
          <w:rFonts w:ascii="仿宋_GB2312" w:hAnsi="仿宋_GB2312" w:eastAsia="仿宋_GB2312" w:cs="仿宋_GB2312"/>
          <w:sz w:val="32"/>
        </w:rPr>
        <w:t>（四）无许可证或者未按照许可证规定从事收集、贮存、利用、处置危险废物经营活动的；</w:t>
      </w:r>
    </w:p>
    <w:p>
      <w:pPr>
        <w:spacing w:line="560" w:lineRule="exact"/>
        <w:ind w:firstLine="640"/>
        <w:jc w:val="both"/>
      </w:pPr>
      <w:r>
        <w:rPr>
          <w:rFonts w:ascii="仿宋_GB2312" w:hAnsi="仿宋_GB2312" w:eastAsia="仿宋_GB2312" w:cs="仿宋_GB2312"/>
          <w:sz w:val="32"/>
        </w:rPr>
        <w:t>（五）未经批准擅自转移危险废物的；</w:t>
      </w:r>
    </w:p>
    <w:p>
      <w:pPr>
        <w:spacing w:line="560" w:lineRule="exact"/>
        <w:ind w:firstLine="640"/>
        <w:jc w:val="both"/>
      </w:pPr>
      <w:r>
        <w:rPr>
          <w:rFonts w:ascii="仿宋_GB2312" w:hAnsi="仿宋_GB2312" w:eastAsia="仿宋_GB2312" w:cs="仿宋_GB2312"/>
          <w:sz w:val="32"/>
        </w:rPr>
        <w:t>（六）未采取防范措施，造成危险废物扬散、流失、渗漏或者其他严重后果的。</w:t>
      </w:r>
    </w:p>
    <w:p>
      <w:pPr>
        <w:spacing w:line="560" w:lineRule="exact"/>
        <w:ind w:firstLine="640"/>
        <w:jc w:val="both"/>
      </w:pPr>
      <w:r>
        <w:rPr>
          <w:rFonts w:ascii="黑体" w:hAnsi="黑体" w:eastAsia="黑体" w:cs="黑体"/>
          <w:sz w:val="32"/>
        </w:rPr>
        <w:t>第一百二十一条</w:t>
      </w:r>
      <w:r>
        <w:rPr>
          <w:rFonts w:ascii="仿宋_GB2312" w:hAnsi="仿宋_GB2312" w:eastAsia="仿宋_GB2312" w:cs="仿宋_GB2312"/>
          <w:sz w:val="32"/>
        </w:rPr>
        <w:t xml:space="preserve">  固体废物污染环境、破坏生态，损害国家利益、社会公共利益的，有关机关和组织可以依照《中华人民共和国环境保护法》、《中华人民共和国民事诉讼法》、《中华人民共和国行政诉讼法》等法律的规定向人民法院提起诉讼。</w:t>
      </w:r>
    </w:p>
    <w:p>
      <w:pPr>
        <w:spacing w:line="560" w:lineRule="exact"/>
        <w:ind w:firstLine="640"/>
        <w:jc w:val="both"/>
      </w:pPr>
      <w:r>
        <w:rPr>
          <w:rFonts w:ascii="黑体" w:hAnsi="黑体" w:eastAsia="黑体" w:cs="黑体"/>
          <w:sz w:val="32"/>
        </w:rPr>
        <w:t>第一百二十二条</w:t>
      </w:r>
      <w:r>
        <w:rPr>
          <w:rFonts w:ascii="仿宋_GB2312" w:hAnsi="仿宋_GB2312" w:eastAsia="仿宋_GB2312" w:cs="仿宋_GB2312"/>
          <w:sz w:val="32"/>
        </w:rPr>
        <w:t xml:space="preserve">  固体废物污染环境、破坏生态给国家造成重大损失的，由设区的市级以上地方人民政府或者其指定的部门、机构组织与造成环境污染和生态破坏的单位和其他生产经营者进行磋商，要求其承担损害赔偿责任；磋商未达成一致的，可以向人民法院提起诉讼。</w:t>
      </w:r>
    </w:p>
    <w:p>
      <w:pPr>
        <w:spacing w:line="560" w:lineRule="exact"/>
        <w:ind w:firstLine="640"/>
        <w:jc w:val="both"/>
      </w:pPr>
      <w:r>
        <w:rPr>
          <w:rFonts w:ascii="仿宋_GB2312" w:hAnsi="仿宋_GB2312" w:eastAsia="仿宋_GB2312" w:cs="仿宋_GB2312"/>
          <w:sz w:val="32"/>
        </w:rPr>
        <w:t>对于执法过程中查获的无法确定责任人或者无法退运的固体废物，由所在地县级以上地方人民政府组织处理。</w:t>
      </w:r>
    </w:p>
    <w:p>
      <w:pPr>
        <w:spacing w:line="560" w:lineRule="exact"/>
        <w:ind w:firstLine="640"/>
        <w:jc w:val="both"/>
      </w:pPr>
      <w:r>
        <w:rPr>
          <w:rFonts w:ascii="黑体" w:hAnsi="黑体" w:eastAsia="黑体" w:cs="黑体"/>
          <w:sz w:val="32"/>
        </w:rPr>
        <w:t>第一百二十三条</w:t>
      </w:r>
      <w:r>
        <w:rPr>
          <w:rFonts w:ascii="仿宋_GB2312" w:hAnsi="仿宋_GB2312" w:eastAsia="仿宋_GB2312" w:cs="仿宋_GB2312"/>
          <w:sz w:val="32"/>
        </w:rPr>
        <w:t xml:space="preserve">  违反本法规定，构成违反治安管理行为的，由公安机关依法给予治安管理处罚；构成犯罪的，依法追究刑事责任；造成人身、财产损害的，依法承担民事责任。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第九章  附则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第一百二十四条</w:t>
      </w:r>
      <w:r>
        <w:rPr>
          <w:rFonts w:ascii="仿宋_GB2312" w:hAnsi="仿宋_GB2312" w:eastAsia="仿宋_GB2312" w:cs="仿宋_GB2312"/>
          <w:sz w:val="32"/>
        </w:rPr>
        <w:t xml:space="preserve">  本法下列用语的含义：</w:t>
      </w:r>
    </w:p>
    <w:p>
      <w:pPr>
        <w:spacing w:line="560" w:lineRule="exact"/>
        <w:ind w:firstLine="640"/>
        <w:jc w:val="both"/>
      </w:pPr>
      <w:r>
        <w:rPr>
          <w:rFonts w:ascii="仿宋_GB2312" w:hAnsi="仿宋_GB2312" w:eastAsia="仿宋_GB2312" w:cs="仿宋_GB2312"/>
          <w:sz w:val="32"/>
        </w:rPr>
        <w:t>（一）固体废物，是指在生产、生活和其他活动中产生的丧失原有利用价值或者虽未丧失利用价值但被抛弃或者放弃的固态、半固态和置于容器中的气态的物品、物质以及法律、行政法规规定纳入固体废物管理的物品、物质。经无害化加工处理，并且符合强制性国家产品质量标准，不会危害公众健康和生态安全，或者根据固体废物鉴别标准和鉴别程序认定为不属于固体废物的除外。</w:t>
      </w:r>
    </w:p>
    <w:p>
      <w:pPr>
        <w:spacing w:line="560" w:lineRule="exact"/>
        <w:ind w:firstLine="640"/>
        <w:jc w:val="both"/>
      </w:pPr>
      <w:r>
        <w:rPr>
          <w:rFonts w:ascii="仿宋_GB2312" w:hAnsi="仿宋_GB2312" w:eastAsia="仿宋_GB2312" w:cs="仿宋_GB2312"/>
          <w:sz w:val="32"/>
        </w:rPr>
        <w:t>（二）工业固体废物，是指在工业生产活动中产生的固体废物。</w:t>
      </w:r>
    </w:p>
    <w:p>
      <w:pPr>
        <w:spacing w:line="560" w:lineRule="exact"/>
        <w:ind w:firstLine="640"/>
        <w:jc w:val="both"/>
      </w:pPr>
      <w:r>
        <w:rPr>
          <w:rFonts w:ascii="仿宋_GB2312" w:hAnsi="仿宋_GB2312" w:eastAsia="仿宋_GB2312" w:cs="仿宋_GB2312"/>
          <w:sz w:val="32"/>
        </w:rPr>
        <w:t>（三）生活垃圾，是指在日常生活中或者为日常生活提供服务的活动中产生的固体废物，以及法律、行政法规规定视为生活垃圾的固体废物。</w:t>
      </w:r>
    </w:p>
    <w:p>
      <w:pPr>
        <w:spacing w:line="560" w:lineRule="exact"/>
        <w:ind w:firstLine="640"/>
        <w:jc w:val="both"/>
      </w:pPr>
      <w:r>
        <w:rPr>
          <w:rFonts w:ascii="仿宋_GB2312" w:hAnsi="仿宋_GB2312" w:eastAsia="仿宋_GB2312" w:cs="仿宋_GB2312"/>
          <w:sz w:val="32"/>
        </w:rPr>
        <w:t>（四）建筑垃圾，是指建设单位、施工单位新建、改建、扩建和拆除各类建筑物、构筑物、管网等，以及居民装饰装修房屋过程中产生的弃土、弃料和其他固体废物。</w:t>
      </w:r>
    </w:p>
    <w:p>
      <w:pPr>
        <w:spacing w:line="560" w:lineRule="exact"/>
        <w:ind w:firstLine="640"/>
        <w:jc w:val="both"/>
      </w:pPr>
      <w:r>
        <w:rPr>
          <w:rFonts w:ascii="仿宋_GB2312" w:hAnsi="仿宋_GB2312" w:eastAsia="仿宋_GB2312" w:cs="仿宋_GB2312"/>
          <w:sz w:val="32"/>
        </w:rPr>
        <w:t>（五）农业固体废物，是指在农业生产活动中产生的固体废物。</w:t>
      </w:r>
    </w:p>
    <w:p>
      <w:pPr>
        <w:spacing w:line="560" w:lineRule="exact"/>
        <w:ind w:firstLine="640"/>
        <w:jc w:val="both"/>
      </w:pPr>
      <w:r>
        <w:rPr>
          <w:rFonts w:ascii="仿宋_GB2312" w:hAnsi="仿宋_GB2312" w:eastAsia="仿宋_GB2312" w:cs="仿宋_GB2312"/>
          <w:sz w:val="32"/>
        </w:rPr>
        <w:t>（六）危险废物，是指列入国家危险废物名录或者根据国家规定的危险废物鉴别标准和鉴别方法认定的具有危险特性的固体废物。</w:t>
      </w:r>
    </w:p>
    <w:p>
      <w:pPr>
        <w:spacing w:line="560" w:lineRule="exact"/>
        <w:ind w:firstLine="640"/>
        <w:jc w:val="both"/>
      </w:pPr>
      <w:r>
        <w:rPr>
          <w:rFonts w:ascii="仿宋_GB2312" w:hAnsi="仿宋_GB2312" w:eastAsia="仿宋_GB2312" w:cs="仿宋_GB2312"/>
          <w:sz w:val="32"/>
        </w:rPr>
        <w:t>（七）贮存，是指将固体废物临时置于特定设施或者场所中的活动。</w:t>
      </w:r>
    </w:p>
    <w:p>
      <w:pPr>
        <w:spacing w:line="560" w:lineRule="exact"/>
        <w:ind w:firstLine="640"/>
        <w:jc w:val="both"/>
      </w:pPr>
      <w:r>
        <w:rPr>
          <w:rFonts w:ascii="仿宋_GB2312" w:hAnsi="仿宋_GB2312" w:eastAsia="仿宋_GB2312" w:cs="仿宋_GB2312"/>
          <w:sz w:val="32"/>
        </w:rPr>
        <w:t>（八）利用，是指从固体废物中提取物质作为原材料或者燃料的活动。</w:t>
      </w:r>
    </w:p>
    <w:p>
      <w:pPr>
        <w:spacing w:line="560" w:lineRule="exact"/>
        <w:ind w:firstLine="640"/>
        <w:jc w:val="both"/>
      </w:pPr>
      <w:r>
        <w:rPr>
          <w:rFonts w:ascii="仿宋_GB2312" w:hAnsi="仿宋_GB2312" w:eastAsia="仿宋_GB2312" w:cs="仿宋_GB2312"/>
          <w:sz w:val="32"/>
        </w:rPr>
        <w:t>（九）处置，是指将固体废物焚烧和用其他改变固体废物的物理、化学、生物特性的方法，达到减少已产生的固体废物数量、缩小固体废物体积、减少或者消除其危险成分的活动，或者将固体废物最终置于符合环境保护规定要求的填埋场的活动。</w:t>
      </w:r>
    </w:p>
    <w:p>
      <w:pPr>
        <w:spacing w:line="560" w:lineRule="exact"/>
        <w:ind w:firstLine="640"/>
        <w:jc w:val="both"/>
      </w:pPr>
      <w:r>
        <w:rPr>
          <w:rFonts w:ascii="黑体" w:hAnsi="黑体" w:eastAsia="黑体" w:cs="黑体"/>
          <w:sz w:val="32"/>
        </w:rPr>
        <w:t>第一百二十五条</w:t>
      </w:r>
      <w:r>
        <w:rPr>
          <w:rFonts w:ascii="仿宋_GB2312" w:hAnsi="仿宋_GB2312" w:eastAsia="仿宋_GB2312" w:cs="仿宋_GB2312"/>
          <w:sz w:val="32"/>
        </w:rPr>
        <w:t xml:space="preserve">  液态废物的污染防治，适用本法；但是，排入水体的废水的污染防治适用有关法律，不适用本法。</w:t>
      </w:r>
    </w:p>
    <w:p>
      <w:pPr>
        <w:spacing w:line="560" w:lineRule="exact"/>
        <w:ind w:firstLine="640"/>
        <w:jc w:val="both"/>
      </w:pPr>
      <w:r>
        <w:rPr>
          <w:rFonts w:ascii="黑体" w:hAnsi="黑体" w:eastAsia="黑体" w:cs="黑体"/>
          <w:sz w:val="32"/>
        </w:rPr>
        <w:t>第一百二十六条</w:t>
      </w:r>
      <w:r>
        <w:rPr>
          <w:rFonts w:ascii="仿宋_GB2312" w:hAnsi="仿宋_GB2312" w:eastAsia="仿宋_GB2312" w:cs="仿宋_GB2312"/>
          <w:sz w:val="32"/>
        </w:rPr>
        <w:t xml:space="preserve">  本法自</w:t>
      </w:r>
      <w:r>
        <w:rPr>
          <w:rFonts w:hint="default" w:ascii="Times New Roman" w:hAnsi="Times New Roman" w:eastAsia="仿宋_GB2312" w:cs="Times New Roman"/>
          <w:sz w:val="32"/>
        </w:rPr>
        <w:t>2020</w:t>
      </w:r>
      <w:r>
        <w:rPr>
          <w:rFonts w:ascii="仿宋_GB2312" w:hAnsi="仿宋_GB2312" w:eastAsia="仿宋_GB2312" w:cs="仿宋_GB2312"/>
          <w:sz w:val="32"/>
        </w:rPr>
        <w:t>年</w:t>
      </w:r>
      <w:r>
        <w:rPr>
          <w:rFonts w:hint="default" w:ascii="Times New Roman" w:hAnsi="Times New Roman" w:eastAsia="仿宋_GB2312" w:cs="Times New Roman"/>
          <w:sz w:val="32"/>
        </w:rPr>
        <w:t>9</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1" w:name="_Toc16649"/>
      <w:r>
        <w:rPr>
          <w:rFonts w:hint="eastAsia" w:ascii="宋体" w:hAnsi="宋体" w:eastAsia="宋体" w:cs="宋体"/>
          <w:kern w:val="0"/>
          <w:sz w:val="44"/>
          <w:szCs w:val="44"/>
          <w:lang w:val="en-US" w:eastAsia="zh-CN"/>
        </w:rPr>
        <w:t>中华人民共和国进出口商品检验法</w:t>
      </w:r>
      <w:bookmarkEnd w:id="191"/>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ind w:left="640" w:leftChars="200" w:right="640" w:rightChars="200"/>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w:t>
      </w:r>
      <w:r>
        <w:rPr>
          <w:rFonts w:hint="eastAsia" w:ascii="宋体" w:hAnsi="宋体" w:eastAsia="楷体_GB2312" w:cs="楷体_GB2312"/>
        </w:rPr>
        <w:t>1989年2月21日</w:t>
      </w:r>
      <w:r>
        <w:rPr>
          <w:rFonts w:hint="eastAsia" w:ascii="宋体" w:hAnsi="宋体" w:eastAsia="楷体_GB2312" w:cs="楷体_GB2312"/>
          <w:lang w:eastAsia="zh-CN"/>
        </w:rPr>
        <w:t>第</w:t>
      </w:r>
      <w:r>
        <w:rPr>
          <w:rFonts w:hint="eastAsia" w:ascii="宋体" w:hAnsi="宋体" w:eastAsia="楷体_GB2312" w:cs="楷体_GB2312"/>
        </w:rPr>
        <w:t>七届全国人民代表大会常务委员会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六次会议通过　根据2002年4月28日</w:t>
      </w:r>
      <w:r>
        <w:rPr>
          <w:rFonts w:hint="eastAsia" w:ascii="宋体" w:hAnsi="宋体" w:eastAsia="楷体_GB2312" w:cs="楷体_GB2312"/>
          <w:lang w:eastAsia="zh-CN"/>
        </w:rPr>
        <w:t>第</w:t>
      </w:r>
      <w:r>
        <w:rPr>
          <w:rFonts w:hint="eastAsia" w:ascii="宋体" w:hAnsi="宋体" w:eastAsia="楷体_GB2312" w:cs="楷体_GB2312"/>
        </w:rPr>
        <w:t>九届全国人民代表大会常务委员会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二十七次会议《关于修改</w:t>
      </w:r>
      <w:r>
        <w:rPr>
          <w:rFonts w:hint="eastAsia" w:ascii="宋体" w:hAnsi="宋体" w:eastAsia="楷体_GB2312" w:cs="楷体_GB2312"/>
          <w:lang w:val="en-US" w:eastAsia="zh-CN"/>
        </w:rPr>
        <w:t>&lt;</w:t>
      </w:r>
      <w:r>
        <w:rPr>
          <w:rFonts w:hint="eastAsia" w:ascii="宋体" w:hAnsi="宋体" w:eastAsia="楷体_GB2312" w:cs="楷体_GB2312"/>
        </w:rPr>
        <w:t>中华人民共和国进出口商品检验法</w:t>
      </w:r>
      <w:r>
        <w:rPr>
          <w:rFonts w:hint="eastAsia" w:ascii="宋体" w:hAnsi="宋体" w:eastAsia="楷体_GB2312" w:cs="楷体_GB2312"/>
          <w:lang w:val="en-US" w:eastAsia="zh-CN"/>
        </w:rPr>
        <w:t>&gt;</w:t>
      </w:r>
      <w:r>
        <w:rPr>
          <w:rFonts w:hint="eastAsia" w:ascii="宋体" w:hAnsi="宋体" w:eastAsia="楷体_GB2312" w:cs="楷体_GB2312"/>
        </w:rPr>
        <w:t>的决定》</w:t>
      </w:r>
      <w:r>
        <w:rPr>
          <w:rFonts w:hint="eastAsia" w:ascii="宋体" w:hAnsi="宋体" w:eastAsia="楷体_GB2312" w:cs="楷体_GB2312"/>
          <w:lang w:eastAsia="zh-CN"/>
        </w:rPr>
        <w:t>第</w:t>
      </w:r>
      <w:r>
        <w:rPr>
          <w:rFonts w:hint="eastAsia" w:ascii="宋体" w:hAnsi="宋体" w:eastAsia="楷体_GB2312" w:cs="楷体_GB2312"/>
        </w:rPr>
        <w:t>一次修正　根据2013年6月29日</w:t>
      </w:r>
      <w:r>
        <w:rPr>
          <w:rFonts w:hint="eastAsia" w:ascii="宋体" w:hAnsi="宋体" w:eastAsia="楷体_GB2312" w:cs="楷体_GB2312"/>
          <w:lang w:eastAsia="zh-CN"/>
        </w:rPr>
        <w:t>第</w:t>
      </w:r>
      <w:r>
        <w:rPr>
          <w:rFonts w:hint="eastAsia" w:ascii="宋体" w:hAnsi="宋体" w:eastAsia="楷体_GB2312" w:cs="楷体_GB2312"/>
        </w:rPr>
        <w:t>十二届全国人民代表大会常务委员会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三次会议《关于修改</w:t>
      </w:r>
      <w:r>
        <w:rPr>
          <w:rFonts w:hint="eastAsia" w:ascii="宋体" w:hAnsi="宋体" w:eastAsia="楷体_GB2312" w:cs="楷体_GB2312"/>
          <w:lang w:val="en-US" w:eastAsia="zh-CN"/>
        </w:rPr>
        <w:t>&lt;</w:t>
      </w:r>
      <w:r>
        <w:rPr>
          <w:rFonts w:hint="eastAsia" w:ascii="宋体" w:hAnsi="宋体" w:eastAsia="楷体_GB2312" w:cs="楷体_GB2312"/>
        </w:rPr>
        <w:t>中华人民共和国文物保护法</w:t>
      </w:r>
      <w:r>
        <w:rPr>
          <w:rFonts w:hint="eastAsia" w:ascii="宋体" w:hAnsi="宋体" w:eastAsia="楷体_GB2312" w:cs="楷体_GB2312"/>
          <w:lang w:val="en-US" w:eastAsia="zh-CN"/>
        </w:rPr>
        <w:t>&gt;</w:t>
      </w:r>
      <w:r>
        <w:rPr>
          <w:rFonts w:hint="eastAsia" w:ascii="宋体" w:hAnsi="宋体" w:eastAsia="楷体_GB2312" w:cs="楷体_GB2312"/>
        </w:rPr>
        <w:t>等十二部法律的决定》</w:t>
      </w:r>
      <w:r>
        <w:rPr>
          <w:rFonts w:hint="eastAsia" w:ascii="宋体" w:hAnsi="宋体" w:eastAsia="楷体_GB2312" w:cs="楷体_GB2312"/>
          <w:lang w:eastAsia="zh-CN"/>
        </w:rPr>
        <w:t>第</w:t>
      </w:r>
      <w:r>
        <w:rPr>
          <w:rFonts w:hint="eastAsia" w:ascii="宋体" w:hAnsi="宋体" w:eastAsia="楷体_GB2312" w:cs="楷体_GB2312"/>
        </w:rPr>
        <w:t>二次修正　根据</w:t>
      </w:r>
    </w:p>
    <w:p>
      <w:pPr>
        <w:widowControl w:val="0"/>
        <w:wordWrap/>
        <w:overflowPunct w:val="0"/>
        <w:adjustRightInd/>
        <w:snapToGrid/>
        <w:spacing w:beforeAutospacing="0" w:afterAutospacing="0" w:line="560" w:lineRule="exact"/>
        <w:ind w:left="640" w:leftChars="200" w:right="640" w:rightChars="200"/>
        <w:jc w:val="left"/>
        <w:textAlignment w:val="auto"/>
        <w:outlineLvl w:val="9"/>
        <w:rPr>
          <w:rFonts w:hint="eastAsia" w:ascii="宋体" w:hAnsi="宋体" w:eastAsia="楷体_GB2312" w:cs="楷体_GB2312"/>
        </w:rPr>
      </w:pPr>
      <w:r>
        <w:rPr>
          <w:rFonts w:hint="eastAsia" w:ascii="宋体" w:hAnsi="宋体" w:eastAsia="楷体_GB2312" w:cs="楷体_GB2312"/>
        </w:rPr>
        <w:t>2018年4月27日</w:t>
      </w:r>
      <w:r>
        <w:rPr>
          <w:rFonts w:hint="eastAsia" w:ascii="宋体" w:hAnsi="宋体" w:eastAsia="楷体_GB2312" w:cs="楷体_GB2312"/>
          <w:lang w:eastAsia="zh-CN"/>
        </w:rPr>
        <w:t>第</w:t>
      </w:r>
      <w:r>
        <w:rPr>
          <w:rFonts w:hint="eastAsia" w:ascii="宋体" w:hAnsi="宋体" w:eastAsia="楷体_GB2312" w:cs="楷体_GB2312"/>
        </w:rPr>
        <w:t>十三届全国人民代表大会常务委员会</w:t>
      </w:r>
      <w:r>
        <w:rPr>
          <w:rFonts w:hint="eastAsia" w:ascii="宋体" w:hAnsi="宋体" w:eastAsia="楷体_GB2312" w:cs="楷体_GB2312"/>
          <w:lang w:eastAsia="zh-CN"/>
        </w:rPr>
        <w:t>第</w:t>
      </w:r>
      <w:r>
        <w:rPr>
          <w:rFonts w:hint="eastAsia" w:ascii="宋体" w:hAnsi="宋体" w:eastAsia="楷体_GB2312" w:cs="楷体_GB2312"/>
        </w:rPr>
        <w:t>二次会议《关于修改</w:t>
      </w:r>
      <w:r>
        <w:rPr>
          <w:rFonts w:hint="eastAsia" w:ascii="宋体" w:hAnsi="宋体" w:eastAsia="楷体_GB2312" w:cs="楷体_GB2312"/>
          <w:lang w:val="en-US" w:eastAsia="zh-CN"/>
        </w:rPr>
        <w:t>&lt;</w:t>
      </w:r>
      <w:r>
        <w:rPr>
          <w:rFonts w:hint="eastAsia" w:ascii="宋体" w:hAnsi="宋体" w:eastAsia="楷体_GB2312" w:cs="楷体_GB2312"/>
        </w:rPr>
        <w:t>中华人民共和国国境卫生检疫法</w:t>
      </w:r>
      <w:r>
        <w:rPr>
          <w:rFonts w:hint="eastAsia" w:ascii="宋体" w:hAnsi="宋体" w:eastAsia="楷体_GB2312" w:cs="楷体_GB2312"/>
          <w:lang w:val="en-US" w:eastAsia="zh-CN"/>
        </w:rPr>
        <w:t>&gt;</w:t>
      </w:r>
      <w:r>
        <w:rPr>
          <w:rFonts w:hint="eastAsia" w:ascii="宋体" w:hAnsi="宋体" w:eastAsia="楷体_GB2312" w:cs="楷体_GB2312"/>
        </w:rPr>
        <w:t>等六部法律的决定》</w:t>
      </w:r>
      <w:r>
        <w:rPr>
          <w:rFonts w:hint="eastAsia" w:ascii="宋体" w:hAnsi="宋体" w:eastAsia="楷体_GB2312" w:cs="楷体_GB2312"/>
          <w:lang w:eastAsia="zh-CN"/>
        </w:rPr>
        <w:t>第</w:t>
      </w:r>
      <w:r>
        <w:rPr>
          <w:rFonts w:hint="eastAsia" w:ascii="宋体" w:hAnsi="宋体" w:eastAsia="楷体_GB2312" w:cs="楷体_GB2312"/>
        </w:rPr>
        <w:t>三次修正</w:t>
      </w:r>
      <w:r>
        <w:rPr>
          <w:rFonts w:hint="eastAsia" w:ascii="宋体" w:hAnsi="宋体" w:eastAsia="楷体_GB2312" w:cs="楷体_GB2312"/>
          <w:lang w:val="en-US" w:eastAsia="zh-CN"/>
        </w:rPr>
        <w:t xml:space="preserve"> 根据2018年12月29日第十三届全国人民代表大会常务委员会第七次会议《关于修改〈中华人民共和国产品质量法〉等五部法律的决定》第四次修正</w:t>
      </w:r>
      <w:r>
        <w:rPr>
          <w:rFonts w:hint="eastAsia" w:ascii="宋体" w:hAnsi="宋体" w:eastAsia="楷体_GB2312" w:cs="楷体_GB2312"/>
        </w:rPr>
        <w:t>）</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rPr>
      </w:pPr>
      <w:r>
        <w:rPr>
          <w:rFonts w:hint="eastAsia" w:ascii="宋体" w:hAnsi="宋体" w:eastAsia="楷体_GB2312" w:cs="楷体_GB2312"/>
        </w:rPr>
        <w:t>目</w:t>
      </w:r>
      <w:r>
        <w:rPr>
          <w:rFonts w:hint="eastAsia" w:ascii="宋体" w:hAnsi="宋体" w:eastAsia="楷体_GB2312" w:cs="楷体_GB2312"/>
          <w:lang w:eastAsia="zh-CN"/>
        </w:rPr>
        <w:t>　　</w:t>
      </w:r>
      <w:r>
        <w:rPr>
          <w:rFonts w:hint="eastAsia" w:ascii="宋体" w:hAnsi="宋体" w:eastAsia="楷体_GB2312" w:cs="楷体_GB2312"/>
        </w:rPr>
        <w:t>录</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一章</w:t>
      </w:r>
      <w:r>
        <w:rPr>
          <w:rFonts w:hint="eastAsia" w:ascii="宋体" w:hAnsi="宋体" w:eastAsia="楷体_GB2312" w:cs="楷体_GB2312"/>
          <w:lang w:eastAsia="zh-CN"/>
        </w:rPr>
        <w:t>　</w:t>
      </w:r>
      <w:r>
        <w:rPr>
          <w:rFonts w:hint="eastAsia" w:ascii="宋体" w:hAnsi="宋体" w:eastAsia="楷体_GB2312" w:cs="楷体_GB2312"/>
        </w:rPr>
        <w:t>总则</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二章</w:t>
      </w:r>
      <w:r>
        <w:rPr>
          <w:rFonts w:hint="eastAsia" w:ascii="宋体" w:hAnsi="宋体" w:eastAsia="楷体_GB2312" w:cs="楷体_GB2312"/>
          <w:lang w:eastAsia="zh-CN"/>
        </w:rPr>
        <w:t>　</w:t>
      </w:r>
      <w:r>
        <w:rPr>
          <w:rFonts w:hint="eastAsia" w:ascii="宋体" w:hAnsi="宋体" w:eastAsia="楷体_GB2312" w:cs="楷体_GB2312"/>
        </w:rPr>
        <w:t>进口商品的检验</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三章</w:t>
      </w:r>
      <w:r>
        <w:rPr>
          <w:rFonts w:hint="eastAsia" w:ascii="宋体" w:hAnsi="宋体" w:eastAsia="楷体_GB2312" w:cs="楷体_GB2312"/>
          <w:lang w:eastAsia="zh-CN"/>
        </w:rPr>
        <w:t>　</w:t>
      </w:r>
      <w:r>
        <w:rPr>
          <w:rFonts w:hint="eastAsia" w:ascii="宋体" w:hAnsi="宋体" w:eastAsia="楷体_GB2312" w:cs="楷体_GB2312"/>
        </w:rPr>
        <w:t>出口商品的检验</w:t>
      </w:r>
    </w:p>
    <w:p>
      <w:pPr>
        <w:widowControl w:val="0"/>
        <w:wordWrap/>
        <w:overflowPunct w:val="0"/>
        <w:adjustRightInd/>
        <w:snapToGrid/>
        <w:spacing w:beforeAutospacing="0" w:afterAutospacing="0" w:line="560" w:lineRule="exact"/>
        <w:jc w:val="left"/>
        <w:textAlignment w:val="auto"/>
        <w:outlineLvl w:val="9"/>
        <w:rPr>
          <w:rFonts w:hint="eastAsia" w:ascii="宋体" w:hAnsi="宋体" w:eastAsia="楷体_GB2312" w:cs="楷体_GB2312"/>
        </w:rPr>
      </w:pPr>
      <w:r>
        <w:rPr>
          <w:rFonts w:hint="eastAsia" w:ascii="宋体" w:hAnsi="宋体" w:eastAsia="楷体_GB2312" w:cs="楷体_GB2312"/>
          <w:lang w:eastAsia="zh-CN"/>
        </w:rPr>
        <w:t>　　第</w:t>
      </w:r>
      <w:r>
        <w:rPr>
          <w:rFonts w:hint="eastAsia" w:ascii="宋体" w:hAnsi="宋体" w:eastAsia="楷体_GB2312" w:cs="楷体_GB2312"/>
        </w:rPr>
        <w:t>四章</w:t>
      </w:r>
      <w:r>
        <w:rPr>
          <w:rFonts w:hint="eastAsia" w:ascii="宋体" w:hAnsi="宋体" w:eastAsia="楷体_GB2312" w:cs="楷体_GB2312"/>
          <w:lang w:eastAsia="zh-CN"/>
        </w:rPr>
        <w:t>　</w:t>
      </w:r>
      <w:r>
        <w:rPr>
          <w:rFonts w:hint="eastAsia" w:ascii="宋体" w:hAnsi="宋体" w:eastAsia="楷体_GB2312" w:cs="楷体_GB2312"/>
        </w:rPr>
        <w:t>监督管理</w:t>
      </w:r>
    </w:p>
    <w:p>
      <w:pPr>
        <w:widowControl w:val="0"/>
        <w:wordWrap/>
        <w:overflowPunct w:val="0"/>
        <w:adjustRightInd/>
        <w:snapToGrid/>
        <w:spacing w:beforeAutospacing="0" w:afterAutospacing="0" w:line="560" w:lineRule="exact"/>
        <w:jc w:val="left"/>
        <w:textAlignment w:val="auto"/>
        <w:outlineLvl w:val="9"/>
        <w:rPr>
          <w:rFonts w:hint="eastAsia" w:ascii="宋体" w:hAnsi="宋体"/>
        </w:rPr>
      </w:pPr>
      <w:r>
        <w:rPr>
          <w:rFonts w:hint="eastAsia" w:ascii="宋体" w:hAnsi="宋体" w:eastAsia="楷体_GB2312" w:cs="楷体_GB2312"/>
          <w:lang w:eastAsia="zh-CN"/>
        </w:rPr>
        <w:t>　　第</w:t>
      </w:r>
      <w:r>
        <w:rPr>
          <w:rFonts w:hint="eastAsia" w:ascii="宋体" w:hAnsi="宋体" w:eastAsia="楷体_GB2312" w:cs="楷体_GB2312"/>
        </w:rPr>
        <w:t>五章</w:t>
      </w:r>
      <w:r>
        <w:rPr>
          <w:rFonts w:hint="eastAsia" w:ascii="宋体" w:hAnsi="宋体" w:eastAsia="楷体_GB2312" w:cs="楷体_GB2312"/>
          <w:lang w:eastAsia="zh-CN"/>
        </w:rPr>
        <w:t>　</w:t>
      </w:r>
      <w:r>
        <w:rPr>
          <w:rFonts w:hint="eastAsia" w:ascii="宋体" w:hAnsi="宋体" w:eastAsia="楷体_GB2312" w:cs="楷体_GB2312"/>
        </w:rPr>
        <w:t>法律责任</w:t>
      </w:r>
    </w:p>
    <w:p>
      <w:pPr>
        <w:widowControl w:val="0"/>
        <w:wordWrap/>
        <w:overflowPunct w:val="0"/>
        <w:adjustRightInd/>
        <w:snapToGrid/>
        <w:spacing w:beforeAutospacing="0" w:afterAutospacing="0" w:line="560" w:lineRule="exact"/>
        <w:jc w:val="left"/>
        <w:textAlignment w:val="auto"/>
        <w:outlineLvl w:val="9"/>
        <w:rPr>
          <w:rFonts w:ascii="宋体" w:hAnsi="宋体"/>
        </w:rPr>
      </w:pPr>
      <w:r>
        <w:rPr>
          <w:rFonts w:hint="eastAsia" w:ascii="宋体" w:hAnsi="宋体" w:eastAsia="楷体_GB2312" w:cs="楷体_GB2312"/>
          <w:lang w:eastAsia="zh-CN"/>
        </w:rPr>
        <w:t>　　第</w:t>
      </w:r>
      <w:r>
        <w:rPr>
          <w:rFonts w:hint="eastAsia" w:ascii="宋体" w:hAnsi="宋体" w:eastAsia="楷体_GB2312" w:cs="楷体_GB2312"/>
        </w:rPr>
        <w:t>六章</w:t>
      </w:r>
      <w:r>
        <w:rPr>
          <w:rFonts w:hint="eastAsia" w:ascii="宋体" w:hAnsi="宋体" w:eastAsia="楷体_GB2312" w:cs="楷体_GB2312"/>
          <w:lang w:eastAsia="zh-CN"/>
        </w:rPr>
        <w:t>　</w:t>
      </w:r>
      <w:r>
        <w:rPr>
          <w:rFonts w:hint="eastAsia" w:ascii="宋体" w:hAnsi="宋体" w:eastAsia="楷体_GB2312" w:cs="楷体_GB2312"/>
        </w:rPr>
        <w:t>附则</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第一章　总则</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第一条 </w:t>
      </w:r>
      <w:r>
        <w:rPr>
          <w:rFonts w:hint="eastAsia" w:ascii="宋体" w:hAnsi="宋体" w:cs="仿宋_GB2312"/>
          <w:szCs w:val="32"/>
        </w:rPr>
        <w:t>为了加强进出口商品检验工作，规范进出口商品检验行为，维护社会公共利益和进出口贸易有关各方的合法权益，促进对外经济贸易关系的顺利发展，制定本法。</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第二条</w:t>
      </w:r>
      <w:r>
        <w:rPr>
          <w:rFonts w:hint="eastAsia" w:ascii="宋体" w:hAnsi="宋体" w:cs="仿宋_GB2312"/>
          <w:szCs w:val="32"/>
        </w:rPr>
        <w:t xml:space="preserve"> 国务院设立进出口商品检验部门（以下简称国家商检部门），主管全国进出口商品检验工作。国家商检部门设在各地的进出口商品检验机构（以下简称商检机构）管理所辖地区的进出口商品检验工作。</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第三条</w:t>
      </w:r>
      <w:r>
        <w:rPr>
          <w:rFonts w:hint="eastAsia" w:ascii="宋体" w:hAnsi="宋体" w:cs="仿宋_GB2312"/>
          <w:szCs w:val="32"/>
        </w:rPr>
        <w:t xml:space="preserve"> 商检机构和经国家商检部门许可的检验机构，依法对进出口商品实施检验。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第四条</w:t>
      </w:r>
      <w:r>
        <w:rPr>
          <w:rFonts w:hint="eastAsia" w:ascii="宋体" w:hAnsi="宋体" w:cs="仿宋_GB2312"/>
          <w:szCs w:val="32"/>
        </w:rPr>
        <w:t xml:space="preserve"> 进出口商品检验应当根据保护人类健康和安全、保护动物或者植物的生命和健康、保护环境、防止欺诈行为、维护国家安全的原则，由国家商检部门制定、调整必须实施检验的进出口商品目录（以下简称目录）并公布实施。</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第五条</w:t>
      </w:r>
      <w:r>
        <w:rPr>
          <w:rFonts w:hint="eastAsia" w:ascii="宋体" w:hAnsi="宋体" w:cs="仿宋_GB2312"/>
          <w:szCs w:val="32"/>
        </w:rPr>
        <w:t xml:space="preserve"> 列入目录的进出口商品，由商检机构实施检验。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前款规定的进口商品未经检验的，不准销售、使用；前款规定的出口商品未经检验合格的，不准出口。</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本条第一款规定的进出口商品，其中符合国家规定的免予检验条件的，由收货人或者发货人申请，经国家商检部门审查批准，可以免予检验。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第六条</w:t>
      </w:r>
      <w:r>
        <w:rPr>
          <w:rFonts w:hint="eastAsia" w:ascii="宋体" w:hAnsi="宋体" w:cs="仿宋_GB2312"/>
          <w:szCs w:val="32"/>
        </w:rPr>
        <w:t xml:space="preserve"> 必须实施的进出口商品检验，是指确定列入目录的进出口商品是否符合国家技术规范的强制性要求的合格评定活动。</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合格评定程序包括：抽样、检验和检查；评估、验证和合格保证；注册、认可和批准以及各项的组合。</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第七条</w:t>
      </w:r>
      <w:r>
        <w:rPr>
          <w:rFonts w:hint="eastAsia" w:ascii="宋体" w:hAnsi="宋体" w:cs="仿宋_GB2312"/>
          <w:szCs w:val="32"/>
        </w:rPr>
        <w:t xml:space="preserve"> 列入目录的进出口商品，按照国家技术规范的强制性要求进行检验；尚未制定国家技术规范的强制性要求的，应当依法及时制定，未制定之前，可以参照国家商检部门指定的国外有关标准进行检验。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第八条</w:t>
      </w:r>
      <w:r>
        <w:rPr>
          <w:rFonts w:hint="eastAsia" w:ascii="宋体" w:hAnsi="宋体" w:cs="仿宋_GB2312"/>
          <w:szCs w:val="32"/>
        </w:rPr>
        <w:t xml:space="preserve"> 经国家商检部门许可的检验机构，可以接受对外贸易关系人或者外国检验机构的委托，办理进出口商品检验鉴定业务。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第九条</w:t>
      </w:r>
      <w:r>
        <w:rPr>
          <w:rFonts w:hint="eastAsia" w:ascii="宋体" w:hAnsi="宋体" w:cs="仿宋_GB2312"/>
          <w:szCs w:val="32"/>
        </w:rPr>
        <w:t xml:space="preserve"> 法律、行政法规规定由其他检验机构实施检验的进出口商品或者检验项目，依照有关法律、行政法规的规定办理。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第十条</w:t>
      </w:r>
      <w:r>
        <w:rPr>
          <w:rFonts w:hint="eastAsia" w:ascii="宋体" w:hAnsi="宋体" w:cs="仿宋_GB2312"/>
          <w:szCs w:val="32"/>
        </w:rPr>
        <w:t xml:space="preserve"> 国家商检部门和商检机构应当及时收集和向有关方面提供进出口商品检验方面的信息。</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国家商检部门和商检机构的工作人员在履行进出口商品检验的职责中，对所知悉的商业秘密负有保密义务。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第二章　进口商品的检验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第十一条</w:t>
      </w:r>
      <w:r>
        <w:rPr>
          <w:rFonts w:hint="eastAsia" w:ascii="宋体" w:hAnsi="宋体" w:cs="仿宋_GB2312"/>
          <w:szCs w:val="32"/>
        </w:rPr>
        <w:t xml:space="preserve"> 本法规定必须经商检机构检验的进口商品的收货人或者其代理人，应当向报关地的商检机构报检。</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第十二条</w:t>
      </w:r>
      <w:r>
        <w:rPr>
          <w:rFonts w:hint="eastAsia" w:ascii="宋体" w:hAnsi="宋体" w:cs="仿宋_GB2312"/>
          <w:szCs w:val="32"/>
        </w:rPr>
        <w:t xml:space="preserve"> 本法规定必须经商检机构检验的进口商品的收货人或者其代理人，应当在商检机构规定的地点和期限内，接受商检机构对进口商品的检验。商检机构应当在国家商检部门统一规定的期限内检验完毕，并出具检验证单。</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第十三条</w:t>
      </w:r>
      <w:r>
        <w:rPr>
          <w:rFonts w:hint="eastAsia" w:ascii="宋体" w:hAnsi="宋体" w:cs="仿宋_GB2312"/>
          <w:szCs w:val="32"/>
        </w:rPr>
        <w:t xml:space="preserve"> 本法规定必须经商检机构检验的进口商品以外的进口商品的收货人，发现进口商品质量不合格或者残损短缺，需要由商检机构出证索赔的，应当向商检机构申请检验出证。</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第十四条 </w:t>
      </w:r>
      <w:r>
        <w:rPr>
          <w:rFonts w:hint="eastAsia" w:ascii="宋体" w:hAnsi="宋体" w:cs="仿宋_GB2312"/>
          <w:szCs w:val="32"/>
        </w:rPr>
        <w:t>对重要的进口商品和大型的成套设备，收货人应当依据对外贸易合同约定在出口国装运前进行预检验、监造或者监装，主管部门应当加强监督；商检机构根据需要可以派出检验人员参加。</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第三章　出口商品的检验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第十五条</w:t>
      </w:r>
      <w:r>
        <w:rPr>
          <w:rFonts w:hint="eastAsia" w:ascii="宋体" w:hAnsi="宋体" w:cs="仿宋_GB2312"/>
          <w:szCs w:val="32"/>
        </w:rPr>
        <w:t xml:space="preserve"> 本法规定必须经商检机构检验的出口商品的发货人或者其代理人，应当在商检机构规定的地点和期限内，向商检机构报检。商检机构应当在国家商检部门统一规定的期限内检验完毕，并出具检验证单。</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第十六条</w:t>
      </w:r>
      <w:r>
        <w:rPr>
          <w:rFonts w:hint="eastAsia" w:ascii="宋体" w:hAnsi="宋体" w:cs="仿宋_GB2312"/>
          <w:szCs w:val="32"/>
        </w:rPr>
        <w:t xml:space="preserve"> 经商检机构检验合格发给检验证单的出口商品，应当在商检机构规定的期限内报关出口；超过期限的，应当重新报检。</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第十七条</w:t>
      </w:r>
      <w:r>
        <w:rPr>
          <w:rFonts w:hint="eastAsia" w:ascii="宋体" w:hAnsi="宋体" w:cs="仿宋_GB2312"/>
          <w:szCs w:val="32"/>
        </w:rPr>
        <w:t xml:space="preserve"> 为出口危险货物生产包装容器的企业，必须申请商检机构进行包装容器的性能鉴定。生产出口危险货物的企业，必须申请商检机构进行包装容器的使用鉴定。使用未经鉴定合格的包装容器的危险货物，不准出口。</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第十八条</w:t>
      </w:r>
      <w:r>
        <w:rPr>
          <w:rFonts w:hint="eastAsia" w:ascii="宋体" w:hAnsi="宋体" w:cs="仿宋_GB2312"/>
          <w:szCs w:val="32"/>
        </w:rPr>
        <w:t xml:space="preserve"> 对装运出口易腐烂变质食品的船舱和集装箱，承运人或者装箱单位必须在装货前申请检验。未经检验合格的，不准装运。</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第四章　监督管理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第十九条</w:t>
      </w:r>
      <w:r>
        <w:rPr>
          <w:rFonts w:hint="eastAsia" w:ascii="宋体" w:hAnsi="宋体" w:cs="仿宋_GB2312"/>
          <w:szCs w:val="32"/>
        </w:rPr>
        <w:t xml:space="preserve"> 商检机构对本法规定必须经商检机构检验的进出口商品以外的进出口商品，根据国家规定实施抽查检验。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国家商检部门可以公布抽查检验结果或者向有关部门通报抽查检验情况。</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第二十条</w:t>
      </w:r>
      <w:r>
        <w:rPr>
          <w:rFonts w:hint="eastAsia" w:ascii="宋体" w:hAnsi="宋体" w:cs="仿宋_GB2312"/>
          <w:szCs w:val="32"/>
        </w:rPr>
        <w:t xml:space="preserve"> 商检机构根据便利对外贸易的需要，可以按照国家规定对列入目录的出口商品进行出厂前的质量监督管理和检验。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第二十一条 </w:t>
      </w:r>
      <w:r>
        <w:rPr>
          <w:rFonts w:hint="eastAsia" w:ascii="宋体" w:hAnsi="宋体" w:cs="仿宋_GB2312"/>
          <w:szCs w:val="32"/>
        </w:rPr>
        <w:t>为进出口货物的收发货人办理报检手续的代理人办理报检手续时应当向商检机构提交授权委托书。</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第二十二条</w:t>
      </w:r>
      <w:r>
        <w:rPr>
          <w:rFonts w:hint="eastAsia" w:ascii="宋体" w:hAnsi="宋体" w:cs="仿宋_GB2312"/>
          <w:szCs w:val="32"/>
        </w:rPr>
        <w:t xml:space="preserve"> 国家商检部门可以按照国家有关规定，通过考核，许可符合条件的国内外检验机构承担委托的进出口商品检验鉴定业务。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第二十三条</w:t>
      </w:r>
      <w:r>
        <w:rPr>
          <w:rFonts w:hint="eastAsia" w:ascii="宋体" w:hAnsi="宋体" w:cs="仿宋_GB2312"/>
          <w:szCs w:val="32"/>
        </w:rPr>
        <w:t xml:space="preserve"> 国家商检部门和商检机构依法对经国家商检部门许可的检验机构的进出口商品检验鉴定业务活动进行监督，可以对其检验的商品抽查检验。</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第二十四条</w:t>
      </w:r>
      <w:r>
        <w:rPr>
          <w:rFonts w:hint="eastAsia" w:ascii="宋体" w:hAnsi="宋体" w:cs="仿宋_GB2312"/>
          <w:szCs w:val="32"/>
        </w:rPr>
        <w:t xml:space="preserve"> 国家商检部门根据国家统一的认证制度，对有关的进出口商品实施认证管理。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第二十五条</w:t>
      </w:r>
      <w:r>
        <w:rPr>
          <w:rFonts w:hint="eastAsia" w:ascii="宋体" w:hAnsi="宋体" w:cs="仿宋_GB2312"/>
          <w:szCs w:val="32"/>
        </w:rPr>
        <w:t xml:space="preserve"> 商检机构可以根据国家商检部门同外国有关机构签订的协议或者接受外国有关机构的委托进行进出口商品质量认证工作，准许在认证合格的进出口商品上使用质量认证标志。</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第二十六条 </w:t>
      </w:r>
      <w:r>
        <w:rPr>
          <w:rFonts w:hint="eastAsia" w:ascii="宋体" w:hAnsi="宋体" w:cs="仿宋_GB2312"/>
          <w:szCs w:val="32"/>
        </w:rPr>
        <w:t>商检机构依照本法对实施许可制度的进出口商品实行验证管理，查验单证，核对证货是否相符。</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第二十七条</w:t>
      </w:r>
      <w:r>
        <w:rPr>
          <w:rFonts w:hint="eastAsia" w:ascii="宋体" w:hAnsi="宋体" w:cs="仿宋_GB2312"/>
          <w:szCs w:val="32"/>
        </w:rPr>
        <w:t xml:space="preserve"> 商检机构根据需要，对检验合格的进出口商品，可以加施商检标志或者封识。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第二十八条</w:t>
      </w:r>
      <w:r>
        <w:rPr>
          <w:rFonts w:hint="eastAsia" w:ascii="宋体" w:hAnsi="宋体" w:cs="仿宋_GB2312"/>
          <w:szCs w:val="32"/>
        </w:rPr>
        <w:t xml:space="preserve"> 进出口商品的报检人对商检机构作出的检验结果有异议的，可以向原商检机构或者其上级商检机构以至国家商检部门申请复验，由受理复验的商检机构或者国家商检部门及时作出复验结论。</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第二十九条</w:t>
      </w:r>
      <w:r>
        <w:rPr>
          <w:rFonts w:hint="eastAsia" w:ascii="宋体" w:hAnsi="宋体" w:cs="仿宋_GB2312"/>
          <w:szCs w:val="32"/>
        </w:rPr>
        <w:t xml:space="preserve"> 当事人对商检机构、国家商检部门作出的复验结论不服或者对商检机构作出的处罚决定不服的，可以依法申请行政复议，也可以依法向人民法院提起诉讼。</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第三十条</w:t>
      </w:r>
      <w:r>
        <w:rPr>
          <w:rFonts w:hint="eastAsia" w:ascii="宋体" w:hAnsi="宋体" w:cs="仿宋_GB2312"/>
          <w:szCs w:val="32"/>
        </w:rPr>
        <w:t xml:space="preserve"> 国家商检部门和商检机构履行职责，必须遵守法律，维护国家利益，依照法定职权和法定程序严格执法，接受监督。</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国家商检部门和商检机构应当根据依法履行职责的需要，加强队伍建设，使商检工作人员具有良好的政治、业务素质。商检工作人员应当定期接受业务培训和考核，经考核合格，方可上岗执行职务。</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商检工作人员必须忠于职守，文明服务，遵守职业道德，不得滥用职权，谋取私利。</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第三十一条</w:t>
      </w:r>
      <w:r>
        <w:rPr>
          <w:rFonts w:hint="eastAsia" w:ascii="宋体" w:hAnsi="宋体" w:cs="仿宋_GB2312"/>
          <w:szCs w:val="32"/>
        </w:rPr>
        <w:t xml:space="preserve"> 国家商检部门和商检机构应当建立健全内部监督制度，对其工作人员的执法活动进行监督检查。</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cs="仿宋_GB2312"/>
          <w:szCs w:val="32"/>
        </w:rPr>
        <w:t>商检机构内部负责受理报检、检验、出证放行等主要岗位的职责权限应当明确，并相互分离、相互制约。</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第三十二条 </w:t>
      </w:r>
      <w:r>
        <w:rPr>
          <w:rFonts w:hint="eastAsia" w:ascii="宋体" w:hAnsi="宋体" w:cs="仿宋_GB2312"/>
          <w:szCs w:val="32"/>
        </w:rPr>
        <w:t>任何单位和个人均有权对国家商检部门、商检机构及其工作人员的违法、违纪行为进行控告、检举。收到控告、检举的机关应当依法按照职责分工及时查处，并为控告人、检举人保密。</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第五章　法律责任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第三十三条 </w:t>
      </w:r>
      <w:r>
        <w:rPr>
          <w:rFonts w:hint="eastAsia" w:ascii="宋体" w:hAnsi="宋体" w:cs="仿宋_GB2312"/>
          <w:szCs w:val="32"/>
        </w:rPr>
        <w:t>违反本法规定，将必须经商检机构检验的进口商品未报经检验而擅自销售或者使用的，或者将必须经商检机构检验的出口商品未报经检验合格而擅自出口的，由商检机构没收违法所得，并处货值金额百分之五以上百分之二十以下的罚款；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第三十四条</w:t>
      </w:r>
      <w:r>
        <w:rPr>
          <w:rFonts w:hint="eastAsia" w:ascii="宋体" w:hAnsi="宋体" w:cs="仿宋_GB2312"/>
          <w:szCs w:val="32"/>
        </w:rPr>
        <w:t xml:space="preserve"> 违反本法规定，未经国家商检部门许可，擅自从事进出口商品检验鉴定业务的，由商检机构责令停止非法经营，没收违法所得，并处违法所得一倍以上三倍以下的罚款。</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 xml:space="preserve">第三十五条 </w:t>
      </w:r>
      <w:r>
        <w:rPr>
          <w:rFonts w:hint="eastAsia" w:ascii="宋体" w:hAnsi="宋体" w:cs="仿宋_GB2312"/>
          <w:szCs w:val="32"/>
        </w:rPr>
        <w:t>进口或者出口属于掺杂掺假、以假充真、以次充好的商品或者以不合格进出口商品冒充合格进出口商品的，由商检机构责令停止进口或者出口，没收违法所得，并处货值金额百分之五十以上三倍以下的罚款；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第三十六条</w:t>
      </w:r>
      <w:r>
        <w:rPr>
          <w:rFonts w:hint="eastAsia" w:ascii="宋体" w:hAnsi="宋体" w:cs="仿宋_GB2312"/>
          <w:szCs w:val="32"/>
        </w:rPr>
        <w:t xml:space="preserve"> 伪造、变造、买卖或者盗窃商检单证、印章、标志、封识、质量认证标志的，依法追究刑事责任；尚不够刑事处罚的，由商检机构责令改正，没收违法所得，并处货值金额等值以下的罚款。</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第三十七条</w:t>
      </w:r>
      <w:r>
        <w:rPr>
          <w:rFonts w:hint="eastAsia" w:ascii="宋体" w:hAnsi="宋体" w:cs="仿宋_GB2312"/>
          <w:szCs w:val="32"/>
        </w:rPr>
        <w:t xml:space="preserve"> 国家商检部门、商检机构的工作人员违反本法规定，泄露所知悉的商业秘密的，依法给予行政处分，有违法所得的，没收违法所得；构成犯罪的，依法追究刑事责任。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第三十八条</w:t>
      </w:r>
      <w:r>
        <w:rPr>
          <w:rFonts w:hint="eastAsia" w:ascii="宋体" w:hAnsi="宋体" w:cs="仿宋_GB2312"/>
          <w:szCs w:val="32"/>
        </w:rPr>
        <w:t xml:space="preserve"> 国家商检部门、商检机构的工作人员滥用职权，故意刁难的，徇私舞弊，伪造检验结果的，或者玩忽职守，延误检验出证的，依法给予行政处分；构成犯罪的，依法追究刑事责任。</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第六章　附则</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第三十九条</w:t>
      </w:r>
      <w:r>
        <w:rPr>
          <w:rFonts w:hint="eastAsia" w:ascii="宋体" w:hAnsi="宋体" w:cs="仿宋_GB2312"/>
          <w:szCs w:val="32"/>
        </w:rPr>
        <w:t xml:space="preserve"> 商检机构和其他检验机构依照本法的规定实施检验和办理检验鉴定业务，依照国家有关规定收取费用。</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第四十条</w:t>
      </w:r>
      <w:r>
        <w:rPr>
          <w:rFonts w:hint="eastAsia" w:ascii="宋体" w:hAnsi="宋体" w:cs="仿宋_GB2312"/>
          <w:szCs w:val="32"/>
        </w:rPr>
        <w:t xml:space="preserve"> 国务院根据本法制定实施条例。</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仿宋_GB2312"/>
          <w:szCs w:val="32"/>
        </w:rPr>
      </w:pPr>
      <w:r>
        <w:rPr>
          <w:rFonts w:hint="eastAsia" w:ascii="宋体" w:hAnsi="宋体" w:eastAsia="黑体" w:cs="黑体"/>
          <w:szCs w:val="32"/>
        </w:rPr>
        <w:t>第四十一条</w:t>
      </w:r>
      <w:r>
        <w:rPr>
          <w:rFonts w:hint="eastAsia" w:ascii="宋体" w:hAnsi="宋体" w:cs="仿宋_GB2312"/>
          <w:szCs w:val="32"/>
        </w:rPr>
        <w:t xml:space="preserve"> 本法自1989年8月1日起施行。</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2" w:name="_Toc2880"/>
      <w:r>
        <w:rPr>
          <w:rFonts w:hint="eastAsia" w:ascii="宋体" w:hAnsi="宋体" w:eastAsia="宋体" w:cs="宋体"/>
          <w:kern w:val="0"/>
          <w:sz w:val="44"/>
          <w:szCs w:val="44"/>
          <w:lang w:val="en-US" w:eastAsia="zh-CN"/>
        </w:rPr>
        <w:t>中华人民共和国旅游法</w:t>
      </w:r>
      <w:bookmarkEnd w:id="192"/>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（2013年4月25日第十二届全国人民代表大会常务委员会第二次会议通过　根据2016年11月7日第十二届全国人民代表大会常务委员会第二十四次会议《关于修改〈中华人民共和国对外贸易法〉等十二部法律的决定》第一次修正　根据2018年10月26日第十三届全国人民代表大会常务委员会第六次会议《关于修改〈中华人民共和国野生动物保护法〉等十五部法律的决定》第二次修正）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第二章　旅游者</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第三章　旅游规划和促进</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第四章　旅游经营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第五章　旅游服务合同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第六章　旅游安全</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第七章　旅游监督管理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第八章　旅游纠纷处理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第九章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第十章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第一条</w:t>
      </w:r>
      <w:r>
        <w:rPr>
          <w:rFonts w:hint="eastAsia" w:ascii="宋体" w:hAnsi="宋体" w:cs="Arial"/>
          <w:kern w:val="0"/>
          <w:szCs w:val="32"/>
        </w:rPr>
        <w:t>　为保障旅游者和旅游经营者的合法权益，规范旅游市场秩序，保护和合理利用旅游资源，促进旅游业持续健康发展，制定本法。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rPr>
        <w:t>　在中华人民共和国境内的和在中华人民共和国境内组织到境外的游览、度假、休闲等形式的旅游活动以及为旅游活动提供相关服务的经营活动，适用本法。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rPr>
        <w:t>　国家发展旅游事业，完善旅游公共服务，依法保护旅游者在旅游活动中的权利。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rPr>
        <w:t>　旅游业发展应当遵循社会效益、经济效益和生态效益相统一的原则。国家鼓励各类市场主体在有效保护旅游资源的前提下，依法合理利用旅游资源。利用公共资源建设的游览场所应当体现公益性质。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rPr>
        <w:t>　国家倡导健康、文明、环保的旅游方式，支持和鼓励各类社会机构开展旅游公益宣传，对促进旅游业发展做出突出贡献的单位和个人给予奖励。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rPr>
        <w:t>　国家建立健全旅游服务标准和市场规则，禁止行业垄断和地区垄断。旅游经营者应当诚信经营，公平竞争，承担社会责任，为旅游者提供安全、健康、卫生、方便的旅游服务。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rPr>
        <w:t>　国务院建立健全旅游综合协调机制，对旅游业发展进行综合协调。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县级以上地方人民政府应当加强对旅游工作的组织和领导，明确相关部门或者机构，对本行政区域的旅游业发展和监督管理进行统筹协调。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rPr>
        <w:t>　依法成立的旅游行业组织，实行自律管理。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旅游者</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rPr>
        <w:t>　旅游者有权自主选择旅游产品和服务，有权拒绝旅游经营者的强制交易行为。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旅游者有权知悉其购买的旅游产品和服务的真实情况。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旅游者有权要求旅游经营者按照约定提供产品和服务。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rPr>
        <w:t>　旅游者的人格尊严、民族风俗习惯和宗教信仰应当得到尊重。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rPr>
        <w:t>　残疾人、老年人、未成年人等旅游者在旅游活动中依照法律、法规和有关规定享受便利和优惠。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rPr>
        <w:t>　旅游者在人身、财产安全遇有危险时，有请求救助和保护的权利。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旅游者人身、财产受到侵害的，有依法获得赔偿的权利。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rPr>
        <w:t>　旅游者在旅游活动中应当遵守社会公共秩序和社会公德，尊重当地的风俗习惯、文化传统和宗教信仰，爱护旅游资源，保护生态环境，遵守旅游文明行为规范。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rPr>
        <w:t>　旅游者在旅游活动中或者在解决纠纷时，不得损害当地居民的合法权益，不得干扰他人的旅游活动，不得损害旅游经营者和旅游从业人员的合法权益。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rPr>
        <w:t>　旅游者购买、接受旅游服务时，应当向旅游经营者如实告知与旅游活动相关的个人健康信息，遵守旅游活动中的安全警示规定。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旅游者对国家应对重大突发事件暂时限制旅游活动的措施以及有关部门、机构或者旅游经营者采取的安全防范和应急处置措施，应当予以配合。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旅游者违反安全警示规定，或者对国家应对重大突发事件暂时限制旅游活动的措施、安全防范和应急处置措施不予配合的，依法承担相应责任。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rPr>
        <w:t>　出境旅游者不得在境外非法滞留，随团出境的旅游者不得擅自分团、脱团。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入境旅游者不得在境内非法滞留，随团入境的旅游者不得擅自分团、脱团。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旅游规划和促进</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rPr>
        <w:t>　国务院和县级以上地方人民政府应当将旅游业发展纳入国民经济和社会发展规划。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国务院和省、自治区、直辖市人民政府以及旅游资源丰富的设区的市和县级人民政府，应当按照国民经济和社会发展规划的要求，组织编制旅游发展规划。对跨行政区域且适宜进行整体利用的旅游资源进行利用时，应当由上级人民政府组织编制或者由相关地方人民政府协商编制统一的旅游发展规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rPr>
        <w:t>　旅游发展规划应当包括旅游业发展的总体要求和发展目标，旅游资源保护和利用的要求和措施，以及旅游产品开发、旅游服务质量提升、旅游文化建设、旅游形象推广、旅游基础设施和公共服务设施建设的要求和促进措施等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根据旅游发展规划，县级以上地方人民政府可以编制重点旅游资源开发利用的专项规划，对特定区域内的旅游项目、设施和服务功能配套提出专门要求。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rPr>
        <w:t>　旅游发展规划应当与土地利用总体规划、城乡规划、环境保护规划以及其他自然资源和文物等人文资源的保护和利用规划相衔接。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rPr>
        <w:t>　各级人民政府编制土地利用总体规划、城乡规划，应当充分考虑相关旅游项目、设施的空间布局和建设用地要求。规划和建设交通、通信、供水、供电、环保等基础设施和公共服务设施，应当兼顾旅游业发展的需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rPr>
        <w:t>　对自然资源和文物等人文资源进行旅游利用，必须严格遵守有关法律、法规的规定，符合资源、生态保护和文物安全的要求，尊重和维护当地传统文化和习俗，维护资源的区域整体性、文化代表性和地域特殊性，并考虑军事设施保护的需要。有关主管部门应当加强对资源保护和旅游利用状况的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rPr>
        <w:t>　各级人民政府应当组织对本级政府编制的旅游发展规划的执行情况进行评估，并向社会公布。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rPr>
        <w:t>　国务院和县级以上地方人民政府应当制定并组织实施有利于旅游业持续健康发展的产业政策，推进旅游休闲体系建设，采取措施推动区域旅游合作，鼓励跨区域旅游线路和产品开发，促进旅游与工业、农业、商业、文化、卫生、体育、科教等领域的融合，扶持少数民族地区、革命老区、边远地区和贫困地区旅游业发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rPr>
        <w:t>　国务院和县级以上地方人民政府应当根据实际情况安排资金，加强旅游基础设施建设、旅游公共服务和旅游形象推广。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rPr>
        <w:t>　国家制定并实施旅游形象推广战略。国务院旅游主管部门统筹组织国家旅游形象的境外推广工作，建立旅游形象推广机构和网络，开展旅游国际合作与交流。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县级以上地方人民政府统筹组织本地的旅游形象推广工作。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rPr>
        <w:t>　国务院旅游主管部门和县级以上地方人民政府应当根据需要建立旅游公共信息和咨询平台，无偿向旅游者提供旅游景区、线路、交通、气象、住宿、安全、医疗急救等必要信息和咨询服务。设区的市和县级人民政府有关部门应当根据需要在交通枢纽、商业中心和旅游者集中场所设置旅游咨询中心，在景区和通往主要景区的道路设置旅游指示标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旅游资源丰富的设区的市和县级人民政府可以根据本地的实际情况，建立旅游客运专线或者游客中转站，为旅游者在城市及周边旅游提供服务。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rPr>
        <w:t>　国家鼓励和支持发展旅游职业教育和培训，提高旅游从业人员素质。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旅游经营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rPr>
        <w:t>　设立旅行社，招徕、组织、接待旅游者，为其提供旅游服务，应当具备下列条件，取得旅游主管部门的许可，依法办理工商登记：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（一）有固定的经营场所；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（二）有必要的营业设施；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（三）有符合规定的注册资本；</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（四）有必要的经营管理人员和导游；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（五）法律、行政法规规定的其他条件。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rPr>
        <w:t>　旅行社可以经营下列业务：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（一）境内旅游；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（二）出境旅游；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（三）边境旅游；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（四）入境旅游；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（五）其他旅游业务。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旅行社经营</w:t>
      </w:r>
      <w:r>
        <w:rPr>
          <w:rFonts w:hint="eastAsia" w:ascii="宋体" w:hAnsi="宋体" w:eastAsia="仿宋_GB2312" w:cs="仿宋_GB2312"/>
          <w:kern w:val="0"/>
          <w:szCs w:val="32"/>
        </w:rPr>
        <w:t>前款第二项和第三项业务，应当取得相应的业务经营许可，具体条件由国务院规定。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rPr>
        <w:t>　旅行社不得出租、出借旅行社业务经营许可证，或者以其他形式非法转让旅行社业务经营许可。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rPr>
        <w:t>　旅行社应当按照规定交纳旅游服务质量保证金，用于旅游者权益损害赔偿和垫付旅游者人身安全遇有危险时紧急救助的费用。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rPr>
        <w:t>　旅行社为招徕、组织旅游者发布信息，必须真实、准确，不得进行虚假宣传，误导旅游者。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rPr>
        <w:t>　旅行社及其从业人员组织、接待旅游者，不得安排参观或者参与违反我国法律、法规和社会公德的项目或者活动。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rPr>
        <w:t>　旅行社组织旅游活动应当向合格的供应商订购产品和服务。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rPr>
        <w:t>　旅行社不得以不合理的低价组织旅游活动，诱骗旅游者，并通过安排购物或者另行付费旅游项目获取回扣等不正当利益。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旅行社组织、接待旅游者，不得指定具体购物场所，不得安排另行付费旅游项目。但是，经双方协商一致或者旅游者要求，且不影响其他旅游者行程安排的除外。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发生违反前两款规定情形的，旅游者有权在旅游行程结束后三十日内，要求旅行社为其办理退货并先行垫付退货货款，或者退还另行付费旅游项目的费用。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rPr>
        <w:t>　旅行社组织团队出境旅游或者组织、接待团队入境旅游，应当按照规定安排领队或者导游全程陪同。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rPr>
        <w:t>　参加导游资格考试成绩合格，与旅行社订立劳动合同或者在相关旅游行业组织注册的人员，可以申请取得导游证。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rPr>
        <w:t>　旅行社应当与其聘用的导游依法订立劳动合同，支付劳动报酬，缴纳社会保险费用。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旅行社临时聘用导游为旅游者提供服务的，应当全额向导游支付本</w:t>
      </w:r>
      <w:r>
        <w:rPr>
          <w:rFonts w:hint="eastAsia" w:ascii="宋体" w:hAnsi="宋体" w:eastAsia="仿宋_GB2312" w:cs="仿宋_GB2312"/>
          <w:kern w:val="0"/>
          <w:szCs w:val="32"/>
        </w:rPr>
        <w:t>法第六十条第三款规定的导游服务费用。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旅行社安排导游为团队旅游提供服务的，不得要求导游垫付或者向导游收取任何费用。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rPr>
        <w:t>　从事领队业务，应当取得导游证，具有相应的学历、语言能力和旅游从业经历，并与委派其从事领队业务的取得出境旅游业务经营许可的旅行社订立劳动合同。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rPr>
        <w:t>　导游和领队为旅游者提供服务必须接受旅行社委派，不得私自承揽导游和领队业务。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rPr>
        <w:t>　导游和领队从事业务活动，应当佩戴导游证，遵守职业道德，尊重旅游者的风俗习惯和宗教信仰，应当向旅游者告知和解释旅游文明行为规范，引导旅游者健康、文明旅游，劝阻旅游者违反社会公德的行为。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导游和领队应当严格执行旅游行程安排，不得擅自变更旅游行程或者中止服务活动，不得向旅游者索取小费，不得诱导、欺骗、强迫或者变相强迫旅游者购物或者参加另行付费旅游项目。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rPr>
        <w:t>　景区开放应当具备下列条件，并听取旅游主管部门的意见：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（一）有必要的旅游配套服务和辅助设施；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（二）有必要的安全设施及制度，经过安全风险评估，满足安全条件；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（三）有必要的环境保护设施和生态保护措施；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（四）法律、行政法规规定的其他条件。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rPr>
        <w:t>　利用公共资源建设的景区的门票以及景区内的游览场所、交通工具等另行收费项目，实行政府定价或者政府指导价，严格控制价格上涨。拟收费或者提高价格的，应当举行听证会，征求旅游者、经营者和有关方面的意见，论证其必要性、可行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利用公共资源建设的景区，不得通过增加另行收费项目等方式变相涨价；另行收费项目已收回投资成本的，应当相应降低价格或者取消收费。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公益性的城市公园、博物馆、纪念馆等，除重点文物保护单位和珍贵文物收藏单位外，应当逐步免费开放。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rPr>
        <w:t>　景区应当在醒目位置公示门票价格、另行收费项目的价格及团体收费价格。景区提高门票价格应当提前六个月公布。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将不同景区的门票或者同一景区内不同游览场所的门票合并出售的，合并后的价格不得高于各单项门票的价格之和，且旅游者有权选择购买其中的单项票。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景区内的核心游览项目因故暂停向旅游者开放或者停止提供服务的，应当公示并相应减少收费。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rPr>
        <w:t>　景区接待旅游者不得超过景区主管部门核定的最大承载量。景区应当公布景区主管部门核定的最大承载量，制定和实施旅游者流量控制方案，并可以采取门票预约等方式，对景区接待旅游者的数量进行控制。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旅游者数量可能达到最大承载量时，景区应当提前公告并同时向当地人民政府报告，景区和当地人民政府应当及时采取疏导、分流等措施。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rPr>
        <w:t>　城镇和乡村居民利用自有住宅或者其他条件依法从事旅游经营，其管理办法由省、自治区、直辖市制定。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rPr>
        <w:t>　经营高空、高速、水上、潜水、探险等高风险旅游项目，应当按照国家有关规定取得经营许可。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rPr>
        <w:t>　通过网络经营旅行社业务的，应当依法取得旅行社业务经营许可，并在其网站主页的显著位置标明其业务经营许可证信息。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发布旅游经营信息的网站，应当保证其信息真实、准确。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rPr>
        <w:t>　为旅游者提供交通、住宿、餐饮、娱乐等服务的经营者，应当符合法律、法规规定的要求，按照合同约定履行义务。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rPr>
        <w:t>　旅游经营者应当保证其提供的商品和服务符合保障人身、财产安全的要求。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旅游经营者取得相关质量标准等级的，其设施和服务不得低于相应标准；未取得质量标准等级的，不得使用相关质量等级的称谓和标识。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rPr>
        <w:t>　旅游经营者销售、购买商品或者服务，不得给予或者收受贿赂。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rPr>
        <w:t>　旅游经营者对其在经营活动中知悉的旅游者个人信息，应当予以保密。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rPr>
        <w:t>　从事道路旅游客运的经营者应当遵守道路客运安全管理的各项制度，并在车辆显著位置明示道路旅游客运专用标识，在车厢内显著位置公示经营者和驾驶人信息、道路运输管理机构监督电话等事项。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rPr>
        <w:t>　景区、住宿经营者将其部分经营项目或者场地交由他人从事住宿、餐饮、购物、游览、娱乐、旅游交通等经营的，应当对实际经营者的经营行为给旅游者造成的损害承担连带责任。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rPr>
        <w:t>　旅游经营者组织、接待出入境旅游，发现旅游</w:t>
      </w:r>
      <w:r>
        <w:rPr>
          <w:rFonts w:hint="eastAsia" w:ascii="宋体" w:hAnsi="宋体" w:eastAsia="仿宋_GB2312" w:cs="仿宋_GB2312"/>
          <w:kern w:val="0"/>
          <w:szCs w:val="32"/>
        </w:rPr>
        <w:t>者从事违法活动或者有违反本法第十六条规定情形的，应当及时</w:t>
      </w:r>
      <w:r>
        <w:rPr>
          <w:rFonts w:hint="eastAsia" w:ascii="宋体" w:hAnsi="宋体" w:cs="Arial"/>
          <w:kern w:val="0"/>
          <w:szCs w:val="32"/>
        </w:rPr>
        <w:t>向公安机关、旅游主管部门或者我国驻外机构报告。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rPr>
        <w:t>　国家根据旅游活动的风险程度，对旅行社、住宿、旅游交通以及</w:t>
      </w:r>
      <w:r>
        <w:rPr>
          <w:rFonts w:hint="eastAsia" w:ascii="宋体" w:hAnsi="宋体" w:eastAsia="仿宋_GB2312" w:cs="仿宋_GB2312"/>
          <w:kern w:val="0"/>
          <w:szCs w:val="32"/>
        </w:rPr>
        <w:t>本法第四十七条规</w:t>
      </w:r>
      <w:r>
        <w:rPr>
          <w:rFonts w:hint="eastAsia" w:ascii="宋体" w:hAnsi="宋体" w:cs="Arial"/>
          <w:kern w:val="0"/>
          <w:szCs w:val="32"/>
        </w:rPr>
        <w:t>定的高风险旅游项目等经营者实施责任保险制度。</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旅游服务合同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rPr>
        <w:t>　旅行社组织和安排旅游活动，应当与旅游者订立合同。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rPr>
        <w:t>　包价旅游合同应当采用书面形式，包括下列内容：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（一）旅行社、旅游者的基本信息；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（二）旅游行程安排；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（三）旅游团成团的最低人数；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（四）交通、住宿、餐饮等旅游服务安排和标准；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（五）游览、娱乐等项目的具体内容和时间；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（六）自由活动时间安排；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（七）旅游费用及其交纳的期限和方式；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（八）违约责任和解决纠纷的方式；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（九）法律、法规规定和双方约定的其他事项。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订立包</w:t>
      </w:r>
      <w:r>
        <w:rPr>
          <w:rFonts w:hint="eastAsia" w:ascii="宋体" w:hAnsi="宋体" w:eastAsia="仿宋_GB2312" w:cs="仿宋_GB2312"/>
          <w:kern w:val="0"/>
          <w:szCs w:val="32"/>
        </w:rPr>
        <w:t>价旅游合同时，旅行社应当向旅游者详细说明前款第二项至第八项所载内容。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第五十九条</w:t>
      </w:r>
      <w:r>
        <w:rPr>
          <w:rFonts w:hint="eastAsia" w:ascii="宋体" w:hAnsi="宋体" w:cs="Arial"/>
          <w:kern w:val="0"/>
          <w:szCs w:val="32"/>
        </w:rPr>
        <w:t>　旅行社应当在旅游行程开始前向旅游者提供旅游行程单。旅游行程单是包价旅游合同的组成部分。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第六十条</w:t>
      </w:r>
      <w:r>
        <w:rPr>
          <w:rFonts w:hint="eastAsia" w:ascii="宋体" w:hAnsi="宋体" w:cs="Arial"/>
          <w:kern w:val="0"/>
          <w:szCs w:val="32"/>
        </w:rPr>
        <w:t>　旅行社委托其他旅行社代理销售包价旅游产品并与旅游者订立包价旅游合同的，应当在包价旅游合同中载明委托社和代理社的基本信息。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旅行社依照本法规定将包价旅游合同中的接待业务委托给地接社履行的，应当在包价旅游合同中载明地接社的基本信息。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安排导游为旅游者提供服务的，应当在包价旅游合同中载明导游服务费用。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第六十一条</w:t>
      </w:r>
      <w:r>
        <w:rPr>
          <w:rFonts w:hint="eastAsia" w:ascii="宋体" w:hAnsi="宋体" w:cs="Arial"/>
          <w:kern w:val="0"/>
          <w:szCs w:val="32"/>
        </w:rPr>
        <w:t>　旅行社应当提示参加团队旅游的旅游者按照规定投保人身意外伤害保险。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第六十二条</w:t>
      </w:r>
      <w:r>
        <w:rPr>
          <w:rFonts w:hint="eastAsia" w:ascii="宋体" w:hAnsi="宋体" w:cs="Arial"/>
          <w:kern w:val="0"/>
          <w:szCs w:val="32"/>
        </w:rPr>
        <w:t>　订立包价旅游合同时，旅行社应当向旅游者告知下列事项：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（一）旅游者不适合参加旅游活动的情形；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（二）旅游活动中的安全注意事项；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（三）旅行社依法可以减免责任的信息；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（四）旅游者应当注意的旅游目的地相关法律、法规和风俗习惯、宗教禁忌，依照中国法律不宜参加的活动等；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（五）法律、法规规定的其他应当告知的事项。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在包价旅游合同履行中，遇有前款规定事项的，旅行社也应当告知旅游者。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第六十三条</w:t>
      </w:r>
      <w:r>
        <w:rPr>
          <w:rFonts w:hint="eastAsia" w:ascii="宋体" w:hAnsi="宋体" w:cs="Arial"/>
          <w:kern w:val="0"/>
          <w:szCs w:val="32"/>
        </w:rPr>
        <w:t>　旅行社招徕旅游者组团旅游，因未达到约定人数不能出团的，组团社可以解除合同。但是，境内旅游应当至少提前七日通知旅游者，出境旅游应当至少提前三十日通知旅游者。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因未达到约定人数不能出团的，组团社经征得旅游者书面同意，可以委托其他旅行社履行合同。组团社对旅游者承担责任，受委托的旅行社对组团社承担责任。旅游者不同意的，可以解除合同。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因未达到约定的成团人数解除合同的，组团社应当向旅游者退还已收取的全部费用。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第六十四条</w:t>
      </w:r>
      <w:r>
        <w:rPr>
          <w:rFonts w:hint="eastAsia" w:ascii="宋体" w:hAnsi="宋体" w:cs="Arial"/>
          <w:kern w:val="0"/>
          <w:szCs w:val="32"/>
        </w:rPr>
        <w:t>　旅游行程开始前，旅游者可以将包价旅游合同中自身的权利</w:t>
      </w:r>
      <w:r>
        <w:rPr>
          <w:rFonts w:hint="eastAsia" w:ascii="宋体" w:hAnsi="宋体" w:eastAsia="仿宋_GB2312" w:cs="仿宋_GB2312"/>
          <w:kern w:val="0"/>
          <w:szCs w:val="32"/>
        </w:rPr>
        <w:t>义务转让给第三人，旅行社没有正当理由的不得拒绝，因此增加的费用由旅游者和第三人承担。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lang w:eastAsia="zh-CN"/>
        </w:rPr>
        <w:t>　</w:t>
      </w:r>
      <w:r>
        <w:rPr>
          <w:rFonts w:hint="eastAsia" w:ascii="宋体" w:hAnsi="宋体" w:eastAsia="黑体" w:cs="黑体"/>
          <w:kern w:val="0"/>
          <w:szCs w:val="32"/>
        </w:rPr>
        <w:t>第六十五条</w:t>
      </w:r>
      <w:r>
        <w:rPr>
          <w:rFonts w:hint="eastAsia" w:ascii="宋体" w:hAnsi="宋体" w:cs="Arial"/>
          <w:kern w:val="0"/>
          <w:szCs w:val="32"/>
        </w:rPr>
        <w:t>　旅游行程结束前，旅游者解除合同的，组团社应当在扣除必要的费用后，将余款退还旅游者。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第六十六条</w:t>
      </w:r>
      <w:r>
        <w:rPr>
          <w:rFonts w:hint="eastAsia" w:ascii="宋体" w:hAnsi="宋体" w:cs="Arial"/>
          <w:kern w:val="0"/>
          <w:szCs w:val="32"/>
        </w:rPr>
        <w:t>　旅游者有下列情形之一的，旅行社可以解除合同：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（一）患有传染病等疾病，可能危害其他旅游者健康和安全的；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（二）携带危害公共安全的物品且不同意交有关部门处理的；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（三）从事违法或者违反社会公德的活动的；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（四）从事严重影响其他旅游者权益的活动，且不听劝阻、不能制止的；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（五）法律规定的其他情形。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因前款规定情形解除合同的，组团社应当在扣除必要的费用后，将余款退还旅游者；给旅行社造成损失的，旅游者应当依法承担赔偿责任。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第六十七条</w:t>
      </w:r>
      <w:r>
        <w:rPr>
          <w:rFonts w:hint="eastAsia" w:ascii="宋体" w:hAnsi="宋体" w:cs="Arial"/>
          <w:kern w:val="0"/>
          <w:szCs w:val="32"/>
        </w:rPr>
        <w:t>　因不可抗力或者旅行社、履行辅助人已尽合理注意义务仍不能避免的事件，影响旅游行程的，按照下列情形处理：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（一）合同不能继续履行的，旅行社和旅游者均可以解除合同。合同不能完全履行的，旅行社经向旅游者作出说明，可以在合理范围内变更合同；旅游者不同意变更的，可以解除合同。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（二）合同解除的，组团社应当在扣除已向地接社或者履行辅助人支付且不可退还的费用后，将余款退还旅游者；合同变更的，因此增加的费用由旅游者承担，减少的费用退还旅游者。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（三）危及旅游者人身、财产安全的，旅行社应当采取相应的安全措施，因此支出的费用，由旅行社与旅游者分担。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（四）造成旅游者滞留的，旅行社应当采取相应的安置措施。因此增加的食宿费用，由旅游者承担；增加的返程费用，由旅行社与旅游者分担。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第六十八条</w:t>
      </w:r>
      <w:r>
        <w:rPr>
          <w:rFonts w:hint="eastAsia" w:ascii="宋体" w:hAnsi="宋体" w:cs="Arial"/>
          <w:kern w:val="0"/>
          <w:szCs w:val="32"/>
        </w:rPr>
        <w:t>　旅游行程中解除合同的，旅行社应当协助旅游者返回出发地或者旅游者指定的合理地点。由于旅行社或者履行辅助人的原因导致合同解除的，返程费用由旅行社承担。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第六十九条</w:t>
      </w:r>
      <w:r>
        <w:rPr>
          <w:rFonts w:hint="eastAsia" w:ascii="宋体" w:hAnsi="宋体" w:cs="Arial"/>
          <w:kern w:val="0"/>
          <w:szCs w:val="32"/>
        </w:rPr>
        <w:t>　旅行社应当按照包价旅游合同的约定履行义务，不得擅自变更旅游行程安排。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经旅游者同意，旅行社将包价旅游合同中的接待业务委托给其他具有相应资质的地接社履行的，应当与地接社订立书面委托合同，约定双方的权利和义务，向地接社提供与旅游者订立的包价旅游合同的副本，并向地接社支付不低于接待和服务成本的费用。地接社应当按照包价旅游合同和委托合同提供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第七十条</w:t>
      </w:r>
      <w:r>
        <w:rPr>
          <w:rFonts w:hint="eastAsia" w:ascii="宋体" w:hAnsi="宋体" w:cs="Arial"/>
          <w:kern w:val="0"/>
          <w:szCs w:val="32"/>
        </w:rPr>
        <w:t>　旅行社不履行包价旅游合同义务或者履行合同义务不符合约定的，应当依法承担继续履行、采取补救措施或者赔偿损失等违约责任；造成旅游者人身损害、财产损失的，应当依法承担赔偿责任。旅行社具备履行条件，经旅游者要求仍拒绝履行合同，造成旅游者人身损害、滞留等严重后果的，旅游者还可以要求旅行社支付旅游费用一倍以上三倍以下的赔偿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由于旅游者自身原因导致包价旅游合同不能履行或者不能按照约定履行，或者造成旅游者人身损害、财产损失的，旅行社不承担责任。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在旅游者自行安排活动期间，旅行社未尽到安全提示、救助义务的，应当对旅游者的人身损害、财产损失承担相应责任。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第七十一条</w:t>
      </w:r>
      <w:r>
        <w:rPr>
          <w:rFonts w:hint="eastAsia" w:ascii="宋体" w:hAnsi="宋体" w:cs="Arial"/>
          <w:kern w:val="0"/>
          <w:szCs w:val="32"/>
        </w:rPr>
        <w:t>　由于地接社、履行辅助人的原因导致违约的，由组团社承担责任；组团社承担责任后可以向地接社、履行辅助人追偿。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由于地接社、履行辅助人的原因造成旅游者人身损害、财产损失的，旅游者可以要求地接社、履行辅助人承担赔偿责任，也可以要求组团社承担赔偿责任；组团社承担责任后可以向地接社、履行辅助人追偿。但是，由于公共交通经营者的原因造成旅游者人身损害、财产损失的，由公共交通经营者依法承担赔偿责任，旅行社应当协助旅游者向公共交通经营者索赔。</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第七十二条</w:t>
      </w:r>
      <w:r>
        <w:rPr>
          <w:rFonts w:hint="eastAsia" w:ascii="宋体" w:hAnsi="宋体" w:cs="Arial"/>
          <w:kern w:val="0"/>
          <w:szCs w:val="32"/>
        </w:rPr>
        <w:t>　旅游者在旅游活动中或者在解决纠纷时，损害旅行社、履行辅助人、旅游从业人员或者其他旅游者的合法权益的，依法承担赔偿责任。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第七十三条</w:t>
      </w:r>
      <w:r>
        <w:rPr>
          <w:rFonts w:hint="eastAsia" w:ascii="宋体" w:hAnsi="宋体" w:cs="Arial"/>
          <w:kern w:val="0"/>
          <w:szCs w:val="32"/>
        </w:rPr>
        <w:t>　旅行社根据旅游者的具体要求安排旅游行程，与旅游者订立包价旅游合同的，旅游者请求变更旅游行程安排，因此增加的费用由旅游者承担，减少的费用退还旅游者。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第七十四条</w:t>
      </w:r>
      <w:r>
        <w:rPr>
          <w:rFonts w:hint="eastAsia" w:ascii="宋体" w:hAnsi="宋体" w:cs="Arial"/>
          <w:kern w:val="0"/>
          <w:szCs w:val="32"/>
        </w:rPr>
        <w:t>　旅行社接受旅游者的委托，为其代订交通、住宿、餐饮、游览、娱乐等旅游服务，收取代办费用的，应当亲自处理委托事务。因旅行社的过错给旅游者造成损失的，旅行社应当承担赔偿责任。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旅行社接受旅游者的委托，为其提供旅游行程设计、旅游信息咨询等服务的，应当保证设计合理、可行，信息及时、准确。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第七十五条</w:t>
      </w:r>
      <w:r>
        <w:rPr>
          <w:rFonts w:hint="eastAsia" w:ascii="宋体" w:hAnsi="宋体" w:cs="Arial"/>
          <w:kern w:val="0"/>
          <w:szCs w:val="32"/>
        </w:rPr>
        <w:t>　住宿经营者应当按照旅游服务合同的约定为团队旅游者提供住宿服务。住宿经营者未能按照旅游服务合同提供服务的，应当为旅游者提供不低于原定标准的住宿服务，因此增加的费用由住宿经营者承担；但由于不可抗力、政府因公共利益需要采取措施造成不能提供服务的，住宿经营者应当协助安排旅游者住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旅游安全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第七十六条</w:t>
      </w:r>
      <w:r>
        <w:rPr>
          <w:rFonts w:hint="eastAsia" w:ascii="宋体" w:hAnsi="宋体" w:cs="Arial"/>
          <w:kern w:val="0"/>
          <w:szCs w:val="32"/>
        </w:rPr>
        <w:t>　县级以上人民政府统一负责旅游安全工作。县级以上人民政府有关部门依照法律、法规履行旅游安全监管职责。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第七十七条</w:t>
      </w:r>
      <w:r>
        <w:rPr>
          <w:rFonts w:hint="eastAsia" w:ascii="宋体" w:hAnsi="宋体" w:cs="Arial"/>
          <w:kern w:val="0"/>
          <w:szCs w:val="32"/>
        </w:rPr>
        <w:t>　国家建立旅游目的地安全风险提示制度。旅游目的地安全风险提示的级别划分和实施程序，由国务院旅游主管部门会同有关部门制定。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县级以上人民政府及其有关部门应当将旅游安全作为突发事件监测和评估的重要内容。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第七十八条</w:t>
      </w:r>
      <w:r>
        <w:rPr>
          <w:rFonts w:hint="eastAsia" w:ascii="宋体" w:hAnsi="宋体" w:cs="Arial"/>
          <w:kern w:val="0"/>
          <w:szCs w:val="32"/>
        </w:rPr>
        <w:t>　县级以上人民政府应当依法将旅游应急管理纳入政府应急管理体系，制定应急预案，建立旅游突发事件应对机制。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突发事件发生后，当地人民政府及其有关部门和机构应当采取措施开展救援，并协助旅游者返回出发地或者旅游者指定的合理地点。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第七十九条</w:t>
      </w:r>
      <w:r>
        <w:rPr>
          <w:rFonts w:hint="eastAsia" w:ascii="宋体" w:hAnsi="宋体" w:cs="Arial"/>
          <w:kern w:val="0"/>
          <w:szCs w:val="32"/>
        </w:rPr>
        <w:t>　旅游经营者应当严格执行安全生产管理和消防安全管理的法律、法规和国家标准、行业标准，具备相应的安全生产条件，制定旅游者安全保护制度和应急预案。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旅游经营者应当对直接为旅游者提供服务的从业人员开展经常性应急救助技能培训，对提供的产品和服务进行安全检验、监测和评估，采取必要措施防止危害发生。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旅游经营者组织、接待老年人、未成年人、残疾人等旅游者，应当采取相应的安全保障措施。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第八十条</w:t>
      </w:r>
      <w:r>
        <w:rPr>
          <w:rFonts w:hint="eastAsia" w:ascii="宋体" w:hAnsi="宋体" w:cs="Arial"/>
          <w:kern w:val="0"/>
          <w:szCs w:val="32"/>
        </w:rPr>
        <w:t>　旅游经营者应当就旅游活动中的下列事项，以明示的方式事先向旅游者作出说明或者警示：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（一）正确使用相关设施、设备的方法；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（二）必要的安全防范和应急措施；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（三）未向旅游者开放的经营、服务场所和设施、设备；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（四）不适宜参加相关活动的群体；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（五）可能危及旅游者人身、财产安全的其他情形。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第八十一条</w:t>
      </w:r>
      <w:r>
        <w:rPr>
          <w:rFonts w:hint="eastAsia" w:ascii="宋体" w:hAnsi="宋体" w:cs="Arial"/>
          <w:kern w:val="0"/>
          <w:szCs w:val="32"/>
        </w:rPr>
        <w:t>　突发事件或者旅游安全事故发生后，旅游经营者应当立即采取必要的救助和处置措施，依法履行报告义务，并对旅游者作出妥善安排。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第八十二条</w:t>
      </w:r>
      <w:r>
        <w:rPr>
          <w:rFonts w:hint="eastAsia" w:ascii="宋体" w:hAnsi="宋体" w:cs="Arial"/>
          <w:kern w:val="0"/>
          <w:szCs w:val="32"/>
        </w:rPr>
        <w:t>　旅游者在人身、财产安全遇有危险时，有权请求旅游经营者、当地政府和相关机构进行及时救助。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中国出境旅游者在境外陷于困境时，有权请求我国驻当地机构在其职责范围内给予协助和保护。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旅游者接受相关组织或者机构的救助后，应当支付应由个人承担的费用。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旅游监督管理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第八十三条</w:t>
      </w:r>
      <w:r>
        <w:rPr>
          <w:rFonts w:hint="eastAsia" w:ascii="宋体" w:hAnsi="宋体" w:cs="Arial"/>
          <w:kern w:val="0"/>
          <w:szCs w:val="32"/>
        </w:rPr>
        <w:t>　县级以上人民政府旅游主管部门和有关部门依照本法和有关法律、法规的规定，在各自职责范围内对旅游市场实施监督管理。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县级以上人民政府应当组织旅游主管部门、有关主管部门和市场监督管理、交通等执法部门对相关旅游经营行为实施监督检查。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第八十四条</w:t>
      </w:r>
      <w:r>
        <w:rPr>
          <w:rFonts w:hint="eastAsia" w:ascii="宋体" w:hAnsi="宋体" w:cs="Arial"/>
          <w:kern w:val="0"/>
          <w:szCs w:val="32"/>
        </w:rPr>
        <w:t>　旅游主管部门履行监督管理职责，不得违反法律、行政法规的规定向监督管理对象收取费用。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旅游主管部门及其工作人员不得参与任何形式的旅游经营活动。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第八十五条</w:t>
      </w:r>
      <w:r>
        <w:rPr>
          <w:rFonts w:hint="eastAsia" w:ascii="宋体" w:hAnsi="宋体" w:cs="Arial"/>
          <w:kern w:val="0"/>
          <w:szCs w:val="32"/>
        </w:rPr>
        <w:t>　县级以上人民政府旅游主管部门有权对下列事项实施监督检查：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（一）经营旅行社业务以及从事导游、领队服务是否取得经营、执业许可；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（二）旅行社的经营行为；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（三）导游和领队等旅游从业人员的服务行为；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（四）法律、法规规定的其他事项。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旅游主管部门依照前款规定实施监督检查，可以对涉嫌违法的合同、票据、账簿以及其他资料进行查阅、复制。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第八十六条</w:t>
      </w:r>
      <w:r>
        <w:rPr>
          <w:rFonts w:hint="eastAsia" w:ascii="宋体" w:hAnsi="宋体" w:cs="Arial"/>
          <w:kern w:val="0"/>
          <w:szCs w:val="32"/>
        </w:rPr>
        <w:t>　旅游主管部门和有关部门依法实施监督检查，其监督检查人员不得少于二人，并应当出示合法证件。监督检查人员少于二人或者未出示合法证件的，被检查单位和个人有权拒绝。</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监督检查人员对在监督检查中知悉的被检查单位的商业秘密和个人信息应当依法保密。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第八十七条</w:t>
      </w:r>
      <w:r>
        <w:rPr>
          <w:rFonts w:hint="eastAsia" w:ascii="宋体" w:hAnsi="宋体" w:cs="Arial"/>
          <w:kern w:val="0"/>
          <w:szCs w:val="32"/>
        </w:rPr>
        <w:t>　对依法实施的监督检查，有关单位和个人应当配合，如实说明情况并提供文件、资料，不得拒绝、阻碍和隐瞒。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第八十八条</w:t>
      </w:r>
      <w:r>
        <w:rPr>
          <w:rFonts w:hint="eastAsia" w:ascii="宋体" w:hAnsi="宋体" w:cs="Arial"/>
          <w:kern w:val="0"/>
          <w:szCs w:val="32"/>
        </w:rPr>
        <w:t>　县级以上人民政府旅游主管部门和有关部门，在履行监督检查职责中或者在处理举报、投诉时，发现违反本法规定行为的，应当依法及时作出处理；对不属于本部门职责范围的事项，应当及时书面通知并移交有关部门查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第八十九条</w:t>
      </w:r>
      <w:r>
        <w:rPr>
          <w:rFonts w:hint="eastAsia" w:ascii="宋体" w:hAnsi="宋体" w:cs="Arial"/>
          <w:kern w:val="0"/>
          <w:szCs w:val="32"/>
        </w:rPr>
        <w:t>　县级以上地方人民政府建立旅游违法行为查处信息的共享机制，对需要跨部门、跨地区联合查处的违法行为，应当进行督办。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旅游主管部门和有关部门应当按照各自职责，及时向社会公布监督检查的情况。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第九十条</w:t>
      </w:r>
      <w:r>
        <w:rPr>
          <w:rFonts w:hint="eastAsia" w:ascii="宋体" w:hAnsi="宋体" w:cs="Arial"/>
          <w:kern w:val="0"/>
          <w:szCs w:val="32"/>
        </w:rPr>
        <w:t>　依法成立的旅游行业组织依照法律、行政法规和章程的规定，制定行业经营规范和服务标准，对其会员的经营行为和服务质量进行自律管理，组织开展职业道德教育和业务培训，提高从业人员素质。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旅游纠纷处理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第九十一条</w:t>
      </w:r>
      <w:r>
        <w:rPr>
          <w:rFonts w:hint="eastAsia" w:ascii="宋体" w:hAnsi="宋体" w:cs="Arial"/>
          <w:kern w:val="0"/>
          <w:szCs w:val="32"/>
        </w:rPr>
        <w:t>　县级以上人民政府应当指定或者设立统一的旅游投诉受理机构。受理机构接到投诉，应当及时进行处理或者移交有关部门处理，并告知投诉者。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第九十二条</w:t>
      </w:r>
      <w:r>
        <w:rPr>
          <w:rFonts w:hint="eastAsia" w:ascii="宋体" w:hAnsi="宋体" w:cs="Arial"/>
          <w:kern w:val="0"/>
          <w:szCs w:val="32"/>
        </w:rPr>
        <w:t>　旅游者与旅游经营者发生纠纷，可以通过下列途径解决：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（一）双方协商；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（二）向消费者协会、旅游投诉受理机构或者有关调解组织申请调解；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（三）根据与旅游经营者达成的仲裁协议提请仲裁机构仲裁；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第九十三条</w:t>
      </w:r>
      <w:r>
        <w:rPr>
          <w:rFonts w:hint="eastAsia" w:ascii="宋体" w:hAnsi="宋体" w:cs="Arial"/>
          <w:kern w:val="0"/>
          <w:szCs w:val="32"/>
        </w:rPr>
        <w:t>　消费者协会、旅游投诉受理机构和有关调解组织在双方自愿的基础上，依法对旅游者与旅游经营者之间的纠纷进行调解。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第九十四条</w:t>
      </w:r>
      <w:r>
        <w:rPr>
          <w:rFonts w:hint="eastAsia" w:ascii="宋体" w:hAnsi="宋体" w:cs="Arial"/>
          <w:kern w:val="0"/>
          <w:szCs w:val="32"/>
        </w:rPr>
        <w:t>　旅游者与旅游经营者发生纠纷，旅游者一方人数众多并有共同请求的，可以推选代表人参加协商、调解、仲裁、诉讼活动。</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第九章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第九十五条</w:t>
      </w:r>
      <w:r>
        <w:rPr>
          <w:rFonts w:hint="eastAsia" w:ascii="宋体" w:hAnsi="宋体" w:cs="Arial"/>
          <w:kern w:val="0"/>
          <w:szCs w:val="32"/>
        </w:rPr>
        <w:t>　违反本法规定，未经许可经营旅行社业务的，由旅游主管部门或者市场监督管理部门责令改正，没收违法所得，并处一万元以上十万元以下罚款；违法所得十万元以上的，并处违法所得一倍以上五倍以下罚款；对有关责任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旅</w:t>
      </w:r>
      <w:r>
        <w:rPr>
          <w:rFonts w:hint="eastAsia" w:ascii="宋体" w:hAnsi="宋体" w:eastAsia="仿宋_GB2312" w:cs="仿宋_GB2312"/>
          <w:kern w:val="0"/>
          <w:szCs w:val="32"/>
        </w:rPr>
        <w:t>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第九十六条</w:t>
      </w:r>
      <w:r>
        <w:rPr>
          <w:rFonts w:hint="eastAsia" w:ascii="宋体" w:hAnsi="宋体" w:cs="Arial"/>
          <w:kern w:val="0"/>
          <w:szCs w:val="32"/>
        </w:rPr>
        <w:t>　旅行社违反本法规定，有下列行为之一的，由旅游主管部门责令改正，没收违法所得，并处五千元以上五万元以下罚款；情节严重的，责令停业整顿或者吊销旅行社业务经营许可证；对直接负责的主管人员和其他直接责任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（一）未按照规定为出境或者入境团队旅游安排领队或者导游全程陪同的；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（二）安排未取得导游证的人员提供导游服务或者安排不具备领队条件的人员提供领队服务的；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（三）未向临时聘用的导游支付导游服务费用的；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（四）要求导游垫付或者向导游收取费用的。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第九十七条</w:t>
      </w:r>
      <w:r>
        <w:rPr>
          <w:rFonts w:hint="eastAsia" w:ascii="宋体" w:hAnsi="宋体" w:cs="Arial"/>
          <w:kern w:val="0"/>
          <w:szCs w:val="32"/>
        </w:rPr>
        <w:t>　旅行社违反本法规定，有下列行为之一的，由旅游主管部门或者有关部门责令改正，没收违法所得，并处五千元以上五万元以下罚款；违法所得五万元以上的，并处违法所得一倍以上五倍以下罚款；情节严重的，责令停业整顿或者吊销旅行社业务经营许可证；对直接负责的主管人员和其他直接责任人员，处二千元以上二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（一）进行虚假宣传，误导旅游者的；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（二）向不合格的供应商订购产品和服务的；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（三）未按照规定投保旅行社责任保险的。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第九十八条</w:t>
      </w:r>
      <w:r>
        <w:rPr>
          <w:rFonts w:hint="eastAsia" w:ascii="宋体" w:hAnsi="宋体" w:cs="Arial"/>
          <w:kern w:val="0"/>
          <w:szCs w:val="32"/>
        </w:rPr>
        <w:t>　旅行社违反</w:t>
      </w:r>
      <w:r>
        <w:rPr>
          <w:rFonts w:hint="eastAsia" w:ascii="宋体" w:hAnsi="宋体" w:eastAsia="仿宋_GB2312" w:cs="仿宋_GB2312"/>
          <w:kern w:val="0"/>
          <w:szCs w:val="32"/>
        </w:rPr>
        <w:t>本法第三十五条规定的</w:t>
      </w:r>
      <w:r>
        <w:rPr>
          <w:rFonts w:hint="eastAsia" w:ascii="宋体" w:hAnsi="宋体" w:cs="Arial"/>
          <w:kern w:val="0"/>
          <w:szCs w:val="32"/>
        </w:rPr>
        <w:t>，由旅游主管部门责令改正，没收违法所得，责令停业整顿，并处三万元以上三十万元以下罚款；违法所得三十万元以上的，并处违法所得一倍以上五倍以下罚款；情节严重的，吊销旅行社业务经营许可证；对直接负责的主管人员和其他直接责任人员，没收违法所得，处二千元以上二万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第九十九条</w:t>
      </w:r>
      <w:r>
        <w:rPr>
          <w:rFonts w:hint="eastAsia" w:ascii="宋体" w:hAnsi="宋体" w:cs="Arial"/>
          <w:kern w:val="0"/>
          <w:szCs w:val="32"/>
        </w:rPr>
        <w:t>　旅行社未履行本</w:t>
      </w:r>
      <w:r>
        <w:rPr>
          <w:rFonts w:hint="eastAsia" w:ascii="宋体" w:hAnsi="宋体" w:eastAsia="仿宋_GB2312" w:cs="仿宋_GB2312"/>
          <w:kern w:val="0"/>
          <w:szCs w:val="32"/>
        </w:rPr>
        <w:t>法第五十五条规</w:t>
      </w:r>
      <w:r>
        <w:rPr>
          <w:rFonts w:hint="eastAsia" w:ascii="宋体" w:hAnsi="宋体" w:cs="Arial"/>
          <w:kern w:val="0"/>
          <w:szCs w:val="32"/>
        </w:rPr>
        <w:t>定的报告义务的，由旅游主管部门处五千元以上五万元以下罚款；情节严重的，责令停业整顿或者吊销旅行社业务经营许可证；对直接负责的主管人员和其他直接责任人员，处二千元以上二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第一百条</w:t>
      </w:r>
      <w:r>
        <w:rPr>
          <w:rFonts w:hint="eastAsia" w:ascii="宋体" w:hAnsi="宋体" w:cs="Arial"/>
          <w:kern w:val="0"/>
          <w:szCs w:val="32"/>
        </w:rPr>
        <w:t>　旅行社违反本法规定，有下列行为之一的，由旅游主管部门责令改正，处三万元以上三十万元以下罚款，并责令停业整顿；造成旅游者滞留等严重后果的，吊销旅行社业务经营许可证；对直接负责的主管人员和其他直接责任人员，处二千元以上二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（一）在旅游行程中擅自变更旅游行程安排，严重损害旅游者权益的；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（二）拒绝履行合同的；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（三）未征得旅游者书面同意，委托其他旅行社履行包价旅游合同的。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第一百零一条</w:t>
      </w:r>
      <w:r>
        <w:rPr>
          <w:rFonts w:hint="eastAsia" w:ascii="宋体" w:hAnsi="宋体" w:cs="Arial"/>
          <w:kern w:val="0"/>
          <w:szCs w:val="32"/>
        </w:rPr>
        <w:t>　旅行社违反本法规定，安排旅游者参观或者参与违反我国法律、法规和社会公德的项目或者活动的，由旅游主管部门责令改正，没收违法所得，责令停业整顿，并处二万元以上二十万元以下罚款；情节严重的，吊销旅行社业务经营许可证；对直接负责的主管人员和其他直接责任人员，处二千元以上二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第一百零二条</w:t>
      </w:r>
      <w:r>
        <w:rPr>
          <w:rFonts w:hint="eastAsia" w:ascii="宋体" w:hAnsi="宋体" w:cs="Arial"/>
          <w:kern w:val="0"/>
          <w:szCs w:val="32"/>
        </w:rPr>
        <w:t>　违反本法规定，未取得导游证或者不具备领队条件而从事导游、领队活动的，由旅游主管部门责令改正，没收违法所得，并处一千元以上一万元以下罚款，予以公告。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导游、领队违反本法规定，私自承揽业务的，由旅游主管部门责令改正，没收违法所得，处一千元以上一万元以下罚款，并暂扣或者吊销导游证。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导游、领队违反本法规定，向旅游者索取小费的，由旅游主管部门责令退还，处一千元以上一万元以下罚款；情节严重的，并暂扣或者吊销导游证。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第一百零三条</w:t>
      </w:r>
      <w:r>
        <w:rPr>
          <w:rFonts w:hint="eastAsia" w:ascii="宋体" w:hAnsi="宋体" w:cs="Arial"/>
          <w:kern w:val="0"/>
          <w:szCs w:val="32"/>
        </w:rPr>
        <w:t>　违反本法规定被吊销导游证的导游、领队和受到吊销旅行社业务经营许可证处罚的旅行社的有关管理人员，自处罚之日起未逾三年的，不得重新申请导游证或者从事旅行社业务。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第一百零四条</w:t>
      </w:r>
      <w:r>
        <w:rPr>
          <w:rFonts w:hint="eastAsia" w:ascii="宋体" w:hAnsi="宋体" w:cs="Arial"/>
          <w:kern w:val="0"/>
          <w:szCs w:val="32"/>
        </w:rPr>
        <w:t>　旅游经营者违反本法规定，给予或者收受贿赂的，由市场监督管理部门依照有关法律、法规的规定处罚；情节严重的，并由旅游主管部门吊销旅行社业务经营许可证。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第一百零五条</w:t>
      </w:r>
      <w:r>
        <w:rPr>
          <w:rFonts w:hint="eastAsia" w:ascii="宋体" w:hAnsi="宋体" w:cs="Arial"/>
          <w:kern w:val="0"/>
          <w:szCs w:val="32"/>
        </w:rPr>
        <w:t>　景区不符合本法规定的开放条件而接待旅游者的，由景区主管部门责令停业整顿直至符合开放条件，并处二万元以上二十万元以下罚款。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景区在旅游者数量可能达到最大承载量时，未依照本法规定公告或者未向当地人民政府报告，未及时采取疏导、分流等措施，或者超过最大承载量接待旅游者的，由景区主管部门责令改正，情节严重的，责令停业整顿一个月至六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第一百零六条</w:t>
      </w:r>
      <w:r>
        <w:rPr>
          <w:rFonts w:hint="eastAsia" w:ascii="宋体" w:hAnsi="宋体" w:cs="Arial"/>
          <w:kern w:val="0"/>
          <w:szCs w:val="32"/>
        </w:rPr>
        <w:t>　景区违反本法规定，擅自提高门票或者另行收费项目的价格，或者有其他价格违法行为的，由有关主管部门依照有关法律、法规的规定处罚。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第一百零七条</w:t>
      </w:r>
      <w:r>
        <w:rPr>
          <w:rFonts w:hint="eastAsia" w:ascii="宋体" w:hAnsi="宋体" w:cs="Arial"/>
          <w:kern w:val="0"/>
          <w:szCs w:val="32"/>
        </w:rPr>
        <w:t>　旅游经营者违反有关安全生产管理和消防安全管理的法律、法规或者国家标准、行业标准的，由有关主管部门依照有关法律、法规的规定处罚。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第一百零八条</w:t>
      </w:r>
      <w:r>
        <w:rPr>
          <w:rFonts w:hint="eastAsia" w:ascii="宋体" w:hAnsi="宋体" w:cs="Arial"/>
          <w:kern w:val="0"/>
          <w:szCs w:val="32"/>
        </w:rPr>
        <w:t>　对违反本法规定的旅游经营者及其从业人员，旅游主管部门和有关部门应当记入信用档案，向社会公布。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第一百零九条</w:t>
      </w:r>
      <w:r>
        <w:rPr>
          <w:rFonts w:hint="eastAsia" w:ascii="宋体" w:hAnsi="宋体" w:cs="Arial"/>
          <w:kern w:val="0"/>
          <w:szCs w:val="32"/>
        </w:rPr>
        <w:t>　旅游主管部门和有关部门的工作人员在履行监督管理职责中，滥用职权、玩忽职守、徇私舞弊，尚不构成犯罪的，依法给予处分。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第一百一十条</w:t>
      </w:r>
      <w:r>
        <w:rPr>
          <w:rFonts w:hint="eastAsia" w:ascii="宋体" w:hAnsi="宋体" w:cs="Arial"/>
          <w:kern w:val="0"/>
          <w:szCs w:val="32"/>
        </w:rPr>
        <w:t>　违反本法规定，构成犯罪的，依法追究刑事责任。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第一百一十一条</w:t>
      </w:r>
      <w:r>
        <w:rPr>
          <w:rFonts w:hint="eastAsia" w:ascii="宋体" w:hAnsi="宋体" w:cs="Arial"/>
          <w:kern w:val="0"/>
          <w:szCs w:val="32"/>
        </w:rPr>
        <w:t>　本法下列用语的含义：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（一）旅游经营者，是指旅行社、景区以及为旅游者提供交通、住宿、餐饮、购物、娱乐等服务的经营者。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（二）景区，是指为旅游者提供游览服务、有明确的管理界限的场所或者区域。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（三）包价旅游合同，是指旅行社预先安排行程，提供或者通过履行辅助人提供交通、住宿、餐饮、游览、导游或者领队等两项以上旅游服务，旅游者以总价支付旅游费用的合同。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（四）组团社，是指与旅游者订立包价旅游合同的旅行社。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（五）地接社，是指接受组团社委托，在目的地接待旅游者的旅行社。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（六）履行辅助人，是指与旅行社存在合同关系，协助其履行包价旅游合同义务，实际提供相关服务的法人或者自然人。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第一百一十二条</w:t>
      </w:r>
      <w:r>
        <w:rPr>
          <w:rFonts w:hint="eastAsia" w:ascii="宋体" w:hAnsi="宋体" w:cs="Arial"/>
          <w:kern w:val="0"/>
          <w:szCs w:val="32"/>
        </w:rPr>
        <w:t>　本法自2013年10月1日起施行。</w:t>
      </w:r>
    </w:p>
    <w:p>
      <w:pPr>
        <w:widowControl w:val="0"/>
        <w:wordWrap/>
        <w:overflowPunct w:val="0"/>
        <w:spacing w:beforeAutospacing="0" w:afterAutospacing="0" w:line="560" w:lineRule="exact"/>
        <w:textAlignment w:val="auto"/>
        <w:rPr>
          <w:rFonts w:hint="eastAsia" w:ascii="宋体" w:hAnsi="宋体" w:eastAsia="宋体" w:cs="宋体"/>
          <w:szCs w:val="32"/>
          <w:lang w:eastAsia="zh-CN"/>
        </w:rPr>
      </w:pPr>
    </w:p>
    <w:p>
      <w:pPr>
        <w:widowControl w:val="0"/>
        <w:wordWrap/>
        <w:overflowPunct w:val="0"/>
        <w:spacing w:beforeAutospacing="0" w:afterAutospacing="0" w:line="560" w:lineRule="exact"/>
        <w:textAlignment w:val="auto"/>
        <w:rPr>
          <w:rFonts w:hint="eastAsia" w:ascii="宋体" w:hAnsi="宋体" w:eastAsia="宋体" w:cs="宋体"/>
          <w:szCs w:val="32"/>
          <w:lang w:eastAsia="zh-CN"/>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193" w:name="_Toc5784"/>
      <w:r>
        <w:rPr>
          <w:rFonts w:hint="eastAsia" w:ascii="宋体" w:hAnsi="宋体" w:eastAsia="宋体" w:cs="宋体"/>
          <w:kern w:val="0"/>
          <w:sz w:val="44"/>
          <w:szCs w:val="44"/>
          <w:lang w:val="en-US" w:eastAsia="zh-CN"/>
        </w:rPr>
        <w:t>中华人民共和国出境入境管理法</w:t>
      </w:r>
      <w:bookmarkEnd w:id="193"/>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szCs w:val="32"/>
        </w:rPr>
      </w:pPr>
      <w:r>
        <w:rPr>
          <w:rFonts w:hint="eastAsia" w:ascii="宋体" w:hAnsi="宋体" w:eastAsia="楷体_GB2312" w:cs="楷体_GB2312"/>
          <w:szCs w:val="32"/>
        </w:rPr>
        <w:t>（2012年6月30日第十一届全国人民代表大会常务委员会第二十七次会议通过）</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楷体_GB2312" w:cs="楷体_GB2312"/>
          <w:szCs w:val="32"/>
        </w:rPr>
      </w:pPr>
      <w:r>
        <w:rPr>
          <w:rFonts w:hint="eastAsia" w:ascii="宋体" w:hAnsi="宋体" w:eastAsia="楷体_GB2312" w:cs="楷体_GB2312"/>
          <w:szCs w:val="32"/>
        </w:rPr>
        <w:t>目　　录</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第一章　总则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第二章　中国公民出境入境</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第三章　外国人入境出境</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第一节　签证</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第二节　入境出境</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第四章　外国人停留居留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第一节　停留居留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w:t>
      </w:r>
      <w:r>
        <w:rPr>
          <w:rFonts w:hint="eastAsia" w:ascii="宋体" w:hAnsi="宋体" w:eastAsia="楷体_GB2312" w:cs="楷体_GB2312"/>
          <w:szCs w:val="32"/>
          <w:lang w:eastAsia="zh-CN"/>
        </w:rPr>
        <w:t>　</w:t>
      </w:r>
      <w:r>
        <w:rPr>
          <w:rFonts w:hint="eastAsia" w:ascii="宋体" w:hAnsi="宋体" w:eastAsia="楷体_GB2312" w:cs="楷体_GB2312"/>
          <w:szCs w:val="32"/>
        </w:rPr>
        <w:t>第二节　永久居留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第五章　交通运输工具出境入境边防检查</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第六章　调查和遣返</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第七章　法律责任</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第八章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第一章　总则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宋体" w:cs="宋体"/>
          <w:szCs w:val="32"/>
        </w:rPr>
        <w:t>　　</w:t>
      </w:r>
      <w:r>
        <w:rPr>
          <w:rFonts w:hint="eastAsia" w:ascii="宋体" w:hAnsi="宋体" w:eastAsia="黑体" w:cs="黑体"/>
          <w:szCs w:val="32"/>
        </w:rPr>
        <w:t>第一</w:t>
      </w:r>
      <w:r>
        <w:rPr>
          <w:rFonts w:hint="eastAsia" w:ascii="宋体" w:hAnsi="宋体" w:eastAsia="黑体" w:cs="仿宋_GB2312"/>
          <w:szCs w:val="32"/>
        </w:rPr>
        <w:t>条</w:t>
      </w:r>
      <w:r>
        <w:rPr>
          <w:rFonts w:hint="eastAsia" w:ascii="宋体" w:hAnsi="宋体" w:cs="仿宋_GB2312"/>
          <w:szCs w:val="32"/>
        </w:rPr>
        <w:t>　为了规范出境入境管理，维护中华人民共和国的主权、安全和社会秩序，促进对外交往和对外开放，制定本法。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w:t>
      </w:r>
      <w:r>
        <w:rPr>
          <w:rFonts w:hint="eastAsia" w:ascii="宋体" w:hAnsi="宋体" w:eastAsia="黑体" w:cs="仿宋_GB2312"/>
          <w:szCs w:val="32"/>
        </w:rPr>
        <w:t>条</w:t>
      </w:r>
      <w:r>
        <w:rPr>
          <w:rFonts w:hint="eastAsia" w:ascii="宋体" w:hAnsi="宋体" w:cs="仿宋_GB2312"/>
          <w:szCs w:val="32"/>
        </w:rPr>
        <w:t>　中国公民出境入境、外国人入境出境、外国人在中国境内停留居留的管理，以及交通运输工具出境入境的边防检查，适用本法。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w:t>
      </w:r>
      <w:r>
        <w:rPr>
          <w:rFonts w:hint="eastAsia" w:ascii="宋体" w:hAnsi="宋体" w:eastAsia="黑体" w:cs="仿宋_GB2312"/>
          <w:szCs w:val="32"/>
        </w:rPr>
        <w:t>条</w:t>
      </w:r>
      <w:r>
        <w:rPr>
          <w:rFonts w:hint="eastAsia" w:ascii="宋体" w:hAnsi="宋体" w:cs="仿宋_GB2312"/>
          <w:szCs w:val="32"/>
        </w:rPr>
        <w:t>　国家保护中国公民出境入境合法权益。</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在中国境内的外国人的合法权益受法律保护。在中国境内的外国人应当遵守中国法律，不得危害中国国家安全、损害社会公共利益、破坏社会公共秩序。</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w:t>
      </w:r>
      <w:r>
        <w:rPr>
          <w:rFonts w:hint="eastAsia" w:ascii="宋体" w:hAnsi="宋体" w:eastAsia="黑体" w:cs="仿宋_GB2312"/>
          <w:szCs w:val="32"/>
        </w:rPr>
        <w:t>条</w:t>
      </w:r>
      <w:r>
        <w:rPr>
          <w:rFonts w:hint="eastAsia" w:ascii="宋体" w:hAnsi="宋体" w:cs="仿宋_GB2312"/>
          <w:szCs w:val="32"/>
        </w:rPr>
        <w:t>　公安部、外交部按照各自职责负责有关出境入境事务的管理。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华人民共和国驻外使馆、领馆或者外交部委托的其他驻外机构（以下称驻外签证机关）负责在境外签发外国人入境签证。出入境边防检查机关负责实施出境入境边防检查。县级以上地方人民政府公安机关及其出入境管理机构负责外国人停留居留管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公安部、外交部可以在各自职责范围内委托县级以上地方人民政府公安机关出入境管理机构、县级以上地方人民政府外事部门受理外国人入境、停留居留申请。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公安部、外交部在出境入境事务管理中，应当加强沟通配合，并与国务院有关部门密切合作，按照各自职责分工，依法行使职权，承担责任。</w:t>
      </w:r>
    </w:p>
    <w:p>
      <w:pPr>
        <w:widowControl w:val="0"/>
        <w:wordWrap/>
        <w:overflowPunct w:val="0"/>
        <w:spacing w:beforeAutospacing="0" w:afterAutospacing="0" w:line="560" w:lineRule="exact"/>
        <w:textAlignment w:val="auto"/>
        <w:rPr>
          <w:rFonts w:ascii="宋体" w:hAnsi="宋体" w:eastAsia="黑体" w:cs="黑体"/>
          <w:szCs w:val="32"/>
        </w:rPr>
      </w:pPr>
      <w:r>
        <w:rPr>
          <w:rFonts w:hint="eastAsia" w:ascii="宋体" w:hAnsi="宋体" w:cs="仿宋_GB2312"/>
          <w:szCs w:val="32"/>
        </w:rPr>
        <w:t>　　</w:t>
      </w:r>
      <w:r>
        <w:rPr>
          <w:rFonts w:hint="eastAsia" w:ascii="宋体" w:hAnsi="宋体" w:eastAsia="黑体" w:cs="黑体"/>
          <w:szCs w:val="32"/>
        </w:rPr>
        <w:t>第五</w:t>
      </w:r>
      <w:r>
        <w:rPr>
          <w:rFonts w:hint="eastAsia" w:ascii="宋体" w:hAnsi="宋体" w:eastAsia="黑体" w:cs="仿宋_GB2312"/>
          <w:szCs w:val="32"/>
        </w:rPr>
        <w:t>条</w:t>
      </w:r>
      <w:r>
        <w:rPr>
          <w:rFonts w:hint="eastAsia" w:ascii="宋体" w:hAnsi="宋体" w:cs="仿宋_GB2312"/>
          <w:szCs w:val="32"/>
        </w:rPr>
        <w:t>　国家建立统一的出境入境管理信息平台，实现有关管理部门信息共享。</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黑体"/>
          <w:szCs w:val="32"/>
        </w:rPr>
        <w:t>　　第六</w:t>
      </w:r>
      <w:r>
        <w:rPr>
          <w:rFonts w:hint="eastAsia" w:ascii="宋体" w:hAnsi="宋体" w:eastAsia="黑体" w:cs="仿宋_GB2312"/>
          <w:szCs w:val="32"/>
        </w:rPr>
        <w:t>条</w:t>
      </w:r>
      <w:r>
        <w:rPr>
          <w:rFonts w:hint="eastAsia" w:ascii="宋体" w:hAnsi="宋体" w:cs="仿宋_GB2312"/>
          <w:szCs w:val="32"/>
        </w:rPr>
        <w:t>　国家在对外开放的口岸设立出入境边防检查机关。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中国公民、外国人以及交通运输工具应当从对外开放的口岸出境入境，特殊情况下，可以从国务院或者国务院授权的部门批准的地点出境入境。出境入境人员和交通运输工具应当接受出境入境边防检查。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入境边防检查机关负责对口岸限定区域实施管理。根据维护国家安全和出境入境管理秩序的需要，出入境边防检查机关可以对出境入境人员携带的物品实施边防检查。必要时，出入境边防检查机关可以对出境入境交通运输工具载运的货物实施边防检查，但是应当通知海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w:t>
      </w:r>
      <w:r>
        <w:rPr>
          <w:rFonts w:hint="eastAsia" w:ascii="宋体" w:hAnsi="宋体" w:eastAsia="黑体" w:cs="仿宋_GB2312"/>
          <w:szCs w:val="32"/>
        </w:rPr>
        <w:t>条</w:t>
      </w:r>
      <w:r>
        <w:rPr>
          <w:rFonts w:hint="eastAsia" w:ascii="宋体" w:hAnsi="宋体" w:cs="仿宋_GB2312"/>
          <w:szCs w:val="32"/>
        </w:rPr>
        <w:t>　经国务院批准，公安部、外交部根据出境入境管理的需要，可以对留存出境入境人员的指纹等人体生物识别信息作出规定。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外国政府对中国公民签发签证、出境入境管理有特别规定的，中国政府可以根据情况采取相应的对等措施。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w:t>
      </w:r>
      <w:r>
        <w:rPr>
          <w:rFonts w:hint="eastAsia" w:ascii="宋体" w:hAnsi="宋体" w:eastAsia="黑体" w:cs="仿宋_GB2312"/>
          <w:szCs w:val="32"/>
        </w:rPr>
        <w:t>条</w:t>
      </w:r>
      <w:r>
        <w:rPr>
          <w:rFonts w:hint="eastAsia" w:ascii="宋体" w:hAnsi="宋体" w:cs="仿宋_GB2312"/>
          <w:szCs w:val="32"/>
        </w:rPr>
        <w:t>　履行出境入境管理职责的部门和机构应当切实采取措施，不断提升服务和管理水平，公正执法，便民高效，维护安全、便捷的出境入境秩序。</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第二章　中国公民出境入境</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w:t>
      </w:r>
      <w:r>
        <w:rPr>
          <w:rFonts w:hint="eastAsia" w:ascii="宋体" w:hAnsi="宋体" w:eastAsia="黑体" w:cs="仿宋_GB2312"/>
          <w:szCs w:val="32"/>
        </w:rPr>
        <w:t>条</w:t>
      </w:r>
      <w:r>
        <w:rPr>
          <w:rFonts w:hint="eastAsia" w:ascii="宋体" w:hAnsi="宋体" w:cs="仿宋_GB2312"/>
          <w:szCs w:val="32"/>
        </w:rPr>
        <w:t>　中国公民出境入境，应当依法申请办理护照或者其他旅行证件。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中国公民前往其他国家或者地区，还需要取得前往国签证或者其他入境许可证明。但是，中国政府与其他国家政府签订互免签证协议或者公安部、外交部另有规定的除外。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中国公民以海员身份出境入境和在国外船舶上从事工作的，应当依法申请办理海员证。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w:t>
      </w:r>
      <w:r>
        <w:rPr>
          <w:rFonts w:hint="eastAsia" w:ascii="宋体" w:hAnsi="宋体" w:eastAsia="黑体" w:cs="仿宋_GB2312"/>
          <w:szCs w:val="32"/>
        </w:rPr>
        <w:t>条</w:t>
      </w:r>
      <w:r>
        <w:rPr>
          <w:rFonts w:hint="eastAsia" w:ascii="宋体" w:hAnsi="宋体" w:cs="仿宋_GB2312"/>
          <w:szCs w:val="32"/>
        </w:rPr>
        <w:t>　中国公民往来内地与香港特别行政区、澳门特别行政区，中国公民往来大陆与台湾地区，应当依法申请办理通行证件，并遵守本法有关规定。具体管理办法由国务院规定。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第十一</w:t>
      </w:r>
      <w:r>
        <w:rPr>
          <w:rFonts w:hint="eastAsia" w:ascii="宋体" w:hAnsi="宋体" w:eastAsia="黑体" w:cs="仿宋_GB2312"/>
          <w:szCs w:val="32"/>
        </w:rPr>
        <w:t>条</w:t>
      </w:r>
      <w:r>
        <w:rPr>
          <w:rFonts w:hint="eastAsia" w:ascii="宋体" w:hAnsi="宋体" w:cs="仿宋_GB2312"/>
          <w:szCs w:val="32"/>
        </w:rPr>
        <w:t>　中国公民出境入境，应当向出入境边防检查机关交验本人的护照或者其他旅行证件等出境入境证件，履行规定的手续，经查验准许，方可出境入境。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具备条件的口岸，出入境边防检查机关应当为中国公民出境入境提供专用通道等便利措施。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第十二</w:t>
      </w:r>
      <w:r>
        <w:rPr>
          <w:rFonts w:hint="eastAsia" w:ascii="宋体" w:hAnsi="宋体" w:eastAsia="黑体" w:cs="仿宋_GB2312"/>
          <w:szCs w:val="32"/>
        </w:rPr>
        <w:t>条</w:t>
      </w:r>
      <w:r>
        <w:rPr>
          <w:rFonts w:hint="eastAsia" w:ascii="宋体" w:hAnsi="宋体" w:cs="仿宋_GB2312"/>
          <w:szCs w:val="32"/>
        </w:rPr>
        <w:t>　中国公民有下列情形之一的，不准出境: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（一）未持有效出境入境证件或者拒绝、逃避接受边防检查的；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（二）被判处刑罚尚未执行完毕或者属于刑事案件被告人、犯罪嫌疑人的；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（三）有未了结的民事案件，人民法院决定不准出境的；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（四）因妨害国（边）境管理受到刑事处罚或者因非法出境、非法居留、非法就业被其他国家或者地区遣返，未满不准出境规定年限的；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（五）可能危害国家安全和利益，国务院有关主管部门决定不准出境的；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（六）法律、行政法规规定不准出境的其他情形。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第十三</w:t>
      </w:r>
      <w:r>
        <w:rPr>
          <w:rFonts w:hint="eastAsia" w:ascii="宋体" w:hAnsi="宋体" w:eastAsia="黑体" w:cs="仿宋_GB2312"/>
          <w:szCs w:val="32"/>
        </w:rPr>
        <w:t>条</w:t>
      </w:r>
      <w:r>
        <w:rPr>
          <w:rFonts w:hint="eastAsia" w:ascii="宋体" w:hAnsi="宋体" w:cs="仿宋_GB2312"/>
          <w:szCs w:val="32"/>
        </w:rPr>
        <w:t>　定居国外的中国公民要求回国定居的，应当在入境前向中华人民共和国驻外使馆、领馆或者外交部委托的其他驻外机构提出申请，也可以由本人或者经由国内亲属向拟定居地的县级以上地方人民政府侨务部门提出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第十四</w:t>
      </w:r>
      <w:r>
        <w:rPr>
          <w:rFonts w:hint="eastAsia" w:ascii="宋体" w:hAnsi="宋体" w:eastAsia="黑体" w:cs="仿宋_GB2312"/>
          <w:szCs w:val="32"/>
        </w:rPr>
        <w:t>条</w:t>
      </w:r>
      <w:r>
        <w:rPr>
          <w:rFonts w:hint="eastAsia" w:ascii="宋体" w:hAnsi="宋体" w:cs="仿宋_GB2312"/>
          <w:szCs w:val="32"/>
        </w:rPr>
        <w:t>　定居国外的中国公民在中国境内办理金融、教育、医疗、交通、电信、社会保险、财产登记等事务需要提供身份证明的，可以凭本人的护照证明其身份。</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第三章　外国人入境出境</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签证</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第十五</w:t>
      </w:r>
      <w:r>
        <w:rPr>
          <w:rFonts w:hint="eastAsia" w:ascii="宋体" w:hAnsi="宋体" w:eastAsia="黑体" w:cs="仿宋_GB2312"/>
          <w:szCs w:val="32"/>
        </w:rPr>
        <w:t>条</w:t>
      </w:r>
      <w:r>
        <w:rPr>
          <w:rFonts w:hint="eastAsia" w:ascii="宋体" w:hAnsi="宋体" w:cs="仿宋_GB2312"/>
          <w:szCs w:val="32"/>
        </w:rPr>
        <w:t>　外国人入境，应当向驻外签证机关申请办理签证，但是本法另有规定的除外。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第十六</w:t>
      </w:r>
      <w:r>
        <w:rPr>
          <w:rFonts w:hint="eastAsia" w:ascii="宋体" w:hAnsi="宋体" w:eastAsia="黑体" w:cs="仿宋_GB2312"/>
          <w:szCs w:val="32"/>
        </w:rPr>
        <w:t>条</w:t>
      </w:r>
      <w:r>
        <w:rPr>
          <w:rFonts w:hint="eastAsia" w:ascii="宋体" w:hAnsi="宋体" w:cs="仿宋_GB2312"/>
          <w:szCs w:val="32"/>
        </w:rPr>
        <w:t>　签证分为外交签证、礼遇签证、公务签证、普通签证。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对因外交、公务事由入境的外国人，签发外交、公务签证；对因身份特殊需要给予礼遇的外国人，签发礼遇签证。外交签证、礼遇签证、公务签证的签发范围和签发办法由外交部规定。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对因工作、学习、探亲、旅游、商务活动、人才引进等非外交、公务事由入境的外国人，签发相应类别的普通签证。普通签证的类别和签发办法由国务院规定。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第十七</w:t>
      </w:r>
      <w:r>
        <w:rPr>
          <w:rFonts w:hint="eastAsia" w:ascii="宋体" w:hAnsi="宋体" w:eastAsia="黑体" w:cs="仿宋_GB2312"/>
          <w:szCs w:val="32"/>
        </w:rPr>
        <w:t>条</w:t>
      </w:r>
      <w:r>
        <w:rPr>
          <w:rFonts w:hint="eastAsia" w:ascii="宋体" w:hAnsi="宋体" w:cs="仿宋_GB2312"/>
          <w:szCs w:val="32"/>
        </w:rPr>
        <w:t>　签证的登记项目包括:签证种类，持有人姓名、性别、出生日期、入境次数、入境有效期、停留期限，签发日期、地点，护照或者其他国际旅行证件号码等。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第十八</w:t>
      </w:r>
      <w:r>
        <w:rPr>
          <w:rFonts w:hint="eastAsia" w:ascii="宋体" w:hAnsi="宋体" w:eastAsia="黑体" w:cs="仿宋_GB2312"/>
          <w:szCs w:val="32"/>
        </w:rPr>
        <w:t>条</w:t>
      </w:r>
      <w:r>
        <w:rPr>
          <w:rFonts w:hint="eastAsia" w:ascii="宋体" w:hAnsi="宋体" w:cs="仿宋_GB2312"/>
          <w:szCs w:val="32"/>
        </w:rPr>
        <w:t>　外国人申请办理签证，应当向驻外签证机关提交本人的护照或者其他国际旅行证件，以及申请事由的相关材料，按照驻外签证机关的要求办理相关手续、接受面谈。</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第十九</w:t>
      </w:r>
      <w:r>
        <w:rPr>
          <w:rFonts w:hint="eastAsia" w:ascii="宋体" w:hAnsi="宋体" w:eastAsia="黑体" w:cs="仿宋_GB2312"/>
          <w:szCs w:val="32"/>
        </w:rPr>
        <w:t>条</w:t>
      </w:r>
      <w:r>
        <w:rPr>
          <w:rFonts w:hint="eastAsia" w:ascii="宋体" w:hAnsi="宋体" w:cs="仿宋_GB2312"/>
          <w:szCs w:val="32"/>
        </w:rPr>
        <w:t>　外国人申请办理签证需要提供中国境内的单位或者个人出具的邀请函件的，申请人应当按照驻外签证机关的要求提供。出具邀请函件的单位或者个人应当对邀请内容的真实性负责。</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w:t>
      </w:r>
      <w:r>
        <w:rPr>
          <w:rFonts w:hint="eastAsia" w:ascii="宋体" w:hAnsi="宋体" w:eastAsia="黑体" w:cs="仿宋_GB2312"/>
          <w:szCs w:val="32"/>
        </w:rPr>
        <w:t>条</w:t>
      </w:r>
      <w:r>
        <w:rPr>
          <w:rFonts w:hint="eastAsia" w:ascii="宋体" w:hAnsi="宋体" w:cs="仿宋_GB2312"/>
          <w:szCs w:val="32"/>
        </w:rPr>
        <w:t>　出于人道原因需要紧急入境，应邀入境从事紧急商务、工程抢修或者具有其他紧急入境需要并持有有关主管部门同意在口岸申办签证的证明材料的外国人，可以在国务院批准办理口岸签证业务的口岸，向公安部委托的口岸签证机关（以下简称口岸签证机关）申请办理口岸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旅行社按照国家有关规定组织入境旅游的，可以向口岸签证机关申请办理团体旅游签证。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外国人向口岸签证机关申请办理签证，应当提交本人的护照或者其他国际旅行证件，以及申请事由的相关材料，按照口岸签证机关的要求办理相关手续，并从申请签证的口岸入境。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口岸签证机关签发的签证一次入境有效，签证注明的停留期限不得超过三十日。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第二十一</w:t>
      </w:r>
      <w:r>
        <w:rPr>
          <w:rFonts w:hint="eastAsia" w:ascii="宋体" w:hAnsi="宋体" w:eastAsia="黑体" w:cs="仿宋_GB2312"/>
          <w:szCs w:val="32"/>
        </w:rPr>
        <w:t>条</w:t>
      </w:r>
      <w:r>
        <w:rPr>
          <w:rFonts w:hint="eastAsia" w:ascii="宋体" w:hAnsi="宋体" w:cs="仿宋_GB2312"/>
          <w:szCs w:val="32"/>
        </w:rPr>
        <w:t>　外国人有下列情形之一的，不予签发签证: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（一）被处驱逐出境或者被决定遣送出境，未满不准入境规定年限的；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（二）患有严重精神障碍、传染性肺结核病或者有可能对公共卫生造成重大危害的其他传染病的；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（三）可能危害中国国家安全和利益、破坏社会公共秩序或者从事其他违法犯罪活动的；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（四）在申请签证过程中弄虚作假或者不能保障在中国境内期间所需费用的；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（五）不能提交签证机关要求提交的相关材料的；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（六）签证机关认为不宜签发签证的其他情形。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对不予签发签证的，签证机关可以不说明理由。</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第二十二</w:t>
      </w:r>
      <w:r>
        <w:rPr>
          <w:rFonts w:hint="eastAsia" w:ascii="宋体" w:hAnsi="宋体" w:eastAsia="黑体" w:cs="仿宋_GB2312"/>
          <w:szCs w:val="32"/>
        </w:rPr>
        <w:t>条</w:t>
      </w:r>
      <w:r>
        <w:rPr>
          <w:rFonts w:hint="eastAsia" w:ascii="宋体" w:hAnsi="宋体" w:cs="仿宋_GB2312"/>
          <w:szCs w:val="32"/>
        </w:rPr>
        <w:t>　外国人有下列情形之一的，可以免办签证: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（一）根据中国政府与其他国家政府签订的互免签证协议，属于免办签证人员的；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（二）持有效的外国人居留证件的；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（三）持联程客票搭乘国际航行的航空器、船舶、列车从中国过境前往第三国或者地区，在中国境内停留不超过二十四小时且不离开口岸，或者在国务院批准的特定区域内停留不超过规定时限的；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（四）国务院规定的可以免办签证的其他情形。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第二十三</w:t>
      </w:r>
      <w:r>
        <w:rPr>
          <w:rFonts w:hint="eastAsia" w:ascii="宋体" w:hAnsi="宋体" w:eastAsia="黑体" w:cs="仿宋_GB2312"/>
          <w:szCs w:val="32"/>
        </w:rPr>
        <w:t>条</w:t>
      </w:r>
      <w:r>
        <w:rPr>
          <w:rFonts w:hint="eastAsia" w:ascii="宋体" w:hAnsi="宋体" w:cs="仿宋_GB2312"/>
          <w:szCs w:val="32"/>
        </w:rPr>
        <w:t>　有下列情形之一的外国人需要临时入境的，应当向出入境边防检查机关申请办理临时入境手续:</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（一）外国船员及其随行家属登陆港口所在城市的；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（二）本法第二十二条第三项规定的人员需要离开口岸的；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（三）因不可抗力或者其他紧急原因需要临时入境的。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临时入境的期限不得超过十五日。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对申请办理临时入境手续的外国人，出入境边防检查机关可以要求外国人本人、载运其入境的交通运输工具的负责人或者交通运输工具出境入境业务代理单位提供必要的保证措施。</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入境出境</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第二十四</w:t>
      </w:r>
      <w:r>
        <w:rPr>
          <w:rFonts w:hint="eastAsia" w:ascii="宋体" w:hAnsi="宋体" w:eastAsia="黑体" w:cs="仿宋_GB2312"/>
          <w:szCs w:val="32"/>
        </w:rPr>
        <w:t>条</w:t>
      </w:r>
      <w:r>
        <w:rPr>
          <w:rFonts w:hint="eastAsia" w:ascii="宋体" w:hAnsi="宋体" w:cs="仿宋_GB2312"/>
          <w:szCs w:val="32"/>
        </w:rPr>
        <w:t>　外国人入境，应当向出入境边防检查机关交验本人的护照或者其他国际旅行证件、签证或者其他入境许可证明，履行规定的手续，经查验准许，方可入境。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第二十五</w:t>
      </w:r>
      <w:r>
        <w:rPr>
          <w:rFonts w:hint="eastAsia" w:ascii="宋体" w:hAnsi="宋体" w:eastAsia="黑体" w:cs="仿宋_GB2312"/>
          <w:szCs w:val="32"/>
        </w:rPr>
        <w:t>条</w:t>
      </w:r>
      <w:r>
        <w:rPr>
          <w:rFonts w:hint="eastAsia" w:ascii="宋体" w:hAnsi="宋体" w:cs="仿宋_GB2312"/>
          <w:szCs w:val="32"/>
        </w:rPr>
        <w:t>　外国人有下列情形之一的，不准入境: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（一）未持有效出境入境证件或者拒绝、逃避接受边防检查的；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（二）具有本法第二十一条第一款第一项至第四项规定情形的；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（三）入境后可能从事与签证种类不符的活动的；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（四）法律、行政法规规定不准入境的其他情形。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对不准入境的，出入境边防检查机关可以不说明理由。</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第二十六</w:t>
      </w:r>
      <w:r>
        <w:rPr>
          <w:rFonts w:hint="eastAsia" w:ascii="宋体" w:hAnsi="宋体" w:eastAsia="黑体" w:cs="仿宋_GB2312"/>
          <w:szCs w:val="32"/>
        </w:rPr>
        <w:t>条</w:t>
      </w:r>
      <w:r>
        <w:rPr>
          <w:rFonts w:hint="eastAsia" w:ascii="宋体" w:hAnsi="宋体" w:cs="仿宋_GB2312"/>
          <w:szCs w:val="32"/>
        </w:rPr>
        <w:t>　对未被准许入境的外国人，出入境边防检查机关应当责令其返回；对拒不返回的，强制其返回。外国人等待返回期间，不得离开限定的区域。</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第二十七</w:t>
      </w:r>
      <w:r>
        <w:rPr>
          <w:rFonts w:hint="eastAsia" w:ascii="宋体" w:hAnsi="宋体" w:eastAsia="黑体" w:cs="仿宋_GB2312"/>
          <w:szCs w:val="32"/>
        </w:rPr>
        <w:t>条</w:t>
      </w:r>
      <w:r>
        <w:rPr>
          <w:rFonts w:hint="eastAsia" w:ascii="宋体" w:hAnsi="宋体" w:cs="仿宋_GB2312"/>
          <w:szCs w:val="32"/>
        </w:rPr>
        <w:t>　外国人出境，应当向出入境边防检查机关交验本人的护照或者其他国际旅行证件等出境入境证件，履行规定的手续，经查验准许，方可出境。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第二十八</w:t>
      </w:r>
      <w:r>
        <w:rPr>
          <w:rFonts w:hint="eastAsia" w:ascii="宋体" w:hAnsi="宋体" w:eastAsia="黑体" w:cs="仿宋_GB2312"/>
          <w:szCs w:val="32"/>
        </w:rPr>
        <w:t>条</w:t>
      </w:r>
      <w:r>
        <w:rPr>
          <w:rFonts w:hint="eastAsia" w:ascii="宋体" w:hAnsi="宋体" w:cs="仿宋_GB2312"/>
          <w:szCs w:val="32"/>
        </w:rPr>
        <w:t>　外国人有下列情形之一的，不准出境: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（一）被判处刑罚尚未执行完毕或者属于刑事案件被告人、犯罪嫌疑人的，但是按照中国与外国签订的有关协议，移管被判刑人的除外；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（二）有未了结的民事案件，人民法院决定不准出境的；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（三）拖欠劳动者的劳动报酬，经国务院有关部门或者省、自治区、直辖市人民政府决定不准出境的；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（四）法律、行政法规规定不准出境的其他情形。</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第四章　外国人停留居留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停留居留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第二十九</w:t>
      </w:r>
      <w:r>
        <w:rPr>
          <w:rFonts w:hint="eastAsia" w:ascii="宋体" w:hAnsi="宋体" w:eastAsia="黑体" w:cs="仿宋_GB2312"/>
          <w:szCs w:val="32"/>
        </w:rPr>
        <w:t>条</w:t>
      </w:r>
      <w:r>
        <w:rPr>
          <w:rFonts w:hint="eastAsia" w:ascii="宋体" w:hAnsi="宋体" w:cs="仿宋_GB2312"/>
          <w:szCs w:val="32"/>
        </w:rPr>
        <w:t>　外国人所持签证注明的停留期限不超过一百八十日的，持证人凭签证并按照签证注明的停留期限在中国境内停留。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需要延长签证停留期限的，应当在签证注明的停留期限届满七日前向停留地县级以上地方人民政府公安机关出入境管理机构申请，按照要求提交申请事由的相关材料。经审查，延期理由合理、充分的，准予延长停留期限；不予延长停留期限的，应当按期离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延长签证停留期限，累计不得超过签证原注明的停留期限。</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w:t>
      </w:r>
      <w:r>
        <w:rPr>
          <w:rFonts w:hint="eastAsia" w:ascii="宋体" w:hAnsi="宋体" w:eastAsia="黑体" w:cs="仿宋_GB2312"/>
          <w:szCs w:val="32"/>
        </w:rPr>
        <w:t>条</w:t>
      </w:r>
      <w:r>
        <w:rPr>
          <w:rFonts w:hint="eastAsia" w:ascii="宋体" w:hAnsi="宋体" w:cs="仿宋_GB2312"/>
          <w:szCs w:val="32"/>
        </w:rPr>
        <w:t>　外国人所持签证注明入境后需要办理居留证件的，应当自入境之日起三十日内，向拟居留地县级以上地方人民政府公安机关出入境管理机构申请办理外国人居留证件。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办理外国人居留证件，应当提交本人的护照或者其他国际旅行证件，以及申请事由的相关材料，并留存指纹等人体生物识别信息。公安机关出入境管理机构应当自收到申请材料之日起十五日内进行审查并作出审查决定，根据居留事由签发相应类别和期限的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外国人工作类居留证件的有效期最短为九十日，最长为五年；非工作类居留证件的有效期最短为一百八十日，最长为五年。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第三十一</w:t>
      </w:r>
      <w:r>
        <w:rPr>
          <w:rFonts w:hint="eastAsia" w:ascii="宋体" w:hAnsi="宋体" w:eastAsia="黑体" w:cs="仿宋_GB2312"/>
          <w:szCs w:val="32"/>
        </w:rPr>
        <w:t>条</w:t>
      </w:r>
      <w:r>
        <w:rPr>
          <w:rFonts w:hint="eastAsia" w:ascii="宋体" w:hAnsi="宋体" w:cs="仿宋_GB2312"/>
          <w:szCs w:val="32"/>
        </w:rPr>
        <w:t>　外国人有下列情形之一的，不予签发外国人居留证件: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（一）所持签证类别属于不应办理外国人居留证件的；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（二）在申请过程中弄虚作假的；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（三）不能按照规定提供相关证明材料的；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（四）违反中国有关法律、行政法规，不适合在中国境内居留的；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（五）签发机关认为不宜签发外国人居留证件的其他情形。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符合国家规定的专门人才、投资者或者出于人道等原因确需由停留变更为居留的外国人，经设区的市级以上地方人民政府公安机关出入境管理机构批准可以办理外国人居留证件。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第三十二</w:t>
      </w:r>
      <w:r>
        <w:rPr>
          <w:rFonts w:hint="eastAsia" w:ascii="宋体" w:hAnsi="宋体" w:eastAsia="黑体" w:cs="仿宋_GB2312"/>
          <w:szCs w:val="32"/>
        </w:rPr>
        <w:t>条</w:t>
      </w:r>
      <w:r>
        <w:rPr>
          <w:rFonts w:hint="eastAsia" w:ascii="宋体" w:hAnsi="宋体" w:cs="仿宋_GB2312"/>
          <w:szCs w:val="32"/>
        </w:rPr>
        <w:t>　在中国境内居留的外国人申请延长居留期限的，应当在居留证件有效期限届满三十日前向居留地县级以上地方人民政府公安机关出入境管理机构提出申请，按照要求提交申请事由的相关材料。经审查，延期理由合理、充分的，准予延长居留期限；不予延长居留期限的，应当按期离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第三十三</w:t>
      </w:r>
      <w:r>
        <w:rPr>
          <w:rFonts w:hint="eastAsia" w:ascii="宋体" w:hAnsi="宋体" w:eastAsia="黑体" w:cs="仿宋_GB2312"/>
          <w:szCs w:val="32"/>
        </w:rPr>
        <w:t>条</w:t>
      </w:r>
      <w:r>
        <w:rPr>
          <w:rFonts w:hint="eastAsia" w:ascii="宋体" w:hAnsi="宋体" w:cs="仿宋_GB2312"/>
          <w:szCs w:val="32"/>
        </w:rPr>
        <w:t>　外国人居留证件的登记项目包括:持有人姓名、性别、出生日期、居留事由、居留期限，签发日期、地点，护照或者其他国际旅行证件号码等。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外国人居留证件登记事项发生变更的，持证件人应当自登记事项发生变更之日起十日内向居留地县级以上地方人民政府公安机关出入境管理机构申请办理变更。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第三十四</w:t>
      </w:r>
      <w:r>
        <w:rPr>
          <w:rFonts w:hint="eastAsia" w:ascii="宋体" w:hAnsi="宋体" w:eastAsia="黑体" w:cs="仿宋_GB2312"/>
          <w:szCs w:val="32"/>
        </w:rPr>
        <w:t>条</w:t>
      </w:r>
      <w:r>
        <w:rPr>
          <w:rFonts w:hint="eastAsia" w:ascii="宋体" w:hAnsi="宋体" w:cs="仿宋_GB2312"/>
          <w:szCs w:val="32"/>
        </w:rPr>
        <w:t>　免办签证入境的外国人需要超过免签期限在中国境内停留的，外国船员及其随行家属在中国境内停留需要离开港口所在城市，或者具有需要办理外国人停留证件其他情形的，应当按照规定办理外国人停留证件。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外国人停留证件的有效期最长为一百八十日。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第三十五</w:t>
      </w:r>
      <w:r>
        <w:rPr>
          <w:rFonts w:hint="eastAsia" w:ascii="宋体" w:hAnsi="宋体" w:eastAsia="黑体" w:cs="仿宋_GB2312"/>
          <w:szCs w:val="32"/>
        </w:rPr>
        <w:t>条</w:t>
      </w:r>
      <w:r>
        <w:rPr>
          <w:rFonts w:hint="eastAsia" w:ascii="宋体" w:hAnsi="宋体" w:cs="仿宋_GB2312"/>
          <w:szCs w:val="32"/>
        </w:rPr>
        <w:t>　外国人入境后，所持的普通签证、停留居留证件损毁、遗失、被盗抢或者有符合国家规定的事由需要换发、补发的，应当按照规定向停留居留地县级以上地方人民政府公安机关出入境管理机构提出申请。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第三十六</w:t>
      </w:r>
      <w:r>
        <w:rPr>
          <w:rFonts w:hint="eastAsia" w:ascii="宋体" w:hAnsi="宋体" w:eastAsia="黑体" w:cs="仿宋_GB2312"/>
          <w:szCs w:val="32"/>
        </w:rPr>
        <w:t>条</w:t>
      </w:r>
      <w:r>
        <w:rPr>
          <w:rFonts w:hint="eastAsia" w:ascii="宋体" w:hAnsi="宋体" w:cs="仿宋_GB2312"/>
          <w:szCs w:val="32"/>
        </w:rPr>
        <w:t>　公安机关出入境管理机构作出的不予办理普通签证延期、换发、补发，不予办理外国人停留居留证件、不予延长居留期限的决定为最终决定。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第三十七</w:t>
      </w:r>
      <w:r>
        <w:rPr>
          <w:rFonts w:hint="eastAsia" w:ascii="宋体" w:hAnsi="宋体" w:eastAsia="黑体" w:cs="仿宋_GB2312"/>
          <w:szCs w:val="32"/>
        </w:rPr>
        <w:t>条</w:t>
      </w:r>
      <w:r>
        <w:rPr>
          <w:rFonts w:hint="eastAsia" w:ascii="宋体" w:hAnsi="宋体" w:cs="仿宋_GB2312"/>
          <w:szCs w:val="32"/>
        </w:rPr>
        <w:t>　外国人在中国境内停留居留，不得从事与停留居留事由不相符的活动，并应当在规定的停留居留期限届满前离境。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第三十八</w:t>
      </w:r>
      <w:r>
        <w:rPr>
          <w:rFonts w:hint="eastAsia" w:ascii="宋体" w:hAnsi="宋体" w:eastAsia="黑体" w:cs="仿宋_GB2312"/>
          <w:szCs w:val="32"/>
        </w:rPr>
        <w:t>条</w:t>
      </w:r>
      <w:r>
        <w:rPr>
          <w:rFonts w:hint="eastAsia" w:ascii="宋体" w:hAnsi="宋体" w:cs="仿宋_GB2312"/>
          <w:szCs w:val="32"/>
        </w:rPr>
        <w:t>　年满十六周岁的外国人在中国境内停留居留，应当随身携带本人的护照或者其他国际旅行证件，或者外国人停留居留证件，接受公安机关的查验。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在中国境内居留的外国人，应当在规定的时间内到居留地县级以上地方人民政府公安机关交验外国人居留证件。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第三十九</w:t>
      </w:r>
      <w:r>
        <w:rPr>
          <w:rFonts w:hint="eastAsia" w:ascii="宋体" w:hAnsi="宋体" w:eastAsia="黑体" w:cs="仿宋_GB2312"/>
          <w:szCs w:val="32"/>
        </w:rPr>
        <w:t>条</w:t>
      </w:r>
      <w:r>
        <w:rPr>
          <w:rFonts w:hint="eastAsia" w:ascii="宋体" w:hAnsi="宋体" w:cs="仿宋_GB2312"/>
          <w:szCs w:val="32"/>
        </w:rPr>
        <w:t>　外国人在中国境内旅馆住宿的，旅馆应当按照旅馆业治安管理的有关规定为其办理住宿登记，并向所在地公安机关报送外国人住宿登记信息。</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外国人在旅馆以外的其他住所居住或者住宿的，应当在入住后二十四小时内由本人或者留宿人，向居住地的公安机关办理登记。</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w:t>
      </w:r>
      <w:r>
        <w:rPr>
          <w:rFonts w:hint="eastAsia" w:ascii="宋体" w:hAnsi="宋体" w:eastAsia="黑体" w:cs="仿宋_GB2312"/>
          <w:szCs w:val="32"/>
        </w:rPr>
        <w:t>条</w:t>
      </w:r>
      <w:r>
        <w:rPr>
          <w:rFonts w:hint="eastAsia" w:ascii="宋体" w:hAnsi="宋体" w:cs="仿宋_GB2312"/>
          <w:szCs w:val="32"/>
        </w:rPr>
        <w:t>　在中国境内出生的外国婴儿，其父母或者代理人应当在婴儿出生六十日内，持该婴儿的出生证明到父母停留居留地县级以上地方人民政府公安机关出入境管理机构为其办理停留或者居留登记。</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外国人在中国境内死亡的，其家属、监护人或者代理人，应当按照规定，持该外国人的死亡证明向县级以上地方人民政府公安机关出入境管理机构申报，注销外国人停留居留证件。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第四十一</w:t>
      </w:r>
      <w:r>
        <w:rPr>
          <w:rFonts w:hint="eastAsia" w:ascii="宋体" w:hAnsi="宋体" w:eastAsia="黑体" w:cs="仿宋_GB2312"/>
          <w:szCs w:val="32"/>
        </w:rPr>
        <w:t>条</w:t>
      </w:r>
      <w:r>
        <w:rPr>
          <w:rFonts w:hint="eastAsia" w:ascii="宋体" w:hAnsi="宋体" w:cs="仿宋_GB2312"/>
          <w:szCs w:val="32"/>
        </w:rPr>
        <w:t>　外国人在中国境内工作，应当按照规定取得工作许可和工作类居留证件。任何单位和个人不得聘用未取得工作许可和工作类居留证件的外国人。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外国人在中国境内工作管理办法由国务院规定。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第四十二</w:t>
      </w:r>
      <w:r>
        <w:rPr>
          <w:rFonts w:hint="eastAsia" w:ascii="宋体" w:hAnsi="宋体" w:eastAsia="黑体" w:cs="仿宋_GB2312"/>
          <w:szCs w:val="32"/>
        </w:rPr>
        <w:t>条</w:t>
      </w:r>
      <w:r>
        <w:rPr>
          <w:rFonts w:hint="eastAsia" w:ascii="宋体" w:hAnsi="宋体" w:cs="仿宋_GB2312"/>
          <w:szCs w:val="32"/>
        </w:rPr>
        <w:t>　国务院人力资源社会保障主管部门、外国专家主管部门会同国务院有关部门根据经济社会发展需要和人力资源供求状况制定并定期调整外国人在中国境内工作指导目录。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国务院教育主管部门会同国务院有关部门建立外国留学生勤工助学管理制度，对外国留学生勤工助学的岗位范围和时限作出规定。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第四十三</w:t>
      </w:r>
      <w:r>
        <w:rPr>
          <w:rFonts w:hint="eastAsia" w:ascii="宋体" w:hAnsi="宋体" w:eastAsia="黑体" w:cs="仿宋_GB2312"/>
          <w:szCs w:val="32"/>
        </w:rPr>
        <w:t>条</w:t>
      </w:r>
      <w:r>
        <w:rPr>
          <w:rFonts w:hint="eastAsia" w:ascii="宋体" w:hAnsi="宋体" w:cs="仿宋_GB2312"/>
          <w:szCs w:val="32"/>
        </w:rPr>
        <w:t>　外国人有下列行为之一的，属于非法就业: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（一）未按照规定取得工作许可和工作类居留证件在中国境内工作的；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（二）超出工作许可限定范围在中国境内工作的；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（三）外国留学生违反勤工助学管理规定，超出规定的岗位范围或者时限在中国境内工作的。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第四十四</w:t>
      </w:r>
      <w:r>
        <w:rPr>
          <w:rFonts w:hint="eastAsia" w:ascii="宋体" w:hAnsi="宋体" w:eastAsia="黑体" w:cs="仿宋_GB2312"/>
          <w:szCs w:val="32"/>
        </w:rPr>
        <w:t>条</w:t>
      </w:r>
      <w:r>
        <w:rPr>
          <w:rFonts w:hint="eastAsia" w:ascii="宋体" w:hAnsi="宋体" w:cs="仿宋_GB2312"/>
          <w:szCs w:val="32"/>
        </w:rPr>
        <w:t>　根据维护国家安全、公共安全的需要，公安机关、国家安全机关可以限制外国人、外国机构在某些地区设立居住或者办公场所；对已经设立的，可以限期迁离。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未经批准，外国人不得进入限制外国人进入的区域。</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第四十五</w:t>
      </w:r>
      <w:r>
        <w:rPr>
          <w:rFonts w:hint="eastAsia" w:ascii="宋体" w:hAnsi="宋体" w:eastAsia="黑体" w:cs="仿宋_GB2312"/>
          <w:szCs w:val="32"/>
        </w:rPr>
        <w:t>条</w:t>
      </w:r>
      <w:r>
        <w:rPr>
          <w:rFonts w:hint="eastAsia" w:ascii="宋体" w:hAnsi="宋体" w:cs="仿宋_GB2312"/>
          <w:szCs w:val="32"/>
        </w:rPr>
        <w:t>　聘用外国人工作或者招收外国留学生的单位，应当按照规定向所在地公安机关报告有关信息。</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公民、法人或者其他组织发现外国人有非法入境、非法居留、非法就业情形的，应当及时向所在地公安机关报告。</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第四十六</w:t>
      </w:r>
      <w:r>
        <w:rPr>
          <w:rFonts w:hint="eastAsia" w:ascii="宋体" w:hAnsi="宋体" w:eastAsia="黑体" w:cs="仿宋_GB2312"/>
          <w:szCs w:val="32"/>
        </w:rPr>
        <w:t>条</w:t>
      </w:r>
      <w:r>
        <w:rPr>
          <w:rFonts w:hint="eastAsia" w:ascii="宋体" w:hAnsi="宋体" w:cs="仿宋_GB2312"/>
          <w:szCs w:val="32"/>
        </w:rPr>
        <w:t>　申请难民地位的外国人，在难民地位甄别期间，可以凭公安机关签发的临时身份证明在中国境内停留；被认定为难民的外国人，可以凭公安机关签发的难民身份证件在中国境内停留居留。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第二节　永久居留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第四十七</w:t>
      </w:r>
      <w:r>
        <w:rPr>
          <w:rFonts w:hint="eastAsia" w:ascii="宋体" w:hAnsi="宋体" w:eastAsia="黑体" w:cs="仿宋_GB2312"/>
          <w:szCs w:val="32"/>
        </w:rPr>
        <w:t>条</w:t>
      </w:r>
      <w:r>
        <w:rPr>
          <w:rFonts w:hint="eastAsia" w:ascii="宋体" w:hAnsi="宋体" w:cs="仿宋_GB2312"/>
          <w:szCs w:val="32"/>
        </w:rPr>
        <w:t>　对中国经济社会发展作出突出贡献或者符合其他在中国境内永久居留条件的外国人，经本人申请和公安部批准，取得永久居留资格。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外国人在中国境内永久居留的审批管理办法由公安部、外交部会同国务院有关部门规定。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第四十八</w:t>
      </w:r>
      <w:r>
        <w:rPr>
          <w:rFonts w:hint="eastAsia" w:ascii="宋体" w:hAnsi="宋体" w:eastAsia="黑体" w:cs="仿宋_GB2312"/>
          <w:szCs w:val="32"/>
        </w:rPr>
        <w:t>条</w:t>
      </w:r>
      <w:r>
        <w:rPr>
          <w:rFonts w:hint="eastAsia" w:ascii="宋体" w:hAnsi="宋体" w:cs="仿宋_GB2312"/>
          <w:szCs w:val="32"/>
        </w:rPr>
        <w:t>　取得永久居留资格的外国人，凭永久居留证件在中国境内居留和工作，凭本人的护照和永久居留证件出境入境。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第四十九</w:t>
      </w:r>
      <w:r>
        <w:rPr>
          <w:rFonts w:hint="eastAsia" w:ascii="宋体" w:hAnsi="宋体" w:eastAsia="黑体" w:cs="仿宋_GB2312"/>
          <w:szCs w:val="32"/>
        </w:rPr>
        <w:t>条</w:t>
      </w:r>
      <w:r>
        <w:rPr>
          <w:rFonts w:hint="eastAsia" w:ascii="宋体" w:hAnsi="宋体" w:cs="仿宋_GB2312"/>
          <w:szCs w:val="32"/>
        </w:rPr>
        <w:t>　外国人有下列情形之一的，由公安部决定取消其在中国境内永久居留资格: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（一）对中国国家安全和利益造成危害的；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（二）被处驱逐出境的；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（三）弄虚作假骗取在中国境内永久居留资格的；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（四）在中国境内居留未达到规定时限的；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（五）不适宜在中国境内永久居留的其他情形。</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第五章　交通运输工具出境入境边防检查</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w:t>
      </w:r>
      <w:r>
        <w:rPr>
          <w:rFonts w:hint="eastAsia" w:ascii="宋体" w:hAnsi="宋体" w:eastAsia="黑体" w:cs="仿宋_GB2312"/>
          <w:szCs w:val="32"/>
        </w:rPr>
        <w:t>条</w:t>
      </w:r>
      <w:r>
        <w:rPr>
          <w:rFonts w:hint="eastAsia" w:ascii="宋体" w:hAnsi="宋体" w:cs="仿宋_GB2312"/>
          <w:szCs w:val="32"/>
        </w:rPr>
        <w:t>　出境入境交通运输工具离开、抵达口岸时，应当接受边防检查。对交通运输工具的入境边防检查，在其最先抵达的口岸进行；对交通运输工具的出境边防检查，在其最后离开的口岸进行。特殊情况下，可以在有关主管机关指定的地点进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出境的交通运输工具自出境检查后至出境前，入境的交通运输工具自入境后至入境检查前，未经出入境边防检查机关按照规定程序许可，不得上下人员、装卸货物或者物品。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第五十一</w:t>
      </w:r>
      <w:r>
        <w:rPr>
          <w:rFonts w:hint="eastAsia" w:ascii="宋体" w:hAnsi="宋体" w:eastAsia="黑体" w:cs="仿宋_GB2312"/>
          <w:szCs w:val="32"/>
        </w:rPr>
        <w:t>条</w:t>
      </w:r>
      <w:r>
        <w:rPr>
          <w:rFonts w:hint="eastAsia" w:ascii="宋体" w:hAnsi="宋体" w:cs="仿宋_GB2312"/>
          <w:szCs w:val="32"/>
        </w:rPr>
        <w:t>　交通运输工具负责人或者交通运输工具出境入境业务代理单位应当按照规定提前向出入境边防检查机关报告入境、出境的交通运输工具抵达、离开口岸的时间和停留地点，如实申报员工、旅客、货物或者物品等信息。</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第五十二</w:t>
      </w:r>
      <w:r>
        <w:rPr>
          <w:rFonts w:hint="eastAsia" w:ascii="宋体" w:hAnsi="宋体" w:eastAsia="黑体" w:cs="仿宋_GB2312"/>
          <w:szCs w:val="32"/>
        </w:rPr>
        <w:t>条</w:t>
      </w:r>
      <w:r>
        <w:rPr>
          <w:rFonts w:hint="eastAsia" w:ascii="宋体" w:hAnsi="宋体" w:cs="仿宋_GB2312"/>
          <w:szCs w:val="32"/>
        </w:rPr>
        <w:t>　交通运输工具负责人、交通运输工具出境入境业务代理单位应当配合出境入境边防检查，发现违反本法规定行为的，应当立即报告并协助调查处理。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入境交通运输工具载运不准入境人员的，交通运输工具负责人应当负责载离。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第五十三</w:t>
      </w:r>
      <w:r>
        <w:rPr>
          <w:rFonts w:hint="eastAsia" w:ascii="宋体" w:hAnsi="宋体" w:eastAsia="黑体" w:cs="仿宋_GB2312"/>
          <w:szCs w:val="32"/>
        </w:rPr>
        <w:t>条</w:t>
      </w:r>
      <w:r>
        <w:rPr>
          <w:rFonts w:hint="eastAsia" w:ascii="宋体" w:hAnsi="宋体" w:cs="仿宋_GB2312"/>
          <w:szCs w:val="32"/>
        </w:rPr>
        <w:t>　出入境边防检查机关按照规定对处于下列情形之一的出境入境交通运输工具进行监护:</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（一）出境的交通运输工具在出境边防检查开始后至出境前、入境的交通运输工具在入境后至入境边防检查完成前；</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（二）外国船舶在中国内河航行期间；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（三）有必要进行监护的其他情形。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第五十四</w:t>
      </w:r>
      <w:r>
        <w:rPr>
          <w:rFonts w:hint="eastAsia" w:ascii="宋体" w:hAnsi="宋体" w:eastAsia="黑体" w:cs="仿宋_GB2312"/>
          <w:szCs w:val="32"/>
        </w:rPr>
        <w:t>条</w:t>
      </w:r>
      <w:r>
        <w:rPr>
          <w:rFonts w:hint="eastAsia" w:ascii="宋体" w:hAnsi="宋体" w:cs="仿宋_GB2312"/>
          <w:szCs w:val="32"/>
        </w:rPr>
        <w:t>　因装卸物品、维修作业、参观访问等事由需要上下外国船舶的人员，应当向出入境边防检查机关申请办理登轮证件。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中国船舶与外国船舶或者外国船舶之间需要搭靠作业的，应当由船长或者交通运输工具出境入境业务代理单位向出入境边防检查机关申请办理船舶搭靠手续。</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第五十五</w:t>
      </w:r>
      <w:r>
        <w:rPr>
          <w:rFonts w:hint="eastAsia" w:ascii="宋体" w:hAnsi="宋体" w:eastAsia="黑体" w:cs="仿宋_GB2312"/>
          <w:szCs w:val="32"/>
        </w:rPr>
        <w:t>条</w:t>
      </w:r>
      <w:r>
        <w:rPr>
          <w:rFonts w:hint="eastAsia" w:ascii="宋体" w:hAnsi="宋体" w:cs="仿宋_GB2312"/>
          <w:szCs w:val="32"/>
        </w:rPr>
        <w:t>　外国船舶、航空器在中国境内应当按照规定的路线、航线行驶。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出境入境的船舶、航空器不得驶入对外开放口岸以外地区。因不可预见的紧急情况或者不可抗力驶入的，应当立即向就近的出入境边防检查机关或者当地公安机关报告，并接受监护和管理。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第五十六</w:t>
      </w:r>
      <w:r>
        <w:rPr>
          <w:rFonts w:hint="eastAsia" w:ascii="宋体" w:hAnsi="宋体" w:eastAsia="黑体" w:cs="仿宋_GB2312"/>
          <w:szCs w:val="32"/>
        </w:rPr>
        <w:t>条</w:t>
      </w:r>
      <w:r>
        <w:rPr>
          <w:rFonts w:hint="eastAsia" w:ascii="宋体" w:hAnsi="宋体" w:cs="仿宋_GB2312"/>
          <w:szCs w:val="32"/>
        </w:rPr>
        <w:t>　交通运输工具有下列情形之一的，不准出境入境；已经驶离口岸的，可以责令返回:</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（一）离开、抵达口岸时，未经查验准许擅自出境入境的；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（二）未经批准擅自改变出境入境口岸的；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（三）涉嫌载有不准出境入境人员，需要查验核实的；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（四）涉嫌载有危害国家安全、利益和社会公共秩序的物品，需要查验核实的；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（五）拒绝接受出入境边防检查机关管理的其他情形。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前款所列情形消失后，出入境边防检查机关对有关交通运输工具应当立即放行。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第五十七</w:t>
      </w:r>
      <w:r>
        <w:rPr>
          <w:rFonts w:hint="eastAsia" w:ascii="宋体" w:hAnsi="宋体" w:eastAsia="黑体" w:cs="仿宋_GB2312"/>
          <w:szCs w:val="32"/>
        </w:rPr>
        <w:t>条</w:t>
      </w:r>
      <w:r>
        <w:rPr>
          <w:rFonts w:hint="eastAsia" w:ascii="宋体" w:hAnsi="宋体" w:cs="仿宋_GB2312"/>
          <w:szCs w:val="32"/>
        </w:rPr>
        <w:t>　从事交通运输工具出境入境业务代理的单位，应当向出入境边防检查机关备案。从事业务代理的人员，由所在单位向出入境边防检查机关办理备案手续。</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第六章　调查和遣返</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第五十八</w:t>
      </w:r>
      <w:r>
        <w:rPr>
          <w:rFonts w:hint="eastAsia" w:ascii="宋体" w:hAnsi="宋体" w:eastAsia="黑体" w:cs="仿宋_GB2312"/>
          <w:szCs w:val="32"/>
        </w:rPr>
        <w:t>条</w:t>
      </w:r>
      <w:r>
        <w:rPr>
          <w:rFonts w:hint="eastAsia" w:ascii="宋体" w:hAnsi="宋体" w:cs="仿宋_GB2312"/>
          <w:szCs w:val="32"/>
        </w:rPr>
        <w:t>　本章规定的当场盘问、继续盘问、拘留审查、限制活动范围、遣送出境措施，由县级以上地方人民政府公安机关或者出入境边防检查机关实施。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第五十九</w:t>
      </w:r>
      <w:r>
        <w:rPr>
          <w:rFonts w:hint="eastAsia" w:ascii="宋体" w:hAnsi="宋体" w:eastAsia="黑体" w:cs="仿宋_GB2312"/>
          <w:szCs w:val="32"/>
        </w:rPr>
        <w:t>条</w:t>
      </w:r>
      <w:r>
        <w:rPr>
          <w:rFonts w:hint="eastAsia" w:ascii="宋体" w:hAnsi="宋体" w:cs="仿宋_GB2312"/>
          <w:szCs w:val="32"/>
        </w:rPr>
        <w:t>　对涉嫌违反出境入境管理的人员，可以当场盘问；经当场盘问，有下列情形之一的，可以依法继续盘问: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（一）有非法出境入境嫌疑的；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（二）有协助他人非法出境入境嫌疑的；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（三）外国人有非法居留、非法就业嫌疑的；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（四）有危害国家安全和利益，破坏社会公共秩序或者从事其他违法犯罪活动嫌疑的。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当场盘问和继续盘问应当依据《中华人民共和国人民警察法》规定的程序进行。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县级以上地方人民政府公安机关或者出入境边防检查机关需要传唤涉嫌违反出境入境管理的人员的，依照《中华人民共和国治安管理处罚法》的有关规定执行。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w:t>
      </w:r>
      <w:r>
        <w:rPr>
          <w:rFonts w:hint="eastAsia" w:ascii="宋体" w:hAnsi="宋体" w:eastAsia="黑体" w:cs="仿宋_GB2312"/>
          <w:szCs w:val="32"/>
        </w:rPr>
        <w:t>条</w:t>
      </w:r>
      <w:r>
        <w:rPr>
          <w:rFonts w:hint="eastAsia" w:ascii="宋体" w:hAnsi="宋体" w:cs="仿宋_GB2312"/>
          <w:szCs w:val="32"/>
        </w:rPr>
        <w:t>　外国人有本法第五十九条第一款规定情形之一的，经当场盘问或者继续盘问后仍不能排除嫌疑，需要作进一步调查的，可以拘留审查。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实施拘留审查，应当出示拘留审查决定书，并在二十四小时内进行询问。发现不应当拘留审查的，应当立即解除拘留审查。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拘留审查的期限不得超过三十日；案情复杂的，经上一级地方人民政府公安机关或者出入境边防检查机关批准可以延长至六十日。对国籍、身份不明的外国人，拘留审查期限自查清其国籍、身份之日起计算。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第六十一</w:t>
      </w:r>
      <w:r>
        <w:rPr>
          <w:rFonts w:hint="eastAsia" w:ascii="宋体" w:hAnsi="宋体" w:eastAsia="黑体" w:cs="仿宋_GB2312"/>
          <w:szCs w:val="32"/>
        </w:rPr>
        <w:t>条</w:t>
      </w:r>
      <w:r>
        <w:rPr>
          <w:rFonts w:hint="eastAsia" w:ascii="宋体" w:hAnsi="宋体" w:cs="仿宋_GB2312"/>
          <w:szCs w:val="32"/>
        </w:rPr>
        <w:t>　外国人有下列情形之一的，不适用拘留审查，可以限制其活动范围: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（一）患有严重疾病的；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（二）怀孕或者哺乳自己不满一周岁婴儿的；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（三）未满十六周岁或者已满七十周岁的；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（四）不宜适用拘留审查的其他情形。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限制活动范围的外国人，应当按照要求接受审查，未经公安机关批准，不得离开限定的区域。限制活动范围的期限不得超过六十日。对国籍、身份不明的外国人，限制活动范围期限自查清其国籍、身份之日起计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第六十二</w:t>
      </w:r>
      <w:r>
        <w:rPr>
          <w:rFonts w:hint="eastAsia" w:ascii="宋体" w:hAnsi="宋体" w:eastAsia="黑体" w:cs="仿宋_GB2312"/>
          <w:szCs w:val="32"/>
        </w:rPr>
        <w:t>条</w:t>
      </w:r>
      <w:r>
        <w:rPr>
          <w:rFonts w:hint="eastAsia" w:ascii="宋体" w:hAnsi="宋体" w:cs="仿宋_GB2312"/>
          <w:szCs w:val="32"/>
        </w:rPr>
        <w:t>　外国人有下列情形之一的，可以遣送出境: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（一）被处限期出境，未在规定期限内离境的；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（二）有不准入境情形的；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（三）非法居留、非法就业的；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（四）违反本法或者其他法律、行政法规需要遣送出境的。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其他境外人员有前款所列情形之一的，可以依法遣送出境。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被遣送出境的人员，自被遣送出境之日起一至五年内不准入境。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第六十三</w:t>
      </w:r>
      <w:r>
        <w:rPr>
          <w:rFonts w:hint="eastAsia" w:ascii="宋体" w:hAnsi="宋体" w:eastAsia="黑体" w:cs="仿宋_GB2312"/>
          <w:szCs w:val="32"/>
        </w:rPr>
        <w:t>条</w:t>
      </w:r>
      <w:r>
        <w:rPr>
          <w:rFonts w:hint="eastAsia" w:ascii="宋体" w:hAnsi="宋体" w:cs="仿宋_GB2312"/>
          <w:szCs w:val="32"/>
        </w:rPr>
        <w:t>　被拘留审查或者被决定遣送出境但不能立即执行的人员，应当羁押在拘留所或者遣返场所。</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第六十四</w:t>
      </w:r>
      <w:r>
        <w:rPr>
          <w:rFonts w:hint="eastAsia" w:ascii="宋体" w:hAnsi="宋体" w:eastAsia="黑体" w:cs="仿宋_GB2312"/>
          <w:szCs w:val="32"/>
        </w:rPr>
        <w:t>条</w:t>
      </w:r>
      <w:r>
        <w:rPr>
          <w:rFonts w:hint="eastAsia" w:ascii="宋体" w:hAnsi="宋体" w:cs="仿宋_GB2312"/>
          <w:szCs w:val="32"/>
        </w:rPr>
        <w:t>　外国人对依照本法规定对其实施的继续盘问、拘留审查、限制活动范围、遣送出境措施不服的，可以依法申请行政复议，该行政复议决定为最终决定。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其他境外人员对依照本法规定对其实施的遣送出境措施不服，申请行政复议的，适用前款规定。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第六十五</w:t>
      </w:r>
      <w:r>
        <w:rPr>
          <w:rFonts w:hint="eastAsia" w:ascii="宋体" w:hAnsi="宋体" w:eastAsia="黑体" w:cs="仿宋_GB2312"/>
          <w:szCs w:val="32"/>
        </w:rPr>
        <w:t>条</w:t>
      </w:r>
      <w:r>
        <w:rPr>
          <w:rFonts w:hint="eastAsia" w:ascii="宋体" w:hAnsi="宋体" w:cs="仿宋_GB2312"/>
          <w:szCs w:val="32"/>
        </w:rPr>
        <w:t>　对依法决定不准出境或者不准入境的人员，决定机关应当按照规定及时通知出入境边防检查机关；不准出境、入境情形消失的，决定机关应当及时撤销不准出境、入境决定，并通知出入境边防检查机关。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第六十六</w:t>
      </w:r>
      <w:r>
        <w:rPr>
          <w:rFonts w:hint="eastAsia" w:ascii="宋体" w:hAnsi="宋体" w:eastAsia="黑体" w:cs="仿宋_GB2312"/>
          <w:szCs w:val="32"/>
        </w:rPr>
        <w:t>条</w:t>
      </w:r>
      <w:r>
        <w:rPr>
          <w:rFonts w:hint="eastAsia" w:ascii="宋体" w:hAnsi="宋体" w:cs="仿宋_GB2312"/>
          <w:szCs w:val="32"/>
        </w:rPr>
        <w:t>　根据维护国家安全和出境入境管理秩序的需要，必要时，出入境边防检查机关可以对出境入境的人员进行人身检查。人身检查应当由两名与受检查人同性别的边防检查人员进行。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第六十七</w:t>
      </w:r>
      <w:r>
        <w:rPr>
          <w:rFonts w:hint="eastAsia" w:ascii="宋体" w:hAnsi="宋体" w:eastAsia="黑体" w:cs="仿宋_GB2312"/>
          <w:szCs w:val="32"/>
        </w:rPr>
        <w:t>条</w:t>
      </w:r>
      <w:r>
        <w:rPr>
          <w:rFonts w:hint="eastAsia" w:ascii="宋体" w:hAnsi="宋体" w:cs="仿宋_GB2312"/>
          <w:szCs w:val="32"/>
        </w:rPr>
        <w:t>　签证、外国人停留居留证件等出境入境证件发生损毁、遗失、被盗抢或者签发后发现持证人不符合签发条件等情形的，由签发机关宣布该出境入境证件作废。</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伪造、变造、骗取或者被证件签发机关宣布作废的出境入境证件无效。</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公安机关可以对前款规定的或被他人冒用的出境入境证件予以注销或者收缴。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第六十八</w:t>
      </w:r>
      <w:r>
        <w:rPr>
          <w:rFonts w:hint="eastAsia" w:ascii="宋体" w:hAnsi="宋体" w:eastAsia="黑体" w:cs="仿宋_GB2312"/>
          <w:szCs w:val="32"/>
        </w:rPr>
        <w:t>条</w:t>
      </w:r>
      <w:r>
        <w:rPr>
          <w:rFonts w:hint="eastAsia" w:ascii="宋体" w:hAnsi="宋体" w:cs="仿宋_GB2312"/>
          <w:szCs w:val="32"/>
        </w:rPr>
        <w:t>　对用于组织、运送、协助他人非法出境入境的交通运输工具，以及需要作为办案证据的物品，公安机关可以扣押。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对查获的违禁物品，涉及国家秘密的文件、资料以及用于实施违反出境入境管理活动的工具等，公安机关应当予以扣押，并依照相关法律、行政法规规定处理。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第六十九</w:t>
      </w:r>
      <w:r>
        <w:rPr>
          <w:rFonts w:hint="eastAsia" w:ascii="宋体" w:hAnsi="宋体" w:eastAsia="黑体" w:cs="仿宋_GB2312"/>
          <w:szCs w:val="32"/>
        </w:rPr>
        <w:t>条</w:t>
      </w:r>
      <w:r>
        <w:rPr>
          <w:rFonts w:hint="eastAsia" w:ascii="宋体" w:hAnsi="宋体" w:cs="仿宋_GB2312"/>
          <w:szCs w:val="32"/>
        </w:rPr>
        <w:t>　出境入境证件的真伪由签发机关、出入境边防检查机关或者公安机关出入境管理机构认定。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第七章　法律责任</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w:t>
      </w:r>
      <w:r>
        <w:rPr>
          <w:rFonts w:hint="eastAsia" w:ascii="宋体" w:hAnsi="宋体" w:eastAsia="黑体" w:cs="仿宋_GB2312"/>
          <w:szCs w:val="32"/>
        </w:rPr>
        <w:t>条</w:t>
      </w:r>
      <w:r>
        <w:rPr>
          <w:rFonts w:hint="eastAsia" w:ascii="宋体" w:hAnsi="宋体" w:cs="仿宋_GB2312"/>
          <w:szCs w:val="32"/>
        </w:rPr>
        <w:t>　本章规定的行政处罚，除本章另有规定外，由县级以上地方人民政府公安机关或者出入境边防检查机关决定；其中警告或者五千元以下罚款，可以由县级以上地方人民政府公安机关出入境管理机构决定。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第七十一</w:t>
      </w:r>
      <w:r>
        <w:rPr>
          <w:rFonts w:hint="eastAsia" w:ascii="宋体" w:hAnsi="宋体" w:eastAsia="黑体" w:cs="仿宋_GB2312"/>
          <w:szCs w:val="32"/>
        </w:rPr>
        <w:t>条</w:t>
      </w:r>
      <w:r>
        <w:rPr>
          <w:rFonts w:hint="eastAsia" w:ascii="宋体" w:hAnsi="宋体" w:cs="仿宋_GB2312"/>
          <w:szCs w:val="32"/>
        </w:rPr>
        <w:t>　有下列行为之一的，处一千元以上五千元以下罚款；情节严重的，处五日以上十日以下拘留，可以并处二千元以上一万元以下罚款: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（一）持用伪造、变造、骗取的出境入境证件出境入境的；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（二）冒用他人出境入境证件出境入境的；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（三）逃避出境入境边防检查的；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（四）以其他方式非法出境入境的。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第七十二</w:t>
      </w:r>
      <w:r>
        <w:rPr>
          <w:rFonts w:hint="eastAsia" w:ascii="宋体" w:hAnsi="宋体" w:eastAsia="黑体" w:cs="仿宋_GB2312"/>
          <w:szCs w:val="32"/>
        </w:rPr>
        <w:t>条</w:t>
      </w:r>
      <w:r>
        <w:rPr>
          <w:rFonts w:hint="eastAsia" w:ascii="宋体" w:hAnsi="宋体" w:cs="仿宋_GB2312"/>
          <w:szCs w:val="32"/>
        </w:rPr>
        <w:t>　协助他人非法出境入境的，处二千元以上一万元以下罚款；情节严重的，处十日以上十五日以下拘留，并处五千元以上二万元以下罚款，有违法所得的，没收违法所得。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单位有前款行为的，处一万元以上五万元以下罚款，有违法所得的，没收违法所得，并对其直接负责的主管人员和其他直接责任人员依照前款规定予以处罚。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第七十三</w:t>
      </w:r>
      <w:r>
        <w:rPr>
          <w:rFonts w:hint="eastAsia" w:ascii="宋体" w:hAnsi="宋体" w:eastAsia="黑体" w:cs="仿宋_GB2312"/>
          <w:szCs w:val="32"/>
        </w:rPr>
        <w:t>条</w:t>
      </w:r>
      <w:r>
        <w:rPr>
          <w:rFonts w:hint="eastAsia" w:ascii="宋体" w:hAnsi="宋体" w:cs="仿宋_GB2312"/>
          <w:szCs w:val="32"/>
        </w:rPr>
        <w:t>　弄虚作假骗取签证、停留居留证件等出境入境证件的，处二千元以上五千元以下罚款；情节严重的，处十日以上十五日以下拘留，并处五千元以上二万元以下罚款。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单位有前款行为的，处一万元以上五万元以下罚款，并对其直接负责的主管人员和其他直接责任人员依照前款规定予以处罚。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第七十四</w:t>
      </w:r>
      <w:r>
        <w:rPr>
          <w:rFonts w:hint="eastAsia" w:ascii="宋体" w:hAnsi="宋体" w:eastAsia="黑体" w:cs="仿宋_GB2312"/>
          <w:szCs w:val="32"/>
        </w:rPr>
        <w:t>条</w:t>
      </w:r>
      <w:r>
        <w:rPr>
          <w:rFonts w:hint="eastAsia" w:ascii="宋体" w:hAnsi="宋体" w:cs="仿宋_GB2312"/>
          <w:szCs w:val="32"/>
        </w:rPr>
        <w:t>　违反本法规定，为外国人出具邀请函件或者其他申请材料的，处五千元以上一万元以下罚款，有违法所得的，没收违法所得，并责令其承担所邀请外国人的出境费用。</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单位有前款行为的，处一万元以上五万元以下罚款，有违法所得的，没收违法所得，并责令其承担所邀请外国人的出境费用，对其直接负责的主管人员和其他直接责任人员依照前款规定予以处罚。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第七十五</w:t>
      </w:r>
      <w:r>
        <w:rPr>
          <w:rFonts w:hint="eastAsia" w:ascii="宋体" w:hAnsi="宋体" w:eastAsia="黑体" w:cs="仿宋_GB2312"/>
          <w:szCs w:val="32"/>
        </w:rPr>
        <w:t>条</w:t>
      </w:r>
      <w:r>
        <w:rPr>
          <w:rFonts w:hint="eastAsia" w:ascii="宋体" w:hAnsi="宋体" w:cs="仿宋_GB2312"/>
          <w:szCs w:val="32"/>
        </w:rPr>
        <w:t>　中国公民出境后非法前往其他国家或者地区被遣返的，出入境边防检查机关应当收缴其出境入境证件，出境入境证件签发机关自其被遣返之日起六个月至三年以内不予签发出境入境证件。</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第七十六</w:t>
      </w:r>
      <w:r>
        <w:rPr>
          <w:rFonts w:hint="eastAsia" w:ascii="宋体" w:hAnsi="宋体" w:eastAsia="黑体" w:cs="仿宋_GB2312"/>
          <w:szCs w:val="32"/>
        </w:rPr>
        <w:t>条</w:t>
      </w:r>
      <w:r>
        <w:rPr>
          <w:rFonts w:hint="eastAsia" w:ascii="宋体" w:hAnsi="宋体" w:cs="仿宋_GB2312"/>
          <w:szCs w:val="32"/>
        </w:rPr>
        <w:t>　有下列情形之一的，给予警告，可以并处二千元以下罚款: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（一）外国人拒不接受公安机关查验其出境入境证件的；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（二）外国人拒不交验居留证件的；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（三）未按照规定办理外国人出生登记、死亡申报的；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（四）外国人居留证件登记事项发生变更，未按照规定办理变更的；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（五）在中国境内的外国人冒用他人出境入境证件的；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（六）未按照本法第三十九条第二款规定办理登记的。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旅馆未按照规定办理外国人住宿登记的，依照《中华人民共和国治安管理处罚法》的有关规定予以处罚；未按照规定向公安机关报送外国人住宿登记信息的，给予警告；情节严重的，处一千元以上五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第七十七</w:t>
      </w:r>
      <w:r>
        <w:rPr>
          <w:rFonts w:hint="eastAsia" w:ascii="宋体" w:hAnsi="宋体" w:eastAsia="黑体" w:cs="仿宋_GB2312"/>
          <w:szCs w:val="32"/>
        </w:rPr>
        <w:t>条</w:t>
      </w:r>
      <w:r>
        <w:rPr>
          <w:rFonts w:hint="eastAsia" w:ascii="宋体" w:hAnsi="宋体" w:cs="仿宋_GB2312"/>
          <w:szCs w:val="32"/>
        </w:rPr>
        <w:t>　外国人未经批准，擅自进入限制外国人进入的区域，责令立即离开；情节严重的，处五日以上十日以下拘留。对外国人非法获取的文字记录、音像资料、电子数据和其他物品，予以收缴或者销毁，所用工具予以收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外国人、外国机构违反本法规定，拒不执行公安机关、国家安全机关限期迁离决定的，给予警告并强制迁离；情节严重的，对有关责任人员处五日以上十五日以下拘留。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第七十八</w:t>
      </w:r>
      <w:r>
        <w:rPr>
          <w:rFonts w:hint="eastAsia" w:ascii="宋体" w:hAnsi="宋体" w:eastAsia="黑体" w:cs="仿宋_GB2312"/>
          <w:szCs w:val="32"/>
        </w:rPr>
        <w:t>条</w:t>
      </w:r>
      <w:r>
        <w:rPr>
          <w:rFonts w:hint="eastAsia" w:ascii="宋体" w:hAnsi="宋体" w:cs="仿宋_GB2312"/>
          <w:szCs w:val="32"/>
        </w:rPr>
        <w:t>　外国人非法居留的，给予警告；情节严重的，处每非法居留一日五百元，总额不超过一万元的罚款或者五日以上十五日以下拘留。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因监护人或者其他负有监护责任的人未尽到监护义务，致使未满十六周岁的外国人非法居留的，对监护人或者其他负有监护责任的人给予警告，可以并处一千元以下罚款。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第七十九</w:t>
      </w:r>
      <w:r>
        <w:rPr>
          <w:rFonts w:hint="eastAsia" w:ascii="宋体" w:hAnsi="宋体" w:eastAsia="黑体" w:cs="仿宋_GB2312"/>
          <w:szCs w:val="32"/>
        </w:rPr>
        <w:t>条</w:t>
      </w:r>
      <w:r>
        <w:rPr>
          <w:rFonts w:hint="eastAsia" w:ascii="宋体" w:hAnsi="宋体" w:cs="仿宋_GB2312"/>
          <w:szCs w:val="32"/>
        </w:rPr>
        <w:t>　容留、藏匿非法入境、非法居留的外国人，协助非法入境、非法居留的外国人逃避检查，或者为非法居留的外国人违法提供出境入境证件的，处二千元以上一万元以下罚款；情节严重的，处五日以上十五日以下拘留，并处五千元以上二万元以下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单位有前款行为的，处一万元以上五万元以下罚款，有违法所得的，没收违法所得，并对其直接负责的主管人员和其他直接责任人员依照前款规定予以处罚。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w:t>
      </w:r>
      <w:r>
        <w:rPr>
          <w:rFonts w:hint="eastAsia" w:ascii="宋体" w:hAnsi="宋体" w:eastAsia="黑体" w:cs="仿宋_GB2312"/>
          <w:szCs w:val="32"/>
        </w:rPr>
        <w:t>条</w:t>
      </w:r>
      <w:r>
        <w:rPr>
          <w:rFonts w:hint="eastAsia" w:ascii="宋体" w:hAnsi="宋体" w:cs="仿宋_GB2312"/>
          <w:szCs w:val="32"/>
        </w:rPr>
        <w:t>　外国人非法就业的，处五千元以上二万元以下罚款；情节严重的，处五日以上十五日以下拘留，并处五千元以上二万元以下罚款。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介绍外国人非法就业的，对个人处每非法介绍一人五千元，总额不超过五万元的罚款；对单位处每非法介绍一人五千元，总额不超过十万元的罚款；有违法所得的，没收违法所得。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非法聘用外国人的，处每非法聘用一人一万元，总额不超过十万元的罚款；有违法所得的，没收违法所得。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第八十一</w:t>
      </w:r>
      <w:r>
        <w:rPr>
          <w:rFonts w:hint="eastAsia" w:ascii="宋体" w:hAnsi="宋体" w:eastAsia="黑体" w:cs="仿宋_GB2312"/>
          <w:szCs w:val="32"/>
        </w:rPr>
        <w:t>条</w:t>
      </w:r>
      <w:r>
        <w:rPr>
          <w:rFonts w:hint="eastAsia" w:ascii="宋体" w:hAnsi="宋体" w:cs="仿宋_GB2312"/>
          <w:szCs w:val="32"/>
        </w:rPr>
        <w:t>　外国人从事与停留居留事由不相符的活动，或者有其他违反中国法律、法规规定，不适宜在中国境内继续停留居留情形的，可以处限期出境。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外国人违反本法规定，情节严重，尚不构成犯罪的，公安部可以处驱逐出境。公安部的处罚决定为最终决定。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被驱逐出境的外国人，自被驱逐出境之日起十年内不准入境。</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第八十二</w:t>
      </w:r>
      <w:r>
        <w:rPr>
          <w:rFonts w:hint="eastAsia" w:ascii="宋体" w:hAnsi="宋体" w:eastAsia="黑体" w:cs="仿宋_GB2312"/>
          <w:szCs w:val="32"/>
        </w:rPr>
        <w:t>条</w:t>
      </w:r>
      <w:r>
        <w:rPr>
          <w:rFonts w:hint="eastAsia" w:ascii="宋体" w:hAnsi="宋体" w:cs="仿宋_GB2312"/>
          <w:szCs w:val="32"/>
        </w:rPr>
        <w:t>　有下列情形之一的，给予警告，可以并处二千元以下罚款: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（一）扰乱口岸限定区域管理秩序的；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（二）外国船员及其随行家属未办理临时入境手续登陆的；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（三）未办理登轮证件上下外国船舶的。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违反前款第一项规定，情节严重的，可以并处五日以上十日以下拘留。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第八十三</w:t>
      </w:r>
      <w:r>
        <w:rPr>
          <w:rFonts w:hint="eastAsia" w:ascii="宋体" w:hAnsi="宋体" w:eastAsia="黑体" w:cs="仿宋_GB2312"/>
          <w:szCs w:val="32"/>
        </w:rPr>
        <w:t>条</w:t>
      </w:r>
      <w:r>
        <w:rPr>
          <w:rFonts w:hint="eastAsia" w:ascii="宋体" w:hAnsi="宋体" w:cs="仿宋_GB2312"/>
          <w:szCs w:val="32"/>
        </w:rPr>
        <w:t>　交通运输工具有下列情形之一的，对其负责人处五千元以上五万元以下罚款: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（一）未经查验准许擅自出境入境或者未经批准擅自改变出境入境口岸的；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（二）未按照规定如实申报员工、旅客、货物或者物品等信息，或者拒绝协助出境入境边防检查的；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（三）违反出境入境边防检查规定上下人员、装卸货物或者物品的。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出境入境交通运输工具载运不准出境入境人员出境入境的，处每载运一人五千元以上一万元以下罚款。交通运输工具负责人证明其已经采取合理预防措施的，可以减轻或者免予处罚。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第八十四</w:t>
      </w:r>
      <w:r>
        <w:rPr>
          <w:rFonts w:hint="eastAsia" w:ascii="宋体" w:hAnsi="宋体" w:eastAsia="黑体" w:cs="仿宋_GB2312"/>
          <w:szCs w:val="32"/>
        </w:rPr>
        <w:t>条</w:t>
      </w:r>
      <w:r>
        <w:rPr>
          <w:rFonts w:hint="eastAsia" w:ascii="宋体" w:hAnsi="宋体" w:cs="仿宋_GB2312"/>
          <w:szCs w:val="32"/>
        </w:rPr>
        <w:t>　交通运输工具有下列情形之一的，对其负责人处二千元以上二万元以下罚款: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（一）中国或者外国船舶未经批准擅自搭靠外国船舶的；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（二）外国船舶、航空器在中国境内未按照规定的路线、航线行驶的；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（三）出境入境的船舶、航空器违反规定驶入对外开放口岸以外地区的。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第八十五</w:t>
      </w:r>
      <w:r>
        <w:rPr>
          <w:rFonts w:hint="eastAsia" w:ascii="宋体" w:hAnsi="宋体" w:eastAsia="黑体" w:cs="仿宋_GB2312"/>
          <w:szCs w:val="32"/>
        </w:rPr>
        <w:t>条</w:t>
      </w:r>
      <w:r>
        <w:rPr>
          <w:rFonts w:hint="eastAsia" w:ascii="宋体" w:hAnsi="宋体" w:cs="仿宋_GB2312"/>
          <w:szCs w:val="32"/>
        </w:rPr>
        <w:t>　履行出境入境管理职责的工作人员，有下列行为之一的，依法给予处分: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（一）违反法律、行政法规，为不符合规定条件的外国人签发签证、外国人停留居留证件等出境入境证件的；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（二）违反法律、行政法规，审核验放不符合规定条件的人员或者交通运输工具出境入境的；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（三）泄露在出境入境管理工作中知悉的个人信息，侵害当事人合法权益的；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（四）不按照规定将依法收取的费用、收缴的罚款及没收的违法所得、非法财物上缴国库的；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（五）私分、侵占、挪用罚没、扣押的款物或者收取的费用的；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（六）滥用职权、玩忽职守、徇私舞弊，不依法履行法定职责的其他行为。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第八十六</w:t>
      </w:r>
      <w:r>
        <w:rPr>
          <w:rFonts w:hint="eastAsia" w:ascii="宋体" w:hAnsi="宋体" w:eastAsia="黑体" w:cs="仿宋_GB2312"/>
          <w:szCs w:val="32"/>
        </w:rPr>
        <w:t>条</w:t>
      </w:r>
      <w:r>
        <w:rPr>
          <w:rFonts w:hint="eastAsia" w:ascii="宋体" w:hAnsi="宋体" w:cs="仿宋_GB2312"/>
          <w:szCs w:val="32"/>
        </w:rPr>
        <w:t>　对违反出境入境管理行为处五百元以下罚款的，出入境边防检查机关可以当场作出处罚决定。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第八十七</w:t>
      </w:r>
      <w:r>
        <w:rPr>
          <w:rFonts w:hint="eastAsia" w:ascii="宋体" w:hAnsi="宋体" w:eastAsia="黑体" w:cs="仿宋_GB2312"/>
          <w:szCs w:val="32"/>
        </w:rPr>
        <w:t>条</w:t>
      </w:r>
      <w:r>
        <w:rPr>
          <w:rFonts w:hint="eastAsia" w:ascii="宋体" w:hAnsi="宋体" w:cs="仿宋_GB2312"/>
          <w:szCs w:val="32"/>
        </w:rPr>
        <w:t>　对违反出境入境管理行为处罚款的，被处罚人应当自收到处罚决定书之日起十五日内，到指定的银行缴纳罚款。被处罚人在所在地没有固定住所，不当场收缴罚款事后难以执行或者在口岸向指定银行缴纳罚款确有困难的，可以当场收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第八十八</w:t>
      </w:r>
      <w:r>
        <w:rPr>
          <w:rFonts w:hint="eastAsia" w:ascii="宋体" w:hAnsi="宋体" w:eastAsia="黑体" w:cs="仿宋_GB2312"/>
          <w:szCs w:val="32"/>
        </w:rPr>
        <w:t>条</w:t>
      </w:r>
      <w:r>
        <w:rPr>
          <w:rFonts w:hint="eastAsia" w:ascii="宋体" w:hAnsi="宋体" w:cs="仿宋_GB2312"/>
          <w:szCs w:val="32"/>
        </w:rPr>
        <w:t>　违反本法规定，构成犯罪的，依法追究刑事责任。</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第八章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第八十九</w:t>
      </w:r>
      <w:r>
        <w:rPr>
          <w:rFonts w:hint="eastAsia" w:ascii="宋体" w:hAnsi="宋体" w:eastAsia="黑体" w:cs="仿宋_GB2312"/>
          <w:szCs w:val="32"/>
        </w:rPr>
        <w:t>条</w:t>
      </w:r>
      <w:r>
        <w:rPr>
          <w:rFonts w:hint="eastAsia" w:ascii="宋体" w:hAnsi="宋体" w:cs="仿宋_GB2312"/>
          <w:szCs w:val="32"/>
        </w:rPr>
        <w:t>　本法下列用语的含义: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出境，是指由中国内地前往其他国家或者地区，由中国内地前往香港特别行政区、澳门特别行政区，由中国大陆前往台湾地区。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入境，是指由其他国家或者地区进入中国内地，由香港特别行政区、澳门特别行政区进入中国内地，由台湾地区进入中国大陆。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外国人，是指不具有中国国籍的人。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w:t>
      </w:r>
      <w:r>
        <w:rPr>
          <w:rFonts w:hint="eastAsia" w:ascii="宋体" w:hAnsi="宋体" w:eastAsia="黑体" w:cs="仿宋_GB2312"/>
          <w:szCs w:val="32"/>
        </w:rPr>
        <w:t>条</w:t>
      </w:r>
      <w:r>
        <w:rPr>
          <w:rFonts w:hint="eastAsia" w:ascii="宋体" w:hAnsi="宋体" w:cs="仿宋_GB2312"/>
          <w:szCs w:val="32"/>
        </w:rPr>
        <w:t>　经国务院批准，同毗邻国家接壤的省、自治区可以根据中国与有关国家签订的边界管理协定制定地方性法规、地方政府规章，对两国边境接壤地区的居民往来作出规定。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第九十一</w:t>
      </w:r>
      <w:r>
        <w:rPr>
          <w:rFonts w:hint="eastAsia" w:ascii="宋体" w:hAnsi="宋体" w:eastAsia="黑体" w:cs="仿宋_GB2312"/>
          <w:szCs w:val="32"/>
        </w:rPr>
        <w:t>条</w:t>
      </w:r>
      <w:r>
        <w:rPr>
          <w:rFonts w:hint="eastAsia" w:ascii="宋体" w:hAnsi="宋体" w:cs="仿宋_GB2312"/>
          <w:szCs w:val="32"/>
        </w:rPr>
        <w:t>　外国驻中国的外交代表机构、领事机构成员以及享有特权和豁免的其他外国人，其入境出境及停留居留管理，其他法律另有规定的，依照其规定。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第九十二</w:t>
      </w:r>
      <w:r>
        <w:rPr>
          <w:rFonts w:hint="eastAsia" w:ascii="宋体" w:hAnsi="宋体" w:eastAsia="黑体" w:cs="仿宋_GB2312"/>
          <w:szCs w:val="32"/>
        </w:rPr>
        <w:t>条</w:t>
      </w:r>
      <w:r>
        <w:rPr>
          <w:rFonts w:hint="eastAsia" w:ascii="宋体" w:hAnsi="宋体" w:cs="仿宋_GB2312"/>
          <w:szCs w:val="32"/>
        </w:rPr>
        <w:t>　外国人申请办理签证、外国人停留居留证件等出境入境证件或者申请办理证件延期、变更的，应当按照规定缴纳签证费、证件费。</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第九十三</w:t>
      </w:r>
      <w:r>
        <w:rPr>
          <w:rFonts w:hint="eastAsia" w:ascii="宋体" w:hAnsi="宋体" w:eastAsia="黑体" w:cs="仿宋_GB2312"/>
          <w:szCs w:val="32"/>
        </w:rPr>
        <w:t>条</w:t>
      </w:r>
      <w:r>
        <w:rPr>
          <w:rFonts w:hint="eastAsia" w:ascii="宋体" w:hAnsi="宋体" w:cs="仿宋_GB2312"/>
          <w:szCs w:val="32"/>
        </w:rPr>
        <w:t>　本法自2013年7月1日起施行。《中华人民共和国外国人入境出境管理法》和《中华人民共和国公民出境入境管理法》同时废止。</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pStyle w:val="4"/>
        <w:widowControl w:val="0"/>
        <w:wordWrap/>
        <w:adjustRightInd/>
        <w:snapToGrid/>
        <w:spacing w:before="0" w:after="0" w:line="560" w:lineRule="exact"/>
        <w:jc w:val="center"/>
        <w:textAlignment w:val="auto"/>
        <w:rPr>
          <w:rFonts w:hint="eastAsia" w:ascii="宋体" w:hAnsi="宋体" w:eastAsia="宋体" w:cs="宋体"/>
          <w:b w:val="0"/>
          <w:bCs w:val="0"/>
          <w:kern w:val="0"/>
          <w:sz w:val="44"/>
          <w:szCs w:val="44"/>
          <w:lang w:val="en-US" w:eastAsia="zh-CN" w:bidi="ar-SA"/>
        </w:rPr>
      </w:pPr>
      <w:bookmarkStart w:id="194" w:name="_Toc22126"/>
      <w:bookmarkStart w:id="195" w:name="_Toc22327"/>
      <w:bookmarkStart w:id="196" w:name="_Toc14425"/>
      <w:bookmarkStart w:id="197" w:name="_Toc4751"/>
      <w:bookmarkStart w:id="198" w:name="_Toc5365"/>
      <w:bookmarkStart w:id="199" w:name="_Toc7851"/>
      <w:bookmarkStart w:id="200" w:name="_Toc23756"/>
      <w:bookmarkStart w:id="201" w:name="_Toc3910"/>
      <w:bookmarkStart w:id="202" w:name="_Toc32660"/>
      <w:bookmarkStart w:id="203" w:name="_Toc2336"/>
      <w:r>
        <w:rPr>
          <w:rFonts w:hint="eastAsia" w:ascii="宋体" w:hAnsi="宋体" w:eastAsia="宋体" w:cs="宋体"/>
          <w:b w:val="0"/>
          <w:bCs w:val="0"/>
          <w:kern w:val="0"/>
          <w:sz w:val="44"/>
          <w:szCs w:val="44"/>
          <w:lang w:val="en-US" w:eastAsia="zh-CN" w:bidi="ar-SA"/>
        </w:rPr>
        <w:t>中华人民共和国进出境动植物检疫法</w:t>
      </w:r>
      <w:bookmarkEnd w:id="194"/>
      <w:bookmarkEnd w:id="195"/>
      <w:bookmarkEnd w:id="196"/>
      <w:bookmarkEnd w:id="197"/>
      <w:bookmarkEnd w:id="198"/>
      <w:bookmarkEnd w:id="199"/>
      <w:bookmarkEnd w:id="200"/>
      <w:bookmarkEnd w:id="201"/>
      <w:bookmarkEnd w:id="202"/>
      <w:bookmarkEnd w:id="203"/>
    </w:p>
    <w:p>
      <w:pPr>
        <w:widowControl w:val="0"/>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p>
    <w:p>
      <w:pPr>
        <w:widowControl w:val="0"/>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（1991年10月30日第七届全国人民代表大会常务委员会第二十二次会议通过 1991年10月30日中华人民共和国主席令第53号公布 根据2009年8月27日中华人民共和国主席令第18号《全国人民代表大会常务委员会关于修改部分法律的决定》修正 自公布之日起施行）</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p>
    <w:p>
      <w:pPr>
        <w:wordWrap/>
        <w:adjustRightInd/>
        <w:snapToGrid/>
        <w:spacing w:line="560" w:lineRule="exact"/>
        <w:ind w:left="0" w:leftChars="0" w:right="0"/>
        <w:jc w:val="center"/>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目 录</w:t>
      </w:r>
    </w:p>
    <w:p>
      <w:pPr>
        <w:wordWrap/>
        <w:adjustRightInd/>
        <w:snapToGrid/>
        <w:spacing w:line="560" w:lineRule="exact"/>
        <w:ind w:left="0" w:leftChars="0" w:right="0" w:firstLine="640" w:firstLineChars="200"/>
        <w:jc w:val="both"/>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第一章　总则</w:t>
      </w:r>
    </w:p>
    <w:p>
      <w:pPr>
        <w:wordWrap/>
        <w:adjustRightInd/>
        <w:snapToGrid/>
        <w:spacing w:line="560" w:lineRule="exact"/>
        <w:ind w:left="0" w:leftChars="0" w:right="0" w:firstLine="640" w:firstLineChars="200"/>
        <w:jc w:val="both"/>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第二章　进境检疫</w:t>
      </w:r>
    </w:p>
    <w:p>
      <w:pPr>
        <w:wordWrap/>
        <w:adjustRightInd/>
        <w:snapToGrid/>
        <w:spacing w:line="560" w:lineRule="exact"/>
        <w:ind w:left="0" w:leftChars="0" w:right="0" w:firstLine="640" w:firstLineChars="20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第三章　出境检疫</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第四章　过境检疫</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第五章　携带、邮寄物检疫 </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第六章　运输工具检疫 </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第七章　法律责任 </w:t>
      </w:r>
    </w:p>
    <w:p>
      <w:pPr>
        <w:wordWrap/>
        <w:adjustRightInd/>
        <w:snapToGrid/>
        <w:spacing w:line="560" w:lineRule="exact"/>
        <w:ind w:left="0" w:leftChars="0" w:right="0" w:firstLine="640"/>
        <w:textAlignment w:val="auto"/>
        <w:outlineLvl w:val="9"/>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第八章　附则</w:t>
      </w:r>
    </w:p>
    <w:p>
      <w:pPr>
        <w:wordWrap/>
        <w:adjustRightInd/>
        <w:snapToGrid/>
        <w:spacing w:line="560" w:lineRule="exact"/>
        <w:ind w:left="0" w:leftChars="0" w:right="0" w:firstLine="640"/>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en-US" w:eastAsia="zh-CN"/>
        </w:rPr>
        <w:t> </w:t>
      </w:r>
    </w:p>
    <w:p>
      <w:pPr>
        <w:wordWrap/>
        <w:adjustRightInd/>
        <w:snapToGrid/>
        <w:spacing w:line="560" w:lineRule="exact"/>
        <w:ind w:left="0" w:leftChars="0" w:right="0"/>
        <w:jc w:val="center"/>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第一章  总则</w:t>
      </w:r>
    </w:p>
    <w:p>
      <w:pPr>
        <w:wordWrap/>
        <w:adjustRightInd/>
        <w:snapToGrid/>
        <w:spacing w:line="560" w:lineRule="exact"/>
        <w:ind w:left="0" w:leftChars="0" w:right="0" w:firstLine="640" w:firstLineChars="200"/>
        <w:textAlignment w:val="auto"/>
        <w:outlineLvl w:val="9"/>
        <w:rPr>
          <w:rFonts w:hint="eastAsia" w:ascii="仿宋_GB2312" w:hAnsi="仿宋_GB2312" w:eastAsia="仿宋_GB2312" w:cs="仿宋_GB2312"/>
          <w:sz w:val="32"/>
          <w:szCs w:val="32"/>
          <w:lang w:val="en-US" w:eastAsia="zh-CN"/>
        </w:rPr>
      </w:pPr>
    </w:p>
    <w:p>
      <w:pPr>
        <w:wordWrap/>
        <w:adjustRightInd/>
        <w:snapToGrid/>
        <w:spacing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第一条</w:t>
      </w:r>
      <w:r>
        <w:rPr>
          <w:rFonts w:hint="eastAsia" w:ascii="仿宋_GB2312" w:hAnsi="仿宋_GB2312" w:eastAsia="仿宋_GB2312" w:cs="仿宋_GB2312"/>
          <w:sz w:val="32"/>
          <w:szCs w:val="32"/>
          <w:lang w:val="en-US" w:eastAsia="zh-CN"/>
        </w:rPr>
        <w:t>　为防止动物传染病、寄生虫病和植物危险性病、虫、杂草以及其他有害生物（以下简称病虫害）传入、传出国境，保护农、林、牧、渔业生产和人体健康，促进对外经济贸易的发展，制定本法。</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第二条</w:t>
      </w:r>
      <w:r>
        <w:rPr>
          <w:rFonts w:hint="eastAsia" w:ascii="仿宋_GB2312" w:hAnsi="仿宋_GB2312" w:eastAsia="仿宋_GB2312" w:cs="仿宋_GB2312"/>
          <w:sz w:val="32"/>
          <w:szCs w:val="32"/>
          <w:lang w:val="en-US" w:eastAsia="zh-CN"/>
        </w:rPr>
        <w:t>　进出境的动植物、动植物产品和其他检疫物，装载动植物、动植物产品和其他检疫物的装载容器、包装物，以及来自动植物疫区的运输工具，依照本法规定实施检疫。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第三条</w:t>
      </w:r>
      <w:r>
        <w:rPr>
          <w:rFonts w:hint="eastAsia" w:ascii="仿宋_GB2312" w:hAnsi="仿宋_GB2312" w:eastAsia="仿宋_GB2312" w:cs="仿宋_GB2312"/>
          <w:sz w:val="32"/>
          <w:szCs w:val="32"/>
          <w:lang w:val="en-US" w:eastAsia="zh-CN"/>
        </w:rPr>
        <w:t>　国务院设立动植物检疫机关（以下简称国家动植物检疫机关），统一管理全国进出境动植物检疫工作。国家动植物检疫机关在对外开放的口岸和进出境动植物检疫业务集中的地点设立的口岸动植物检疫机关，依照本法规定实施进出境动植物检疫。贸易性动物产品出境的检疫机关，由国务院根据情况规定。国务院农业行政主管部门主管全国进出境动植物检疫工作。</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第四条</w:t>
      </w:r>
      <w:r>
        <w:rPr>
          <w:rFonts w:hint="eastAsia" w:ascii="仿宋_GB2312" w:hAnsi="仿宋_GB2312" w:eastAsia="仿宋_GB2312" w:cs="仿宋_GB2312"/>
          <w:sz w:val="32"/>
          <w:szCs w:val="32"/>
          <w:lang w:val="en-US" w:eastAsia="zh-CN"/>
        </w:rPr>
        <w:t>　口岸动植物检疫机关在实施检疫时可以行使下列职权:（一）依照本法规定登船、登车、登机实施检疫；（二）进入港口、机场、车站、邮局以及检疫物的存放、加工、养殖、种植场所实施检疫，并依照规定采样；（三）根据检疫需要，进入有关生产、仓库等场所，进行疫情监测、调查和检疫监督管理；（四）查阅、复制、摘录与检疫物有关的运行日志、货运单、合同、发票及其他单证。</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第五条</w:t>
      </w:r>
      <w:r>
        <w:rPr>
          <w:rFonts w:hint="eastAsia" w:ascii="仿宋_GB2312" w:hAnsi="仿宋_GB2312" w:eastAsia="仿宋_GB2312" w:cs="仿宋_GB2312"/>
          <w:sz w:val="32"/>
          <w:szCs w:val="32"/>
          <w:lang w:val="en-US" w:eastAsia="zh-CN"/>
        </w:rPr>
        <w:t>　国家禁止下列各物进境:（一）动植物病原体（包括菌种、毒种等）、害虫及其他有害生物；（二）动植物疫情流行的国家和地区的有关动植物、动植物产品和其他检疫物；（三）动物尸体；（四）土壤。口岸动植物检疫机关发现有前款规定的禁止进境物的，作退回或者销毁处理。因科学研究等特殊需要引进本条第一款规定的禁止进境物的，必须事先提出申请，经国家动植物检疫机关批准。本条第一款第二项规定的禁止进境物的名录，由国务院农业行政主管部门制定并公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第六条</w:t>
      </w:r>
      <w:r>
        <w:rPr>
          <w:rFonts w:hint="eastAsia" w:ascii="仿宋_GB2312" w:hAnsi="仿宋_GB2312" w:eastAsia="仿宋_GB2312" w:cs="仿宋_GB2312"/>
          <w:sz w:val="32"/>
          <w:szCs w:val="32"/>
          <w:lang w:val="en-US" w:eastAsia="zh-CN"/>
        </w:rPr>
        <w:t>　国外发生重大动植物疫情并可能传入中国时，国务院应当采取紧急预防措施，必要时可以下令禁止来自动植物疫区的运输工具进境或者封锁有关口岸；受动植物疫情威胁地区的地方人民政府和有关口岸动植物检疫机关，应当立即采取紧急措施，同时向上级人民政府和国家动植物检疫机关报告。邮电、运输部门对重大动植物疫情报告和送检材料应当优先传送。</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第七条</w:t>
      </w:r>
      <w:r>
        <w:rPr>
          <w:rFonts w:hint="eastAsia" w:ascii="仿宋_GB2312" w:hAnsi="仿宋_GB2312" w:eastAsia="仿宋_GB2312" w:cs="仿宋_GB2312"/>
          <w:sz w:val="32"/>
          <w:szCs w:val="32"/>
          <w:lang w:val="en-US" w:eastAsia="zh-CN"/>
        </w:rPr>
        <w:t>　国家动植物检疫机关和口岸动植物检疫机关对进出境动植物、动植物产品的生产、加工、存放过程，实行检疫监督制度。</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第八条</w:t>
      </w:r>
      <w:r>
        <w:rPr>
          <w:rFonts w:hint="eastAsia" w:ascii="仿宋_GB2312" w:hAnsi="仿宋_GB2312" w:eastAsia="仿宋_GB2312" w:cs="仿宋_GB2312"/>
          <w:sz w:val="32"/>
          <w:szCs w:val="32"/>
          <w:lang w:val="en-US" w:eastAsia="zh-CN"/>
        </w:rPr>
        <w:t>　口岸动植物检疫机关在港口、机场、车站、邮局执行检疫任务时，海关、交通、民航、铁路、邮电等有关部门应当配合。</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第九条</w:t>
      </w:r>
      <w:r>
        <w:rPr>
          <w:rFonts w:hint="eastAsia" w:ascii="仿宋_GB2312" w:hAnsi="仿宋_GB2312" w:eastAsia="仿宋_GB2312" w:cs="仿宋_GB2312"/>
          <w:sz w:val="32"/>
          <w:szCs w:val="32"/>
          <w:lang w:val="en-US" w:eastAsia="zh-CN"/>
        </w:rPr>
        <w:t>　动植物检疫机关检疫人员必须忠于职守，秉公执法。动植物检疫机关检疫人员依法执行公务，任何单位和个人不得阻挠。</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第二章  进境检疫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第十条</w:t>
      </w:r>
      <w:r>
        <w:rPr>
          <w:rFonts w:hint="eastAsia" w:ascii="仿宋_GB2312" w:hAnsi="仿宋_GB2312" w:eastAsia="仿宋_GB2312" w:cs="仿宋_GB2312"/>
          <w:sz w:val="32"/>
          <w:szCs w:val="32"/>
          <w:lang w:val="en-US" w:eastAsia="zh-CN"/>
        </w:rPr>
        <w:t>　输入动物、动物产品、植物种子、种苗及其他繁殖材料的，必须事先提出申请，办理检疫审批手续。</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第十一条</w:t>
      </w:r>
      <w:r>
        <w:rPr>
          <w:rFonts w:hint="eastAsia" w:ascii="仿宋_GB2312" w:hAnsi="仿宋_GB2312" w:eastAsia="仿宋_GB2312" w:cs="仿宋_GB2312"/>
          <w:sz w:val="32"/>
          <w:szCs w:val="32"/>
          <w:lang w:val="en-US" w:eastAsia="zh-CN"/>
        </w:rPr>
        <w:t>　通过贸易、科技合作、交换、赠送、援助等方式输入动植物、动植物产品和其他检疫物的，应当在合同或者协议中订明中国法定的检疫要求，并订明必须附有输出国家或者地区政府动植物检疫机关出具的检疫证书。</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第十二条</w:t>
      </w:r>
      <w:r>
        <w:rPr>
          <w:rFonts w:hint="eastAsia" w:ascii="仿宋_GB2312" w:hAnsi="仿宋_GB2312" w:eastAsia="仿宋_GB2312" w:cs="仿宋_GB2312"/>
          <w:sz w:val="32"/>
          <w:szCs w:val="32"/>
          <w:lang w:val="en-US" w:eastAsia="zh-CN"/>
        </w:rPr>
        <w:t>　货主或者其代理人应当在动植物、动植物产品和其他检疫物进境前或者进境时持输出国家或者地区的检疫证书、贸易合同等单证，向进境口岸动植物检疫机关报检。</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第十三条</w:t>
      </w:r>
      <w:r>
        <w:rPr>
          <w:rFonts w:hint="eastAsia" w:ascii="仿宋_GB2312" w:hAnsi="仿宋_GB2312" w:eastAsia="仿宋_GB2312" w:cs="仿宋_GB2312"/>
          <w:sz w:val="32"/>
          <w:szCs w:val="32"/>
          <w:lang w:val="en-US" w:eastAsia="zh-CN"/>
        </w:rPr>
        <w:t>　装载动物的运输工具抵达口岸时，口岸动植物检疫机关应当采取现场预防措施，对上下运输工具或者接近动物的人员、装载动物的运输工具和被污染的场地作防疫消毒处理。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第十四条</w:t>
      </w:r>
      <w:r>
        <w:rPr>
          <w:rFonts w:hint="eastAsia" w:ascii="仿宋_GB2312" w:hAnsi="仿宋_GB2312" w:eastAsia="仿宋_GB2312" w:cs="仿宋_GB2312"/>
          <w:sz w:val="32"/>
          <w:szCs w:val="32"/>
          <w:lang w:val="en-US" w:eastAsia="zh-CN"/>
        </w:rPr>
        <w:t>　输入动植物、动植物产品和其他检疫物，应当在进境口岸实施检疫。未经口岸动植物检疫机关同意，不得卸离运输工具。输入动植物，需隔离检疫的，在口岸动植物检疫机关指定的隔离场所检疫。因口岸条件限制等原因，可以由国家动植物检疫机关决定将动植物、动植物产品和其他检疫物运往指定地点检疫。在运输、装卸过程中，货主或者其代理人应当采取防疫措施。指定的存放、加工和隔离饲养或者隔离种植的场所，应当符合动植物检疫和防疫的规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第十五条</w:t>
      </w:r>
      <w:r>
        <w:rPr>
          <w:rFonts w:hint="eastAsia" w:ascii="仿宋_GB2312" w:hAnsi="仿宋_GB2312" w:eastAsia="仿宋_GB2312" w:cs="仿宋_GB2312"/>
          <w:sz w:val="32"/>
          <w:szCs w:val="32"/>
          <w:lang w:val="en-US" w:eastAsia="zh-CN"/>
        </w:rPr>
        <w:t>　输入动植物、动植物产品和其他检疫物，经检疫合格的，准予进境；海关凭口岸动植物检疫机关签发的检疫单证或者在报关单上加盖的印章验放。输入动植物、动植物产品和其他检疫物，需调离海关监管区检疫的，海关凭口岸动植物检疫机关签发的《检疫调离通知单》验放。</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第十六条</w:t>
      </w:r>
      <w:r>
        <w:rPr>
          <w:rFonts w:hint="eastAsia" w:ascii="仿宋_GB2312" w:hAnsi="仿宋_GB2312" w:eastAsia="仿宋_GB2312" w:cs="仿宋_GB2312"/>
          <w:sz w:val="32"/>
          <w:szCs w:val="32"/>
          <w:lang w:val="en-US" w:eastAsia="zh-CN"/>
        </w:rPr>
        <w:t>　输入动物，经检疫不合格的，由口岸动植物检疫机关签发《检疫处理通知单》，通知货主或者其代理人作如下处理:（一）检出一类传染病、寄生虫病的动物，连同其同群动物全群退回或者全群扑杀并销毁尸体；（二）检出二类传染病、寄生虫病的动物，退回或者扑杀，同群其他动物在隔离场或者其他指定地点隔离观察。输入动物产品和其他检疫物经检疫不合格的，由口岸动植物检疫机关签发《检疫处理通知单》，通知货主或者其代理人作除害、退回或者销毁处理。经除害处理合格的，准予进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第十七条</w:t>
      </w:r>
      <w:r>
        <w:rPr>
          <w:rFonts w:hint="eastAsia" w:ascii="仿宋_GB2312" w:hAnsi="仿宋_GB2312" w:eastAsia="仿宋_GB2312" w:cs="仿宋_GB2312"/>
          <w:sz w:val="32"/>
          <w:szCs w:val="32"/>
          <w:lang w:val="en-US" w:eastAsia="zh-CN"/>
        </w:rPr>
        <w:t>　输入植物、植物产品和其他检疫物，经检疫发现有植物危险性病、虫、杂草的，由口岸动植物检疫机关签发《检疫处理通知单》，通知货主或者其代理人作除害、退回或者销毁处理。经除害处理合格的，准予进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第十八条</w:t>
      </w:r>
      <w:r>
        <w:rPr>
          <w:rFonts w:hint="eastAsia" w:ascii="仿宋_GB2312" w:hAnsi="仿宋_GB2312" w:eastAsia="仿宋_GB2312" w:cs="仿宋_GB2312"/>
          <w:sz w:val="32"/>
          <w:szCs w:val="32"/>
          <w:lang w:val="en-US" w:eastAsia="zh-CN"/>
        </w:rPr>
        <w:t>　本法第十六条第一款第一项、第二项所称一类、二类动物传染病、寄生虫病的名录和本法第十七条所称植物危险性病、虫、杂草的名录，由国务院农业行政主管部门制定并公布。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第十九条</w:t>
      </w:r>
      <w:r>
        <w:rPr>
          <w:rFonts w:hint="eastAsia" w:ascii="仿宋_GB2312" w:hAnsi="仿宋_GB2312" w:eastAsia="仿宋_GB2312" w:cs="仿宋_GB2312"/>
          <w:sz w:val="32"/>
          <w:szCs w:val="32"/>
          <w:lang w:val="en-US" w:eastAsia="zh-CN"/>
        </w:rPr>
        <w:t>　输入动植物、动植物产品和其他检疫物，经检疫发现有本法第十八条规定的名录之外，对农、林、牧、渔业有严重危害的其他病虫害的，由口岸动植物检疫机关依照国务院农业行政主管部门的规定，通知货主或者其代理人作除害、退回或者销毁处理。经除害处理合格的，准予进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第三章  出境检疫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firstLine="640"/>
        <w:textAlignment w:val="auto"/>
        <w:outlineLvl w:val="9"/>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第二十条</w:t>
      </w:r>
      <w:r>
        <w:rPr>
          <w:rFonts w:hint="eastAsia" w:ascii="仿宋_GB2312" w:hAnsi="仿宋_GB2312" w:eastAsia="仿宋_GB2312" w:cs="仿宋_GB2312"/>
          <w:sz w:val="32"/>
          <w:szCs w:val="32"/>
          <w:lang w:val="en-US" w:eastAsia="zh-CN"/>
        </w:rPr>
        <w:t>　货主或者其代理人在动植物、动植物产品和其他检疫物出境前，向口岸动植物检疫机关报检。出境前需经隔离检疫的动物，在口岸动植物检疫机关指定的隔离场所检疫。</w:t>
      </w:r>
    </w:p>
    <w:p>
      <w:pPr>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第二十一条</w:t>
      </w:r>
      <w:r>
        <w:rPr>
          <w:rFonts w:hint="eastAsia" w:ascii="仿宋_GB2312" w:hAnsi="仿宋_GB2312" w:eastAsia="仿宋_GB2312" w:cs="仿宋_GB2312"/>
          <w:sz w:val="32"/>
          <w:szCs w:val="32"/>
          <w:lang w:val="en-US" w:eastAsia="zh-CN"/>
        </w:rPr>
        <w:t>　输出动植物、动植物产品和其他检疫物，由口岸动植物检疫机关实施检疫，经检疫合格或者经除害处理合格的，准予出境；海关凭口岸动植物检疫机关签发的检疫证书或者在报关单上加盖的印章验放。检疫不合格又无有效方法作除害处理的，不准出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第二十二条</w:t>
      </w:r>
      <w:r>
        <w:rPr>
          <w:rFonts w:hint="eastAsia" w:ascii="仿宋_GB2312" w:hAnsi="仿宋_GB2312" w:eastAsia="仿宋_GB2312" w:cs="仿宋_GB2312"/>
          <w:sz w:val="32"/>
          <w:szCs w:val="32"/>
          <w:lang w:val="en-US" w:eastAsia="zh-CN"/>
        </w:rPr>
        <w:t>　经检疫合格的动植物、动植物产品和其他检疫物，有下列情形之一的，货主或者其代理人应当重新报检:（一）更改输入国家或者地区，更改后的输入国家或者地区又有不同检疫要求的；（二）改换包装或者原未拼装后来拼装的；（三）超过检疫规定有效期限的。</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第四章  过境检疫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第二十三条</w:t>
      </w:r>
      <w:r>
        <w:rPr>
          <w:rFonts w:hint="eastAsia" w:ascii="仿宋_GB2312" w:hAnsi="仿宋_GB2312" w:eastAsia="仿宋_GB2312" w:cs="仿宋_GB2312"/>
          <w:sz w:val="32"/>
          <w:szCs w:val="32"/>
          <w:lang w:val="en-US" w:eastAsia="zh-CN"/>
        </w:rPr>
        <w:t>　要求运输动物过境的，必须事先商得中国国家动植物检疫机关同意，并按照指定的口岸和路线过境。装载过境动物的运输工具、装载容器、饲料和铺垫材料，必须符合中国动植物检疫的规定。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第二十四条</w:t>
      </w:r>
      <w:r>
        <w:rPr>
          <w:rFonts w:hint="eastAsia" w:ascii="仿宋_GB2312" w:hAnsi="仿宋_GB2312" w:eastAsia="仿宋_GB2312" w:cs="仿宋_GB2312"/>
          <w:sz w:val="32"/>
          <w:szCs w:val="32"/>
          <w:lang w:val="en-US" w:eastAsia="zh-CN"/>
        </w:rPr>
        <w:t>　运输动植物、动植物产品和其他检疫物过境的，由承运人或者押运人持货运单和输出国家或者地区政府动植物检疫机关出具的检疫证书，在进境时向口岸动植物检疫机关报检，出境口岸不再检疫。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第二十五条</w:t>
      </w:r>
      <w:r>
        <w:rPr>
          <w:rFonts w:hint="eastAsia" w:ascii="仿宋_GB2312" w:hAnsi="仿宋_GB2312" w:eastAsia="仿宋_GB2312" w:cs="仿宋_GB2312"/>
          <w:sz w:val="32"/>
          <w:szCs w:val="32"/>
          <w:lang w:val="en-US" w:eastAsia="zh-CN"/>
        </w:rPr>
        <w:t>　过境的动物经检疫合格的，准予过境；发现有本法第十八条规定的名录所列的动物传染病、寄生虫病的，全群动物不准过境。过境动物的饲料受病虫害污染的，作除害、不准过境或者销毁处理。过境的动物的尸体、排泄物、铺垫材料及其他废弃物，必须按照动植物检疫机关的规定处理，不得擅自抛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第二十六条</w:t>
      </w:r>
      <w:r>
        <w:rPr>
          <w:rFonts w:hint="eastAsia" w:ascii="仿宋_GB2312" w:hAnsi="仿宋_GB2312" w:eastAsia="仿宋_GB2312" w:cs="仿宋_GB2312"/>
          <w:sz w:val="32"/>
          <w:szCs w:val="32"/>
          <w:lang w:val="en-US" w:eastAsia="zh-CN"/>
        </w:rPr>
        <w:t>　对过境植物、动植物产品和其他检疫物，口岸动植物检疫机关检查运输工具或者包装，经检疫合格的，准予过境；发现有本法第十八条规定的名录所列的病虫害的，作除害处理或者不准过境。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第二十七条</w:t>
      </w:r>
      <w:r>
        <w:rPr>
          <w:rFonts w:hint="eastAsia" w:ascii="仿宋_GB2312" w:hAnsi="仿宋_GB2312" w:eastAsia="仿宋_GB2312" w:cs="仿宋_GB2312"/>
          <w:sz w:val="32"/>
          <w:szCs w:val="32"/>
          <w:lang w:val="en-US" w:eastAsia="zh-CN"/>
        </w:rPr>
        <w:t>　动植物、动植物产品和其他检疫物过境期间，未经动植物检疫机关批准，不得开拆包装或者卸离运输工具。</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第五章  携带、邮寄物检疫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第二十八条</w:t>
      </w:r>
      <w:r>
        <w:rPr>
          <w:rFonts w:hint="eastAsia" w:ascii="仿宋_GB2312" w:hAnsi="仿宋_GB2312" w:eastAsia="仿宋_GB2312" w:cs="仿宋_GB2312"/>
          <w:sz w:val="32"/>
          <w:szCs w:val="32"/>
          <w:lang w:val="en-US" w:eastAsia="zh-CN"/>
        </w:rPr>
        <w:t>　携带、邮寄植物种子、种苗及其他繁殖材料进境的，必须事先提出申请，办理检疫审批手续。</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第二十九条</w:t>
      </w:r>
      <w:r>
        <w:rPr>
          <w:rFonts w:hint="eastAsia" w:ascii="仿宋_GB2312" w:hAnsi="仿宋_GB2312" w:eastAsia="仿宋_GB2312" w:cs="仿宋_GB2312"/>
          <w:sz w:val="32"/>
          <w:szCs w:val="32"/>
          <w:lang w:val="en-US" w:eastAsia="zh-CN"/>
        </w:rPr>
        <w:t>　禁止携带、邮寄进境的动植物、动植物产品和其他检疫物的名录，由国务院农业行政主管部门制定并公布。携带、邮寄前款规定的名录所列的动植物、动植物产品和其他检疫物进境的，作退回或者销毁处理。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第三十条</w:t>
      </w:r>
      <w:r>
        <w:rPr>
          <w:rFonts w:hint="eastAsia" w:ascii="仿宋_GB2312" w:hAnsi="仿宋_GB2312" w:eastAsia="仿宋_GB2312" w:cs="仿宋_GB2312"/>
          <w:sz w:val="32"/>
          <w:szCs w:val="32"/>
          <w:lang w:val="en-US" w:eastAsia="zh-CN"/>
        </w:rPr>
        <w:t>　携带本法第二十九条规定的名录以外的动植物、动植物产品和其他检疫物进境的，在进境时向海关申报并接受口岸动植物检疫机关检疫。携带动物进境的，必须持有输出国家或者地区的检疫证书等证件。</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第三十一条</w:t>
      </w:r>
      <w:r>
        <w:rPr>
          <w:rFonts w:hint="eastAsia" w:ascii="仿宋_GB2312" w:hAnsi="仿宋_GB2312" w:eastAsia="仿宋_GB2312" w:cs="仿宋_GB2312"/>
          <w:sz w:val="32"/>
          <w:szCs w:val="32"/>
          <w:lang w:val="en-US" w:eastAsia="zh-CN"/>
        </w:rPr>
        <w:t>　邮寄本法第二十九条规定的名录以外的动植物、动植物产品和其他检疫物进境的，由口岸动植物检疫机关在国际邮件互换局实施检疫，必要时可以取回口岸动植物检疫机关检疫；未经检疫不得运递。</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第三十二条</w:t>
      </w:r>
      <w:r>
        <w:rPr>
          <w:rFonts w:hint="eastAsia" w:ascii="仿宋_GB2312" w:hAnsi="仿宋_GB2312" w:eastAsia="仿宋_GB2312" w:cs="仿宋_GB2312"/>
          <w:sz w:val="32"/>
          <w:szCs w:val="32"/>
          <w:lang w:val="en-US" w:eastAsia="zh-CN"/>
        </w:rPr>
        <w:t>　邮寄进境的动植物、动植物产品和其他检疫物，经检疫或者除害处理合格后放行；经检疫不合格又无有效方法作除害处理的，作退回或者销毁处理，并签发《检疫处理通知单》。</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第三十三条</w:t>
      </w:r>
      <w:r>
        <w:rPr>
          <w:rFonts w:hint="eastAsia" w:ascii="仿宋_GB2312" w:hAnsi="仿宋_GB2312" w:eastAsia="仿宋_GB2312" w:cs="仿宋_GB2312"/>
          <w:sz w:val="32"/>
          <w:szCs w:val="32"/>
          <w:lang w:val="en-US" w:eastAsia="zh-CN"/>
        </w:rPr>
        <w:t>　携带、邮寄出境的动植物、动植物产品和其他检疫物，物主有检疫要求的，由口岸动植物检疫机关实施检疫。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第六章  运输工具检疫</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第三十四条</w:t>
      </w:r>
      <w:r>
        <w:rPr>
          <w:rFonts w:hint="eastAsia" w:ascii="仿宋_GB2312" w:hAnsi="仿宋_GB2312" w:eastAsia="仿宋_GB2312" w:cs="仿宋_GB2312"/>
          <w:sz w:val="32"/>
          <w:szCs w:val="32"/>
          <w:lang w:val="en-US" w:eastAsia="zh-CN"/>
        </w:rPr>
        <w:t>　来自动植物疫区的船舶、飞机、火车抵达口岸时，由口岸动植物检疫机关实施检疫。发现有本法第十八条规定的名录所列的病虫害的，作不准带离运输工具、除害、封存或者销毁处理。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第三十五条</w:t>
      </w:r>
      <w:r>
        <w:rPr>
          <w:rFonts w:hint="eastAsia" w:ascii="仿宋_GB2312" w:hAnsi="仿宋_GB2312" w:eastAsia="仿宋_GB2312" w:cs="仿宋_GB2312"/>
          <w:sz w:val="32"/>
          <w:szCs w:val="32"/>
          <w:lang w:val="en-US" w:eastAsia="zh-CN"/>
        </w:rPr>
        <w:t>　进境的车辆，由口岸动植物检疫机关作防疫消毒处理。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第三十六条</w:t>
      </w:r>
      <w:r>
        <w:rPr>
          <w:rFonts w:hint="eastAsia" w:ascii="仿宋_GB2312" w:hAnsi="仿宋_GB2312" w:eastAsia="仿宋_GB2312" w:cs="仿宋_GB2312"/>
          <w:sz w:val="32"/>
          <w:szCs w:val="32"/>
          <w:lang w:val="en-US" w:eastAsia="zh-CN"/>
        </w:rPr>
        <w:t>　进出境运输工具上的泔水、动植物性废弃物，依照口岸动植物检疫机关的规定处理，不得擅自抛弃。</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第三十七条</w:t>
      </w:r>
      <w:r>
        <w:rPr>
          <w:rFonts w:hint="eastAsia" w:ascii="仿宋_GB2312" w:hAnsi="仿宋_GB2312" w:eastAsia="仿宋_GB2312" w:cs="仿宋_GB2312"/>
          <w:sz w:val="32"/>
          <w:szCs w:val="32"/>
          <w:lang w:val="en-US" w:eastAsia="zh-CN"/>
        </w:rPr>
        <w:t>　装载出境的动植物、动植物产品和其他检疫物的运输工具，应当符合动植物检疫和防疫的规定。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第三十八条</w:t>
      </w:r>
      <w:r>
        <w:rPr>
          <w:rFonts w:hint="eastAsia" w:ascii="仿宋_GB2312" w:hAnsi="仿宋_GB2312" w:eastAsia="仿宋_GB2312" w:cs="仿宋_GB2312"/>
          <w:sz w:val="32"/>
          <w:szCs w:val="32"/>
          <w:lang w:val="en-US" w:eastAsia="zh-CN"/>
        </w:rPr>
        <w:t>　进境供拆船用的废旧船舶，由口岸动植物检疫机关实施检疫，发现有本法第十八条规定的名录所列的病虫害的，作除害处理。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第七章  法律责任</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第三十九条</w:t>
      </w:r>
      <w:r>
        <w:rPr>
          <w:rFonts w:hint="eastAsia" w:ascii="仿宋_GB2312" w:hAnsi="仿宋_GB2312" w:eastAsia="仿宋_GB2312" w:cs="仿宋_GB2312"/>
          <w:sz w:val="32"/>
          <w:szCs w:val="32"/>
          <w:lang w:val="en-US" w:eastAsia="zh-CN"/>
        </w:rPr>
        <w:t>　违反本法规定，有下列行为之一的，由口岸动植物检疫机关处以罚款:（一）未报检或者未依法办理检疫审批手续的；（二）未经口岸动植物检疫机关许可擅自将进境动植物、动植物产品或者其他检疫物卸离运输工具或者运递的；（三）擅自调离或者处理在口岸动植物检疫机关指定的隔离场所中隔离检疫的动植物的。</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第四十条</w:t>
      </w:r>
      <w:r>
        <w:rPr>
          <w:rFonts w:hint="eastAsia" w:ascii="仿宋_GB2312" w:hAnsi="仿宋_GB2312" w:eastAsia="仿宋_GB2312" w:cs="仿宋_GB2312"/>
          <w:sz w:val="32"/>
          <w:szCs w:val="32"/>
          <w:lang w:val="en-US" w:eastAsia="zh-CN"/>
        </w:rPr>
        <w:t>　报检的动植物、动植物产品或者其他检疫物与实际不符的，由口岸动植物检疫机关处以罚款；已取得检疫单证的，予以吊销。</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第四十一条</w:t>
      </w:r>
      <w:r>
        <w:rPr>
          <w:rFonts w:hint="eastAsia" w:ascii="仿宋_GB2312" w:hAnsi="仿宋_GB2312" w:eastAsia="仿宋_GB2312" w:cs="仿宋_GB2312"/>
          <w:sz w:val="32"/>
          <w:szCs w:val="32"/>
          <w:lang w:val="en-US" w:eastAsia="zh-CN"/>
        </w:rPr>
        <w:t>　违反本法规定，擅自开拆过境动植物、动植物产品或者其他检疫物的包装的，擅自将过境动植物、动植物产品或者其他检疫物卸离运输工具的，擅自抛弃过境动物的尸体、排泄物、铺垫材料或者其他废弃物的，由动植物检疫机关处以罚款。</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第四十二条　</w:t>
      </w:r>
      <w:r>
        <w:rPr>
          <w:rFonts w:hint="eastAsia" w:ascii="仿宋_GB2312" w:hAnsi="仿宋_GB2312" w:eastAsia="仿宋_GB2312" w:cs="仿宋_GB2312"/>
          <w:sz w:val="32"/>
          <w:szCs w:val="32"/>
          <w:lang w:val="en-US" w:eastAsia="zh-CN"/>
        </w:rPr>
        <w:t>违反本法规定，引起重大动植物疫情的，依照刑法有关规定追究刑事责任。</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第四十三条</w:t>
      </w:r>
      <w:r>
        <w:rPr>
          <w:rFonts w:hint="eastAsia" w:ascii="仿宋_GB2312" w:hAnsi="仿宋_GB2312" w:eastAsia="仿宋_GB2312" w:cs="仿宋_GB2312"/>
          <w:sz w:val="32"/>
          <w:szCs w:val="32"/>
          <w:lang w:val="en-US" w:eastAsia="zh-CN"/>
        </w:rPr>
        <w:t>　伪造、变造检疫单证、印章、标志、封识，依照刑法有关规定追究刑事责任。</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第四十四条</w:t>
      </w:r>
      <w:r>
        <w:rPr>
          <w:rFonts w:hint="eastAsia" w:ascii="仿宋_GB2312" w:hAnsi="仿宋_GB2312" w:eastAsia="仿宋_GB2312" w:cs="仿宋_GB2312"/>
          <w:sz w:val="32"/>
          <w:szCs w:val="32"/>
          <w:lang w:val="en-US" w:eastAsia="zh-CN"/>
        </w:rPr>
        <w:t>　当事人对动植物检疫机关的处罚决定不服的，可以在接到处罚通知之日起十五日内向作出处罚决定的机关的上一级机关申请复议；当事人也可以在接到处罚通知之日起十五日内直接向人民法院起诉。复议机关应当在接到复议申请之日起六十日内作出复议决定。当事人对复议决定不服的，可以在接到复议决定之日起十五日内向人民法院起诉。复议机关逾期不作出复议决定的，当事人可以在复议期满之日起十五日内向人民法院起诉。当事人逾期不申请复议也不向人民法院起诉、又不履行处罚决定的，作出处罚决定的机关可以申请人民法院强制执行。</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第四十五条</w:t>
      </w:r>
      <w:r>
        <w:rPr>
          <w:rFonts w:hint="eastAsia" w:ascii="仿宋_GB2312" w:hAnsi="仿宋_GB2312" w:eastAsia="仿宋_GB2312" w:cs="仿宋_GB2312"/>
          <w:sz w:val="32"/>
          <w:szCs w:val="32"/>
          <w:lang w:val="en-US" w:eastAsia="zh-CN"/>
        </w:rPr>
        <w:t>　动植物检疫机关检疫人员滥用职权，徇私舞弊，伪造检疫结果，或者玩忽职守，延误检疫出证，构成犯罪的，依法追究刑事责任；不构成犯罪的，给予行政处分。</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第八章  附则</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　第四十六条</w:t>
      </w:r>
      <w:r>
        <w:rPr>
          <w:rFonts w:hint="eastAsia" w:ascii="仿宋_GB2312" w:hAnsi="仿宋_GB2312" w:eastAsia="仿宋_GB2312" w:cs="仿宋_GB2312"/>
          <w:sz w:val="32"/>
          <w:szCs w:val="32"/>
          <w:lang w:val="en-US" w:eastAsia="zh-CN"/>
        </w:rPr>
        <w:t>　本法下列用语的含义是:（一）“动物”是指饲养、野生的活动物，如畜、禽、兽、蛇、龟、鱼、虾、蟹、贝、蚕、蜂等；（二）“动物产品”是指来源于动物未经加工或者虽经加工但仍有可能传播疫病的产品，如生皮张、毛类、肉类、脏器、油脂、动物水产品、奶制品、蛋类、血液、精液、胚胎、骨、蹄、角等；（三）“植物”是指栽培植物、野生植物及其种子、种苗及其他繁殖材料等；（四）“植物产品”是指来源于植物未经加工或者虽经加工但仍有可能传播病虫害的产品，如粮食、豆、棉花、油、麻、烟草、籽仁、干果、鲜果、蔬菜、生药材、木材、饲料等；（五）“其他检疫物”是指动物疫苗、血清、诊断液、动植物性废弃物等。</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第四十七条</w:t>
      </w:r>
      <w:r>
        <w:rPr>
          <w:rFonts w:hint="eastAsia" w:ascii="仿宋_GB2312" w:hAnsi="仿宋_GB2312" w:eastAsia="仿宋_GB2312" w:cs="仿宋_GB2312"/>
          <w:sz w:val="32"/>
          <w:szCs w:val="32"/>
          <w:lang w:val="en-US" w:eastAsia="zh-CN"/>
        </w:rPr>
        <w:t>　中华人民共和国缔结或者参加的有关动植物检疫的国际条约与本法有不同规定的，适用该国际条约的规定。但是，中华人民共和国声明保留的条款除外。</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第四十八条</w:t>
      </w:r>
      <w:r>
        <w:rPr>
          <w:rFonts w:hint="eastAsia" w:ascii="仿宋_GB2312" w:hAnsi="仿宋_GB2312" w:eastAsia="仿宋_GB2312" w:cs="仿宋_GB2312"/>
          <w:sz w:val="32"/>
          <w:szCs w:val="32"/>
          <w:lang w:val="en-US" w:eastAsia="zh-CN"/>
        </w:rPr>
        <w:t>　口岸动植物检疫机关实施检疫依照规定收费。收费办法由国务院农业行政主管部门会同国务院物价等有关主管部门制定。</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第四十九条</w:t>
      </w:r>
      <w:r>
        <w:rPr>
          <w:rFonts w:hint="eastAsia" w:ascii="仿宋_GB2312" w:hAnsi="仿宋_GB2312" w:eastAsia="仿宋_GB2312" w:cs="仿宋_GB2312"/>
          <w:sz w:val="32"/>
          <w:szCs w:val="32"/>
          <w:lang w:val="en-US" w:eastAsia="zh-CN"/>
        </w:rPr>
        <w:t>　国务院根据本法制定实施条例。</w:t>
      </w:r>
    </w:p>
    <w:p>
      <w:pPr>
        <w:wordWrap/>
        <w:adjustRightInd/>
        <w:snapToGrid/>
        <w:spacing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r>
        <w:rPr>
          <w:rFonts w:hint="eastAsia" w:ascii="黑体" w:hAnsi="黑体" w:eastAsia="黑体" w:cs="黑体"/>
          <w:sz w:val="32"/>
          <w:szCs w:val="32"/>
          <w:lang w:val="en-US" w:eastAsia="zh-CN"/>
        </w:rPr>
        <w:t>第五十条</w:t>
      </w:r>
      <w:r>
        <w:rPr>
          <w:rFonts w:hint="eastAsia" w:ascii="仿宋_GB2312" w:hAnsi="仿宋_GB2312" w:eastAsia="仿宋_GB2312" w:cs="仿宋_GB2312"/>
          <w:sz w:val="32"/>
          <w:szCs w:val="32"/>
          <w:lang w:val="en-US" w:eastAsia="zh-CN"/>
        </w:rPr>
        <w:t>　本法自1992年4月1日起施行。1982年6月4日国务院发布的《中华人民共和国进出口动植物检疫条例》同时废止。</w:t>
      </w:r>
    </w:p>
    <w:p>
      <w:pPr>
        <w:wordWrap/>
        <w:adjustRightInd/>
        <w:snapToGrid/>
        <w:spacing w:line="560" w:lineRule="exact"/>
        <w:ind w:left="0" w:leftChars="0" w:right="0"/>
        <w:textAlignment w:val="auto"/>
        <w:outlineLvl w:val="9"/>
        <w:rPr>
          <w:rFonts w:hint="eastAsia" w:ascii="楷体_GB2312" w:hAnsi="楷体_GB2312" w:eastAsia="楷体_GB2312" w:cs="楷体_GB2312"/>
          <w:sz w:val="32"/>
          <w:szCs w:val="32"/>
        </w:rPr>
      </w:pPr>
    </w:p>
    <w:p>
      <w:pPr>
        <w:wordWrap/>
        <w:spacing w:line="560" w:lineRule="exact"/>
        <w:textAlignment w:val="auto"/>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204" w:name="_Toc2828"/>
      <w:r>
        <w:rPr>
          <w:rFonts w:hint="eastAsia" w:ascii="宋体" w:hAnsi="宋体" w:eastAsia="宋体" w:cs="宋体"/>
          <w:kern w:val="0"/>
          <w:sz w:val="44"/>
          <w:szCs w:val="44"/>
          <w:lang w:val="en-US" w:eastAsia="zh-CN"/>
        </w:rPr>
        <w:t>中华人民共和国治安管理处罚法</w:t>
      </w:r>
      <w:bookmarkEnd w:id="204"/>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宋体" w:cs="宋体"/>
          <w:szCs w:val="32"/>
        </w:rPr>
      </w:pPr>
      <w:r>
        <w:rPr>
          <w:rFonts w:hint="eastAsia" w:ascii="宋体" w:hAnsi="宋体" w:eastAsia="楷体_GB2312" w:cs="楷体_GB2312"/>
          <w:szCs w:val="32"/>
        </w:rPr>
        <w:t>（2005年8月28日第十届全国人民代表大会常务委员会第十七次会议通过　根据2012年10月26日第十一届全国人民代表大会常务委员会第二十九次会议《关于修改&lt;中华人民共和国治安管理处罚法&gt;的决定》修正</w:t>
      </w:r>
      <w:r>
        <w:rPr>
          <w:rFonts w:hint="eastAsia" w:ascii="宋体" w:hAnsi="宋体" w:eastAsia="宋体" w:cs="宋体"/>
          <w:szCs w:val="32"/>
        </w:rPr>
        <w:t>）</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楷体_GB2312" w:cs="楷体_GB2312"/>
          <w:szCs w:val="32"/>
        </w:rPr>
      </w:pPr>
      <w:r>
        <w:rPr>
          <w:rFonts w:hint="eastAsia" w:ascii="宋体" w:hAnsi="宋体" w:eastAsia="楷体_GB2312" w:cs="楷体_GB2312"/>
          <w:szCs w:val="32"/>
        </w:rPr>
        <w:t>目　　录</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第一章　总则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第二章　处罚的种类和适用</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第三章　违反治安管理的行为和处罚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第一节　扰乱公共秩序的行为和处罚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第二节　妨害公共安全的行为和处罚</w:t>
      </w:r>
    </w:p>
    <w:p>
      <w:pPr>
        <w:widowControl w:val="0"/>
        <w:wordWrap/>
        <w:overflowPunct w:val="0"/>
        <w:spacing w:beforeAutospacing="0" w:afterAutospacing="0" w:line="560" w:lineRule="exact"/>
        <w:textAlignment w:val="auto"/>
        <w:rPr>
          <w:rFonts w:hint="eastAsia" w:ascii="宋体" w:hAnsi="宋体" w:eastAsia="楷体_GB2312" w:cs="楷体_GB2312"/>
          <w:szCs w:val="32"/>
          <w:lang w:eastAsia="zh-CN"/>
        </w:rPr>
      </w:pPr>
      <w:r>
        <w:rPr>
          <w:rFonts w:hint="eastAsia" w:ascii="宋体" w:hAnsi="宋体" w:eastAsia="楷体_GB2312" w:cs="楷体_GB2312"/>
          <w:szCs w:val="32"/>
        </w:rPr>
        <w:t>　　　　第三节　侵犯人身权利、财产权利的行为和处</w:t>
      </w:r>
      <w:r>
        <w:rPr>
          <w:rFonts w:hint="eastAsia" w:ascii="宋体" w:hAnsi="宋体" w:eastAsia="楷体_GB2312" w:cs="楷体_GB2312"/>
          <w:szCs w:val="32"/>
          <w:lang w:eastAsia="zh-CN"/>
        </w:rPr>
        <w:t>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第四节　妨害社会管理的行为和处罚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第四章　处罚程序</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第一节　调查</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第二节　决定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第三节　执行</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第五章　执法监督</w:t>
      </w:r>
    </w:p>
    <w:p>
      <w:pPr>
        <w:widowControl w:val="0"/>
        <w:wordWrap/>
        <w:overflowPunct w:val="0"/>
        <w:spacing w:beforeAutospacing="0" w:afterAutospacing="0" w:line="560" w:lineRule="exact"/>
        <w:textAlignment w:val="auto"/>
        <w:rPr>
          <w:rFonts w:ascii="宋体" w:hAnsi="宋体" w:eastAsia="宋体" w:cs="宋体"/>
          <w:szCs w:val="32"/>
        </w:rPr>
      </w:pPr>
      <w:r>
        <w:rPr>
          <w:rFonts w:hint="eastAsia" w:ascii="宋体" w:hAnsi="宋体" w:eastAsia="楷体_GB2312" w:cs="楷体_GB2312"/>
          <w:szCs w:val="32"/>
        </w:rPr>
        <w:t>　　第六章　附则</w:t>
      </w: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第一章　总则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宋体"/>
          <w:szCs w:val="32"/>
        </w:rPr>
        <w:t>　　</w:t>
      </w:r>
      <w:r>
        <w:rPr>
          <w:rFonts w:hint="eastAsia" w:ascii="宋体" w:hAnsi="宋体" w:eastAsia="黑体" w:cs="黑体"/>
          <w:szCs w:val="32"/>
        </w:rPr>
        <w:t>第一条</w:t>
      </w:r>
      <w:r>
        <w:rPr>
          <w:rFonts w:hint="eastAsia" w:ascii="宋体" w:hAnsi="宋体" w:eastAsia="宋体" w:cs="宋体"/>
          <w:szCs w:val="32"/>
        </w:rPr>
        <w:t>　</w:t>
      </w:r>
      <w:r>
        <w:rPr>
          <w:rFonts w:hint="eastAsia" w:ascii="宋体" w:hAnsi="宋体" w:cs="仿宋_GB2312"/>
          <w:szCs w:val="32"/>
        </w:rPr>
        <w:t>为维护社会治安秩序，保障公共安全，保护公民、法人和其他组织的合法权益，规范和保障公安机关及其人民警察依法履行治安管理职责，制定本法。</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w:t>
      </w:r>
      <w:r>
        <w:rPr>
          <w:rFonts w:hint="eastAsia" w:ascii="宋体" w:hAnsi="宋体" w:eastAsia="黑体" w:cs="仿宋_GB2312"/>
          <w:szCs w:val="32"/>
        </w:rPr>
        <w:t>条</w:t>
      </w:r>
      <w:r>
        <w:rPr>
          <w:rFonts w:hint="eastAsia" w:ascii="宋体" w:hAnsi="宋体" w:cs="仿宋_GB2312"/>
          <w:szCs w:val="32"/>
        </w:rPr>
        <w:t>　扰乱公共秩序，妨害公共安全，侵犯人身权利、财产权利，妨害社会管理，具有社会危害性，依照《中华人民共和国刑法》的规定构成犯罪的，依法追究刑事责任；尚不够刑事处罚的，由公安机关依照本法给予治安管理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w:t>
      </w:r>
      <w:r>
        <w:rPr>
          <w:rFonts w:hint="eastAsia" w:ascii="宋体" w:hAnsi="宋体" w:eastAsia="黑体" w:cs="仿宋_GB2312"/>
          <w:szCs w:val="32"/>
        </w:rPr>
        <w:t>条</w:t>
      </w:r>
      <w:r>
        <w:rPr>
          <w:rFonts w:hint="eastAsia" w:ascii="宋体" w:hAnsi="宋体" w:cs="仿宋_GB2312"/>
          <w:szCs w:val="32"/>
        </w:rPr>
        <w:t>　治安管理处罚的程序，适用本法的规定；本法没有规定的，适用《中华人民共和国行政处罚法》的有关规定。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w:t>
      </w:r>
      <w:r>
        <w:rPr>
          <w:rFonts w:hint="eastAsia" w:ascii="宋体" w:hAnsi="宋体" w:eastAsia="黑体" w:cs="仿宋_GB2312"/>
          <w:szCs w:val="32"/>
        </w:rPr>
        <w:t>条</w:t>
      </w:r>
      <w:r>
        <w:rPr>
          <w:rFonts w:hint="eastAsia" w:ascii="宋体" w:hAnsi="宋体" w:cs="仿宋_GB2312"/>
          <w:szCs w:val="32"/>
        </w:rPr>
        <w:t>　在中华人民共和国领域内发生的违反治安管理行为，除法律有特别规定的外，适用本法。</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在中华人民共和国船舶和航空器内发生的违反治安管理行为，除法律有特别规定的外，适用本法。</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w:t>
      </w:r>
      <w:r>
        <w:rPr>
          <w:rFonts w:hint="eastAsia" w:ascii="宋体" w:hAnsi="宋体" w:eastAsia="黑体" w:cs="仿宋_GB2312"/>
          <w:szCs w:val="32"/>
        </w:rPr>
        <w:t>条</w:t>
      </w:r>
      <w:r>
        <w:rPr>
          <w:rFonts w:hint="eastAsia" w:ascii="宋体" w:hAnsi="宋体" w:cs="仿宋_GB2312"/>
          <w:szCs w:val="32"/>
        </w:rPr>
        <w:t>　治安管理处罚必须以事实为依据，与违反治安管理行为的性质、情节以及社会危害程度相当。</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实施治安管理处罚，应当公开、公正，尊重和保障人权，保护公民的人格尊严。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办理治安案件应当坚持教育与处罚相结合的原则。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w:t>
      </w:r>
      <w:r>
        <w:rPr>
          <w:rFonts w:hint="eastAsia" w:ascii="宋体" w:hAnsi="宋体" w:eastAsia="黑体" w:cs="仿宋_GB2312"/>
          <w:szCs w:val="32"/>
        </w:rPr>
        <w:t>条</w:t>
      </w:r>
      <w:r>
        <w:rPr>
          <w:rFonts w:hint="eastAsia" w:ascii="宋体" w:hAnsi="宋体" w:cs="仿宋_GB2312"/>
          <w:szCs w:val="32"/>
        </w:rPr>
        <w:t>　各级人民政府应当加强社会治安综合治理，采取有效措施，化解社会矛盾，增进社会和谐，维护社会稳定。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w:t>
      </w:r>
      <w:r>
        <w:rPr>
          <w:rFonts w:hint="eastAsia" w:ascii="宋体" w:hAnsi="宋体" w:eastAsia="黑体" w:cs="仿宋_GB2312"/>
          <w:szCs w:val="32"/>
        </w:rPr>
        <w:t>条</w:t>
      </w:r>
      <w:r>
        <w:rPr>
          <w:rFonts w:hint="eastAsia" w:ascii="宋体" w:hAnsi="宋体" w:cs="仿宋_GB2312"/>
          <w:szCs w:val="32"/>
        </w:rPr>
        <w:t>　国务院公安部门负责全国的治安管理工作。县级以上地方各级人民政府公安机关负责本行政区域内的治安管理工作。</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治安案件的管辖由国务院公安部门规定。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w:t>
      </w:r>
      <w:r>
        <w:rPr>
          <w:rFonts w:hint="eastAsia" w:ascii="宋体" w:hAnsi="宋体" w:eastAsia="黑体" w:cs="仿宋_GB2312"/>
          <w:szCs w:val="32"/>
        </w:rPr>
        <w:t>条</w:t>
      </w:r>
      <w:r>
        <w:rPr>
          <w:rFonts w:hint="eastAsia" w:ascii="宋体" w:hAnsi="宋体" w:cs="仿宋_GB2312"/>
          <w:szCs w:val="32"/>
        </w:rPr>
        <w:t>　违反治安管理的行为对他人造成损害的，行为人或者其监护人应当依法承担民事责任。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第九</w:t>
      </w:r>
      <w:r>
        <w:rPr>
          <w:rFonts w:hint="eastAsia" w:ascii="宋体" w:hAnsi="宋体" w:eastAsia="黑体" w:cs="仿宋_GB2312"/>
          <w:szCs w:val="32"/>
        </w:rPr>
        <w:t>条</w:t>
      </w:r>
      <w:r>
        <w:rPr>
          <w:rFonts w:hint="eastAsia" w:ascii="宋体" w:hAnsi="宋体" w:cs="仿宋_GB2312"/>
          <w:szCs w:val="32"/>
        </w:rPr>
        <w:t>　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第二章　处罚的种类和适用</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第十</w:t>
      </w:r>
      <w:r>
        <w:rPr>
          <w:rFonts w:hint="eastAsia" w:ascii="宋体" w:hAnsi="宋体" w:eastAsia="黑体" w:cs="仿宋_GB2312"/>
          <w:szCs w:val="32"/>
        </w:rPr>
        <w:t>条</w:t>
      </w:r>
      <w:r>
        <w:rPr>
          <w:rFonts w:hint="eastAsia" w:ascii="宋体" w:hAnsi="宋体" w:cs="仿宋_GB2312"/>
          <w:szCs w:val="32"/>
        </w:rPr>
        <w:t>　治安管理处罚的种类分为: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（一）警告；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（三）行政拘留；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（四）吊销公安机关发放的许可证。</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对违反治安管理的外国人，可以附加适用限期出境或者驱逐出境。</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第十一</w:t>
      </w:r>
      <w:r>
        <w:rPr>
          <w:rFonts w:hint="eastAsia" w:ascii="宋体" w:hAnsi="宋体" w:eastAsia="黑体" w:cs="仿宋_GB2312"/>
          <w:szCs w:val="32"/>
        </w:rPr>
        <w:t>条</w:t>
      </w:r>
      <w:r>
        <w:rPr>
          <w:rFonts w:hint="eastAsia" w:ascii="宋体" w:hAnsi="宋体" w:cs="仿宋_GB2312"/>
          <w:szCs w:val="32"/>
        </w:rPr>
        <w:t>　办理治安案件所查获的毒品、淫秽物品等违禁品，赌具、赌资，吸食、注射毒品的用具以及直接用于实施违反治安管理行为的本人所有的工具，应当收缴，按照规定处理。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违反治安管理所得的财物，追缴退还被侵害人；没有被侵害人的，登记造册，公开拍卖或者按照国家有关规定处理，所得款项上缴国库。</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第十二</w:t>
      </w:r>
      <w:r>
        <w:rPr>
          <w:rFonts w:hint="eastAsia" w:ascii="宋体" w:hAnsi="宋体" w:eastAsia="黑体" w:cs="仿宋_GB2312"/>
          <w:szCs w:val="32"/>
        </w:rPr>
        <w:t>条</w:t>
      </w:r>
      <w:r>
        <w:rPr>
          <w:rFonts w:hint="eastAsia" w:ascii="宋体" w:hAnsi="宋体" w:cs="仿宋_GB2312"/>
          <w:szCs w:val="32"/>
        </w:rPr>
        <w:t>　已满十四周岁不满十八周岁的人违反治安管理的，从轻或者减轻处罚；不满十四周岁的人违反治安管理的，不予处罚，但是应当责令其监护人严加管教。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第十三</w:t>
      </w:r>
      <w:r>
        <w:rPr>
          <w:rFonts w:hint="eastAsia" w:ascii="宋体" w:hAnsi="宋体" w:eastAsia="黑体" w:cs="仿宋_GB2312"/>
          <w:szCs w:val="32"/>
        </w:rPr>
        <w:t>条</w:t>
      </w:r>
      <w:r>
        <w:rPr>
          <w:rFonts w:hint="eastAsia" w:ascii="宋体" w:hAnsi="宋体" w:cs="仿宋_GB2312"/>
          <w:szCs w:val="32"/>
        </w:rPr>
        <w:t>　精神病人在不能辨认或者不能控制自己行为的时候违反治安管理的，不予处罚，但是应当责令其监护人严加看管和治疗。间歇性的精神病人在精神正常的时候违反治安管理的，应当给予处罚。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第十四</w:t>
      </w:r>
      <w:r>
        <w:rPr>
          <w:rFonts w:hint="eastAsia" w:ascii="宋体" w:hAnsi="宋体" w:eastAsia="黑体" w:cs="仿宋_GB2312"/>
          <w:szCs w:val="32"/>
        </w:rPr>
        <w:t>条</w:t>
      </w:r>
      <w:r>
        <w:rPr>
          <w:rFonts w:hint="eastAsia" w:ascii="宋体" w:hAnsi="宋体" w:cs="仿宋_GB2312"/>
          <w:szCs w:val="32"/>
        </w:rPr>
        <w:t>　盲人或者又聋又哑的人违反治安管理的，可以从轻、减轻或者不予处罚。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第十五</w:t>
      </w:r>
      <w:r>
        <w:rPr>
          <w:rFonts w:hint="eastAsia" w:ascii="宋体" w:hAnsi="宋体" w:eastAsia="黑体" w:cs="仿宋_GB2312"/>
          <w:szCs w:val="32"/>
        </w:rPr>
        <w:t>条</w:t>
      </w:r>
      <w:r>
        <w:rPr>
          <w:rFonts w:hint="eastAsia" w:ascii="宋体" w:hAnsi="宋体" w:cs="仿宋_GB2312"/>
          <w:szCs w:val="32"/>
        </w:rPr>
        <w:t>　醉酒的人违反治安管理的，应当给予处罚。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醉酒的人在醉酒状态中，对本人有危险或者对他人的人身、财产或者公共安全有威胁的，应当对其采取保护性措施约束至酒醒。</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第十六</w:t>
      </w:r>
      <w:r>
        <w:rPr>
          <w:rFonts w:hint="eastAsia" w:ascii="宋体" w:hAnsi="宋体" w:eastAsia="黑体" w:cs="仿宋_GB2312"/>
          <w:szCs w:val="32"/>
        </w:rPr>
        <w:t>条</w:t>
      </w:r>
      <w:r>
        <w:rPr>
          <w:rFonts w:hint="eastAsia" w:ascii="宋体" w:hAnsi="宋体" w:cs="仿宋_GB2312"/>
          <w:szCs w:val="32"/>
        </w:rPr>
        <w:t>　有两种以上违反治安管理行为的，分别决定，合并执行。行政拘留处罚合并执行的，最长不超过二十日。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第十七</w:t>
      </w:r>
      <w:r>
        <w:rPr>
          <w:rFonts w:hint="eastAsia" w:ascii="宋体" w:hAnsi="宋体" w:eastAsia="黑体" w:cs="仿宋_GB2312"/>
          <w:szCs w:val="32"/>
        </w:rPr>
        <w:t>条</w:t>
      </w:r>
      <w:r>
        <w:rPr>
          <w:rFonts w:hint="eastAsia" w:ascii="宋体" w:hAnsi="宋体" w:cs="仿宋_GB2312"/>
          <w:szCs w:val="32"/>
        </w:rPr>
        <w:t>　共同违反治安管理的，根据违反治安管理行为人在违反治安管理行为中所起的作用，分别处罚。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教唆、胁迫、诱骗他人违反治安管理的，按照其教唆、胁迫、诱骗的行为处罚。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第十八</w:t>
      </w:r>
      <w:r>
        <w:rPr>
          <w:rFonts w:hint="eastAsia" w:ascii="宋体" w:hAnsi="宋体" w:eastAsia="黑体" w:cs="仿宋_GB2312"/>
          <w:szCs w:val="32"/>
        </w:rPr>
        <w:t>条</w:t>
      </w:r>
      <w:r>
        <w:rPr>
          <w:rFonts w:hint="eastAsia" w:ascii="宋体" w:hAnsi="宋体" w:cs="仿宋_GB2312"/>
          <w:szCs w:val="32"/>
        </w:rPr>
        <w:t>　单位违反治安管理的，对其直接负责的主管人员和其他直接责任人员依照本法的规定处罚。其他法律、行政法规对同一行为规定给予单位处罚的，依照其规定处罚。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第十九</w:t>
      </w:r>
      <w:r>
        <w:rPr>
          <w:rFonts w:hint="eastAsia" w:ascii="宋体" w:hAnsi="宋体" w:eastAsia="黑体" w:cs="仿宋_GB2312"/>
          <w:szCs w:val="32"/>
        </w:rPr>
        <w:t>条</w:t>
      </w:r>
      <w:r>
        <w:rPr>
          <w:rFonts w:hint="eastAsia" w:ascii="宋体" w:hAnsi="宋体" w:cs="仿宋_GB2312"/>
          <w:szCs w:val="32"/>
        </w:rPr>
        <w:t>　违反治安管理有下列情形之一的，减轻处罚或者不予处罚: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（一）情节特别轻微的；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（二）主动消除或者减轻违法后果，并取得被侵害人谅解的；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（三）出于他人胁迫或者诱骗的；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（四）主动投案，向公安机关如实陈述自己的违法行为的；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（五）有立功表现的。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w:t>
      </w:r>
      <w:r>
        <w:rPr>
          <w:rFonts w:hint="eastAsia" w:ascii="宋体" w:hAnsi="宋体" w:eastAsia="黑体" w:cs="仿宋_GB2312"/>
          <w:szCs w:val="32"/>
        </w:rPr>
        <w:t>条</w:t>
      </w:r>
      <w:r>
        <w:rPr>
          <w:rFonts w:hint="eastAsia" w:ascii="宋体" w:hAnsi="宋体" w:cs="仿宋_GB2312"/>
          <w:szCs w:val="32"/>
        </w:rPr>
        <w:t>　违反治安管理有下列情形之一的，从重处罚: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（一）有较严重后果的；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（二）教唆、胁迫、诱骗他人违反治安管理的；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（三）对报案人、控告人、举报人、证人打击报复的；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（四）六个月内曾受过治安管理处罚的。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第二十一</w:t>
      </w:r>
      <w:r>
        <w:rPr>
          <w:rFonts w:hint="eastAsia" w:ascii="宋体" w:hAnsi="宋体" w:eastAsia="黑体" w:cs="仿宋_GB2312"/>
          <w:szCs w:val="32"/>
        </w:rPr>
        <w:t>条</w:t>
      </w:r>
      <w:r>
        <w:rPr>
          <w:rFonts w:hint="eastAsia" w:ascii="宋体" w:hAnsi="宋体" w:cs="仿宋_GB2312"/>
          <w:szCs w:val="32"/>
        </w:rPr>
        <w:t>　违反治安管理行为人有下列情形之一，依照本法应当给予行政拘留处罚的，不执行行政拘留处罚: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（一）已满十四周岁不满十六周岁的；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（二）已满十六周岁不满十八周岁，初次违反治安管理的；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（三）七十周岁以上的；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（四）怀孕或者哺乳自己不满一周岁婴儿的。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第二十二</w:t>
      </w:r>
      <w:r>
        <w:rPr>
          <w:rFonts w:hint="eastAsia" w:ascii="宋体" w:hAnsi="宋体" w:eastAsia="黑体" w:cs="仿宋_GB2312"/>
          <w:szCs w:val="32"/>
        </w:rPr>
        <w:t>条</w:t>
      </w:r>
      <w:r>
        <w:rPr>
          <w:rFonts w:hint="eastAsia" w:ascii="宋体" w:hAnsi="宋体" w:cs="仿宋_GB2312"/>
          <w:szCs w:val="32"/>
        </w:rPr>
        <w:t>　违反治安管理行为在六个月内没有被公安机关发现的，不再处罚。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cs="仿宋_GB2312"/>
          <w:szCs w:val="32"/>
        </w:rPr>
        <w:t>前款规定的期限，从违反治安管理行为发生之日起计算；违反治安管理行为有连续或者继续状态的，从行为终了之日起计算。</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第三章　违反治安管理的行为和处罚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扰乱公共秩序的行为和处罚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第二十三</w:t>
      </w:r>
      <w:r>
        <w:rPr>
          <w:rFonts w:hint="eastAsia" w:ascii="宋体" w:hAnsi="宋体" w:eastAsia="黑体" w:cs="仿宋_GB2312"/>
          <w:szCs w:val="32"/>
        </w:rPr>
        <w:t>条</w:t>
      </w:r>
      <w:r>
        <w:rPr>
          <w:rFonts w:hint="eastAsia" w:ascii="宋体" w:hAnsi="宋体" w:cs="仿宋_GB2312"/>
          <w:szCs w:val="32"/>
        </w:rPr>
        <w:t>　有下列行为之一的，处警告或者二百元以下罚款；情节较重的，处五日以上十日以下拘留，可以并处五百元以下罚款: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（一）扰乱机关、团体、企业、事业单位秩序，致使工作、生产、营业、医疗、教学、科研不能正常进行，尚未造成严重损失的；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（二）扰乱车站、港口、码头、机场、商场、公园、展览馆或者其他公共场所秩序的；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（三）扰乱公共汽车、电车、火车、船舶、航空器或者其他公共交通工具上的秩序的；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（四）非法拦截或者强登、扒乘机动车、船舶、航空器以及其他交通工具，影响交通工具正常行驶的；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（五）破坏依法进行的选举秩序的。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聚众实施前款行为的，对首要分子处十日以上十五日以下拘留，可以并处一千元以下罚款。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第二十四</w:t>
      </w:r>
      <w:r>
        <w:rPr>
          <w:rFonts w:hint="eastAsia" w:ascii="宋体" w:hAnsi="宋体" w:eastAsia="黑体" w:cs="仿宋_GB2312"/>
          <w:szCs w:val="32"/>
        </w:rPr>
        <w:t>条</w:t>
      </w:r>
      <w:r>
        <w:rPr>
          <w:rFonts w:hint="eastAsia" w:ascii="宋体" w:hAnsi="宋体" w:cs="仿宋_GB2312"/>
          <w:szCs w:val="32"/>
        </w:rPr>
        <w:t>　有下列行为之一，扰乱文化、体育等大型群众性活动秩序的，处警告或者二百元以下罚款；情节严重的，处五日以上十日以下拘留，可以并处五百元以下罚款: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（一）强行进入场内的；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（二）违反规定，在场内燃放烟花爆竹或者其他物品的；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（三）展示侮辱性标语、条幅等物品的；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（四）围攻裁判员、运动员或者其他工作人员的；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（五）向场内投掷杂物，不听制止的；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（六）扰乱大型群众性活动秩序的其他行为。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因扰乱体育比赛秩序被处以拘留处罚的，可以同时责令其十二个月内不得进入体育场馆观看同类比赛；违反规定进入体育场馆的，强行带离现场。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第二十五</w:t>
      </w:r>
      <w:r>
        <w:rPr>
          <w:rFonts w:hint="eastAsia" w:ascii="宋体" w:hAnsi="宋体" w:eastAsia="黑体" w:cs="仿宋_GB2312"/>
          <w:szCs w:val="32"/>
        </w:rPr>
        <w:t>条</w:t>
      </w:r>
      <w:r>
        <w:rPr>
          <w:rFonts w:hint="eastAsia" w:ascii="宋体" w:hAnsi="宋体" w:cs="仿宋_GB2312"/>
          <w:szCs w:val="32"/>
        </w:rPr>
        <w:t>　有下列行为之一的，处五日以上十日以下拘留，可以并处五百元以下罚款；情节较轻的，处五日以下拘留或者五百元以下罚款: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（一）散布谣言，谎报险情、疫情、警情或者以其他方法故意扰乱公共秩序的；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（二）投放虚假的爆炸性、毒害性、放射性、腐蚀性物质或者传染病病原体等危险物质扰乱公共秩序的；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（三）扬言实施放火、爆炸、投放危险物质扰乱公共秩序的。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第二十六</w:t>
      </w:r>
      <w:r>
        <w:rPr>
          <w:rFonts w:hint="eastAsia" w:ascii="宋体" w:hAnsi="宋体" w:eastAsia="黑体" w:cs="仿宋_GB2312"/>
          <w:szCs w:val="32"/>
        </w:rPr>
        <w:t>条</w:t>
      </w:r>
      <w:r>
        <w:rPr>
          <w:rFonts w:hint="eastAsia" w:ascii="宋体" w:hAnsi="宋体" w:cs="仿宋_GB2312"/>
          <w:szCs w:val="32"/>
        </w:rPr>
        <w:t>　有下列行为之一的，处五日以上十日以下拘留，可以并处五百元以下罚款；情节较重的，处十日以上十五日以下拘留，可以并处一千元以下罚款: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（一）结伙斗殴的；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（二）追逐、拦截他人的；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（三）强拿硬要或者任意损毁、占用公私财物的；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（四）其他寻衅滋事行为。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第二十七</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有下列行为之一的，处十日以上十五日以下拘留，可以并处一千元以下罚款；情节较轻的，处五日以上十日以下拘留，可以并处五百元以下罚款: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（一）组织、教唆、胁迫、诱骗、煽动他人从事邪教、会道门活动或者利用邪教、会道门、迷信活动，扰乱社会秩序、损害他人身体健康的；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（二）冒用宗教、气功名义进行扰乱社会秩序、损害他人身体健康活动的。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第二十八</w:t>
      </w:r>
      <w:r>
        <w:rPr>
          <w:rFonts w:hint="eastAsia" w:ascii="宋体" w:hAnsi="宋体" w:eastAsia="黑体" w:cs="仿宋_GB2312"/>
          <w:szCs w:val="32"/>
        </w:rPr>
        <w:t>条</w:t>
      </w:r>
      <w:r>
        <w:rPr>
          <w:rFonts w:hint="eastAsia" w:ascii="宋体" w:hAnsi="宋体" w:cs="仿宋_GB2312"/>
          <w:szCs w:val="32"/>
        </w:rPr>
        <w:t>　违反国家规定，故意干扰无线电业务正常进行的，或者对正常运行的无线电台（站）产生有害干扰，经有关主管部门指出后，拒不采取有效措施消除的，处五日以上十日以下拘留；情节严重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第二十九</w:t>
      </w:r>
      <w:r>
        <w:rPr>
          <w:rFonts w:hint="eastAsia" w:ascii="宋体" w:hAnsi="宋体" w:eastAsia="黑体" w:cs="仿宋_GB2312"/>
          <w:szCs w:val="32"/>
        </w:rPr>
        <w:t>条</w:t>
      </w:r>
      <w:r>
        <w:rPr>
          <w:rFonts w:hint="eastAsia" w:ascii="宋体" w:hAnsi="宋体" w:cs="仿宋_GB2312"/>
          <w:szCs w:val="32"/>
        </w:rPr>
        <w:t>　有下列行为之一的，处五日以下拘留；情节较重的，处五日以上十日以下拘留: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（一）违反国家规定，侵入计算机信息系统，造成危害的；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（二）违反国家规定，对计算机信息系统功能进行删除、修改、增加、干扰，造成计算机信息系统不能正常运行的；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（三）违反国家规定，对计算机信息系统中存储、处理、传输的数据和应用程序进行删除、修改、增加的；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cs="仿宋_GB2312"/>
          <w:szCs w:val="32"/>
        </w:rPr>
        <w:t>（四）故意制作、传播计算机病毒等破坏性程序，影响计算机信息系统正常运行的。</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妨害公共安全的行为和处罚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第三十</w:t>
      </w:r>
      <w:r>
        <w:rPr>
          <w:rFonts w:hint="eastAsia" w:ascii="宋体" w:hAnsi="宋体" w:eastAsia="黑体" w:cs="仿宋_GB2312"/>
          <w:szCs w:val="32"/>
        </w:rPr>
        <w:t>条</w:t>
      </w:r>
      <w:r>
        <w:rPr>
          <w:rFonts w:hint="eastAsia" w:ascii="宋体" w:hAnsi="宋体" w:cs="仿宋_GB2312"/>
          <w:szCs w:val="32"/>
        </w:rPr>
        <w:t>　违反国家规定，制造、买卖、储存、运输、邮寄、携带、使用、提供、处置爆炸性、毒害性、放射性、腐蚀性物质或者传染病病原体等危险物质的，处十日以上十五日以下拘留；情节较轻的，处五日以上十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第三十一</w:t>
      </w:r>
      <w:r>
        <w:rPr>
          <w:rFonts w:hint="eastAsia" w:ascii="宋体" w:hAnsi="宋体" w:eastAsia="黑体" w:cs="仿宋_GB2312"/>
          <w:szCs w:val="32"/>
        </w:rPr>
        <w:t>条</w:t>
      </w:r>
      <w:r>
        <w:rPr>
          <w:rFonts w:hint="eastAsia" w:ascii="宋体" w:hAnsi="宋体" w:cs="仿宋_GB2312"/>
          <w:szCs w:val="32"/>
        </w:rPr>
        <w:t>　爆炸性、毒害性、放射性、腐蚀性物质或者传染病病原体等危险物质被盗、被抢或者丢失，未按规定报告的，处五日以下拘留；故意隐瞒不报的，处五日以上十日以下拘留。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第三十二</w:t>
      </w:r>
      <w:r>
        <w:rPr>
          <w:rFonts w:hint="eastAsia" w:ascii="宋体" w:hAnsi="宋体" w:eastAsia="黑体" w:cs="仿宋_GB2312"/>
          <w:szCs w:val="32"/>
        </w:rPr>
        <w:t>条</w:t>
      </w:r>
      <w:r>
        <w:rPr>
          <w:rFonts w:hint="eastAsia" w:ascii="宋体" w:hAnsi="宋体" w:cs="仿宋_GB2312"/>
          <w:szCs w:val="32"/>
        </w:rPr>
        <w:t>　非法携带枪支、弹药或者弩、匕首等国家规定的管制器具的，处五日以下拘留，可以并处五百元以下罚款；情节较轻的，处警告或者二百元以下罚款。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非法携带枪支、弹药或者弩、匕首等国家规定的管制器具进入公共场所或者公共交通工具的，处五日以上十日以下拘留，可以并处五百元以下罚款。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第三十三</w:t>
      </w:r>
      <w:r>
        <w:rPr>
          <w:rFonts w:hint="eastAsia" w:ascii="宋体" w:hAnsi="宋体" w:eastAsia="黑体" w:cs="仿宋_GB2312"/>
          <w:szCs w:val="32"/>
        </w:rPr>
        <w:t>条</w:t>
      </w:r>
      <w:r>
        <w:rPr>
          <w:rFonts w:hint="eastAsia" w:ascii="宋体" w:hAnsi="宋体" w:cs="仿宋_GB2312"/>
          <w:szCs w:val="32"/>
        </w:rPr>
        <w:t>　有下列行为之一的，处十日以上十五日以下拘留: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（一）盗窃、损毁油气管道设施、电力电信设施、广播电视设施、水利防汛工程设施或者水文监测、测量、气象测报、环境监测、地质监测、地震监测等公共设施的；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（二）移动、损毁国家边境的界碑、界桩以及其他边境标志、边境设施或者领土、领海标志设施的；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（三）非法进行影响国（边）界线走向的活动或者修建有碍国（边）境管理的设施的。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第三十四</w:t>
      </w:r>
      <w:r>
        <w:rPr>
          <w:rFonts w:hint="eastAsia" w:ascii="宋体" w:hAnsi="宋体" w:eastAsia="黑体" w:cs="仿宋_GB2312"/>
          <w:szCs w:val="32"/>
        </w:rPr>
        <w:t>条</w:t>
      </w:r>
      <w:r>
        <w:rPr>
          <w:rFonts w:hint="eastAsia" w:ascii="宋体" w:hAnsi="宋体" w:cs="仿宋_GB2312"/>
          <w:szCs w:val="32"/>
        </w:rPr>
        <w:t>　盗窃、损坏、擅自移动使用中的航空设施，或者强行进入航空器驾驶舱的，处十日以上十五日以下拘留。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在使用中的航空器上使用可能影响导航系统正常功能的器具、工具，不听劝阻的，处五日以下拘留或者五百元以下罚款。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第三十五</w:t>
      </w:r>
      <w:r>
        <w:rPr>
          <w:rFonts w:hint="eastAsia" w:ascii="宋体" w:hAnsi="宋体" w:eastAsia="黑体" w:cs="仿宋_GB2312"/>
          <w:szCs w:val="32"/>
        </w:rPr>
        <w:t>条</w:t>
      </w:r>
      <w:r>
        <w:rPr>
          <w:rFonts w:hint="eastAsia" w:ascii="宋体" w:hAnsi="宋体" w:cs="仿宋_GB2312"/>
          <w:szCs w:val="32"/>
        </w:rPr>
        <w:t>　有下列行为之一的，处五日以上十日以下拘留，可以并处五百元以下罚款；情节较轻的，处五日以下拘留或者五百元以下罚款: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（一）盗窃、损毁或者擅自移动铁路设施、设备、机车车辆配件或者安全标志的；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（二）在铁路线路上放置障碍物，或者故意向列车投掷物品的；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（三）在铁路线路、桥梁、涵洞处挖掘坑穴、采石取沙的；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（四）在铁路线路上私设道口或者平交过道的。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第三十六</w:t>
      </w:r>
      <w:r>
        <w:rPr>
          <w:rFonts w:hint="eastAsia" w:ascii="宋体" w:hAnsi="宋体" w:eastAsia="黑体" w:cs="仿宋_GB2312"/>
          <w:szCs w:val="32"/>
        </w:rPr>
        <w:t>条</w:t>
      </w:r>
      <w:r>
        <w:rPr>
          <w:rFonts w:hint="eastAsia" w:ascii="宋体" w:hAnsi="宋体" w:cs="仿宋_GB2312"/>
          <w:szCs w:val="32"/>
        </w:rPr>
        <w:t>　擅自进入铁路防护网或者火车来临时在铁路线路上行走坐卧、抢越铁路，影响行车安全的，处警告或者二百元以下罚款。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第三十七</w:t>
      </w:r>
      <w:r>
        <w:rPr>
          <w:rFonts w:hint="eastAsia" w:ascii="宋体" w:hAnsi="宋体" w:eastAsia="黑体" w:cs="仿宋_GB2312"/>
          <w:szCs w:val="32"/>
        </w:rPr>
        <w:t>条</w:t>
      </w:r>
      <w:r>
        <w:rPr>
          <w:rFonts w:hint="eastAsia" w:ascii="宋体" w:hAnsi="宋体" w:cs="仿宋_GB2312"/>
          <w:szCs w:val="32"/>
        </w:rPr>
        <w:t>　有下列行为之一的，处五日以下拘留或者五百元以下罚款；情节严重的，处五日以上十日以下拘留，可以并处五百元以下罚款: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（一）未经批准，安装、使用电网的，或者安装、使用电网不符合安全规定的；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（二）在车辆、行人通行的地方施工，对沟井坎穴不设覆盖物、防围和警示标志的，或者故意损毁、移动覆盖物、防围和警示标志的；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（三）盗窃、损毁路面井盖、照明等公共设施的。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第三十八</w:t>
      </w:r>
      <w:r>
        <w:rPr>
          <w:rFonts w:hint="eastAsia" w:ascii="宋体" w:hAnsi="宋体" w:eastAsia="黑体" w:cs="仿宋_GB2312"/>
          <w:szCs w:val="32"/>
        </w:rPr>
        <w:t>条</w:t>
      </w:r>
      <w:r>
        <w:rPr>
          <w:rFonts w:hint="eastAsia" w:ascii="宋体" w:hAnsi="宋体" w:cs="仿宋_GB2312"/>
          <w:szCs w:val="32"/>
        </w:rPr>
        <w:t>　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第三十九</w:t>
      </w:r>
      <w:r>
        <w:rPr>
          <w:rFonts w:hint="eastAsia" w:ascii="宋体" w:hAnsi="宋体" w:eastAsia="黑体" w:cs="仿宋_GB2312"/>
          <w:szCs w:val="32"/>
        </w:rPr>
        <w:t>条</w:t>
      </w:r>
      <w:r>
        <w:rPr>
          <w:rFonts w:hint="eastAsia" w:ascii="宋体" w:hAnsi="宋体" w:cs="仿宋_GB2312"/>
          <w:szCs w:val="32"/>
        </w:rPr>
        <w:t>　旅馆、饭店、影剧院、娱乐场、运动场、展览馆或者其他供社会公众活动的场所的经营管理人员，违反安全规定，致使该场所有发生安全事故危险，经公安机关责令改正，拒不改正的，处五日以下拘留。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侵犯人身权利、财产权利的行为和处罚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第四十</w:t>
      </w:r>
      <w:r>
        <w:rPr>
          <w:rFonts w:hint="eastAsia" w:ascii="宋体" w:hAnsi="宋体" w:eastAsia="黑体" w:cs="仿宋_GB2312"/>
          <w:szCs w:val="32"/>
        </w:rPr>
        <w:t>条</w:t>
      </w:r>
      <w:r>
        <w:rPr>
          <w:rFonts w:hint="eastAsia" w:ascii="宋体" w:hAnsi="宋体" w:cs="仿宋_GB2312"/>
          <w:szCs w:val="32"/>
        </w:rPr>
        <w:t>　有下列行为之一的，处十日以上十五日以下拘留，并处五百元以上一千元以下罚款；情节较轻的，处五日以上十日以下拘留，并处二百元以上五百元以下罚款: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（一）组织、胁迫、诱骗不满十六周岁的人或者残疾人进行恐怖、残忍表演的；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（二）以暴力、威胁或者其他手段强迫他人劳动的；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（三）非法限制他人人身自由、非法侵入他人住宅或者非法搜查他人身体的。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第四十一</w:t>
      </w:r>
      <w:r>
        <w:rPr>
          <w:rFonts w:hint="eastAsia" w:ascii="宋体" w:hAnsi="宋体" w:eastAsia="黑体" w:cs="仿宋_GB2312"/>
          <w:szCs w:val="32"/>
        </w:rPr>
        <w:t>条</w:t>
      </w:r>
      <w:r>
        <w:rPr>
          <w:rFonts w:hint="eastAsia" w:ascii="宋体" w:hAnsi="宋体" w:cs="仿宋_GB2312"/>
          <w:szCs w:val="32"/>
        </w:rPr>
        <w:t>　胁迫、诱骗或者利用他人乞讨的，处十日以上十五日以下拘留，可以并处一千元以下罚款。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反复纠缠、强行讨要或者以其他滋扰他人的方式乞讨的，处五日以下拘留或者警告。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第四十二</w:t>
      </w:r>
      <w:r>
        <w:rPr>
          <w:rFonts w:hint="eastAsia" w:ascii="宋体" w:hAnsi="宋体" w:eastAsia="黑体" w:cs="仿宋_GB2312"/>
          <w:szCs w:val="32"/>
        </w:rPr>
        <w:t>条</w:t>
      </w:r>
      <w:r>
        <w:rPr>
          <w:rFonts w:hint="eastAsia" w:ascii="宋体" w:hAnsi="宋体" w:cs="仿宋_GB2312"/>
          <w:szCs w:val="32"/>
        </w:rPr>
        <w:t>　有下列行为之一的，处五日以下拘留或者五百元以下罚款；情节较重的，处五日以上十日以下拘留，可以并处五百元以下罚款: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（一）写恐吓信或者以其他方法威胁他人人身安全的；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（二）公然侮辱他人或者捏造事实诽谤他人的；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（三）捏造事实诬告陷害他人，企图使他人受到刑事追究或者受到治安管理处罚的；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（四）对证人及其近亲属进行威胁、侮辱、殴打或者打击报复的；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（五）多次发送淫秽、侮辱、恐吓或者其他信息，干扰他人正常生活的；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（六）偷窥、偷拍、窃听、散布他人隐私的。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第四十三</w:t>
      </w:r>
      <w:r>
        <w:rPr>
          <w:rFonts w:hint="eastAsia" w:ascii="宋体" w:hAnsi="宋体" w:eastAsia="黑体" w:cs="仿宋_GB2312"/>
          <w:szCs w:val="32"/>
        </w:rPr>
        <w:t>条</w:t>
      </w:r>
      <w:r>
        <w:rPr>
          <w:rFonts w:hint="eastAsia" w:ascii="宋体" w:hAnsi="宋体" w:cs="仿宋_GB2312"/>
          <w:szCs w:val="32"/>
        </w:rPr>
        <w:t>　殴打他人的，或者故意伤害他人身体的，处五日以上十日以下拘留，并处二百元以上五百元以下罚款；情节较轻的，处五日以下拘留或者五百元以下罚款。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有下列情形之一的，处十日以上十五日以下拘留，并处五百元以上一千元以下罚款: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（一）结伙殴打、伤害他人的；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（二）殴打、伤害残疾人、孕妇、不满十四周岁的人或者六十周岁以上的人的；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（三）多次殴打、伤害他人或者一次殴打、伤害多人的。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第四十四</w:t>
      </w:r>
      <w:r>
        <w:rPr>
          <w:rFonts w:hint="eastAsia" w:ascii="宋体" w:hAnsi="宋体" w:eastAsia="黑体" w:cs="仿宋_GB2312"/>
          <w:szCs w:val="32"/>
        </w:rPr>
        <w:t>条</w:t>
      </w:r>
      <w:r>
        <w:rPr>
          <w:rFonts w:hint="eastAsia" w:ascii="宋体" w:hAnsi="宋体" w:cs="仿宋_GB2312"/>
          <w:szCs w:val="32"/>
        </w:rPr>
        <w:t>　猥亵他人的，或者在公共场所故意裸露身体，情节恶劣的，处五日以上十日以下拘留；猥亵智力残疾人、精神病人、不满十四周岁的人或者有其他严重情节的，处十日以上十五日以下拘留。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第四十五</w:t>
      </w:r>
      <w:r>
        <w:rPr>
          <w:rFonts w:hint="eastAsia" w:ascii="宋体" w:hAnsi="宋体" w:eastAsia="黑体" w:cs="仿宋_GB2312"/>
          <w:szCs w:val="32"/>
        </w:rPr>
        <w:t>条</w:t>
      </w:r>
      <w:r>
        <w:rPr>
          <w:rFonts w:hint="eastAsia" w:ascii="宋体" w:hAnsi="宋体" w:cs="仿宋_GB2312"/>
          <w:szCs w:val="32"/>
        </w:rPr>
        <w:t>　有下列行为之一的，处五日以下拘留或者警告: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（一）虐待家庭成员，被虐待人要求处理的；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（二）遗弃没有独立生活能力的被扶养人的。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第四十六</w:t>
      </w:r>
      <w:r>
        <w:rPr>
          <w:rFonts w:hint="eastAsia" w:ascii="宋体" w:hAnsi="宋体" w:eastAsia="黑体" w:cs="仿宋_GB2312"/>
          <w:szCs w:val="32"/>
        </w:rPr>
        <w:t>条</w:t>
      </w:r>
      <w:r>
        <w:rPr>
          <w:rFonts w:hint="eastAsia" w:ascii="宋体" w:hAnsi="宋体" w:cs="仿宋_GB2312"/>
          <w:szCs w:val="32"/>
        </w:rPr>
        <w:t>　强买强卖商品，强迫他人提供服务或者强迫他人接受服务的，处五日以上十日以下拘留，并处二百元以上五百元以下罚款；情节较轻的，处五日以下拘留或者五百元以下罚款。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第四十七</w:t>
      </w:r>
      <w:r>
        <w:rPr>
          <w:rFonts w:hint="eastAsia" w:ascii="宋体" w:hAnsi="宋体" w:eastAsia="黑体" w:cs="仿宋_GB2312"/>
          <w:szCs w:val="32"/>
        </w:rPr>
        <w:t>条</w:t>
      </w:r>
      <w:r>
        <w:rPr>
          <w:rFonts w:hint="eastAsia" w:ascii="宋体" w:hAnsi="宋体" w:cs="仿宋_GB2312"/>
          <w:szCs w:val="32"/>
        </w:rPr>
        <w:t>　煽动民族仇恨、民族歧视，或者在出版物、计算机信息网络中刊载民族歧视、侮辱内容的，处十日以上十五日以下拘留，可以并处一千元以下罚款。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第四十八</w:t>
      </w:r>
      <w:r>
        <w:rPr>
          <w:rFonts w:hint="eastAsia" w:ascii="宋体" w:hAnsi="宋体" w:eastAsia="黑体" w:cs="仿宋_GB2312"/>
          <w:szCs w:val="32"/>
        </w:rPr>
        <w:t>条</w:t>
      </w:r>
      <w:r>
        <w:rPr>
          <w:rFonts w:hint="eastAsia" w:ascii="宋体" w:hAnsi="宋体" w:cs="仿宋_GB2312"/>
          <w:szCs w:val="32"/>
        </w:rPr>
        <w:t>　冒领、隐匿、毁弃、私自开拆或者非法检查他人邮件的，处五日以下拘留或者五百元以下罚款。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第四十九</w:t>
      </w:r>
      <w:r>
        <w:rPr>
          <w:rFonts w:hint="eastAsia" w:ascii="宋体" w:hAnsi="宋体" w:eastAsia="黑体" w:cs="仿宋_GB2312"/>
          <w:szCs w:val="32"/>
        </w:rPr>
        <w:t>条</w:t>
      </w:r>
      <w:r>
        <w:rPr>
          <w:rFonts w:hint="eastAsia" w:ascii="宋体" w:hAnsi="宋体" w:cs="仿宋_GB2312"/>
          <w:szCs w:val="32"/>
        </w:rPr>
        <w:t>　盗窃、诈骗、哄抢、抢夺、敲诈勒索或者故意损毁公私财物的，处五日以上十日以下拘留，可以并处五百元以下罚款；情节较重的，处十日以上十五日以下拘留，可以并处一千元以下罚款。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第四节　妨害社会管理的行为和处罚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第五十</w:t>
      </w:r>
      <w:r>
        <w:rPr>
          <w:rFonts w:hint="eastAsia" w:ascii="宋体" w:hAnsi="宋体" w:eastAsia="黑体" w:cs="仿宋_GB2312"/>
          <w:szCs w:val="32"/>
        </w:rPr>
        <w:t>条</w:t>
      </w:r>
      <w:r>
        <w:rPr>
          <w:rFonts w:hint="eastAsia" w:ascii="宋体" w:hAnsi="宋体" w:cs="仿宋_GB2312"/>
          <w:szCs w:val="32"/>
        </w:rPr>
        <w:t>　有下列行为之一的，处警告或者二百元以下罚款；情节严重的，处五日以上十日以下拘留，可以并处五百元以下罚款: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（一）拒不执行人民政府在紧急状态情况下依法发布的决定、命令的；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（二）阻碍国家机关工作人员依法执行职务的；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（三）阻碍执行紧急任务的消防车、救护车、工程抢险车、警车等车辆通行的；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（四）强行冲闯公安机关设置的警戒带、警戒区的。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阻碍人民警察依法执行职务的，从重处罚。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第五十一</w:t>
      </w:r>
      <w:r>
        <w:rPr>
          <w:rFonts w:hint="eastAsia" w:ascii="宋体" w:hAnsi="宋体" w:eastAsia="黑体" w:cs="仿宋_GB2312"/>
          <w:szCs w:val="32"/>
        </w:rPr>
        <w:t>条</w:t>
      </w:r>
      <w:r>
        <w:rPr>
          <w:rFonts w:hint="eastAsia" w:ascii="宋体" w:hAnsi="宋体" w:cs="仿宋_GB2312"/>
          <w:szCs w:val="32"/>
        </w:rPr>
        <w:t>　冒充国家机关工作人员或者以其他虚假身份招摇撞骗的，处五日以上十日以下拘留，可以并处五百元以下罚款；情节较轻的，处五日以下拘留或者五百元以下罚款。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冒充军警人员招摇撞骗的，从重处罚。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第五十二</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有下列行为之一的，处十日以上十五日以下拘留，可以并处一千元以下罚款；情节较轻的，处五日以上十日以下拘留，可以并处五百元以下罚款: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（一）伪造、变造或者买卖国家机关、人民团体、企业、事业单位或者其他组织的公文、证件、证明文件、印章的；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（二）买卖或者使用伪造、变造的国家机关、人民团体、企业、事业单位或者其他组织的公文、证件、证明文件的；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（三）伪造、变造、倒卖车票、船票、航空客票、文艺演出票、体育比赛入场券或者其他有价票证、凭证的；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（四）伪造、变造船舶户牌，买卖或者使用伪造、变造的船舶户牌，或者涂改船舶发动机号码的。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第五十三</w:t>
      </w:r>
      <w:r>
        <w:rPr>
          <w:rFonts w:hint="eastAsia" w:ascii="宋体" w:hAnsi="宋体" w:eastAsia="黑体" w:cs="仿宋_GB2312"/>
          <w:szCs w:val="32"/>
        </w:rPr>
        <w:t>条</w:t>
      </w:r>
      <w:r>
        <w:rPr>
          <w:rFonts w:hint="eastAsia" w:ascii="宋体" w:hAnsi="宋体" w:cs="仿宋_GB2312"/>
          <w:szCs w:val="32"/>
        </w:rPr>
        <w:t>　船舶擅自进入、停靠国家禁止、限制进入的水域或者岛屿的，对船舶负责人及有关责任人员处五百元以上一千元以下罚款；情节严重的，处五日以下拘留，并处五百元以上一千元以下罚款。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第五十四</w:t>
      </w:r>
      <w:r>
        <w:rPr>
          <w:rFonts w:hint="eastAsia" w:ascii="宋体" w:hAnsi="宋体" w:eastAsia="黑体" w:cs="仿宋_GB2312"/>
          <w:szCs w:val="32"/>
        </w:rPr>
        <w:t>条</w:t>
      </w:r>
      <w:r>
        <w:rPr>
          <w:rFonts w:hint="eastAsia" w:ascii="宋体" w:hAnsi="宋体" w:cs="仿宋_GB2312"/>
          <w:szCs w:val="32"/>
        </w:rPr>
        <w:t>　有下列行为之一的，处十日以上十五日以下拘留，并处五百元以上一千元以下罚款；情节较轻的，处五日以下拘留或者五百元以下罚款: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（一）违反国家规定，未经注册登记，以社会团体名义进行活动，被取缔后，仍进行活动的；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（二）被依法撤销登记的社会团体，仍以社会团体名义进行活动的；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（三）未经许可，擅自经营按照国家规定需要由公安机关许可的行业的。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有前款第三项行为的，予以取缔。</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取得公安机关许可的经营者，违反国家有关管理规定，情节严重的，公安机关可以吊销许可证。</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第五十五</w:t>
      </w:r>
      <w:r>
        <w:rPr>
          <w:rFonts w:hint="eastAsia" w:ascii="宋体" w:hAnsi="宋体" w:eastAsia="黑体" w:cs="仿宋_GB2312"/>
          <w:szCs w:val="32"/>
        </w:rPr>
        <w:t>条</w:t>
      </w:r>
      <w:r>
        <w:rPr>
          <w:rFonts w:hint="eastAsia" w:ascii="宋体" w:hAnsi="宋体" w:cs="仿宋_GB2312"/>
          <w:szCs w:val="32"/>
        </w:rPr>
        <w:t>　煽动、策划非法集会、游行、示威，不听劝阻的，处十日以上十五日以下拘留。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第五十六条　</w:t>
      </w:r>
      <w:r>
        <w:rPr>
          <w:rFonts w:hint="eastAsia" w:ascii="宋体" w:hAnsi="宋体" w:cs="仿宋_GB2312"/>
          <w:szCs w:val="32"/>
        </w:rPr>
        <w:t>旅馆业的工作人员对住宿的旅客不按规定登记姓名、身份证件种类和号码的，或者明知住宿的旅客将危险物质带入旅馆，不予制止的，处二百元以上五百元以下罚款。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旅馆业的工作人员明知住宿的旅客是犯罪嫌疑人员或者被公安机关通缉的人员，不向公安机关报告的，处二百元以上五百元以下罚款；情节严重的，处五日以下拘留，可以并处五百元以下罚款。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第五十七</w:t>
      </w:r>
      <w:r>
        <w:rPr>
          <w:rFonts w:hint="eastAsia" w:ascii="宋体" w:hAnsi="宋体" w:eastAsia="黑体" w:cs="仿宋_GB2312"/>
          <w:szCs w:val="32"/>
        </w:rPr>
        <w:t>条</w:t>
      </w:r>
      <w:r>
        <w:rPr>
          <w:rFonts w:hint="eastAsia" w:ascii="宋体" w:hAnsi="宋体" w:cs="仿宋_GB2312"/>
          <w:szCs w:val="32"/>
        </w:rPr>
        <w:t>　房屋出租人将房屋出租给无身份证件的人居住的，或者不按规定登记承租人姓名、身份证件种类和号码的，处二百元以上五百元以下罚款。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房屋出租人明知承租人利用出租房屋进行犯罪活动，不向公安机关报告的，处二百元以上五百元以下罚款；情节严重的，处五日以下拘留，可以并处五百元以下罚款。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第五十八</w:t>
      </w:r>
      <w:r>
        <w:rPr>
          <w:rFonts w:hint="eastAsia" w:ascii="宋体" w:hAnsi="宋体" w:eastAsia="黑体" w:cs="仿宋_GB2312"/>
          <w:szCs w:val="32"/>
        </w:rPr>
        <w:t>条</w:t>
      </w:r>
      <w:r>
        <w:rPr>
          <w:rFonts w:hint="eastAsia" w:ascii="宋体" w:hAnsi="宋体" w:cs="仿宋_GB2312"/>
          <w:szCs w:val="32"/>
        </w:rPr>
        <w:t>　违反关于社会生活噪声污染防治的法律规定，制造噪声干扰他人正常生活的，处警告；警告后不改正的，处二百元以上五百元以下罚款。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第五十九</w:t>
      </w:r>
      <w:r>
        <w:rPr>
          <w:rFonts w:hint="eastAsia" w:ascii="宋体" w:hAnsi="宋体" w:eastAsia="黑体" w:cs="仿宋_GB2312"/>
          <w:szCs w:val="32"/>
        </w:rPr>
        <w:t>条</w:t>
      </w:r>
      <w:r>
        <w:rPr>
          <w:rFonts w:hint="eastAsia" w:ascii="宋体" w:hAnsi="宋体" w:cs="仿宋_GB2312"/>
          <w:szCs w:val="32"/>
        </w:rPr>
        <w:t>　有下列行为之一的，处五百元以上一千元以下罚款；情节严重的，处五日以上十日以下拘留，并处五百元以上一千元以下罚款: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（一）典当业工作人员承接典当的物品，不查验有关证明、不履行登记手续，或者明知是违法犯罪嫌疑人、赃物，不向公安机关报告的；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（二）违反国家规定，收购铁路、油田、供电、电信、矿山、水利、测量和城市公用设施等废旧专用器材的；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（三）收购公安机关通报寻查的赃物或者有赃物嫌疑的物品的；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（四）收购国家禁止收购的其他物品的。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w:t>
      </w:r>
      <w:r>
        <w:rPr>
          <w:rFonts w:hint="eastAsia" w:ascii="宋体" w:hAnsi="宋体" w:eastAsia="黑体" w:cs="仿宋_GB2312"/>
          <w:szCs w:val="32"/>
        </w:rPr>
        <w:t>条</w:t>
      </w:r>
      <w:r>
        <w:rPr>
          <w:rFonts w:hint="eastAsia" w:ascii="宋体" w:hAnsi="宋体" w:cs="仿宋_GB2312"/>
          <w:szCs w:val="32"/>
        </w:rPr>
        <w:t>　有下列行为之一的，处五日以上十日以下拘留，并处二百元以上五百元以下罚款: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（一）隐藏、转移、变卖或者损毁行政执法机关依法扣押、查封、冻结的财物的；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（二）伪造、隐匿、毁灭证据或者提供虚假证言、谎报案情，影响行政执法机关依法办案的；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（三）明知是赃物而窝藏、转移或者代为销售的；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（四）被依法执行管制、剥夺政治权利或者在缓刑、暂予监外执行中的罪犯或者被依法采取刑事强制措施的人，有违反法律、行政法规或者国务院有关部门的监督管理规定的行为。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第六十一</w:t>
      </w:r>
      <w:r>
        <w:rPr>
          <w:rFonts w:hint="eastAsia" w:ascii="宋体" w:hAnsi="宋体" w:eastAsia="黑体" w:cs="仿宋_GB2312"/>
          <w:szCs w:val="32"/>
        </w:rPr>
        <w:t>条</w:t>
      </w:r>
      <w:r>
        <w:rPr>
          <w:rFonts w:hint="eastAsia" w:ascii="宋体" w:hAnsi="宋体" w:cs="仿宋_GB2312"/>
          <w:szCs w:val="32"/>
        </w:rPr>
        <w:t>　协助组织或者运送他人偷越国（边）境的，处十日以上十五日以下拘留，并处一千元以上五千元以下罚款。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第六十二</w:t>
      </w:r>
      <w:r>
        <w:rPr>
          <w:rFonts w:hint="eastAsia" w:ascii="宋体" w:hAnsi="宋体" w:eastAsia="黑体" w:cs="仿宋_GB2312"/>
          <w:szCs w:val="32"/>
        </w:rPr>
        <w:t>条</w:t>
      </w:r>
      <w:r>
        <w:rPr>
          <w:rFonts w:hint="eastAsia" w:ascii="宋体" w:hAnsi="宋体" w:cs="仿宋_GB2312"/>
          <w:szCs w:val="32"/>
        </w:rPr>
        <w:t>　为偷越国（边）境人员提供条件的，处五日以上十日以下拘留，并处五百元以上二千元以下罚款。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偷越国（边）境的，处五日以下拘留或者五百元以下罚款。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第六十三</w:t>
      </w:r>
      <w:r>
        <w:rPr>
          <w:rFonts w:hint="eastAsia" w:ascii="宋体" w:hAnsi="宋体" w:eastAsia="黑体" w:cs="仿宋_GB2312"/>
          <w:szCs w:val="32"/>
        </w:rPr>
        <w:t>条</w:t>
      </w:r>
      <w:r>
        <w:rPr>
          <w:rFonts w:hint="eastAsia" w:ascii="宋体" w:hAnsi="宋体" w:cs="仿宋_GB2312"/>
          <w:szCs w:val="32"/>
        </w:rPr>
        <w:t>　有下列行为之一的，处警告或者二百元以下罚款；情节较重的，处五日以上十日以下拘留，并处二百元以上五百元以下罚款: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（一）刻划、涂污或者以其他方式故意损坏国家保护的文物、名胜古迹的；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（二）违反国家规定，在文物保护单位附近进行爆破、挖掘等活动，危及文物安全的。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第六十四</w:t>
      </w:r>
      <w:r>
        <w:rPr>
          <w:rFonts w:hint="eastAsia" w:ascii="宋体" w:hAnsi="宋体" w:eastAsia="黑体" w:cs="仿宋_GB2312"/>
          <w:szCs w:val="32"/>
        </w:rPr>
        <w:t>条</w:t>
      </w:r>
      <w:r>
        <w:rPr>
          <w:rFonts w:hint="eastAsia" w:ascii="宋体" w:hAnsi="宋体" w:cs="仿宋_GB2312"/>
          <w:szCs w:val="32"/>
        </w:rPr>
        <w:t>　有下列行为之一的，处五百元以上一千元以下罚款；情节严重的，处十日以上十五日以下拘留，并处五百元以上一千元以下罚款: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（一）偷开他人机动车的；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（二）未取得驾驶证驾驶或者偷开他人航空器、机动船舶的。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第六十五</w:t>
      </w:r>
      <w:r>
        <w:rPr>
          <w:rFonts w:hint="eastAsia" w:ascii="宋体" w:hAnsi="宋体" w:eastAsia="黑体" w:cs="仿宋_GB2312"/>
          <w:szCs w:val="32"/>
        </w:rPr>
        <w:t>条</w:t>
      </w:r>
      <w:r>
        <w:rPr>
          <w:rFonts w:hint="eastAsia" w:ascii="宋体" w:hAnsi="宋体" w:cs="仿宋_GB2312"/>
          <w:szCs w:val="32"/>
        </w:rPr>
        <w:t>　有下列行为之一的，处五日以上十日以下拘留；情节严重的，处十日以上十五日以下拘留，可以并处一千元以下罚款: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（一）故意破坏、污损他人坟墓或者毁坏、丢弃他人尸骨、骨灰的；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（二）在公共场所停放尸体或者因停放尸体影响他人正常生活、工作秩序，不听劝阻的。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第六十六</w:t>
      </w:r>
      <w:r>
        <w:rPr>
          <w:rFonts w:hint="eastAsia" w:ascii="宋体" w:hAnsi="宋体" w:eastAsia="黑体" w:cs="仿宋_GB2312"/>
          <w:szCs w:val="32"/>
        </w:rPr>
        <w:t>条</w:t>
      </w:r>
      <w:r>
        <w:rPr>
          <w:rFonts w:hint="eastAsia" w:ascii="宋体" w:hAnsi="宋体" w:cs="仿宋_GB2312"/>
          <w:szCs w:val="32"/>
        </w:rPr>
        <w:t>　卖淫、嫖娼的，处十日以上十五日以下拘留，可以并处五千元以下罚款；情节较轻的，处五日以下拘留或者五百元以下罚款。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在公共场所拉客招嫖的，处五日以下拘留或者五百元以下罚款。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第六十七</w:t>
      </w:r>
      <w:r>
        <w:rPr>
          <w:rFonts w:hint="eastAsia" w:ascii="宋体" w:hAnsi="宋体" w:eastAsia="黑体" w:cs="仿宋_GB2312"/>
          <w:szCs w:val="32"/>
        </w:rPr>
        <w:t>条</w:t>
      </w:r>
      <w:r>
        <w:rPr>
          <w:rFonts w:hint="eastAsia" w:ascii="宋体" w:hAnsi="宋体" w:cs="仿宋_GB2312"/>
          <w:szCs w:val="32"/>
        </w:rPr>
        <w:t>　引诱、容留、介绍他人卖淫的，处十日以上十五日以下拘留，可以并处五千元以下罚款；情节较轻的，处五日以下拘留或者五百元以下罚款。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第六十八</w:t>
      </w:r>
      <w:r>
        <w:rPr>
          <w:rFonts w:hint="eastAsia" w:ascii="宋体" w:hAnsi="宋体" w:eastAsia="黑体" w:cs="仿宋_GB2312"/>
          <w:szCs w:val="32"/>
        </w:rPr>
        <w:t>条</w:t>
      </w:r>
      <w:r>
        <w:rPr>
          <w:rFonts w:hint="eastAsia" w:ascii="宋体" w:hAnsi="宋体" w:cs="仿宋_GB2312"/>
          <w:szCs w:val="32"/>
        </w:rPr>
        <w:t>　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第六十九</w:t>
      </w:r>
      <w:r>
        <w:rPr>
          <w:rFonts w:hint="eastAsia" w:ascii="宋体" w:hAnsi="宋体" w:eastAsia="黑体" w:cs="仿宋_GB2312"/>
          <w:szCs w:val="32"/>
        </w:rPr>
        <w:t>条</w:t>
      </w:r>
      <w:r>
        <w:rPr>
          <w:rFonts w:hint="eastAsia" w:ascii="宋体" w:hAnsi="宋体" w:cs="仿宋_GB2312"/>
          <w:szCs w:val="32"/>
        </w:rPr>
        <w:t>　有下列行为之一的，处十日以上十五日以下拘留，并处五百元以上一千元以下罚款: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（一）组织播放淫秽音像的；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（二）组织或者进行淫秽表演的；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（三）参与聚众淫乱活动的。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明知他人从事前款活动，为其提供条件的，依照前款的规定处罚。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w:t>
      </w:r>
      <w:r>
        <w:rPr>
          <w:rFonts w:hint="eastAsia" w:ascii="宋体" w:hAnsi="宋体" w:eastAsia="黑体" w:cs="仿宋_GB2312"/>
          <w:szCs w:val="32"/>
        </w:rPr>
        <w:t>条</w:t>
      </w:r>
      <w:r>
        <w:rPr>
          <w:rFonts w:hint="eastAsia" w:ascii="宋体" w:hAnsi="宋体" w:cs="仿宋_GB2312"/>
          <w:szCs w:val="32"/>
        </w:rPr>
        <w:t>　以营利为目的，为赌博提供条件的，或者参与赌博赌资较大的，处五日以下拘留或者五百元以下罚款；情节严重的，处十日以上十五日以下拘留，并处五百元以上三千元以下罚款。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第七十一</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有下列行为之一的，处十日以上十五日以下拘留，可以并处三千元以下罚款；情节较轻的，处五日以下拘留或者五百元以下罚款: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（一）非法种植罂粟不满五百株或者其他少量毒品原植物的；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xml:space="preserve">　 </w:t>
      </w:r>
      <w:r>
        <w:rPr>
          <w:rFonts w:hint="eastAsia" w:ascii="宋体" w:hAnsi="宋体" w:cs="仿宋_GB2312"/>
          <w:szCs w:val="32"/>
        </w:rPr>
        <w:t>（二）非法买卖、运输、携带、持有少量未经灭活的罂粟等毒品原植物种子或者幼苗的；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（三）非法运输、买卖、储存、使用少量罂粟壳的。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有前款第一项行为，在成熟前自行铲除的，不予处罚。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第七十二</w:t>
      </w:r>
      <w:r>
        <w:rPr>
          <w:rFonts w:hint="eastAsia" w:ascii="宋体" w:hAnsi="宋体" w:eastAsia="黑体" w:cs="仿宋_GB2312"/>
          <w:szCs w:val="32"/>
        </w:rPr>
        <w:t>条</w:t>
      </w:r>
      <w:r>
        <w:rPr>
          <w:rFonts w:hint="eastAsia" w:ascii="宋体" w:hAnsi="宋体" w:cs="仿宋_GB2312"/>
          <w:szCs w:val="32"/>
        </w:rPr>
        <w:t>　有下列行为之一的，处十日以上十五日以下拘留，可以并处二千元以下罚款；情节较轻的，处五日以下拘留或者五百元以下罚款: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（一）非法持有鸦片不满二百克、海洛因或者甲基苯丙胺不满十克或者其他少量毒品的；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（二）向他人提供毒品的；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（三）吸食、注射毒品的；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（四）胁迫、欺骗医务人员开具麻醉药品、精神药品的。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第七十三</w:t>
      </w:r>
      <w:r>
        <w:rPr>
          <w:rFonts w:hint="eastAsia" w:ascii="宋体" w:hAnsi="宋体" w:eastAsia="黑体" w:cs="仿宋_GB2312"/>
          <w:szCs w:val="32"/>
        </w:rPr>
        <w:t>条</w:t>
      </w:r>
      <w:r>
        <w:rPr>
          <w:rFonts w:hint="eastAsia" w:ascii="宋体" w:hAnsi="宋体" w:cs="仿宋_GB2312"/>
          <w:szCs w:val="32"/>
        </w:rPr>
        <w:t>　教唆、引诱、欺骗他人吸食、注射毒品的，处十日以上十五日以下拘留，并处五百元以上二千元以下罚款。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第七十四</w:t>
      </w:r>
      <w:r>
        <w:rPr>
          <w:rFonts w:hint="eastAsia" w:ascii="宋体" w:hAnsi="宋体" w:eastAsia="黑体" w:cs="仿宋_GB2312"/>
          <w:szCs w:val="32"/>
        </w:rPr>
        <w:t>条</w:t>
      </w:r>
      <w:r>
        <w:rPr>
          <w:rFonts w:hint="eastAsia" w:ascii="宋体" w:hAnsi="宋体" w:cs="仿宋_GB2312"/>
          <w:szCs w:val="32"/>
        </w:rPr>
        <w:t>　旅馆业、饮食服务业、文化娱乐业、出租汽车业等单位的人员，在公安机关查处吸毒、赌博、卖淫、嫖娼活动时，为违法犯罪行为人通风报信的，处十日以上十五日以下拘留。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第七十五</w:t>
      </w:r>
      <w:r>
        <w:rPr>
          <w:rFonts w:hint="eastAsia" w:ascii="宋体" w:hAnsi="宋体" w:eastAsia="黑体" w:cs="仿宋_GB2312"/>
          <w:szCs w:val="32"/>
        </w:rPr>
        <w:t>条</w:t>
      </w:r>
      <w:r>
        <w:rPr>
          <w:rFonts w:hint="eastAsia" w:ascii="宋体" w:hAnsi="宋体" w:cs="仿宋_GB2312"/>
          <w:szCs w:val="32"/>
        </w:rPr>
        <w:t>　饲养动物，干扰他人正常生活的，处警告；警告后不改正的，或者放任动物恐吓他人的，处二百元以上五百元以下罚款。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驱使动物伤害他人的，依照本法第四十三条第一款的规定处罚。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第七十六</w:t>
      </w:r>
      <w:r>
        <w:rPr>
          <w:rFonts w:hint="eastAsia" w:ascii="宋体" w:hAnsi="宋体" w:eastAsia="黑体" w:cs="仿宋_GB2312"/>
          <w:szCs w:val="32"/>
        </w:rPr>
        <w:t>条</w:t>
      </w:r>
      <w:r>
        <w:rPr>
          <w:rFonts w:hint="eastAsia" w:ascii="宋体" w:hAnsi="宋体" w:cs="仿宋_GB2312"/>
          <w:szCs w:val="32"/>
        </w:rPr>
        <w:t>　有本法第六十七条、第六十八条、第七十条的行为，屡教不改的，可以按照国家规定采取强制性教育措施。</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第四章　处罚程序</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调查</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第七十七</w:t>
      </w:r>
      <w:r>
        <w:rPr>
          <w:rFonts w:hint="eastAsia" w:ascii="宋体" w:hAnsi="宋体" w:eastAsia="黑体" w:cs="仿宋_GB2312"/>
          <w:szCs w:val="32"/>
        </w:rPr>
        <w:t>条</w:t>
      </w:r>
      <w:r>
        <w:rPr>
          <w:rFonts w:hint="eastAsia" w:ascii="宋体" w:hAnsi="宋体" w:cs="仿宋_GB2312"/>
          <w:szCs w:val="32"/>
        </w:rPr>
        <w:t>　公安机关对报案、控告、举报或者违反治安管理行为人主动投案，以及其他行政主管部门、司法机关移送的违反治安管理案件，应当及时受理，并进行登记。</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第七十八</w:t>
      </w:r>
      <w:r>
        <w:rPr>
          <w:rFonts w:hint="eastAsia" w:ascii="宋体" w:hAnsi="宋体" w:eastAsia="黑体" w:cs="仿宋_GB2312"/>
          <w:szCs w:val="32"/>
        </w:rPr>
        <w:t>条</w:t>
      </w:r>
      <w:r>
        <w:rPr>
          <w:rFonts w:hint="eastAsia" w:ascii="宋体" w:hAnsi="宋体" w:cs="仿宋_GB2312"/>
          <w:szCs w:val="32"/>
        </w:rPr>
        <w:t>　公安机关受理报案、控告、举报、投案后，认为属于违反治安管理行为的，应当立即进行调查；认为不属于违反治安管理行为的，应当告知报案人、控告人、举报人、投案人，并说明理由。</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第七十九</w:t>
      </w:r>
      <w:r>
        <w:rPr>
          <w:rFonts w:hint="eastAsia" w:ascii="宋体" w:hAnsi="宋体" w:eastAsia="黑体" w:cs="仿宋_GB2312"/>
          <w:szCs w:val="32"/>
        </w:rPr>
        <w:t>条</w:t>
      </w:r>
      <w:r>
        <w:rPr>
          <w:rFonts w:hint="eastAsia" w:ascii="宋体" w:hAnsi="宋体" w:cs="仿宋_GB2312"/>
          <w:szCs w:val="32"/>
        </w:rPr>
        <w:t>　公安机关及其人民警察对治安案件的调查，应当依法进行。严禁刑讯逼供或者采用威胁、引诱、欺骗等非法手段收集证据。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以非法手段收集的证据不得作为处罚的根据。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w:t>
      </w:r>
      <w:r>
        <w:rPr>
          <w:rFonts w:hint="eastAsia" w:ascii="宋体" w:hAnsi="宋体" w:eastAsia="黑体" w:cs="仿宋_GB2312"/>
          <w:szCs w:val="32"/>
        </w:rPr>
        <w:t>条</w:t>
      </w:r>
      <w:r>
        <w:rPr>
          <w:rFonts w:hint="eastAsia" w:ascii="宋体" w:hAnsi="宋体" w:cs="仿宋_GB2312"/>
          <w:szCs w:val="32"/>
        </w:rPr>
        <w:t>　公安机关及其人民警察在办理治安案件时，对涉及的国家秘密、商业秘密或者个人隐私，应当予以保密。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第八十一</w:t>
      </w:r>
      <w:r>
        <w:rPr>
          <w:rFonts w:hint="eastAsia" w:ascii="宋体" w:hAnsi="宋体" w:eastAsia="黑体" w:cs="仿宋_GB2312"/>
          <w:szCs w:val="32"/>
        </w:rPr>
        <w:t>条</w:t>
      </w:r>
      <w:r>
        <w:rPr>
          <w:rFonts w:hint="eastAsia" w:ascii="宋体" w:hAnsi="宋体" w:cs="仿宋_GB2312"/>
          <w:szCs w:val="32"/>
        </w:rPr>
        <w:t>　人民警察在办理治安案件过程中，遇有下列情形之一的，应当回避；违反治安管理行为人、被侵害人或者其法定代理人也有权要求他们回避:</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（一）是本案当事人或者当事人的近亲属的；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（二）本人或者其近亲属与本案有利害关系的；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（三）与本案当事人有其他关系，可能影响案件公正处理的。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人民警察的回避，由其所属的公安机关决定；公安机关负责人的回避，由上一级公安机关决定。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第八十二</w:t>
      </w:r>
      <w:r>
        <w:rPr>
          <w:rFonts w:hint="eastAsia" w:ascii="宋体" w:hAnsi="宋体" w:eastAsia="黑体" w:cs="仿宋_GB2312"/>
          <w:szCs w:val="32"/>
        </w:rPr>
        <w:t>条</w:t>
      </w:r>
      <w:r>
        <w:rPr>
          <w:rFonts w:hint="eastAsia" w:ascii="宋体" w:hAnsi="宋体" w:cs="仿宋_GB2312"/>
          <w:szCs w:val="32"/>
        </w:rPr>
        <w:t>　需要传唤违反治安管理行为人接受调查的，经公安机关办案部门负责人批准，使用传唤证传唤。对现场发现的违反治安管理行为人，人民警察经出示工作证件，可以口头传唤，但应当在询问笔录中注明。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公安机关应当将传唤的原因和依据告知被传唤人。对无正当理由不接受传唤或者逃避传唤的人，可以强制传唤。</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第八十三</w:t>
      </w:r>
      <w:r>
        <w:rPr>
          <w:rFonts w:hint="eastAsia" w:ascii="宋体" w:hAnsi="宋体" w:eastAsia="黑体" w:cs="仿宋_GB2312"/>
          <w:szCs w:val="32"/>
        </w:rPr>
        <w:t>条</w:t>
      </w:r>
      <w:r>
        <w:rPr>
          <w:rFonts w:hint="eastAsia" w:ascii="宋体" w:hAnsi="宋体" w:cs="仿宋_GB2312"/>
          <w:szCs w:val="32"/>
        </w:rPr>
        <w:t>　对违反治安管理行为人，公安机关传唤后应当及时询问查证，询问查证的时间不得超过八小时；情况复杂，依照本法规定可能适用行政拘留处罚的，询问查证的时间不得超过二十四小时。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公安机关应当及时将传唤的原因和处所通知被传唤人家属。</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第八十四</w:t>
      </w:r>
      <w:r>
        <w:rPr>
          <w:rFonts w:hint="eastAsia" w:ascii="宋体" w:hAnsi="宋体" w:eastAsia="黑体" w:cs="仿宋_GB2312"/>
          <w:szCs w:val="32"/>
        </w:rPr>
        <w:t>条</w:t>
      </w:r>
      <w:r>
        <w:rPr>
          <w:rFonts w:hint="eastAsia" w:ascii="宋体" w:hAnsi="宋体" w:cs="仿宋_GB2312"/>
          <w:szCs w:val="32"/>
        </w:rPr>
        <w:t>　询问笔录应当交被询问人核对；对没有阅读能力的，应当向其宣读。记载有遗漏或者差错的，被询问人可以提出补充或者更正。被询问人确认笔录无误后，应当签名或者盖章，询问的人民警察也应当在笔录上签名。</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被询问人要求就被询问事项自行提供书面材料的，应当准许；必要时，人民警察也可以要求被询问人自行书写。</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询问不满十六周岁的违反治安管理行为人，应当通知其父母或者其他监护人到场。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第八十五</w:t>
      </w:r>
      <w:r>
        <w:rPr>
          <w:rFonts w:hint="eastAsia" w:ascii="宋体" w:hAnsi="宋体" w:eastAsia="黑体" w:cs="仿宋_GB2312"/>
          <w:szCs w:val="32"/>
        </w:rPr>
        <w:t>条</w:t>
      </w:r>
      <w:r>
        <w:rPr>
          <w:rFonts w:hint="eastAsia" w:ascii="宋体" w:hAnsi="宋体" w:cs="仿宋_GB2312"/>
          <w:szCs w:val="32"/>
        </w:rPr>
        <w:t>　人民警察询问被侵害人或者其他证人，可以到其所在单位或者住处进行；必要时，也可以通知其到公安机关提供证言。</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人民警察在公安机关以外询问被侵害人或者其他证人，应当出示工作证件。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询问被侵害人或者其他证人，同时适用本法第八十四条的规定。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第八十六</w:t>
      </w:r>
      <w:r>
        <w:rPr>
          <w:rFonts w:hint="eastAsia" w:ascii="宋体" w:hAnsi="宋体" w:eastAsia="黑体" w:cs="仿宋_GB2312"/>
          <w:szCs w:val="32"/>
        </w:rPr>
        <w:t>条</w:t>
      </w:r>
      <w:r>
        <w:rPr>
          <w:rFonts w:hint="eastAsia" w:ascii="宋体" w:hAnsi="宋体" w:cs="仿宋_GB2312"/>
          <w:szCs w:val="32"/>
        </w:rPr>
        <w:t>　询问聋哑的违反治安管理行为人、被侵害人或者其他证人，应当有通晓手语的人提供帮助，并在笔录上注明。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询问不通晓当地通用的语言文字的违反治安管理行为人、被侵害人或者其他证人，应当配备翻译人员，并在笔录上注明。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第八十七</w:t>
      </w:r>
      <w:r>
        <w:rPr>
          <w:rFonts w:hint="eastAsia" w:ascii="宋体" w:hAnsi="宋体" w:eastAsia="黑体" w:cs="仿宋_GB2312"/>
          <w:szCs w:val="32"/>
        </w:rPr>
        <w:t>条</w:t>
      </w:r>
      <w:r>
        <w:rPr>
          <w:rFonts w:hint="eastAsia" w:ascii="宋体" w:hAnsi="宋体" w:cs="仿宋_GB2312"/>
          <w:szCs w:val="32"/>
        </w:rPr>
        <w:t>　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检查妇女的身体，应当由女性工作人员进行。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第八十八</w:t>
      </w:r>
      <w:r>
        <w:rPr>
          <w:rFonts w:hint="eastAsia" w:ascii="宋体" w:hAnsi="宋体" w:eastAsia="黑体" w:cs="仿宋_GB2312"/>
          <w:szCs w:val="32"/>
        </w:rPr>
        <w:t>条</w:t>
      </w:r>
      <w:r>
        <w:rPr>
          <w:rFonts w:hint="eastAsia" w:ascii="宋体" w:hAnsi="宋体" w:cs="仿宋_GB2312"/>
          <w:szCs w:val="32"/>
        </w:rPr>
        <w:t>　检查的情况应当制作检查笔录，由检查人、被检查人和见证人签名或者盖章；被检查人拒绝签名的，人民警察应当在笔录上注明。</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第八十九</w:t>
      </w:r>
      <w:r>
        <w:rPr>
          <w:rFonts w:hint="eastAsia" w:ascii="宋体" w:hAnsi="宋体" w:eastAsia="黑体" w:cs="仿宋_GB2312"/>
          <w:szCs w:val="32"/>
        </w:rPr>
        <w:t>条</w:t>
      </w:r>
      <w:r>
        <w:rPr>
          <w:rFonts w:hint="eastAsia" w:ascii="宋体" w:hAnsi="宋体" w:cs="仿宋_GB2312"/>
          <w:szCs w:val="32"/>
        </w:rPr>
        <w:t>　公安机关办理治安案件，对与案件有关的需要作为证据的物品，可以扣押；对被侵害人或者善意第三人合法占有的财产，不得扣押，应当予以登记。对与案件无关的物品，不得扣押。</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对扣押的物品，应当会同在场见证人和被扣押物品持有人查点清楚，当场开列清单一式二份，由调查人员、见证人和持有人签名或者盖章，一份交给持有人，另一份附卷备查。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第九十</w:t>
      </w:r>
      <w:r>
        <w:rPr>
          <w:rFonts w:hint="eastAsia" w:ascii="宋体" w:hAnsi="宋体" w:eastAsia="黑体" w:cs="仿宋_GB2312"/>
          <w:szCs w:val="32"/>
        </w:rPr>
        <w:t>条</w:t>
      </w:r>
      <w:r>
        <w:rPr>
          <w:rFonts w:hint="eastAsia" w:ascii="宋体" w:hAnsi="宋体" w:cs="仿宋_GB2312"/>
          <w:szCs w:val="32"/>
        </w:rPr>
        <w:t>　为了查明案情，需要解决案件中有争议的专门性问题的，应当指派或者聘请具有专门知识的人员进行鉴定；鉴定人鉴定后，应当写出鉴定意见，并且签名。</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宋体" w:cs="宋体"/>
          <w:szCs w:val="32"/>
        </w:rPr>
      </w:pPr>
      <w:r>
        <w:rPr>
          <w:rFonts w:hint="eastAsia" w:ascii="宋体" w:hAnsi="宋体" w:eastAsia="黑体" w:cs="黑体"/>
          <w:szCs w:val="32"/>
        </w:rPr>
        <w:t>第二节　决定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第九十一</w:t>
      </w:r>
      <w:r>
        <w:rPr>
          <w:rFonts w:hint="eastAsia" w:ascii="宋体" w:hAnsi="宋体" w:eastAsia="黑体" w:cs="仿宋_GB2312"/>
          <w:szCs w:val="32"/>
        </w:rPr>
        <w:t>条</w:t>
      </w:r>
      <w:r>
        <w:rPr>
          <w:rFonts w:hint="eastAsia" w:ascii="宋体" w:hAnsi="宋体" w:cs="仿宋_GB2312"/>
          <w:szCs w:val="32"/>
        </w:rPr>
        <w:t>　治安管理处罚由县级以上人民政府公安机关决定；其中警告、五百元以下的罚款可以由公安派出所决定。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第九十二</w:t>
      </w:r>
      <w:r>
        <w:rPr>
          <w:rFonts w:hint="eastAsia" w:ascii="宋体" w:hAnsi="宋体" w:eastAsia="黑体" w:cs="仿宋_GB2312"/>
          <w:szCs w:val="32"/>
        </w:rPr>
        <w:t>条</w:t>
      </w:r>
      <w:r>
        <w:rPr>
          <w:rFonts w:hint="eastAsia" w:ascii="宋体" w:hAnsi="宋体" w:cs="仿宋_GB2312"/>
          <w:szCs w:val="32"/>
        </w:rPr>
        <w:t>　对决定给予行政拘留处罚的人，在处罚前已经采取强制措施限制人身自由的时间，应当折抵。限制人身自由一日，折抵行政拘留一日。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第九十三</w:t>
      </w:r>
      <w:r>
        <w:rPr>
          <w:rFonts w:hint="eastAsia" w:ascii="宋体" w:hAnsi="宋体" w:eastAsia="黑体" w:cs="仿宋_GB2312"/>
          <w:szCs w:val="32"/>
        </w:rPr>
        <w:t>条</w:t>
      </w:r>
      <w:r>
        <w:rPr>
          <w:rFonts w:hint="eastAsia" w:ascii="宋体" w:hAnsi="宋体" w:cs="仿宋_GB2312"/>
          <w:szCs w:val="32"/>
        </w:rPr>
        <w:t>　公安机关查处治安案件，对没有本人陈述，但其他证据能够证明案件事实的，可以作出治安管理处罚决定。但是，只有本人陈述，没有其他证据证明的，不能作出治安管理处罚决定。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第九十四</w:t>
      </w:r>
      <w:r>
        <w:rPr>
          <w:rFonts w:hint="eastAsia" w:ascii="宋体" w:hAnsi="宋体" w:eastAsia="黑体" w:cs="仿宋_GB2312"/>
          <w:szCs w:val="32"/>
        </w:rPr>
        <w:t>条</w:t>
      </w:r>
      <w:r>
        <w:rPr>
          <w:rFonts w:hint="eastAsia" w:ascii="宋体" w:hAnsi="宋体" w:cs="仿宋_GB2312"/>
          <w:szCs w:val="32"/>
        </w:rPr>
        <w:t>　公安机关作出治安管理处罚决定前，应当告知违反治安管理行为人作出治安管理处罚的事实、理由及依据，并告知违反治安管理行为人依法享有的权利。</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公安机关不得因违反治安管理行为人的陈述、申辩而加重处罚。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第九十五</w:t>
      </w:r>
      <w:r>
        <w:rPr>
          <w:rFonts w:hint="eastAsia" w:ascii="宋体" w:hAnsi="宋体" w:eastAsia="黑体" w:cs="仿宋_GB2312"/>
          <w:szCs w:val="32"/>
        </w:rPr>
        <w:t>条</w:t>
      </w:r>
      <w:r>
        <w:rPr>
          <w:rFonts w:hint="eastAsia" w:ascii="宋体" w:hAnsi="宋体" w:cs="仿宋_GB2312"/>
          <w:szCs w:val="32"/>
        </w:rPr>
        <w:t>　治安案件调查结束后，公安机关应当根据不同情况，分别作出以下处理: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（一）确有依法应当给予治安管理处罚的违法行为的，根据情节轻重及具体情况，作出处罚决定；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（二）依法不予处罚的，或者违法事实不能成立的，作出不予处罚决定；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（三）违法行为已涉嫌犯罪的，移送主管机关依法追究刑事责任；</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（四）发现违反治安管理行为人有其他违法行为的，在对违反治安管理行为作出处罚决定的同时，通知有关行政主管部门处理。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第九十六</w:t>
      </w:r>
      <w:r>
        <w:rPr>
          <w:rFonts w:hint="eastAsia" w:ascii="宋体" w:hAnsi="宋体" w:eastAsia="黑体" w:cs="仿宋_GB2312"/>
          <w:szCs w:val="32"/>
        </w:rPr>
        <w:t>条</w:t>
      </w:r>
      <w:r>
        <w:rPr>
          <w:rFonts w:hint="eastAsia" w:ascii="宋体" w:hAnsi="宋体" w:cs="仿宋_GB2312"/>
          <w:szCs w:val="32"/>
        </w:rPr>
        <w:t>　公安机关作出治安管理处罚决定的，应当制作治安管理处罚决定书。决定书应当载明下列内容:</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（一）被处罚人的姓名、性别、年龄、身份证件的名称和号码、住址；</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（二）违法事实和证据；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（三）处罚的种类和依据；</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（四）处罚的执行方式和期限；</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（五）对处罚决定不服，申请行政复议、提起行政诉讼的途径和期限；</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（六）作出处罚决定的公安机关的名称和作出决定的日期。</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决定书应当由作出处罚决定的公安机关加盖印章。</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第九十七</w:t>
      </w:r>
      <w:r>
        <w:rPr>
          <w:rFonts w:hint="eastAsia" w:ascii="宋体" w:hAnsi="宋体" w:eastAsia="黑体" w:cs="仿宋_GB2312"/>
          <w:szCs w:val="32"/>
        </w:rPr>
        <w:t>条</w:t>
      </w:r>
      <w:r>
        <w:rPr>
          <w:rFonts w:hint="eastAsia" w:ascii="宋体" w:hAnsi="宋体" w:cs="仿宋_GB2312"/>
          <w:szCs w:val="32"/>
        </w:rPr>
        <w:t>　公安机关应当向被处罚人宣告治安管理处罚决定书，并当场交付被处罚人；无法当场向被处罚人宣告的，应当在二日内送达被处罚人。决定给予行政拘留处罚的，应当及时通知被处罚人的家属。</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有被侵害人的，公安机关应当将决定书副本抄送被侵害人。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第九十八</w:t>
      </w:r>
      <w:r>
        <w:rPr>
          <w:rFonts w:hint="eastAsia" w:ascii="宋体" w:hAnsi="宋体" w:eastAsia="黑体" w:cs="仿宋_GB2312"/>
          <w:szCs w:val="32"/>
        </w:rPr>
        <w:t>条</w:t>
      </w:r>
      <w:r>
        <w:rPr>
          <w:rFonts w:hint="eastAsia" w:ascii="宋体" w:hAnsi="宋体" w:cs="仿宋_GB2312"/>
          <w:szCs w:val="32"/>
        </w:rPr>
        <w:t>　公安机关作出吊销许可证以及处二千元以上罚款的治安管理处罚决定前，应当告知违反治安管理行为人有权要求举行听证；违反治安管理行为人要求听证的，公安机关应当及时依法举行听证。</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第九十九</w:t>
      </w:r>
      <w:r>
        <w:rPr>
          <w:rFonts w:hint="eastAsia" w:ascii="宋体" w:hAnsi="宋体" w:eastAsia="黑体" w:cs="仿宋_GB2312"/>
          <w:szCs w:val="32"/>
        </w:rPr>
        <w:t>条</w:t>
      </w:r>
      <w:r>
        <w:rPr>
          <w:rFonts w:hint="eastAsia" w:ascii="宋体" w:hAnsi="宋体" w:cs="仿宋_GB2312"/>
          <w:szCs w:val="32"/>
        </w:rPr>
        <w:t>　公安机关办理治安案件的期限，自受理之日起不得超过三十日；案情重大、复杂的，经上一级公安机关批准，可以延长三十日。</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为了查明案情进行鉴定的期间，不计入办理治安案件的期限。</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w:t>
      </w:r>
      <w:r>
        <w:rPr>
          <w:rFonts w:hint="eastAsia" w:ascii="宋体" w:hAnsi="宋体" w:eastAsia="黑体" w:cs="仿宋_GB2312"/>
          <w:szCs w:val="32"/>
        </w:rPr>
        <w:t>条</w:t>
      </w:r>
      <w:r>
        <w:rPr>
          <w:rFonts w:hint="eastAsia" w:ascii="宋体" w:hAnsi="宋体" w:cs="仿宋_GB2312"/>
          <w:szCs w:val="32"/>
        </w:rPr>
        <w:t>　违反治安管理行为事实清楚，证据确凿，处警告或者二百元以下罚款的，可以当场作出治安管理处罚决定。</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第一百零一</w:t>
      </w:r>
      <w:r>
        <w:rPr>
          <w:rFonts w:hint="eastAsia" w:ascii="宋体" w:hAnsi="宋体" w:eastAsia="黑体" w:cs="仿宋_GB2312"/>
          <w:szCs w:val="32"/>
        </w:rPr>
        <w:t>条</w:t>
      </w:r>
      <w:r>
        <w:rPr>
          <w:rFonts w:hint="eastAsia" w:ascii="宋体" w:hAnsi="宋体" w:cs="仿宋_GB2312"/>
          <w:szCs w:val="32"/>
        </w:rPr>
        <w:t>　当场作出治安管理处罚决定的，人民警察应当向违反治安管理行为人出示工作证件，并填写处罚决定书。处罚决定书应当当场交付被处罚人；有被侵害人的，并将决定书副本抄送被侵害人。</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前款规定的处罚决定书，应当载明被处罚人的姓名、违法行为、处罚依据、罚款数额、时间、地点以及公安机关名称，并由经办的人民警察签名或者盖章。</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当场作出治安管理处罚决定的，经办的人民警察应当在二十四小时内报所属公安机关备案。</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第一百零二</w:t>
      </w:r>
      <w:r>
        <w:rPr>
          <w:rFonts w:hint="eastAsia" w:ascii="宋体" w:hAnsi="宋体" w:eastAsia="黑体" w:cs="仿宋_GB2312"/>
          <w:szCs w:val="32"/>
        </w:rPr>
        <w:t>条</w:t>
      </w:r>
      <w:r>
        <w:rPr>
          <w:rFonts w:hint="eastAsia" w:ascii="宋体" w:hAnsi="宋体" w:cs="仿宋_GB2312"/>
          <w:szCs w:val="32"/>
        </w:rPr>
        <w:t>　被处罚人对治安管理处罚决定不服的，可以依法申请行政复议或者提起行政诉讼。</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执行</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第一百零三</w:t>
      </w:r>
      <w:r>
        <w:rPr>
          <w:rFonts w:hint="eastAsia" w:ascii="宋体" w:hAnsi="宋体" w:eastAsia="黑体" w:cs="仿宋_GB2312"/>
          <w:szCs w:val="32"/>
        </w:rPr>
        <w:t>条</w:t>
      </w:r>
      <w:r>
        <w:rPr>
          <w:rFonts w:hint="eastAsia" w:ascii="宋体" w:hAnsi="宋体" w:cs="仿宋_GB2312"/>
          <w:szCs w:val="32"/>
        </w:rPr>
        <w:t>　对被决定给予行政拘留处罚的人，由作出决定的公安机关送达拘留所执行。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第一百零四</w:t>
      </w:r>
      <w:r>
        <w:rPr>
          <w:rFonts w:hint="eastAsia" w:ascii="宋体" w:hAnsi="宋体" w:eastAsia="黑体" w:cs="仿宋_GB2312"/>
          <w:szCs w:val="32"/>
        </w:rPr>
        <w:t>条</w:t>
      </w:r>
      <w:r>
        <w:rPr>
          <w:rFonts w:hint="eastAsia" w:ascii="宋体" w:hAnsi="宋体" w:cs="仿宋_GB2312"/>
          <w:szCs w:val="32"/>
        </w:rPr>
        <w:t>　受到罚款处罚的人应当自收到处罚决定书之日起十五日内，到指定的银行缴纳罚款。但是，有下列情形之一的，人民警察可以当场收缴罚款: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（一）被处五十元以下罚款，被处罚人对罚款无异议的；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（二）在边远、水上、交通不便地区，公安机关及其人民警察依照本法的规定作出罚款决定后，被处罚人向指定的银行缴纳罚款确有困难，经被处罚人提出的；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（三）被处罚人在当地没有固定住所，不当场收缴事后难以执行的。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第一百零五</w:t>
      </w:r>
      <w:r>
        <w:rPr>
          <w:rFonts w:hint="eastAsia" w:ascii="宋体" w:hAnsi="宋体" w:eastAsia="黑体" w:cs="仿宋_GB2312"/>
          <w:szCs w:val="32"/>
        </w:rPr>
        <w:t>条</w:t>
      </w:r>
      <w:r>
        <w:rPr>
          <w:rFonts w:hint="eastAsia" w:ascii="宋体" w:hAnsi="宋体" w:cs="仿宋_GB2312"/>
          <w:szCs w:val="32"/>
        </w:rPr>
        <w:t>　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第一百零六</w:t>
      </w:r>
      <w:r>
        <w:rPr>
          <w:rFonts w:hint="eastAsia" w:ascii="宋体" w:hAnsi="宋体" w:eastAsia="黑体" w:cs="仿宋_GB2312"/>
          <w:szCs w:val="32"/>
        </w:rPr>
        <w:t>条</w:t>
      </w:r>
      <w:r>
        <w:rPr>
          <w:rFonts w:hint="eastAsia" w:ascii="宋体" w:hAnsi="宋体" w:cs="仿宋_GB2312"/>
          <w:szCs w:val="32"/>
        </w:rPr>
        <w:t>　人民警察当场收缴罚款的，应当向被处罚人出具省、自治区、直辖市人民政府财政部门统一制发的罚款收据；不出具统一制发的罚款收据的，被处罚人有权拒绝缴纳罚款。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第一百零七</w:t>
      </w:r>
      <w:r>
        <w:rPr>
          <w:rFonts w:hint="eastAsia" w:ascii="宋体" w:hAnsi="宋体" w:eastAsia="黑体" w:cs="仿宋_GB2312"/>
          <w:szCs w:val="32"/>
        </w:rPr>
        <w:t>条</w:t>
      </w:r>
      <w:r>
        <w:rPr>
          <w:rFonts w:hint="eastAsia" w:ascii="宋体" w:hAnsi="宋体" w:cs="仿宋_GB2312"/>
          <w:szCs w:val="32"/>
        </w:rPr>
        <w:t>　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第一百零八</w:t>
      </w:r>
      <w:r>
        <w:rPr>
          <w:rFonts w:hint="eastAsia" w:ascii="宋体" w:hAnsi="宋体" w:eastAsia="黑体" w:cs="仿宋_GB2312"/>
          <w:szCs w:val="32"/>
        </w:rPr>
        <w:t>条</w:t>
      </w:r>
      <w:r>
        <w:rPr>
          <w:rFonts w:hint="eastAsia" w:ascii="宋体" w:hAnsi="宋体" w:cs="仿宋_GB2312"/>
          <w:szCs w:val="32"/>
        </w:rPr>
        <w:t>　担保人应当符合下列条件: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（一）与本案无牵连；</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（二）享有政治权利，人身自由未受到限制；</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（三）在当地有常住户口和固定住所；</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（四）有能力履行担保义务。</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第一百零九条</w:t>
      </w:r>
      <w:r>
        <w:rPr>
          <w:rFonts w:hint="eastAsia" w:ascii="宋体" w:hAnsi="宋体" w:cs="仿宋_GB2312"/>
          <w:szCs w:val="32"/>
        </w:rPr>
        <w:t>　担保人应当保证被担保人不逃避行政拘留处罚的执行。</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担保人不履行担保义务，致使被担保人逃避行政拘留处罚的执行的，由公安机关对其处三千元以下罚款。</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w:t>
      </w:r>
      <w:r>
        <w:rPr>
          <w:rFonts w:hint="eastAsia" w:ascii="宋体" w:hAnsi="宋体" w:eastAsia="黑体" w:cs="仿宋_GB2312"/>
          <w:szCs w:val="32"/>
        </w:rPr>
        <w:t>条</w:t>
      </w:r>
      <w:r>
        <w:rPr>
          <w:rFonts w:hint="eastAsia" w:ascii="宋体" w:hAnsi="宋体" w:cs="仿宋_GB2312"/>
          <w:szCs w:val="32"/>
        </w:rPr>
        <w:t>　被决定给予行政拘留处罚的人交纳保证金，暂缓行政拘留后，逃避行政拘留处罚的执行的，保证金予以没收并上缴国库，已经作出的行政拘留决定仍应执行。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第一百一十一</w:t>
      </w:r>
      <w:r>
        <w:rPr>
          <w:rFonts w:hint="eastAsia" w:ascii="宋体" w:hAnsi="宋体" w:eastAsia="黑体" w:cs="仿宋_GB2312"/>
          <w:szCs w:val="32"/>
        </w:rPr>
        <w:t>条</w:t>
      </w:r>
      <w:r>
        <w:rPr>
          <w:rFonts w:hint="eastAsia" w:ascii="宋体" w:hAnsi="宋体" w:cs="仿宋_GB2312"/>
          <w:szCs w:val="32"/>
        </w:rPr>
        <w:t>　行政拘留的处罚决定被撤销，或者行政拘留处罚开始执行的，公安机关收取的保证金应当及时退还交纳人。</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第五章　执法监督</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黑体"/>
          <w:szCs w:val="32"/>
        </w:rPr>
        <w:t>　　第一百一十二</w:t>
      </w:r>
      <w:r>
        <w:rPr>
          <w:rFonts w:hint="eastAsia" w:ascii="宋体" w:hAnsi="宋体" w:eastAsia="黑体" w:cs="仿宋_GB2312"/>
          <w:szCs w:val="32"/>
        </w:rPr>
        <w:t>条</w:t>
      </w:r>
      <w:r>
        <w:rPr>
          <w:rFonts w:hint="eastAsia" w:ascii="宋体" w:hAnsi="宋体" w:cs="仿宋_GB2312"/>
          <w:szCs w:val="32"/>
        </w:rPr>
        <w:t>　公安机关及其人民警察应当依法、公正、严格、高效办理治安案件，文明执法，不得徇私舞弊。</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第一百一十三</w:t>
      </w:r>
      <w:r>
        <w:rPr>
          <w:rFonts w:hint="eastAsia" w:ascii="宋体" w:hAnsi="宋体" w:eastAsia="黑体" w:cs="仿宋_GB2312"/>
          <w:szCs w:val="32"/>
        </w:rPr>
        <w:t>条</w:t>
      </w:r>
      <w:r>
        <w:rPr>
          <w:rFonts w:hint="eastAsia" w:ascii="宋体" w:hAnsi="宋体" w:cs="仿宋_GB2312"/>
          <w:szCs w:val="32"/>
        </w:rPr>
        <w:t>　公安机关及其人民警察办理治安案件，禁止对违反治安管理行为人打骂、虐待或者侮辱。</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第一百一十四</w:t>
      </w:r>
      <w:r>
        <w:rPr>
          <w:rFonts w:hint="eastAsia" w:ascii="宋体" w:hAnsi="宋体" w:eastAsia="黑体" w:cs="仿宋_GB2312"/>
          <w:szCs w:val="32"/>
        </w:rPr>
        <w:t>条</w:t>
      </w:r>
      <w:r>
        <w:rPr>
          <w:rFonts w:hint="eastAsia" w:ascii="宋体" w:hAnsi="宋体" w:cs="仿宋_GB2312"/>
          <w:szCs w:val="32"/>
        </w:rPr>
        <w:t>　公安机关及其人民警察办理治安案件，应当自觉接受社会和公民的监督。</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公安机关及其人民警察办理治安案件，不严格执法或者有违法违纪行为的，任何单位和个人都有权向公安机关或者人民检察院、行政监察机关检举、控告；收到检举、控告的机关，应当依据职责及时处理。</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第一百一十五</w:t>
      </w:r>
      <w:r>
        <w:rPr>
          <w:rFonts w:hint="eastAsia" w:ascii="宋体" w:hAnsi="宋体" w:eastAsia="黑体" w:cs="仿宋_GB2312"/>
          <w:szCs w:val="32"/>
        </w:rPr>
        <w:t>条</w:t>
      </w:r>
      <w:r>
        <w:rPr>
          <w:rFonts w:hint="eastAsia" w:ascii="宋体" w:hAnsi="宋体" w:cs="仿宋_GB2312"/>
          <w:szCs w:val="32"/>
        </w:rPr>
        <w:t>　公安机关依法实施罚款处罚，应当依照有关法律、行政法规的规定，实行罚款决定与罚款收缴分离；收缴的罚款应当全部上缴国库。</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eastAsia="黑体" w:cs="黑体"/>
          <w:szCs w:val="32"/>
        </w:rPr>
        <w:t>第一百一十六</w:t>
      </w:r>
      <w:r>
        <w:rPr>
          <w:rFonts w:hint="eastAsia" w:ascii="宋体" w:hAnsi="宋体" w:eastAsia="黑体" w:cs="仿宋_GB2312"/>
          <w:szCs w:val="32"/>
        </w:rPr>
        <w:t>条</w:t>
      </w:r>
      <w:r>
        <w:rPr>
          <w:rFonts w:hint="eastAsia" w:ascii="宋体" w:hAnsi="宋体" w:cs="仿宋_GB2312"/>
          <w:szCs w:val="32"/>
        </w:rPr>
        <w:t>　人民警察办理治安案件，有下列行为之一的，依法给予行政处分；构成犯罪的，依法追究刑事责任:</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（一）刑讯逼供、体罚、虐待、侮辱他人的；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（二）超过询问查证的时间限制人身自由的；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（三）不执行罚款决定与罚款收缴分离制度或者不按规定将罚没的财物上缴国库或者依法处理的；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（四）私分、侵占、挪用、故意损毁收缴、扣押的财物的；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（五）违反规定使用或者不及时返还被侵害人财物的；</w:t>
      </w:r>
    </w:p>
    <w:p>
      <w:pPr>
        <w:widowControl w:val="0"/>
        <w:wordWrap/>
        <w:overflowPunct w:val="0"/>
        <w:spacing w:beforeAutospacing="0" w:afterAutospacing="0" w:line="560" w:lineRule="exact"/>
        <w:textAlignment w:val="auto"/>
        <w:rPr>
          <w:rFonts w:hint="eastAsia" w:ascii="宋体" w:hAnsi="宋体" w:cs="仿宋_GB2312"/>
          <w:szCs w:val="32"/>
        </w:rPr>
      </w:pPr>
      <w:r>
        <w:rPr>
          <w:rFonts w:hint="eastAsia" w:ascii="宋体" w:hAnsi="宋体" w:cs="仿宋_GB2312"/>
          <w:szCs w:val="32"/>
          <w:lang w:eastAsia="zh-CN"/>
        </w:rPr>
        <w:t>　　</w:t>
      </w:r>
      <w:r>
        <w:rPr>
          <w:rFonts w:hint="eastAsia" w:ascii="宋体" w:hAnsi="宋体" w:cs="仿宋_GB2312"/>
          <w:szCs w:val="32"/>
        </w:rPr>
        <w:t>（六）违反规定不及时退还保证金的；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cs="仿宋_GB2312"/>
          <w:szCs w:val="32"/>
          <w:lang w:eastAsia="zh-CN"/>
        </w:rPr>
        <w:t>　　</w:t>
      </w:r>
      <w:r>
        <w:rPr>
          <w:rFonts w:hint="eastAsia" w:ascii="宋体" w:hAnsi="宋体" w:cs="仿宋_GB2312"/>
          <w:szCs w:val="32"/>
        </w:rPr>
        <w:t>（七）利用职务上的便利收受他人财物或者谋取其他利益的；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（八）当场收缴罚款不出具罚款收据或者不如实填写罚款数额的；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（九）接到要求制止违反治安管理行为的报警后，不及时出警的；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（十）在查处违反治安管理活动时，为违法犯罪行为人通风报信的；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（十一）有徇私舞弊、滥用职权，不依法履行法定职责的其他情形的。</w:t>
      </w: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仿宋_GB2312"/>
          <w:szCs w:val="32"/>
        </w:rPr>
        <w:t>　　</w:t>
      </w:r>
      <w:r>
        <w:rPr>
          <w:rFonts w:hint="eastAsia" w:ascii="宋体" w:hAnsi="宋体" w:cs="仿宋_GB2312"/>
          <w:szCs w:val="32"/>
        </w:rPr>
        <w:t>办理治安案件的公安机关有前款所列行为的，对直接负责的主管人员和其他直接责任人员给予相应的行政处分。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第一百一十七</w:t>
      </w:r>
      <w:r>
        <w:rPr>
          <w:rFonts w:hint="eastAsia" w:ascii="宋体" w:hAnsi="宋体" w:eastAsia="黑体" w:cs="仿宋_GB2312"/>
          <w:szCs w:val="32"/>
        </w:rPr>
        <w:t>条</w:t>
      </w:r>
      <w:r>
        <w:rPr>
          <w:rFonts w:hint="eastAsia" w:ascii="宋体" w:hAnsi="宋体" w:cs="仿宋_GB2312"/>
          <w:szCs w:val="32"/>
        </w:rPr>
        <w:t>　公安机关及其人民警察违法行使职权，侵犯公民、法人和其他组织合法权益的，应当赔礼道歉；造成损害的，应当依法承担赔偿责任。</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第六章　附则</w:t>
      </w:r>
    </w:p>
    <w:p>
      <w:pPr>
        <w:widowControl w:val="0"/>
        <w:wordWrap/>
        <w:overflowPunct w:val="0"/>
        <w:spacing w:beforeAutospacing="0" w:afterAutospacing="0" w:line="560" w:lineRule="exact"/>
        <w:textAlignment w:val="auto"/>
        <w:rPr>
          <w:rFonts w:ascii="宋体" w:hAnsi="宋体" w:eastAsia="黑体" w:cs="黑体"/>
          <w:szCs w:val="32"/>
        </w:rPr>
      </w:pPr>
    </w:p>
    <w:p>
      <w:pPr>
        <w:widowControl w:val="0"/>
        <w:wordWrap/>
        <w:overflowPunct w:val="0"/>
        <w:spacing w:beforeAutospacing="0" w:afterAutospacing="0" w:line="560" w:lineRule="exact"/>
        <w:textAlignment w:val="auto"/>
        <w:rPr>
          <w:rFonts w:ascii="宋体" w:hAnsi="宋体" w:eastAsia="黑体" w:cs="仿宋_GB2312"/>
          <w:szCs w:val="32"/>
        </w:rPr>
      </w:pPr>
      <w:r>
        <w:rPr>
          <w:rFonts w:hint="eastAsia" w:ascii="宋体" w:hAnsi="宋体" w:eastAsia="黑体" w:cs="宋体"/>
          <w:szCs w:val="32"/>
        </w:rPr>
        <w:t>　　</w:t>
      </w:r>
      <w:r>
        <w:rPr>
          <w:rFonts w:hint="eastAsia" w:ascii="宋体" w:hAnsi="宋体" w:eastAsia="黑体" w:cs="黑体"/>
          <w:szCs w:val="32"/>
        </w:rPr>
        <w:t>第一百一十八</w:t>
      </w:r>
      <w:r>
        <w:rPr>
          <w:rFonts w:hint="eastAsia" w:ascii="宋体" w:hAnsi="宋体" w:eastAsia="黑体" w:cs="仿宋_GB2312"/>
          <w:szCs w:val="32"/>
        </w:rPr>
        <w:t>条</w:t>
      </w:r>
      <w:r>
        <w:rPr>
          <w:rFonts w:hint="eastAsia" w:ascii="宋体" w:hAnsi="宋体" w:cs="仿宋_GB2312"/>
          <w:szCs w:val="32"/>
        </w:rPr>
        <w:t>　本法所称以上、以下、以内，包括本数。</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仿宋_GB2312"/>
          <w:szCs w:val="32"/>
        </w:rPr>
        <w:t>　　</w:t>
      </w:r>
      <w:r>
        <w:rPr>
          <w:rFonts w:hint="eastAsia" w:ascii="宋体" w:hAnsi="宋体" w:eastAsia="黑体" w:cs="黑体"/>
          <w:szCs w:val="32"/>
        </w:rPr>
        <w:t>第一百一十九</w:t>
      </w:r>
      <w:r>
        <w:rPr>
          <w:rFonts w:hint="eastAsia" w:ascii="宋体" w:hAnsi="宋体" w:eastAsia="黑体" w:cs="仿宋_GB2312"/>
          <w:szCs w:val="32"/>
        </w:rPr>
        <w:t>条</w:t>
      </w:r>
      <w:r>
        <w:rPr>
          <w:rFonts w:hint="eastAsia" w:ascii="宋体" w:hAnsi="宋体" w:cs="仿宋_GB2312"/>
          <w:szCs w:val="32"/>
        </w:rPr>
        <w:t>　本法自2006年3月1日起施行。1986年9月5日公布、1994年5月12日修订公布的《中华人民共和国治安管理处罚条例》同时废止。</w:t>
      </w:r>
    </w:p>
    <w:p>
      <w:pPr>
        <w:widowControl w:val="0"/>
        <w:wordWrap/>
        <w:overflowPunct w:val="0"/>
        <w:spacing w:beforeAutospacing="0" w:afterAutospacing="0" w:line="560" w:lineRule="exact"/>
        <w:textAlignment w:val="auto"/>
        <w:rPr>
          <w:rFonts w:hint="eastAsia"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rPr>
          <w:rFonts w:hint="eastAsia" w:ascii="宋体" w:hAnsi="宋体" w:eastAsia="宋体" w:cs="Arial"/>
          <w:kern w:val="0"/>
          <w:szCs w:val="32"/>
        </w:rPr>
      </w:pPr>
      <w:bookmarkStart w:id="205" w:name="_Toc1142"/>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中华人民共和国行政处罚法</w:t>
      </w:r>
    </w:p>
    <w:p>
      <w:pPr>
        <w:ind w:left="640" w:leftChars="200" w:right="640" w:rightChars="200"/>
        <w:rPr>
          <w:rFonts w:ascii="宋体" w:hAnsi="宋体" w:eastAsia="宋体" w:cs="Arial"/>
          <w:bCs/>
          <w:szCs w:val="32"/>
        </w:rPr>
      </w:pPr>
    </w:p>
    <w:p>
      <w:pPr>
        <w:spacing w:line="560" w:lineRule="exact"/>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1996</w:t>
      </w:r>
      <w:r>
        <w:rPr>
          <w:rFonts w:hint="eastAsia" w:ascii="楷体_GB2312" w:hAnsi="Arial" w:eastAsia="楷体_GB2312" w:cs="Arial"/>
          <w:szCs w:val="32"/>
        </w:rPr>
        <w:t>年</w:t>
      </w:r>
      <w:r>
        <w:rPr>
          <w:rFonts w:hint="default" w:ascii="Times New Roman" w:hAnsi="Times New Roman" w:eastAsia="楷体_GB2312" w:cs="Times New Roman"/>
          <w:szCs w:val="32"/>
        </w:rPr>
        <w:t>3</w:t>
      </w:r>
      <w:r>
        <w:rPr>
          <w:rFonts w:hint="eastAsia" w:ascii="楷体_GB2312" w:hAnsi="Arial" w:eastAsia="楷体_GB2312" w:cs="Arial"/>
          <w:szCs w:val="32"/>
        </w:rPr>
        <w:t>月</w:t>
      </w:r>
      <w:r>
        <w:rPr>
          <w:rFonts w:hint="default" w:ascii="Times New Roman" w:hAnsi="Times New Roman" w:eastAsia="楷体_GB2312" w:cs="Times New Roman"/>
          <w:szCs w:val="32"/>
        </w:rPr>
        <w:t>17</w:t>
      </w:r>
      <w:r>
        <w:rPr>
          <w:rFonts w:hint="eastAsia" w:ascii="楷体_GB2312" w:hAnsi="Arial" w:eastAsia="楷体_GB2312" w:cs="Arial"/>
          <w:szCs w:val="32"/>
        </w:rPr>
        <w:t>日第八届全国人民代表大会第四次会议通过　根据</w:t>
      </w:r>
      <w:r>
        <w:rPr>
          <w:rFonts w:hint="default" w:ascii="Times New Roman" w:hAnsi="Times New Roman" w:eastAsia="楷体_GB2312" w:cs="Times New Roman"/>
          <w:szCs w:val="32"/>
        </w:rPr>
        <w:t>2009</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27</w:t>
      </w:r>
      <w:r>
        <w:rPr>
          <w:rFonts w:hint="eastAsia" w:ascii="楷体_GB2312" w:hAnsi="Arial" w:eastAsia="楷体_GB2312" w:cs="Arial"/>
          <w:szCs w:val="32"/>
        </w:rPr>
        <w:t>日第十一届全国人民代表大会常务委员会第十次会议《关于修改部分法律的决定》第一次修正　根据</w:t>
      </w:r>
      <w:r>
        <w:rPr>
          <w:rFonts w:hint="default" w:ascii="Times New Roman" w:hAnsi="Times New Roman" w:eastAsia="楷体_GB2312" w:cs="Times New Roman"/>
          <w:szCs w:val="32"/>
        </w:rPr>
        <w:t>2017</w:t>
      </w:r>
      <w:r>
        <w:rPr>
          <w:rFonts w:hint="eastAsia" w:ascii="楷体_GB2312" w:hAnsi="Arial" w:eastAsia="楷体_GB2312" w:cs="Arial"/>
          <w:szCs w:val="32"/>
        </w:rPr>
        <w:t>年</w:t>
      </w:r>
      <w:r>
        <w:rPr>
          <w:rFonts w:hint="default" w:ascii="Times New Roman" w:hAnsi="Times New Roman" w:eastAsia="楷体_GB2312" w:cs="Times New Roman"/>
          <w:szCs w:val="32"/>
        </w:rPr>
        <w:t>9</w:t>
      </w:r>
      <w:r>
        <w:rPr>
          <w:rFonts w:hint="eastAsia" w:ascii="楷体_GB2312" w:hAnsi="Arial" w:eastAsia="楷体_GB2312" w:cs="Arial"/>
          <w:szCs w:val="32"/>
        </w:rPr>
        <w:t>月</w:t>
      </w:r>
      <w:r>
        <w:rPr>
          <w:rFonts w:hint="default" w:ascii="Times New Roman" w:hAnsi="Times New Roman" w:eastAsia="楷体_GB2312" w:cs="Times New Roman"/>
          <w:szCs w:val="32"/>
        </w:rPr>
        <w:t>1</w:t>
      </w:r>
      <w:r>
        <w:rPr>
          <w:rFonts w:hint="eastAsia" w:ascii="楷体_GB2312" w:hAnsi="Arial" w:eastAsia="楷体_GB2312" w:cs="Arial"/>
          <w:szCs w:val="32"/>
        </w:rPr>
        <w:t>日第十二届全国人民代表大会常务委员会第二十九次会议《关于修改〈中华人民共和国法官法〉等八部法律的决定》第二次修正　</w:t>
      </w:r>
      <w:r>
        <w:rPr>
          <w:rFonts w:hint="default" w:ascii="Times New Roman" w:hAnsi="Times New Roman" w:eastAsia="楷体_GB2312" w:cs="Times New Roman"/>
          <w:szCs w:val="32"/>
        </w:rPr>
        <w:t>2021</w:t>
      </w:r>
      <w:r>
        <w:rPr>
          <w:rFonts w:hint="eastAsia" w:ascii="楷体_GB2312" w:hAnsi="Arial" w:eastAsia="楷体_GB2312" w:cs="Arial"/>
          <w:szCs w:val="32"/>
        </w:rPr>
        <w:t>年</w:t>
      </w:r>
      <w:r>
        <w:rPr>
          <w:rFonts w:hint="default" w:ascii="Times New Roman" w:hAnsi="Times New Roman" w:eastAsia="楷体_GB2312" w:cs="Times New Roman"/>
          <w:szCs w:val="32"/>
        </w:rPr>
        <w:t>1</w:t>
      </w:r>
      <w:r>
        <w:rPr>
          <w:rFonts w:hint="eastAsia" w:ascii="楷体_GB2312" w:hAnsi="Arial" w:eastAsia="楷体_GB2312" w:cs="Arial"/>
          <w:szCs w:val="32"/>
        </w:rPr>
        <w:t>月</w:t>
      </w:r>
      <w:r>
        <w:rPr>
          <w:rFonts w:hint="default" w:ascii="Times New Roman" w:hAnsi="Times New Roman" w:eastAsia="楷体_GB2312" w:cs="Times New Roman"/>
          <w:szCs w:val="32"/>
        </w:rPr>
        <w:t>22</w:t>
      </w:r>
      <w:r>
        <w:rPr>
          <w:rFonts w:hint="eastAsia" w:ascii="楷体_GB2312" w:hAnsi="Arial" w:eastAsia="楷体_GB2312" w:cs="Arial"/>
          <w:szCs w:val="32"/>
        </w:rPr>
        <w:t>日第十三届全国人民代表大会常务委员会第二十五次会议修订）</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楷体_GB2312" w:hAnsi="楷体_GB2312" w:eastAsia="楷体_GB2312" w:cs="楷体_GB2312"/>
          <w:sz w:val="32"/>
        </w:rPr>
        <w:t>目　　录</w:t>
      </w:r>
    </w:p>
    <w:p>
      <w:pPr>
        <w:spacing w:line="560" w:lineRule="exact"/>
        <w:ind w:firstLine="640"/>
        <w:jc w:val="both"/>
      </w:pPr>
      <w:r>
        <w:rPr>
          <w:rFonts w:ascii="楷体_GB2312" w:hAnsi="楷体_GB2312" w:eastAsia="楷体_GB2312" w:cs="楷体_GB2312"/>
          <w:sz w:val="32"/>
        </w:rPr>
        <w:t>第一章　总则</w:t>
      </w:r>
    </w:p>
    <w:p>
      <w:pPr>
        <w:spacing w:line="560" w:lineRule="exact"/>
        <w:ind w:firstLine="640"/>
        <w:jc w:val="both"/>
      </w:pPr>
      <w:r>
        <w:rPr>
          <w:rFonts w:ascii="楷体_GB2312" w:hAnsi="楷体_GB2312" w:eastAsia="楷体_GB2312" w:cs="楷体_GB2312"/>
          <w:sz w:val="32"/>
        </w:rPr>
        <w:t>第二章　行政处罚的种类和设定</w:t>
      </w:r>
    </w:p>
    <w:p>
      <w:pPr>
        <w:spacing w:line="560" w:lineRule="exact"/>
        <w:ind w:firstLine="640"/>
        <w:jc w:val="both"/>
      </w:pPr>
      <w:r>
        <w:rPr>
          <w:rFonts w:ascii="楷体_GB2312" w:hAnsi="楷体_GB2312" w:eastAsia="楷体_GB2312" w:cs="楷体_GB2312"/>
          <w:sz w:val="32"/>
        </w:rPr>
        <w:t>第三章　行政处罚的实施机关</w:t>
      </w:r>
    </w:p>
    <w:p>
      <w:pPr>
        <w:spacing w:line="560" w:lineRule="exact"/>
        <w:ind w:firstLine="640"/>
        <w:jc w:val="both"/>
      </w:pPr>
      <w:r>
        <w:rPr>
          <w:rFonts w:ascii="楷体_GB2312" w:hAnsi="楷体_GB2312" w:eastAsia="楷体_GB2312" w:cs="楷体_GB2312"/>
          <w:sz w:val="32"/>
        </w:rPr>
        <w:t>第四章　行政处罚的管辖和适用</w:t>
      </w:r>
    </w:p>
    <w:p>
      <w:pPr>
        <w:spacing w:line="560" w:lineRule="exact"/>
        <w:ind w:firstLine="640"/>
        <w:jc w:val="both"/>
      </w:pPr>
      <w:r>
        <w:rPr>
          <w:rFonts w:ascii="楷体_GB2312" w:hAnsi="楷体_GB2312" w:eastAsia="楷体_GB2312" w:cs="楷体_GB2312"/>
          <w:sz w:val="32"/>
        </w:rPr>
        <w:t>第五章　行政处罚的决定</w:t>
      </w:r>
    </w:p>
    <w:p>
      <w:pPr>
        <w:spacing w:line="560" w:lineRule="exact"/>
        <w:ind w:firstLine="1280"/>
        <w:jc w:val="both"/>
      </w:pPr>
      <w:r>
        <w:rPr>
          <w:rFonts w:ascii="楷体_GB2312" w:hAnsi="楷体_GB2312" w:eastAsia="楷体_GB2312" w:cs="楷体_GB2312"/>
          <w:sz w:val="32"/>
        </w:rPr>
        <w:t>第一节　一般规定</w:t>
      </w:r>
    </w:p>
    <w:p>
      <w:pPr>
        <w:spacing w:line="560" w:lineRule="exact"/>
        <w:ind w:firstLine="1280"/>
        <w:jc w:val="both"/>
      </w:pPr>
      <w:r>
        <w:rPr>
          <w:rFonts w:ascii="楷体_GB2312" w:hAnsi="楷体_GB2312" w:eastAsia="楷体_GB2312" w:cs="楷体_GB2312"/>
          <w:sz w:val="32"/>
        </w:rPr>
        <w:t>第二节　简易程序</w:t>
      </w:r>
    </w:p>
    <w:p>
      <w:pPr>
        <w:spacing w:line="560" w:lineRule="exact"/>
        <w:ind w:firstLine="1280"/>
        <w:jc w:val="both"/>
      </w:pPr>
      <w:r>
        <w:rPr>
          <w:rFonts w:ascii="楷体_GB2312" w:hAnsi="楷体_GB2312" w:eastAsia="楷体_GB2312" w:cs="楷体_GB2312"/>
          <w:sz w:val="32"/>
        </w:rPr>
        <w:t>第三节　普通程序</w:t>
      </w:r>
    </w:p>
    <w:p>
      <w:pPr>
        <w:spacing w:line="560" w:lineRule="exact"/>
        <w:ind w:firstLine="1280"/>
        <w:jc w:val="both"/>
      </w:pPr>
      <w:r>
        <w:rPr>
          <w:rFonts w:ascii="楷体_GB2312" w:hAnsi="楷体_GB2312" w:eastAsia="楷体_GB2312" w:cs="楷体_GB2312"/>
          <w:sz w:val="32"/>
        </w:rPr>
        <w:t>第四节　听证程序</w:t>
      </w:r>
    </w:p>
    <w:p>
      <w:pPr>
        <w:spacing w:line="560" w:lineRule="exact"/>
        <w:ind w:firstLine="640"/>
        <w:jc w:val="both"/>
      </w:pPr>
      <w:r>
        <w:rPr>
          <w:rFonts w:ascii="楷体_GB2312" w:hAnsi="楷体_GB2312" w:eastAsia="楷体_GB2312" w:cs="楷体_GB2312"/>
          <w:sz w:val="32"/>
        </w:rPr>
        <w:t>第六章　行政处罚的执行</w:t>
      </w:r>
    </w:p>
    <w:p>
      <w:pPr>
        <w:spacing w:line="560" w:lineRule="exact"/>
        <w:ind w:firstLine="640"/>
        <w:jc w:val="both"/>
      </w:pPr>
      <w:r>
        <w:rPr>
          <w:rFonts w:ascii="楷体_GB2312" w:hAnsi="楷体_GB2312" w:eastAsia="楷体_GB2312" w:cs="楷体_GB2312"/>
          <w:sz w:val="32"/>
        </w:rPr>
        <w:t>第七章　法律责任</w:t>
      </w:r>
    </w:p>
    <w:p>
      <w:pPr>
        <w:spacing w:line="560" w:lineRule="exact"/>
        <w:ind w:firstLine="640"/>
        <w:jc w:val="both"/>
      </w:pPr>
      <w:r>
        <w:rPr>
          <w:rFonts w:ascii="楷体_GB2312" w:hAnsi="楷体_GB2312" w:eastAsia="楷体_GB2312" w:cs="楷体_GB2312"/>
          <w:sz w:val="32"/>
        </w:rPr>
        <w:t>第八章　附则</w:t>
      </w:r>
    </w:p>
    <w:p>
      <w:pPr>
        <w:spacing w:line="560" w:lineRule="exact"/>
        <w:ind w:firstLine="0"/>
        <w:jc w:val="both"/>
      </w:pPr>
      <w:r>
        <w:rPr>
          <w:rFonts w:ascii="宋体" w:hAnsi="宋体" w:eastAsia="宋体" w:cs="宋体"/>
          <w:sz w:val="32"/>
        </w:rPr>
        <w:t xml:space="preserve"> </w:t>
      </w:r>
    </w:p>
    <w:p>
      <w:pPr>
        <w:spacing w:line="560" w:lineRule="exact"/>
        <w:ind w:firstLine="0"/>
        <w:jc w:val="center"/>
      </w:pPr>
      <w:r>
        <w:rPr>
          <w:rFonts w:ascii="黑体" w:hAnsi="黑体" w:eastAsia="黑体" w:cs="黑体"/>
          <w:sz w:val="32"/>
        </w:rPr>
        <w:t>第一章　总则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第一条</w:t>
      </w:r>
      <w:r>
        <w:rPr>
          <w:rFonts w:ascii="仿宋_GB2312" w:hAnsi="仿宋_GB2312" w:eastAsia="仿宋_GB2312" w:cs="仿宋_GB2312"/>
          <w:sz w:val="32"/>
        </w:rPr>
        <w:t>　为了规范行政处罚的设定和实施，保障和监督行政机关有效实施行政管理，维护公共利益和社会秩序，保护公民、法人或者其他组织的合法权益，根据宪法，制定本法。</w:t>
      </w:r>
    </w:p>
    <w:p>
      <w:pPr>
        <w:spacing w:line="560" w:lineRule="exact"/>
        <w:ind w:firstLine="640"/>
        <w:jc w:val="both"/>
      </w:pPr>
      <w:r>
        <w:rPr>
          <w:rFonts w:ascii="黑体" w:hAnsi="黑体" w:eastAsia="黑体" w:cs="黑体"/>
          <w:sz w:val="32"/>
        </w:rPr>
        <w:t>第二条</w:t>
      </w:r>
      <w:r>
        <w:rPr>
          <w:rFonts w:ascii="仿宋_GB2312" w:hAnsi="仿宋_GB2312" w:eastAsia="仿宋_GB2312" w:cs="仿宋_GB2312"/>
          <w:sz w:val="32"/>
        </w:rPr>
        <w:t>　行政处罚是指行政机关依法对违反行政管理秩序的公民、法人或者其他组织，以减损权益或者增加义务的方式予以惩戒的行为。</w:t>
      </w:r>
    </w:p>
    <w:p>
      <w:pPr>
        <w:spacing w:line="560" w:lineRule="exact"/>
        <w:ind w:firstLine="640"/>
        <w:jc w:val="both"/>
      </w:pPr>
      <w:r>
        <w:rPr>
          <w:rFonts w:ascii="黑体" w:hAnsi="黑体" w:eastAsia="黑体" w:cs="黑体"/>
          <w:sz w:val="32"/>
        </w:rPr>
        <w:t>第三条</w:t>
      </w:r>
      <w:r>
        <w:rPr>
          <w:rFonts w:ascii="仿宋_GB2312" w:hAnsi="仿宋_GB2312" w:eastAsia="仿宋_GB2312" w:cs="仿宋_GB2312"/>
          <w:sz w:val="32"/>
        </w:rPr>
        <w:t>　行政处罚的设定和实施，适用本法。</w:t>
      </w:r>
    </w:p>
    <w:p>
      <w:pPr>
        <w:spacing w:line="560" w:lineRule="exact"/>
        <w:ind w:firstLine="640"/>
        <w:jc w:val="both"/>
      </w:pPr>
      <w:r>
        <w:rPr>
          <w:rFonts w:ascii="黑体" w:hAnsi="黑体" w:eastAsia="黑体" w:cs="黑体"/>
          <w:sz w:val="32"/>
        </w:rPr>
        <w:t>第四条</w:t>
      </w:r>
      <w:r>
        <w:rPr>
          <w:rFonts w:ascii="仿宋_GB2312" w:hAnsi="仿宋_GB2312" w:eastAsia="仿宋_GB2312" w:cs="仿宋_GB2312"/>
          <w:sz w:val="32"/>
        </w:rPr>
        <w:t>　公民、法人或者其他组织违反行政管理秩序的行为，应当给予行政处罚的，依照本法由法律、法规、规章规定，并由行政机关依照本法规定的程序实施。</w:t>
      </w:r>
    </w:p>
    <w:p>
      <w:pPr>
        <w:spacing w:line="560" w:lineRule="exact"/>
        <w:ind w:firstLine="640"/>
        <w:jc w:val="both"/>
      </w:pPr>
      <w:r>
        <w:rPr>
          <w:rFonts w:ascii="黑体" w:hAnsi="黑体" w:eastAsia="黑体" w:cs="黑体"/>
          <w:sz w:val="32"/>
        </w:rPr>
        <w:t>第五条</w:t>
      </w:r>
      <w:r>
        <w:rPr>
          <w:rFonts w:ascii="仿宋_GB2312" w:hAnsi="仿宋_GB2312" w:eastAsia="仿宋_GB2312" w:cs="仿宋_GB2312"/>
          <w:sz w:val="32"/>
        </w:rPr>
        <w:t>　行政处罚遵循公正、公开的原则。</w:t>
      </w:r>
    </w:p>
    <w:p>
      <w:pPr>
        <w:spacing w:line="560" w:lineRule="exact"/>
        <w:ind w:firstLine="640"/>
        <w:jc w:val="both"/>
      </w:pPr>
      <w:r>
        <w:rPr>
          <w:rFonts w:ascii="仿宋_GB2312" w:hAnsi="仿宋_GB2312" w:eastAsia="仿宋_GB2312" w:cs="仿宋_GB2312"/>
          <w:sz w:val="32"/>
        </w:rPr>
        <w:t>设定和实施行政处罚必须以事实为依据，与违法行为的事实、性质、情节以及社会危害程度相当。</w:t>
      </w:r>
    </w:p>
    <w:p>
      <w:pPr>
        <w:spacing w:line="560" w:lineRule="exact"/>
        <w:ind w:firstLine="640"/>
        <w:jc w:val="both"/>
      </w:pPr>
      <w:r>
        <w:rPr>
          <w:rFonts w:ascii="仿宋_GB2312" w:hAnsi="仿宋_GB2312" w:eastAsia="仿宋_GB2312" w:cs="仿宋_GB2312"/>
          <w:sz w:val="32"/>
        </w:rPr>
        <w:t>对违法行为给予行政处罚的规定必须公布；未经公布的，不得作为行政处罚的依据。</w:t>
      </w:r>
    </w:p>
    <w:p>
      <w:pPr>
        <w:spacing w:line="560" w:lineRule="exact"/>
        <w:ind w:firstLine="640"/>
        <w:jc w:val="both"/>
      </w:pPr>
      <w:r>
        <w:rPr>
          <w:rFonts w:ascii="黑体" w:hAnsi="黑体" w:eastAsia="黑体" w:cs="黑体"/>
          <w:sz w:val="32"/>
        </w:rPr>
        <w:t>第六条</w:t>
      </w:r>
      <w:r>
        <w:rPr>
          <w:rFonts w:ascii="仿宋_GB2312" w:hAnsi="仿宋_GB2312" w:eastAsia="仿宋_GB2312" w:cs="仿宋_GB2312"/>
          <w:sz w:val="32"/>
        </w:rPr>
        <w:t>　实施行政处罚，纠正违法行为，应当坚持处罚与教育相结合，教育公民、法人或者其他组织自觉守法。</w:t>
      </w:r>
    </w:p>
    <w:p>
      <w:pPr>
        <w:spacing w:line="560" w:lineRule="exact"/>
        <w:ind w:firstLine="640"/>
        <w:jc w:val="both"/>
      </w:pPr>
      <w:r>
        <w:rPr>
          <w:rFonts w:ascii="黑体" w:hAnsi="黑体" w:eastAsia="黑体" w:cs="黑体"/>
          <w:sz w:val="32"/>
        </w:rPr>
        <w:t>第七条</w:t>
      </w:r>
      <w:r>
        <w:rPr>
          <w:rFonts w:ascii="仿宋_GB2312" w:hAnsi="仿宋_GB2312" w:eastAsia="仿宋_GB2312" w:cs="仿宋_GB2312"/>
          <w:sz w:val="32"/>
        </w:rPr>
        <w:t>　公民、法人或者其他组织对行政机关所给予的行政处罚，享有陈述权、申辩权；对行政处罚不服的，有权依法申请行政复议或者提起行政诉讼。</w:t>
      </w:r>
    </w:p>
    <w:p>
      <w:pPr>
        <w:spacing w:line="560" w:lineRule="exact"/>
        <w:ind w:firstLine="640"/>
        <w:jc w:val="both"/>
      </w:pPr>
      <w:r>
        <w:rPr>
          <w:rFonts w:ascii="仿宋_GB2312" w:hAnsi="仿宋_GB2312" w:eastAsia="仿宋_GB2312" w:cs="仿宋_GB2312"/>
          <w:sz w:val="32"/>
        </w:rPr>
        <w:t>公民、法人或者其他组织因行政机关违法给予行政处罚受到损害的，有权依法提出赔偿要求。</w:t>
      </w:r>
    </w:p>
    <w:p>
      <w:pPr>
        <w:spacing w:line="560" w:lineRule="exact"/>
        <w:ind w:firstLine="640"/>
        <w:jc w:val="both"/>
      </w:pPr>
      <w:r>
        <w:rPr>
          <w:rFonts w:ascii="黑体" w:hAnsi="黑体" w:eastAsia="黑体" w:cs="黑体"/>
          <w:sz w:val="32"/>
        </w:rPr>
        <w:t>第八条</w:t>
      </w:r>
      <w:r>
        <w:rPr>
          <w:rFonts w:ascii="仿宋_GB2312" w:hAnsi="仿宋_GB2312" w:eastAsia="仿宋_GB2312" w:cs="仿宋_GB2312"/>
          <w:sz w:val="32"/>
        </w:rPr>
        <w:t>　公民、法人或者其他组织因违法行为受到行政处罚，其违法行为对他人造成损害的，应当依法承担民事责任。</w:t>
      </w:r>
    </w:p>
    <w:p>
      <w:pPr>
        <w:spacing w:line="560" w:lineRule="exact"/>
        <w:ind w:firstLine="640"/>
        <w:jc w:val="both"/>
      </w:pPr>
      <w:r>
        <w:rPr>
          <w:rFonts w:ascii="仿宋_GB2312" w:hAnsi="仿宋_GB2312" w:eastAsia="仿宋_GB2312" w:cs="仿宋_GB2312"/>
          <w:sz w:val="32"/>
        </w:rPr>
        <w:t>违法行为构成犯罪，应当依法追究刑事责任的，不得以行政处罚代替刑事处罚。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第二章　行政处罚的种类和设定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第九条</w:t>
      </w:r>
      <w:r>
        <w:rPr>
          <w:rFonts w:ascii="仿宋_GB2312" w:hAnsi="仿宋_GB2312" w:eastAsia="仿宋_GB2312" w:cs="仿宋_GB2312"/>
          <w:sz w:val="32"/>
        </w:rPr>
        <w:t>　行政处罚的种类：</w:t>
      </w:r>
    </w:p>
    <w:p>
      <w:pPr>
        <w:spacing w:line="560" w:lineRule="exact"/>
        <w:ind w:firstLine="640"/>
        <w:jc w:val="both"/>
      </w:pPr>
      <w:r>
        <w:rPr>
          <w:rFonts w:ascii="仿宋_GB2312" w:hAnsi="仿宋_GB2312" w:eastAsia="仿宋_GB2312" w:cs="仿宋_GB2312"/>
          <w:sz w:val="32"/>
        </w:rPr>
        <w:t>（一）警告、通报批评；</w:t>
      </w:r>
    </w:p>
    <w:p>
      <w:pPr>
        <w:spacing w:line="560" w:lineRule="exact"/>
        <w:ind w:firstLine="640"/>
        <w:jc w:val="both"/>
      </w:pPr>
      <w:r>
        <w:rPr>
          <w:rFonts w:ascii="仿宋_GB2312" w:hAnsi="仿宋_GB2312" w:eastAsia="仿宋_GB2312" w:cs="仿宋_GB2312"/>
          <w:sz w:val="32"/>
        </w:rPr>
        <w:t>（二）罚款、没收违法所得、没收非法财物；</w:t>
      </w:r>
    </w:p>
    <w:p>
      <w:pPr>
        <w:spacing w:line="560" w:lineRule="exact"/>
        <w:ind w:firstLine="640"/>
        <w:jc w:val="both"/>
      </w:pPr>
      <w:r>
        <w:rPr>
          <w:rFonts w:ascii="仿宋_GB2312" w:hAnsi="仿宋_GB2312" w:eastAsia="仿宋_GB2312" w:cs="仿宋_GB2312"/>
          <w:sz w:val="32"/>
        </w:rPr>
        <w:t>（三）暂扣许可证件、降低资质等级、吊销许可证件；</w:t>
      </w:r>
    </w:p>
    <w:p>
      <w:pPr>
        <w:spacing w:line="560" w:lineRule="exact"/>
        <w:ind w:firstLine="640"/>
        <w:jc w:val="both"/>
      </w:pPr>
      <w:r>
        <w:rPr>
          <w:rFonts w:ascii="仿宋_GB2312" w:hAnsi="仿宋_GB2312" w:eastAsia="仿宋_GB2312" w:cs="仿宋_GB2312"/>
          <w:sz w:val="32"/>
        </w:rPr>
        <w:t>（四）限制开展生产经营活动、责令停产停业、责令关闭、限制从业；</w:t>
      </w:r>
    </w:p>
    <w:p>
      <w:pPr>
        <w:spacing w:line="560" w:lineRule="exact"/>
        <w:ind w:firstLine="640"/>
        <w:jc w:val="both"/>
      </w:pPr>
      <w:r>
        <w:rPr>
          <w:rFonts w:ascii="仿宋_GB2312" w:hAnsi="仿宋_GB2312" w:eastAsia="仿宋_GB2312" w:cs="仿宋_GB2312"/>
          <w:sz w:val="32"/>
        </w:rPr>
        <w:t>（五）行政拘留；</w:t>
      </w:r>
    </w:p>
    <w:p>
      <w:pPr>
        <w:spacing w:line="560" w:lineRule="exact"/>
        <w:ind w:firstLine="640"/>
        <w:jc w:val="both"/>
      </w:pPr>
      <w:r>
        <w:rPr>
          <w:rFonts w:ascii="仿宋_GB2312" w:hAnsi="仿宋_GB2312" w:eastAsia="仿宋_GB2312" w:cs="仿宋_GB2312"/>
          <w:sz w:val="32"/>
        </w:rPr>
        <w:t>（六）法律、行政法规规定的其他行政处罚。</w:t>
      </w:r>
    </w:p>
    <w:p>
      <w:pPr>
        <w:spacing w:line="560" w:lineRule="exact"/>
        <w:ind w:firstLine="640"/>
        <w:jc w:val="both"/>
      </w:pPr>
      <w:r>
        <w:rPr>
          <w:rFonts w:ascii="黑体" w:hAnsi="黑体" w:eastAsia="黑体" w:cs="黑体"/>
          <w:sz w:val="32"/>
        </w:rPr>
        <w:t>第十条</w:t>
      </w:r>
      <w:r>
        <w:rPr>
          <w:rFonts w:ascii="仿宋_GB2312" w:hAnsi="仿宋_GB2312" w:eastAsia="仿宋_GB2312" w:cs="仿宋_GB2312"/>
          <w:sz w:val="32"/>
        </w:rPr>
        <w:t>　法律可以设定各种行政处罚。</w:t>
      </w:r>
    </w:p>
    <w:p>
      <w:pPr>
        <w:spacing w:line="560" w:lineRule="exact"/>
        <w:ind w:firstLine="640"/>
        <w:jc w:val="both"/>
      </w:pPr>
      <w:r>
        <w:rPr>
          <w:rFonts w:ascii="仿宋_GB2312" w:hAnsi="仿宋_GB2312" w:eastAsia="仿宋_GB2312" w:cs="仿宋_GB2312"/>
          <w:sz w:val="32"/>
        </w:rPr>
        <w:t>限制人身自由的行政处罚，只能由法律设定。</w:t>
      </w:r>
    </w:p>
    <w:p>
      <w:pPr>
        <w:spacing w:line="560" w:lineRule="exact"/>
        <w:ind w:firstLine="640"/>
        <w:jc w:val="both"/>
      </w:pPr>
      <w:r>
        <w:rPr>
          <w:rFonts w:ascii="黑体" w:hAnsi="黑体" w:eastAsia="黑体" w:cs="黑体"/>
          <w:sz w:val="32"/>
        </w:rPr>
        <w:t>第十一条</w:t>
      </w:r>
      <w:r>
        <w:rPr>
          <w:rFonts w:ascii="仿宋_GB2312" w:hAnsi="仿宋_GB2312" w:eastAsia="仿宋_GB2312" w:cs="仿宋_GB2312"/>
          <w:sz w:val="32"/>
        </w:rPr>
        <w:t>　行政法规可以设定除限制人身自由以外的行政处罚。</w:t>
      </w:r>
    </w:p>
    <w:p>
      <w:pPr>
        <w:spacing w:line="560" w:lineRule="exact"/>
        <w:ind w:firstLine="640"/>
        <w:jc w:val="both"/>
      </w:pPr>
      <w:r>
        <w:rPr>
          <w:rFonts w:ascii="仿宋_GB2312" w:hAnsi="仿宋_GB2312" w:eastAsia="仿宋_GB2312" w:cs="仿宋_GB2312"/>
          <w:sz w:val="32"/>
        </w:rPr>
        <w:t>法律对违法行为已经作出行政处罚规定，行政法规需要作出具体规定的，必须在法律规定的给予行政处罚的行为、种类和幅度的范围内规定。</w:t>
      </w:r>
    </w:p>
    <w:p>
      <w:pPr>
        <w:spacing w:line="560" w:lineRule="exact"/>
        <w:ind w:firstLine="640"/>
        <w:jc w:val="both"/>
      </w:pPr>
      <w:r>
        <w:rPr>
          <w:rFonts w:ascii="仿宋_GB2312" w:hAnsi="仿宋_GB2312" w:eastAsia="仿宋_GB2312" w:cs="仿宋_GB2312"/>
          <w:sz w:val="32"/>
        </w:rPr>
        <w:t>法律对违法行为未作出行政处罚规定，行政法规为实施法律，可以补充设定行政处罚。拟补充设定行政处罚的，应当通过听证会、论证会等形式广泛听取意见，并向制定机关作出书面说明。行政法规报送备案时，应当说明补充设定行政处罚的情况。</w:t>
      </w:r>
    </w:p>
    <w:p>
      <w:pPr>
        <w:spacing w:line="560" w:lineRule="exact"/>
        <w:ind w:firstLine="640"/>
        <w:jc w:val="both"/>
      </w:pPr>
      <w:r>
        <w:rPr>
          <w:rFonts w:ascii="黑体" w:hAnsi="黑体" w:eastAsia="黑体" w:cs="黑体"/>
          <w:sz w:val="32"/>
        </w:rPr>
        <w:t>第十二条</w:t>
      </w:r>
      <w:r>
        <w:rPr>
          <w:rFonts w:ascii="仿宋_GB2312" w:hAnsi="仿宋_GB2312" w:eastAsia="仿宋_GB2312" w:cs="仿宋_GB2312"/>
          <w:sz w:val="32"/>
        </w:rPr>
        <w:t>　地方性法规可以设定除限制人身自由、吊销营业执照以外的行政处罚。</w:t>
      </w:r>
    </w:p>
    <w:p>
      <w:pPr>
        <w:spacing w:line="560" w:lineRule="exact"/>
        <w:ind w:firstLine="640"/>
        <w:jc w:val="both"/>
      </w:pPr>
      <w:r>
        <w:rPr>
          <w:rFonts w:ascii="仿宋_GB2312" w:hAnsi="仿宋_GB2312" w:eastAsia="仿宋_GB2312" w:cs="仿宋_GB2312"/>
          <w:sz w:val="32"/>
        </w:rPr>
        <w:t>法律、行政法规对违法行为已经作出行政处罚规定，地方性法规需要作出具体规定的，必须在法律、行政法规规定的给予行政处罚的行为、种类和幅度的范围内规定。</w:t>
      </w:r>
    </w:p>
    <w:p>
      <w:pPr>
        <w:spacing w:line="560" w:lineRule="exact"/>
        <w:ind w:firstLine="640"/>
        <w:jc w:val="both"/>
      </w:pPr>
      <w:r>
        <w:rPr>
          <w:rFonts w:ascii="仿宋_GB2312" w:hAnsi="仿宋_GB2312" w:eastAsia="仿宋_GB2312" w:cs="仿宋_GB2312"/>
          <w:sz w:val="32"/>
        </w:rPr>
        <w:t>法律、行政法规对违法行为未作出行政处罚规定，地方性法规为实施法律、行政法规，可以补充设定行政处罚。拟补充设定行政处罚的，应当通过听证会、论证会等形式广泛听取意见，并向制定机关作出书面说明。地方性法规报送备案时，应当说明补充设定行政处罚的情况。</w:t>
      </w:r>
    </w:p>
    <w:p>
      <w:pPr>
        <w:spacing w:line="560" w:lineRule="exact"/>
        <w:ind w:firstLine="640"/>
        <w:jc w:val="both"/>
      </w:pPr>
      <w:r>
        <w:rPr>
          <w:rFonts w:ascii="黑体" w:hAnsi="黑体" w:eastAsia="黑体" w:cs="黑体"/>
          <w:sz w:val="32"/>
        </w:rPr>
        <w:t>第十三条</w:t>
      </w:r>
      <w:r>
        <w:rPr>
          <w:rFonts w:ascii="仿宋_GB2312" w:hAnsi="仿宋_GB2312" w:eastAsia="仿宋_GB2312" w:cs="仿宋_GB2312"/>
          <w:sz w:val="32"/>
        </w:rPr>
        <w:t>　国务院部门规章可以在法律、行政法规规定的给予行政处罚的行为、种类和幅度的范围内作出具体规定。</w:t>
      </w:r>
    </w:p>
    <w:p>
      <w:pPr>
        <w:spacing w:line="560" w:lineRule="exact"/>
        <w:ind w:firstLine="640"/>
        <w:jc w:val="both"/>
      </w:pPr>
      <w:r>
        <w:rPr>
          <w:rFonts w:ascii="仿宋_GB2312" w:hAnsi="仿宋_GB2312" w:eastAsia="仿宋_GB2312" w:cs="仿宋_GB2312"/>
          <w:sz w:val="32"/>
        </w:rPr>
        <w:t>尚未制定法律、行政法规的，国务院部门规章对违反行政管理秩序的行为，可以设定警告、通报批评或者一定数额罚款的行政处罚。罚款的限额由国务院规定。</w:t>
      </w:r>
    </w:p>
    <w:p>
      <w:pPr>
        <w:spacing w:line="560" w:lineRule="exact"/>
        <w:ind w:firstLine="640"/>
        <w:jc w:val="both"/>
      </w:pPr>
      <w:r>
        <w:rPr>
          <w:rFonts w:ascii="黑体" w:hAnsi="黑体" w:eastAsia="黑体" w:cs="黑体"/>
          <w:sz w:val="32"/>
        </w:rPr>
        <w:t>第十四条</w:t>
      </w:r>
      <w:r>
        <w:rPr>
          <w:rFonts w:ascii="仿宋_GB2312" w:hAnsi="仿宋_GB2312" w:eastAsia="仿宋_GB2312" w:cs="仿宋_GB2312"/>
          <w:sz w:val="32"/>
        </w:rPr>
        <w:t>　地方政府规章可以在法律、法规规定的给予行政处罚的行为、种类和幅度的范围内作出具体规定。</w:t>
      </w:r>
    </w:p>
    <w:p>
      <w:pPr>
        <w:spacing w:line="560" w:lineRule="exact"/>
        <w:ind w:firstLine="640"/>
        <w:jc w:val="both"/>
      </w:pPr>
      <w:r>
        <w:rPr>
          <w:rFonts w:ascii="仿宋_GB2312" w:hAnsi="仿宋_GB2312" w:eastAsia="仿宋_GB2312" w:cs="仿宋_GB2312"/>
          <w:sz w:val="32"/>
        </w:rPr>
        <w:t>尚未制定法律、法规的，地方政府规章对违反行政管理秩序的行为，可以设定警告、通报批评或者一定数额罚款的行政处罚。罚款的限额由省、自治区、直辖市人民代表大会常务委员会规定。</w:t>
      </w:r>
    </w:p>
    <w:p>
      <w:pPr>
        <w:spacing w:line="560" w:lineRule="exact"/>
        <w:ind w:firstLine="640"/>
        <w:jc w:val="both"/>
      </w:pPr>
      <w:r>
        <w:rPr>
          <w:rFonts w:ascii="黑体" w:hAnsi="黑体" w:eastAsia="黑体" w:cs="黑体"/>
          <w:sz w:val="32"/>
        </w:rPr>
        <w:t>第十五条</w:t>
      </w:r>
      <w:r>
        <w:rPr>
          <w:rFonts w:ascii="仿宋_GB2312" w:hAnsi="仿宋_GB2312" w:eastAsia="仿宋_GB2312" w:cs="仿宋_GB2312"/>
          <w:sz w:val="32"/>
        </w:rPr>
        <w:t>　国务院部门和省、自治区、直辖市人民政府及其有关部门应当定期组织评估行政处罚的实施情况和必要性，对不适当的行政处罚事项及种类、罚款数额等，应当提出修改或者废止的建议。</w:t>
      </w:r>
    </w:p>
    <w:p>
      <w:pPr>
        <w:spacing w:line="560" w:lineRule="exact"/>
        <w:ind w:firstLine="640"/>
        <w:jc w:val="both"/>
      </w:pPr>
      <w:r>
        <w:rPr>
          <w:rFonts w:ascii="黑体" w:hAnsi="黑体" w:eastAsia="黑体" w:cs="黑体"/>
          <w:sz w:val="32"/>
        </w:rPr>
        <w:t>第十六条</w:t>
      </w:r>
      <w:r>
        <w:rPr>
          <w:rFonts w:ascii="仿宋_GB2312" w:hAnsi="仿宋_GB2312" w:eastAsia="仿宋_GB2312" w:cs="仿宋_GB2312"/>
          <w:sz w:val="32"/>
        </w:rPr>
        <w:t>　除法律、法规、规章外，其他规范性文件不得设定行政处罚。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第三章　行政处罚的实施机关</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第十七条</w:t>
      </w:r>
      <w:r>
        <w:rPr>
          <w:rFonts w:ascii="仿宋_GB2312" w:hAnsi="仿宋_GB2312" w:eastAsia="仿宋_GB2312" w:cs="仿宋_GB2312"/>
          <w:sz w:val="32"/>
        </w:rPr>
        <w:t>　行政处罚由具有行政处罚权的行政机关在法定职权范围内实施。</w:t>
      </w:r>
    </w:p>
    <w:p>
      <w:pPr>
        <w:spacing w:line="560" w:lineRule="exact"/>
        <w:ind w:firstLine="640"/>
        <w:jc w:val="both"/>
      </w:pPr>
      <w:r>
        <w:rPr>
          <w:rFonts w:ascii="黑体" w:hAnsi="黑体" w:eastAsia="黑体" w:cs="黑体"/>
          <w:sz w:val="32"/>
        </w:rPr>
        <w:t>第十八条</w:t>
      </w:r>
      <w:r>
        <w:rPr>
          <w:rFonts w:ascii="仿宋_GB2312" w:hAnsi="仿宋_GB2312" w:eastAsia="仿宋_GB2312" w:cs="仿宋_GB2312"/>
          <w:sz w:val="32"/>
        </w:rPr>
        <w:t>　国家在城市管理、市场监管、生态环境、文化市场、交通运输、应急管理、农业等领域推行建立综合行政执法制度，相对集中行政处罚权。</w:t>
      </w:r>
    </w:p>
    <w:p>
      <w:pPr>
        <w:spacing w:line="560" w:lineRule="exact"/>
        <w:ind w:firstLine="640"/>
        <w:jc w:val="both"/>
      </w:pPr>
      <w:r>
        <w:rPr>
          <w:rFonts w:ascii="仿宋_GB2312" w:hAnsi="仿宋_GB2312" w:eastAsia="仿宋_GB2312" w:cs="仿宋_GB2312"/>
          <w:sz w:val="32"/>
        </w:rPr>
        <w:t>国务院或者省、自治区、直辖市人民政府可以决定一个行政机关行使有关行政机关的行政处罚权。</w:t>
      </w:r>
    </w:p>
    <w:p>
      <w:pPr>
        <w:spacing w:line="560" w:lineRule="exact"/>
        <w:ind w:firstLine="640"/>
        <w:jc w:val="both"/>
      </w:pPr>
      <w:r>
        <w:rPr>
          <w:rFonts w:ascii="仿宋_GB2312" w:hAnsi="仿宋_GB2312" w:eastAsia="仿宋_GB2312" w:cs="仿宋_GB2312"/>
          <w:sz w:val="32"/>
        </w:rPr>
        <w:t>限制人身自由的行政处罚权只能由公安机关和法律规定的其他机关行使。</w:t>
      </w:r>
    </w:p>
    <w:p>
      <w:pPr>
        <w:spacing w:line="560" w:lineRule="exact"/>
        <w:ind w:firstLine="640"/>
        <w:jc w:val="both"/>
      </w:pPr>
      <w:r>
        <w:rPr>
          <w:rFonts w:ascii="黑体" w:hAnsi="黑体" w:eastAsia="黑体" w:cs="黑体"/>
          <w:sz w:val="32"/>
        </w:rPr>
        <w:t>第十九条</w:t>
      </w:r>
      <w:r>
        <w:rPr>
          <w:rFonts w:ascii="仿宋_GB2312" w:hAnsi="仿宋_GB2312" w:eastAsia="仿宋_GB2312" w:cs="仿宋_GB2312"/>
          <w:sz w:val="32"/>
        </w:rPr>
        <w:t>　法律、法规授权的具有管理公共事务职能的组织可以在法定授权范围内实施行政处罚。</w:t>
      </w:r>
    </w:p>
    <w:p>
      <w:pPr>
        <w:spacing w:line="560" w:lineRule="exact"/>
        <w:ind w:firstLine="640"/>
        <w:jc w:val="both"/>
      </w:pPr>
      <w:r>
        <w:rPr>
          <w:rFonts w:ascii="黑体" w:hAnsi="黑体" w:eastAsia="黑体" w:cs="黑体"/>
          <w:sz w:val="32"/>
        </w:rPr>
        <w:t>第二十条</w:t>
      </w:r>
      <w:r>
        <w:rPr>
          <w:rFonts w:ascii="仿宋_GB2312" w:hAnsi="仿宋_GB2312" w:eastAsia="仿宋_GB2312" w:cs="仿宋_GB2312"/>
          <w:sz w:val="32"/>
        </w:rPr>
        <w:t>　行政机关依照法律、法规、规章的规定，可以在其法定权限内书面委托符合本法第二十一条规定条件的组织实施行政处罚。行政机关不得委托其他组织或者个人实施行政处罚。</w:t>
      </w:r>
    </w:p>
    <w:p>
      <w:pPr>
        <w:spacing w:line="560" w:lineRule="exact"/>
        <w:ind w:firstLine="640"/>
        <w:jc w:val="both"/>
      </w:pPr>
      <w:r>
        <w:rPr>
          <w:rFonts w:ascii="仿宋_GB2312" w:hAnsi="仿宋_GB2312" w:eastAsia="仿宋_GB2312" w:cs="仿宋_GB2312"/>
          <w:sz w:val="32"/>
        </w:rPr>
        <w:t>委托书应当载明委托的具体事项、权限、期限等内容。委托行政机关和受委托组织应当将委托书向社会公布。</w:t>
      </w:r>
    </w:p>
    <w:p>
      <w:pPr>
        <w:spacing w:line="560" w:lineRule="exact"/>
        <w:ind w:firstLine="640"/>
        <w:jc w:val="both"/>
      </w:pPr>
      <w:r>
        <w:rPr>
          <w:rFonts w:ascii="仿宋_GB2312" w:hAnsi="仿宋_GB2312" w:eastAsia="仿宋_GB2312" w:cs="仿宋_GB2312"/>
          <w:sz w:val="32"/>
        </w:rPr>
        <w:t>委托行政机关对受委托组织实施行政处罚的行为应当负责监督，并对该行为的后果承担法律责任。</w:t>
      </w:r>
    </w:p>
    <w:p>
      <w:pPr>
        <w:spacing w:line="560" w:lineRule="exact"/>
        <w:ind w:firstLine="640"/>
        <w:jc w:val="both"/>
      </w:pPr>
      <w:r>
        <w:rPr>
          <w:rFonts w:ascii="仿宋_GB2312" w:hAnsi="仿宋_GB2312" w:eastAsia="仿宋_GB2312" w:cs="仿宋_GB2312"/>
          <w:sz w:val="32"/>
        </w:rPr>
        <w:t>受委托组织在委托范围内，以委托行政机关名义实施行政处罚；不得再委托其他组织或者个人实施行政处罚。</w:t>
      </w:r>
    </w:p>
    <w:p>
      <w:pPr>
        <w:spacing w:line="560" w:lineRule="exact"/>
        <w:ind w:firstLine="640"/>
        <w:jc w:val="both"/>
      </w:pPr>
      <w:r>
        <w:rPr>
          <w:rFonts w:ascii="黑体" w:hAnsi="黑体" w:eastAsia="黑体" w:cs="黑体"/>
          <w:sz w:val="32"/>
        </w:rPr>
        <w:t>第二十一条</w:t>
      </w:r>
      <w:r>
        <w:rPr>
          <w:rFonts w:ascii="仿宋_GB2312" w:hAnsi="仿宋_GB2312" w:eastAsia="仿宋_GB2312" w:cs="仿宋_GB2312"/>
          <w:sz w:val="32"/>
        </w:rPr>
        <w:t>　受委托组织必须符合以下条件：</w:t>
      </w:r>
    </w:p>
    <w:p>
      <w:pPr>
        <w:spacing w:line="560" w:lineRule="exact"/>
        <w:ind w:firstLine="640"/>
        <w:jc w:val="both"/>
      </w:pPr>
      <w:r>
        <w:rPr>
          <w:rFonts w:ascii="仿宋_GB2312" w:hAnsi="仿宋_GB2312" w:eastAsia="仿宋_GB2312" w:cs="仿宋_GB2312"/>
          <w:sz w:val="32"/>
        </w:rPr>
        <w:t>（一）依法成立并具有管理公共事务职能；</w:t>
      </w:r>
    </w:p>
    <w:p>
      <w:pPr>
        <w:spacing w:line="560" w:lineRule="exact"/>
        <w:ind w:firstLine="640"/>
        <w:jc w:val="both"/>
      </w:pPr>
      <w:r>
        <w:rPr>
          <w:rFonts w:ascii="仿宋_GB2312" w:hAnsi="仿宋_GB2312" w:eastAsia="仿宋_GB2312" w:cs="仿宋_GB2312"/>
          <w:sz w:val="32"/>
        </w:rPr>
        <w:t>（二）有熟悉有关法律、法规、规章和业务并取得行政执法资格的工作人员；</w:t>
      </w:r>
    </w:p>
    <w:p>
      <w:pPr>
        <w:spacing w:line="560" w:lineRule="exact"/>
        <w:ind w:firstLine="640"/>
        <w:jc w:val="both"/>
      </w:pPr>
      <w:r>
        <w:rPr>
          <w:rFonts w:ascii="仿宋_GB2312" w:hAnsi="仿宋_GB2312" w:eastAsia="仿宋_GB2312" w:cs="仿宋_GB2312"/>
          <w:sz w:val="32"/>
        </w:rPr>
        <w:t>（三）需要进行技术检查或者技术鉴定的，应当有条件组织进行相应的技术检查或者技术鉴定。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第四章　行政处罚的管辖和适用</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第二十二条</w:t>
      </w:r>
      <w:r>
        <w:rPr>
          <w:rFonts w:ascii="仿宋_GB2312" w:hAnsi="仿宋_GB2312" w:eastAsia="仿宋_GB2312" w:cs="仿宋_GB2312"/>
          <w:sz w:val="32"/>
        </w:rPr>
        <w:t>　行政处罚由违法行为发生地的行政机关管辖。法律、行政法规、部门规章另有规定的，从其规定。</w:t>
      </w:r>
    </w:p>
    <w:p>
      <w:pPr>
        <w:spacing w:line="560" w:lineRule="exact"/>
        <w:ind w:firstLine="640"/>
        <w:jc w:val="both"/>
      </w:pPr>
      <w:r>
        <w:rPr>
          <w:rFonts w:ascii="黑体" w:hAnsi="黑体" w:eastAsia="黑体" w:cs="黑体"/>
          <w:sz w:val="32"/>
        </w:rPr>
        <w:t>第二十三条</w:t>
      </w:r>
      <w:r>
        <w:rPr>
          <w:rFonts w:ascii="仿宋_GB2312" w:hAnsi="仿宋_GB2312" w:eastAsia="仿宋_GB2312" w:cs="仿宋_GB2312"/>
          <w:sz w:val="32"/>
        </w:rPr>
        <w:t>　行政处罚由县级以上地方人民政府具有行政处罚权的行政机关管辖。法律、行政法规另有规定的，从其规定。</w:t>
      </w:r>
    </w:p>
    <w:p>
      <w:pPr>
        <w:spacing w:line="560" w:lineRule="exact"/>
        <w:ind w:firstLine="640"/>
        <w:jc w:val="both"/>
      </w:pPr>
      <w:r>
        <w:rPr>
          <w:rFonts w:ascii="黑体" w:hAnsi="黑体" w:eastAsia="黑体" w:cs="黑体"/>
          <w:sz w:val="32"/>
        </w:rPr>
        <w:t>第二十四条</w:t>
      </w:r>
      <w:r>
        <w:rPr>
          <w:rFonts w:ascii="仿宋_GB2312" w:hAnsi="仿宋_GB2312" w:eastAsia="仿宋_GB2312" w:cs="仿宋_GB2312"/>
          <w:sz w:val="32"/>
        </w:rPr>
        <w:t>　省、自治区、直辖市根据当地实际情况，可以决定将基层管理迫切需要的县级人民政府部门的行政处罚权交由能够有效承接的乡镇人民政府、街道办事处行使，并定期组织评估。决定应当公布。</w:t>
      </w:r>
    </w:p>
    <w:p>
      <w:pPr>
        <w:spacing w:line="560" w:lineRule="exact"/>
        <w:ind w:firstLine="640"/>
        <w:jc w:val="both"/>
      </w:pPr>
      <w:r>
        <w:rPr>
          <w:rFonts w:ascii="仿宋_GB2312" w:hAnsi="仿宋_GB2312" w:eastAsia="仿宋_GB2312" w:cs="仿宋_GB2312"/>
          <w:sz w:val="32"/>
        </w:rPr>
        <w:t>承接行政处罚权的乡镇人民政府、街道办事处应当加强执法能力建设，按照规定范围、依照法定程序实施行政处罚。</w:t>
      </w:r>
    </w:p>
    <w:p>
      <w:pPr>
        <w:spacing w:line="560" w:lineRule="exact"/>
        <w:ind w:firstLine="640"/>
        <w:jc w:val="both"/>
      </w:pPr>
      <w:r>
        <w:rPr>
          <w:rFonts w:ascii="仿宋_GB2312" w:hAnsi="仿宋_GB2312" w:eastAsia="仿宋_GB2312" w:cs="仿宋_GB2312"/>
          <w:sz w:val="32"/>
        </w:rPr>
        <w:t>有关地方人民政府及其部门应当加强组织协调、业务指导、执法监督，建立健全行政处罚协调配合机制，完善评议、考核制度。</w:t>
      </w:r>
    </w:p>
    <w:p>
      <w:pPr>
        <w:spacing w:line="560" w:lineRule="exact"/>
        <w:ind w:firstLine="640"/>
        <w:jc w:val="both"/>
      </w:pPr>
      <w:r>
        <w:rPr>
          <w:rFonts w:ascii="黑体" w:hAnsi="黑体" w:eastAsia="黑体" w:cs="黑体"/>
          <w:sz w:val="32"/>
        </w:rPr>
        <w:t>第二十五条</w:t>
      </w:r>
      <w:r>
        <w:rPr>
          <w:rFonts w:ascii="仿宋_GB2312" w:hAnsi="仿宋_GB2312" w:eastAsia="仿宋_GB2312" w:cs="仿宋_GB2312"/>
          <w:sz w:val="32"/>
        </w:rPr>
        <w:t>　两个以上行政机关都有管辖权的，由最先立案的行政机关管辖。</w:t>
      </w:r>
    </w:p>
    <w:p>
      <w:pPr>
        <w:spacing w:line="560" w:lineRule="exact"/>
        <w:ind w:firstLine="640"/>
        <w:jc w:val="both"/>
      </w:pPr>
      <w:r>
        <w:rPr>
          <w:rFonts w:ascii="仿宋_GB2312" w:hAnsi="仿宋_GB2312" w:eastAsia="仿宋_GB2312" w:cs="仿宋_GB2312"/>
          <w:sz w:val="32"/>
        </w:rPr>
        <w:t>对管辖发生争议的，应当协商解决，协商不成的，报请共同的上一级行政机关指定管辖；也可以直接由共同的上一级行政机关指定管辖。</w:t>
      </w:r>
    </w:p>
    <w:p>
      <w:pPr>
        <w:spacing w:line="560" w:lineRule="exact"/>
        <w:ind w:firstLine="640"/>
        <w:jc w:val="both"/>
      </w:pPr>
      <w:r>
        <w:rPr>
          <w:rFonts w:ascii="黑体" w:hAnsi="黑体" w:eastAsia="黑体" w:cs="黑体"/>
          <w:sz w:val="32"/>
        </w:rPr>
        <w:t>第二十六条</w:t>
      </w:r>
      <w:r>
        <w:rPr>
          <w:rFonts w:ascii="仿宋_GB2312" w:hAnsi="仿宋_GB2312" w:eastAsia="仿宋_GB2312" w:cs="仿宋_GB2312"/>
          <w:sz w:val="32"/>
        </w:rPr>
        <w:t>　行政机关因实施行政处罚的需要，可以向有关机关提出协助请求。协助事项属于被请求机关职权范围内的，应当依法予以协助。</w:t>
      </w:r>
    </w:p>
    <w:p>
      <w:pPr>
        <w:spacing w:line="560" w:lineRule="exact"/>
        <w:ind w:firstLine="640"/>
        <w:jc w:val="both"/>
      </w:pPr>
      <w:r>
        <w:rPr>
          <w:rFonts w:ascii="黑体" w:hAnsi="黑体" w:eastAsia="黑体" w:cs="黑体"/>
          <w:sz w:val="32"/>
        </w:rPr>
        <w:t>第二十七条</w:t>
      </w:r>
      <w:r>
        <w:rPr>
          <w:rFonts w:ascii="仿宋_GB2312" w:hAnsi="仿宋_GB2312" w:eastAsia="仿宋_GB2312" w:cs="仿宋_GB2312"/>
          <w:sz w:val="32"/>
        </w:rPr>
        <w:t>　违法行为涉嫌犯罪的，行政机关应当及时将案件移送司法机关，依法追究刑事责任。对依法不需要追究刑事责任或者免予刑事处罚，但应当给予行政处罚的，司法机关应当及时将案件移送有关行政机关。</w:t>
      </w:r>
    </w:p>
    <w:p>
      <w:pPr>
        <w:spacing w:line="560" w:lineRule="exact"/>
        <w:ind w:firstLine="640"/>
        <w:jc w:val="both"/>
      </w:pPr>
      <w:r>
        <w:rPr>
          <w:rFonts w:ascii="仿宋_GB2312" w:hAnsi="仿宋_GB2312" w:eastAsia="仿宋_GB2312" w:cs="仿宋_GB2312"/>
          <w:sz w:val="32"/>
        </w:rPr>
        <w:t>行政处罚实施机关与司法机关之间应当加强协调配合，建立健全案件移送制度，加强证据材料移交、接收衔接，完善案件处理信息通报机制。</w:t>
      </w:r>
    </w:p>
    <w:p>
      <w:pPr>
        <w:spacing w:line="560" w:lineRule="exact"/>
        <w:ind w:firstLine="640"/>
        <w:jc w:val="both"/>
      </w:pPr>
      <w:r>
        <w:rPr>
          <w:rFonts w:ascii="黑体" w:hAnsi="黑体" w:eastAsia="黑体" w:cs="黑体"/>
          <w:sz w:val="32"/>
        </w:rPr>
        <w:t>第二十八条</w:t>
      </w:r>
      <w:r>
        <w:rPr>
          <w:rFonts w:ascii="仿宋_GB2312" w:hAnsi="仿宋_GB2312" w:eastAsia="仿宋_GB2312" w:cs="仿宋_GB2312"/>
          <w:sz w:val="32"/>
        </w:rPr>
        <w:t>　行政机关实施行政处罚时，应当责令当事人改正或者限期改正违法行为。</w:t>
      </w:r>
    </w:p>
    <w:p>
      <w:pPr>
        <w:spacing w:line="560" w:lineRule="exact"/>
        <w:ind w:firstLine="640"/>
        <w:jc w:val="both"/>
      </w:pPr>
      <w:r>
        <w:rPr>
          <w:rFonts w:ascii="仿宋_GB2312" w:hAnsi="仿宋_GB2312" w:eastAsia="仿宋_GB2312" w:cs="仿宋_GB2312"/>
          <w:sz w:val="32"/>
        </w:rPr>
        <w:t>当事人有违法所得，除依法应当退赔的外，应当予以没收。违法所得是指实施违法行为所取得的款项。法律、行政法规、部门规章对违法所得的计算另有规定的，从其规定。</w:t>
      </w:r>
    </w:p>
    <w:p>
      <w:pPr>
        <w:spacing w:line="560" w:lineRule="exact"/>
        <w:ind w:firstLine="640"/>
        <w:jc w:val="both"/>
      </w:pPr>
      <w:r>
        <w:rPr>
          <w:rFonts w:ascii="黑体" w:hAnsi="黑体" w:eastAsia="黑体" w:cs="黑体"/>
          <w:sz w:val="32"/>
        </w:rPr>
        <w:t>第二十九条</w:t>
      </w:r>
      <w:r>
        <w:rPr>
          <w:rFonts w:ascii="仿宋_GB2312" w:hAnsi="仿宋_GB2312" w:eastAsia="仿宋_GB2312" w:cs="仿宋_GB2312"/>
          <w:sz w:val="32"/>
        </w:rPr>
        <w:t>　对当事人的同一个违法行为，不得给予两次以上罚款的行政处罚。同一个违法行为违反多个法律规范应当给予罚款处罚的，按照罚款数额高的规定处罚。</w:t>
      </w:r>
    </w:p>
    <w:p>
      <w:pPr>
        <w:spacing w:line="560" w:lineRule="exact"/>
        <w:ind w:firstLine="640"/>
        <w:jc w:val="both"/>
      </w:pPr>
      <w:r>
        <w:rPr>
          <w:rFonts w:ascii="黑体" w:hAnsi="黑体" w:eastAsia="黑体" w:cs="黑体"/>
          <w:sz w:val="32"/>
        </w:rPr>
        <w:t>第三十条</w:t>
      </w:r>
      <w:r>
        <w:rPr>
          <w:rFonts w:ascii="仿宋_GB2312" w:hAnsi="仿宋_GB2312" w:eastAsia="仿宋_GB2312" w:cs="仿宋_GB2312"/>
          <w:sz w:val="32"/>
        </w:rPr>
        <w:t>　不满十四周岁的未成年人有违法行为的，不予行政处罚，责令监护人加以管教；已满十四周岁不满十八周岁的未成年人有违法行为的，应当从轻或者减轻行政处罚。</w:t>
      </w:r>
    </w:p>
    <w:p>
      <w:pPr>
        <w:spacing w:line="560" w:lineRule="exact"/>
        <w:ind w:firstLine="640"/>
        <w:jc w:val="both"/>
      </w:pPr>
      <w:r>
        <w:rPr>
          <w:rFonts w:ascii="黑体" w:hAnsi="黑体" w:eastAsia="黑体" w:cs="黑体"/>
          <w:sz w:val="32"/>
        </w:rPr>
        <w:t>第三十一条</w:t>
      </w:r>
      <w:r>
        <w:rPr>
          <w:rFonts w:ascii="仿宋_GB2312" w:hAnsi="仿宋_GB2312" w:eastAsia="仿宋_GB2312" w:cs="仿宋_GB2312"/>
          <w:sz w:val="32"/>
        </w:rPr>
        <w:t>　精神病人、智力残疾人在不能辨认或者不能控制自己行为时有违法行为的，不予行政处罚，但应当责令其监护人严加看管和治疗。间歇性精神病人在精神正常时有违法行为的，应当给予行政处罚。尚未完全丧失辨认或者控制自己行为能力的精神病人、智力残疾人有违法行为的，可以从轻或者减轻行政处罚。</w:t>
      </w:r>
    </w:p>
    <w:p>
      <w:pPr>
        <w:spacing w:line="560" w:lineRule="exact"/>
        <w:ind w:firstLine="640"/>
        <w:jc w:val="both"/>
      </w:pPr>
      <w:r>
        <w:rPr>
          <w:rFonts w:ascii="黑体" w:hAnsi="黑体" w:eastAsia="黑体" w:cs="黑体"/>
          <w:sz w:val="32"/>
        </w:rPr>
        <w:t>第三十二条</w:t>
      </w:r>
      <w:r>
        <w:rPr>
          <w:rFonts w:ascii="仿宋_GB2312" w:hAnsi="仿宋_GB2312" w:eastAsia="仿宋_GB2312" w:cs="仿宋_GB2312"/>
          <w:sz w:val="32"/>
        </w:rPr>
        <w:t>　当事人有下列情形之一，应当从轻或者减轻行政处罚：</w:t>
      </w:r>
    </w:p>
    <w:p>
      <w:pPr>
        <w:spacing w:line="560" w:lineRule="exact"/>
        <w:ind w:firstLine="640"/>
        <w:jc w:val="both"/>
      </w:pPr>
      <w:r>
        <w:rPr>
          <w:rFonts w:ascii="仿宋_GB2312" w:hAnsi="仿宋_GB2312" w:eastAsia="仿宋_GB2312" w:cs="仿宋_GB2312"/>
          <w:sz w:val="32"/>
        </w:rPr>
        <w:t>（一）主动消除或者减轻违法行为危害后果的；</w:t>
      </w:r>
    </w:p>
    <w:p>
      <w:pPr>
        <w:spacing w:line="560" w:lineRule="exact"/>
        <w:ind w:firstLine="640"/>
        <w:jc w:val="both"/>
      </w:pPr>
      <w:r>
        <w:rPr>
          <w:rFonts w:ascii="仿宋_GB2312" w:hAnsi="仿宋_GB2312" w:eastAsia="仿宋_GB2312" w:cs="仿宋_GB2312"/>
          <w:sz w:val="32"/>
        </w:rPr>
        <w:t>（二）受他人胁迫或者诱骗实施违法行为的；</w:t>
      </w:r>
    </w:p>
    <w:p>
      <w:pPr>
        <w:spacing w:line="560" w:lineRule="exact"/>
        <w:ind w:firstLine="640"/>
        <w:jc w:val="both"/>
      </w:pPr>
      <w:r>
        <w:rPr>
          <w:rFonts w:ascii="仿宋_GB2312" w:hAnsi="仿宋_GB2312" w:eastAsia="仿宋_GB2312" w:cs="仿宋_GB2312"/>
          <w:sz w:val="32"/>
        </w:rPr>
        <w:t>（三）主动供述行政机关尚未掌握的违法行为的；</w:t>
      </w:r>
    </w:p>
    <w:p>
      <w:pPr>
        <w:spacing w:line="560" w:lineRule="exact"/>
        <w:ind w:firstLine="640"/>
        <w:jc w:val="both"/>
      </w:pPr>
      <w:r>
        <w:rPr>
          <w:rFonts w:ascii="仿宋_GB2312" w:hAnsi="仿宋_GB2312" w:eastAsia="仿宋_GB2312" w:cs="仿宋_GB2312"/>
          <w:sz w:val="32"/>
        </w:rPr>
        <w:t>（四）配合行政机关查处违法行为有立功表现的；</w:t>
      </w:r>
    </w:p>
    <w:p>
      <w:pPr>
        <w:spacing w:line="560" w:lineRule="exact"/>
        <w:ind w:firstLine="640"/>
        <w:jc w:val="both"/>
      </w:pPr>
      <w:r>
        <w:rPr>
          <w:rFonts w:ascii="仿宋_GB2312" w:hAnsi="仿宋_GB2312" w:eastAsia="仿宋_GB2312" w:cs="仿宋_GB2312"/>
          <w:sz w:val="32"/>
        </w:rPr>
        <w:t>（五）法律、法规、规章规定其他应当从轻或者减轻行政处罚的。</w:t>
      </w:r>
    </w:p>
    <w:p>
      <w:pPr>
        <w:spacing w:line="560" w:lineRule="exact"/>
        <w:ind w:firstLine="640"/>
        <w:jc w:val="both"/>
      </w:pPr>
      <w:r>
        <w:rPr>
          <w:rFonts w:ascii="黑体" w:hAnsi="黑体" w:eastAsia="黑体" w:cs="黑体"/>
          <w:sz w:val="32"/>
        </w:rPr>
        <w:t>第三十三条</w:t>
      </w:r>
      <w:r>
        <w:rPr>
          <w:rFonts w:ascii="仿宋_GB2312" w:hAnsi="仿宋_GB2312" w:eastAsia="仿宋_GB2312" w:cs="仿宋_GB2312"/>
          <w:sz w:val="32"/>
        </w:rPr>
        <w:t>　违法行为轻微并及时改正，没有造成危害后果的，不予行政处罚。初次违法且危害后果轻微并及时改正的，可以不予行政处罚。</w:t>
      </w:r>
    </w:p>
    <w:p>
      <w:pPr>
        <w:spacing w:line="560" w:lineRule="exact"/>
        <w:ind w:firstLine="640"/>
        <w:jc w:val="both"/>
      </w:pPr>
      <w:r>
        <w:rPr>
          <w:rFonts w:ascii="仿宋_GB2312" w:hAnsi="仿宋_GB2312" w:eastAsia="仿宋_GB2312" w:cs="仿宋_GB2312"/>
          <w:sz w:val="32"/>
        </w:rPr>
        <w:t>当事人有证据足以证明没有主观过错的，不予行政处罚。法律、行政法规另有规定的，从其规定。</w:t>
      </w:r>
    </w:p>
    <w:p>
      <w:pPr>
        <w:spacing w:line="560" w:lineRule="exact"/>
        <w:ind w:firstLine="640"/>
        <w:jc w:val="both"/>
      </w:pPr>
      <w:r>
        <w:rPr>
          <w:rFonts w:ascii="仿宋_GB2312" w:hAnsi="仿宋_GB2312" w:eastAsia="仿宋_GB2312" w:cs="仿宋_GB2312"/>
          <w:sz w:val="32"/>
        </w:rPr>
        <w:t>对当事人的违法行为依法不予行政处罚的，行政机关应当对当事人进行教育。</w:t>
      </w:r>
    </w:p>
    <w:p>
      <w:pPr>
        <w:spacing w:line="560" w:lineRule="exact"/>
        <w:ind w:firstLine="640"/>
        <w:jc w:val="both"/>
      </w:pPr>
      <w:r>
        <w:rPr>
          <w:rFonts w:ascii="黑体" w:hAnsi="黑体" w:eastAsia="黑体" w:cs="黑体"/>
          <w:sz w:val="32"/>
        </w:rPr>
        <w:t>第三十四条</w:t>
      </w:r>
      <w:r>
        <w:rPr>
          <w:rFonts w:ascii="仿宋_GB2312" w:hAnsi="仿宋_GB2312" w:eastAsia="仿宋_GB2312" w:cs="仿宋_GB2312"/>
          <w:sz w:val="32"/>
        </w:rPr>
        <w:t>　行政机关可以依法制定行政处罚裁量基准，规范行使行政处罚裁量权。行政处罚裁量基准应当向社会公布。</w:t>
      </w:r>
    </w:p>
    <w:p>
      <w:pPr>
        <w:spacing w:line="560" w:lineRule="exact"/>
        <w:ind w:firstLine="640"/>
        <w:jc w:val="both"/>
      </w:pPr>
      <w:r>
        <w:rPr>
          <w:rFonts w:ascii="黑体" w:hAnsi="黑体" w:eastAsia="黑体" w:cs="黑体"/>
          <w:sz w:val="32"/>
        </w:rPr>
        <w:t>第三十五条</w:t>
      </w:r>
      <w:r>
        <w:rPr>
          <w:rFonts w:ascii="仿宋_GB2312" w:hAnsi="仿宋_GB2312" w:eastAsia="仿宋_GB2312" w:cs="仿宋_GB2312"/>
          <w:sz w:val="32"/>
        </w:rPr>
        <w:t>　违法行为构成犯罪，人民法院判处拘役或者有期徒刑时，行政机关已经给予当事人行政拘留的，应当依法折抵相应刑期。</w:t>
      </w:r>
    </w:p>
    <w:p>
      <w:pPr>
        <w:spacing w:line="560" w:lineRule="exact"/>
        <w:ind w:firstLine="640"/>
        <w:jc w:val="both"/>
      </w:pPr>
      <w:r>
        <w:rPr>
          <w:rFonts w:ascii="仿宋_GB2312" w:hAnsi="仿宋_GB2312" w:eastAsia="仿宋_GB2312" w:cs="仿宋_GB2312"/>
          <w:sz w:val="32"/>
        </w:rPr>
        <w:t>违法行为构成犯罪，人民法院判处罚金时，行政机关已经给予当事人罚款的，应当折抵相应罚金；行政机关尚未给予当事人罚款的，不再给予罚款。</w:t>
      </w:r>
    </w:p>
    <w:p>
      <w:pPr>
        <w:spacing w:line="560" w:lineRule="exact"/>
        <w:ind w:firstLine="640"/>
        <w:jc w:val="both"/>
      </w:pPr>
      <w:r>
        <w:rPr>
          <w:rFonts w:ascii="黑体" w:hAnsi="黑体" w:eastAsia="黑体" w:cs="黑体"/>
          <w:sz w:val="32"/>
        </w:rPr>
        <w:t>第三十六条</w:t>
      </w:r>
      <w:r>
        <w:rPr>
          <w:rFonts w:ascii="仿宋_GB2312" w:hAnsi="仿宋_GB2312" w:eastAsia="仿宋_GB2312" w:cs="仿宋_GB2312"/>
          <w:sz w:val="32"/>
        </w:rPr>
        <w:t>　违法行为在二年内未被发现的，不再给予行政处罚；涉及公民生命健康安全、金融安全且有危害后果的，上述期限延长至五年。法律另有规定的除外。</w:t>
      </w:r>
    </w:p>
    <w:p>
      <w:pPr>
        <w:spacing w:line="560" w:lineRule="exact"/>
        <w:ind w:firstLine="640"/>
        <w:jc w:val="both"/>
      </w:pPr>
      <w:r>
        <w:rPr>
          <w:rFonts w:ascii="仿宋_GB2312" w:hAnsi="仿宋_GB2312" w:eastAsia="仿宋_GB2312" w:cs="仿宋_GB2312"/>
          <w:sz w:val="32"/>
        </w:rPr>
        <w:t>前款规定的期限，从违法行为发生之日起计算；违法行为有连续或者继续状态的，从行为终了之日起计算。</w:t>
      </w:r>
    </w:p>
    <w:p>
      <w:pPr>
        <w:spacing w:line="560" w:lineRule="exact"/>
        <w:ind w:firstLine="640"/>
        <w:jc w:val="both"/>
      </w:pPr>
      <w:r>
        <w:rPr>
          <w:rFonts w:ascii="黑体" w:hAnsi="黑体" w:eastAsia="黑体" w:cs="黑体"/>
          <w:sz w:val="32"/>
        </w:rPr>
        <w:t>第三十七条</w:t>
      </w:r>
      <w:r>
        <w:rPr>
          <w:rFonts w:ascii="仿宋_GB2312" w:hAnsi="仿宋_GB2312" w:eastAsia="仿宋_GB2312" w:cs="仿宋_GB2312"/>
          <w:sz w:val="32"/>
        </w:rPr>
        <w:t>　实施行政处罚，适用违法行为发生时的法律、法规、规章的规定。但是，作出行政处罚决定时，法律、法规、规章已被修改或者废止，且新的规定处罚较轻或者不认为是违法的，适用新的规定。</w:t>
      </w:r>
    </w:p>
    <w:p>
      <w:pPr>
        <w:spacing w:line="560" w:lineRule="exact"/>
        <w:ind w:firstLine="640"/>
        <w:jc w:val="both"/>
      </w:pPr>
      <w:r>
        <w:rPr>
          <w:rFonts w:ascii="黑体" w:hAnsi="黑体" w:eastAsia="黑体" w:cs="黑体"/>
          <w:sz w:val="32"/>
        </w:rPr>
        <w:t>第三十八条</w:t>
      </w:r>
      <w:r>
        <w:rPr>
          <w:rFonts w:ascii="仿宋_GB2312" w:hAnsi="仿宋_GB2312" w:eastAsia="仿宋_GB2312" w:cs="仿宋_GB2312"/>
          <w:sz w:val="32"/>
        </w:rPr>
        <w:t>　行政处罚没有依据或者实施主体不具有行政主体资格的，行政处罚无效。</w:t>
      </w:r>
    </w:p>
    <w:p>
      <w:pPr>
        <w:spacing w:line="560" w:lineRule="exact"/>
        <w:ind w:firstLine="640"/>
        <w:jc w:val="both"/>
      </w:pPr>
      <w:r>
        <w:rPr>
          <w:rFonts w:ascii="仿宋_GB2312" w:hAnsi="仿宋_GB2312" w:eastAsia="仿宋_GB2312" w:cs="仿宋_GB2312"/>
          <w:sz w:val="32"/>
        </w:rPr>
        <w:t>违反法定程序构成重大且明显违法的，行政处罚无效。</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第五章　行政处罚的决定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第一节　一般规定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第三十九条</w:t>
      </w:r>
      <w:r>
        <w:rPr>
          <w:rFonts w:ascii="仿宋_GB2312" w:hAnsi="仿宋_GB2312" w:eastAsia="仿宋_GB2312" w:cs="仿宋_GB2312"/>
          <w:sz w:val="32"/>
        </w:rPr>
        <w:t>　行政处罚的实施机关、立案依据、实施程序和救济渠道等信息应当公示。</w:t>
      </w:r>
    </w:p>
    <w:p>
      <w:pPr>
        <w:spacing w:line="560" w:lineRule="exact"/>
        <w:ind w:firstLine="640"/>
        <w:jc w:val="both"/>
      </w:pPr>
      <w:r>
        <w:rPr>
          <w:rFonts w:ascii="黑体" w:hAnsi="黑体" w:eastAsia="黑体" w:cs="黑体"/>
          <w:sz w:val="32"/>
        </w:rPr>
        <w:t>第四十条</w:t>
      </w:r>
      <w:r>
        <w:rPr>
          <w:rFonts w:ascii="仿宋_GB2312" w:hAnsi="仿宋_GB2312" w:eastAsia="仿宋_GB2312" w:cs="仿宋_GB2312"/>
          <w:sz w:val="32"/>
        </w:rPr>
        <w:t>　公民、法人或者其他组织违反行政管理秩序的行为，依法应当给予行政处罚的，行政机关必须查明事实；违法事实不清、证据不足的，不得给予行政处罚。</w:t>
      </w:r>
    </w:p>
    <w:p>
      <w:pPr>
        <w:spacing w:line="560" w:lineRule="exact"/>
        <w:ind w:firstLine="640"/>
        <w:jc w:val="both"/>
      </w:pPr>
      <w:r>
        <w:rPr>
          <w:rFonts w:ascii="黑体" w:hAnsi="黑体" w:eastAsia="黑体" w:cs="黑体"/>
          <w:sz w:val="32"/>
        </w:rPr>
        <w:t>第四十一条</w:t>
      </w:r>
      <w:r>
        <w:rPr>
          <w:rFonts w:ascii="仿宋_GB2312" w:hAnsi="仿宋_GB2312" w:eastAsia="仿宋_GB2312" w:cs="仿宋_GB2312"/>
          <w:sz w:val="32"/>
        </w:rPr>
        <w:t>　行政机关依照法律、行政法规规定利用电子技术监控设备收集、固定违法事实的，应当经过法制和技术审核，确保电子技术监控设备符合标准、设置合理、标志明显，设置地点应当向社会公布。</w:t>
      </w:r>
    </w:p>
    <w:p>
      <w:pPr>
        <w:spacing w:line="560" w:lineRule="exact"/>
        <w:ind w:firstLine="640"/>
        <w:jc w:val="both"/>
      </w:pPr>
      <w:r>
        <w:rPr>
          <w:rFonts w:ascii="仿宋_GB2312" w:hAnsi="仿宋_GB2312" w:eastAsia="仿宋_GB2312" w:cs="仿宋_GB2312"/>
          <w:sz w:val="32"/>
        </w:rPr>
        <w:t>电子技术监控设备记录违法事实应当真实、清晰、完整、准确。行政机关应当审核记录内容是否符合要求；未经审核或者经审核不符合要求的，不得作为行政处罚的证据。</w:t>
      </w:r>
    </w:p>
    <w:p>
      <w:pPr>
        <w:spacing w:line="560" w:lineRule="exact"/>
        <w:ind w:firstLine="640"/>
        <w:jc w:val="both"/>
      </w:pPr>
      <w:r>
        <w:rPr>
          <w:rFonts w:ascii="仿宋_GB2312" w:hAnsi="仿宋_GB2312" w:eastAsia="仿宋_GB2312" w:cs="仿宋_GB2312"/>
          <w:sz w:val="32"/>
        </w:rPr>
        <w:t>行政机关应当及时告知当事人违法事实，并采取信息化手段或者其他措施，为当事人查询、陈述和申辩提供便利。不得限制或者变相限制当事人享有的陈述权、申辩权。</w:t>
      </w:r>
    </w:p>
    <w:p>
      <w:pPr>
        <w:spacing w:line="560" w:lineRule="exact"/>
        <w:ind w:firstLine="640"/>
        <w:jc w:val="both"/>
      </w:pPr>
      <w:r>
        <w:rPr>
          <w:rFonts w:ascii="黑体" w:hAnsi="黑体" w:eastAsia="黑体" w:cs="黑体"/>
          <w:sz w:val="32"/>
        </w:rPr>
        <w:t>第四十二条</w:t>
      </w:r>
      <w:r>
        <w:rPr>
          <w:rFonts w:ascii="仿宋_GB2312" w:hAnsi="仿宋_GB2312" w:eastAsia="仿宋_GB2312" w:cs="仿宋_GB2312"/>
          <w:sz w:val="32"/>
        </w:rPr>
        <w:t>　行政处罚应当由具有行政执法资格的执法人员实施。执法人员不得少于两人，法律另有规定的除外。</w:t>
      </w:r>
    </w:p>
    <w:p>
      <w:pPr>
        <w:spacing w:line="560" w:lineRule="exact"/>
        <w:ind w:firstLine="640"/>
        <w:jc w:val="both"/>
      </w:pPr>
      <w:r>
        <w:rPr>
          <w:rFonts w:ascii="仿宋_GB2312" w:hAnsi="仿宋_GB2312" w:eastAsia="仿宋_GB2312" w:cs="仿宋_GB2312"/>
          <w:sz w:val="32"/>
        </w:rPr>
        <w:t>执法人员应当文明执法，尊重和保护当事人合法权益。</w:t>
      </w:r>
    </w:p>
    <w:p>
      <w:pPr>
        <w:spacing w:line="560" w:lineRule="exact"/>
        <w:ind w:firstLine="640"/>
        <w:jc w:val="both"/>
      </w:pPr>
      <w:r>
        <w:rPr>
          <w:rFonts w:ascii="黑体" w:hAnsi="黑体" w:eastAsia="黑体" w:cs="黑体"/>
          <w:sz w:val="32"/>
        </w:rPr>
        <w:t>第四十三条</w:t>
      </w:r>
      <w:r>
        <w:rPr>
          <w:rFonts w:ascii="仿宋_GB2312" w:hAnsi="仿宋_GB2312" w:eastAsia="仿宋_GB2312" w:cs="仿宋_GB2312"/>
          <w:sz w:val="32"/>
        </w:rPr>
        <w:t>　执法人员与案件有直接利害关系或者有其他关系可能影响公正执法的，应当回避。</w:t>
      </w:r>
    </w:p>
    <w:p>
      <w:pPr>
        <w:spacing w:line="560" w:lineRule="exact"/>
        <w:ind w:firstLine="640"/>
        <w:jc w:val="both"/>
      </w:pPr>
      <w:r>
        <w:rPr>
          <w:rFonts w:ascii="仿宋_GB2312" w:hAnsi="仿宋_GB2312" w:eastAsia="仿宋_GB2312" w:cs="仿宋_GB2312"/>
          <w:sz w:val="32"/>
        </w:rPr>
        <w:t>当事人认为执法人员与案件有直接利害关系或者有其他关系可能影响公正执法的，有权申请回避。</w:t>
      </w:r>
    </w:p>
    <w:p>
      <w:pPr>
        <w:spacing w:line="560" w:lineRule="exact"/>
        <w:ind w:firstLine="640"/>
        <w:jc w:val="both"/>
      </w:pPr>
      <w:r>
        <w:rPr>
          <w:rFonts w:ascii="仿宋_GB2312" w:hAnsi="仿宋_GB2312" w:eastAsia="仿宋_GB2312" w:cs="仿宋_GB2312"/>
          <w:sz w:val="32"/>
        </w:rPr>
        <w:t>当事人提出回避申请的，行政机关应当依法审查，由行政机关负责人决定。决定作出之前，不停止调查。</w:t>
      </w:r>
    </w:p>
    <w:p>
      <w:pPr>
        <w:spacing w:line="560" w:lineRule="exact"/>
        <w:ind w:firstLine="640"/>
        <w:jc w:val="both"/>
      </w:pPr>
      <w:r>
        <w:rPr>
          <w:rFonts w:ascii="黑体" w:hAnsi="黑体" w:eastAsia="黑体" w:cs="黑体"/>
          <w:sz w:val="32"/>
        </w:rPr>
        <w:t>第四十四条</w:t>
      </w:r>
      <w:r>
        <w:rPr>
          <w:rFonts w:ascii="仿宋_GB2312" w:hAnsi="仿宋_GB2312" w:eastAsia="仿宋_GB2312" w:cs="仿宋_GB2312"/>
          <w:sz w:val="32"/>
        </w:rPr>
        <w:t>　行政机关在作出行政处罚决定之前，应当告知当事人拟作出的行政处罚内容及事实、理由、依据，并告知当事人依法享有的陈述、申辩、要求听证等权利。</w:t>
      </w:r>
    </w:p>
    <w:p>
      <w:pPr>
        <w:spacing w:line="560" w:lineRule="exact"/>
        <w:ind w:firstLine="640"/>
        <w:jc w:val="both"/>
      </w:pPr>
      <w:r>
        <w:rPr>
          <w:rFonts w:ascii="黑体" w:hAnsi="黑体" w:eastAsia="黑体" w:cs="黑体"/>
          <w:sz w:val="32"/>
        </w:rPr>
        <w:t>第四十五条</w:t>
      </w:r>
      <w:r>
        <w:rPr>
          <w:rFonts w:ascii="仿宋_GB2312" w:hAnsi="仿宋_GB2312" w:eastAsia="仿宋_GB2312" w:cs="仿宋_GB2312"/>
          <w:sz w:val="32"/>
        </w:rPr>
        <w:t>　当事人有权进行陈述和申辩。行政机关必须充分听取当事人的意见，对当事人提出的事实、理由和证据，应当进行复核；当事人提出的事实、理由或者证据成立的，行政机关应当采纳。</w:t>
      </w:r>
    </w:p>
    <w:p>
      <w:pPr>
        <w:spacing w:line="560" w:lineRule="exact"/>
        <w:ind w:firstLine="640"/>
        <w:jc w:val="both"/>
      </w:pPr>
      <w:r>
        <w:rPr>
          <w:rFonts w:ascii="仿宋_GB2312" w:hAnsi="仿宋_GB2312" w:eastAsia="仿宋_GB2312" w:cs="仿宋_GB2312"/>
          <w:sz w:val="32"/>
        </w:rPr>
        <w:t>行政机关不得因当事人陈述、申辩而给予更重的处罚。</w:t>
      </w:r>
    </w:p>
    <w:p>
      <w:pPr>
        <w:spacing w:line="560" w:lineRule="exact"/>
        <w:ind w:firstLine="640"/>
        <w:jc w:val="both"/>
      </w:pPr>
      <w:r>
        <w:rPr>
          <w:rFonts w:ascii="黑体" w:hAnsi="黑体" w:eastAsia="黑体" w:cs="黑体"/>
          <w:sz w:val="32"/>
        </w:rPr>
        <w:t>第四十六条</w:t>
      </w:r>
      <w:r>
        <w:rPr>
          <w:rFonts w:ascii="仿宋_GB2312" w:hAnsi="仿宋_GB2312" w:eastAsia="仿宋_GB2312" w:cs="仿宋_GB2312"/>
          <w:sz w:val="32"/>
        </w:rPr>
        <w:t>　证据包括：</w:t>
      </w:r>
    </w:p>
    <w:p>
      <w:pPr>
        <w:spacing w:line="560" w:lineRule="exact"/>
        <w:ind w:firstLine="640"/>
        <w:jc w:val="both"/>
      </w:pPr>
      <w:r>
        <w:rPr>
          <w:rFonts w:ascii="仿宋_GB2312" w:hAnsi="仿宋_GB2312" w:eastAsia="仿宋_GB2312" w:cs="仿宋_GB2312"/>
          <w:sz w:val="32"/>
        </w:rPr>
        <w:t>（一）书证；</w:t>
      </w:r>
    </w:p>
    <w:p>
      <w:pPr>
        <w:spacing w:line="560" w:lineRule="exact"/>
        <w:ind w:firstLine="640"/>
        <w:jc w:val="both"/>
      </w:pPr>
      <w:r>
        <w:rPr>
          <w:rFonts w:ascii="仿宋_GB2312" w:hAnsi="仿宋_GB2312" w:eastAsia="仿宋_GB2312" w:cs="仿宋_GB2312"/>
          <w:sz w:val="32"/>
        </w:rPr>
        <w:t>（二）物证；</w:t>
      </w:r>
    </w:p>
    <w:p>
      <w:pPr>
        <w:spacing w:line="560" w:lineRule="exact"/>
        <w:ind w:firstLine="640"/>
        <w:jc w:val="both"/>
      </w:pPr>
      <w:r>
        <w:rPr>
          <w:rFonts w:ascii="仿宋_GB2312" w:hAnsi="仿宋_GB2312" w:eastAsia="仿宋_GB2312" w:cs="仿宋_GB2312"/>
          <w:sz w:val="32"/>
        </w:rPr>
        <w:t>（三）视听资料；</w:t>
      </w:r>
    </w:p>
    <w:p>
      <w:pPr>
        <w:spacing w:line="560" w:lineRule="exact"/>
        <w:ind w:firstLine="640"/>
        <w:jc w:val="both"/>
      </w:pPr>
      <w:r>
        <w:rPr>
          <w:rFonts w:ascii="仿宋_GB2312" w:hAnsi="仿宋_GB2312" w:eastAsia="仿宋_GB2312" w:cs="仿宋_GB2312"/>
          <w:sz w:val="32"/>
        </w:rPr>
        <w:t>（四）电子数据；</w:t>
      </w:r>
    </w:p>
    <w:p>
      <w:pPr>
        <w:spacing w:line="560" w:lineRule="exact"/>
        <w:ind w:firstLine="640"/>
        <w:jc w:val="both"/>
      </w:pPr>
      <w:r>
        <w:rPr>
          <w:rFonts w:ascii="仿宋_GB2312" w:hAnsi="仿宋_GB2312" w:eastAsia="仿宋_GB2312" w:cs="仿宋_GB2312"/>
          <w:sz w:val="32"/>
        </w:rPr>
        <w:t>（五）证人证言；</w:t>
      </w:r>
    </w:p>
    <w:p>
      <w:pPr>
        <w:spacing w:line="560" w:lineRule="exact"/>
        <w:ind w:firstLine="640"/>
        <w:jc w:val="both"/>
      </w:pPr>
      <w:r>
        <w:rPr>
          <w:rFonts w:ascii="仿宋_GB2312" w:hAnsi="仿宋_GB2312" w:eastAsia="仿宋_GB2312" w:cs="仿宋_GB2312"/>
          <w:sz w:val="32"/>
        </w:rPr>
        <w:t>（六）当事人的陈述；</w:t>
      </w:r>
    </w:p>
    <w:p>
      <w:pPr>
        <w:spacing w:line="560" w:lineRule="exact"/>
        <w:ind w:firstLine="640"/>
        <w:jc w:val="both"/>
      </w:pPr>
      <w:r>
        <w:rPr>
          <w:rFonts w:ascii="仿宋_GB2312" w:hAnsi="仿宋_GB2312" w:eastAsia="仿宋_GB2312" w:cs="仿宋_GB2312"/>
          <w:sz w:val="32"/>
        </w:rPr>
        <w:t>（七）鉴定意见；</w:t>
      </w:r>
    </w:p>
    <w:p>
      <w:pPr>
        <w:spacing w:line="560" w:lineRule="exact"/>
        <w:ind w:firstLine="640"/>
        <w:jc w:val="both"/>
      </w:pPr>
      <w:r>
        <w:rPr>
          <w:rFonts w:ascii="仿宋_GB2312" w:hAnsi="仿宋_GB2312" w:eastAsia="仿宋_GB2312" w:cs="仿宋_GB2312"/>
          <w:sz w:val="32"/>
        </w:rPr>
        <w:t>（八）勘验笔录、现场笔录。</w:t>
      </w:r>
    </w:p>
    <w:p>
      <w:pPr>
        <w:spacing w:line="560" w:lineRule="exact"/>
        <w:ind w:firstLine="640"/>
        <w:jc w:val="both"/>
      </w:pPr>
      <w:r>
        <w:rPr>
          <w:rFonts w:ascii="仿宋_GB2312" w:hAnsi="仿宋_GB2312" w:eastAsia="仿宋_GB2312" w:cs="仿宋_GB2312"/>
          <w:sz w:val="32"/>
        </w:rPr>
        <w:t>证据必须经查证属实，方可作为认定案件事实的根据。</w:t>
      </w:r>
    </w:p>
    <w:p>
      <w:pPr>
        <w:spacing w:line="560" w:lineRule="exact"/>
        <w:ind w:firstLine="640"/>
        <w:jc w:val="both"/>
      </w:pPr>
      <w:r>
        <w:rPr>
          <w:rFonts w:ascii="仿宋_GB2312" w:hAnsi="仿宋_GB2312" w:eastAsia="仿宋_GB2312" w:cs="仿宋_GB2312"/>
          <w:sz w:val="32"/>
        </w:rPr>
        <w:t>以非法手段取得的证据，不得作为认定案件事实的根据。</w:t>
      </w:r>
    </w:p>
    <w:p>
      <w:pPr>
        <w:spacing w:line="560" w:lineRule="exact"/>
        <w:ind w:firstLine="640"/>
        <w:jc w:val="both"/>
      </w:pPr>
      <w:r>
        <w:rPr>
          <w:rFonts w:ascii="黑体" w:hAnsi="黑体" w:eastAsia="黑体" w:cs="黑体"/>
          <w:sz w:val="32"/>
        </w:rPr>
        <w:t>第四十七条</w:t>
      </w:r>
      <w:r>
        <w:rPr>
          <w:rFonts w:ascii="仿宋_GB2312" w:hAnsi="仿宋_GB2312" w:eastAsia="仿宋_GB2312" w:cs="仿宋_GB2312"/>
          <w:sz w:val="32"/>
        </w:rPr>
        <w:t>　行政机关应当依法以文字、音像等形式，对行政处罚的启动、调查取证、审核、决定、送达、执行等进行全过程记录，归档保存。</w:t>
      </w:r>
    </w:p>
    <w:p>
      <w:pPr>
        <w:spacing w:line="560" w:lineRule="exact"/>
        <w:ind w:firstLine="640"/>
        <w:jc w:val="both"/>
      </w:pPr>
      <w:r>
        <w:rPr>
          <w:rFonts w:ascii="黑体" w:hAnsi="黑体" w:eastAsia="黑体" w:cs="黑体"/>
          <w:sz w:val="32"/>
        </w:rPr>
        <w:t>第四十八条</w:t>
      </w:r>
      <w:r>
        <w:rPr>
          <w:rFonts w:ascii="仿宋_GB2312" w:hAnsi="仿宋_GB2312" w:eastAsia="仿宋_GB2312" w:cs="仿宋_GB2312"/>
          <w:sz w:val="32"/>
        </w:rPr>
        <w:t>　具有一定社会影响的行政处罚决定应当依法公开。</w:t>
      </w:r>
    </w:p>
    <w:p>
      <w:pPr>
        <w:spacing w:line="560" w:lineRule="exact"/>
        <w:ind w:firstLine="640"/>
        <w:jc w:val="both"/>
      </w:pPr>
      <w:r>
        <w:rPr>
          <w:rFonts w:ascii="仿宋_GB2312" w:hAnsi="仿宋_GB2312" w:eastAsia="仿宋_GB2312" w:cs="仿宋_GB2312"/>
          <w:sz w:val="32"/>
        </w:rPr>
        <w:t>公开的行政处罚决定被依法变更、撤销、确认违法或者确认无效的，行政机关应当在三日内撤回行政处罚决定信息并公开说明理由。</w:t>
      </w:r>
    </w:p>
    <w:p>
      <w:pPr>
        <w:spacing w:line="560" w:lineRule="exact"/>
        <w:ind w:firstLine="640"/>
        <w:jc w:val="both"/>
      </w:pPr>
      <w:r>
        <w:rPr>
          <w:rFonts w:ascii="黑体" w:hAnsi="黑体" w:eastAsia="黑体" w:cs="黑体"/>
          <w:sz w:val="32"/>
        </w:rPr>
        <w:t>第四十九条</w:t>
      </w:r>
      <w:r>
        <w:rPr>
          <w:rFonts w:ascii="仿宋_GB2312" w:hAnsi="仿宋_GB2312" w:eastAsia="仿宋_GB2312" w:cs="仿宋_GB2312"/>
          <w:sz w:val="32"/>
        </w:rPr>
        <w:t>　发生重大传染病疫情等突发事件，为了控制、减轻和消除突发事件引起的社会危害，行政机关对违反突发事件应对措施的行为，依法快速、从重处罚。</w:t>
      </w:r>
    </w:p>
    <w:p>
      <w:pPr>
        <w:spacing w:line="560" w:lineRule="exact"/>
        <w:ind w:firstLine="640"/>
        <w:jc w:val="both"/>
      </w:pPr>
      <w:r>
        <w:rPr>
          <w:rFonts w:ascii="黑体" w:hAnsi="黑体" w:eastAsia="黑体" w:cs="黑体"/>
          <w:sz w:val="32"/>
        </w:rPr>
        <w:t>第五十条</w:t>
      </w:r>
      <w:r>
        <w:rPr>
          <w:rFonts w:ascii="仿宋_GB2312" w:hAnsi="仿宋_GB2312" w:eastAsia="仿宋_GB2312" w:cs="仿宋_GB2312"/>
          <w:sz w:val="32"/>
        </w:rPr>
        <w:t>　行政机关及其工作人员对实施行政处罚过程中知悉的国家秘密、商业秘密或者个人隐私，应当依法予以保密。</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第二节　简易程序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第五十一条</w:t>
      </w:r>
      <w:r>
        <w:rPr>
          <w:rFonts w:ascii="仿宋_GB2312" w:hAnsi="仿宋_GB2312" w:eastAsia="仿宋_GB2312" w:cs="仿宋_GB2312"/>
          <w:sz w:val="32"/>
        </w:rPr>
        <w:t>　违法事实确凿并有法定依据，对公民处以二百元以下、对法人或者其他组织处以三千元以下罚款或者警告的行政处罚的，可以当场作出行政处罚决定。法律另有规定的，从其规定。</w:t>
      </w:r>
    </w:p>
    <w:p>
      <w:pPr>
        <w:spacing w:line="560" w:lineRule="exact"/>
        <w:ind w:firstLine="640"/>
        <w:jc w:val="both"/>
      </w:pPr>
      <w:r>
        <w:rPr>
          <w:rFonts w:ascii="黑体" w:hAnsi="黑体" w:eastAsia="黑体" w:cs="黑体"/>
          <w:sz w:val="32"/>
        </w:rPr>
        <w:t>第五十二条</w:t>
      </w:r>
      <w:r>
        <w:rPr>
          <w:rFonts w:ascii="仿宋_GB2312" w:hAnsi="仿宋_GB2312" w:eastAsia="仿宋_GB2312" w:cs="仿宋_GB2312"/>
          <w:sz w:val="32"/>
        </w:rPr>
        <w:t>　执法人员当场作出行政处罚决定的，应当向当事人出示执法证件，填写预定格式、编有号码的行政处罚决定书，并当场交付当事人。当事人拒绝签收的，应当在行政处罚决定书上注明。</w:t>
      </w:r>
    </w:p>
    <w:p>
      <w:pPr>
        <w:spacing w:line="560" w:lineRule="exact"/>
        <w:ind w:firstLine="640"/>
        <w:jc w:val="both"/>
      </w:pPr>
      <w:r>
        <w:rPr>
          <w:rFonts w:ascii="仿宋_GB2312" w:hAnsi="仿宋_GB2312" w:eastAsia="仿宋_GB2312" w:cs="仿宋_GB2312"/>
          <w:sz w:val="32"/>
        </w:rPr>
        <w:t>前款规定的行政处罚决定书应当载明当事人的违法行为，行政处罚的种类和依据、罚款数额、时间、地点，申请行政复议、提起行政诉讼的途径和期限以及行政机关名称，并由执法人员签名或者盖章。</w:t>
      </w:r>
    </w:p>
    <w:p>
      <w:pPr>
        <w:spacing w:line="560" w:lineRule="exact"/>
        <w:ind w:firstLine="640"/>
        <w:jc w:val="both"/>
      </w:pPr>
      <w:r>
        <w:rPr>
          <w:rFonts w:ascii="仿宋_GB2312" w:hAnsi="仿宋_GB2312" w:eastAsia="仿宋_GB2312" w:cs="仿宋_GB2312"/>
          <w:sz w:val="32"/>
        </w:rPr>
        <w:t>执法人员当场作出的行政处罚决定，应当报所属行政机关备案。</w:t>
      </w:r>
    </w:p>
    <w:p>
      <w:pPr>
        <w:spacing w:line="560" w:lineRule="exact"/>
        <w:ind w:firstLine="640"/>
        <w:jc w:val="both"/>
      </w:pPr>
      <w:r>
        <w:rPr>
          <w:rFonts w:ascii="黑体" w:hAnsi="黑体" w:eastAsia="黑体" w:cs="黑体"/>
          <w:sz w:val="32"/>
        </w:rPr>
        <w:t>第五十三条</w:t>
      </w:r>
      <w:r>
        <w:rPr>
          <w:rFonts w:ascii="仿宋_GB2312" w:hAnsi="仿宋_GB2312" w:eastAsia="仿宋_GB2312" w:cs="仿宋_GB2312"/>
          <w:sz w:val="32"/>
        </w:rPr>
        <w:t>　对当场作出的行政处罚决定，当事人应当依照本法第六十七条至第六十九条的规定履行。</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第三节　普通程序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第五十四条</w:t>
      </w:r>
      <w:r>
        <w:rPr>
          <w:rFonts w:ascii="仿宋_GB2312" w:hAnsi="仿宋_GB2312" w:eastAsia="仿宋_GB2312" w:cs="仿宋_GB2312"/>
          <w:sz w:val="32"/>
        </w:rPr>
        <w:t>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spacing w:line="560" w:lineRule="exact"/>
        <w:ind w:firstLine="640"/>
        <w:jc w:val="both"/>
      </w:pPr>
      <w:r>
        <w:rPr>
          <w:rFonts w:ascii="仿宋_GB2312" w:hAnsi="仿宋_GB2312" w:eastAsia="仿宋_GB2312" w:cs="仿宋_GB2312"/>
          <w:sz w:val="32"/>
        </w:rPr>
        <w:t>符合立案标准的，行政机关应当及时立案。</w:t>
      </w:r>
    </w:p>
    <w:p>
      <w:pPr>
        <w:spacing w:line="560" w:lineRule="exact"/>
        <w:ind w:firstLine="640"/>
        <w:jc w:val="both"/>
      </w:pPr>
      <w:r>
        <w:rPr>
          <w:rFonts w:ascii="黑体" w:hAnsi="黑体" w:eastAsia="黑体" w:cs="黑体"/>
          <w:sz w:val="32"/>
        </w:rPr>
        <w:t>第五十五条</w:t>
      </w:r>
      <w:r>
        <w:rPr>
          <w:rFonts w:ascii="仿宋_GB2312" w:hAnsi="仿宋_GB2312" w:eastAsia="仿宋_GB2312" w:cs="仿宋_GB2312"/>
          <w:sz w:val="32"/>
        </w:rPr>
        <w:t>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pPr>
        <w:spacing w:line="560" w:lineRule="exact"/>
        <w:ind w:firstLine="640"/>
        <w:jc w:val="both"/>
      </w:pPr>
      <w:r>
        <w:rPr>
          <w:rFonts w:ascii="仿宋_GB2312" w:hAnsi="仿宋_GB2312" w:eastAsia="仿宋_GB2312" w:cs="仿宋_GB2312"/>
          <w:sz w:val="32"/>
        </w:rPr>
        <w:t>当事人或者有关人员应当如实回答询问，并协助调查或者检查，不得拒绝或者阻挠。询问或者检查应当制作笔录。</w:t>
      </w:r>
    </w:p>
    <w:p>
      <w:pPr>
        <w:spacing w:line="560" w:lineRule="exact"/>
        <w:ind w:firstLine="640"/>
        <w:jc w:val="both"/>
      </w:pPr>
      <w:r>
        <w:rPr>
          <w:rFonts w:ascii="黑体" w:hAnsi="黑体" w:eastAsia="黑体" w:cs="黑体"/>
          <w:sz w:val="32"/>
        </w:rPr>
        <w:t>第五十六条</w:t>
      </w:r>
      <w:r>
        <w:rPr>
          <w:rFonts w:ascii="仿宋_GB2312" w:hAnsi="仿宋_GB2312" w:eastAsia="仿宋_GB2312" w:cs="仿宋_GB2312"/>
          <w:sz w:val="32"/>
        </w:rPr>
        <w:t>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p>
      <w:pPr>
        <w:spacing w:line="560" w:lineRule="exact"/>
        <w:ind w:firstLine="640"/>
        <w:jc w:val="both"/>
      </w:pPr>
      <w:r>
        <w:rPr>
          <w:rFonts w:ascii="黑体" w:hAnsi="黑体" w:eastAsia="黑体" w:cs="黑体"/>
          <w:sz w:val="32"/>
        </w:rPr>
        <w:t>第五十七条</w:t>
      </w:r>
      <w:r>
        <w:rPr>
          <w:rFonts w:ascii="仿宋_GB2312" w:hAnsi="仿宋_GB2312" w:eastAsia="仿宋_GB2312" w:cs="仿宋_GB2312"/>
          <w:sz w:val="32"/>
        </w:rPr>
        <w:t>　调查终结，行政机关负责人应当对调查结果进行审查，根据不同情况，分别作出如下决定：</w:t>
      </w:r>
    </w:p>
    <w:p>
      <w:pPr>
        <w:spacing w:line="560" w:lineRule="exact"/>
        <w:ind w:firstLine="640"/>
        <w:jc w:val="both"/>
      </w:pPr>
      <w:r>
        <w:rPr>
          <w:rFonts w:ascii="仿宋_GB2312" w:hAnsi="仿宋_GB2312" w:eastAsia="仿宋_GB2312" w:cs="仿宋_GB2312"/>
          <w:sz w:val="32"/>
        </w:rPr>
        <w:t>（一）确有应受行政处罚的违法行为的，根据情节轻重及具体情况，作出行政处罚决定；</w:t>
      </w:r>
    </w:p>
    <w:p>
      <w:pPr>
        <w:spacing w:line="560" w:lineRule="exact"/>
        <w:ind w:firstLine="640"/>
        <w:jc w:val="both"/>
      </w:pPr>
      <w:r>
        <w:rPr>
          <w:rFonts w:ascii="仿宋_GB2312" w:hAnsi="仿宋_GB2312" w:eastAsia="仿宋_GB2312" w:cs="仿宋_GB2312"/>
          <w:sz w:val="32"/>
        </w:rPr>
        <w:t>（二）违法行为轻微，依法可以不予行政处罚的，不予行政处罚；</w:t>
      </w:r>
    </w:p>
    <w:p>
      <w:pPr>
        <w:spacing w:line="560" w:lineRule="exact"/>
        <w:ind w:firstLine="640"/>
        <w:jc w:val="both"/>
      </w:pPr>
      <w:r>
        <w:rPr>
          <w:rFonts w:ascii="仿宋_GB2312" w:hAnsi="仿宋_GB2312" w:eastAsia="仿宋_GB2312" w:cs="仿宋_GB2312"/>
          <w:sz w:val="32"/>
        </w:rPr>
        <w:t>（三）违法事实不能成立的，不予行政处罚；</w:t>
      </w:r>
    </w:p>
    <w:p>
      <w:pPr>
        <w:spacing w:line="560" w:lineRule="exact"/>
        <w:ind w:firstLine="640"/>
        <w:jc w:val="both"/>
      </w:pPr>
      <w:r>
        <w:rPr>
          <w:rFonts w:ascii="仿宋_GB2312" w:hAnsi="仿宋_GB2312" w:eastAsia="仿宋_GB2312" w:cs="仿宋_GB2312"/>
          <w:sz w:val="32"/>
        </w:rPr>
        <w:t>（四）违法行为涉嫌犯罪的，移送司法机关。</w:t>
      </w:r>
    </w:p>
    <w:p>
      <w:pPr>
        <w:spacing w:line="560" w:lineRule="exact"/>
        <w:ind w:firstLine="640"/>
        <w:jc w:val="both"/>
      </w:pPr>
      <w:r>
        <w:rPr>
          <w:rFonts w:ascii="仿宋_GB2312" w:hAnsi="仿宋_GB2312" w:eastAsia="仿宋_GB2312" w:cs="仿宋_GB2312"/>
          <w:sz w:val="32"/>
        </w:rPr>
        <w:t>对情节复杂或者重大违法行为给予行政处罚，行政机关负责人应当集体讨论决定。</w:t>
      </w:r>
    </w:p>
    <w:p>
      <w:pPr>
        <w:spacing w:line="560" w:lineRule="exact"/>
        <w:ind w:firstLine="640"/>
        <w:jc w:val="both"/>
      </w:pPr>
      <w:r>
        <w:rPr>
          <w:rFonts w:ascii="黑体" w:hAnsi="黑体" w:eastAsia="黑体" w:cs="黑体"/>
          <w:sz w:val="32"/>
        </w:rPr>
        <w:t>第五十八条</w:t>
      </w:r>
      <w:r>
        <w:rPr>
          <w:rFonts w:ascii="仿宋_GB2312" w:hAnsi="仿宋_GB2312" w:eastAsia="仿宋_GB2312" w:cs="仿宋_GB2312"/>
          <w:sz w:val="32"/>
        </w:rPr>
        <w:t>　有下列情形之一，在行政机关负责人作出行政处罚的决定之前，应当由从事行政处罚决定法制审核的人员进行法制审核；未经法制审核或者审核未通过的，不得作出决定：</w:t>
      </w:r>
    </w:p>
    <w:p>
      <w:pPr>
        <w:spacing w:line="560" w:lineRule="exact"/>
        <w:ind w:firstLine="640"/>
        <w:jc w:val="both"/>
      </w:pPr>
      <w:r>
        <w:rPr>
          <w:rFonts w:ascii="仿宋_GB2312" w:hAnsi="仿宋_GB2312" w:eastAsia="仿宋_GB2312" w:cs="仿宋_GB2312"/>
          <w:sz w:val="32"/>
        </w:rPr>
        <w:t>（一）涉及重大公共利益的；</w:t>
      </w:r>
    </w:p>
    <w:p>
      <w:pPr>
        <w:spacing w:line="560" w:lineRule="exact"/>
        <w:ind w:firstLine="640"/>
        <w:jc w:val="both"/>
      </w:pPr>
      <w:r>
        <w:rPr>
          <w:rFonts w:ascii="仿宋_GB2312" w:hAnsi="仿宋_GB2312" w:eastAsia="仿宋_GB2312" w:cs="仿宋_GB2312"/>
          <w:sz w:val="32"/>
        </w:rPr>
        <w:t>（二）直接关系当事人或者第三人重大权益，经过听证程序的；</w:t>
      </w:r>
    </w:p>
    <w:p>
      <w:pPr>
        <w:spacing w:line="560" w:lineRule="exact"/>
        <w:ind w:firstLine="640"/>
        <w:jc w:val="both"/>
      </w:pPr>
      <w:r>
        <w:rPr>
          <w:rFonts w:ascii="仿宋_GB2312" w:hAnsi="仿宋_GB2312" w:eastAsia="仿宋_GB2312" w:cs="仿宋_GB2312"/>
          <w:sz w:val="32"/>
        </w:rPr>
        <w:t>（三）案件情况疑难复杂、涉及多个法律关系的；</w:t>
      </w:r>
    </w:p>
    <w:p>
      <w:pPr>
        <w:spacing w:line="560" w:lineRule="exact"/>
        <w:ind w:firstLine="640"/>
        <w:jc w:val="both"/>
      </w:pPr>
      <w:r>
        <w:rPr>
          <w:rFonts w:ascii="仿宋_GB2312" w:hAnsi="仿宋_GB2312" w:eastAsia="仿宋_GB2312" w:cs="仿宋_GB2312"/>
          <w:sz w:val="32"/>
        </w:rPr>
        <w:t>（四）法律、法规规定应当进行法制审核的其他情形。</w:t>
      </w:r>
    </w:p>
    <w:p>
      <w:pPr>
        <w:spacing w:line="560" w:lineRule="exact"/>
        <w:ind w:firstLine="640"/>
        <w:jc w:val="both"/>
      </w:pPr>
      <w:r>
        <w:rPr>
          <w:rFonts w:ascii="仿宋_GB2312" w:hAnsi="仿宋_GB2312" w:eastAsia="仿宋_GB2312" w:cs="仿宋_GB2312"/>
          <w:sz w:val="32"/>
        </w:rPr>
        <w:t>行政机关中初次从事行政处罚决定法制审核的人员，应当通过国家统一法律职业资格考试取得法律职业资格。</w:t>
      </w:r>
    </w:p>
    <w:p>
      <w:pPr>
        <w:spacing w:line="560" w:lineRule="exact"/>
        <w:ind w:firstLine="640"/>
        <w:jc w:val="both"/>
      </w:pPr>
      <w:r>
        <w:rPr>
          <w:rFonts w:ascii="黑体" w:hAnsi="黑体" w:eastAsia="黑体" w:cs="黑体"/>
          <w:sz w:val="32"/>
        </w:rPr>
        <w:t>第五十九条</w:t>
      </w:r>
      <w:r>
        <w:rPr>
          <w:rFonts w:ascii="仿宋_GB2312" w:hAnsi="仿宋_GB2312" w:eastAsia="仿宋_GB2312" w:cs="仿宋_GB2312"/>
          <w:sz w:val="32"/>
        </w:rPr>
        <w:t>　行政机关依照本法第五十七条的规定给予行政处罚，应当制作行政处罚决定书。行政处罚决定书应当载明下列事项：</w:t>
      </w:r>
    </w:p>
    <w:p>
      <w:pPr>
        <w:spacing w:line="560" w:lineRule="exact"/>
        <w:ind w:firstLine="640"/>
        <w:jc w:val="both"/>
      </w:pPr>
      <w:r>
        <w:rPr>
          <w:rFonts w:ascii="仿宋_GB2312" w:hAnsi="仿宋_GB2312" w:eastAsia="仿宋_GB2312" w:cs="仿宋_GB2312"/>
          <w:sz w:val="32"/>
        </w:rPr>
        <w:t>（一）当事人的姓名或者名称、地址；</w:t>
      </w:r>
    </w:p>
    <w:p>
      <w:pPr>
        <w:spacing w:line="560" w:lineRule="exact"/>
        <w:ind w:firstLine="640"/>
        <w:jc w:val="both"/>
      </w:pPr>
      <w:r>
        <w:rPr>
          <w:rFonts w:ascii="仿宋_GB2312" w:hAnsi="仿宋_GB2312" w:eastAsia="仿宋_GB2312" w:cs="仿宋_GB2312"/>
          <w:sz w:val="32"/>
        </w:rPr>
        <w:t>（二）违反法律、法规、规章的事实和证据；</w:t>
      </w:r>
    </w:p>
    <w:p>
      <w:pPr>
        <w:spacing w:line="560" w:lineRule="exact"/>
        <w:ind w:firstLine="640"/>
        <w:jc w:val="both"/>
      </w:pPr>
      <w:r>
        <w:rPr>
          <w:rFonts w:ascii="仿宋_GB2312" w:hAnsi="仿宋_GB2312" w:eastAsia="仿宋_GB2312" w:cs="仿宋_GB2312"/>
          <w:sz w:val="32"/>
        </w:rPr>
        <w:t>（三）行政处罚的种类和依据；</w:t>
      </w:r>
    </w:p>
    <w:p>
      <w:pPr>
        <w:spacing w:line="560" w:lineRule="exact"/>
        <w:ind w:firstLine="640"/>
        <w:jc w:val="both"/>
      </w:pPr>
      <w:r>
        <w:rPr>
          <w:rFonts w:ascii="仿宋_GB2312" w:hAnsi="仿宋_GB2312" w:eastAsia="仿宋_GB2312" w:cs="仿宋_GB2312"/>
          <w:sz w:val="32"/>
        </w:rPr>
        <w:t>（四）行政处罚的履行方式和期限；</w:t>
      </w:r>
    </w:p>
    <w:p>
      <w:pPr>
        <w:spacing w:line="560" w:lineRule="exact"/>
        <w:ind w:firstLine="640"/>
        <w:jc w:val="both"/>
      </w:pPr>
      <w:r>
        <w:rPr>
          <w:rFonts w:ascii="仿宋_GB2312" w:hAnsi="仿宋_GB2312" w:eastAsia="仿宋_GB2312" w:cs="仿宋_GB2312"/>
          <w:sz w:val="32"/>
        </w:rPr>
        <w:t>（五）申请行政复议、提起行政诉讼的途径和期限；</w:t>
      </w:r>
    </w:p>
    <w:p>
      <w:pPr>
        <w:spacing w:line="560" w:lineRule="exact"/>
        <w:ind w:firstLine="640"/>
        <w:jc w:val="both"/>
      </w:pPr>
      <w:r>
        <w:rPr>
          <w:rFonts w:ascii="仿宋_GB2312" w:hAnsi="仿宋_GB2312" w:eastAsia="仿宋_GB2312" w:cs="仿宋_GB2312"/>
          <w:sz w:val="32"/>
        </w:rPr>
        <w:t>（六）作出行政处罚决定的行政机关名称和作出决定的日期。</w:t>
      </w:r>
    </w:p>
    <w:p>
      <w:pPr>
        <w:spacing w:line="560" w:lineRule="exact"/>
        <w:ind w:firstLine="640"/>
        <w:jc w:val="both"/>
      </w:pPr>
      <w:r>
        <w:rPr>
          <w:rFonts w:ascii="仿宋_GB2312" w:hAnsi="仿宋_GB2312" w:eastAsia="仿宋_GB2312" w:cs="仿宋_GB2312"/>
          <w:sz w:val="32"/>
        </w:rPr>
        <w:t>行政处罚决定书必须盖有作出行政处罚决定的行政机关的印章。</w:t>
      </w:r>
    </w:p>
    <w:p>
      <w:pPr>
        <w:spacing w:line="560" w:lineRule="exact"/>
        <w:ind w:firstLine="640"/>
        <w:jc w:val="both"/>
      </w:pPr>
      <w:r>
        <w:rPr>
          <w:rFonts w:ascii="黑体" w:hAnsi="黑体" w:eastAsia="黑体" w:cs="黑体"/>
          <w:sz w:val="32"/>
        </w:rPr>
        <w:t>第六十条</w:t>
      </w:r>
      <w:r>
        <w:rPr>
          <w:rFonts w:ascii="仿宋_GB2312" w:hAnsi="仿宋_GB2312" w:eastAsia="仿宋_GB2312" w:cs="仿宋_GB2312"/>
          <w:sz w:val="32"/>
        </w:rPr>
        <w:t>　行政机关应当自行政处罚案件立案之日起九十日内作出行政处罚决定。法律、法规、规章另有规定的，从其规定。</w:t>
      </w:r>
    </w:p>
    <w:p>
      <w:pPr>
        <w:spacing w:line="560" w:lineRule="exact"/>
        <w:ind w:firstLine="640"/>
        <w:jc w:val="both"/>
      </w:pPr>
      <w:r>
        <w:rPr>
          <w:rFonts w:ascii="黑体" w:hAnsi="黑体" w:eastAsia="黑体" w:cs="黑体"/>
          <w:sz w:val="32"/>
        </w:rPr>
        <w:t>第六十一条</w:t>
      </w:r>
      <w:r>
        <w:rPr>
          <w:rFonts w:ascii="仿宋_GB2312" w:hAnsi="仿宋_GB2312" w:eastAsia="仿宋_GB2312" w:cs="仿宋_GB2312"/>
          <w:sz w:val="32"/>
        </w:rPr>
        <w:t>　行政处罚决定书应当在宣告后当场交付当事人；当事人不在场的，行政机关应当在七日内依照《中华人民共和国民事诉讼法》的有关规定，将行政处罚决定书送达当事人。</w:t>
      </w:r>
    </w:p>
    <w:p>
      <w:pPr>
        <w:spacing w:line="560" w:lineRule="exact"/>
        <w:ind w:firstLine="640"/>
        <w:jc w:val="both"/>
      </w:pPr>
      <w:r>
        <w:rPr>
          <w:rFonts w:ascii="仿宋_GB2312" w:hAnsi="仿宋_GB2312" w:eastAsia="仿宋_GB2312" w:cs="仿宋_GB2312"/>
          <w:sz w:val="32"/>
        </w:rPr>
        <w:t>当事人同意并签订确认书的，行政机关可以采用传真、电子邮件等方式，将行政处罚决定书等送达当事人。</w:t>
      </w:r>
    </w:p>
    <w:p>
      <w:pPr>
        <w:spacing w:line="560" w:lineRule="exact"/>
        <w:ind w:firstLine="640"/>
        <w:jc w:val="both"/>
      </w:pPr>
      <w:r>
        <w:rPr>
          <w:rFonts w:ascii="黑体" w:hAnsi="黑体" w:eastAsia="黑体" w:cs="黑体"/>
          <w:sz w:val="32"/>
        </w:rPr>
        <w:t>第六十二条</w:t>
      </w:r>
      <w:r>
        <w:rPr>
          <w:rFonts w:ascii="仿宋_GB2312" w:hAnsi="仿宋_GB2312" w:eastAsia="仿宋_GB2312" w:cs="仿宋_GB2312"/>
          <w:sz w:val="32"/>
        </w:rPr>
        <w:t>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宋体" w:hAnsi="宋体" w:eastAsia="宋体" w:cs="宋体"/>
          <w:sz w:val="32"/>
        </w:rPr>
        <w:t>第四节　听证程序</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第六十三条</w:t>
      </w:r>
      <w:r>
        <w:rPr>
          <w:rFonts w:ascii="仿宋_GB2312" w:hAnsi="仿宋_GB2312" w:eastAsia="仿宋_GB2312" w:cs="仿宋_GB2312"/>
          <w:sz w:val="32"/>
        </w:rPr>
        <w:t>　行政机关拟作出下列行政处罚决定，应当告知当事人有要求听证的权利，当事人要求听证的，行政机关应当组织听证：</w:t>
      </w:r>
    </w:p>
    <w:p>
      <w:pPr>
        <w:spacing w:line="560" w:lineRule="exact"/>
        <w:ind w:firstLine="640"/>
        <w:jc w:val="both"/>
      </w:pPr>
      <w:r>
        <w:rPr>
          <w:rFonts w:ascii="仿宋_GB2312" w:hAnsi="仿宋_GB2312" w:eastAsia="仿宋_GB2312" w:cs="仿宋_GB2312"/>
          <w:sz w:val="32"/>
        </w:rPr>
        <w:t>（一）较大数额罚款；</w:t>
      </w:r>
    </w:p>
    <w:p>
      <w:pPr>
        <w:spacing w:line="560" w:lineRule="exact"/>
        <w:ind w:firstLine="640"/>
        <w:jc w:val="both"/>
      </w:pPr>
      <w:r>
        <w:rPr>
          <w:rFonts w:ascii="仿宋_GB2312" w:hAnsi="仿宋_GB2312" w:eastAsia="仿宋_GB2312" w:cs="仿宋_GB2312"/>
          <w:sz w:val="32"/>
        </w:rPr>
        <w:t>（二）没收较大数额违法所得、没收较大价值非法财物；</w:t>
      </w:r>
    </w:p>
    <w:p>
      <w:pPr>
        <w:spacing w:line="560" w:lineRule="exact"/>
        <w:ind w:firstLine="640"/>
        <w:jc w:val="both"/>
      </w:pPr>
      <w:r>
        <w:rPr>
          <w:rFonts w:ascii="仿宋_GB2312" w:hAnsi="仿宋_GB2312" w:eastAsia="仿宋_GB2312" w:cs="仿宋_GB2312"/>
          <w:sz w:val="32"/>
        </w:rPr>
        <w:t>（三）降低资质等级、吊销许可证件；</w:t>
      </w:r>
    </w:p>
    <w:p>
      <w:pPr>
        <w:spacing w:line="560" w:lineRule="exact"/>
        <w:ind w:firstLine="640"/>
        <w:jc w:val="both"/>
      </w:pPr>
      <w:r>
        <w:rPr>
          <w:rFonts w:ascii="仿宋_GB2312" w:hAnsi="仿宋_GB2312" w:eastAsia="仿宋_GB2312" w:cs="仿宋_GB2312"/>
          <w:sz w:val="32"/>
        </w:rPr>
        <w:t>（四）责令停产停业、责令关闭、限制从业；</w:t>
      </w:r>
    </w:p>
    <w:p>
      <w:pPr>
        <w:spacing w:line="560" w:lineRule="exact"/>
        <w:ind w:firstLine="640"/>
        <w:jc w:val="both"/>
      </w:pPr>
      <w:r>
        <w:rPr>
          <w:rFonts w:ascii="仿宋_GB2312" w:hAnsi="仿宋_GB2312" w:eastAsia="仿宋_GB2312" w:cs="仿宋_GB2312"/>
          <w:sz w:val="32"/>
        </w:rPr>
        <w:t>（五）其他较重的行政处罚；</w:t>
      </w:r>
    </w:p>
    <w:p>
      <w:pPr>
        <w:spacing w:line="560" w:lineRule="exact"/>
        <w:ind w:firstLine="640"/>
        <w:jc w:val="both"/>
      </w:pPr>
      <w:r>
        <w:rPr>
          <w:rFonts w:ascii="仿宋_GB2312" w:hAnsi="仿宋_GB2312" w:eastAsia="仿宋_GB2312" w:cs="仿宋_GB2312"/>
          <w:sz w:val="32"/>
        </w:rPr>
        <w:t>（六）法律、法规、规章规定的其他情形。</w:t>
      </w:r>
    </w:p>
    <w:p>
      <w:pPr>
        <w:spacing w:line="560" w:lineRule="exact"/>
        <w:ind w:firstLine="640"/>
        <w:jc w:val="both"/>
      </w:pPr>
      <w:r>
        <w:rPr>
          <w:rFonts w:ascii="仿宋_GB2312" w:hAnsi="仿宋_GB2312" w:eastAsia="仿宋_GB2312" w:cs="仿宋_GB2312"/>
          <w:sz w:val="32"/>
        </w:rPr>
        <w:t>当事人不承担行政机关组织听证的费用。</w:t>
      </w:r>
    </w:p>
    <w:p>
      <w:pPr>
        <w:spacing w:line="560" w:lineRule="exact"/>
        <w:ind w:firstLine="640"/>
        <w:jc w:val="both"/>
      </w:pPr>
      <w:r>
        <w:rPr>
          <w:rFonts w:ascii="黑体" w:hAnsi="黑体" w:eastAsia="黑体" w:cs="黑体"/>
          <w:sz w:val="32"/>
        </w:rPr>
        <w:t>第六十四条</w:t>
      </w:r>
      <w:r>
        <w:rPr>
          <w:rFonts w:ascii="仿宋_GB2312" w:hAnsi="仿宋_GB2312" w:eastAsia="仿宋_GB2312" w:cs="仿宋_GB2312"/>
          <w:sz w:val="32"/>
        </w:rPr>
        <w:t>　听证应当依照以下程序组织：</w:t>
      </w:r>
    </w:p>
    <w:p>
      <w:pPr>
        <w:spacing w:line="560" w:lineRule="exact"/>
        <w:ind w:firstLine="640"/>
        <w:jc w:val="both"/>
      </w:pPr>
      <w:r>
        <w:rPr>
          <w:rFonts w:ascii="仿宋_GB2312" w:hAnsi="仿宋_GB2312" w:eastAsia="仿宋_GB2312" w:cs="仿宋_GB2312"/>
          <w:sz w:val="32"/>
        </w:rPr>
        <w:t>（一）当事人要求听证的，应当在行政机关告知后五日内提出；</w:t>
      </w:r>
    </w:p>
    <w:p>
      <w:pPr>
        <w:spacing w:line="560" w:lineRule="exact"/>
        <w:ind w:firstLine="640"/>
        <w:jc w:val="both"/>
      </w:pPr>
      <w:r>
        <w:rPr>
          <w:rFonts w:ascii="仿宋_GB2312" w:hAnsi="仿宋_GB2312" w:eastAsia="仿宋_GB2312" w:cs="仿宋_GB2312"/>
          <w:sz w:val="32"/>
        </w:rPr>
        <w:t>（二）行政机关应当在举行听证的七日前，通知当事人及有关人员听证的时间、地点；</w:t>
      </w:r>
    </w:p>
    <w:p>
      <w:pPr>
        <w:spacing w:line="560" w:lineRule="exact"/>
        <w:ind w:firstLine="640"/>
        <w:jc w:val="both"/>
      </w:pPr>
      <w:r>
        <w:rPr>
          <w:rFonts w:ascii="仿宋_GB2312" w:hAnsi="仿宋_GB2312" w:eastAsia="仿宋_GB2312" w:cs="仿宋_GB2312"/>
          <w:sz w:val="32"/>
        </w:rPr>
        <w:t>（三）除涉及国家秘密、商业秘密或者个人隐私依法予以保密外，听证公开举行；</w:t>
      </w:r>
    </w:p>
    <w:p>
      <w:pPr>
        <w:spacing w:line="560" w:lineRule="exact"/>
        <w:ind w:firstLine="640"/>
        <w:jc w:val="both"/>
      </w:pPr>
      <w:r>
        <w:rPr>
          <w:rFonts w:ascii="仿宋_GB2312" w:hAnsi="仿宋_GB2312" w:eastAsia="仿宋_GB2312" w:cs="仿宋_GB2312"/>
          <w:sz w:val="32"/>
        </w:rPr>
        <w:t>（四）听证由行政机关指定的非本案调查人员主持；当事人认为主持人与本案有直接利害关系的，有权申请回避；</w:t>
      </w:r>
    </w:p>
    <w:p>
      <w:pPr>
        <w:spacing w:line="560" w:lineRule="exact"/>
        <w:ind w:firstLine="640"/>
        <w:jc w:val="both"/>
      </w:pPr>
      <w:r>
        <w:rPr>
          <w:rFonts w:ascii="仿宋_GB2312" w:hAnsi="仿宋_GB2312" w:eastAsia="仿宋_GB2312" w:cs="仿宋_GB2312"/>
          <w:sz w:val="32"/>
        </w:rPr>
        <w:t>（五）当事人可以亲自参加听证，也可以委托一至二人代理；</w:t>
      </w:r>
    </w:p>
    <w:p>
      <w:pPr>
        <w:spacing w:line="560" w:lineRule="exact"/>
        <w:ind w:firstLine="640"/>
        <w:jc w:val="both"/>
      </w:pPr>
      <w:r>
        <w:rPr>
          <w:rFonts w:ascii="仿宋_GB2312" w:hAnsi="仿宋_GB2312" w:eastAsia="仿宋_GB2312" w:cs="仿宋_GB2312"/>
          <w:sz w:val="32"/>
        </w:rPr>
        <w:t>（六）当事人及其代理人无正当理由拒不出席听证或者未经许可中途退出听证的，视为放弃听证权利，行政机关终止听证；</w:t>
      </w:r>
    </w:p>
    <w:p>
      <w:pPr>
        <w:spacing w:line="560" w:lineRule="exact"/>
        <w:ind w:firstLine="640"/>
        <w:jc w:val="both"/>
      </w:pPr>
      <w:r>
        <w:rPr>
          <w:rFonts w:ascii="仿宋_GB2312" w:hAnsi="仿宋_GB2312" w:eastAsia="仿宋_GB2312" w:cs="仿宋_GB2312"/>
          <w:sz w:val="32"/>
        </w:rPr>
        <w:t>（七）举行听证时，调查人员提出当事人违法的事实、证据和行政处罚建议，当事人进行申辩和质证；</w:t>
      </w:r>
    </w:p>
    <w:p>
      <w:pPr>
        <w:spacing w:line="560" w:lineRule="exact"/>
        <w:ind w:firstLine="640"/>
        <w:jc w:val="both"/>
      </w:pPr>
      <w:r>
        <w:rPr>
          <w:rFonts w:ascii="仿宋_GB2312" w:hAnsi="仿宋_GB2312" w:eastAsia="仿宋_GB2312" w:cs="仿宋_GB2312"/>
          <w:sz w:val="32"/>
        </w:rPr>
        <w:t>（八）听证应当制作笔录。笔录应当交当事人或者其代理人核对无误后签字或者盖章。当事人或者其代理人拒绝签字或者盖章的，由听证主持人在笔录中注明。</w:t>
      </w:r>
    </w:p>
    <w:p>
      <w:pPr>
        <w:spacing w:line="560" w:lineRule="exact"/>
        <w:ind w:firstLine="640"/>
        <w:jc w:val="both"/>
      </w:pPr>
      <w:r>
        <w:rPr>
          <w:rFonts w:ascii="黑体" w:hAnsi="黑体" w:eastAsia="黑体" w:cs="黑体"/>
          <w:sz w:val="32"/>
        </w:rPr>
        <w:t>第六十五条</w:t>
      </w:r>
      <w:r>
        <w:rPr>
          <w:rFonts w:ascii="仿宋_GB2312" w:hAnsi="仿宋_GB2312" w:eastAsia="仿宋_GB2312" w:cs="仿宋_GB2312"/>
          <w:sz w:val="32"/>
        </w:rPr>
        <w:t>　听证结束后，行政机关应当根据听证笔录，依照本法第五十七条的规定，作出决定。</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第六章　行政处罚的执行</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第六十六条</w:t>
      </w:r>
      <w:r>
        <w:rPr>
          <w:rFonts w:ascii="仿宋_GB2312" w:hAnsi="仿宋_GB2312" w:eastAsia="仿宋_GB2312" w:cs="仿宋_GB2312"/>
          <w:sz w:val="32"/>
        </w:rPr>
        <w:t>　行政处罚决定依法作出后，当事人应当在行政处罚决定书载明的期限内，予以履行。</w:t>
      </w:r>
    </w:p>
    <w:p>
      <w:pPr>
        <w:spacing w:line="560" w:lineRule="exact"/>
        <w:ind w:firstLine="640"/>
        <w:jc w:val="both"/>
      </w:pPr>
      <w:r>
        <w:rPr>
          <w:rFonts w:ascii="仿宋_GB2312" w:hAnsi="仿宋_GB2312" w:eastAsia="仿宋_GB2312" w:cs="仿宋_GB2312"/>
          <w:sz w:val="32"/>
        </w:rPr>
        <w:t>当事人确有经济困难，需要延期或者分期缴纳罚款的，经当事人申请和行政机关批准，可以暂缓或者分期缴纳。</w:t>
      </w:r>
    </w:p>
    <w:p>
      <w:pPr>
        <w:spacing w:line="560" w:lineRule="exact"/>
        <w:ind w:firstLine="640"/>
        <w:jc w:val="both"/>
      </w:pPr>
      <w:r>
        <w:rPr>
          <w:rFonts w:ascii="黑体" w:hAnsi="黑体" w:eastAsia="黑体" w:cs="黑体"/>
          <w:sz w:val="32"/>
        </w:rPr>
        <w:t>第六十七条</w:t>
      </w:r>
      <w:r>
        <w:rPr>
          <w:rFonts w:ascii="仿宋_GB2312" w:hAnsi="仿宋_GB2312" w:eastAsia="仿宋_GB2312" w:cs="仿宋_GB2312"/>
          <w:sz w:val="32"/>
        </w:rPr>
        <w:t>　作出罚款决定的行政机关应当与收缴罚款的机构分离。</w:t>
      </w:r>
    </w:p>
    <w:p>
      <w:pPr>
        <w:spacing w:line="560" w:lineRule="exact"/>
        <w:ind w:firstLine="640"/>
        <w:jc w:val="both"/>
      </w:pPr>
      <w:r>
        <w:rPr>
          <w:rFonts w:ascii="仿宋_GB2312" w:hAnsi="仿宋_GB2312" w:eastAsia="仿宋_GB2312" w:cs="仿宋_GB2312"/>
          <w:sz w:val="32"/>
        </w:rPr>
        <w:t>除依照本法第六十八条、第六十九条的规定当场收缴的罚款外，作出行政处罚决定的行政机关及其执法人员不得自行收缴罚款。</w:t>
      </w:r>
    </w:p>
    <w:p>
      <w:pPr>
        <w:spacing w:line="560" w:lineRule="exact"/>
        <w:ind w:firstLine="640"/>
        <w:jc w:val="both"/>
      </w:pPr>
      <w:r>
        <w:rPr>
          <w:rFonts w:ascii="仿宋_GB2312" w:hAnsi="仿宋_GB2312" w:eastAsia="仿宋_GB2312" w:cs="仿宋_GB2312"/>
          <w:sz w:val="32"/>
        </w:rPr>
        <w:t>当事人应当自收到行政处罚决定书之日起十五日内，到指定的银行或者通过电子支付系统缴纳罚款。银行应当收受罚款，并将罚款直接上缴国库。</w:t>
      </w:r>
    </w:p>
    <w:p>
      <w:pPr>
        <w:spacing w:line="560" w:lineRule="exact"/>
        <w:ind w:firstLine="640"/>
        <w:jc w:val="both"/>
      </w:pPr>
      <w:r>
        <w:rPr>
          <w:rFonts w:ascii="黑体" w:hAnsi="黑体" w:eastAsia="黑体" w:cs="黑体"/>
          <w:sz w:val="32"/>
        </w:rPr>
        <w:t>第六十八条</w:t>
      </w:r>
      <w:r>
        <w:rPr>
          <w:rFonts w:ascii="仿宋_GB2312" w:hAnsi="仿宋_GB2312" w:eastAsia="仿宋_GB2312" w:cs="仿宋_GB2312"/>
          <w:sz w:val="32"/>
        </w:rPr>
        <w:t>　依照本法第五十一条的规定当场作出行政处罚决定，有下列情形之一，执法人员可以当场收缴罚款：</w:t>
      </w:r>
    </w:p>
    <w:p>
      <w:pPr>
        <w:spacing w:line="560" w:lineRule="exact"/>
        <w:ind w:firstLine="640"/>
        <w:jc w:val="both"/>
      </w:pPr>
      <w:r>
        <w:rPr>
          <w:rFonts w:ascii="仿宋_GB2312" w:hAnsi="仿宋_GB2312" w:eastAsia="仿宋_GB2312" w:cs="仿宋_GB2312"/>
          <w:sz w:val="32"/>
        </w:rPr>
        <w:t>（一）依法给予一百元以下罚款的；</w:t>
      </w:r>
    </w:p>
    <w:p>
      <w:pPr>
        <w:spacing w:line="560" w:lineRule="exact"/>
        <w:ind w:firstLine="640"/>
        <w:jc w:val="both"/>
      </w:pPr>
      <w:r>
        <w:rPr>
          <w:rFonts w:ascii="仿宋_GB2312" w:hAnsi="仿宋_GB2312" w:eastAsia="仿宋_GB2312" w:cs="仿宋_GB2312"/>
          <w:sz w:val="32"/>
        </w:rPr>
        <w:t>（二）不当场收缴事后难以执行的。</w:t>
      </w:r>
    </w:p>
    <w:p>
      <w:pPr>
        <w:spacing w:line="560" w:lineRule="exact"/>
        <w:ind w:firstLine="640"/>
        <w:jc w:val="both"/>
      </w:pPr>
      <w:r>
        <w:rPr>
          <w:rFonts w:ascii="黑体" w:hAnsi="黑体" w:eastAsia="黑体" w:cs="黑体"/>
          <w:sz w:val="32"/>
        </w:rPr>
        <w:t>第六十九条</w:t>
      </w:r>
      <w:r>
        <w:rPr>
          <w:rFonts w:ascii="仿宋_GB2312" w:hAnsi="仿宋_GB2312" w:eastAsia="仿宋_GB2312" w:cs="仿宋_GB2312"/>
          <w:sz w:val="32"/>
        </w:rPr>
        <w:t>　在边远、水上、交通不便地区，行政机关及其执法人员依照本法第五十一条、第五十七条的规定作出罚款决定后，当事人到指定的银行或者通过电子支付系统缴纳罚款确有困难，经当事人提出，行政机关及其执法人员可以当场收缴罚款。</w:t>
      </w:r>
    </w:p>
    <w:p>
      <w:pPr>
        <w:spacing w:line="560" w:lineRule="exact"/>
        <w:ind w:firstLine="640"/>
        <w:jc w:val="both"/>
      </w:pPr>
      <w:r>
        <w:rPr>
          <w:rFonts w:ascii="黑体" w:hAnsi="黑体" w:eastAsia="黑体" w:cs="黑体"/>
          <w:sz w:val="32"/>
        </w:rPr>
        <w:t>第七十条</w:t>
      </w:r>
      <w:r>
        <w:rPr>
          <w:rFonts w:ascii="仿宋_GB2312" w:hAnsi="仿宋_GB2312" w:eastAsia="仿宋_GB2312" w:cs="仿宋_GB2312"/>
          <w:sz w:val="32"/>
        </w:rPr>
        <w:t>　行政机关及其执法人员当场收缴罚款的，必须向当事人出具国务院财政部门或者省、自治区、直辖市人民政府财政部门统一制发的专用票据；不出具财政部门统一制发的专用票据的，当事人有权拒绝缴纳罚款。</w:t>
      </w:r>
    </w:p>
    <w:p>
      <w:pPr>
        <w:spacing w:line="560" w:lineRule="exact"/>
        <w:ind w:firstLine="640"/>
        <w:jc w:val="both"/>
      </w:pPr>
      <w:r>
        <w:rPr>
          <w:rFonts w:ascii="黑体" w:hAnsi="黑体" w:eastAsia="黑体" w:cs="黑体"/>
          <w:sz w:val="32"/>
        </w:rPr>
        <w:t>第七十一条</w:t>
      </w:r>
      <w:r>
        <w:rPr>
          <w:rFonts w:ascii="仿宋_GB2312" w:hAnsi="仿宋_GB2312" w:eastAsia="仿宋_GB2312" w:cs="仿宋_GB2312"/>
          <w:sz w:val="32"/>
        </w:rPr>
        <w:t>　执法人员当场收缴的罚款，应当自收缴罚款之日起二日内，交至行政机关；在水上当场收缴的罚款，应当自抵岸之日起二日内交至行政机关；行政机关应当在二日内将罚款缴付指定的银行。</w:t>
      </w:r>
    </w:p>
    <w:p>
      <w:pPr>
        <w:spacing w:line="560" w:lineRule="exact"/>
        <w:ind w:firstLine="640"/>
        <w:jc w:val="both"/>
      </w:pPr>
      <w:r>
        <w:rPr>
          <w:rFonts w:ascii="黑体" w:hAnsi="黑体" w:eastAsia="黑体" w:cs="黑体"/>
          <w:sz w:val="32"/>
        </w:rPr>
        <w:t>第七十二条</w:t>
      </w:r>
      <w:r>
        <w:rPr>
          <w:rFonts w:ascii="仿宋_GB2312" w:hAnsi="仿宋_GB2312" w:eastAsia="仿宋_GB2312" w:cs="仿宋_GB2312"/>
          <w:sz w:val="32"/>
        </w:rPr>
        <w:t>　当事人逾期不履行行政处罚决定的，作出行政处罚决定的行政机关可以采取下列措施：</w:t>
      </w:r>
    </w:p>
    <w:p>
      <w:pPr>
        <w:spacing w:line="560" w:lineRule="exact"/>
        <w:ind w:firstLine="640"/>
        <w:jc w:val="both"/>
      </w:pPr>
      <w:r>
        <w:rPr>
          <w:rFonts w:ascii="仿宋_GB2312" w:hAnsi="仿宋_GB2312" w:eastAsia="仿宋_GB2312" w:cs="仿宋_GB2312"/>
          <w:sz w:val="32"/>
        </w:rPr>
        <w:t>（一）到期不缴纳罚款的，每日按罚款数额的百分之三加处罚款，加处罚款的数额不得超出罚款的数额；</w:t>
      </w:r>
    </w:p>
    <w:p>
      <w:pPr>
        <w:spacing w:line="560" w:lineRule="exact"/>
        <w:ind w:firstLine="640"/>
        <w:jc w:val="both"/>
      </w:pPr>
      <w:r>
        <w:rPr>
          <w:rFonts w:ascii="仿宋_GB2312" w:hAnsi="仿宋_GB2312" w:eastAsia="仿宋_GB2312" w:cs="仿宋_GB2312"/>
          <w:sz w:val="32"/>
        </w:rPr>
        <w:t>（二）根据法律规定，将查封、扣押的财物拍卖、依法处理或者将冻结的存款、汇款划拨抵缴罚款；</w:t>
      </w:r>
    </w:p>
    <w:p>
      <w:pPr>
        <w:spacing w:line="560" w:lineRule="exact"/>
        <w:ind w:firstLine="640"/>
        <w:jc w:val="both"/>
      </w:pPr>
      <w:r>
        <w:rPr>
          <w:rFonts w:ascii="仿宋_GB2312" w:hAnsi="仿宋_GB2312" w:eastAsia="仿宋_GB2312" w:cs="仿宋_GB2312"/>
          <w:sz w:val="32"/>
        </w:rPr>
        <w:t>（三）根据法律规定，采取其他行政强制执行方式；</w:t>
      </w:r>
    </w:p>
    <w:p>
      <w:pPr>
        <w:spacing w:line="560" w:lineRule="exact"/>
        <w:ind w:firstLine="640"/>
        <w:jc w:val="both"/>
      </w:pPr>
      <w:r>
        <w:rPr>
          <w:rFonts w:ascii="仿宋_GB2312" w:hAnsi="仿宋_GB2312" w:eastAsia="仿宋_GB2312" w:cs="仿宋_GB2312"/>
          <w:sz w:val="32"/>
        </w:rPr>
        <w:t>（四）依照《中华人民共和国行政强制法》的规定申请人民法院强制执行。</w:t>
      </w:r>
    </w:p>
    <w:p>
      <w:pPr>
        <w:spacing w:line="560" w:lineRule="exact"/>
        <w:ind w:firstLine="640"/>
        <w:jc w:val="both"/>
      </w:pPr>
      <w:r>
        <w:rPr>
          <w:rFonts w:ascii="仿宋_GB2312" w:hAnsi="仿宋_GB2312" w:eastAsia="仿宋_GB2312" w:cs="仿宋_GB2312"/>
          <w:sz w:val="32"/>
        </w:rPr>
        <w:t>行政机关批准延期、分期缴纳罚款的，申请人民法院强制执行的期限，自暂缓或者分期缴纳罚款期限结束之日起计算。</w:t>
      </w:r>
    </w:p>
    <w:p>
      <w:pPr>
        <w:spacing w:line="560" w:lineRule="exact"/>
        <w:ind w:firstLine="640"/>
        <w:jc w:val="both"/>
      </w:pPr>
      <w:r>
        <w:rPr>
          <w:rFonts w:ascii="黑体" w:hAnsi="黑体" w:eastAsia="黑体" w:cs="黑体"/>
          <w:sz w:val="32"/>
        </w:rPr>
        <w:t>第七十三条</w:t>
      </w:r>
      <w:r>
        <w:rPr>
          <w:rFonts w:ascii="仿宋_GB2312" w:hAnsi="仿宋_GB2312" w:eastAsia="仿宋_GB2312" w:cs="仿宋_GB2312"/>
          <w:sz w:val="32"/>
        </w:rPr>
        <w:t>　当事人对行政处罚决定不服，申请行政复议或者提起行政诉讼的，行政处罚不停止执行，法律另有规定的除外。</w:t>
      </w:r>
    </w:p>
    <w:p>
      <w:pPr>
        <w:spacing w:line="560" w:lineRule="exact"/>
        <w:ind w:firstLine="640"/>
        <w:jc w:val="both"/>
      </w:pPr>
      <w:r>
        <w:rPr>
          <w:rFonts w:ascii="仿宋_GB2312" w:hAnsi="仿宋_GB2312" w:eastAsia="仿宋_GB2312" w:cs="仿宋_GB2312"/>
          <w:sz w:val="32"/>
        </w:rPr>
        <w:t>当事人对限制人身自由的行政处罚决定不服，申请行政复议或者提起行政诉讼的，可以向作出决定的机关提出暂缓执行申请。符合法律规定情形的，应当暂缓执行。</w:t>
      </w:r>
    </w:p>
    <w:p>
      <w:pPr>
        <w:spacing w:line="560" w:lineRule="exact"/>
        <w:ind w:firstLine="640"/>
        <w:jc w:val="both"/>
      </w:pPr>
      <w:r>
        <w:rPr>
          <w:rFonts w:ascii="仿宋_GB2312" w:hAnsi="仿宋_GB2312" w:eastAsia="仿宋_GB2312" w:cs="仿宋_GB2312"/>
          <w:sz w:val="32"/>
        </w:rPr>
        <w:t>当事人申请行政复议或者提起行政诉讼的，加处罚款的数额在行政复议或者行政诉讼期间不予计算。</w:t>
      </w:r>
    </w:p>
    <w:p>
      <w:pPr>
        <w:spacing w:line="560" w:lineRule="exact"/>
        <w:ind w:firstLine="640"/>
        <w:jc w:val="both"/>
      </w:pPr>
      <w:r>
        <w:rPr>
          <w:rFonts w:ascii="黑体" w:hAnsi="黑体" w:eastAsia="黑体" w:cs="黑体"/>
          <w:sz w:val="32"/>
        </w:rPr>
        <w:t>第七十四条</w:t>
      </w:r>
      <w:r>
        <w:rPr>
          <w:rFonts w:ascii="仿宋_GB2312" w:hAnsi="仿宋_GB2312" w:eastAsia="仿宋_GB2312" w:cs="仿宋_GB2312"/>
          <w:sz w:val="32"/>
        </w:rPr>
        <w:t>　除依法应当予以销毁的物品外，依法没收的非法财物必须按照国家规定公开拍卖或者按照国家有关规定处理。</w:t>
      </w:r>
    </w:p>
    <w:p>
      <w:pPr>
        <w:spacing w:line="560" w:lineRule="exact"/>
        <w:ind w:firstLine="640"/>
        <w:jc w:val="both"/>
      </w:pPr>
      <w:r>
        <w:rPr>
          <w:rFonts w:ascii="仿宋_GB2312" w:hAnsi="仿宋_GB2312" w:eastAsia="仿宋_GB2312" w:cs="仿宋_GB2312"/>
          <w:sz w:val="32"/>
        </w:rPr>
        <w:t>罚款、没收的违法所得或者没收非法财物拍卖的款项，必须全部上缴国库，任何行政机关或者个人不得以任何形式截留、私分或者变相私分。</w:t>
      </w:r>
    </w:p>
    <w:p>
      <w:pPr>
        <w:spacing w:line="560" w:lineRule="exact"/>
        <w:ind w:firstLine="640"/>
        <w:jc w:val="both"/>
      </w:pPr>
      <w:r>
        <w:rPr>
          <w:rFonts w:ascii="仿宋_GB2312" w:hAnsi="仿宋_GB2312" w:eastAsia="仿宋_GB2312" w:cs="仿宋_GB2312"/>
          <w:sz w:val="32"/>
        </w:rPr>
        <w:t>罚款、没收的违法所得或者没收非法财物拍卖的款项，不得同作出行政处罚决定的行政机关及其工作人员的考核、考评直接或者变相挂钩。除依法应当退还、退赔的外，财政部门不得以任何形式向作出行政处罚决定的行政机关返还罚款、没收的违法所得或者没收非法财物拍卖的款项。</w:t>
      </w:r>
    </w:p>
    <w:p>
      <w:pPr>
        <w:spacing w:line="560" w:lineRule="exact"/>
        <w:ind w:firstLine="640"/>
        <w:jc w:val="both"/>
      </w:pPr>
      <w:r>
        <w:rPr>
          <w:rFonts w:ascii="黑体" w:hAnsi="黑体" w:eastAsia="黑体" w:cs="黑体"/>
          <w:sz w:val="32"/>
        </w:rPr>
        <w:t>第七十五条</w:t>
      </w:r>
      <w:r>
        <w:rPr>
          <w:rFonts w:ascii="仿宋_GB2312" w:hAnsi="仿宋_GB2312" w:eastAsia="仿宋_GB2312" w:cs="仿宋_GB2312"/>
          <w:sz w:val="32"/>
        </w:rPr>
        <w:t>　行政机关应当建立健全对行政处罚的监督制度。县级以上人民政府应当定期组织开展行政执法评议、考核，加强对行政处罚的监督检查，规范和保障行政处罚的实施。</w:t>
      </w:r>
    </w:p>
    <w:p>
      <w:pPr>
        <w:spacing w:line="560" w:lineRule="exact"/>
        <w:ind w:firstLine="640"/>
        <w:jc w:val="both"/>
      </w:pPr>
      <w:r>
        <w:rPr>
          <w:rFonts w:ascii="仿宋_GB2312" w:hAnsi="仿宋_GB2312" w:eastAsia="仿宋_GB2312" w:cs="仿宋_GB2312"/>
          <w:sz w:val="32"/>
        </w:rPr>
        <w:t>行政机关实施行政处罚应当接受社会监督。公民、法人或者其他组织对行政机关实施行政处罚的行为，有权申诉或者检举；行政机关应当认真审查，发现有错误的，应当主动改正。</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第七章　法律责任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第七十六条</w:t>
      </w:r>
      <w:r>
        <w:rPr>
          <w:rFonts w:ascii="仿宋_GB2312" w:hAnsi="仿宋_GB2312" w:eastAsia="仿宋_GB2312" w:cs="仿宋_GB2312"/>
          <w:sz w:val="32"/>
        </w:rPr>
        <w:t>　行政机关实施行政处罚，有下列情形之一，由上级行政机关或者有关机关责令改正，对直接负责的主管人员和其他直接责任人员依法给予处分：</w:t>
      </w:r>
    </w:p>
    <w:p>
      <w:pPr>
        <w:spacing w:line="560" w:lineRule="exact"/>
        <w:ind w:firstLine="640"/>
        <w:jc w:val="both"/>
      </w:pPr>
      <w:r>
        <w:rPr>
          <w:rFonts w:ascii="仿宋_GB2312" w:hAnsi="仿宋_GB2312" w:eastAsia="仿宋_GB2312" w:cs="仿宋_GB2312"/>
          <w:sz w:val="32"/>
        </w:rPr>
        <w:t>（一）没有法定的行政处罚依据的；</w:t>
      </w:r>
    </w:p>
    <w:p>
      <w:pPr>
        <w:spacing w:line="560" w:lineRule="exact"/>
        <w:ind w:firstLine="640"/>
        <w:jc w:val="both"/>
      </w:pPr>
      <w:r>
        <w:rPr>
          <w:rFonts w:ascii="仿宋_GB2312" w:hAnsi="仿宋_GB2312" w:eastAsia="仿宋_GB2312" w:cs="仿宋_GB2312"/>
          <w:sz w:val="32"/>
        </w:rPr>
        <w:t>（二）擅自改变行政处罚种类、幅度的；</w:t>
      </w:r>
    </w:p>
    <w:p>
      <w:pPr>
        <w:spacing w:line="560" w:lineRule="exact"/>
        <w:ind w:firstLine="640"/>
        <w:jc w:val="both"/>
      </w:pPr>
      <w:r>
        <w:rPr>
          <w:rFonts w:ascii="仿宋_GB2312" w:hAnsi="仿宋_GB2312" w:eastAsia="仿宋_GB2312" w:cs="仿宋_GB2312"/>
          <w:sz w:val="32"/>
        </w:rPr>
        <w:t>（三）违反法定的行政处罚程序的；</w:t>
      </w:r>
    </w:p>
    <w:p>
      <w:pPr>
        <w:spacing w:line="560" w:lineRule="exact"/>
        <w:ind w:firstLine="640"/>
        <w:jc w:val="both"/>
      </w:pPr>
      <w:r>
        <w:rPr>
          <w:rFonts w:ascii="仿宋_GB2312" w:hAnsi="仿宋_GB2312" w:eastAsia="仿宋_GB2312" w:cs="仿宋_GB2312"/>
          <w:sz w:val="32"/>
        </w:rPr>
        <w:t>（四）违反本法第二十条关于委托处罚的规定的；</w:t>
      </w:r>
    </w:p>
    <w:p>
      <w:pPr>
        <w:spacing w:line="560" w:lineRule="exact"/>
        <w:ind w:firstLine="640"/>
        <w:jc w:val="both"/>
      </w:pPr>
      <w:r>
        <w:rPr>
          <w:rFonts w:ascii="仿宋_GB2312" w:hAnsi="仿宋_GB2312" w:eastAsia="仿宋_GB2312" w:cs="仿宋_GB2312"/>
          <w:sz w:val="32"/>
        </w:rPr>
        <w:t>（五）执法人员未取得执法证件的。</w:t>
      </w:r>
    </w:p>
    <w:p>
      <w:pPr>
        <w:spacing w:line="560" w:lineRule="exact"/>
        <w:ind w:firstLine="640"/>
        <w:jc w:val="both"/>
      </w:pPr>
      <w:r>
        <w:rPr>
          <w:rFonts w:ascii="仿宋_GB2312" w:hAnsi="仿宋_GB2312" w:eastAsia="仿宋_GB2312" w:cs="仿宋_GB2312"/>
          <w:sz w:val="32"/>
        </w:rPr>
        <w:t>行政机关对符合立案标准的案件不及时立案的，依照前款规定予以处理。</w:t>
      </w:r>
    </w:p>
    <w:p>
      <w:pPr>
        <w:spacing w:line="560" w:lineRule="exact"/>
        <w:ind w:firstLine="640"/>
        <w:jc w:val="both"/>
      </w:pPr>
      <w:r>
        <w:rPr>
          <w:rFonts w:ascii="黑体" w:hAnsi="黑体" w:eastAsia="黑体" w:cs="黑体"/>
          <w:sz w:val="32"/>
        </w:rPr>
        <w:t>第七十七条</w:t>
      </w:r>
      <w:r>
        <w:rPr>
          <w:rFonts w:ascii="仿宋_GB2312" w:hAnsi="仿宋_GB2312" w:eastAsia="仿宋_GB2312" w:cs="仿宋_GB2312"/>
          <w:sz w:val="32"/>
        </w:rPr>
        <w:t>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p>
    <w:p>
      <w:pPr>
        <w:spacing w:line="560" w:lineRule="exact"/>
        <w:ind w:firstLine="640"/>
        <w:jc w:val="both"/>
      </w:pPr>
      <w:r>
        <w:rPr>
          <w:rFonts w:ascii="黑体" w:hAnsi="黑体" w:eastAsia="黑体" w:cs="黑体"/>
          <w:sz w:val="32"/>
        </w:rPr>
        <w:t>第七十八条</w:t>
      </w:r>
      <w:r>
        <w:rPr>
          <w:rFonts w:ascii="仿宋_GB2312" w:hAnsi="仿宋_GB2312" w:eastAsia="仿宋_GB2312" w:cs="仿宋_GB2312"/>
          <w:sz w:val="32"/>
        </w:rPr>
        <w:t>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p>
    <w:p>
      <w:pPr>
        <w:spacing w:line="560" w:lineRule="exact"/>
        <w:ind w:firstLine="640"/>
        <w:jc w:val="both"/>
      </w:pPr>
      <w:r>
        <w:rPr>
          <w:rFonts w:ascii="黑体" w:hAnsi="黑体" w:eastAsia="黑体" w:cs="黑体"/>
          <w:sz w:val="32"/>
        </w:rPr>
        <w:t>第七十九条</w:t>
      </w:r>
      <w:r>
        <w:rPr>
          <w:rFonts w:ascii="仿宋_GB2312" w:hAnsi="仿宋_GB2312" w:eastAsia="仿宋_GB2312" w:cs="仿宋_GB2312"/>
          <w:sz w:val="32"/>
        </w:rPr>
        <w:t>　行政机关截留、私分或者变相私分罚款、没收的违法所得或者财物的，由财政部门或者有关机关予以追缴，对直接负责的主管人员和其他直接责任人员依法给予处分；情节严重构成犯罪的，依法追究刑事责任。</w:t>
      </w:r>
    </w:p>
    <w:p>
      <w:pPr>
        <w:spacing w:line="560" w:lineRule="exact"/>
        <w:ind w:firstLine="640"/>
        <w:jc w:val="both"/>
      </w:pPr>
      <w:r>
        <w:rPr>
          <w:rFonts w:ascii="仿宋_GB2312" w:hAnsi="仿宋_GB2312" w:eastAsia="仿宋_GB2312" w:cs="仿宋_GB2312"/>
          <w:sz w:val="32"/>
        </w:rPr>
        <w:t>执法人员利用职务上的便利，索取或者收受他人财物、将收缴罚款据为己有，构成犯罪的，依法追究刑事责任；情节轻微不构成犯罪的，依法给予处分。</w:t>
      </w:r>
    </w:p>
    <w:p>
      <w:pPr>
        <w:spacing w:line="560" w:lineRule="exact"/>
        <w:ind w:firstLine="640"/>
        <w:jc w:val="both"/>
      </w:pPr>
      <w:r>
        <w:rPr>
          <w:rFonts w:ascii="黑体" w:hAnsi="黑体" w:eastAsia="黑体" w:cs="黑体"/>
          <w:sz w:val="32"/>
        </w:rPr>
        <w:t>第八十条</w:t>
      </w:r>
      <w:r>
        <w:rPr>
          <w:rFonts w:ascii="仿宋_GB2312" w:hAnsi="仿宋_GB2312" w:eastAsia="仿宋_GB2312" w:cs="仿宋_GB2312"/>
          <w:sz w:val="32"/>
        </w:rPr>
        <w:t>　行政机关使用或者损毁查封、扣押的财物，对当事人造成损失的，应当依法予以赔偿，对直接负责的主管人员和其他直接责任人员依法给予处分。</w:t>
      </w:r>
    </w:p>
    <w:p>
      <w:pPr>
        <w:spacing w:line="560" w:lineRule="exact"/>
        <w:ind w:firstLine="640"/>
        <w:jc w:val="both"/>
      </w:pPr>
      <w:r>
        <w:rPr>
          <w:rFonts w:ascii="黑体" w:hAnsi="黑体" w:eastAsia="黑体" w:cs="黑体"/>
          <w:sz w:val="32"/>
        </w:rPr>
        <w:t>第八十一条</w:t>
      </w:r>
      <w:r>
        <w:rPr>
          <w:rFonts w:ascii="仿宋_GB2312" w:hAnsi="仿宋_GB2312" w:eastAsia="仿宋_GB2312" w:cs="仿宋_GB2312"/>
          <w:sz w:val="32"/>
        </w:rPr>
        <w:t>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spacing w:line="560" w:lineRule="exact"/>
        <w:ind w:firstLine="640"/>
        <w:jc w:val="both"/>
      </w:pPr>
      <w:r>
        <w:rPr>
          <w:rFonts w:ascii="黑体" w:hAnsi="黑体" w:eastAsia="黑体" w:cs="黑体"/>
          <w:sz w:val="32"/>
        </w:rPr>
        <w:t>第八十二条</w:t>
      </w:r>
      <w:r>
        <w:rPr>
          <w:rFonts w:ascii="仿宋_GB2312" w:hAnsi="仿宋_GB2312" w:eastAsia="仿宋_GB2312" w:cs="仿宋_GB2312"/>
          <w:sz w:val="32"/>
        </w:rPr>
        <w:t>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p>
    <w:p>
      <w:pPr>
        <w:spacing w:line="560" w:lineRule="exact"/>
        <w:ind w:firstLine="640"/>
        <w:jc w:val="both"/>
      </w:pPr>
      <w:r>
        <w:rPr>
          <w:rFonts w:ascii="黑体" w:hAnsi="黑体" w:eastAsia="黑体" w:cs="黑体"/>
          <w:sz w:val="32"/>
        </w:rPr>
        <w:t>第八十三条</w:t>
      </w:r>
      <w:r>
        <w:rPr>
          <w:rFonts w:ascii="仿宋_GB2312" w:hAnsi="仿宋_GB2312" w:eastAsia="仿宋_GB2312" w:cs="仿宋_GB2312"/>
          <w:sz w:val="32"/>
        </w:rPr>
        <w:t>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0"/>
        <w:jc w:val="center"/>
      </w:pPr>
      <w:r>
        <w:rPr>
          <w:rFonts w:ascii="黑体" w:hAnsi="黑体" w:eastAsia="黑体" w:cs="黑体"/>
          <w:sz w:val="32"/>
        </w:rPr>
        <w:t>第八章　附则</w:t>
      </w:r>
    </w:p>
    <w:p>
      <w:pPr>
        <w:spacing w:line="560" w:lineRule="exact"/>
        <w:ind w:firstLine="0"/>
        <w:jc w:val="center"/>
      </w:pPr>
      <w:r>
        <w:rPr>
          <w:rFonts w:ascii="仿宋_GB2312" w:hAnsi="仿宋_GB2312" w:eastAsia="仿宋_GB2312" w:cs="仿宋_GB2312"/>
          <w:sz w:val="32"/>
        </w:rPr>
        <w:t xml:space="preserve"> </w:t>
      </w:r>
    </w:p>
    <w:p>
      <w:pPr>
        <w:spacing w:line="560" w:lineRule="exact"/>
        <w:ind w:firstLine="640"/>
        <w:jc w:val="both"/>
      </w:pPr>
      <w:r>
        <w:rPr>
          <w:rFonts w:ascii="黑体" w:hAnsi="黑体" w:eastAsia="黑体" w:cs="黑体"/>
          <w:sz w:val="32"/>
        </w:rPr>
        <w:t>第八十四条</w:t>
      </w:r>
      <w:r>
        <w:rPr>
          <w:rFonts w:ascii="仿宋_GB2312" w:hAnsi="仿宋_GB2312" w:eastAsia="仿宋_GB2312" w:cs="仿宋_GB2312"/>
          <w:sz w:val="32"/>
        </w:rPr>
        <w:t>　外国人、无国籍人、外国组织在中华人民共和国领域内有违法行为，应当给予行政处罚的，适用本法，法律另有规定的除外。</w:t>
      </w:r>
    </w:p>
    <w:p>
      <w:pPr>
        <w:spacing w:line="560" w:lineRule="exact"/>
        <w:ind w:firstLine="640"/>
        <w:jc w:val="both"/>
      </w:pPr>
      <w:r>
        <w:rPr>
          <w:rFonts w:ascii="黑体" w:hAnsi="黑体" w:eastAsia="黑体" w:cs="黑体"/>
          <w:sz w:val="32"/>
        </w:rPr>
        <w:t>第八十五条</w:t>
      </w:r>
      <w:r>
        <w:rPr>
          <w:rFonts w:ascii="仿宋_GB2312" w:hAnsi="仿宋_GB2312" w:eastAsia="仿宋_GB2312" w:cs="仿宋_GB2312"/>
          <w:sz w:val="32"/>
        </w:rPr>
        <w:t>　本法中“二日”“三日”“五日”“七日”的规定是指工作日，不含法定节假日。</w:t>
      </w:r>
    </w:p>
    <w:p>
      <w:pPr>
        <w:spacing w:line="560" w:lineRule="exact"/>
        <w:ind w:firstLine="640"/>
        <w:jc w:val="both"/>
      </w:pPr>
      <w:r>
        <w:rPr>
          <w:rFonts w:ascii="黑体" w:hAnsi="黑体" w:eastAsia="黑体" w:cs="黑体"/>
          <w:sz w:val="32"/>
        </w:rPr>
        <w:t>第八十六条</w:t>
      </w:r>
      <w:r>
        <w:rPr>
          <w:rFonts w:ascii="仿宋_GB2312" w:hAnsi="仿宋_GB2312" w:eastAsia="仿宋_GB2312" w:cs="仿宋_GB2312"/>
          <w:sz w:val="32"/>
        </w:rPr>
        <w:t>　本法自</w:t>
      </w:r>
      <w:r>
        <w:rPr>
          <w:rFonts w:hint="default" w:ascii="Times New Roman" w:hAnsi="Times New Roman" w:eastAsia="仿宋_GB2312" w:cs="Times New Roman"/>
          <w:sz w:val="32"/>
        </w:rPr>
        <w:t>2021</w:t>
      </w:r>
      <w:r>
        <w:rPr>
          <w:rFonts w:ascii="仿宋_GB2312" w:hAnsi="仿宋_GB2312" w:eastAsia="仿宋_GB2312" w:cs="仿宋_GB2312"/>
          <w:sz w:val="32"/>
        </w:rPr>
        <w:t>年</w:t>
      </w:r>
      <w:r>
        <w:rPr>
          <w:rFonts w:hint="default" w:ascii="Times New Roman" w:hAnsi="Times New Roman" w:eastAsia="仿宋_GB2312" w:cs="Times New Roman"/>
          <w:sz w:val="32"/>
        </w:rPr>
        <w:t>7</w:t>
      </w:r>
      <w:r>
        <w:rPr>
          <w:rFonts w:ascii="仿宋_GB2312" w:hAnsi="仿宋_GB2312" w:eastAsia="仿宋_GB2312" w:cs="仿宋_GB2312"/>
          <w:sz w:val="32"/>
        </w:rPr>
        <w:t>月</w:t>
      </w:r>
      <w:r>
        <w:rPr>
          <w:rFonts w:hint="default" w:ascii="Times New Roman" w:hAnsi="Times New Roman" w:eastAsia="仿宋_GB2312" w:cs="Times New Roman"/>
          <w:sz w:val="32"/>
        </w:rPr>
        <w:t>15</w:t>
      </w:r>
      <w:r>
        <w:rPr>
          <w:rFonts w:ascii="仿宋_GB2312" w:hAnsi="仿宋_GB2312" w:eastAsia="仿宋_GB2312" w:cs="仿宋_GB2312"/>
          <w:sz w:val="32"/>
        </w:rPr>
        <w:t>日起施行。</w:t>
      </w:r>
    </w:p>
    <w:bookmarkEnd w:id="205"/>
    <w:p>
      <w:pPr>
        <w:widowControl w:val="0"/>
        <w:wordWrap/>
        <w:overflowPunct w:val="0"/>
        <w:spacing w:beforeAutospacing="0" w:afterAutospacing="0" w:line="560" w:lineRule="exact"/>
        <w:textAlignment w:val="auto"/>
        <w:rPr>
          <w:rFonts w:ascii="宋体" w:hAnsi="宋体" w:cs="仿宋_GB2312"/>
          <w:szCs w:val="32"/>
        </w:rPr>
      </w:pP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lang w:val="en-US" w:eastAsia="zh-CN"/>
        </w:rPr>
      </w:pPr>
      <w:bookmarkStart w:id="206" w:name="_Toc14199"/>
      <w:r>
        <w:rPr>
          <w:rFonts w:hint="eastAsia" w:ascii="宋体" w:hAnsi="宋体" w:eastAsia="宋体" w:cs="宋体"/>
          <w:kern w:val="0"/>
          <w:sz w:val="44"/>
          <w:szCs w:val="44"/>
          <w:lang w:val="en-US" w:eastAsia="zh-CN"/>
        </w:rPr>
        <w:t>中华人民共和国行政强制法</w:t>
      </w:r>
      <w:bookmarkEnd w:id="206"/>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kern w:val="0"/>
          <w:szCs w:val="32"/>
        </w:rPr>
      </w:pPr>
      <w:r>
        <w:rPr>
          <w:rFonts w:hint="eastAsia" w:ascii="宋体" w:hAnsi="宋体" w:eastAsia="楷体_GB2312" w:cs="楷体_GB2312"/>
          <w:kern w:val="0"/>
          <w:szCs w:val="32"/>
        </w:rPr>
        <w:t>（2011年6月30日第十一届全国人民代表大会常务委员会第二十一次会议通过）</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行政强制的种类和设定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行政强制措施实施程序</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查封、扣押</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第三节　冻结</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行政机关强制执行程序</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金钱给付义务的执行</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第三节　代履行</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申请人民法院强制执行</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为了规范行政强制的设定和实施，保障和监督行政机关依法履行职责，维护公共利益和社会秩序，保护公民、法人和其他组织的合法权益，根据宪法，制定本法。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本法所称行政强制，包括行政强制措施和行政强制执行。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措施，是指行政机关在行政管理过程中，为制止违法行为、防止证据损毁、避免危害发生、控制危险扩大等情形，依法对公民的人身自由实施暂时性限制，或者对公民、法人或者其他组织的财物实施暂时性控制的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行政强制执行，是指行政机关或者行政机关申请人民法院，对不履行行政决定的公民、法人或者其他组织，依法强制履行义务的行为。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行政强制的设定和实施，适用本法。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发生或者即将发生自然灾害、事故灾难、公共卫生事件或者社会安全事件等突发事件，行政机关采取应急措施或者临时措施，依照有关法律、行政法规的规定执行。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行政机关采取金融业审慎监管措施、进出境货物强制性技术监控措施，依照有关法律、行政法规的规定执行。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行政强制的设定和实施，应当依照法定的权限、范围、条件和程序。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行政强制的设定和实施，应当适当。采用非强制手段可以达到行政管理目的的，不得设定和实施行政强制。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实施行政强制，应当坚持教育与强制相结合。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行政机关及其工作人员不得利用行政强制权为单位或者个人谋取利益。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公民、法人或者其他组织对行政机关实施行政强制，享有陈述权、申辩权；有权依法申请行政复议或者提起行政诉讼；因行政机关违法实施行政强制受到损害的，有权依法要求赔偿。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公民、法人或者其他组织因人民法院在强制执行中有违法行为或者扩大强制执行范围受到损害的，有权依法要求赔偿。</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行政强制的种类和设定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行政强制措施的种类: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（一）限制公民人身自由；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（二）查封场所、设施或者财物；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（三）扣押财物；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（四）冻结存款、汇款；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（五）其他行政强制措施。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行政强制措施由法律设定。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尚未制定法律，且属于国务院行政管理职权事项的，行政法规可以设定除本法第九条第一项、第四项和应当由法律规定的行政强制措施以外的其他行政强制措施。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尚未制定法律、行政法规，且属于地方性事务的，地方性法规可以设定本法第九条第二项、第三项的行政强制措施。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法律、法规以外的其他规范性文件不得设定行政强制措施。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法律对行政强制措施的对象、条件、种类作了规定的，行政法规、地方性法规不得作出扩大规定。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中未设定行政强制措施的，行政法规、地方性法规不得设定行政强制措施。但是，法律规定特定事项由行政法规规定具体管理措施的，行政法规可以设定除本法第九条第一项、第四项和应当由法律规定的行政强制措施以外的其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行政强制执行的方式: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（一）加处罚款或者滞纳金；</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（二）划拨存款、汇款；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（三）拍卖或者依法处理查封、扣押的场所、设施或者财物；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（四）排除妨碍、恢复原状；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（五）代履行；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（六）其他强制执行方式。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行政强制执行由法律设定。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法律没有规定行政机关强制执行的，作出行政决定的行政机关应当申请人民法院强制执行。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起草法律草案、法规草案，拟设定行政强制的，起草单位应当采取听证会、论证会等形式听取意见，并向制定机关说明设定该行政强制的必要性、可能产生的影响以及听取和采纳意见的情况。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行政强制的设定机关应当定期对其设定的行政强制进行评价，并对不适当的行政强制及时予以修改或者废止。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行政强制的实施机关可以对已设定的行政强制的实施情况及存在的必要性适时进行评价，并将意见报告该行政强制的设定机关。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公民、法人或者其他组织可以向行政强制的设定机关和实施机关就行政强制的设定和实施提出意见和建议。有关机关应当认真研究论证，并以适当方式予以反馈。</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行政强制措施实施程序</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行政机关履行行政管理职责，依照法律、法规的规定，实施行政强制措施。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违法行为情节显著轻微或者没有明显社会危害的，可以不采取行政强制措施。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行政强制措施由法律、法规规定的行政机关在法定职权范围内实施。行政强制措施权不得委托。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依据《中华人民共和国行政处罚法》的规定行使相对集中行政处罚权的行政机关，可以实施法律、法规规定的与行政处罚权有关的行政强制措施。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行政强制措施应当由行政机关具备资格的行政执法人员实施，其他人员不得实施。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行政机关实施行政强制措施应当遵守下列规定: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（一）实施前须向行政机关负责人报告并经批准；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（二）由两名以上行政执法人员实施；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（三）出示执法身份证件；</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（四）通知当事人到场；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（五）当场告知当事人采取行政强制措施的理由、依据以及当事人依法享有的权利、救济途径；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（六）听取当事人的陈述和申辩；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（七）制作现场笔录；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（八）现场笔录由当事人和行政执法人员签名或者盖章，当事人拒绝的，在笔录中予以注明；</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（九）当事人不到场的，邀请见证人到场，由见证人和行政执法人员在现场笔录上签名或者盖章；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（十）法律、法规规定的其他程序。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情况紧急，需要当场实施行政强制措施的，行政执法人员应当在二十四小时内向行政机关负责人报告，并补办批准手续。行政机关负责人认为不应当采取行政强制措施的，应当立即解除。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依照法律规定实施限制公民人身自由的行政强制措施，除应当履行本法第十八条规定的程序外，还应当遵守下列规定: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（一）当场告知或者实施行政强制措施后立即通知当事人家属实施行政强制措施的行政机关、地点和期限；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（二）在紧急情况下当场实施行政强制措施的，在返回行政机关后，立即向行政机关负责人报告并补办批准手续；</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（三）法律规定的其他程序。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实施限制人身自由的行政强制措施不得超过法定期限。实施行政强制措施的目的已经达到或者条件已经消失，应当立即解除。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违法行为涉嫌犯罪应当移送司法机关的，行政机关应当将查封、扣押、冻结的财物一并移送，并书面告知当事人。</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查封、扣押</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查封、扣押应当由法律、法规规定的行政机关实施，其他任何行政机关或者组织不得实施。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查封、扣押限于涉案的场所、设施或者财物，不得查封、扣押与违法行为无关的场所、设施或者财物；不得查封、扣押公民个人及其所扶养家属的生活必需品。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当事人的场所、设施或者财物已被其他国家机关依法查封的，不得重复查封。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行政机关决定实施查封、扣押的，应当履行本法第十八条规定的程序，制作并当场交付查封、扣押决定书和清单。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查封、扣押决定书应当载明下列事项: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（一）当事人的姓名或者名称、地址；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（二）查封、扣押的理由、依据和期限；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（三）查封、扣押场所、设施或者财物的名称、数量等；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（四）申请行政复议或者提起行政诉讼的途径和期限；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（五）行政机关的名称、印章和日期。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查封、扣押清单一式二份，由当事人和行政机关分别保存。</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查封、扣押的期限不得超过三十日；情况复杂的，经行政机关负责人批准，可以延长，但是延长期限不得超过三十日。法律、行政法规另有规定的除外。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延长查封、扣押的决定应当及时书面告知当事人，并说明理由。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对查封、扣押的场所、设施或者财物，行政机关应当妥善保管，不得使用或者损毁；造成损失的，应当承担赔偿责任。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对查封的场所、设施或者财物，行政机关可以委托第三人保管，第三人不得损毁或者擅自转移、处置。因第三人的原因造成的损失，行政机关先行赔付后，有权向第三人追偿。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因查封、扣押发生的保管费用由行政机关承担。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行政机关采取查封、扣押措施后，应当及时查清事实，在本法第二十五条规定的期限内作出处理决定。对违法事实清楚，依法应当没收的非法财物予以没收；法律、行政法规规定应当销毁的，依法销毁；应当解除查封、扣押的，作出解除查封、扣押的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有下列情形之一的，行政机关应当及时作出解除查封、扣押决定: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（一）当事人没有违法行为；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（二）查封、扣押的场所、设施或者财物与违法行为无关；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（三）行政机关对违法行为已经作出处理决定，不再需要查封、扣押；</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（四）查封、扣押期限已经届满；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（五）其他不再需要采取查封、扣押措施的情形。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解除查封、扣押应当立即退还财物；已将鲜活物品或者其他不易保管的财物拍卖或者变卖的，退还拍卖或者变卖所得款项。变卖价格明显低于市场价格，给当事人造成损失的，应当给予补偿。</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冻结</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冻结存款、汇款应当由法律规定的行政机关实施，不得委托给其他行政机关或者组织；其他任何行政机关或者组织不得冻结存款、汇款。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冻结存款、汇款的数额应当与违法行为涉及的金额相当；已被其他国家机关依法冻结的，不得重复冻结。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行政机关依照法律规定决定实施冻结存款、汇款的，应当履行本法第十八条第一项、第二项、第三项、第七项规定的程序，并向金融机构交付冻结通知书。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金融机构接到行政机关依法作出的冻结通知书后，应当立即予以冻结，不得拖延，不得在冻结前向当事人泄露信息。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法律规定以外的行政机关或者组织要求冻结当事人存款、汇款的，金融机构应当拒绝。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依照法律规定冻结存款、汇款的，作出决定的行政机关应当在三日内向当事人交付冻结决定书。冻结决定书应当载明下列事项: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（一）当事人的姓名或者名称、地址；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（二）冻结的理由、依据和期限；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（三）冻结的账号和数额；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（四）申请行政复议或者提起行政诉讼的途径和期限；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（五）行政机关的名称、印章和日期。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自冻结存款、汇款之日起三十日内，行政机关应当作出处理决定或者作出解除冻结决定；情况复杂的，经行政机关负责人批准，可以延长，但是延长期限不得超过三十日。法律另有规定的除外。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延长冻结的决定应当及时书面告知当事人，并说明理由。</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有下列情形之一的，行政机关应当及时作出解除冻结决定: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（一）当事人没有违法行为；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（二）冻结的存款、汇款与违法行为无关；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（三）行政机关对违法行为已经作出处理决定，不再需要冻结；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（四）冻结期限已经届满；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（五）其他不再需要采取冻结措施的情形。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行政机关作出解除冻结决定的，应当及时通知金融机构和当事人。金融机构接到通知后，应当立即解除冻结。</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行政机关逾期未作出处理决定或者解除冻结决定的，金融机构应当自冻结期满之日起解除冻结。</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行政机关强制执行程序</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行政机关依法作出行政决定后，当事人在行政机关决定的期限内不履行义务的，具有行政强制执行权的行政机关依照本章规定强制执行。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行政机关作出强制执行决定前，应当事先催告当事人履行义务。催告应当以书面形式作出，并载明下列事项: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（一）履行义务的期限；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（二）履行义务的方式；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（三）涉及金钱给付的，应当有明确的金额和给付方式；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（四）当事人依法享有的陈述权和申辩权。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当事人收到催告书后有权进行陈述和申辩。行政机关应当充分听取当事人的意见，对当事人提出的事实、理由和证据，应当进行记录、复核。当事人提出的事实、理由或者证据成立的，行政机关应当采纳。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经催告，当事人逾期仍不履行行政决定，且无正当理由的，行政机关可以作出强制执行决定。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强制执行决定应当以书面形式作出，并载明下列事项: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（一）当事人的姓名或者名称、地址；</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（二）强制执行的理由和依据；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（三）强制执行的方式和时间；</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（四）申请行政复议或者提起行政诉讼的途径和期限；</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（五）行政机关的名称、印章和日期。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在催告期间，对有证据证明有转移或者隐匿财物迹象的，行政机关可以作出立即强制执行决定。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催告书、行政强制执行决定书应当直接送达当事人。当事人拒绝接收或者无法直接送达当事人的，应当依照《中华人民共和国民事诉讼法》的有关规定送达。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有下列情形之一的，中止执行: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（一）当事人履行行政决定确有困难或者暂无履行能力的；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（二）第三人对执行标的主张权利，确有理由的；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（三）执行可能造成难以弥补的损失，且中止执行不损害公共利益的；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（四）行政机关认为需要中止执行的其他情形。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中止执行的情形消失后，行政机关应当恢复执行。对没有明显社会危害，当事人确无能力履行，中止执行满三年未恢复执行的，行政机关不再执行。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有下列情形之一的，终结执行: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（一）公民死亡，无遗产可供执行，又无义务承受人的；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（二）法人或者其他组织终止，无财产可供执行，又无义务承受人的；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（三）执行标的灭失的；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（四）据以执行的行政决定被撤销的；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（五）行政机关认为需要终结执行的其他情形。</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在执行中或者执行完毕后，据以执行的行政决定被撤销、变更，或者执行错误的，应当恢复原状或者退还财物；不能恢复原状或者退还财物的，依法给予赔偿。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实施行政强制执行，行政机关可以在不损害公共利益和他人合法权益的情况下，与当事人达成执行协议。执行协议可以约定分阶段履行；当事人采取补救措施的，可以减免加处的罚款或者滞纳金。</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执行协议应当履行。当事人不履行执行协议的，行政机关应当恢复强制执行。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行政机关不得在夜间或者法定节假日实施行政强制执行。但是，情况紧急的除外。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行政机关不得对居民生活采取停止供水、供电、供热、供燃气等方式迫使当事人履行相关行政决定。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对违法的建筑物、构筑物、设施等需要强制拆除的，应当由行政机关予以公告，限期当事人自行拆除。当事人在法定期限内不申请行政复议或者提起行政诉讼，又不拆除的，行政机关可以依法强制拆除。</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金钱给付义务的执行</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行政机关依法作出金钱给付义务的行政决定，当事人逾期不履行的，行政机关可以依法加处罚款或者滞纳金。加处罚款或者滞纳金的标准应当告知当事人。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加处罚款或者滞纳金的数额不得超出金钱给付义务的数额。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行政机关依照本法第四十五条规定实施加处罚款或者滞纳金超过三十日，经催告当事人仍不履行的，具有行政强制执行权的行政机关可以强制执行。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行政机关实施强制执行前，需要采取查封、扣押、冻结措施的，依照本法第三章规定办理。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没有行政强制执行权的行政机关应当申请人民法院强制执行。但是，当事人在法定期限内不申请行政复议或者提起行政诉讼，经催告仍不履行的，在实施行政管理过程中已经采取查封、扣押措施的行政机关，可以将查封、扣押的财物依法拍卖抵缴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划拨存款、汇款应当由法律规定的行政机关决定，并书面通知金融机构。金融机构接到行政机关依法作出划拨存款、汇款的决定后，应当立即划拨。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法律规定以外的行政机关或者组织要求划拨当事人存款、汇款的，金融机构应当拒绝。</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依法拍卖财物，由行政机关委托拍卖机构依照《中华人民共和国拍卖法》的规定办理。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划拨的存款、汇款以及拍卖和依法处理所得的款项应当上缴国库或者划入财政专户。任何行政机关或者个人不得以任何形式截留、私分或者变相私分。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第三节　代履行</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代履行应当遵守下列规定: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（一）代履行前送达决定书，代履行决定书应当载明当事人的姓名或者名称、地址，代履行的理由和依据、方式和时间、标的、费用预算以及代履行人；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（二）代履行三日前，催告当事人履行，当事人履行的，停止代履行；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（三）代履行时，作出决定的行政机关应当派员到场监督；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（四）代履行完毕，行政机关到场监督的工作人员、代履行人和当事人或者见证人应当在执行文书上签名或者盖章。</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代履行的费用按照成本合理确定，由当事人承担。但是，法律另有规定的除外。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代履行不得采用暴力、胁迫以及其他非法方式。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需要立即清除道路、河道、航道或者公共场所的遗洒物、障碍物或者污染物，当事人不能清除的，行政机关可以决定立即实施代履行；当事人不在场的，行政机关应当在事后立即通知当事人，并依法作出处理。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申请人民法院强制执行</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当事人在法定期限内不申请行政复议或者提起行政诉讼，又不履行行政决定的，没有行政强制执行权的行政机关可以自期限届满之日起三个月内，依照本章规定申请人民法院强制执行。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行政机关申请人民法院强制执行前，应当催告当事人履行义务。催告书送达十日后当事人仍未履行义务的，行政机关可以向所在地有管辖权的人民法院申请强制执行；执行对象是不动产的，向不动产所在地有管辖权的人民法院申请强制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行政机关向人民法院申请强制执行，应当提供下列材料: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（一）强制执行申请书；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（二）行政决定书及作出决定的事实、理由和依据；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（三）当事人的意见及行政机关催告情况；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（四）申请强制执行标的情况；</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（五）法律、行政法规规定的其他材料。</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强制执行申请书应当由行政机关负责人签名，加盖行政机关的印章，并注明日期。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人民法院接到行政机关强制执行的申请，应当在五日内受理。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行政机关对人民法院不予受理的裁定有异议的，可以在十五日内向上一级人民法院申请复议，上一级人民法院应当自收到复议申请之日起十五日内作出是否受理的裁定。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人民法院对行政机关强制执行的申请进行书面审查，对符合本法第五十五条规定，且行政决定具备法定执行效力的，除本法第五十八条规定的情形外，人民法院应当自受理之日起七日内作出执行裁定。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人民法院发现有下列情形之一的，在作出裁定前可以听取被执行人和行政机关的意见:</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（一）明显缺乏事实根据的；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（二）明显缺乏法律、法规依据的；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（三）其他明显违法并损害被执行人合法权益的。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人民法院应当自受理之日起三十日内作出是否执行的裁定。裁定不予执行的，应当说明理由，并在五日内将不予执行的裁定送达行政机关。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行政机关对人民法院不予执行的裁定有异议的，可以自收到裁定之日起十五日内向上一级人民法院申请复议，上一级人民法院应当自收到复议申请之日起三十日内作出是否执行的裁定。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因情况紧急，为保障公共安全，行政机关可以申请人民法院立即执行。经人民法院院长批准，人民法院应当自作出执行裁定之日起五日内执行。</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行政机关申请人民法院强制执行，不缴纳申请费。强制执行的费用由被执行人承担。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人民法院以划拨、拍卖方式强制执行的，可以在划拨、拍卖后将强制执行的费用扣除。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依法拍卖财物，由人民法院委托拍卖机构依照《中华人民共和国拍卖法》的规定办理。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划拨的存款、汇款以及拍卖和依法处理所得的款项应当上缴国库或者划入财政专户，不得以任何形式截留、私分或者变相私分。</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行政机关实施行政强制，有下列情形之一的，由上级行政机关或者有关部门责令改正，对直接负责的主管人员和其他直接责任人员依法给予处分: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（一）没有法律、法规依据的；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（二）改变行政强制对象、条件、方式的；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（三）违反法定程序实施行政强制的；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（四）违反本法规定，在夜间或者法定节假日实施行政强制执行的；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（五）对居民生活采取停止供水、供电、供热、供燃气等方式迫使当事人履行相关行政决定的；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（六）有其他违法实施行政强制情形的。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违反本法规定，行政机关有下列情形之一的，由上级行政机关或者有关部门责令改正，对直接负责的主管人员和其他直接责任人员依法给予处分: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（一）扩大查封、扣押、冻结范围的；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（二）使用或者损毁查封、扣押场所、设施或者财物的；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（三）在查封、扣押法定期间不作出处理决定或者未依法及时解除查封、扣押的；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（四）在冻结存款、汇款法定期间不作出处理决定或者未依法及时解除冻结的。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行政机关工作人员利用职务上的便利，将查封、扣押的场所、设施或者财物据为己有的，由上级行政机关或者有关部门责令改正，依法给予记大过、降级、撤职或者开除的处分。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行政机关及其工作人员利用行政强制权为单位或者个人谋取利益的，由上级行政机关或者有关部门责令改正，对直接负责的主管人员和其他直接责任人员依法给予处分。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违反本法规定，金融机构有下列行为之一的，由金融业监督管理机构责令改正，对直接负责的主管人员和其他直接责任人员依法给予处分: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（一）在冻结前向当事人泄露信息的；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（二）对应当立即冻结、划拨的存款、汇款不冻结或者不划拨，致使存款、汇款转移的；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（三）将不应当冻结、划拨的存款、汇款予以冻结或者划拨的；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（四）未及时解除冻结存款、汇款的。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违反本法规定，金融机构将款项划入国库或者财政专户以外的其他账户的，由金融业监督管理机构责令改正，并处以违法划拨款项二倍的罚款；对直接负责的主管人员和其他直接责任人员依法给予处分。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违反本法规定，行政机关、人民法院指令金融机构将款项划入国库或者财政专户以外的其他账户的，对直接负责的主管人员和其他直接责任人员依法给予处分。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人民法院及其工作人员在强制执行中有违法行为或者扩大强制执行范围的，对直接负责的主管人员和其他直接责任人员依法给予处分。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违反本法规定，给公民、法人或者其他组织造成损失的，依法给予赔偿。</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违反本法规定，构成犯罪的，依法追究刑事责任。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本法中十日以内期限的规定是指工作日，不含法定节假日。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法律、行政法规授权的具有管理公共事务职能的组织在法定授权范围内，以自己的名义实施行政强制，适用本法有关行政机关的规定。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Arial"/>
          <w:kern w:val="0"/>
          <w:szCs w:val="32"/>
        </w:rPr>
        <w:t>　本法自2012年1月1日起施行。</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hint="eastAsia" w:ascii="宋体" w:hAnsi="宋体" w:eastAsia="宋体" w:cs="宋体"/>
          <w:sz w:val="44"/>
          <w:szCs w:val="44"/>
        </w:rPr>
      </w:pPr>
      <w:r>
        <w:rPr>
          <w:rFonts w:hint="eastAsia" w:ascii="宋体" w:hAnsi="宋体" w:eastAsia="宋体" w:cs="宋体"/>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宋体"/>
          <w:sz w:val="44"/>
          <w:szCs w:val="44"/>
        </w:rPr>
      </w:pPr>
      <w:bookmarkStart w:id="207" w:name="_Toc20581"/>
      <w:r>
        <w:rPr>
          <w:rFonts w:hint="eastAsia" w:ascii="宋体" w:hAnsi="宋体" w:eastAsia="宋体" w:cs="宋体"/>
          <w:sz w:val="44"/>
          <w:szCs w:val="44"/>
        </w:rPr>
        <w:t>中华人民共和国行政复议法</w:t>
      </w:r>
      <w:bookmarkEnd w:id="207"/>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宋体" w:cs="宋体"/>
          <w:szCs w:val="32"/>
        </w:rPr>
      </w:pPr>
      <w:r>
        <w:rPr>
          <w:rFonts w:hint="eastAsia" w:ascii="宋体" w:hAnsi="宋体" w:eastAsia="楷体_GB2312" w:cs="楷体_GB2312"/>
          <w:szCs w:val="32"/>
        </w:rPr>
        <w:t>（1999年4月29日第九届全国人民代表大会常务委员会第九次会议通过　根据2009年8月27日第十一届全国人民代表大会常务委员会第十次会议《关于修改部分法律的决定》第一次修正　根据2017年9月1日第十二届全国人民代表大会常务委员会第二十九次会议《关于修改&lt;中华人民共和国法官法&gt;等八部法律的决定》第二次修正）</w:t>
      </w:r>
    </w:p>
    <w:p>
      <w:pPr>
        <w:widowControl w:val="0"/>
        <w:wordWrap/>
        <w:overflowPunct w:val="0"/>
        <w:spacing w:beforeAutospacing="0" w:afterAutospacing="0" w:line="560" w:lineRule="exact"/>
        <w:jc w:val="center"/>
        <w:textAlignment w:val="auto"/>
        <w:rPr>
          <w:rFonts w:ascii="宋体" w:hAnsi="宋体" w:eastAsia="楷体_GB2312" w:cs="楷体_GB2312"/>
          <w:szCs w:val="32"/>
        </w:rPr>
      </w:pPr>
      <w:r>
        <w:rPr>
          <w:rFonts w:hint="eastAsia" w:ascii="宋体" w:hAnsi="宋体" w:eastAsia="楷体_GB2312" w:cs="楷体_GB2312"/>
          <w:szCs w:val="32"/>
        </w:rPr>
        <w:t>目　　录</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第一章　总则</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第二章　行政复议范围</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第三章　行政复议申请</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第四章　行政复议受理</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第五章　行政复议决定</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第六章　法律责任</w:t>
      </w:r>
    </w:p>
    <w:p>
      <w:pPr>
        <w:widowControl w:val="0"/>
        <w:wordWrap/>
        <w:overflowPunct w:val="0"/>
        <w:spacing w:beforeAutospacing="0" w:afterAutospacing="0" w:line="560" w:lineRule="exact"/>
        <w:textAlignment w:val="auto"/>
        <w:rPr>
          <w:rFonts w:ascii="宋体" w:hAnsi="宋体" w:eastAsia="楷体_GB2312" w:cs="楷体_GB2312"/>
          <w:szCs w:val="32"/>
        </w:rPr>
      </w:pPr>
      <w:r>
        <w:rPr>
          <w:rFonts w:hint="eastAsia" w:ascii="宋体" w:hAnsi="宋体" w:eastAsia="楷体_GB2312" w:cs="楷体_GB2312"/>
          <w:szCs w:val="32"/>
        </w:rPr>
        <w:t>　　第七章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第一章　总则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第一</w:t>
      </w:r>
      <w:r>
        <w:rPr>
          <w:rFonts w:hint="eastAsia" w:ascii="宋体" w:hAnsi="宋体" w:eastAsia="黑体" w:cs="仿宋_GB2312"/>
          <w:szCs w:val="32"/>
        </w:rPr>
        <w:t>条</w:t>
      </w:r>
      <w:r>
        <w:rPr>
          <w:rFonts w:hint="eastAsia" w:ascii="宋体" w:hAnsi="宋体" w:cs="仿宋_GB2312"/>
          <w:szCs w:val="32"/>
        </w:rPr>
        <w:t>　为了防止和纠正违法的或者不当的具体行政行为，保护公民、法人和其他组织的合法权益，保障和监督行政机关依法行使职权，根据宪法，制定本法。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w:t>
      </w:r>
      <w:r>
        <w:rPr>
          <w:rFonts w:hint="eastAsia" w:ascii="宋体" w:hAnsi="宋体" w:eastAsia="黑体" w:cs="仿宋_GB2312"/>
          <w:szCs w:val="32"/>
        </w:rPr>
        <w:t>条</w:t>
      </w:r>
      <w:r>
        <w:rPr>
          <w:rFonts w:hint="eastAsia" w:ascii="宋体" w:hAnsi="宋体" w:cs="仿宋_GB2312"/>
          <w:szCs w:val="32"/>
        </w:rPr>
        <w:t>　公民、法人或者其他组织认为具体行政行为侵犯其合法权益，向行政机关提出行政复议申请，行政机关受理行政复议申请、作出行政复议决定，适用本法。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w:t>
      </w:r>
      <w:r>
        <w:rPr>
          <w:rFonts w:hint="eastAsia" w:ascii="宋体" w:hAnsi="宋体" w:eastAsia="黑体" w:cs="仿宋_GB2312"/>
          <w:szCs w:val="32"/>
        </w:rPr>
        <w:t>条</w:t>
      </w:r>
      <w:r>
        <w:rPr>
          <w:rFonts w:hint="eastAsia" w:ascii="宋体" w:hAnsi="宋体" w:cs="仿宋_GB2312"/>
          <w:szCs w:val="32"/>
        </w:rPr>
        <w:t>　依照本法履行行政复议职责的行政机关是行政复议机关。行政复议机关负责法制工作的机构具体办理行政复议事项，履行下列职责:</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（一）受理行政复议申请；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（二）向有关组织和人员调查取证，查阅文件和资料；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（三）审查申请行政复议的具体行政行为是否合法与适当，拟订行政复议决定；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（四）处理或者转送对本法第七条所列有关规定的审查申请；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（五）对行政机关违反本法规定的行为依照规定的权限和程序提出处理建议；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（六）办理因不服行政复议决定提起行政诉讼的应诉事项；</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（七）法律、法规规定的其他职责。</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行政机关中初次从事行政复议的人员，应当通过国家统一法律职业资格考试取得法律职业资格。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w:t>
      </w:r>
      <w:r>
        <w:rPr>
          <w:rFonts w:hint="eastAsia" w:ascii="宋体" w:hAnsi="宋体" w:eastAsia="黑体" w:cs="仿宋_GB2312"/>
          <w:szCs w:val="32"/>
        </w:rPr>
        <w:t>条</w:t>
      </w:r>
      <w:r>
        <w:rPr>
          <w:rFonts w:hint="eastAsia" w:ascii="宋体" w:hAnsi="宋体" w:cs="仿宋_GB2312"/>
          <w:szCs w:val="32"/>
        </w:rPr>
        <w:t>　行政复议机关履行行政复议职责，应当遵循合法、公正、公开、及时、便民的原则，坚持有错必纠，保障法律、法规的正确实施。</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第五</w:t>
      </w:r>
      <w:r>
        <w:rPr>
          <w:rFonts w:hint="eastAsia" w:ascii="宋体" w:hAnsi="宋体" w:eastAsia="黑体" w:cs="仿宋_GB2312"/>
          <w:szCs w:val="32"/>
        </w:rPr>
        <w:t>条</w:t>
      </w:r>
      <w:r>
        <w:rPr>
          <w:rFonts w:hint="eastAsia" w:ascii="宋体" w:hAnsi="宋体" w:cs="仿宋_GB2312"/>
          <w:szCs w:val="32"/>
        </w:rPr>
        <w:t>　公民、法人或者其他组织对行政复议决定不服的，可以依照行政诉讼法的规定向人民法院提起行政诉讼，但是法律规定行政复议决定为最终裁决的除外。</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第二章　行政复议范围</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第六</w:t>
      </w:r>
      <w:r>
        <w:rPr>
          <w:rFonts w:hint="eastAsia" w:ascii="宋体" w:hAnsi="宋体" w:eastAsia="黑体" w:cs="仿宋_GB2312"/>
          <w:szCs w:val="32"/>
        </w:rPr>
        <w:t>条</w:t>
      </w:r>
      <w:r>
        <w:rPr>
          <w:rFonts w:hint="eastAsia" w:ascii="宋体" w:hAnsi="宋体" w:cs="仿宋_GB2312"/>
          <w:szCs w:val="32"/>
        </w:rPr>
        <w:t>　有下列情形之一的，公民、法人或者其他组织可以依照本法申请行政复议: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（一）对行政机关作出的警告、罚款、没收违法所得、没收非法财物、责令停产停业、暂扣或者吊销许可证、暂扣或者吊销执照、行政拘留等行政处罚决定不服的；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（二）对行政机关作出的限制人身自由或者查封、扣押、冻结财产等行政强制措施决定不服的；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（三）对行政机关作出的有关许可证、执照、资质证、资格证等证书变更、中止、撤销的决定不服的；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（四）对行政机关作出的关于确认土地、矿藏、水流、森林、山岭、草原、荒地、滩涂、海域等自然资源的所有权或者使用权的决定不服的；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（五）认为行政机关侵犯合法的经营自主权的；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（六）认为行政机关变更或者废止农业承包合同，侵犯其合法权益的；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（七）认为行政机关违法集资、征收财物、摊派费用或者违法要求履行其他义务的；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（八）认为符合法定条件，申请行政机关颁发许可证、执照、资质证、资格证等证书，或者申请行政机关审批、登记有关事项，行政机关没有依法办理的；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（九）申请行政机关履行保护人身权利、财产权利、受教育权利的法定职责，行政机关没有依法履行的；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（十）申请行政机关依法发放抚恤金、社会保险金或者最低生活保障费，行政机关没有依法发放的；</w:t>
      </w:r>
    </w:p>
    <w:p>
      <w:pPr>
        <w:widowControl w:val="0"/>
        <w:wordWrap/>
        <w:overflowPunct w:val="0"/>
        <w:spacing w:beforeAutospacing="0" w:afterAutospacing="0" w:line="560" w:lineRule="exact"/>
        <w:textAlignment w:val="auto"/>
        <w:rPr>
          <w:rFonts w:ascii="宋体" w:hAnsi="宋体" w:eastAsia="黑体" w:cs="黑体"/>
          <w:szCs w:val="32"/>
        </w:rPr>
      </w:pPr>
      <w:r>
        <w:rPr>
          <w:rFonts w:hint="eastAsia" w:ascii="宋体" w:hAnsi="宋体" w:cs="仿宋_GB2312"/>
          <w:szCs w:val="32"/>
        </w:rPr>
        <w:t>　　（十一）认为行政机关的其他具体行政行为侵犯其合法权益的。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eastAsia="黑体" w:cs="黑体"/>
          <w:szCs w:val="32"/>
        </w:rPr>
        <w:t>　　第七</w:t>
      </w:r>
      <w:r>
        <w:rPr>
          <w:rFonts w:hint="eastAsia" w:ascii="宋体" w:hAnsi="宋体" w:eastAsia="黑体" w:cs="仿宋_GB2312"/>
          <w:szCs w:val="32"/>
        </w:rPr>
        <w:t>条</w:t>
      </w:r>
      <w:r>
        <w:rPr>
          <w:rFonts w:hint="eastAsia" w:ascii="宋体" w:hAnsi="宋体" w:cs="仿宋_GB2312"/>
          <w:szCs w:val="32"/>
        </w:rPr>
        <w:t>　公民、法人或者其他组织认为行政机关的具体行政行为所依据的下列规定不合法，在对具体行政行为申请行政复议时，可以一并向行政复议机关提出对该规定的审查申请:</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（一）国务院部门的规定；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（二）县级以上地方各级人民政府及其工作部门的规定；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（三）乡、镇人民政府的规定。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前款所列规定不含国务院部、委员会规章和地方人民政府规章。规章的审查依照法律、行政法规办理。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第八</w:t>
      </w:r>
      <w:r>
        <w:rPr>
          <w:rFonts w:hint="eastAsia" w:ascii="宋体" w:hAnsi="宋体" w:eastAsia="黑体" w:cs="仿宋_GB2312"/>
          <w:szCs w:val="32"/>
        </w:rPr>
        <w:t>条</w:t>
      </w:r>
      <w:r>
        <w:rPr>
          <w:rFonts w:hint="eastAsia" w:ascii="宋体" w:hAnsi="宋体" w:cs="仿宋_GB2312"/>
          <w:szCs w:val="32"/>
        </w:rPr>
        <w:t>　不服行政机关作出的行政处分或者其他人事处理决定的，依照有关法律、行政法规的规定提出申诉。</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不服行政机关对民事纠纷作出的调解或者其他处理，依法申请仲裁或者向人民法院提起诉讼。</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第三章　行政复议申请</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第九</w:t>
      </w:r>
      <w:r>
        <w:rPr>
          <w:rFonts w:hint="eastAsia" w:ascii="宋体" w:hAnsi="宋体" w:eastAsia="黑体" w:cs="仿宋_GB2312"/>
          <w:szCs w:val="32"/>
        </w:rPr>
        <w:t>条</w:t>
      </w:r>
      <w:r>
        <w:rPr>
          <w:rFonts w:hint="eastAsia" w:ascii="宋体" w:hAnsi="宋体" w:cs="仿宋_GB2312"/>
          <w:szCs w:val="32"/>
        </w:rPr>
        <w:t>　公民、法人或者其他组织认为具体行政行为侵犯其合法权益的，可以自知道该具体行政行为之日起六十日内提出行政复议申请；但是法律规定的申请期限超过六十日的除外。</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因不可抗力或者其他正当理由耽误法定申请期限的，申请期限自障碍消除之日起继续计算。</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w:t>
      </w:r>
      <w:r>
        <w:rPr>
          <w:rFonts w:hint="eastAsia" w:ascii="宋体" w:hAnsi="宋体" w:eastAsia="黑体" w:cs="仿宋_GB2312"/>
          <w:szCs w:val="32"/>
        </w:rPr>
        <w:t>条</w:t>
      </w:r>
      <w:r>
        <w:rPr>
          <w:rFonts w:hint="eastAsia" w:ascii="宋体" w:hAnsi="宋体" w:cs="仿宋_GB2312"/>
          <w:szCs w:val="32"/>
        </w:rPr>
        <w:t>　依照本法申请行政复议的公民、法人或者其他组织是申请人。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有权申请行政复议的公民死亡的，其近亲属可以申请行政复议。有权申请行政复议的公民为无民事行为能力人或者限制民事行为能力人的，其法定代理人可以代为申请行政复议。有权申请行政复议的法人或者其他组织终止的，承受其权利的法人或者其他组织可以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同申请行政复议的具体行政行为有利害关系的其他公民、法人或者其他组织，可以作为第三人参加行政复议。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公民、法人或者其他组织对行政机关的具体行政行为不服申请行政复议的，作出具体行政行为的行政机关是被申请人。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申请人、第三人可以委托代理人代为参加行政复议。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第十一</w:t>
      </w:r>
      <w:r>
        <w:rPr>
          <w:rFonts w:hint="eastAsia" w:ascii="宋体" w:hAnsi="宋体" w:eastAsia="黑体" w:cs="仿宋_GB2312"/>
          <w:szCs w:val="32"/>
        </w:rPr>
        <w:t>条</w:t>
      </w:r>
      <w:r>
        <w:rPr>
          <w:rFonts w:hint="eastAsia" w:ascii="宋体" w:hAnsi="宋体" w:cs="仿宋_GB2312"/>
          <w:szCs w:val="32"/>
        </w:rPr>
        <w:t>　申请人申请行政复议，可以书面申请，也可以口头申请；口头申请的，行政复议机关应当当场记录申请人的基本情况、行政复议请求、申请行政复议的主要事实、理由和时间。</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第十二</w:t>
      </w:r>
      <w:r>
        <w:rPr>
          <w:rFonts w:hint="eastAsia" w:ascii="宋体" w:hAnsi="宋体" w:eastAsia="黑体" w:cs="仿宋_GB2312"/>
          <w:szCs w:val="32"/>
        </w:rPr>
        <w:t>条</w:t>
      </w:r>
      <w:r>
        <w:rPr>
          <w:rFonts w:hint="eastAsia" w:ascii="宋体" w:hAnsi="宋体" w:cs="仿宋_GB2312"/>
          <w:szCs w:val="32"/>
        </w:rPr>
        <w:t>　对县级以上地方各级人民政府工作部门的具体行政行为不服的，由申请人选择，可以向该部门的本级人民政府申请行政复议，也可以向上一级主管部门申请行政复议。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对海关、金融、国税、外汇管理等实行垂直领导的行政机关和国家安全机关的具体行政行为不服的，向上一级主管部门申请行政复议。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第十三</w:t>
      </w:r>
      <w:r>
        <w:rPr>
          <w:rFonts w:hint="eastAsia" w:ascii="宋体" w:hAnsi="宋体" w:eastAsia="黑体" w:cs="仿宋_GB2312"/>
          <w:szCs w:val="32"/>
        </w:rPr>
        <w:t>条</w:t>
      </w:r>
      <w:r>
        <w:rPr>
          <w:rFonts w:hint="eastAsia" w:ascii="宋体" w:hAnsi="宋体" w:cs="仿宋_GB2312"/>
          <w:szCs w:val="32"/>
        </w:rPr>
        <w:t>　对地方各级人民政府的具体行政行为不服的，向上一级地方人民政府申请行政复议。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对省、自治区人民政府依法设立的派出机关所属的县级地方人民政府的具体行政行为不服的，向该派出机关申请行政复议。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第十四</w:t>
      </w:r>
      <w:r>
        <w:rPr>
          <w:rFonts w:hint="eastAsia" w:ascii="宋体" w:hAnsi="宋体" w:eastAsia="黑体" w:cs="仿宋_GB2312"/>
          <w:szCs w:val="32"/>
        </w:rPr>
        <w:t>条</w:t>
      </w:r>
      <w:r>
        <w:rPr>
          <w:rFonts w:hint="eastAsia" w:ascii="宋体" w:hAnsi="宋体" w:cs="仿宋_GB2312"/>
          <w:szCs w:val="32"/>
        </w:rPr>
        <w:t>　对国务院部门或者省、自治区、直辖市人民政府的具体行政行为不服的，向作出该具体行政行为的国务院部门或者省、自治区、直辖市人民政府申请行政复议。对行政复议决定不服的，可以向人民法院提起行政诉讼；也可以向国务院申请裁决，国务院依照本法的规定作出最终裁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　第十五</w:t>
      </w:r>
      <w:r>
        <w:rPr>
          <w:rFonts w:hint="eastAsia" w:ascii="宋体" w:hAnsi="宋体" w:eastAsia="黑体" w:cs="仿宋_GB2312"/>
          <w:szCs w:val="32"/>
        </w:rPr>
        <w:t>条</w:t>
      </w:r>
      <w:r>
        <w:rPr>
          <w:rFonts w:hint="eastAsia" w:ascii="宋体" w:hAnsi="宋体" w:cs="仿宋_GB2312"/>
          <w:szCs w:val="32"/>
        </w:rPr>
        <w:t>　对本法第十二条、第十三条、第十四条规定以外的其他行政机关、组织的具体行政行为不服的，按照下列规定申请行政复议: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（一）对县级以上地方人民政府依法设立的派出机关的具体行政行为不服的，向设立该派出机关的人民政府申请行政复议；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（二）对政府工作部门依法设立的派出机构依照法律、法规或者规章规定，以自己的名义作出的具体行政行为不服的，向设立该派出机构的部门或者该部门的本级地方人民政府申请行政复议；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（三）对法律、法规授权的组织的具体行政行为不服的，分别向直接管理该组织的地方人民政府、地方人民政府工作部门或者国务院部门申请行政复议；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（四）对两个或者两个以上行政机关以共同的名义作出的具体行政行为不服的，向其共同上一级行政机关申请行政复议；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（五）对被撤销的行政机关在撤销前所作出的具体行政行为不服的，向继续行使其职权的行政机关的上一级行政机关申请行政复议。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有前款所列情形之一的，申请人也可以向具体行政行为发生地的县级地方人民政府提出行政复议申请，由接受申请的县级地方人民政府依照本法第十八条的规定办理。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第十六</w:t>
      </w:r>
      <w:r>
        <w:rPr>
          <w:rFonts w:hint="eastAsia" w:ascii="宋体" w:hAnsi="宋体" w:eastAsia="黑体" w:cs="仿宋_GB2312"/>
          <w:szCs w:val="32"/>
        </w:rPr>
        <w:t>条</w:t>
      </w:r>
      <w:r>
        <w:rPr>
          <w:rFonts w:hint="eastAsia" w:ascii="宋体" w:hAnsi="宋体" w:cs="仿宋_GB2312"/>
          <w:szCs w:val="32"/>
        </w:rPr>
        <w:t>　公民、法人或者其他组织申请行政复议，行政复议机关已经依法受理的，或者法律、法规规定应当先向行政复议机关申请行政复议、对行政复议决定不服再向人民法院提起行政诉讼的，在法定行政复议期限内不得向人民法院提起行政诉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公民、法人或者其他组织向人民法院提起行政诉讼，人民法院已经依法受理的，不得申请行政复议。</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第四章　行政复议受理</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第十七</w:t>
      </w:r>
      <w:r>
        <w:rPr>
          <w:rFonts w:hint="eastAsia" w:ascii="宋体" w:hAnsi="宋体" w:eastAsia="黑体" w:cs="仿宋_GB2312"/>
          <w:szCs w:val="32"/>
        </w:rPr>
        <w:t>条</w:t>
      </w:r>
      <w:r>
        <w:rPr>
          <w:rFonts w:hint="eastAsia" w:ascii="宋体" w:hAnsi="宋体" w:cs="仿宋_GB2312"/>
          <w:szCs w:val="32"/>
        </w:rPr>
        <w:t>　行政复议机关收到行政复议申请后，应当在五日内进行审查，对不符合本法规定的行政复议申请，决定不予受理，并书面告知申请人；对符合本法规定，但是不属于本机关受理的行政复议申请，应当告知申请人向有关行政复议机关提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除前款规定外，行政复议申请自行政复议机关负责法制工作的机构收到之日起即为受理。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第十八</w:t>
      </w:r>
      <w:r>
        <w:rPr>
          <w:rFonts w:hint="eastAsia" w:ascii="宋体" w:hAnsi="宋体" w:eastAsia="黑体" w:cs="仿宋_GB2312"/>
          <w:szCs w:val="32"/>
        </w:rPr>
        <w:t>条</w:t>
      </w:r>
      <w:r>
        <w:rPr>
          <w:rFonts w:hint="eastAsia" w:ascii="宋体" w:hAnsi="宋体" w:cs="仿宋_GB2312"/>
          <w:szCs w:val="32"/>
        </w:rPr>
        <w:t>　依照本法第十五条第二款的规定接受行政复议申请的县级地方人民政府，对依照本法第十五条第一款的规定属于其他行政复议机关受理的行政复议申请，应当自接到该行政复议申请之日起七日内，转送有关行政复议机关，并告知申请人。接受转送的行政复议机关应当依照本法第十七条的规定办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第十九</w:t>
      </w:r>
      <w:r>
        <w:rPr>
          <w:rFonts w:hint="eastAsia" w:ascii="宋体" w:hAnsi="宋体" w:eastAsia="黑体" w:cs="仿宋_GB2312"/>
          <w:szCs w:val="32"/>
        </w:rPr>
        <w:t>条</w:t>
      </w:r>
      <w:r>
        <w:rPr>
          <w:rFonts w:hint="eastAsia" w:ascii="宋体" w:hAnsi="宋体" w:cs="仿宋_GB2312"/>
          <w:szCs w:val="32"/>
        </w:rPr>
        <w:t>　法律、法规规定应当先向行政复议机关申请行政复议、对行政复议决定不服再向人民法院提起行政诉讼的，行政复议机关决定不予受理或者受理后超过行政复议期限不作答复的，公民、法人或者其他组织可以自收到不予受理决定书之日起或者行政复议期满之日起十五日内，依法向人民法院提起行政诉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w:t>
      </w:r>
      <w:r>
        <w:rPr>
          <w:rFonts w:hint="eastAsia" w:ascii="宋体" w:hAnsi="宋体" w:eastAsia="黑体" w:cs="仿宋_GB2312"/>
          <w:szCs w:val="32"/>
        </w:rPr>
        <w:t>条</w:t>
      </w:r>
      <w:r>
        <w:rPr>
          <w:rFonts w:hint="eastAsia" w:ascii="宋体" w:hAnsi="宋体" w:cs="仿宋_GB2312"/>
          <w:szCs w:val="32"/>
        </w:rPr>
        <w:t>　公民、法人或者其他组织依法提出行政复议申请，行政复议机关无正当理由不予受理的，上级行政机关应当责令其受理；必要时，上级行政机关也可以直接受理。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第二十一</w:t>
      </w:r>
      <w:r>
        <w:rPr>
          <w:rFonts w:hint="eastAsia" w:ascii="宋体" w:hAnsi="宋体" w:eastAsia="黑体" w:cs="仿宋_GB2312"/>
          <w:szCs w:val="32"/>
        </w:rPr>
        <w:t>条</w:t>
      </w:r>
      <w:r>
        <w:rPr>
          <w:rFonts w:hint="eastAsia" w:ascii="宋体" w:hAnsi="宋体" w:cs="仿宋_GB2312"/>
          <w:szCs w:val="32"/>
        </w:rPr>
        <w:t>　行政复议期间具体行政行为不停止执行；但是，有下列情形之一的，可以停止执行: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（一）被申请人认为需要停止执行的；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（二）行政复议机关认为需要停止执行的；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（三）申请人申请停止执行，行政复议机关认为其要求合理，决定停止执行的；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（四）法律规定停止执行的。</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第五章　行政复议决定</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第二十二</w:t>
      </w:r>
      <w:r>
        <w:rPr>
          <w:rFonts w:hint="eastAsia" w:ascii="宋体" w:hAnsi="宋体" w:eastAsia="黑体" w:cs="仿宋_GB2312"/>
          <w:szCs w:val="32"/>
        </w:rPr>
        <w:t>条</w:t>
      </w:r>
      <w:r>
        <w:rPr>
          <w:rFonts w:hint="eastAsia" w:ascii="宋体" w:hAnsi="宋体" w:cs="仿宋_GB2312"/>
          <w:szCs w:val="32"/>
        </w:rPr>
        <w:t>　行政复议原则上采取书面审查的办法，但是申请人提出要求或者行政复议机关负责法制工作的机构认为有必要时，可以向有关组织和人员调查情况，听取申请人、被申请人和第三人的意见。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第二十三</w:t>
      </w:r>
      <w:r>
        <w:rPr>
          <w:rFonts w:hint="eastAsia" w:ascii="宋体" w:hAnsi="宋体" w:eastAsia="黑体" w:cs="仿宋_GB2312"/>
          <w:szCs w:val="32"/>
        </w:rPr>
        <w:t>条</w:t>
      </w:r>
      <w:r>
        <w:rPr>
          <w:rFonts w:hint="eastAsia" w:ascii="宋体" w:hAnsi="宋体" w:cs="仿宋_GB2312"/>
          <w:szCs w:val="32"/>
        </w:rPr>
        <w:t>　行政复议机关负责法制工作的机构应当自行政复议申请受理之日起七日内，将行政复议申请书副本或者行政复议申请笔录复印件发送被申请人。被申请人应当自收到申请书副本或者申请笔录复印件之日起十日内，提出书面答复，并提交当初作出具体行政行为的证据、依据和其他有关材料。</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申请人、第三人可以查阅被申请人提出的书面答复、作出具体行政行为的证据、依据和其他有关材料，除涉及国家秘密、商业秘密或者个人隐私外，行政复议机关不得拒绝。</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第二十四</w:t>
      </w:r>
      <w:r>
        <w:rPr>
          <w:rFonts w:hint="eastAsia" w:ascii="宋体" w:hAnsi="宋体" w:eastAsia="黑体" w:cs="仿宋_GB2312"/>
          <w:szCs w:val="32"/>
        </w:rPr>
        <w:t>条</w:t>
      </w:r>
      <w:r>
        <w:rPr>
          <w:rFonts w:hint="eastAsia" w:ascii="宋体" w:hAnsi="宋体" w:cs="仿宋_GB2312"/>
          <w:szCs w:val="32"/>
        </w:rPr>
        <w:t>　在行政复议过程中，被申请人不得自行向申请人和其他有关组织或者个人收集证据。</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第二十五</w:t>
      </w:r>
      <w:r>
        <w:rPr>
          <w:rFonts w:hint="eastAsia" w:ascii="宋体" w:hAnsi="宋体" w:eastAsia="黑体" w:cs="仿宋_GB2312"/>
          <w:szCs w:val="32"/>
        </w:rPr>
        <w:t>条</w:t>
      </w:r>
      <w:r>
        <w:rPr>
          <w:rFonts w:hint="eastAsia" w:ascii="宋体" w:hAnsi="宋体" w:cs="仿宋_GB2312"/>
          <w:szCs w:val="32"/>
        </w:rPr>
        <w:t>　行政复议决定作出前，申请人要求撤回行政复议申请的，经说明理由，可以撤回；撤回行政复议申请的，行政复议终止。</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第二十六</w:t>
      </w:r>
      <w:r>
        <w:rPr>
          <w:rFonts w:hint="eastAsia" w:ascii="宋体" w:hAnsi="宋体" w:eastAsia="黑体" w:cs="仿宋_GB2312"/>
          <w:szCs w:val="32"/>
        </w:rPr>
        <w:t>条</w:t>
      </w:r>
      <w:r>
        <w:rPr>
          <w:rFonts w:hint="eastAsia" w:ascii="宋体" w:hAnsi="宋体" w:cs="仿宋_GB2312"/>
          <w:szCs w:val="32"/>
        </w:rPr>
        <w:t>　申请人在申请行政复议时，一并提出对本法第七条所列有关规定的审查申请的，行政复议机关对该规定有权处理的，应当在三十日内依法处理；无权处理的，应当在七日内按照法定程序转送有权处理的行政机关依法处理，有权处理的行政机关应当在六十日内依法处理。处理期间，中止对具体行政行为的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第二十七</w:t>
      </w:r>
      <w:r>
        <w:rPr>
          <w:rFonts w:hint="eastAsia" w:ascii="宋体" w:hAnsi="宋体" w:eastAsia="黑体" w:cs="仿宋_GB2312"/>
          <w:szCs w:val="32"/>
        </w:rPr>
        <w:t>条</w:t>
      </w:r>
      <w:r>
        <w:rPr>
          <w:rFonts w:hint="eastAsia" w:ascii="宋体" w:hAnsi="宋体" w:cs="仿宋_GB2312"/>
          <w:szCs w:val="32"/>
        </w:rPr>
        <w:t>　行政复议机关在对被申请人作出的具体行政行为进行审查时，认为其依据不合法，本机关有权处理的，应当在三十日内依法处理；无权处理的，应当在七日内按照法定程序转送有权处理的国家机关依法处理。处理期间，中止对具体行政行为的审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第二十八</w:t>
      </w:r>
      <w:r>
        <w:rPr>
          <w:rFonts w:hint="eastAsia" w:ascii="宋体" w:hAnsi="宋体" w:eastAsia="黑体" w:cs="仿宋_GB2312"/>
          <w:szCs w:val="32"/>
        </w:rPr>
        <w:t>条</w:t>
      </w:r>
      <w:r>
        <w:rPr>
          <w:rFonts w:hint="eastAsia" w:ascii="宋体" w:hAnsi="宋体" w:cs="仿宋_GB2312"/>
          <w:szCs w:val="32"/>
        </w:rPr>
        <w:t>　行政复议机关负责法制工作的机构应当对被申请人作出的具体行政行为进行审查，提出意见，经行政复议机关的负责人同意或者集体讨论通过后，按照下列规定作出行政复议决定: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（一）具体行政行为认定事实清楚，证据确凿，适用依据正确，程序合法，内容适当的，决定维持；</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（二）被申请人不履行法定职责的，决定其在一定期限内履行；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（三）具体行政行为有下列情形之一的，决定撤销、变更或者确认该具体行政行为违法；决定撤销或者确认该具体行政行为违法的，可以责令被申请人在一定期限内重新作出具体行政行为: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1.主要事实不清、证据不足的；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2.适用依据错误的；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3.违反法定程序的；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4.超越或者滥用职权的；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5.具体行政行为明显不当的。</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（四）被申请人不按照本法第二十三条的规定提出书面答复、提交当初作出具体行政行为的证据、依据和其他有关材料的，视为该具体行政行为没有证据、依据，决定撤销该具体行政行为。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行政复议机关责令被申请人重新作出具体行政行为的，被申请人不得以同一的事实和理由作出与原具体行政行为相同或者基本相同的具体行政行为。</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第二十九</w:t>
      </w:r>
      <w:r>
        <w:rPr>
          <w:rFonts w:hint="eastAsia" w:ascii="宋体" w:hAnsi="宋体" w:eastAsia="黑体" w:cs="仿宋_GB2312"/>
          <w:szCs w:val="32"/>
        </w:rPr>
        <w:t>条</w:t>
      </w:r>
      <w:r>
        <w:rPr>
          <w:rFonts w:hint="eastAsia" w:ascii="宋体" w:hAnsi="宋体" w:cs="仿宋_GB2312"/>
          <w:szCs w:val="32"/>
        </w:rPr>
        <w:t>　申请人在申请行政复议时可以一并提出行政赔偿请求，行政复议机关对符合国家赔偿法的有关规定应当给予赔偿的，在决定撤销、变更具体行政行为或者确认具体行政行为违法时，应当同时决定被申请人依法给予赔偿。</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申请人在申请行政复议时没有提出行政赔偿请求的，行政复议机关在依法决定撤销或者变更罚款，撤销违法集资、没收财物、征收财物、摊派费用以及对财产的查封、扣押、冻结等具体行政行为时，应当同时责令被申请人返还财产，解除对财产的查封、扣押、冻结措施，或者赔偿相应的价款。</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w:t>
      </w:r>
      <w:r>
        <w:rPr>
          <w:rFonts w:hint="eastAsia" w:ascii="宋体" w:hAnsi="宋体" w:eastAsia="黑体" w:cs="仿宋_GB2312"/>
          <w:szCs w:val="32"/>
        </w:rPr>
        <w:t>条</w:t>
      </w:r>
      <w:r>
        <w:rPr>
          <w:rFonts w:hint="eastAsia" w:ascii="宋体" w:hAnsi="宋体" w:cs="仿宋_GB2312"/>
          <w:szCs w:val="32"/>
        </w:rPr>
        <w:t>　公民、法人或者其他组织认为行政机关的具体行政行为侵犯其已经依法取得的土地、矿藏、水流、森林、山岭、草原、荒地、滩涂、海域等自然资源的所有权或者使用权的，应当先申请行政复议；对行政复议决定不服的，可以依法向人民法院提起行政诉讼。</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根据国务院或者省、自治区、直辖市人民政府对行政区划的勘定、调整或者征收土地的决定，省、自治区、直辖市人民政府确认土地、矿藏、水流、森林、山岭、草原、荒地、滩涂、海域等自然资源的所有权或者使用权的行政复议决定为最终裁决。</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第三十一</w:t>
      </w:r>
      <w:r>
        <w:rPr>
          <w:rFonts w:hint="eastAsia" w:ascii="宋体" w:hAnsi="宋体" w:eastAsia="黑体" w:cs="仿宋_GB2312"/>
          <w:szCs w:val="32"/>
        </w:rPr>
        <w:t>条</w:t>
      </w:r>
      <w:r>
        <w:rPr>
          <w:rFonts w:hint="eastAsia" w:ascii="宋体" w:hAnsi="宋体" w:cs="仿宋_GB2312"/>
          <w:szCs w:val="32"/>
        </w:rPr>
        <w:t>　行政复议机关应当自受理申请之日起六十日内作出行政复议决定；但是法律规定的行政复议期限少于六十日的除外。情况复杂，不能在规定期限内作出行政复议决定的，经行政复议机关的负责人批准，可以适当延长，并告知申请人和被申请人；但是延长期限最多不超过三十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行政复议机关作出行政复议决定，应当制作行政复议决定书，并加盖印章。</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行政复议决定书一经送达，即发生法律效力。</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第三十二</w:t>
      </w:r>
      <w:r>
        <w:rPr>
          <w:rFonts w:hint="eastAsia" w:ascii="宋体" w:hAnsi="宋体" w:eastAsia="黑体" w:cs="仿宋_GB2312"/>
          <w:szCs w:val="32"/>
        </w:rPr>
        <w:t>条</w:t>
      </w:r>
      <w:r>
        <w:rPr>
          <w:rFonts w:hint="eastAsia" w:ascii="宋体" w:hAnsi="宋体" w:cs="仿宋_GB2312"/>
          <w:szCs w:val="32"/>
        </w:rPr>
        <w:t>　被申请人应当履行行政复议决定。</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被申请人不履行或者无正当理由拖延履行行政复议决定的，行政复议机关或者有关上级行政机关应当责令其限期履行。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第三十三</w:t>
      </w:r>
      <w:r>
        <w:rPr>
          <w:rFonts w:hint="eastAsia" w:ascii="宋体" w:hAnsi="宋体" w:eastAsia="黑体" w:cs="仿宋_GB2312"/>
          <w:szCs w:val="32"/>
        </w:rPr>
        <w:t>条</w:t>
      </w:r>
      <w:r>
        <w:rPr>
          <w:rFonts w:hint="eastAsia" w:ascii="宋体" w:hAnsi="宋体" w:cs="仿宋_GB2312"/>
          <w:szCs w:val="32"/>
        </w:rPr>
        <w:t>　申请人逾期不起诉又不履行行政复议决定的，或者不履行最终裁决的行政复议决定的，按照下列规定分别处理: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（一）维持具体行政行为的行政复议决定，由作出具体行政行为的行政机关依法强制执行，或者申请人民法院强制执行；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lang w:eastAsia="zh-CN"/>
        </w:rPr>
        <w:t>　　</w:t>
      </w:r>
      <w:r>
        <w:rPr>
          <w:rFonts w:hint="eastAsia" w:ascii="宋体" w:hAnsi="宋体" w:cs="仿宋_GB2312"/>
          <w:szCs w:val="32"/>
        </w:rPr>
        <w:t>（二）变更具体行政行为的行政复议决定，由行政复议机关依法强制执行，或者申请人民法院强制执行。</w:t>
      </w:r>
    </w:p>
    <w:p>
      <w:pPr>
        <w:widowControl w:val="0"/>
        <w:wordWrap/>
        <w:overflowPunct w:val="0"/>
        <w:spacing w:beforeAutospacing="0" w:afterAutospacing="0" w:line="560" w:lineRule="exact"/>
        <w:ind w:firstLine="645"/>
        <w:textAlignment w:val="auto"/>
        <w:rPr>
          <w:rFonts w:ascii="宋体" w:hAnsi="宋体" w:cs="仿宋_GB2312"/>
          <w:szCs w:val="32"/>
        </w:rPr>
      </w:pPr>
    </w:p>
    <w:p>
      <w:pPr>
        <w:widowControl w:val="0"/>
        <w:wordWrap/>
        <w:overflowPunct w:val="0"/>
        <w:spacing w:beforeAutospacing="0" w:afterAutospacing="0" w:line="560" w:lineRule="exact"/>
        <w:jc w:val="center"/>
        <w:textAlignment w:val="auto"/>
        <w:rPr>
          <w:rFonts w:ascii="宋体" w:hAnsi="宋体" w:eastAsia="黑体" w:cs="仿宋_GB2312"/>
          <w:szCs w:val="32"/>
        </w:rPr>
      </w:pPr>
      <w:r>
        <w:rPr>
          <w:rFonts w:hint="eastAsia" w:ascii="宋体" w:hAnsi="宋体" w:eastAsia="黑体" w:cs="仿宋_GB2312"/>
          <w:szCs w:val="32"/>
        </w:rPr>
        <w:t>第六章　法律责任</w:t>
      </w:r>
    </w:p>
    <w:p>
      <w:pPr>
        <w:widowControl w:val="0"/>
        <w:wordWrap/>
        <w:overflowPunct w:val="0"/>
        <w:spacing w:beforeAutospacing="0" w:afterAutospacing="0" w:line="560" w:lineRule="exact"/>
        <w:textAlignment w:val="auto"/>
        <w:rPr>
          <w:rFonts w:ascii="宋体" w:hAnsi="宋体" w:cs="仿宋_GB2312"/>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第三十四</w:t>
      </w:r>
      <w:r>
        <w:rPr>
          <w:rFonts w:hint="eastAsia" w:ascii="宋体" w:hAnsi="宋体" w:eastAsia="黑体" w:cs="仿宋_GB2312"/>
          <w:szCs w:val="32"/>
        </w:rPr>
        <w:t>条</w:t>
      </w:r>
      <w:r>
        <w:rPr>
          <w:rFonts w:hint="eastAsia" w:ascii="宋体" w:hAnsi="宋体" w:cs="仿宋_GB2312"/>
          <w:szCs w:val="32"/>
        </w:rPr>
        <w:t>　行政复议机关违反本法规定，无正当理由不予受理依法提出的行政复议申请或者不按照规定转送行政复议申请的，或者在法定期限内不作出行政复议决定的，对直接负责的主管人员和其他直接责任人员依法给予警告、记过、记大过的行政处分；经责令受理仍不受理或者不按照规定转送行政复议申请，造成严重后果的，依法给予降级、撤职、开除的行政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第三十五</w:t>
      </w:r>
      <w:r>
        <w:rPr>
          <w:rFonts w:hint="eastAsia" w:ascii="宋体" w:hAnsi="宋体" w:eastAsia="黑体" w:cs="仿宋_GB2312"/>
          <w:szCs w:val="32"/>
        </w:rPr>
        <w:t>条</w:t>
      </w:r>
      <w:r>
        <w:rPr>
          <w:rFonts w:hint="eastAsia" w:ascii="宋体" w:hAnsi="宋体" w:cs="仿宋_GB2312"/>
          <w:szCs w:val="32"/>
        </w:rPr>
        <w:t>　行政复议机关工作人员在行政复议活动中，徇私舞弊或者有其他渎职、失职行为的，依法给予警告、记过、记大过的行政处分；情节严重的，依法给予降级、撤职、开除的行政处分；构成犯罪的，依法追究刑事责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第三十六</w:t>
      </w:r>
      <w:r>
        <w:rPr>
          <w:rFonts w:hint="eastAsia" w:ascii="宋体" w:hAnsi="宋体" w:eastAsia="黑体" w:cs="仿宋_GB2312"/>
          <w:szCs w:val="32"/>
        </w:rPr>
        <w:t>条</w:t>
      </w:r>
      <w:r>
        <w:rPr>
          <w:rFonts w:hint="eastAsia" w:ascii="宋体" w:hAnsi="宋体" w:cs="仿宋_GB2312"/>
          <w:szCs w:val="32"/>
        </w:rPr>
        <w:t>　被申请人违反本法规定，不提出书面答复或者不提交作出具体行政行为的证据、依据和其他有关材料，或者阻挠、变相阻挠公民、法人或者其他组织依法申请行政复议的，对直接负责的主管人员和其他直接责任人员依法给予警告、记过、记大过的行政处分；进行报复陷害的，依法给予降级、撤职、开除的行政处分；构成犯罪的，依法追究刑事责任。</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第三十七</w:t>
      </w:r>
      <w:r>
        <w:rPr>
          <w:rFonts w:hint="eastAsia" w:ascii="宋体" w:hAnsi="宋体" w:eastAsia="黑体" w:cs="仿宋_GB2312"/>
          <w:szCs w:val="32"/>
        </w:rPr>
        <w:t>条</w:t>
      </w:r>
      <w:r>
        <w:rPr>
          <w:rFonts w:hint="eastAsia" w:ascii="宋体" w:hAnsi="宋体" w:cs="仿宋_GB2312"/>
          <w:szCs w:val="32"/>
        </w:rPr>
        <w:t>　被申请人不履行或者无正当理由拖延履行行政复议决定的，对直接负责的主管人员和其他直接责任人员依法给予警告、记过、记大过的行政处分；经责令履行仍拒不履行的，依法给予降级、撤职、开除的行政处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第三十八</w:t>
      </w:r>
      <w:r>
        <w:rPr>
          <w:rFonts w:hint="eastAsia" w:ascii="宋体" w:hAnsi="宋体" w:eastAsia="黑体" w:cs="仿宋_GB2312"/>
          <w:szCs w:val="32"/>
        </w:rPr>
        <w:t>条</w:t>
      </w:r>
      <w:r>
        <w:rPr>
          <w:rFonts w:hint="eastAsia" w:ascii="宋体" w:hAnsi="宋体" w:cs="仿宋_GB2312"/>
          <w:szCs w:val="32"/>
        </w:rPr>
        <w:t>　行政复议机关负责法制工作的机构发现有无正当理由不予受理行政复议申请、不按照规定期限作出行政复议决定、徇私舞弊、对申请人打击报复或者不履行行政复议决定等情形的，应当向有关行政机关提出建议，有关行政机关应当依照本法和有关法律、行政法规的规定作出处理。</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jc w:val="center"/>
        <w:textAlignment w:val="auto"/>
        <w:rPr>
          <w:rFonts w:ascii="宋体" w:hAnsi="宋体" w:eastAsia="黑体" w:cs="黑体"/>
          <w:szCs w:val="32"/>
        </w:rPr>
      </w:pPr>
      <w:r>
        <w:rPr>
          <w:rFonts w:hint="eastAsia" w:ascii="宋体" w:hAnsi="宋体" w:eastAsia="黑体" w:cs="黑体"/>
          <w:szCs w:val="32"/>
        </w:rPr>
        <w:t>第七章　附则</w:t>
      </w:r>
    </w:p>
    <w:p>
      <w:pPr>
        <w:widowControl w:val="0"/>
        <w:wordWrap/>
        <w:overflowPunct w:val="0"/>
        <w:spacing w:beforeAutospacing="0" w:afterAutospacing="0" w:line="560" w:lineRule="exact"/>
        <w:textAlignment w:val="auto"/>
        <w:rPr>
          <w:rFonts w:ascii="宋体" w:hAnsi="宋体" w:eastAsia="宋体" w:cs="宋体"/>
          <w:szCs w:val="32"/>
        </w:rPr>
      </w:pP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第三十九</w:t>
      </w:r>
      <w:r>
        <w:rPr>
          <w:rFonts w:hint="eastAsia" w:ascii="宋体" w:hAnsi="宋体" w:eastAsia="黑体" w:cs="仿宋_GB2312"/>
          <w:szCs w:val="32"/>
        </w:rPr>
        <w:t>条</w:t>
      </w:r>
      <w:r>
        <w:rPr>
          <w:rFonts w:hint="eastAsia" w:ascii="宋体" w:hAnsi="宋体" w:cs="仿宋_GB2312"/>
          <w:szCs w:val="32"/>
        </w:rPr>
        <w:t>　行政复议机关受理行政复议申请，不得向申请人收取任何费用。行政复议活动所需经费，应当列入本机关的行政经费，由本级财政予以保障。</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w:t>
      </w:r>
      <w:r>
        <w:rPr>
          <w:rFonts w:hint="eastAsia" w:ascii="宋体" w:hAnsi="宋体" w:eastAsia="黑体" w:cs="仿宋_GB2312"/>
          <w:szCs w:val="32"/>
        </w:rPr>
        <w:t>条</w:t>
      </w:r>
      <w:r>
        <w:rPr>
          <w:rFonts w:hint="eastAsia" w:ascii="宋体" w:hAnsi="宋体" w:cs="仿宋_GB2312"/>
          <w:szCs w:val="32"/>
        </w:rPr>
        <w:t>　行政复议期间的计算和行政复议文书的送达，依照民事诉讼法关于期间、送达的规定执行。</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本法关于行政复议期间有关“五日”、“七日”的规定是指工作日，不含节假日。</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第四十一</w:t>
      </w:r>
      <w:r>
        <w:rPr>
          <w:rFonts w:hint="eastAsia" w:ascii="宋体" w:hAnsi="宋体" w:eastAsia="黑体" w:cs="仿宋_GB2312"/>
          <w:szCs w:val="32"/>
        </w:rPr>
        <w:t>条</w:t>
      </w:r>
      <w:r>
        <w:rPr>
          <w:rFonts w:hint="eastAsia" w:ascii="宋体" w:hAnsi="宋体" w:cs="仿宋_GB2312"/>
          <w:szCs w:val="32"/>
        </w:rPr>
        <w:t>　外国人、无国籍人、外国组织在中华人民共和国境内申请行政复议，适用本法。</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第四十二</w:t>
      </w:r>
      <w:r>
        <w:rPr>
          <w:rFonts w:hint="eastAsia" w:ascii="宋体" w:hAnsi="宋体" w:eastAsia="黑体" w:cs="仿宋_GB2312"/>
          <w:szCs w:val="32"/>
        </w:rPr>
        <w:t>条</w:t>
      </w:r>
      <w:r>
        <w:rPr>
          <w:rFonts w:hint="eastAsia" w:ascii="宋体" w:hAnsi="宋体" w:cs="仿宋_GB2312"/>
          <w:szCs w:val="32"/>
        </w:rPr>
        <w:t>　本法施行前公布的法律有关行政复议的规定与本法的规定不一致的，以本法的规定为准。</w:t>
      </w:r>
    </w:p>
    <w:p>
      <w:pPr>
        <w:widowControl w:val="0"/>
        <w:wordWrap/>
        <w:overflowPunct w:val="0"/>
        <w:spacing w:beforeAutospacing="0" w:afterAutospacing="0" w:line="560" w:lineRule="exact"/>
        <w:textAlignment w:val="auto"/>
        <w:rPr>
          <w:rFonts w:ascii="宋体" w:hAnsi="宋体" w:cs="仿宋_GB2312"/>
          <w:szCs w:val="32"/>
        </w:rPr>
      </w:pPr>
      <w:r>
        <w:rPr>
          <w:rFonts w:hint="eastAsia" w:ascii="宋体" w:hAnsi="宋体" w:cs="仿宋_GB2312"/>
          <w:szCs w:val="32"/>
        </w:rPr>
        <w:t>　　</w:t>
      </w:r>
      <w:r>
        <w:rPr>
          <w:rFonts w:hint="eastAsia" w:ascii="宋体" w:hAnsi="宋体" w:eastAsia="黑体" w:cs="黑体"/>
          <w:szCs w:val="32"/>
        </w:rPr>
        <w:t>第四十三</w:t>
      </w:r>
      <w:r>
        <w:rPr>
          <w:rFonts w:hint="eastAsia" w:ascii="宋体" w:hAnsi="宋体" w:eastAsia="黑体" w:cs="仿宋_GB2312"/>
          <w:szCs w:val="32"/>
        </w:rPr>
        <w:t>条</w:t>
      </w:r>
      <w:r>
        <w:rPr>
          <w:rFonts w:hint="eastAsia" w:ascii="宋体" w:hAnsi="宋体" w:cs="仿宋_GB2312"/>
          <w:szCs w:val="32"/>
        </w:rPr>
        <w:t>　本法自1999年10月1日起施行。1990年12月24日国务院发布、1994年10月9日国务院修订发布的《行政复议条例》同时废止。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08" w:name="_Toc8906"/>
      <w:r>
        <w:rPr>
          <w:rFonts w:hint="eastAsia" w:ascii="宋体" w:hAnsi="宋体" w:eastAsia="宋体" w:cs="宋体"/>
          <w:sz w:val="44"/>
          <w:szCs w:val="44"/>
        </w:rPr>
        <w:t>中华人民共和国网络安全法</w:t>
      </w:r>
      <w:bookmarkEnd w:id="208"/>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ascii="宋体" w:hAnsi="宋体" w:eastAsia="楷体_GB2312" w:cs="楷体_GB2312"/>
          <w:kern w:val="0"/>
          <w:szCs w:val="32"/>
        </w:rPr>
      </w:pPr>
      <w:r>
        <w:rPr>
          <w:rFonts w:hint="eastAsia" w:ascii="宋体" w:hAnsi="宋体" w:eastAsia="楷体_GB2312" w:cs="楷体_GB2312"/>
          <w:kern w:val="0"/>
          <w:szCs w:val="32"/>
        </w:rPr>
        <w:t>（2016年11月7日第十二届全国人民代表大会常务委员会第二十四次会议通过）</w:t>
      </w:r>
    </w:p>
    <w:p>
      <w:pPr>
        <w:widowControl w:val="0"/>
        <w:wordWrap/>
        <w:overflowPunct w:val="0"/>
        <w:spacing w:beforeAutospacing="0" w:afterAutospacing="0" w:line="560" w:lineRule="exact"/>
        <w:ind w:right="640" w:rightChars="200"/>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楷体_GB2312" w:cs="楷体_GB2312"/>
          <w:b w:val="0"/>
          <w:bCs w:val="0"/>
          <w:kern w:val="0"/>
          <w:szCs w:val="32"/>
        </w:rPr>
      </w:pPr>
      <w:r>
        <w:rPr>
          <w:rFonts w:hint="eastAsia" w:ascii="宋体" w:hAnsi="宋体" w:eastAsia="楷体_GB2312" w:cs="楷体_GB2312"/>
          <w:b w:val="0"/>
          <w:bCs w:val="0"/>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网络安全支持与促进</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网络运行安全</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第二节　关键信息基础设施的运行安全</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网络信息安全</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监测预警与应急处置</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法律责任</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第七章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第一条</w:t>
      </w:r>
      <w:r>
        <w:rPr>
          <w:rFonts w:hint="eastAsia" w:ascii="宋体" w:hAnsi="宋体" w:cs="Arial"/>
          <w:kern w:val="0"/>
          <w:szCs w:val="32"/>
        </w:rPr>
        <w:t>　为了保障网络安全，维护网络空间主权和国家安全、社会公共利益，保护公民、法人和其他组织的合法权益，促进经济社会信息化健康发展，制定本法。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第二条</w:t>
      </w:r>
      <w:r>
        <w:rPr>
          <w:rFonts w:hint="eastAsia" w:ascii="宋体" w:hAnsi="宋体" w:cs="Arial"/>
          <w:kern w:val="0"/>
          <w:szCs w:val="32"/>
        </w:rPr>
        <w:t>　在中华人民共和国境内建设、运营、维护和使用网络，以及网络安全的监督管理，适用本法。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第三条</w:t>
      </w:r>
      <w:r>
        <w:rPr>
          <w:rFonts w:hint="eastAsia" w:ascii="宋体" w:hAnsi="宋体" w:cs="Arial"/>
          <w:kern w:val="0"/>
          <w:szCs w:val="32"/>
        </w:rPr>
        <w:t>　国家坚持网络安全与信息化发展并重，遵循积极利用、科学发展、依法管理、确保安全的方针，推进网络基础设施建设和互联互通，鼓励网络技术创新和应用，支持培养网络安全人才，建立健全网络安全保障体系，提高网络安全保护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第四条</w:t>
      </w:r>
      <w:r>
        <w:rPr>
          <w:rFonts w:hint="eastAsia" w:ascii="宋体" w:hAnsi="宋体" w:cs="Arial"/>
          <w:kern w:val="0"/>
          <w:szCs w:val="32"/>
        </w:rPr>
        <w:t>　国家制定并不断完善网络安全战略，明确保障网络安全的基本要求和主要目标，提出重点领域的网络安全政策、工作任务和措施。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第五条</w:t>
      </w:r>
      <w:r>
        <w:rPr>
          <w:rFonts w:hint="eastAsia" w:ascii="宋体" w:hAnsi="宋体" w:cs="Arial"/>
          <w:kern w:val="0"/>
          <w:szCs w:val="32"/>
        </w:rPr>
        <w:t>　国家采取措施，监测、防御、处置来源于中华人民共和国境内外的网络安全风险和威胁，保护关键信息基础设施免受攻击、侵入、干扰和破坏，依法惩治网络违法犯罪活动，维护网络空间安全和秩序。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第六条</w:t>
      </w:r>
      <w:r>
        <w:rPr>
          <w:rFonts w:hint="eastAsia" w:ascii="宋体" w:hAnsi="宋体" w:cs="Arial"/>
          <w:kern w:val="0"/>
          <w:szCs w:val="32"/>
        </w:rPr>
        <w:t>　国家倡导诚实守信、健康文明的网络行为，推动传播社会主义核心价值观，采取措施提高全社会的网络安全意识和水平，形成全社会共同参与促进网络安全的良好环境。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第七条</w:t>
      </w:r>
      <w:r>
        <w:rPr>
          <w:rFonts w:hint="eastAsia" w:ascii="宋体" w:hAnsi="宋体" w:cs="Arial"/>
          <w:kern w:val="0"/>
          <w:szCs w:val="32"/>
        </w:rPr>
        <w:t>　国家积极开展网络空间治理、网络技术研发和标准制定、打击网络违法犯罪等方面的国际交流与合作，推动构建和平、安全、开放、合作的网络空间，建立多边、民主、透明的网络治理体系。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第八条</w:t>
      </w:r>
      <w:r>
        <w:rPr>
          <w:rFonts w:hint="eastAsia" w:ascii="宋体" w:hAnsi="宋体" w:cs="Arial"/>
          <w:kern w:val="0"/>
          <w:szCs w:val="32"/>
        </w:rPr>
        <w:t>　国家网信部门负责统筹协调网络安全工作和相关监督管理工作。国务院电信主管部门、公安部门和其他有关机关依照本法和有关法律、行政法规的规定，在各自职责范围内负责网络安全保护和监督管理工作。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县级以上地方人民政府有关部门的网络安全保护和监督管理职责，按照国家有关规定确定。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第九条</w:t>
      </w:r>
      <w:r>
        <w:rPr>
          <w:rFonts w:hint="eastAsia" w:ascii="宋体" w:hAnsi="宋体" w:cs="Arial"/>
          <w:kern w:val="0"/>
          <w:szCs w:val="32"/>
        </w:rPr>
        <w:t>　网络运营者开展经营和服务活动，必须遵守法律、行政法规，尊重社会公德，遵守商业道德，诚实信用，履行网络安全保护义务，接受政府和社会的监督，承担社会责任。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第十条</w:t>
      </w:r>
      <w:r>
        <w:rPr>
          <w:rFonts w:hint="eastAsia" w:ascii="宋体" w:hAnsi="宋体" w:cs="Arial"/>
          <w:kern w:val="0"/>
          <w:szCs w:val="32"/>
        </w:rPr>
        <w:t>　建设、运营网络或者通过网络提供服务，应当依照法律、行政法规的规定和国家标准的强制性要求，采取技术措施和其他必要措施，保障网络安全、稳定运行，有效应对网络安全事件，防范网络违法犯罪活动，维护网络数据的完整性、保密性和可用性。</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第十一条</w:t>
      </w:r>
      <w:r>
        <w:rPr>
          <w:rFonts w:hint="eastAsia" w:ascii="宋体" w:hAnsi="宋体" w:cs="Arial"/>
          <w:kern w:val="0"/>
          <w:szCs w:val="32"/>
        </w:rPr>
        <w:t>　网络相关行业组织按照章程，加强行业自律，制定网络安全行为规范，指导会员加强网络安全保护，提高网络安全保护水平，促进行业健康发展。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第十二条</w:t>
      </w:r>
      <w:r>
        <w:rPr>
          <w:rFonts w:hint="eastAsia" w:ascii="宋体" w:hAnsi="宋体" w:cs="Arial"/>
          <w:kern w:val="0"/>
          <w:szCs w:val="32"/>
        </w:rPr>
        <w:t>　国家保护公民、法人和其他组织依法使用网络的权利，促进网络接入普及，提升网络服务水平，为社会提供安全、便利的网络服务，保障网络信息依法有序自由流动。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任何个人和组织使用网络应当遵守宪法法律，遵守公共秩序，尊重社会公德，不得危害网络安全，不得利用网络从事危害国家安全、荣誉和利益，煽动颠覆国家政权、推翻社会主义制度，煽动分裂国家、破坏国家统一，宣扬恐怖主义、极端主义，宣扬民族仇恨、民族歧视，传播暴力、淫秽色情信息，编造、传播虚假信息扰乱经济秩序和社会秩序，以及侵害他人名誉、隐私、知识产权和其他合法权益等活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第十三条</w:t>
      </w:r>
      <w:r>
        <w:rPr>
          <w:rFonts w:hint="eastAsia" w:ascii="宋体" w:hAnsi="宋体" w:cs="Arial"/>
          <w:kern w:val="0"/>
          <w:szCs w:val="32"/>
        </w:rPr>
        <w:t>　国家支持研究开发有利于未成年人健康成长的网络产品和服务，依法惩治利用网络从事危害未成年人身心健康的活动，为未成年人提供安全、健康的网络环境。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第十四条</w:t>
      </w:r>
      <w:r>
        <w:rPr>
          <w:rFonts w:hint="eastAsia" w:ascii="宋体" w:hAnsi="宋体" w:cs="Arial"/>
          <w:kern w:val="0"/>
          <w:szCs w:val="32"/>
        </w:rPr>
        <w:t>　任何个人和组织有权对危害网络安全的行为向网信、电信、公安等部门举报。收到举报的部门应当及时依法作出处理；不属于本部门职责的，应当及时移送有权处理的部门。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有关部门应当对举报人的相关信息予以保密，保护举报人的合法权益。</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第二章　网络安全支持与促进</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第十五条</w:t>
      </w:r>
      <w:r>
        <w:rPr>
          <w:rFonts w:hint="eastAsia" w:ascii="宋体" w:hAnsi="宋体" w:cs="Arial"/>
          <w:kern w:val="0"/>
          <w:szCs w:val="32"/>
        </w:rPr>
        <w:t>　国家建立和完善网络安全标准体系。国务院标准化行政主管部门和国务院其他有关部门根据各自的职责，组织制定并适时修订有关网络安全管理以及网络产品、服务和运行安全的国家标准、行业标准。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国家支持企业、研究机构、高等学校、网络相关行业组织参与网络安全国家标准、行业标准的制定。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第十六条</w:t>
      </w:r>
      <w:r>
        <w:rPr>
          <w:rFonts w:hint="eastAsia" w:ascii="宋体" w:hAnsi="宋体" w:cs="Arial"/>
          <w:kern w:val="0"/>
          <w:szCs w:val="32"/>
        </w:rPr>
        <w:t>　国务院和省、自治区、直辖市人民政府应当统筹规划，加大投入，扶持重点网络安全技术产业和项目，支持网络安全技术的研究开发和应用，推广安全可信的网络产品和服务，保护网络技术知识产权，支持企业、研究机构和高等学校等参与国家网络安全技术创新项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第十七条</w:t>
      </w:r>
      <w:r>
        <w:rPr>
          <w:rFonts w:hint="eastAsia" w:ascii="宋体" w:hAnsi="宋体" w:cs="Arial"/>
          <w:kern w:val="0"/>
          <w:szCs w:val="32"/>
        </w:rPr>
        <w:t>　国家推进网络安全社会化服务体系建设，鼓励有关企业、机构开展网络安全认证、检测和风险评估等安全服务。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第十八条</w:t>
      </w:r>
      <w:r>
        <w:rPr>
          <w:rFonts w:hint="eastAsia" w:ascii="宋体" w:hAnsi="宋体" w:cs="Arial"/>
          <w:kern w:val="0"/>
          <w:szCs w:val="32"/>
        </w:rPr>
        <w:t>　国家鼓励开发网络数据安全保护和利用技术，促进公共数据资源开放，推动技术创新和经济社会发展。</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国家支持创新网络安全管理方式，运用网络新技术，提升网络安全保护水平。</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第十九条</w:t>
      </w:r>
      <w:r>
        <w:rPr>
          <w:rFonts w:hint="eastAsia" w:ascii="宋体" w:hAnsi="宋体" w:cs="Arial"/>
          <w:kern w:val="0"/>
          <w:szCs w:val="32"/>
        </w:rPr>
        <w:t>　各级人民政府及其有关部门应当组织开展经常性的网络安全宣传教育，并指导、督促有关单位做好网络安全宣传教育工作。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大众传播媒介应当有针对性地面向社会进行网络安全宣传教育。</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第二十条</w:t>
      </w:r>
      <w:r>
        <w:rPr>
          <w:rFonts w:hint="eastAsia" w:ascii="宋体" w:hAnsi="宋体" w:cs="Arial"/>
          <w:kern w:val="0"/>
          <w:szCs w:val="32"/>
        </w:rPr>
        <w:t>　国家支持企业和高等学校、职业学校等教育培训机构开展网络安全相关教育与培训，采取多种方式培养网络安全人才，促进网络安全人才交流。</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第三章　网络运行安全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第一节　一般规定</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第二十一条</w:t>
      </w:r>
      <w:r>
        <w:rPr>
          <w:rFonts w:hint="eastAsia" w:ascii="宋体" w:hAnsi="宋体" w:cs="Arial"/>
          <w:kern w:val="0"/>
          <w:szCs w:val="32"/>
        </w:rPr>
        <w:t>　国家实行网络安全等级保护制度。网络运营者应当按照网络安全等级保护制度的要求，履行下列安全保护义务，保障网络免受干扰、破坏或者未经授权的访问，防止网络数据泄露或者被窃取、篡改:</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（一）制定内部安全管理制度和操作规程，确定网络安全负责人，落实网络安全保护责任；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（二）采取防范计算机病毒和网络攻击、网络侵入等危害网络安全行为的技术措施；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（三）采取监测、记录网络运行状态、网络安全事件的技术措施，并按照规定留存相关的网络日志不少于六个月；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（四）采取数据分类、重要数据备份和加密等措施；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（五）法律、行政法规规定的其他义务。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第二十二条</w:t>
      </w:r>
      <w:r>
        <w:rPr>
          <w:rFonts w:hint="eastAsia" w:ascii="宋体" w:hAnsi="宋体" w:cs="Arial"/>
          <w:kern w:val="0"/>
          <w:szCs w:val="32"/>
        </w:rPr>
        <w:t>　网络产品、服务应当符合相关国家标准的强制性要求。网络产品、服务的提供者不得设置恶意程序；发现其网络产品、服务存在安全缺陷、漏洞等风险时，应当立即采取补救措施，按照规定及时告知用户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网络产品、服务的提供者应当为其产品、服务持续提供安全维护；在规定或者当事人约定的期限内，不得终止提供安全维护。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网络产品、服务具有收集用户信息功能的，其提供者应当向用户明示并取得同意；涉及用户个人信息的，还应当遵守本法和有关法律、行政法规关于个人信息保护的规定。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第二十三条</w:t>
      </w:r>
      <w:r>
        <w:rPr>
          <w:rFonts w:hint="eastAsia" w:ascii="宋体" w:hAnsi="宋体" w:cs="Arial"/>
          <w:kern w:val="0"/>
          <w:szCs w:val="32"/>
        </w:rPr>
        <w:t>　网络关键设备和网络安全专用产品应当按照相关国家标准的强制性要求，由具备资格的机构安全认证合格或者安全检测符合要求后，方可销售或者提供。国家网信部门会同国务院有关部门制定、公布网络关键设备和网络安全专用产品目录，并推动安全认证和安全检测结果互认，避免重复认证、检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第二十四条</w:t>
      </w:r>
      <w:r>
        <w:rPr>
          <w:rFonts w:hint="eastAsia" w:ascii="宋体" w:hAnsi="宋体" w:cs="Arial"/>
          <w:kern w:val="0"/>
          <w:szCs w:val="32"/>
        </w:rPr>
        <w:t>　网络运营者为用户办理网络接入、域名注册服务，办理固定电话、移动电话等入网手续，或者为用户提供信息发布、即时通讯等服务，在与用户签订协议或者确认提供服务时，应当要求用户提供真实身份信息。用户不提供真实身份信息的，网络运营者不得为其提供相关服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国家实施网络可信身份战略，支持研究开发安全、方便的电子身份认证技术，推动不同电子身份认证之间的互认。</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第二十五条</w:t>
      </w:r>
      <w:r>
        <w:rPr>
          <w:rFonts w:hint="eastAsia" w:ascii="宋体" w:hAnsi="宋体" w:cs="Arial"/>
          <w:kern w:val="0"/>
          <w:szCs w:val="32"/>
        </w:rPr>
        <w:t>　网络运营者应当制定网络安全事件应急预案，及时处置系统漏洞、计算机病毒、网络攻击、网络侵入等安全风险；在发生危害网络安全的事件时，立即启动应急预案，采取相应的补救措施，并按照规定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第二十六条</w:t>
      </w:r>
      <w:r>
        <w:rPr>
          <w:rFonts w:hint="eastAsia" w:ascii="宋体" w:hAnsi="宋体" w:cs="Arial"/>
          <w:kern w:val="0"/>
          <w:szCs w:val="32"/>
        </w:rPr>
        <w:t>　开展网络安全认证、检测、风险评估等活动，向社会发布系统漏洞、计算机病毒、网络攻击、网络侵入等网络安全信息，应当遵守国家有关规定。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第二十七条</w:t>
      </w:r>
      <w:r>
        <w:rPr>
          <w:rFonts w:hint="eastAsia" w:ascii="宋体" w:hAnsi="宋体" w:cs="Arial"/>
          <w:kern w:val="0"/>
          <w:szCs w:val="32"/>
        </w:rPr>
        <w:t>　任何个人和组织不得从事非法侵入他人网络、干扰他人网络正常功能、窃取网络数据等危害网络安全的活动；不得提供专门用于从事侵入网络、干扰网络正常功能及防护措施、窃取网络数据等危害网络安全活动的程序、工具；明知他人从事危害网络安全的活动的，不得为其提供技术支持、广告推广、支付结算等帮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第二十八条</w:t>
      </w:r>
      <w:r>
        <w:rPr>
          <w:rFonts w:hint="eastAsia" w:ascii="宋体" w:hAnsi="宋体" w:cs="Arial"/>
          <w:kern w:val="0"/>
          <w:szCs w:val="32"/>
        </w:rPr>
        <w:t>　网络运营者应当为公安机关、国家安全机关依法维护国家安全和侦查犯罪的活动提供技术支持和协助。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第二十九条</w:t>
      </w:r>
      <w:r>
        <w:rPr>
          <w:rFonts w:hint="eastAsia" w:ascii="宋体" w:hAnsi="宋体" w:cs="Arial"/>
          <w:kern w:val="0"/>
          <w:szCs w:val="32"/>
        </w:rPr>
        <w:t>　国家支持网络运营者之间在网络安全信息收集、分析、通报和应急处置等方面进行合作，提高网络运营者的安全保障能力。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有关行业组织建立健全本行业的网络安全保护规范和协作机制，加强对网络安全风险的分析评估，定期向会员进行风险警示，支持、协助会员应对网络安全风险。</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第三十条</w:t>
      </w:r>
      <w:r>
        <w:rPr>
          <w:rFonts w:hint="eastAsia" w:ascii="宋体" w:hAnsi="宋体" w:cs="Arial"/>
          <w:kern w:val="0"/>
          <w:szCs w:val="32"/>
        </w:rPr>
        <w:t>　网信部门和有关部门在履行网络安全保护职责中获取的信息，只能用于维护网络安全的需要，不得用于其他用途。</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szCs w:val="32"/>
        </w:rPr>
      </w:pPr>
      <w:r>
        <w:rPr>
          <w:rFonts w:hint="eastAsia" w:ascii="宋体" w:hAnsi="宋体" w:eastAsia="黑体" w:cs="黑体"/>
          <w:szCs w:val="32"/>
        </w:rPr>
        <w:t>第二节　关键信息基础设施的运行安全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第三十一条</w:t>
      </w:r>
      <w:r>
        <w:rPr>
          <w:rFonts w:hint="eastAsia" w:ascii="宋体" w:hAnsi="宋体" w:cs="Arial"/>
          <w:kern w:val="0"/>
          <w:szCs w:val="32"/>
        </w:rPr>
        <w:t>　国家对公共通信和信息服务、能源、交通、水利、金融、公共服务、电子政务等重要行业和领域，以及其他一旦遭到破坏、丧失功能或者数据泄露，可能严重危害国家安全、国计民生、公共利益的关键信息基础设施，在网络安全等级保护制度的基础上，实行重点保护。关键信息基础设施的具体范围和安全保护办法由国务院制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国家鼓励关键信息基础设施以外的网络运营者自愿参与关键信息基础设施保护体系。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第三十二条</w:t>
      </w:r>
      <w:r>
        <w:rPr>
          <w:rFonts w:hint="eastAsia" w:ascii="宋体" w:hAnsi="宋体" w:cs="Arial"/>
          <w:kern w:val="0"/>
          <w:szCs w:val="32"/>
        </w:rPr>
        <w:t>　按照国务院规定的职责分工，负责关键信息基础设施安全保护工作的部门分别编制并组织实施本行业、本领域的关键信息基础设施安全规划，指导和监督关键信息基础设施运行安全保护工作。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第三十三条</w:t>
      </w:r>
      <w:r>
        <w:rPr>
          <w:rFonts w:hint="eastAsia" w:ascii="宋体" w:hAnsi="宋体" w:cs="Arial"/>
          <w:kern w:val="0"/>
          <w:szCs w:val="32"/>
        </w:rPr>
        <w:t>　建设关键信息基础设施应当确保其具有支持业务稳定、持续运行的性能，并保证安全技术措施同步规划、同步建设、同步使用。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第三十四条</w:t>
      </w:r>
      <w:r>
        <w:rPr>
          <w:rFonts w:hint="eastAsia" w:ascii="宋体" w:hAnsi="宋体" w:cs="Arial"/>
          <w:kern w:val="0"/>
          <w:szCs w:val="32"/>
        </w:rPr>
        <w:t>　除本法第二十一条的规定外，关键信息基础设施的运营者还应当履行下列安全保护义务: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（一）设置专门安全管理机构和安全管理负责人，并对该负责人和关键岗位的人员进行安全背景审查；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（二）定期对从业人员进行网络安全教育、技术培训和技能考核；</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（三）对重要系统和数据库进行容灾备份；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（四）制定网络安全事件应急预案，并定期进行演练；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（五）法律、行政法规规定的其他义务。</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第三十五条</w:t>
      </w:r>
      <w:r>
        <w:rPr>
          <w:rFonts w:hint="eastAsia" w:ascii="宋体" w:hAnsi="宋体" w:cs="Arial"/>
          <w:kern w:val="0"/>
          <w:szCs w:val="32"/>
        </w:rPr>
        <w:t>　关键信息基础设施的运营者采购网络产品和服务，可能影响国家安全的，应当通过国家网信部门会同国务院有关部门组织的国家安全审查。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第三十六条</w:t>
      </w:r>
      <w:r>
        <w:rPr>
          <w:rFonts w:hint="eastAsia" w:ascii="宋体" w:hAnsi="宋体" w:cs="Arial"/>
          <w:kern w:val="0"/>
          <w:szCs w:val="32"/>
        </w:rPr>
        <w:t>　关键信息基础设施的运营者采购网络产品和服务，应当按照规定与提供者签订安全保密协议，明确安全和保密义务与责任。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第三十七条</w:t>
      </w:r>
      <w:r>
        <w:rPr>
          <w:rFonts w:hint="eastAsia" w:ascii="宋体" w:hAnsi="宋体" w:cs="Arial"/>
          <w:kern w:val="0"/>
          <w:szCs w:val="32"/>
        </w:rPr>
        <w:t>　关键信息基础设施的运营者在中华人民共和国境内运营中收集和产生的个人信息和重要数据应当在境内存储。因业务需要，确需向境外提供的，应当按照国家网信部门会同国务院有关部门制定的办法进行安全评估；法律、行政法规另有规定的，依照其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第三十八条</w:t>
      </w:r>
      <w:r>
        <w:rPr>
          <w:rFonts w:hint="eastAsia" w:ascii="宋体" w:hAnsi="宋体" w:cs="Arial"/>
          <w:kern w:val="0"/>
          <w:szCs w:val="32"/>
        </w:rPr>
        <w:t>　关键信息基础设施的运营者应当自行或者委托网络安全服务机构对其网络的安全性和可能存在的风险每年至少进行一次检测评估，并将检测评估情况和改进措施报送相关负责关键信息基础设施安全保护工作的部门。</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第三十九条</w:t>
      </w:r>
      <w:r>
        <w:rPr>
          <w:rFonts w:hint="eastAsia" w:ascii="宋体" w:hAnsi="宋体" w:cs="Arial"/>
          <w:kern w:val="0"/>
          <w:szCs w:val="32"/>
        </w:rPr>
        <w:t>　国家网信部门应当统筹协调有关部门对关键信息基础设施的安全保护采取下列措施: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（一）对关键信息基础设施的安全风险进行抽查检测，提出改进措施，必要时可以委托网络安全服务机构对网络存在的安全风险进行检测评估；</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（二）定期组织关键信息基础设施的运营者进行网络安全应急演练，提高应对网络安全事件的水平和协同配合能力；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（三）促进有关部门、关键信息基础设施的运营者以及有关研究机构、网络安全服务机构等之间的网络安全信息共享；</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（四）对网络安全事件的应急处置与网络功能的恢复等，提供技术支持和协助。</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第四章　网络信息安全</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第四十条</w:t>
      </w:r>
      <w:r>
        <w:rPr>
          <w:rFonts w:hint="eastAsia" w:ascii="宋体" w:hAnsi="宋体" w:cs="Arial"/>
          <w:kern w:val="0"/>
          <w:szCs w:val="32"/>
        </w:rPr>
        <w:t>　网络运营者应当对其收集的用户信息严格保密，并建立健全用户信息保护制度。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第四十一条</w:t>
      </w:r>
      <w:r>
        <w:rPr>
          <w:rFonts w:hint="eastAsia" w:ascii="宋体" w:hAnsi="宋体" w:cs="Arial"/>
          <w:kern w:val="0"/>
          <w:szCs w:val="32"/>
        </w:rPr>
        <w:t>　网络运营者收集、使用个人信息，应当遵循合法、正当、必要的原则，公开收集、使用规则，明示收集、使用信息的目的、方式和范围，并经被收集者同意。</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网络运营者不得收集与其提供的服务无关的个人信息，不得违反法律、行政法规的规定和双方的约定收集、使用个人信息，并应当依照法律、行政法规的规定和与用户的约定，处理其保存的个人信息。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第四十二条</w:t>
      </w:r>
      <w:r>
        <w:rPr>
          <w:rFonts w:hint="eastAsia" w:ascii="宋体" w:hAnsi="宋体" w:cs="Arial"/>
          <w:kern w:val="0"/>
          <w:szCs w:val="32"/>
        </w:rPr>
        <w:t>　网络运营者不得泄露、篡改、毁损其收集的个人信息；未经被收集者同意，不得向他人提供个人信息。但是，经过处理无法识别特定个人且不能复原的除外。</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运营者应当采取技术措施和其他必要措施，确保其收集的个人信息安全，防止信息泄露、毁损、丢失。在发生或者可能发生个人信息泄露、毁损、丢失的情况时，应当立即采取补救措施，按照规定及时告知用户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第四十三条</w:t>
      </w:r>
      <w:r>
        <w:rPr>
          <w:rFonts w:hint="eastAsia" w:ascii="宋体" w:hAnsi="宋体" w:cs="Arial"/>
          <w:kern w:val="0"/>
          <w:szCs w:val="32"/>
        </w:rPr>
        <w:t>　个人发现网络运营者违反法律、行政法规的规定或者双方的约定收集、使用其个人信息的，有权要求网络运营者删除其个人信息；发现网络运营者收集、存储的其个人信息有错误的，有权要求网络运营者予以更正。网络运营者应当采取措施予以删除或者更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第四十四条</w:t>
      </w:r>
      <w:r>
        <w:rPr>
          <w:rFonts w:hint="eastAsia" w:ascii="宋体" w:hAnsi="宋体" w:cs="Arial"/>
          <w:kern w:val="0"/>
          <w:szCs w:val="32"/>
        </w:rPr>
        <w:t>　任何个人和组织不得窃取或者以其他非法方式获取个人信息，不得非法出售或者非法向他人提供个人信息。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第四十五条</w:t>
      </w:r>
      <w:r>
        <w:rPr>
          <w:rFonts w:hint="eastAsia" w:ascii="宋体" w:hAnsi="宋体" w:cs="Arial"/>
          <w:kern w:val="0"/>
          <w:szCs w:val="32"/>
        </w:rPr>
        <w:t>　依法负有网络安全监督管理职责的部门及其工作人员，必须对在履行职责中知悉的个人信息、隐私和商业秘密严格保密，不得泄露、出售或者非法向他人提供。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第四十六条</w:t>
      </w:r>
      <w:r>
        <w:rPr>
          <w:rFonts w:hint="eastAsia" w:ascii="宋体" w:hAnsi="宋体" w:cs="Arial"/>
          <w:kern w:val="0"/>
          <w:szCs w:val="32"/>
        </w:rPr>
        <w:t>　任何个人和组织应当对其使用网络的行为负责，不得设立用于实施诈骗，传授犯罪方法，制作或者销售违禁物品、管制物品等违法犯罪活动的网站、通讯群组，不得利用网络发布涉及实施诈骗，制作或者销售违禁物品、管制物品以及其他违法犯罪活动的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第四十七条</w:t>
      </w:r>
      <w:r>
        <w:rPr>
          <w:rFonts w:hint="eastAsia" w:ascii="宋体" w:hAnsi="宋体" w:cs="Arial"/>
          <w:kern w:val="0"/>
          <w:szCs w:val="32"/>
        </w:rPr>
        <w:t>　网络运营者应当加强对其用户发布的信息的管理，发现法律、行政法规禁止发布或者传输的信息的，应当立即停止传输该信息，采取消除等处置措施，防止信息扩散，保存有关记录，并向有关主管部门报告。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第四十八条</w:t>
      </w:r>
      <w:r>
        <w:rPr>
          <w:rFonts w:hint="eastAsia" w:ascii="宋体" w:hAnsi="宋体" w:cs="Arial"/>
          <w:kern w:val="0"/>
          <w:szCs w:val="32"/>
        </w:rPr>
        <w:t>　任何个人和组织发送的电子信息、提供的应用软件，不得设置恶意程序，不得含有法律、行政法规禁止发布或者传输的信息。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电子信息发送服务提供者和应用软件下载服务提供者，应当履行安全管理义务，知道其用户有前款规定行为的，应当停止提供服务，采取消除等处置措施，保存有关记录，并向有关主管部门报告。</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第四十九条</w:t>
      </w:r>
      <w:r>
        <w:rPr>
          <w:rFonts w:hint="eastAsia" w:ascii="宋体" w:hAnsi="宋体" w:cs="Arial"/>
          <w:kern w:val="0"/>
          <w:szCs w:val="32"/>
        </w:rPr>
        <w:t>　网络运营者应当建立网络信息安全投诉、举报制度，公布投诉、举报方式等信息，及时受理并处理有关网络信息安全的投诉和举报。</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网络运营者对网信部门和有关部门依法实施的监督检查，应当予以配合。</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第五十条</w:t>
      </w:r>
      <w:r>
        <w:rPr>
          <w:rFonts w:hint="eastAsia" w:ascii="宋体" w:hAnsi="宋体" w:cs="Arial"/>
          <w:kern w:val="0"/>
          <w:szCs w:val="32"/>
        </w:rPr>
        <w:t>　国家网信部门和有关部门依法履行网络信息安全监督管理职责，发现法律、行政法规禁止发布或者传输的信息的，应当要求网络运营者停止传输，采取消除等处置措施，保存有关记录；对来源于中华人民共和国境外的上述信息，应当通知有关机构采取技术措施和其他必要措施阻断传播。</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第五章　监测预警与应急处置</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第五十一条</w:t>
      </w:r>
      <w:r>
        <w:rPr>
          <w:rFonts w:hint="eastAsia" w:ascii="宋体" w:hAnsi="宋体" w:cs="Arial"/>
          <w:kern w:val="0"/>
          <w:szCs w:val="32"/>
        </w:rPr>
        <w:t>　国家建立网络安全监测预警和信息通报制度。国家网信部门应当统筹协调有关部门加强网络安全信息收集、分析和通报工作，按照规定统一发布网络安全监测预警信息。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第五十二条</w:t>
      </w:r>
      <w:r>
        <w:rPr>
          <w:rFonts w:hint="eastAsia" w:ascii="宋体" w:hAnsi="宋体" w:cs="Arial"/>
          <w:kern w:val="0"/>
          <w:szCs w:val="32"/>
        </w:rPr>
        <w:t>　负责关键信息基础设施安全保护工作的部门，应当建立健全本行业、本领域的网络安全监测预警和信息通报制度，并按照规定报送网络安全监测预警信息。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第五十三条</w:t>
      </w:r>
      <w:r>
        <w:rPr>
          <w:rFonts w:hint="eastAsia" w:ascii="宋体" w:hAnsi="宋体" w:cs="Arial"/>
          <w:kern w:val="0"/>
          <w:szCs w:val="32"/>
        </w:rPr>
        <w:t>　国家网信部门协调有关部门建立健全网络安全风险评估和应急工作机制，制定网络安全事件应急预案，并定期组织演练。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负责关键信息基础设施安全保护工作的部门应当制定本行业、本领域的网络安全事件应急预案，并定期组织演练。</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网络安全事件应急预案应当按照事件发生后的危害程度、影响范围等因素对网络安全事件进行分级，并规定相应的应急处置措施。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第五十四条</w:t>
      </w:r>
      <w:r>
        <w:rPr>
          <w:rFonts w:hint="eastAsia" w:ascii="宋体" w:hAnsi="宋体" w:cs="Arial"/>
          <w:kern w:val="0"/>
          <w:szCs w:val="32"/>
        </w:rPr>
        <w:t>　网络安全事件发生的风险增大时，省级以上人民政府有关部门应当按照规定的权限和程序，并根据网络安全风险的特点和可能造成的危害，采取下列措施: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（一）要求有关部门、机构和人员及时收集、报告有关信息，加强对网络安全风险的监测；</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（二）组织有关部门、机构和专业人员，对网络安全风险信息进行分析评估，预测事件发生的可能性、影响范围和危害程度；</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（三）向社会发布网络安全风险预警，发布避免、减轻危害的措施。</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第五十五条</w:t>
      </w:r>
      <w:r>
        <w:rPr>
          <w:rFonts w:hint="eastAsia" w:ascii="宋体" w:hAnsi="宋体" w:cs="Arial"/>
          <w:kern w:val="0"/>
          <w:szCs w:val="32"/>
        </w:rPr>
        <w:t>　发生网络安全事件，应当立即启动网络安全事件应急预案，对网络安全事件进行调查和评估，要求网络运营者采取技术措施和其他必要措施，消除安全隐患，防止危害扩大，并及时向社会发布与公众有关的警示信息。</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第五十六条</w:t>
      </w:r>
      <w:r>
        <w:rPr>
          <w:rFonts w:hint="eastAsia" w:ascii="宋体" w:hAnsi="宋体" w:cs="Arial"/>
          <w:kern w:val="0"/>
          <w:szCs w:val="32"/>
        </w:rPr>
        <w:t>　省级以上人民政府有关部门在履行网络安全监督管理职责中，发现网络存在较大安全风险或者发生安全事件的，可以按照规定的权限和程序对该网络的运营者的法定代表人或者主要负责人进行约谈。网络运营者应当按照要求采取措施，进行整改，消除隐患。</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第五十七条</w:t>
      </w:r>
      <w:r>
        <w:rPr>
          <w:rFonts w:hint="eastAsia" w:ascii="宋体" w:hAnsi="宋体" w:cs="Arial"/>
          <w:kern w:val="0"/>
          <w:szCs w:val="32"/>
        </w:rPr>
        <w:t>　因网络安全事件，发生突发事件或者生产安全事故的，应当依照《中华人民共和国突发事件应对法》、《中华人民共和国安全生产法》等有关法律、行政法规的规定处置。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第五十八条</w:t>
      </w:r>
      <w:r>
        <w:rPr>
          <w:rFonts w:hint="eastAsia" w:ascii="宋体" w:hAnsi="宋体" w:cs="Arial"/>
          <w:kern w:val="0"/>
          <w:szCs w:val="32"/>
        </w:rPr>
        <w:t>　因维护国家安全和社会公共秩序，处置重大突发社会安全事件的需要，经国务院决定或者批准，可以在特定区域对网络通信采取限制等临时措施。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第六章　法律责任</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第五十九条</w:t>
      </w:r>
      <w:r>
        <w:rPr>
          <w:rFonts w:hint="eastAsia" w:ascii="宋体" w:hAnsi="宋体" w:cs="Arial"/>
          <w:kern w:val="0"/>
          <w:szCs w:val="32"/>
        </w:rPr>
        <w:t>　网络运营者不履行本法第二十一条、第二十五条规定的网络安全保护义务的，由有关主管部门责令改正，给予警告；拒不改正或者导致危害网络安全等后果的，处一万元以上十万元以下罚款，对直接负责的主管人员处五千元以上五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关键信息基础设施的运营者不履行本法第三十三条、第三十四条、第三十六条、第三十八条规定的网络安全保护义务的，由有关主管部门责令改正，给予警告；拒不改正或者导致危害网络安全等后果的，处十万元以上一百万元以下罚款，对直接负责的主管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第六十条</w:t>
      </w:r>
      <w:r>
        <w:rPr>
          <w:rFonts w:hint="eastAsia" w:ascii="宋体" w:hAnsi="宋体" w:cs="Arial"/>
          <w:kern w:val="0"/>
          <w:szCs w:val="32"/>
        </w:rPr>
        <w:t>　违反本法第二十二条第一款、第二款和第四十八条第一款规定，有下列行为之一的，由有关主管部门责令改正，给予警告；拒不改正或者导致危害网络安全等后果的，处五万元以上五十万元以下罚款，对直接负责的主管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（一）设置恶意程序的；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（二）对其产品、服务存在的安全缺陷、漏洞等风险未立即采取补救措施，或者未按照规定及时告知用户并向有关主管部门报告的；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（三）擅自终止为其产品、服务提供安全维护的。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第六十一条</w:t>
      </w:r>
      <w:r>
        <w:rPr>
          <w:rFonts w:hint="eastAsia" w:ascii="宋体" w:hAnsi="宋体" w:cs="Arial"/>
          <w:kern w:val="0"/>
          <w:szCs w:val="32"/>
        </w:rPr>
        <w:t>　网络运营者违反本法第二十四条第一款规定，未要求用户提供真实身份信息，或者对不提供真实身份信息的用户提供相关服务的，由有关主管部门责令改正；拒不改正或者情节严重的，处五万元以上五十万元以下罚款，并可以由有关主管部门责令暂停相关业务、停业整顿、关闭网站、吊销相关业务许可证或者吊销营业执照，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第六十二条</w:t>
      </w:r>
      <w:r>
        <w:rPr>
          <w:rFonts w:hint="eastAsia" w:ascii="宋体" w:hAnsi="宋体" w:cs="Arial"/>
          <w:kern w:val="0"/>
          <w:szCs w:val="32"/>
        </w:rPr>
        <w:t>　违反本法第二十六条规定，开展网络安全认证、检测、风险评估等活动，或者向社会发布系统漏洞、计算机病毒、网络攻击、网络侵入等网络安全信息的，由有关主管部门责令改正，给予警告；拒不改正或者情节严重的，处一万元以上十万元以下罚款，并可以由有关主管部门责令暂停相关业务、停业整顿、关闭网站、吊销相关业务许可证或者吊销营业执照，对直接负责的主管人员和其他直接责任人员处五千元以上五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第六十三条</w:t>
      </w:r>
      <w:r>
        <w:rPr>
          <w:rFonts w:hint="eastAsia" w:ascii="宋体" w:hAnsi="宋体" w:cs="Arial"/>
          <w:kern w:val="0"/>
          <w:szCs w:val="32"/>
        </w:rPr>
        <w:t>　违反本法第二十七条规定，从事危害网络安全的活动，或者提供专门用于从事危害网络安全活动的程序、工具，或者为他人从事危害网络安全的活动提供技术支持、广告推广、支付结算等帮助，尚不构成犯罪的，由公安机关没收违法所得，处五日以下拘留，可以并处五万元以上五十万元以下罚款；情节较重的，处五日以上十五日以下拘留，可以并处十万元以上一百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单位有前款行为的，由公安机关没收违法所得，处十万元以上一百万元以下罚款，并对直接负责的主管人员和其他直接责任人员依照前款规定处罚。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违反本法第二十七条规定，受到治安管理处罚的人员，五年内不得从事网络安全管理和网络运营关键岗位的工作；受到刑事处罚的人员，终身不得从事网络安全管理和网络运营关键岗位的工作。</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第六十四条</w:t>
      </w:r>
      <w:r>
        <w:rPr>
          <w:rFonts w:hint="eastAsia" w:ascii="宋体" w:hAnsi="宋体" w:cs="Arial"/>
          <w:kern w:val="0"/>
          <w:szCs w:val="32"/>
        </w:rPr>
        <w:t>　网络运营者、网络产品或者服务的提供者违反本法第二十二条第三款、第四十一条至第四十三条规定，侵害个人信息依法得到保护的权利的，由有关主管部门责令改正，可以根据情节单处或者并处警告、没收违法所得、处违法所得一倍以上十倍以下罚款，没有违法所得的，处一百万元以下罚款，对直接负责的主管人员和其他直接责任人员处一万元以上十万元以下罚款；情节严重的，并可以责令暂停相关业务、停业整顿、关闭网站、吊销相关业务许可证或者吊销营业执照。</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第四十四条规定，窃取或者以其他非法方式获取、非法出售或者非法向他人提供个人信息，尚不构成犯罪的，由公安机关没收违法所得，并处违法所得一倍以上十倍以下罚款，没有违法所得的，处一百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第六十五条</w:t>
      </w:r>
      <w:r>
        <w:rPr>
          <w:rFonts w:hint="eastAsia" w:ascii="宋体" w:hAnsi="宋体" w:cs="Arial"/>
          <w:kern w:val="0"/>
          <w:szCs w:val="32"/>
        </w:rPr>
        <w:t>　关键信息基础设施的运营者违反本法第三十五条规定，使用未经安全审查或者安全审查未通过的网络产品或者服务的，由有关主管部门责令停止使用，处采购金额一倍以上十倍以下罚款；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第六十六条</w:t>
      </w:r>
      <w:r>
        <w:rPr>
          <w:rFonts w:hint="eastAsia" w:ascii="宋体" w:hAnsi="宋体" w:cs="Arial"/>
          <w:kern w:val="0"/>
          <w:szCs w:val="32"/>
        </w:rPr>
        <w:t>　关键信息基础设施的运营者违反本法第三十七条规定，在境外存储网络数据，或者向境外提供网络数据的，由有关主管部门责令改正，给予警告，没收违法所得，处五万元以上五十万元以下罚款，并可以责令暂停相关业务、停业整顿、关闭网站、吊销相关业务许可证或者吊销营业执照；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第六十七条</w:t>
      </w:r>
      <w:r>
        <w:rPr>
          <w:rFonts w:hint="eastAsia" w:ascii="宋体" w:hAnsi="宋体" w:cs="Arial"/>
          <w:kern w:val="0"/>
          <w:szCs w:val="32"/>
        </w:rPr>
        <w:t>　违反本法第四十六条规定，设立用于实施违法犯罪活动的网站、通讯群组，或者利用网络发布涉及实施违法犯罪活动的信息，尚不构成犯罪的，由公安机关处五日以下拘留，可以并处一万元以上十万元以下罚款；情节较重的，处五日以上十五日以下拘留，可以并处五万元以上五十万元以下罚款。关闭用于实施违法犯罪活动的网站、通讯群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单位有前款行为的，由公安机关处十万元以上五十万元以下罚款，并对直接负责的主管人员和其他直接责任人员依照前款规定处罚。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第六十八条</w:t>
      </w:r>
      <w:r>
        <w:rPr>
          <w:rFonts w:hint="eastAsia" w:ascii="宋体" w:hAnsi="宋体" w:cs="Arial"/>
          <w:kern w:val="0"/>
          <w:szCs w:val="32"/>
        </w:rPr>
        <w:t>　网络运营者违反本法第四十七条规定，对法律、行政法规禁止发布或者传输的信息未停止传输、采取消除等处置措施、保存有关记录的，由有关主管部门责令改正，给予警告，没收违法所得；拒不改正或者情节严重的，处十万元以上五十万元以下罚款，并可以责令暂停相关业务、停业整顿、关闭网站、吊销相关业务许可证或者吊销营业执照，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电子信息发送服务提供者、应用软件下载服务提供者，不履行本法第四十八条第二款规定的安全管理义务的，依照前款规定处罚。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第六十九条</w:t>
      </w:r>
      <w:r>
        <w:rPr>
          <w:rFonts w:hint="eastAsia" w:ascii="宋体" w:hAnsi="宋体" w:cs="Arial"/>
          <w:kern w:val="0"/>
          <w:szCs w:val="32"/>
        </w:rPr>
        <w:t>　网络运营者违反本法规定，有下列行为之一的，由有关主管部门责令改正；拒不改正或者情节严重的，处五万元以上五十万元以下罚款，对直接负责的主管人员和其他直接责任人员，处一万元以上十万元以下罚款:</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（一）不按照有关部门的要求对法律、行政法规禁止发布或者传输的信息，采取停止传输、消除等处置措施的；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（二）拒绝、阻碍有关部门依法实施的监督检查的；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（三）拒不向公安机关、国家安全机关提供技术支持和协助的。</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第七十条</w:t>
      </w:r>
      <w:r>
        <w:rPr>
          <w:rFonts w:hint="eastAsia" w:ascii="宋体" w:hAnsi="宋体" w:cs="Arial"/>
          <w:kern w:val="0"/>
          <w:szCs w:val="32"/>
        </w:rPr>
        <w:t>　发布或者传输本法第十二条第二款和其他法律、行政法规禁止发布或者传输的信息的，依照有关法律、行政法规的规定处罚。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第七十一条</w:t>
      </w:r>
      <w:r>
        <w:rPr>
          <w:rFonts w:hint="eastAsia" w:ascii="宋体" w:hAnsi="宋体" w:cs="Arial"/>
          <w:kern w:val="0"/>
          <w:szCs w:val="32"/>
        </w:rPr>
        <w:t>　有本法规定的违法行为的，依照有关法律、行政法规的规定记入信用档案，并予以公示。</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第七十二条</w:t>
      </w:r>
      <w:r>
        <w:rPr>
          <w:rFonts w:hint="eastAsia" w:ascii="宋体" w:hAnsi="宋体" w:cs="Arial"/>
          <w:kern w:val="0"/>
          <w:szCs w:val="32"/>
        </w:rPr>
        <w:t>　国家机关政务网络的运营者不履行本法规定的网络安全保护义务的，由其上级机关或者有关机关责令改正；对直接负责的主管人员和其他直接责任人员依法给予处分。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第七十三条</w:t>
      </w:r>
      <w:r>
        <w:rPr>
          <w:rFonts w:hint="eastAsia" w:ascii="宋体" w:hAnsi="宋体" w:cs="Arial"/>
          <w:kern w:val="0"/>
          <w:szCs w:val="32"/>
        </w:rPr>
        <w:t>　网信部门和有关部门违反本法第三十条规定，将在履行网络安全保护职责中获取的信息用于其他用途的，对直接负责的主管人员和其他直接责任人员依法给予处分。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网信部门和有关部门的工作人员玩忽职守、滥用职权、徇私舞弊，尚不构成犯罪的，依法给予处分。</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第七十四条</w:t>
      </w:r>
      <w:r>
        <w:rPr>
          <w:rFonts w:hint="eastAsia" w:ascii="宋体" w:hAnsi="宋体" w:cs="Arial"/>
          <w:kern w:val="0"/>
          <w:szCs w:val="32"/>
        </w:rPr>
        <w:t>　违反本法规定，给他人造成损害的，依法承担民事责任。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违反本法规定，构成违反治安管理行为的，依法给予治安管理处罚；构成犯罪的，依法追究刑事责任。</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第七十五条</w:t>
      </w:r>
      <w:r>
        <w:rPr>
          <w:rFonts w:hint="eastAsia" w:ascii="宋体" w:hAnsi="宋体" w:cs="Arial"/>
          <w:kern w:val="0"/>
          <w:szCs w:val="32"/>
        </w:rPr>
        <w:t>　境外的机构、组织、个人从事攻击、侵入、干扰、破坏等危害中华人民共和国的关键信息基础设施的活动，造成严重后果的，依法追究法律责任；国务院公安部门和有关部门并可以决定对该机构、组织、个人采取冻结财产或者其他必要的制裁措施。</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jc w:val="center"/>
        <w:textAlignment w:val="auto"/>
        <w:rPr>
          <w:rFonts w:ascii="宋体" w:hAnsi="宋体" w:eastAsia="黑体" w:cs="黑体"/>
          <w:kern w:val="0"/>
          <w:szCs w:val="32"/>
        </w:rPr>
      </w:pPr>
      <w:r>
        <w:rPr>
          <w:rFonts w:hint="eastAsia" w:ascii="宋体" w:hAnsi="宋体" w:eastAsia="黑体" w:cs="黑体"/>
          <w:kern w:val="0"/>
          <w:szCs w:val="32"/>
        </w:rPr>
        <w:t>第七章　附则</w:t>
      </w:r>
    </w:p>
    <w:p>
      <w:pPr>
        <w:widowControl w:val="0"/>
        <w:wordWrap/>
        <w:overflowPunct w:val="0"/>
        <w:spacing w:beforeAutospacing="0" w:afterAutospacing="0" w:line="560" w:lineRule="exact"/>
        <w:textAlignment w:val="auto"/>
        <w:rPr>
          <w:rFonts w:ascii="宋体" w:hAnsi="宋体" w:eastAsia="宋体" w:cs="宋体"/>
          <w:kern w:val="0"/>
          <w:szCs w:val="32"/>
        </w:rPr>
      </w:pP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第七十六条</w:t>
      </w:r>
      <w:r>
        <w:rPr>
          <w:rFonts w:hint="eastAsia" w:ascii="宋体" w:hAnsi="宋体" w:cs="Arial"/>
          <w:kern w:val="0"/>
          <w:szCs w:val="32"/>
        </w:rPr>
        <w:t>　本法下列用语的含义: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（一）网络，是指由计算机或者其他信息终端及相关设备组成的按照一定的规则和程序对信息进行收集、存储、传输、交换、处理的系统。</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（二）网络安全，是指通过采取必要措施，防范对网络的攻击、侵入、干扰、破坏和非法使用以及意外事故，使网络处于稳定可靠运行的状态，以及保障网络数据的完整性、保密性、可用性的能力。</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（三）网络运营者，是指网络的所有者、管理者和网络服务提供者。</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（四）网络数据，是指通过网络收集、存储、传输、处理和产生的各种电子数据。</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（五）个人信息，是指以电子或者其他方式记录的能够单独或者与其他信息结合识别自然人个人身份的各种信息，包括但不限于自然人的姓名、出生日期、身份证件号码、个人生物识别信息、住址、电话号码等。</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第七十七条</w:t>
      </w:r>
      <w:r>
        <w:rPr>
          <w:rFonts w:hint="eastAsia" w:ascii="宋体" w:hAnsi="宋体" w:cs="Arial"/>
          <w:kern w:val="0"/>
          <w:szCs w:val="32"/>
        </w:rPr>
        <w:t>　存储、处理涉及国家秘密信息的网络的运行安全保护，除应当遵守本法外，还应当遵守保密法律、行政法规的规定。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第七十八条</w:t>
      </w:r>
      <w:r>
        <w:rPr>
          <w:rFonts w:hint="eastAsia" w:ascii="宋体" w:hAnsi="宋体" w:cs="Arial"/>
          <w:kern w:val="0"/>
          <w:szCs w:val="32"/>
        </w:rPr>
        <w:t>　军事网络的安全保护，由中央军事委员会另行规定。</w:t>
      </w:r>
    </w:p>
    <w:p>
      <w:pPr>
        <w:widowControl w:val="0"/>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rPr>
        <w:t>　　</w:t>
      </w:r>
      <w:r>
        <w:rPr>
          <w:rFonts w:hint="eastAsia" w:ascii="宋体" w:hAnsi="宋体" w:eastAsia="黑体" w:cs="黑体"/>
          <w:kern w:val="0"/>
          <w:szCs w:val="32"/>
        </w:rPr>
        <w:t>第七十九条</w:t>
      </w:r>
      <w:r>
        <w:rPr>
          <w:rFonts w:hint="eastAsia" w:ascii="宋体" w:hAnsi="宋体" w:cs="Arial"/>
          <w:kern w:val="0"/>
          <w:szCs w:val="32"/>
        </w:rPr>
        <w:t>　本法自2017年6月1日起施行。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09" w:name="_Toc29538"/>
      <w:r>
        <w:rPr>
          <w:rFonts w:hint="eastAsia" w:ascii="宋体" w:hAnsi="宋体" w:eastAsia="宋体" w:cs="宋体"/>
          <w:sz w:val="44"/>
          <w:szCs w:val="44"/>
        </w:rPr>
        <w:t>中华人民共和国消费者权益保护法</w:t>
      </w:r>
      <w:bookmarkEnd w:id="209"/>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cs="Arial"/>
          <w:kern w:val="0"/>
          <w:szCs w:val="32"/>
        </w:rPr>
      </w:pPr>
      <w:r>
        <w:rPr>
          <w:rFonts w:hint="eastAsia" w:ascii="宋体" w:hAnsi="宋体" w:eastAsia="楷体_GB2312" w:cs="楷体_GB2312"/>
          <w:kern w:val="0"/>
          <w:szCs w:val="32"/>
        </w:rPr>
        <w:t>（1993年10月31日第八届全国人民代表大会常务委员会第四次会议通过　根据2009年8月27日第十一届全国人民代表大会常务委员会第十次会议《关于修改部分法律的决定》第一次修正　根据2013年10月25日第十二届全国人民代表大会常务委员会第五次会议《关于修改&lt;中华人民共和国消费者权益保护法&gt;的决定》第二次修正）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二章　消费者的权利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三章　经营者的义务</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四章　国家对消费者合法权益的保护</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五章　消费者组织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六章　争议的解决</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lang w:eastAsia="zh-CN"/>
        </w:rPr>
        <w:t>　　第</w:t>
      </w:r>
      <w:r>
        <w:rPr>
          <w:rFonts w:hint="eastAsia" w:ascii="宋体" w:hAnsi="宋体" w:eastAsia="楷体_GB2312" w:cs="楷体_GB2312"/>
          <w:kern w:val="0"/>
          <w:szCs w:val="32"/>
        </w:rPr>
        <w:t>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一条</w:t>
      </w:r>
      <w:r>
        <w:rPr>
          <w:rFonts w:hint="eastAsia" w:ascii="宋体" w:hAnsi="宋体" w:cs="Arial"/>
          <w:kern w:val="0"/>
          <w:szCs w:val="32"/>
        </w:rPr>
        <w:t>　为保护消费者的合法权益，维护社会经济秩序，促进社会主义市场经济健康发展，制定本法。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第二条</w:t>
      </w:r>
      <w:r>
        <w:rPr>
          <w:rFonts w:hint="eastAsia" w:ascii="宋体" w:hAnsi="宋体" w:cs="Arial"/>
          <w:kern w:val="0"/>
          <w:szCs w:val="32"/>
        </w:rPr>
        <w:t>　消费者为生活消费需要购买、使用商品或者接受服务，其权益受本法保护；本法未作规定的，受其他有关法律、法规保护。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第三条</w:t>
      </w:r>
      <w:r>
        <w:rPr>
          <w:rFonts w:hint="eastAsia" w:ascii="宋体" w:hAnsi="宋体" w:cs="Arial"/>
          <w:kern w:val="0"/>
          <w:szCs w:val="32"/>
        </w:rPr>
        <w:t>　经营者为消费者提供其生产、销售的商品或者提供服务，应当遵守本法；本法未作规定的，应当遵守其他有关法律、法规。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第四条</w:t>
      </w:r>
      <w:r>
        <w:rPr>
          <w:rFonts w:hint="eastAsia" w:ascii="宋体" w:hAnsi="宋体" w:cs="Arial"/>
          <w:kern w:val="0"/>
          <w:szCs w:val="32"/>
        </w:rPr>
        <w:t>　经营者与消费者进行交易，应当遵循自愿、平等、公平、诚实信用的原则。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第五条</w:t>
      </w:r>
      <w:r>
        <w:rPr>
          <w:rFonts w:hint="eastAsia" w:ascii="宋体" w:hAnsi="宋体" w:cs="Arial"/>
          <w:kern w:val="0"/>
          <w:szCs w:val="32"/>
        </w:rPr>
        <w:t>　国家保护消费者的合法权益不受侵害。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国家采取措施，保障消费者依法行使权利，维护消费者的合法权益。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国家倡导文明、健康、节约资源和保护环境的消费方式，反对浪费。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第六条</w:t>
      </w:r>
      <w:r>
        <w:rPr>
          <w:rFonts w:hint="eastAsia" w:ascii="宋体" w:hAnsi="宋体" w:cs="Arial"/>
          <w:kern w:val="0"/>
          <w:szCs w:val="32"/>
        </w:rPr>
        <w:t>　保护消费者的合法权益是全社会的共同责任。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国家鼓励、支持一切组织和个人对损害消费者合法权益的行为进行社会监督。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大众传播媒介应当做好维护消费者合法权益的宣传，对损害消费者合法权益的行为进行舆论监督。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消费者的权利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第七条</w:t>
      </w:r>
      <w:r>
        <w:rPr>
          <w:rFonts w:hint="eastAsia" w:ascii="宋体" w:hAnsi="宋体" w:cs="Arial"/>
          <w:kern w:val="0"/>
          <w:szCs w:val="32"/>
        </w:rPr>
        <w:t>　消费者在购买、使用商品和接受服务时享有人身、财产安全不受损害的权利。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消费者有权要求经营者提供的商品和服务，符合保障人身、财产安全的要求。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第八条</w:t>
      </w:r>
      <w:r>
        <w:rPr>
          <w:rFonts w:hint="eastAsia" w:ascii="宋体" w:hAnsi="宋体" w:cs="Arial"/>
          <w:kern w:val="0"/>
          <w:szCs w:val="32"/>
        </w:rPr>
        <w:t>　消费者享有知悉其购买、使用的商品或者接受的服务的真实情况的权利。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根据商品或者服务的不同情况，要求经营者提供商品的价格、产地、生产者、用途、性能、规格、等级、主要成份、生产日期、有效期限、检验合格证明、使用方法说明书、售后服务，或者服务的内容、规格、费用等有关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第九条</w:t>
      </w:r>
      <w:r>
        <w:rPr>
          <w:rFonts w:hint="eastAsia" w:ascii="宋体" w:hAnsi="宋体" w:cs="Arial"/>
          <w:kern w:val="0"/>
          <w:szCs w:val="32"/>
        </w:rPr>
        <w:t>　消费者享有自主选择商品或者服务的权利。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消费者有权自主选择提供商品或者服务的经营者，自主选择商品品种或者服务方式，自主决定购买或者不购买任何一种商品、接受或者不接受任何一项服务。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消费者在自主选择商品或者服务时，有权进行比较、鉴别和挑选。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第十条</w:t>
      </w:r>
      <w:r>
        <w:rPr>
          <w:rFonts w:hint="eastAsia" w:ascii="宋体" w:hAnsi="宋体" w:cs="Arial"/>
          <w:kern w:val="0"/>
          <w:szCs w:val="32"/>
        </w:rPr>
        <w:t>　消费者享有公平交易的权利。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消费者在购买商品或者接受服务时，有权获得质量保障、价格合理、计量正确等公平交易条件，有权拒绝经营者的强制交易行为。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第十一条</w:t>
      </w:r>
      <w:r>
        <w:rPr>
          <w:rFonts w:hint="eastAsia" w:ascii="宋体" w:hAnsi="宋体" w:cs="Arial"/>
          <w:kern w:val="0"/>
          <w:szCs w:val="32"/>
        </w:rPr>
        <w:t>　消费者因购买、使用商品或者接受服务受到人身、财产损害的，享有依法获得赔偿的权利。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第十二条</w:t>
      </w:r>
      <w:r>
        <w:rPr>
          <w:rFonts w:hint="eastAsia" w:ascii="宋体" w:hAnsi="宋体" w:cs="Arial"/>
          <w:kern w:val="0"/>
          <w:szCs w:val="32"/>
        </w:rPr>
        <w:t>　消费者享有依法成立维护自身合法权益的社会组织的权利。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第十三条</w:t>
      </w:r>
      <w:r>
        <w:rPr>
          <w:rFonts w:hint="eastAsia" w:ascii="宋体" w:hAnsi="宋体" w:cs="Arial"/>
          <w:kern w:val="0"/>
          <w:szCs w:val="32"/>
        </w:rPr>
        <w:t>　消费者享有获得有关消费和消费者权益保护方面的知识的权利。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消费者应当努力掌握所需商品或者服务的知识和使用技能，正确使用商品，提高自我保护意识。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第十四条</w:t>
      </w:r>
      <w:r>
        <w:rPr>
          <w:rFonts w:hint="eastAsia" w:ascii="宋体" w:hAnsi="宋体" w:cs="Arial"/>
          <w:kern w:val="0"/>
          <w:szCs w:val="32"/>
        </w:rPr>
        <w:t>　消费者在购买、使用商品和接受服务时，享有人格尊严、民族风俗习惯得到尊重的权利，享有个人信息依法得到保护的权利。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第十五条</w:t>
      </w:r>
      <w:r>
        <w:rPr>
          <w:rFonts w:hint="eastAsia" w:ascii="宋体" w:hAnsi="宋体" w:cs="Arial"/>
          <w:kern w:val="0"/>
          <w:szCs w:val="32"/>
        </w:rPr>
        <w:t>　消费者享有对商品和服务以及保护消费者权益工作进行监督的权利。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消费者有权检举、控告侵害消费者权益的行为和国家机关及其工作人员在保护消费者权益工作中的违法失职行为，有权对保护消费者权益工作提出批评、建议。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经营者的义务</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第十六条</w:t>
      </w:r>
      <w:r>
        <w:rPr>
          <w:rFonts w:hint="eastAsia" w:ascii="宋体" w:hAnsi="宋体" w:cs="Arial"/>
          <w:kern w:val="0"/>
          <w:szCs w:val="32"/>
        </w:rPr>
        <w:t>　经营者向消费者提供商品或者服务，应当依照本法和其他有关法律、法规的规定履行义务。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经营者和消费者有约定的，应当按照约定履行义务，但双方的约定不得违背法律、法规的规定。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经营者向消费者提供商品或者服务，应当恪守社会公德，诚信经营，保障消费者的合法权益；不得设定不公平、不合理的交易条件，不得强制交易。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第十七条</w:t>
      </w:r>
      <w:r>
        <w:rPr>
          <w:rFonts w:hint="eastAsia" w:ascii="宋体" w:hAnsi="宋体" w:cs="Arial"/>
          <w:kern w:val="0"/>
          <w:szCs w:val="32"/>
        </w:rPr>
        <w:t>　经营者应当听取消费者对其提供的商品或者服务的意见，接受消费者的监督。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第十八条</w:t>
      </w:r>
      <w:r>
        <w:rPr>
          <w:rFonts w:hint="eastAsia" w:ascii="宋体" w:hAnsi="宋体" w:cs="Arial"/>
          <w:kern w:val="0"/>
          <w:szCs w:val="32"/>
        </w:rPr>
        <w:t>　经营者应当保证其提供的商品或者服务符合保障人身、财产安全的要求。对可能危及人身、财产安全的商品和服务，应当向消费者作出真实的说明和明确的警示，并说明和标明正确使用商品或者接受服务的方法以及防止危害发生的方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宾馆、商场、餐馆、银行、机场、车站、港口、影剧院等经营场所的经营者，应当对消费者尽到安全保障义务。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第十九条</w:t>
      </w:r>
      <w:r>
        <w:rPr>
          <w:rFonts w:hint="eastAsia" w:ascii="宋体" w:hAnsi="宋体" w:cs="Arial"/>
          <w:kern w:val="0"/>
          <w:szCs w:val="32"/>
        </w:rPr>
        <w:t>　经营者发现其提供的商品或者服务存在缺陷，有危及人身、财产安全危险的，应当立即向有关行政部门报告和告知消费者，并采取停止销售、警示、召回、无害化处理、销毁、停止生产或者服务等措施。采取召回措施的，经营者应当承担消费者因商品被召回支出的必要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第二十条</w:t>
      </w:r>
      <w:r>
        <w:rPr>
          <w:rFonts w:hint="eastAsia" w:ascii="宋体" w:hAnsi="宋体" w:cs="Arial"/>
          <w:kern w:val="0"/>
          <w:szCs w:val="32"/>
        </w:rPr>
        <w:t>　经营者向消费者提供有关商品或者服务的质量、性能、用途、有效期限等信息，应当真实、全面，不得作虚假或者引人误解的宣传。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经营者对消费者就其提供的商品或者服务的质量和使用方法等问题提出的询问，应当作出真实、明确的答复。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经营者提供商品或者服务应当明码标价。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第二十一条</w:t>
      </w:r>
      <w:r>
        <w:rPr>
          <w:rFonts w:hint="eastAsia" w:ascii="宋体" w:hAnsi="宋体" w:cs="Arial"/>
          <w:kern w:val="0"/>
          <w:szCs w:val="32"/>
        </w:rPr>
        <w:t>　经营者应当标明其真实名称和标记。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租赁他人柜台或者场地的经营者，应当标明其真实名称和标记。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第二十二条</w:t>
      </w:r>
      <w:r>
        <w:rPr>
          <w:rFonts w:hint="eastAsia" w:ascii="宋体" w:hAnsi="宋体" w:cs="Arial"/>
          <w:kern w:val="0"/>
          <w:szCs w:val="32"/>
        </w:rPr>
        <w:t>　经营者提供商品或者服务，应当按照国家有关规定或者商业惯例向消费者出具发票等购货凭证或者服务单据；消费者索要发票等购货凭证或者服务单据的，经营者必须出具。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第二十三条</w:t>
      </w:r>
      <w:r>
        <w:rPr>
          <w:rFonts w:hint="eastAsia" w:ascii="宋体" w:hAnsi="宋体" w:cs="Arial"/>
          <w:kern w:val="0"/>
          <w:szCs w:val="32"/>
        </w:rPr>
        <w:t>　经营者应当保证在正常使用商品或者接受服务的情况下其提供的商品或者服务应当具有的质量、性能、用途和有效期限；但消费者在购买该商品或者接受该服务前已经知道其存在瑕疵，且存在该瑕疵不违反法律强制性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经营者以广告、产品说明、实物样品或者其他方式表明商品或者服务的质量状况的，应当保证其提供的商品或者服务的实际质量与表明的质量状况相符。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经营者提供的机动车、计算机、电视机、电冰箱、空调器、洗衣机等耐用商品或者装饰装修等服务，消费者自接受商品或者服务之日起六个月内发现瑕疵，发生争议的，由经营者承担有关瑕疵的举证责任。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第二十四条</w:t>
      </w:r>
      <w:r>
        <w:rPr>
          <w:rFonts w:hint="eastAsia" w:ascii="宋体" w:hAnsi="宋体" w:cs="Arial"/>
          <w:kern w:val="0"/>
          <w:szCs w:val="32"/>
        </w:rPr>
        <w:t>　经营者提供的商品或者服务不符合质量要求的，消费者可以依照国家规定、当事人约定退货，或者要求经营者履行更换、修理等义务。没有国家规定和当事人约定的，消费者可以自收到商品之日起七日内退货；七日后符合法定解除合同条件的，消费者可以及时退货，不符合法定解除合同条件的，可以要求经营者履行更换、修理等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依照前款规定进行退货、更换、修理的，经营者应当承担运输等必要费用。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第二十五条</w:t>
      </w:r>
      <w:r>
        <w:rPr>
          <w:rFonts w:hint="eastAsia" w:ascii="宋体" w:hAnsi="宋体" w:cs="Arial"/>
          <w:kern w:val="0"/>
          <w:szCs w:val="32"/>
        </w:rPr>
        <w:t>　经营者采用网络、电视、电话、邮购等方式销售商品，消费者有权自收到商品之日起七日内退货，且无需说明理由，但下列商品除外: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（一）消费者定作的；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（二）鲜活易腐的；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（三）在线下载或者消费者拆封的音像制品、计算机软件等数字化商品；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（四）交付的报纸、期刊。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除前款所列商品外，其他根据商品性质并经消费者在购买时确认不宜退货的商品，不适用无理由退货。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消费者退货的商品应当完好。经营者应当自收到退回商品之日起七日内返还消费者支付的商品价款。退回商品的运费由消费者承担；经营者和消费者另有约定的，按照约定。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第二十六条</w:t>
      </w:r>
      <w:r>
        <w:rPr>
          <w:rFonts w:hint="eastAsia" w:ascii="宋体" w:hAnsi="宋体" w:cs="Arial"/>
          <w:kern w:val="0"/>
          <w:szCs w:val="32"/>
        </w:rPr>
        <w:t>　经营者在经营活动中使用格式条款的，应当以显著方式提请消费者注意商品或者服务的数量和质量、价款或者费用、履行期限和方式、安全注意事项和风险警示、售后服务、民事责任等与消费者有重大利害关系的内容，并按照消费者的要求予以说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不得以格式条款、通知、声明、店堂告示等方式，作出排除或者限制消费者权利、减轻或者免除经营者责任、加重消费者责任等对消费者不公平、不合理的规定，不得利用格式条款并借助技术手段强制交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格式条款、通知、声明、店堂告示等含有前款所列内容的，其内容无效。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第二十七条</w:t>
      </w:r>
      <w:r>
        <w:rPr>
          <w:rFonts w:hint="eastAsia" w:ascii="宋体" w:hAnsi="宋体" w:cs="Arial"/>
          <w:kern w:val="0"/>
          <w:szCs w:val="32"/>
        </w:rPr>
        <w:t>　经营者不得对消费者进行侮辱、诽谤，不得搜查消费者的身体及其携带的物品，不得侵犯消费者的人身自由。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第二十八条</w:t>
      </w:r>
      <w:r>
        <w:rPr>
          <w:rFonts w:hint="eastAsia" w:ascii="宋体" w:hAnsi="宋体" w:cs="Arial"/>
          <w:kern w:val="0"/>
          <w:szCs w:val="32"/>
        </w:rPr>
        <w:t>　采用网络、电视、电话、邮购等方式提供商品或者服务的经营者，以及提供证券、保险、银行等金融服务的经营者，应当向消费者提供经营地址、联系方式、商品或者服务的数量和质量、价款或者费用、履行期限和方式、安全注意事项和风险警示、售后服务、民事责任等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第二十九条</w:t>
      </w:r>
      <w:r>
        <w:rPr>
          <w:rFonts w:hint="eastAsia" w:ascii="宋体" w:hAnsi="宋体" w:cs="Arial"/>
          <w:kern w:val="0"/>
          <w:szCs w:val="32"/>
        </w:rPr>
        <w:t>　经营者收集、使用消费者个人信息，应当遵循合法、正当、必要的原则，明示收集、使用信息的目的、方式和范围，并经消费者同意。经营者收集、使用消费者个人信息，应当公开其收集、使用规则，不得违反法律、法规的规定和双方的约定收集、使用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及其工作人员对收集的消费者个人信息必须严格保密，不得泄露、出售或者非法向他人提供。经营者应当采取技术措施和其他必要措施，确保信息安全，防止消费者个人信息泄露、丢失。在发生或者可能发生信息泄露、丢失的情况时，应当立即采取补救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经营者未经消费者同意或者请求，或者消费者明确表示拒绝的，不得向其发送商业性信息。</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国家对消费者合法权益的保护</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第三十条</w:t>
      </w:r>
      <w:r>
        <w:rPr>
          <w:rFonts w:hint="eastAsia" w:ascii="宋体" w:hAnsi="宋体" w:cs="Arial"/>
          <w:kern w:val="0"/>
          <w:szCs w:val="32"/>
        </w:rPr>
        <w:t>　国家制定有关消费者权益的法律、法规、规章和强制性标准，应当听取消费者和消费者协会等组织的意见。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第三十一条</w:t>
      </w:r>
      <w:r>
        <w:rPr>
          <w:rFonts w:hint="eastAsia" w:ascii="宋体" w:hAnsi="宋体" w:cs="Arial"/>
          <w:kern w:val="0"/>
          <w:szCs w:val="32"/>
        </w:rPr>
        <w:t>　各级人民政府应当加强领导，组织、协调、督促有关行政部门做好保护消费者合法权益的工作，落实保护消费者合法权益的职责。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各级人民政府应当加强监督，预防危害消费者人身、财产安全行为的发生，及时制止危害消费者人身、财产安全的行为。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第三十二条</w:t>
      </w:r>
      <w:r>
        <w:rPr>
          <w:rFonts w:hint="eastAsia" w:ascii="宋体" w:hAnsi="宋体" w:cs="Arial"/>
          <w:kern w:val="0"/>
          <w:szCs w:val="32"/>
        </w:rPr>
        <w:t>　各级人民政府工商行政管理部门和其他有关行政部门应当依照法律、法规的规定，在各自的职责范围内，采取措施，保护消费者的合法权益。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有关行政部门应当听取消费者和消费者协会等组织对经营者交易行为、商品和服务质量问题的意见，及时调查处理。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第三十三条</w:t>
      </w:r>
      <w:r>
        <w:rPr>
          <w:rFonts w:hint="eastAsia" w:ascii="宋体" w:hAnsi="宋体" w:cs="Arial"/>
          <w:kern w:val="0"/>
          <w:szCs w:val="32"/>
        </w:rPr>
        <w:t>　有关行政部门在各自的职责范围内，应当定期或者不定期对经营者提供的商品和服务进行抽查检验，并及时向社会公布抽查检验结果。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有关行政部门发现并认定经营者提供的商品或者服务存在缺陷，有危及人身、财产安全危险的，应当立即责令经营者采取停止销售、警示、召回、无害化处理、销毁、停止生产或者服务等措施。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第三十四条</w:t>
      </w:r>
      <w:r>
        <w:rPr>
          <w:rFonts w:hint="eastAsia" w:ascii="宋体" w:hAnsi="宋体" w:cs="Arial"/>
          <w:kern w:val="0"/>
          <w:szCs w:val="32"/>
        </w:rPr>
        <w:t>　有关国家机关应当依照法律、法规的规定，惩处经营者在提供商品和服务中侵害消费者合法权益的违法犯罪行为。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第三十五条</w:t>
      </w:r>
      <w:r>
        <w:rPr>
          <w:rFonts w:hint="eastAsia" w:ascii="宋体" w:hAnsi="宋体" w:cs="Arial"/>
          <w:kern w:val="0"/>
          <w:szCs w:val="32"/>
        </w:rPr>
        <w:t>　人民法院应当采取措施，方便消费者提起诉讼。对符合《中华人民共和国民事诉讼法》起诉条件的消费者权益争议，必须受理，及时审理。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消费者组织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第三十六条</w:t>
      </w:r>
      <w:r>
        <w:rPr>
          <w:rFonts w:hint="eastAsia" w:ascii="宋体" w:hAnsi="宋体" w:cs="Arial"/>
          <w:kern w:val="0"/>
          <w:szCs w:val="32"/>
        </w:rPr>
        <w:t>　消费者协会和其他消费者组织是依法成立的对商品和服务进行社会监督的保护消费者合法权益的社会组织。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第三十七条</w:t>
      </w:r>
      <w:r>
        <w:rPr>
          <w:rFonts w:hint="eastAsia" w:ascii="宋体" w:hAnsi="宋体" w:cs="Arial"/>
          <w:kern w:val="0"/>
          <w:szCs w:val="32"/>
        </w:rPr>
        <w:t>　消费者协会履行下列公益性职责: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（一）向消费者提供消费信息和咨询服务，提高消费者维护自身合法权益的能力，引导文明、健康、节约资源和保护环境的消费方式；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（二）参与制定有关消费者权益的法律、法规、规章和强制性标准；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（三）参与有关行政部门对商品和服务的监督、检查；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（四）就有关消费者合法权益的问题，向有关部门反映、查询，提出建议；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（五）受理消费者的投诉，并对投诉事项进行调查、调解；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（六）投诉事项涉及商品和服务质量问题的，可以委托具备资格的鉴定人鉴定，鉴定人应当告知鉴定意见；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（七）就损害消费者合法权益的行为，支持受损害的消费者提起诉讼或者依照本法提起诉讼；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（八）对损害消费者合法权益的行为，通过大众传播媒介予以揭露、批评。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各级人民政府对消费者协会履行职责应当予以必要的经费等支持。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消费者协会应当认真履行保护消费者合法权益的职责，听取消费者的意见和建议，接受社会监督。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依法成立的其他消费者组织依照法律、法规及其章程的规定，开展保护消费者合法权益的活动。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第三十八条</w:t>
      </w:r>
      <w:r>
        <w:rPr>
          <w:rFonts w:hint="eastAsia" w:ascii="宋体" w:hAnsi="宋体" w:cs="Arial"/>
          <w:kern w:val="0"/>
          <w:szCs w:val="32"/>
        </w:rPr>
        <w:t>　消费者组织不得从事商品经营和营利性服务，不得以收取费用或者其他牟取利益的方式向消费者推荐商品和服务。</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　争议的解决</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第三十九条</w:t>
      </w:r>
      <w:r>
        <w:rPr>
          <w:rFonts w:hint="eastAsia" w:ascii="宋体" w:hAnsi="宋体" w:cs="Arial"/>
          <w:kern w:val="0"/>
          <w:szCs w:val="32"/>
        </w:rPr>
        <w:t>　消费者和经营者发生消费者权益争议的，可以通过下列途径解决: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（一）与经营者协商和解；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（二）请求消费者协会或者依法成立的其他调解组织调解；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（三）向有关行政部门投诉；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（四）根据与经营者达成的仲裁协议提请仲裁机构仲裁；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第四十条</w:t>
      </w:r>
      <w:r>
        <w:rPr>
          <w:rFonts w:hint="eastAsia" w:ascii="宋体" w:hAnsi="宋体" w:cs="Arial"/>
          <w:kern w:val="0"/>
          <w:szCs w:val="32"/>
        </w:rPr>
        <w:t>　消费者在购买、使用商品时，其合法权益受到损害的，可以向销售者要求赔偿。销售者赔偿后，属于生产者的责任或者属于向销售者提供商品的其他销售者的责任的，销售者有权向生产者或者其他销售者追偿。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或者其他受害人因商品缺陷造成人身、财产损害的，可以向销售者要求赔偿，也可以向生产者要求赔偿。属于生产者责任的，销售者赔偿后，有权向生产者追偿。属于销售者责任的，生产者赔偿后，有权向销售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消费者在接受服务时，其合法权益受到损害的，可以向服务者要求赔偿。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第四十一条</w:t>
      </w:r>
      <w:r>
        <w:rPr>
          <w:rFonts w:hint="eastAsia" w:ascii="宋体" w:hAnsi="宋体" w:cs="Arial"/>
          <w:kern w:val="0"/>
          <w:szCs w:val="32"/>
        </w:rPr>
        <w:t>　消费者在购买、使用商品或者接受服务时，其合法权益受到损害，因原企业分立、合并的，可以向变更后承受其权利义务的企业要求赔偿。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第四十二条</w:t>
      </w:r>
      <w:r>
        <w:rPr>
          <w:rFonts w:hint="eastAsia" w:ascii="宋体" w:hAnsi="宋体" w:cs="Arial"/>
          <w:kern w:val="0"/>
          <w:szCs w:val="32"/>
        </w:rPr>
        <w:t>　使用他人营业执照的违法经营者提供商品或者服务，损害消费者合法权益的，消费者可以向其要求赔偿，也可以向营业执照的持有人要求赔偿。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第四十三条</w:t>
      </w:r>
      <w:r>
        <w:rPr>
          <w:rFonts w:hint="eastAsia" w:ascii="宋体" w:hAnsi="宋体" w:cs="Arial"/>
          <w:kern w:val="0"/>
          <w:szCs w:val="32"/>
        </w:rPr>
        <w:t>　消费者在展销会、租赁柜台购买商品或者接受服务，其合法权益受到损害的，可以向销售者或者服务者要求赔偿。展销会结束或者柜台租赁期满后，也可以向展销会的举办者、柜台的出租者要求赔偿。展销会的举办者、柜台的出租者赔偿后，有权向销售者或者服务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第四十四条</w:t>
      </w:r>
      <w:r>
        <w:rPr>
          <w:rFonts w:hint="eastAsia" w:ascii="宋体" w:hAnsi="宋体" w:cs="Arial"/>
          <w:kern w:val="0"/>
          <w:szCs w:val="32"/>
        </w:rPr>
        <w:t>　消费者通过网络交易平台购买商品或者接受服务，其合法权益受到损害的，可以向销售者或者服务者要求赔偿。网络交易平台提供者不能提供销售者或者服务者的真实名称、地址和有效联系方式的，消费者也可以向网络交易平台提供者要求赔偿；网络交易平台提供者作出更有利于消费者的承诺的，应当履行承诺。网络交易平台提供者赔偿后，有权向销售者或者服务者追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网络交易平台提供者明知或者应知销售者或者服务者利用其平台侵害消费者合法权益，未采取必要措施的，依法与该销售者或者服务者承担连带责任。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第四十五条</w:t>
      </w:r>
      <w:r>
        <w:rPr>
          <w:rFonts w:hint="eastAsia" w:ascii="宋体" w:hAnsi="宋体" w:cs="Arial"/>
          <w:kern w:val="0"/>
          <w:szCs w:val="32"/>
        </w:rPr>
        <w:t>　消费者因经营者利用虚假广告或者其他虚假宣传方式提供商品或者服务，其合法权益受到损害的，可以向经营者要求赔偿。广告经营者、发布者发布虚假广告的，消费者可以请求行政主管部门予以惩处。广告经营者、发布者不能提供经营者的真实名称、地址和有效联系方式的，应当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广告经营者、发布者设计、制作、发布关系消费者生命健康商品或者服务的虚假广告，造成消费者损害的，应当与提供该商品或者服务的经营者承担连带责任。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社会团体或者其他组织、个人在关系消费者生命健康商品或者服务的虚假广告或者其他虚假宣传中向消费者推荐商品或者服务，造成消费者损害的，应当与提供该商品或者服务的经营者承担连带责任。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第四十六条</w:t>
      </w:r>
      <w:r>
        <w:rPr>
          <w:rFonts w:hint="eastAsia" w:ascii="宋体" w:hAnsi="宋体" w:cs="Arial"/>
          <w:kern w:val="0"/>
          <w:szCs w:val="32"/>
        </w:rPr>
        <w:t>　消费者向有关行政部门投诉的，该部门应当自收到投诉之日起七个工作日内，予以处理并告知消费者。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第四十七条</w:t>
      </w:r>
      <w:r>
        <w:rPr>
          <w:rFonts w:hint="eastAsia" w:ascii="宋体" w:hAnsi="宋体" w:cs="Arial"/>
          <w:kern w:val="0"/>
          <w:szCs w:val="32"/>
        </w:rPr>
        <w:t>　对侵害众多消费者合法权益的行为，中国消费者协会以及在省、自治区、直辖市设立的消费者协会，可以向人民法院提起诉讼。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第四十八条</w:t>
      </w:r>
      <w:r>
        <w:rPr>
          <w:rFonts w:hint="eastAsia" w:ascii="宋体" w:hAnsi="宋体" w:cs="Arial"/>
          <w:kern w:val="0"/>
          <w:szCs w:val="32"/>
        </w:rPr>
        <w:t>　经营者提供商品或者服务有下列情形之一的，除本法另有规定外，应当依照其他有关法律、法规的规定，承担民事责任: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（一）商品或者服务存在缺陷的；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（二）不具备商品应当具备的使用性能而出售时未作说明的；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（三）不符合在商品或者其包装上注明采用的商品标准的；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（四）不符合商品说明、实物样品等方式表明的质量状况的；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（五）生产国家明令淘汰的商品或者销售失效、变质的商品的；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（六）销售的商品数量不足的；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（七）服务的内容和费用违反约定的；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（八）对消费者提出的修理、重作、更换、退货、补足商品数量、退还货款和服务费用或者赔偿损失的要求，故意拖延或者无理拒绝的；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（九）法律、法规规定的其他损害消费者权益的情形。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经营者对消费者未尽到安全保障义务，造成消费者损害的，应当承担侵权责任。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第四十九条</w:t>
      </w:r>
      <w:r>
        <w:rPr>
          <w:rFonts w:hint="eastAsia" w:ascii="宋体" w:hAnsi="宋体" w:cs="Arial"/>
          <w:kern w:val="0"/>
          <w:szCs w:val="32"/>
        </w:rPr>
        <w:t>　经营者提供商品或者服务，造成消费者或者其他受害人人身伤害的，应当赔偿医疗费、护理费、交通费等为治疗和康复支出的合理费用，以及因误工减少的收入。造成残疾的，还应当赔偿残疾生活辅助具费和残疾赔偿金。造成死亡的，还应当赔偿丧葬费和死亡赔偿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第五十条</w:t>
      </w:r>
      <w:r>
        <w:rPr>
          <w:rFonts w:hint="eastAsia" w:ascii="宋体" w:hAnsi="宋体" w:cs="Arial"/>
          <w:kern w:val="0"/>
          <w:szCs w:val="32"/>
        </w:rPr>
        <w:t>　经营者侵害消费者的人格尊严、侵犯消费者人身自由或者侵害消费者个人信息依法得到保护的权利的，应当停止侵害、恢复名誉、消除影响、赔礼道歉，并赔偿损失。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第五十一条</w:t>
      </w:r>
      <w:r>
        <w:rPr>
          <w:rFonts w:hint="eastAsia" w:ascii="宋体" w:hAnsi="宋体" w:cs="Arial"/>
          <w:kern w:val="0"/>
          <w:szCs w:val="32"/>
        </w:rPr>
        <w:t>　经营者有侮辱诽谤、搜查身体、侵犯人身自由等侵害消费者或者其他受害人人身权益的行为，造成严重精神损害的，受害人可以要求精神损害赔偿。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第五十二条</w:t>
      </w:r>
      <w:r>
        <w:rPr>
          <w:rFonts w:hint="eastAsia" w:ascii="宋体" w:hAnsi="宋体" w:cs="Arial"/>
          <w:kern w:val="0"/>
          <w:szCs w:val="32"/>
        </w:rPr>
        <w:t>　经营者提供商品或者服务，造成消费者财产损害的，应当依照法律规定或者当事人约定承担修理、重作、更换、退货、补足商品数量、退还货款和服务费用或者赔偿损失等民事责任。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第五十三条</w:t>
      </w:r>
      <w:r>
        <w:rPr>
          <w:rFonts w:hint="eastAsia" w:ascii="宋体" w:hAnsi="宋体" w:cs="Arial"/>
          <w:kern w:val="0"/>
          <w:szCs w:val="32"/>
        </w:rPr>
        <w:t>　经营者以预收款方式提供商品或者服务的，应当按照约定提供。未按照约定提供的，应当按照消费者的要求履行约定或者退回预付款；并应当承担预付款的利息、消费者必须支付的合理费用。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第五十四条</w:t>
      </w:r>
      <w:r>
        <w:rPr>
          <w:rFonts w:hint="eastAsia" w:ascii="宋体" w:hAnsi="宋体" w:cs="Arial"/>
          <w:kern w:val="0"/>
          <w:szCs w:val="32"/>
        </w:rPr>
        <w:t>　依法经有关行政部门认定为不合格的商品，消费者要求退货的，经营者应当负责退货。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第五十五条</w:t>
      </w:r>
      <w:r>
        <w:rPr>
          <w:rFonts w:hint="eastAsia" w:ascii="宋体" w:hAnsi="宋体" w:cs="Arial"/>
          <w:kern w:val="0"/>
          <w:szCs w:val="32"/>
        </w:rPr>
        <w:t>　经营者提供商品或者服务有欺诈行为的，应当按照消费者的要求增加赔偿其受到的损失，增加赔偿的金额为消费者购买商品的价款或者接受服务的费用的三倍；增加赔偿的金额不足五百元的，为五百元。法律另有规定的，依照其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明知商品或者服务存在缺陷，仍然向消费者提供，造成消费者或者其他受害人死亡或者健康严重损害的，受害人有权要求经营者依照本法第四十九条、第五十一条等法律规定赔偿损失，并有权要求所受损失二倍以下的惩罚性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第五十六条</w:t>
      </w:r>
      <w:r>
        <w:rPr>
          <w:rFonts w:hint="eastAsia" w:ascii="宋体" w:hAnsi="宋体" w:cs="Arial"/>
          <w:kern w:val="0"/>
          <w:szCs w:val="32"/>
        </w:rPr>
        <w:t>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（一）提供的商品或者服务不符合保障人身、财产安全要求的；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（二）在商品中掺杂、掺假，以假充真，以次充好，或者以不合格商品冒充合格商品的；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（三）生产国家明令淘汰的商品或者销售失效、变质的商品的；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（四）伪造商品的产地，伪造或者冒用他人的厂名、厂址，篡改生产日期，伪造或者冒用认证标志等质量标志的；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（五）销售的商品应当检验、检疫而未检验、检疫或者伪造检验、检疫结果的；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（六）对商品或者服务作虚假或者引人误解的宣传的；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（七）拒绝或者拖延有关行政部门责令对缺陷商品或者服务采取停止销售、警示、召回、无害化处理、销毁、停止生产或者服务等措施的；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（八）对消费者提出的修理、重作、更换、退货、补足商品数量、退还货款和服务费用或者赔偿损失的要求，故意拖延或者无理拒绝的；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（九）侵害消费者人格尊严、侵犯消费者人身自由或者侵害消费者个人信息依法得到保护的权利的；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（十）法律、法规规定的对损害消费者权益应当予以处罚的其他情形。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经营者有前款规定情形的，除依照法律、法规规定予以处罚外，处罚机关应当记入信用档案，向社会公布。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第五十七条</w:t>
      </w:r>
      <w:r>
        <w:rPr>
          <w:rFonts w:hint="eastAsia" w:ascii="宋体" w:hAnsi="宋体" w:cs="Arial"/>
          <w:kern w:val="0"/>
          <w:szCs w:val="32"/>
        </w:rPr>
        <w:t>　经营者违反本法规定提供商品或者服务，侵害消费者合法权益，构成犯罪的，依法追究刑事责任。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第五十八条</w:t>
      </w:r>
      <w:r>
        <w:rPr>
          <w:rFonts w:hint="eastAsia" w:ascii="宋体" w:hAnsi="宋体" w:cs="Arial"/>
          <w:kern w:val="0"/>
          <w:szCs w:val="32"/>
        </w:rPr>
        <w:t>　经营者违反本法规定，应当承担民事赔偿责任和缴纳罚款、罚金，其财产不足以同时支付的，先承担民事赔偿责任。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第五十九条</w:t>
      </w:r>
      <w:r>
        <w:rPr>
          <w:rFonts w:hint="eastAsia" w:ascii="宋体" w:hAnsi="宋体" w:cs="Arial"/>
          <w:kern w:val="0"/>
          <w:szCs w:val="32"/>
        </w:rPr>
        <w:t>　经营者对行政处罚决定不服的，可以依法申请行政复议或者提起行政诉讼。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第六十条</w:t>
      </w:r>
      <w:r>
        <w:rPr>
          <w:rFonts w:hint="eastAsia" w:ascii="宋体" w:hAnsi="宋体" w:cs="Arial"/>
          <w:kern w:val="0"/>
          <w:szCs w:val="32"/>
        </w:rPr>
        <w:t>　以暴力、威胁等方法阻碍有关行政部门工作人员依法执行职务的，依法追究刑事责任；拒绝、阻碍有关行政部门工作人员依法执行职务，未使用暴力、威胁方法的，由公安机关依照《中华人民共和国治安管理处罚法》的规定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第六十一条</w:t>
      </w:r>
      <w:r>
        <w:rPr>
          <w:rFonts w:hint="eastAsia" w:ascii="宋体" w:hAnsi="宋体" w:cs="Arial"/>
          <w:kern w:val="0"/>
          <w:szCs w:val="32"/>
        </w:rPr>
        <w:t>　国家机关工作人员玩忽职守或者包庇经营者侵害消费者合法权益的行为的，由其所在单位或者上级机关给予行政处分；情节严重，构成犯罪的，依法追究刑事责任。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第六十二条</w:t>
      </w:r>
      <w:r>
        <w:rPr>
          <w:rFonts w:hint="eastAsia" w:ascii="宋体" w:hAnsi="宋体" w:cs="Arial"/>
          <w:kern w:val="0"/>
          <w:szCs w:val="32"/>
        </w:rPr>
        <w:t>　农民购买、使用直接用于农业生产的生产资料，参照本法执行。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第六十三条</w:t>
      </w:r>
      <w:r>
        <w:rPr>
          <w:rFonts w:hint="eastAsia" w:ascii="宋体" w:hAnsi="宋体" w:cs="Arial"/>
          <w:kern w:val="0"/>
          <w:szCs w:val="32"/>
        </w:rPr>
        <w:t>　本法自1994年1月1日起施行。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10" w:name="_Toc18625"/>
      <w:r>
        <w:rPr>
          <w:rFonts w:hint="eastAsia" w:ascii="宋体" w:hAnsi="宋体" w:eastAsia="宋体" w:cs="宋体"/>
          <w:sz w:val="44"/>
          <w:szCs w:val="44"/>
        </w:rPr>
        <w:t>中华人民共和国广告法</w:t>
      </w:r>
      <w:bookmarkEnd w:id="210"/>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（1994年10月27日第八届全国人民代表大会常务委员会第十次会议通过</w:t>
      </w:r>
      <w:r>
        <w:rPr>
          <w:rFonts w:hint="eastAsia" w:ascii="宋体" w:hAnsi="宋体" w:eastAsia="楷体_GB2312" w:cs="Arial"/>
          <w:kern w:val="0"/>
          <w:szCs w:val="32"/>
          <w:lang w:eastAsia="zh-CN"/>
        </w:rPr>
        <w:t>　</w:t>
      </w:r>
      <w:r>
        <w:rPr>
          <w:rFonts w:hint="eastAsia" w:ascii="宋体" w:hAnsi="宋体" w:eastAsia="楷体_GB2312" w:cs="Arial"/>
          <w:kern w:val="0"/>
          <w:szCs w:val="32"/>
        </w:rPr>
        <w:t>2015年4月24日第十二届全国人民代表大会常务委员会第十四次会议修订</w:t>
      </w:r>
      <w:r>
        <w:rPr>
          <w:rFonts w:hint="eastAsia" w:ascii="宋体" w:hAnsi="宋体" w:eastAsia="楷体_GB2312" w:cs="Arial"/>
          <w:kern w:val="0"/>
          <w:szCs w:val="32"/>
          <w:lang w:eastAsia="zh-CN"/>
        </w:rPr>
        <w:t>　</w:t>
      </w:r>
      <w:r>
        <w:rPr>
          <w:rFonts w:hint="eastAsia" w:ascii="宋体" w:hAnsi="宋体" w:eastAsia="楷体_GB2312" w:cs="Arial"/>
          <w:kern w:val="0"/>
          <w:szCs w:val="32"/>
        </w:rPr>
        <w:t>根据2018年10月26日第十三届全国人民代表大会常务委员会第六次会议《关于修改〈中华人民共和国野生动物保护法〉等十五部法律的决定》修正）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w:t>
      </w:r>
      <w:r>
        <w:rPr>
          <w:rFonts w:hint="eastAsia" w:ascii="宋体" w:hAnsi="宋体" w:eastAsia="楷体_GB2312" w:cs="Arial"/>
          <w:kern w:val="0"/>
          <w:szCs w:val="32"/>
          <w:lang w:eastAsia="zh-CN"/>
        </w:rPr>
        <w:t>　　</w:t>
      </w:r>
      <w:r>
        <w:rPr>
          <w:rFonts w:hint="eastAsia" w:ascii="宋体" w:hAnsi="宋体" w:eastAsia="楷体_GB2312" w:cs="Arial"/>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第一章</w:t>
      </w:r>
      <w:r>
        <w:rPr>
          <w:rFonts w:hint="eastAsia" w:ascii="宋体" w:hAnsi="宋体" w:eastAsia="楷体_GB2312" w:cs="Arial"/>
          <w:kern w:val="0"/>
          <w:szCs w:val="32"/>
          <w:lang w:eastAsia="zh-CN"/>
        </w:rPr>
        <w:t>　</w:t>
      </w:r>
      <w:r>
        <w:rPr>
          <w:rFonts w:hint="eastAsia" w:ascii="宋体" w:hAnsi="宋体" w:eastAsia="楷体_GB2312" w:cs="Arial"/>
          <w:kern w:val="0"/>
          <w:szCs w:val="32"/>
        </w:rPr>
        <w:t>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第二章</w:t>
      </w:r>
      <w:r>
        <w:rPr>
          <w:rFonts w:hint="eastAsia" w:ascii="宋体" w:hAnsi="宋体" w:eastAsia="楷体_GB2312" w:cs="Arial"/>
          <w:kern w:val="0"/>
          <w:szCs w:val="32"/>
          <w:lang w:eastAsia="zh-CN"/>
        </w:rPr>
        <w:t>　</w:t>
      </w:r>
      <w:r>
        <w:rPr>
          <w:rFonts w:hint="eastAsia" w:ascii="宋体" w:hAnsi="宋体" w:eastAsia="楷体_GB2312" w:cs="Arial"/>
          <w:kern w:val="0"/>
          <w:szCs w:val="32"/>
        </w:rPr>
        <w:t>广告内容准则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第三章</w:t>
      </w:r>
      <w:r>
        <w:rPr>
          <w:rFonts w:hint="eastAsia" w:ascii="宋体" w:hAnsi="宋体" w:eastAsia="楷体_GB2312" w:cs="Arial"/>
          <w:kern w:val="0"/>
          <w:szCs w:val="32"/>
          <w:lang w:eastAsia="zh-CN"/>
        </w:rPr>
        <w:t>　</w:t>
      </w:r>
      <w:r>
        <w:rPr>
          <w:rFonts w:hint="eastAsia" w:ascii="宋体" w:hAnsi="宋体" w:eastAsia="楷体_GB2312" w:cs="Arial"/>
          <w:kern w:val="0"/>
          <w:szCs w:val="32"/>
        </w:rPr>
        <w:t>广告行为规范</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第四章</w:t>
      </w:r>
      <w:r>
        <w:rPr>
          <w:rFonts w:hint="eastAsia" w:ascii="宋体" w:hAnsi="宋体" w:eastAsia="楷体_GB2312" w:cs="Arial"/>
          <w:kern w:val="0"/>
          <w:szCs w:val="32"/>
          <w:lang w:eastAsia="zh-CN"/>
        </w:rPr>
        <w:t>　</w:t>
      </w:r>
      <w:r>
        <w:rPr>
          <w:rFonts w:hint="eastAsia" w:ascii="宋体" w:hAnsi="宋体" w:eastAsia="楷体_GB2312" w:cs="Arial"/>
          <w:kern w:val="0"/>
          <w:szCs w:val="32"/>
        </w:rPr>
        <w:t>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第五章</w:t>
      </w:r>
      <w:r>
        <w:rPr>
          <w:rFonts w:hint="eastAsia" w:ascii="宋体" w:hAnsi="宋体" w:eastAsia="楷体_GB2312" w:cs="Arial"/>
          <w:kern w:val="0"/>
          <w:szCs w:val="32"/>
          <w:lang w:eastAsia="zh-CN"/>
        </w:rPr>
        <w:t>　</w:t>
      </w:r>
      <w:r>
        <w:rPr>
          <w:rFonts w:hint="eastAsia" w:ascii="宋体" w:hAnsi="宋体" w:eastAsia="楷体_GB2312" w:cs="Arial"/>
          <w:kern w:val="0"/>
          <w:szCs w:val="32"/>
        </w:rPr>
        <w:t>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lang w:eastAsia="zh-CN"/>
        </w:rPr>
        <w:t>　　</w:t>
      </w:r>
      <w:r>
        <w:rPr>
          <w:rFonts w:hint="eastAsia" w:ascii="宋体" w:hAnsi="宋体" w:eastAsia="楷体_GB2312" w:cs="Arial"/>
          <w:kern w:val="0"/>
          <w:szCs w:val="32"/>
        </w:rPr>
        <w:t>第六章</w:t>
      </w:r>
      <w:r>
        <w:rPr>
          <w:rFonts w:hint="eastAsia" w:ascii="宋体" w:hAnsi="宋体" w:eastAsia="楷体_GB2312" w:cs="Arial"/>
          <w:kern w:val="0"/>
          <w:szCs w:val="32"/>
          <w:lang w:eastAsia="zh-CN"/>
        </w:rPr>
        <w:t>　</w:t>
      </w:r>
      <w:r>
        <w:rPr>
          <w:rFonts w:hint="eastAsia" w:ascii="宋体" w:hAnsi="宋体" w:eastAsia="楷体_GB2312" w:cs="Arial"/>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w:t>
      </w:r>
      <w:r>
        <w:rPr>
          <w:rFonts w:hint="eastAsia" w:ascii="宋体" w:hAnsi="宋体" w:eastAsia="黑体" w:cs="黑体"/>
          <w:kern w:val="0"/>
          <w:szCs w:val="32"/>
          <w:lang w:eastAsia="zh-CN"/>
        </w:rPr>
        <w:t>　</w:t>
      </w:r>
      <w:r>
        <w:rPr>
          <w:rFonts w:hint="eastAsia" w:ascii="宋体" w:hAnsi="宋体" w:eastAsia="黑体" w:cs="黑体"/>
          <w:kern w:val="0"/>
          <w:szCs w:val="32"/>
        </w:rPr>
        <w:t>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第一条</w:t>
      </w:r>
      <w:r>
        <w:rPr>
          <w:rFonts w:hint="eastAsia" w:ascii="宋体" w:hAnsi="宋体" w:cs="Arial"/>
          <w:kern w:val="0"/>
          <w:szCs w:val="32"/>
          <w:lang w:eastAsia="zh-CN"/>
        </w:rPr>
        <w:t>　</w:t>
      </w:r>
      <w:r>
        <w:rPr>
          <w:rFonts w:hint="eastAsia" w:ascii="宋体" w:hAnsi="宋体" w:cs="Arial"/>
          <w:kern w:val="0"/>
          <w:szCs w:val="32"/>
        </w:rPr>
        <w:t>为了规范广告活动，保护消费者的合法权益，促进广告业的健康发展，维护社会经济秩序，制定本法。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lang w:eastAsia="zh-CN"/>
        </w:rPr>
        <w:t>　</w:t>
      </w:r>
      <w:r>
        <w:rPr>
          <w:rFonts w:hint="eastAsia" w:ascii="宋体" w:hAnsi="宋体" w:cs="Arial"/>
          <w:kern w:val="0"/>
          <w:szCs w:val="32"/>
        </w:rPr>
        <w:t>在中华人民共和国境内，商品经营者或者服务提供者通过一定媒介和形式直接或者间接地介绍自己所推销的商品或者服务的商业广告活动，适用本法。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本法所称广告主，是指为推销商品或者服务，自行或者委托他人设计、制作、发布广告的自然人、法人或者其他组织。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本法所称广告经营者，是指接受委托提供广告设计、制作、代理服务的自然人、法人或者其他组织。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本法所称广告发布者，是指为广告主或者广告主委托的广告经营者发布广告的自然人、法人或者其他组织。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本法所称广告代言人，是指广告主以外的，在广告中以自己的名义或者形象对商品、服务作推荐、证明的自然人、法人或者其他组织。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lang w:eastAsia="zh-CN"/>
        </w:rPr>
        <w:t>　</w:t>
      </w:r>
      <w:r>
        <w:rPr>
          <w:rFonts w:hint="eastAsia" w:ascii="宋体" w:hAnsi="宋体" w:cs="Arial"/>
          <w:kern w:val="0"/>
          <w:szCs w:val="32"/>
        </w:rPr>
        <w:t>广告应当真实、合法，以健康的表现形式表达广告内容，符合社会主义精神文明建设和弘扬中华民族优秀传统文化的要求。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lang w:eastAsia="zh-CN"/>
        </w:rPr>
        <w:t>　</w:t>
      </w:r>
      <w:r>
        <w:rPr>
          <w:rFonts w:hint="eastAsia" w:ascii="宋体" w:hAnsi="宋体" w:cs="Arial"/>
          <w:kern w:val="0"/>
          <w:szCs w:val="32"/>
        </w:rPr>
        <w:t>广告不得含有虚假或者引人误解的内容，不得欺骗、误导消费者。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广告主应当对广告内容的真实性负责。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lang w:eastAsia="zh-CN"/>
        </w:rPr>
        <w:t>　</w:t>
      </w:r>
      <w:r>
        <w:rPr>
          <w:rFonts w:hint="eastAsia" w:ascii="宋体" w:hAnsi="宋体" w:cs="Arial"/>
          <w:kern w:val="0"/>
          <w:szCs w:val="32"/>
        </w:rPr>
        <w:t>广告主、广告经营者、广告发布者从事广告活动，应当遵守法律、法规，诚实信用，公平竞争。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lang w:eastAsia="zh-CN"/>
        </w:rPr>
        <w:t>　</w:t>
      </w:r>
      <w:r>
        <w:rPr>
          <w:rFonts w:hint="eastAsia" w:ascii="宋体" w:hAnsi="宋体" w:cs="Arial"/>
          <w:kern w:val="0"/>
          <w:szCs w:val="32"/>
        </w:rPr>
        <w:t>国务院市场监督管理部门主管全国的广告监督管理工作，国务院有关部门在各自的职责范围内负责广告管理相关工作。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县级以上地方市场监督管理部门主管本行政区域的广告监督管理工作，县级以上地方人民政府有关部门在各自的职责范围内负责广告管理相关工作。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lang w:eastAsia="zh-CN"/>
        </w:rPr>
        <w:t>　</w:t>
      </w:r>
      <w:r>
        <w:rPr>
          <w:rFonts w:hint="eastAsia" w:ascii="宋体" w:hAnsi="宋体" w:cs="Arial"/>
          <w:kern w:val="0"/>
          <w:szCs w:val="32"/>
        </w:rPr>
        <w:t>广告行业组织依照法律、法规和章程的规定，制定行业规范，加强行业自律，促进行业发展，引导会员依法从事广告活动，推动广告行业诚信建设。</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w:t>
      </w:r>
      <w:r>
        <w:rPr>
          <w:rFonts w:hint="eastAsia" w:ascii="宋体" w:hAnsi="宋体" w:eastAsia="黑体" w:cs="黑体"/>
          <w:kern w:val="0"/>
          <w:szCs w:val="32"/>
          <w:lang w:eastAsia="zh-CN"/>
        </w:rPr>
        <w:t>　</w:t>
      </w:r>
      <w:r>
        <w:rPr>
          <w:rFonts w:hint="eastAsia" w:ascii="宋体" w:hAnsi="宋体" w:eastAsia="黑体" w:cs="黑体"/>
          <w:kern w:val="0"/>
          <w:szCs w:val="32"/>
        </w:rPr>
        <w:t>广告内容准则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lang w:eastAsia="zh-CN"/>
        </w:rPr>
        <w:t>　</w:t>
      </w:r>
      <w:r>
        <w:rPr>
          <w:rFonts w:hint="eastAsia" w:ascii="宋体" w:hAnsi="宋体" w:cs="Arial"/>
          <w:kern w:val="0"/>
          <w:szCs w:val="32"/>
        </w:rPr>
        <w:t>广告中对商品的性能、功能、产地、用途、质量、成分、价格、生产者、有效期限、允诺等或者对服务的内容、提供者、形式、质量、价格、允诺等有表示的，应当准确、清楚、明白。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广告中表明推销的商品或者服务附带赠送的，应当明示所附带赠送商品或者服务的品种、规格、数量、期限和方式。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法律、行政法规规定广告中应当明示的内容，应当显著、清晰表示。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lang w:eastAsia="zh-CN"/>
        </w:rPr>
        <w:t>　</w:t>
      </w:r>
      <w:r>
        <w:rPr>
          <w:rFonts w:hint="eastAsia" w:ascii="宋体" w:hAnsi="宋体" w:cs="Arial"/>
          <w:kern w:val="0"/>
          <w:szCs w:val="32"/>
        </w:rPr>
        <w:t>广告不得有下列情形：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（一）使用或者变相使用中华人民共和国的国旗、国歌、国徽，军旗、军歌、军徽；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（二）使用或者变相使用国家机关、国家机关工作人员的名义或者形象；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（三）使用“国家级”、“最高级”、“最佳”等用语；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（四）损害国家的尊严或者利益，泄露国家秘密；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（五）妨碍社会安定，损害社会公共利益；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（六）危害人身、财产安全，泄露个人隐私；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（七）妨碍社会公共秩序或者违背社会良好风尚；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（八）含有淫秽、色情、赌博、迷信、恐怖、暴力的内容；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（九）含有民族、种族、宗教、性别歧视的内容；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（十）妨碍环境、自然资源或者文化遗产保护；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（十一）法律、行政法规规定禁止的其他情形。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lang w:eastAsia="zh-CN"/>
        </w:rPr>
        <w:t>　</w:t>
      </w:r>
      <w:r>
        <w:rPr>
          <w:rFonts w:hint="eastAsia" w:ascii="宋体" w:hAnsi="宋体" w:cs="Arial"/>
          <w:kern w:val="0"/>
          <w:szCs w:val="32"/>
        </w:rPr>
        <w:t>广告不得损害未成年人和残疾人的身心健康。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lang w:eastAsia="zh-CN"/>
        </w:rPr>
        <w:t>　</w:t>
      </w:r>
      <w:r>
        <w:rPr>
          <w:rFonts w:hint="eastAsia" w:ascii="宋体" w:hAnsi="宋体" w:cs="Arial"/>
          <w:kern w:val="0"/>
          <w:szCs w:val="32"/>
        </w:rPr>
        <w:t>广告内容涉及的事项需要取得行政许可的，应当与许可的内容相符合。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广告使用数据、统计资料、调查结果、文摘、引用语等引证内容的，应当真实、准确，并表明出处。引证内容有适用范围和有效期限的，应当明确表示。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lang w:eastAsia="zh-CN"/>
        </w:rPr>
        <w:t>　</w:t>
      </w:r>
      <w:r>
        <w:rPr>
          <w:rFonts w:hint="eastAsia" w:ascii="宋体" w:hAnsi="宋体" w:cs="Arial"/>
          <w:kern w:val="0"/>
          <w:szCs w:val="32"/>
        </w:rPr>
        <w:t>广告中涉及专利产品或者专利方法的，应当标明专利号和专利种类。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未取得专利权的，不得在广告中谎称取得专利权。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禁止使用未授予专利权的专利申请和已经终止、撤销、无效的专利作广告。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lang w:eastAsia="zh-CN"/>
        </w:rPr>
        <w:t>　</w:t>
      </w:r>
      <w:r>
        <w:rPr>
          <w:rFonts w:hint="eastAsia" w:ascii="宋体" w:hAnsi="宋体" w:cs="Arial"/>
          <w:kern w:val="0"/>
          <w:szCs w:val="32"/>
        </w:rPr>
        <w:t>广告不得贬低其他生产经营者的商品或者服务。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lang w:eastAsia="zh-CN"/>
        </w:rPr>
        <w:t>　</w:t>
      </w:r>
      <w:r>
        <w:rPr>
          <w:rFonts w:hint="eastAsia" w:ascii="宋体" w:hAnsi="宋体" w:cs="Arial"/>
          <w:kern w:val="0"/>
          <w:szCs w:val="32"/>
        </w:rPr>
        <w:t>广告应当具有可识别性，能够使消费者辨明其为广告。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大众传播媒介不得以新闻报道形式变相发布广告。通过大众传播媒介发布的广告应当显著标明“广告”，与其他非广告信息相区别，不得使消费者产生误解。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广播电台、电视台发布广告，应当遵守国务院有关部门关于时长、方式的规定，并应当对广告时长作出明显提示。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lang w:eastAsia="zh-CN"/>
        </w:rPr>
        <w:t>　</w:t>
      </w:r>
      <w:r>
        <w:rPr>
          <w:rFonts w:hint="eastAsia" w:ascii="宋体" w:hAnsi="宋体" w:cs="Arial"/>
          <w:kern w:val="0"/>
          <w:szCs w:val="32"/>
        </w:rPr>
        <w:t>麻醉药品、精神药品、医疗用毒性药品、放射性药品等特殊药品，药品类易制毒化学品，以及戒毒治疗的药品、医疗器械和治疗方法，不得作广告。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前款规定以外的处方药，只能在国务院卫生行政部门和国务院药品监督管理部门共同指定的医学、药学专业刊物上作广告。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lang w:eastAsia="zh-CN"/>
        </w:rPr>
        <w:t>　</w:t>
      </w:r>
      <w:r>
        <w:rPr>
          <w:rFonts w:hint="eastAsia" w:ascii="宋体" w:hAnsi="宋体" w:cs="Arial"/>
          <w:kern w:val="0"/>
          <w:szCs w:val="32"/>
        </w:rPr>
        <w:t>医疗、药品、医疗器械广告不得含有下列内容：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（一）表示功效、安全性的断言或者保证；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（二）说明治愈率或者有效率；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（三）与其他药品、医疗器械的功效和安全性或者其他医疗机构比较；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（四）利用广告代言人作推荐、证明；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（五）法律、行政法规规定禁止的其他内容。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说明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lang w:eastAsia="zh-CN"/>
        </w:rPr>
        <w:t>　</w:t>
      </w:r>
      <w:r>
        <w:rPr>
          <w:rFonts w:hint="eastAsia" w:ascii="宋体" w:hAnsi="宋体" w:cs="Arial"/>
          <w:kern w:val="0"/>
          <w:szCs w:val="32"/>
        </w:rPr>
        <w:t>除医疗、药品、医疗器械广告外，禁止其他任何广告涉及疾病治疗功能，并不得使用医疗用语或者易使推销的商品与药品、医疗器械相混淆的用语。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lang w:eastAsia="zh-CN"/>
        </w:rPr>
        <w:t>　</w:t>
      </w:r>
      <w:r>
        <w:rPr>
          <w:rFonts w:hint="eastAsia" w:ascii="宋体" w:hAnsi="宋体" w:cs="Arial"/>
          <w:kern w:val="0"/>
          <w:szCs w:val="32"/>
        </w:rPr>
        <w:t>保健食品广告不得含有下列内容：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（一）表示功效、安全性的断言或者保证；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（二）涉及疾病预防、治疗功能；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（三）声称或者暗示广告商品为保障健康所必需；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（四）与药品、其他保健食品进行比较；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（五）利用广告代言人作推荐、证明；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（六）法律、行政法规规定禁止的其他内容。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保健食品广告应当显著标明“本品不能代替药物”。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lang w:eastAsia="zh-CN"/>
        </w:rPr>
        <w:t>　</w:t>
      </w:r>
      <w:r>
        <w:rPr>
          <w:rFonts w:hint="eastAsia" w:ascii="宋体" w:hAnsi="宋体" w:cs="Arial"/>
          <w:kern w:val="0"/>
          <w:szCs w:val="32"/>
        </w:rPr>
        <w:t>广播电台、电视台、报刊音像出版单位、互联网信息服务提供者不得以介绍健康、养生知识等形式变相发布医疗、药品、医疗器械、保健食品广告。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lang w:eastAsia="zh-CN"/>
        </w:rPr>
        <w:t>　</w:t>
      </w:r>
      <w:r>
        <w:rPr>
          <w:rFonts w:hint="eastAsia" w:ascii="宋体" w:hAnsi="宋体" w:cs="Arial"/>
          <w:kern w:val="0"/>
          <w:szCs w:val="32"/>
        </w:rPr>
        <w:t>禁止在大众传播媒介或者公共场所发布声称全部或者部分替代母乳的婴儿乳制品、饮料和其他食品广告。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lang w:eastAsia="zh-CN"/>
        </w:rPr>
        <w:t>　</w:t>
      </w:r>
      <w:r>
        <w:rPr>
          <w:rFonts w:hint="eastAsia" w:ascii="宋体" w:hAnsi="宋体" w:cs="Arial"/>
          <w:kern w:val="0"/>
          <w:szCs w:val="32"/>
        </w:rPr>
        <w:t>农药、兽药、饲料和饲料添加剂广告不得含有下列内容：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（一）表示功效、安全性的断言或者保证；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（二）利用科研单位、学术机构、技术推广机构、行业协会或者专业人士、用户的名义或者形象作推荐、证明；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（三）说明有效率；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（四）违反安全使用规程的文字、语言或者画面；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（五）法律、行政法规规定禁止的其他内容。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lang w:eastAsia="zh-CN"/>
        </w:rPr>
        <w:t>　</w:t>
      </w:r>
      <w:r>
        <w:rPr>
          <w:rFonts w:hint="eastAsia" w:ascii="宋体" w:hAnsi="宋体" w:cs="Arial"/>
          <w:kern w:val="0"/>
          <w:szCs w:val="32"/>
        </w:rPr>
        <w:t>禁止在大众传播媒介或者公共场所、公共交通工具、户外发布烟草广告。禁止向未成年人发送任何形式的烟草广告。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禁止利用其他商品或者服务的广告、公益广告，宣传烟草制品名称、商标、包装、装潢以及类似内容。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烟草制品生产者或者销售者发布的迁址、更名、招聘等启事中，不得含有烟草制品名称、商标、包装、装潢以及类似内容。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lang w:eastAsia="zh-CN"/>
        </w:rPr>
        <w:t>　</w:t>
      </w:r>
      <w:r>
        <w:rPr>
          <w:rFonts w:hint="eastAsia" w:ascii="宋体" w:hAnsi="宋体" w:cs="Arial"/>
          <w:kern w:val="0"/>
          <w:szCs w:val="32"/>
        </w:rPr>
        <w:t>酒类广告不得含有下列内容：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（一）诱导、怂恿饮酒或者宣传无节制饮酒；</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（二）出现饮酒的动作；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（三）表现驾驶车、船、飞机等活动；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（四）明示或者暗示饮酒有消除紧张和焦虑、增加体力等功效。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lang w:eastAsia="zh-CN"/>
        </w:rPr>
        <w:t>　</w:t>
      </w:r>
      <w:r>
        <w:rPr>
          <w:rFonts w:hint="eastAsia" w:ascii="宋体" w:hAnsi="宋体" w:cs="Arial"/>
          <w:kern w:val="0"/>
          <w:szCs w:val="32"/>
        </w:rPr>
        <w:t>教育、培训广告不得含有下列内容：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（一）对升学、通过考试、获得学位学历或者合格证书，或者对教育、培训的效果作出明示或者暗示的保证性承诺；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（二）明示或者暗示有相关考试机构或者其工作人员、考试命题人员参与教育、培训；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（三）利用科研单位、学术机构、教育机构、行业协会、专业人士、受益者的名义或者形象作推荐、证明。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lang w:eastAsia="zh-CN"/>
        </w:rPr>
        <w:t>　</w:t>
      </w:r>
      <w:r>
        <w:rPr>
          <w:rFonts w:hint="eastAsia" w:ascii="宋体" w:hAnsi="宋体" w:cs="Arial"/>
          <w:kern w:val="0"/>
          <w:szCs w:val="32"/>
        </w:rPr>
        <w:t>招商等有投资回报预期的商品或者服务广告，应当对可能存在的风险以及风险责任承担有合理提示或者警示，并不得含有下列内容：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（一）对未来效果、收益或者与其相关的情况作出保证性承诺，明示或者暗示保本、无风险或者保收益等，国家另有规定的除外；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（二）利用学术机构、行业协会、专业人士、受益者的名义或者形象作推荐、证明。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lang w:eastAsia="zh-CN"/>
        </w:rPr>
        <w:t>　</w:t>
      </w:r>
      <w:r>
        <w:rPr>
          <w:rFonts w:hint="eastAsia" w:ascii="宋体" w:hAnsi="宋体" w:cs="Arial"/>
          <w:kern w:val="0"/>
          <w:szCs w:val="32"/>
        </w:rPr>
        <w:t>房地产广告，房源信息应当真实，面积应当表明为建筑面积或者套内建筑面积，并不得含有下列内容：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（一）升值或者投资回报的承诺；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（二）以项目到达某一具体参照物的所需时间表示项目位置；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（三）违反国家有关价格管理的规定；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（四）对规划或者建设中的交通、商业、文化教育设施以及其他市政条件作误导宣传。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lang w:eastAsia="zh-CN"/>
        </w:rPr>
        <w:t>　</w:t>
      </w:r>
      <w:r>
        <w:rPr>
          <w:rFonts w:hint="eastAsia" w:ascii="宋体" w:hAnsi="宋体" w:cs="Arial"/>
          <w:kern w:val="0"/>
          <w:szCs w:val="32"/>
        </w:rPr>
        <w:t>农作物种子、林木种子、草种子、种畜禽、水产苗种和种养殖广告关于品种名称、生产性能、生长量或者产量、品质、抗性、特殊使用价值、经济价值、适宜种植或者养殖的范围和条件等方面的表述应当真实、清楚、明白，并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（一）作科学上无法验证的断言；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（二）表示功效的断言或者保证；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（三）对经济效益进行分析、预测或者作保证性承诺；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（四）利用科研单位、学术机构、技术推广机构、行业协会或者专业人士、用户的名义或者形象作推荐、证明。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lang w:eastAsia="zh-CN"/>
        </w:rPr>
        <w:t>　</w:t>
      </w:r>
      <w:r>
        <w:rPr>
          <w:rFonts w:hint="eastAsia" w:ascii="宋体" w:hAnsi="宋体" w:cs="Arial"/>
          <w:kern w:val="0"/>
          <w:szCs w:val="32"/>
        </w:rPr>
        <w:t>广告以虚假或者引人误解的内容欺骗、误导消费者的，构成虚假广告。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广告有下列情形之一的，为虚假广告：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（一）商品或者服务不存在的；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（三）使用虚构、伪造或者无法验证的科研成果、统计资料、调查结果、文摘、引用语等信息作证明材料的；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（四）虚构使用商品或者接受服务的效果的；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（五）以虚假或者引人误解的内容欺骗、误导消费者的其他情形。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w:t>
      </w:r>
      <w:r>
        <w:rPr>
          <w:rFonts w:hint="eastAsia" w:ascii="宋体" w:hAnsi="宋体" w:eastAsia="黑体" w:cs="黑体"/>
          <w:kern w:val="0"/>
          <w:szCs w:val="32"/>
          <w:lang w:eastAsia="zh-CN"/>
        </w:rPr>
        <w:t>　</w:t>
      </w:r>
      <w:r>
        <w:rPr>
          <w:rFonts w:hint="eastAsia" w:ascii="宋体" w:hAnsi="宋体" w:eastAsia="黑体" w:cs="黑体"/>
          <w:kern w:val="0"/>
          <w:szCs w:val="32"/>
        </w:rPr>
        <w:t>广告行为规范</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lang w:eastAsia="zh-CN"/>
        </w:rPr>
        <w:t>　</w:t>
      </w:r>
      <w:r>
        <w:rPr>
          <w:rFonts w:hint="eastAsia" w:ascii="宋体" w:hAnsi="宋体" w:cs="Arial"/>
          <w:kern w:val="0"/>
          <w:szCs w:val="32"/>
        </w:rPr>
        <w:t>广播电台、电视台、报刊出版单位从事广告发布业务的，应当设有专门从事广告业务的机构，配备必要的人员，具有与发布广告相适应的场所、设备，并向县级以上地方市场监督管理部门办理广告发布登记。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lang w:eastAsia="zh-CN"/>
        </w:rPr>
        <w:t>　</w:t>
      </w:r>
      <w:r>
        <w:rPr>
          <w:rFonts w:hint="eastAsia" w:ascii="宋体" w:hAnsi="宋体" w:cs="Arial"/>
          <w:kern w:val="0"/>
          <w:szCs w:val="32"/>
        </w:rPr>
        <w:t>广告主、广告经营者、广告发布者之间在广告活动中应当依法订立书面合同。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lang w:eastAsia="zh-CN"/>
        </w:rPr>
        <w:t>　</w:t>
      </w:r>
      <w:r>
        <w:rPr>
          <w:rFonts w:hint="eastAsia" w:ascii="宋体" w:hAnsi="宋体" w:cs="Arial"/>
          <w:kern w:val="0"/>
          <w:szCs w:val="32"/>
        </w:rPr>
        <w:t>广告主、广告经营者、广告发布者不得在广告活动中进行任何形式的不正当竞争。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lang w:eastAsia="zh-CN"/>
        </w:rPr>
        <w:t>　</w:t>
      </w:r>
      <w:r>
        <w:rPr>
          <w:rFonts w:hint="eastAsia" w:ascii="宋体" w:hAnsi="宋体" w:cs="Arial"/>
          <w:kern w:val="0"/>
          <w:szCs w:val="32"/>
        </w:rPr>
        <w:t>广告主委托设计、制作、发布广告，应当委托具有合法经营资格的广告经营者、广告发布者。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lang w:eastAsia="zh-CN"/>
        </w:rPr>
        <w:t>　</w:t>
      </w:r>
      <w:r>
        <w:rPr>
          <w:rFonts w:hint="eastAsia" w:ascii="宋体" w:hAnsi="宋体" w:cs="Arial"/>
          <w:kern w:val="0"/>
          <w:szCs w:val="32"/>
        </w:rPr>
        <w:t>广告主或者广告经营者在广告中使用他人名义或者形象的，应当事先取得其书面同意；使用无民事行为能力人、限制民事行为能力人的名义或者形象的，应当事先取得其监护人的书面同意。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lang w:eastAsia="zh-CN"/>
        </w:rPr>
        <w:t>　</w:t>
      </w:r>
      <w:r>
        <w:rPr>
          <w:rFonts w:hint="eastAsia" w:ascii="宋体" w:hAnsi="宋体" w:cs="Arial"/>
          <w:kern w:val="0"/>
          <w:szCs w:val="32"/>
        </w:rPr>
        <w:t>广告经营者、广告发布者应当按照国家有关规定，建立、健全广告业务的承接登记、审核、档案管理制度。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广告经营者、广告发布者依据法律、行政法规查验有关证明文件，核对广告内容。对内容不符或者证明文件不全的广告，广告经营者不得提供设计、制作、代理服务，广告发布者不得发布。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lang w:eastAsia="zh-CN"/>
        </w:rPr>
        <w:t>　</w:t>
      </w:r>
      <w:r>
        <w:rPr>
          <w:rFonts w:hint="eastAsia" w:ascii="宋体" w:hAnsi="宋体" w:cs="Arial"/>
          <w:kern w:val="0"/>
          <w:szCs w:val="32"/>
        </w:rPr>
        <w:t>广告经营者、广告发布者应当公布其收费标准和收费办法。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lang w:eastAsia="zh-CN"/>
        </w:rPr>
        <w:t>　</w:t>
      </w:r>
      <w:r>
        <w:rPr>
          <w:rFonts w:hint="eastAsia" w:ascii="宋体" w:hAnsi="宋体" w:cs="Arial"/>
          <w:kern w:val="0"/>
          <w:szCs w:val="32"/>
        </w:rPr>
        <w:t>广告发布者向广告主、广告经营者提供的覆盖率、收视率、点击率、发行量等资料应当真实。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lang w:eastAsia="zh-CN"/>
        </w:rPr>
        <w:t>　</w:t>
      </w:r>
      <w:r>
        <w:rPr>
          <w:rFonts w:hint="eastAsia" w:ascii="宋体" w:hAnsi="宋体" w:cs="Arial"/>
          <w:kern w:val="0"/>
          <w:szCs w:val="32"/>
        </w:rPr>
        <w:t>法律、行政法规规定禁止生产、销售的产品或者提供的服务，以及禁止发布广告的商品或者服务，任何单位或者个人不得设计、制作、代理、发布广告。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lang w:eastAsia="zh-CN"/>
        </w:rPr>
        <w:t>　</w:t>
      </w:r>
      <w:r>
        <w:rPr>
          <w:rFonts w:hint="eastAsia" w:ascii="宋体" w:hAnsi="宋体" w:cs="Arial"/>
          <w:kern w:val="0"/>
          <w:szCs w:val="32"/>
        </w:rPr>
        <w:t>广告代言人在广告中对商品、服务作推荐、证明，应当依据事实，符合本法和有关法律、行政法规规定，并不得为其未使用过的商品或者未接受过的服务作推荐、证明。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不得利用不满十周岁的未成年人作为广告代言人。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对在虚假广告中作推荐、证明受到行政处罚未满三年的自然人、法人或者其他组织，不得利用其作为广告代言人。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lang w:eastAsia="zh-CN"/>
        </w:rPr>
        <w:t>　</w:t>
      </w:r>
      <w:r>
        <w:rPr>
          <w:rFonts w:hint="eastAsia" w:ascii="宋体" w:hAnsi="宋体" w:cs="Arial"/>
          <w:kern w:val="0"/>
          <w:szCs w:val="32"/>
        </w:rPr>
        <w:t>不得在中小学校、幼儿园内开展广告活动，不得利用中小学生和幼儿的教材、教辅材料、练习册、文具、教具、校服、校车等发布或者变相发布广告，但公益广告除外。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lang w:eastAsia="zh-CN"/>
        </w:rPr>
        <w:t>　</w:t>
      </w:r>
      <w:r>
        <w:rPr>
          <w:rFonts w:hint="eastAsia" w:ascii="宋体" w:hAnsi="宋体" w:cs="Arial"/>
          <w:kern w:val="0"/>
          <w:szCs w:val="32"/>
        </w:rPr>
        <w:t>在针对未成年人的大众传播媒介上不得发布医疗、药品、保健食品、医疗器械、化妆品、酒类、美容广告，以及不利于未成年人身心健康的网络游戏广告。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针对不满十四周岁的未成年人的商品或者服务的广告不得含有下列内容：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（一）劝诱其要求家长购买广告商品或者服务；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（二）可能引发其模仿不安全行为。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lang w:eastAsia="zh-CN"/>
        </w:rPr>
        <w:t>　</w:t>
      </w:r>
      <w:r>
        <w:rPr>
          <w:rFonts w:hint="eastAsia" w:ascii="宋体" w:hAnsi="宋体" w:cs="Arial"/>
          <w:kern w:val="0"/>
          <w:szCs w:val="32"/>
        </w:rPr>
        <w:t>县级以上地方人民政府应当组织有关部门加强对利用户外场所、空间、设施等发布户外广告的监督管理，制定户外广告设置规划和安全要求。</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户外广告的管理办法，由地方性法规、地方政府规章规定。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lang w:eastAsia="zh-CN"/>
        </w:rPr>
        <w:t>　</w:t>
      </w:r>
      <w:r>
        <w:rPr>
          <w:rFonts w:hint="eastAsia" w:ascii="宋体" w:hAnsi="宋体" w:cs="Arial"/>
          <w:kern w:val="0"/>
          <w:szCs w:val="32"/>
        </w:rPr>
        <w:t>有下列情形之一的，不得设置户外广告：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（一）利用交通安全设施、交通标志的；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（二）影响市政公共设施、交通安全设施、交通标志、消防设施、消防安全标志使用的；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（三）妨碍生产或者人民生活，损害市容市貌的；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（四）在国家机关、文物保护单位、风景名胜区等的建筑控制地带，或者县级以上地方人民政府禁止设置户外广告的区域设置的。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lang w:eastAsia="zh-CN"/>
        </w:rPr>
        <w:t>　</w:t>
      </w:r>
      <w:r>
        <w:rPr>
          <w:rFonts w:hint="eastAsia" w:ascii="宋体" w:hAnsi="宋体" w:cs="Arial"/>
          <w:kern w:val="0"/>
          <w:szCs w:val="32"/>
        </w:rPr>
        <w:t>任何单位或者个人未经当事人同意或者请求，不得向其住宅、交通工具等发送广告，也不得以电子信息方式向其发送广告。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以电子信息方式发送广告的，应当明示发送者的真实身份和联系方式，并向接收者提供拒绝继续接收的方式。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lang w:eastAsia="zh-CN"/>
        </w:rPr>
        <w:t>　</w:t>
      </w:r>
      <w:r>
        <w:rPr>
          <w:rFonts w:hint="eastAsia" w:ascii="宋体" w:hAnsi="宋体" w:cs="Arial"/>
          <w:kern w:val="0"/>
          <w:szCs w:val="32"/>
        </w:rPr>
        <w:t>利用互联网从事广告活动，适用本法的各项规定。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利用互联网发布、发送广告，不得影响用户正常使用网络。在互联网页面以弹出等形式发布的广告，应当显著标明关闭标志，确保一键关闭。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lang w:eastAsia="zh-CN"/>
        </w:rPr>
        <w:t>　</w:t>
      </w:r>
      <w:r>
        <w:rPr>
          <w:rFonts w:hint="eastAsia" w:ascii="宋体" w:hAnsi="宋体" w:cs="Arial"/>
          <w:kern w:val="0"/>
          <w:szCs w:val="32"/>
        </w:rPr>
        <w:t>公共场所的管理者或者电信业务经营者、互联网信息服务提供者对其明知或者应知的利用其场所或者信息传输、发布平台发送、发布违法广告的，应当予以制止。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w:t>
      </w:r>
      <w:r>
        <w:rPr>
          <w:rFonts w:hint="eastAsia" w:ascii="宋体" w:hAnsi="宋体" w:eastAsia="黑体" w:cs="黑体"/>
          <w:kern w:val="0"/>
          <w:szCs w:val="32"/>
          <w:lang w:eastAsia="zh-CN"/>
        </w:rPr>
        <w:t>　</w:t>
      </w:r>
      <w:r>
        <w:rPr>
          <w:rFonts w:hint="eastAsia" w:ascii="宋体" w:hAnsi="宋体" w:eastAsia="黑体" w:cs="黑体"/>
          <w:kern w:val="0"/>
          <w:szCs w:val="32"/>
        </w:rPr>
        <w:t>监督管理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lang w:eastAsia="zh-CN"/>
        </w:rPr>
        <w:t>　</w:t>
      </w:r>
      <w:r>
        <w:rPr>
          <w:rFonts w:hint="eastAsia" w:ascii="宋体" w:hAnsi="宋体" w:cs="Arial"/>
          <w:kern w:val="0"/>
          <w:szCs w:val="32"/>
        </w:rPr>
        <w:t>发布医疗、药品、医疗器械、农药、兽药和保健食品广告，以及法律、行政法规规定应当进行审查的其他广告，应当在发布前由有关部门（以下称广告审查机关）对广告内容进行审查；未经审查，不得发布。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lang w:eastAsia="zh-CN"/>
        </w:rPr>
        <w:t>　</w:t>
      </w:r>
      <w:r>
        <w:rPr>
          <w:rFonts w:hint="eastAsia" w:ascii="宋体" w:hAnsi="宋体" w:cs="Arial"/>
          <w:kern w:val="0"/>
          <w:szCs w:val="32"/>
        </w:rPr>
        <w:t>广告主申请广告审查，应当依照法律、行政法规向广告审查机关提交有关证明文件。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广告审查机关应当依照法律、行政法规规定作出审查决定，并应当将审查批准文件抄送同级市场监督管理部门。广告审查机关应当及时向社会公布批准的广告。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lang w:eastAsia="zh-CN"/>
        </w:rPr>
        <w:t>　</w:t>
      </w:r>
      <w:r>
        <w:rPr>
          <w:rFonts w:hint="eastAsia" w:ascii="宋体" w:hAnsi="宋体" w:cs="Arial"/>
          <w:kern w:val="0"/>
          <w:szCs w:val="32"/>
        </w:rPr>
        <w:t>任何单位或者个人不得伪造、变造或者转让广告审查批准文件。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lang w:eastAsia="zh-CN"/>
        </w:rPr>
        <w:t>　</w:t>
      </w:r>
      <w:r>
        <w:rPr>
          <w:rFonts w:hint="eastAsia" w:ascii="宋体" w:hAnsi="宋体" w:cs="Arial"/>
          <w:kern w:val="0"/>
          <w:szCs w:val="32"/>
        </w:rPr>
        <w:t>市场监督管理部门履行广告监督管理职责，可以行使下列职权：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（一）对涉嫌从事违法广告活动的场所实施现场检查；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（二）询问涉嫌违法当事人或者其法定代表人、主要负责人和其他有关人员，对有关单位或者个人进行调查；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（三）要求涉嫌违法当事人限期提供有关证明文件；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（四）查阅、复制与涉嫌违法广告有关的合同、票据、账簿、广告作品和其他有关资料；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（五）查封、扣押与涉嫌违法广告直接相关的广告物品、经营工具、设备等财物；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（六）责令暂停发布可能造成严重后果的涉嫌违法广告；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（七）法律、行政法规规定的其他职权。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市场监督管理部门应当建立健全广告监测制度，完善监测措施，及时发现和依法查处违法广告行为。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lang w:eastAsia="zh-CN"/>
        </w:rPr>
        <w:t>　</w:t>
      </w:r>
      <w:r>
        <w:rPr>
          <w:rFonts w:hint="eastAsia" w:ascii="宋体" w:hAnsi="宋体" w:cs="Arial"/>
          <w:kern w:val="0"/>
          <w:szCs w:val="32"/>
        </w:rPr>
        <w:t>国务院市场监督管理部门会同国务院有关部门，制定大众传播媒介广告发布行为规范。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lang w:eastAsia="zh-CN"/>
        </w:rPr>
        <w:t>　</w:t>
      </w:r>
      <w:r>
        <w:rPr>
          <w:rFonts w:hint="eastAsia" w:ascii="宋体" w:hAnsi="宋体" w:cs="Arial"/>
          <w:kern w:val="0"/>
          <w:szCs w:val="32"/>
        </w:rPr>
        <w:t>市场监督管理部门依照本法规定行使职权，当事人应当协助、配合，不得拒绝、阻挠。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lang w:eastAsia="zh-CN"/>
        </w:rPr>
        <w:t>　</w:t>
      </w:r>
      <w:r>
        <w:rPr>
          <w:rFonts w:hint="eastAsia" w:ascii="宋体" w:hAnsi="宋体" w:cs="Arial"/>
          <w:kern w:val="0"/>
          <w:szCs w:val="32"/>
        </w:rPr>
        <w:t>市场监督管理部门和有关部门及其工作人员对其在广告监督管理活动中知悉的商业秘密负有保密义务。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lang w:eastAsia="zh-CN"/>
        </w:rPr>
        <w:t>　</w:t>
      </w:r>
      <w:r>
        <w:rPr>
          <w:rFonts w:hint="eastAsia" w:ascii="宋体" w:hAnsi="宋体" w:cs="Arial"/>
          <w:kern w:val="0"/>
          <w:szCs w:val="32"/>
        </w:rPr>
        <w:t>任何单位或者个人有权向市场监督管理部门和有关部门投诉、举报违反本法的行为。市场监督管理部门和有关部门应当向社会公开受理投诉、举报的电话、信箱或者电子邮件地址，接到投诉、举报的部门应当自收到投诉之日起七个工作日内，予以处理并告知投诉、举报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市场监督管理部门和有关部门不依法履行职责的，任何单位或者个人有权向其上级机关或者监察机关举报。接到举报的机关应当依法作出处理，并将处理结果及时告知举报人。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有关部门应当为投诉、举报人保密。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lang w:eastAsia="zh-CN"/>
        </w:rPr>
        <w:t>　</w:t>
      </w:r>
      <w:r>
        <w:rPr>
          <w:rFonts w:hint="eastAsia" w:ascii="宋体" w:hAnsi="宋体" w:cs="Arial"/>
          <w:kern w:val="0"/>
          <w:szCs w:val="32"/>
        </w:rPr>
        <w:t>消费者协会和其他消费者组织对违反本法规定，发布虚假广告侵害消费者合法权益，以及其他损害社会公共利益的行为，依法进行社会监督。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w:t>
      </w:r>
      <w:r>
        <w:rPr>
          <w:rFonts w:hint="eastAsia" w:ascii="宋体" w:hAnsi="宋体" w:eastAsia="黑体" w:cs="黑体"/>
          <w:kern w:val="0"/>
          <w:szCs w:val="32"/>
          <w:lang w:eastAsia="zh-CN"/>
        </w:rPr>
        <w:t>　</w:t>
      </w:r>
      <w:r>
        <w:rPr>
          <w:rFonts w:hint="eastAsia" w:ascii="宋体" w:hAnsi="宋体" w:eastAsia="黑体" w:cs="黑体"/>
          <w:kern w:val="0"/>
          <w:szCs w:val="32"/>
        </w:rPr>
        <w:t>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lang w:eastAsia="zh-CN"/>
        </w:rPr>
        <w:t>　</w:t>
      </w:r>
      <w:r>
        <w:rPr>
          <w:rFonts w:hint="eastAsia" w:ascii="宋体" w:hAnsi="宋体" w:cs="Arial"/>
          <w:kern w:val="0"/>
          <w:szCs w:val="32"/>
        </w:rPr>
        <w:t>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医疗机构有前款规定违法行为，情节严重的，除由市场监督管理部门依照本法处罚外，卫生行政部门可以吊销诊疗科目或者吊销医疗机构执业许可证。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经营者、广告发布者明知或者应知广告虚假仍设计、制作、代理、发布的，由市场监督管理部门没收广告费用，并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并可以由有关部门暂停广告发布业务、吊销营业执照、吊销广告发布登记证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广告主、广告经营者、广告发布者有本条第一款、第三款规定行为，构成犯罪的，依法追究刑事责任。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lang w:eastAsia="zh-CN"/>
        </w:rPr>
        <w:t>　</w:t>
      </w:r>
      <w:r>
        <w:rPr>
          <w:rFonts w:hint="eastAsia" w:ascii="宋体" w:hAnsi="宋体" w:cs="Arial"/>
          <w:kern w:val="0"/>
          <w:szCs w:val="32"/>
        </w:rPr>
        <w:t>违反本法规定，发布虚假广告，欺骗、误导消费者，使购买商品或者接受服务的消费者的合法权益受到损害的，由广告主依法承担民事责任。广告经营者、广告发布者不能提供广告主的真实名称、地址和有效联系方式的，消费者可以要求广告经营者、广告发布者先行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关系消费者生命健康的商品或者服务的虚假广告，造成消费者损害的，其广告经营者、广告发布者、广告代言人应当与广告主承担连带责任。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前款规定以外的商品或者服务的虚假广告，造成消费者损害的，其广告经营者、广告发布者、广告代言人，明知或者应知广告虚假仍设计、制作、代理、发布或者作推荐、证明的，应当与广告主承担连带责任。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lang w:eastAsia="zh-CN"/>
        </w:rPr>
        <w:t>　</w:t>
      </w:r>
      <w:r>
        <w:rPr>
          <w:rFonts w:hint="eastAsia" w:ascii="宋体" w:hAnsi="宋体" w:cs="Arial"/>
          <w:kern w:val="0"/>
          <w:szCs w:val="32"/>
        </w:rPr>
        <w:t>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吊销</w:t>
      </w:r>
      <w:r>
        <w:rPr>
          <w:rFonts w:hint="eastAsia" w:ascii="宋体" w:hAnsi="宋体" w:eastAsia="仿宋_GB2312" w:cs="仿宋_GB2312"/>
          <w:kern w:val="0"/>
          <w:szCs w:val="32"/>
        </w:rPr>
        <w:t>广告发布登记证件：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（一）发布有本法第九条、第十条规定的禁止情形的广告的；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（二）违反本法第十五条规定发布处方药广告、药品类易制毒化学品广告、戒毒治疗的医疗器械和治疗方法广告的；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（三）违反本法第二十条规定，发布声称全部或者部分替代母乳的婴儿乳制品、饮料和其他食品广告的；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（四）违反本法第二十二条规定发布烟草广告的；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（五）违反本法第三十七条规定，利用广告推销禁止生产、销售的产品或者提供的服务，或者禁止发布广告的商品或者服务的；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（六）违反本法第四十条第一款规定，在针对未成年人的大众传播媒介上发布医疗、药品、保健食品、医疗器械、化妆品、酒类、美容广告，以及不利于未成年人身心健康的网络游戏广告的。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lang w:eastAsia="zh-CN"/>
        </w:rPr>
        <w:t>　</w:t>
      </w:r>
      <w:r>
        <w:rPr>
          <w:rFonts w:hint="eastAsia" w:ascii="宋体" w:hAnsi="宋体" w:cs="Arial"/>
          <w:kern w:val="0"/>
          <w:szCs w:val="32"/>
        </w:rPr>
        <w:t>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w:t>
      </w:r>
      <w:r>
        <w:rPr>
          <w:rFonts w:hint="eastAsia" w:ascii="宋体" w:hAnsi="宋体" w:eastAsia="仿宋_GB2312" w:cs="仿宋_GB2312"/>
          <w:kern w:val="0"/>
          <w:szCs w:val="32"/>
        </w:rPr>
        <w:t>查机关撤销广告审查批准文件、一年内不受理其广告审查申请：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（一）违反本法第十六条规定发布医疗、药品、医疗器械广告的；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（二）违反本法第十七条规定，在广告中涉及疾病治疗功能，以及使用医疗用语或者易使推销的商品与药品、医疗器械相混淆的用语的；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（三）违反本法第十八条规定发布保健食品广告的；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（四）违反本法第二十一条规定发布农药、兽药、饲料和饲料添加剂广告的；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（五）违反本法第二十三条规定发布酒类广告的；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（六）违反本法第二十四条规定发布教育、培训广告的；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（七）违反本法第二十五条规定发布招商等有投资回报预期的商品或者服务广告的；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（八）违反本法第二十六条规定发布房地产广告的；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（九）违反本法第二十七条规定发布农作物种子、林木种子、草种子、种畜禽、水产苗种和种养殖广告的；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（十）违反本法第三十八条第二款规定，利用不满十周岁的未成年人作为广告代言人的；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（十一）违反本法第三十八条第三款规定，利用自然人、法人或者其他组织作为广告代言人的；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（十二）违反本法第三十九条规定，在中小学校、幼儿园内或者利用与中小学生、幼儿有关的物品发布广告的；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（十三）违反本法第四十条第二款规定，发布针对不满十四周岁的未成年人的商品或者服务的广告的；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（十四）违反本法第四十六条规定，未经审查发布广告的。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cs="Arial"/>
          <w:kern w:val="0"/>
          <w:szCs w:val="32"/>
        </w:rPr>
        <w:t>医疗机构有前款规定违法行为，情节严重的，除由市场监督管理部门依照本法处罚外，卫生行政部门可以吊销诊疗科目或者吊销医疗机构执业许可证。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广告经营者、广告发布者明知或者应知有本条第一款规定违法行为仍设计、制作、代理、发布的，由市场监督管理部门没收广告费用，并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并可以由有关部门暂停广告发布业务、吊销营业执照、吊销广告发布登记证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第五十九条</w:t>
      </w:r>
      <w:r>
        <w:rPr>
          <w:rFonts w:hint="eastAsia" w:ascii="宋体" w:hAnsi="宋体" w:cs="Arial"/>
          <w:kern w:val="0"/>
          <w:szCs w:val="32"/>
          <w:lang w:eastAsia="zh-CN"/>
        </w:rPr>
        <w:t>　</w:t>
      </w:r>
      <w:r>
        <w:rPr>
          <w:rFonts w:hint="eastAsia" w:ascii="宋体" w:hAnsi="宋体" w:cs="Arial"/>
          <w:kern w:val="0"/>
          <w:szCs w:val="32"/>
        </w:rPr>
        <w:t>有下列行为之一的，由市场监督管理部门责令停止发布广告，对广告主处十万元以下的罚款：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（一）广告内容违反本法第八条规定的；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（二）广告引证内容违反本法第十一条规定的；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（三）涉及专利的广告违反本法第十二条规定的；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（四）违反本法第十三条规定，广告贬低其他生产经营者的</w:t>
      </w:r>
      <w:r>
        <w:rPr>
          <w:rFonts w:hint="eastAsia" w:ascii="宋体" w:hAnsi="宋体" w:cs="Arial"/>
          <w:kern w:val="0"/>
          <w:szCs w:val="32"/>
        </w:rPr>
        <w:t>商品或者服务的。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广告经营者、广告发布者明知或者应知有前款规定违法行为仍设计、制作、代理、发布的，由市场监督管理部门处十万元以下的罚款。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广告违反本法第十四条规定，不具有可识别性的，或者违反本法第十九条规定，变相发布医疗、药品、医疗器械、保健食品</w:t>
      </w:r>
      <w:r>
        <w:rPr>
          <w:rFonts w:hint="eastAsia" w:ascii="宋体" w:hAnsi="宋体" w:cs="Arial"/>
          <w:kern w:val="0"/>
          <w:szCs w:val="32"/>
        </w:rPr>
        <w:t>广告的，由市场监督管理部门责令改正，对广告发布者处十万元以下的罚款。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第六十条</w:t>
      </w: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法第二十九条规</w:t>
      </w:r>
      <w:r>
        <w:rPr>
          <w:rFonts w:hint="eastAsia" w:ascii="宋体" w:hAnsi="宋体" w:cs="Arial"/>
          <w:kern w:val="0"/>
          <w:szCs w:val="32"/>
        </w:rPr>
        <w:t>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第六十一条</w:t>
      </w: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法第三十四条规定，广告</w:t>
      </w:r>
      <w:r>
        <w:rPr>
          <w:rFonts w:hint="eastAsia" w:ascii="宋体" w:hAnsi="宋体" w:cs="Arial"/>
          <w:kern w:val="0"/>
          <w:szCs w:val="32"/>
        </w:rPr>
        <w:t>经营者、广告发布者未按照国家有关规定建立、健全广告业务管理制度的，或者未对广告内容进行核对的，由市场监督管理部门责令改正，可以处五万元以下的罚款。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法第三十五条规</w:t>
      </w:r>
      <w:r>
        <w:rPr>
          <w:rFonts w:hint="eastAsia" w:ascii="宋体" w:hAnsi="宋体" w:cs="Arial"/>
          <w:kern w:val="0"/>
          <w:szCs w:val="32"/>
        </w:rPr>
        <w:t>定，广告经营者、广告发布者未公布其收费标准和收费办法的，由价格主管部门责令改正，可以处五万元以下的罚款。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第六十二条</w:t>
      </w:r>
      <w:r>
        <w:rPr>
          <w:rFonts w:hint="eastAsia" w:ascii="宋体" w:hAnsi="宋体" w:cs="Arial"/>
          <w:kern w:val="0"/>
          <w:szCs w:val="32"/>
          <w:lang w:eastAsia="zh-CN"/>
        </w:rPr>
        <w:t>　</w:t>
      </w:r>
      <w:r>
        <w:rPr>
          <w:rFonts w:hint="eastAsia" w:ascii="宋体" w:hAnsi="宋体" w:cs="Arial"/>
          <w:kern w:val="0"/>
          <w:szCs w:val="32"/>
        </w:rPr>
        <w:t>广告代言人有下列情形之一的，由市场监督管理部门没收违法所得，并处违法所得一倍以上二倍以下的罚款：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（一）违反本法第十六条第一款第四项规定，在医疗、药品、医疗器械广告中作推荐、证明的；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（二）违反本法第十八条第一款第五项规定，在保健食品广告中作推荐、证明的；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（三）违反本法第三十八条第一款规定，为其未使用过的商品或者未接受过的服务作推荐、证明的；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（四）明知或者应知广告虚假仍在广告中对商品、服务作推荐、证明的。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第六十三条</w:t>
      </w:r>
      <w:r>
        <w:rPr>
          <w:rFonts w:hint="eastAsia" w:ascii="宋体" w:hAnsi="宋体" w:cs="Arial"/>
          <w:kern w:val="0"/>
          <w:szCs w:val="32"/>
          <w:lang w:eastAsia="zh-CN"/>
        </w:rPr>
        <w:t>　</w:t>
      </w:r>
      <w:r>
        <w:rPr>
          <w:rFonts w:hint="eastAsia" w:ascii="宋体" w:hAnsi="宋体" w:cs="Arial"/>
          <w:kern w:val="0"/>
          <w:szCs w:val="32"/>
        </w:rPr>
        <w:t>违</w:t>
      </w:r>
      <w:r>
        <w:rPr>
          <w:rFonts w:hint="eastAsia" w:ascii="宋体" w:hAnsi="宋体" w:eastAsia="仿宋_GB2312" w:cs="仿宋_GB2312"/>
          <w:kern w:val="0"/>
          <w:szCs w:val="32"/>
        </w:rPr>
        <w:t>反本法第四十三条规定发</w:t>
      </w:r>
      <w:r>
        <w:rPr>
          <w:rFonts w:hint="eastAsia" w:ascii="宋体" w:hAnsi="宋体" w:cs="Arial"/>
          <w:kern w:val="0"/>
          <w:szCs w:val="32"/>
        </w:rPr>
        <w:t>送广告的，由有关部门责令停止违法行为，对广告主处五千元以上三万元以下的罚款。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仿宋_GB2312" w:cs="仿宋_GB2312"/>
          <w:kern w:val="0"/>
          <w:szCs w:val="32"/>
        </w:rPr>
        <w:t>违反本法第四十四条第二款规定，利用互联网发布广告，未显著标明关闭标志，确保一键关闭的，由市场监督管理部门责令改正，对广告主处五千元以上三万元以下的罚款。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第六十四条</w:t>
      </w:r>
      <w:r>
        <w:rPr>
          <w:rFonts w:hint="eastAsia" w:ascii="宋体" w:hAnsi="宋体" w:cs="Arial"/>
          <w:kern w:val="0"/>
          <w:szCs w:val="32"/>
          <w:lang w:eastAsia="zh-CN"/>
        </w:rPr>
        <w:t>　</w:t>
      </w:r>
      <w:r>
        <w:rPr>
          <w:rFonts w:hint="eastAsia" w:ascii="宋体" w:hAnsi="宋体" w:cs="Arial"/>
          <w:kern w:val="0"/>
          <w:szCs w:val="32"/>
        </w:rPr>
        <w:t>违反本</w:t>
      </w:r>
      <w:r>
        <w:rPr>
          <w:rFonts w:hint="eastAsia" w:ascii="宋体" w:hAnsi="宋体" w:eastAsia="仿宋_GB2312" w:cs="仿宋_GB2312"/>
          <w:kern w:val="0"/>
          <w:szCs w:val="32"/>
        </w:rPr>
        <w:t>法第四十五条规定</w:t>
      </w:r>
      <w:r>
        <w:rPr>
          <w:rFonts w:hint="eastAsia" w:ascii="宋体" w:hAnsi="宋体" w:cs="Arial"/>
          <w:kern w:val="0"/>
          <w:szCs w:val="32"/>
        </w:rPr>
        <w:t>，公共场所的管理者和电信业务经营者、互联网信息服务提供者，明知或者应知广告活动违法不予制止的，由市场监督管理部门没收违法所得，违法所得五万元以上的，并处违法所得一倍以上三倍以下的罚款，违法所得不足五万元的，并处一万元以上五万元以下的罚款；情节严重的，由有关部门依法停止相关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第六十五条</w:t>
      </w:r>
      <w:r>
        <w:rPr>
          <w:rFonts w:hint="eastAsia" w:ascii="宋体" w:hAnsi="宋体" w:cs="Arial"/>
          <w:kern w:val="0"/>
          <w:szCs w:val="32"/>
          <w:lang w:eastAsia="zh-CN"/>
        </w:rPr>
        <w:t>　</w:t>
      </w:r>
      <w:r>
        <w:rPr>
          <w:rFonts w:hint="eastAsia" w:ascii="宋体" w:hAnsi="宋体" w:cs="Arial"/>
          <w:kern w:val="0"/>
          <w:szCs w:val="32"/>
        </w:rPr>
        <w:t>违反本法规定，隐瞒真实情况或者提供虚假材料申请广告审查的，广告审查机关不予受理或者不予批准，予以警告，一年内不受理该申请人的广告审查申请；以欺骗、贿赂等不正当手段取得广告审查批准的，广告审查机关予以撤销，处十万元以上二十万元以下的罚款，三年内不受理该申请人的广告审查申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第六十六条</w:t>
      </w:r>
      <w:r>
        <w:rPr>
          <w:rFonts w:hint="eastAsia" w:ascii="宋体" w:hAnsi="宋体" w:cs="Arial"/>
          <w:kern w:val="0"/>
          <w:szCs w:val="32"/>
          <w:lang w:eastAsia="zh-CN"/>
        </w:rPr>
        <w:t>　</w:t>
      </w:r>
      <w:r>
        <w:rPr>
          <w:rFonts w:hint="eastAsia" w:ascii="宋体" w:hAnsi="宋体" w:cs="Arial"/>
          <w:kern w:val="0"/>
          <w:szCs w:val="32"/>
        </w:rPr>
        <w:t>违反本法规定，伪造、变造或者转让广告审查批准文件的，由市场监督管理部门没收违法所得，并处一万元以上十万元以下的罚款。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第六十七条</w:t>
      </w:r>
      <w:r>
        <w:rPr>
          <w:rFonts w:hint="eastAsia" w:ascii="宋体" w:hAnsi="宋体" w:cs="Arial"/>
          <w:kern w:val="0"/>
          <w:szCs w:val="32"/>
          <w:lang w:eastAsia="zh-CN"/>
        </w:rPr>
        <w:t>　</w:t>
      </w:r>
      <w:r>
        <w:rPr>
          <w:rFonts w:hint="eastAsia" w:ascii="宋体" w:hAnsi="宋体" w:cs="Arial"/>
          <w:kern w:val="0"/>
          <w:szCs w:val="32"/>
        </w:rPr>
        <w:t>有本法规定的违法行为的，由市场监督管理部门记入信用档案，并依照有关法律、行政法规规定予以公示。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第六十八条</w:t>
      </w:r>
      <w:r>
        <w:rPr>
          <w:rFonts w:hint="eastAsia" w:ascii="宋体" w:hAnsi="宋体" w:cs="Arial"/>
          <w:kern w:val="0"/>
          <w:szCs w:val="32"/>
          <w:lang w:eastAsia="zh-CN"/>
        </w:rPr>
        <w:t>　</w:t>
      </w:r>
      <w:r>
        <w:rPr>
          <w:rFonts w:hint="eastAsia" w:ascii="宋体" w:hAnsi="宋体" w:cs="Arial"/>
          <w:kern w:val="0"/>
          <w:szCs w:val="32"/>
        </w:rPr>
        <w:t>广播电台、电视台、报刊音像出版单位发布违法广告，或者以新闻报道形式变相发布广告，或者以介绍健康、养生知识等形式变相发布医疗、药品、医疗器械、保健食品广告，市场监督管理部门依照本法给予处罚的，应当通报新闻出版、广播电视主管部门以及其他有关部门。新闻出版、广播电视主管部门以及其他有关部门应当依法对负有责任的主管人员和直接责任人员给予处分；情节严重的，并可以暂停媒体的广告发布业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新闻出版、广播电视主管部门以及其他有关部门未依照前款规定对广播电台、电视台、报刊音像出版单位进行处理的，对负有责任的主管人员和直接责任人员，依法给予处分。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第六十九条</w:t>
      </w:r>
      <w:r>
        <w:rPr>
          <w:rFonts w:hint="eastAsia" w:ascii="宋体" w:hAnsi="宋体" w:cs="Arial"/>
          <w:kern w:val="0"/>
          <w:szCs w:val="32"/>
          <w:lang w:eastAsia="zh-CN"/>
        </w:rPr>
        <w:t>　</w:t>
      </w:r>
      <w:r>
        <w:rPr>
          <w:rFonts w:hint="eastAsia" w:ascii="宋体" w:hAnsi="宋体" w:cs="Arial"/>
          <w:kern w:val="0"/>
          <w:szCs w:val="32"/>
        </w:rPr>
        <w:t>广告主、广告经营者、广告发布者违反本法规定，有下列侵权行为之一的，依法承担民事责任：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（一）在广告中损害未成年人或者残疾人的身心健康的；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（二）假冒他人专利的；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（三）贬低其他生产经营者的商品、服务的；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（四）在广告中未经同意使用他人名义或者形象的；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（五）其他侵犯他人合法民事权益的。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第七十条</w:t>
      </w:r>
      <w:r>
        <w:rPr>
          <w:rFonts w:hint="eastAsia" w:ascii="宋体" w:hAnsi="宋体" w:cs="Arial"/>
          <w:kern w:val="0"/>
          <w:szCs w:val="32"/>
          <w:lang w:eastAsia="zh-CN"/>
        </w:rPr>
        <w:t>　</w:t>
      </w:r>
      <w:r>
        <w:rPr>
          <w:rFonts w:hint="eastAsia" w:ascii="宋体" w:hAnsi="宋体" w:cs="Arial"/>
          <w:kern w:val="0"/>
          <w:szCs w:val="32"/>
        </w:rPr>
        <w:t>因发布虚假广告，或者有其他本法规定的违法行为，被吊销营业执照的公司、企业的法定代表人，对违法行为负有个人责任的，自该公司、企业被吊销营业执照之日起三年内不得担任公司、企业的董事、监事、高级管理人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第七十一条</w:t>
      </w:r>
      <w:r>
        <w:rPr>
          <w:rFonts w:hint="eastAsia" w:ascii="宋体" w:hAnsi="宋体" w:cs="Arial"/>
          <w:kern w:val="0"/>
          <w:szCs w:val="32"/>
          <w:lang w:eastAsia="zh-CN"/>
        </w:rPr>
        <w:t>　</w:t>
      </w:r>
      <w:r>
        <w:rPr>
          <w:rFonts w:hint="eastAsia" w:ascii="宋体" w:hAnsi="宋体" w:cs="Arial"/>
          <w:kern w:val="0"/>
          <w:szCs w:val="32"/>
        </w:rPr>
        <w:t>违反本法规定，拒绝、阻挠市场监督管理部门监督检查，或者有其他构成违反治安管理行为的，依法给予治安管理处罚；构成犯罪的，依法追究刑事责任。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第七十二条</w:t>
      </w:r>
      <w:r>
        <w:rPr>
          <w:rFonts w:hint="eastAsia" w:ascii="宋体" w:hAnsi="宋体" w:cs="Arial"/>
          <w:kern w:val="0"/>
          <w:szCs w:val="32"/>
          <w:lang w:eastAsia="zh-CN"/>
        </w:rPr>
        <w:t>　</w:t>
      </w:r>
      <w:r>
        <w:rPr>
          <w:rFonts w:hint="eastAsia" w:ascii="宋体" w:hAnsi="宋体" w:cs="Arial"/>
          <w:kern w:val="0"/>
          <w:szCs w:val="32"/>
        </w:rPr>
        <w:t>广告审查机关对违法的广告内容作出审查批准决定的，对负有责任的主管人员和直接责任人员，由任免机关或者监察机关依法给予处分；构成犯罪的，依法追究刑事责任。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第七十三条</w:t>
      </w:r>
      <w:r>
        <w:rPr>
          <w:rFonts w:hint="eastAsia" w:ascii="宋体" w:hAnsi="宋体" w:cs="Arial"/>
          <w:kern w:val="0"/>
          <w:szCs w:val="32"/>
          <w:lang w:eastAsia="zh-CN"/>
        </w:rPr>
        <w:t>　</w:t>
      </w:r>
      <w:r>
        <w:rPr>
          <w:rFonts w:hint="eastAsia" w:ascii="宋体" w:hAnsi="宋体" w:cs="Arial"/>
          <w:kern w:val="0"/>
          <w:szCs w:val="32"/>
        </w:rPr>
        <w:t>市场监督管理部门对在履行广告监测职责中发现的违法广告行为或者对经投诉、举报的违法广告行为，不依法予以查处的，对负有责任的主管人员和直接责任人员，依法给予处分。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市场监督管理部门和负责广告管理相关工作的有关部门的工作人员玩忽职守、滥用职权、徇私舞弊的，依法给予处分。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有前两款行为，构成犯罪的，依法追究刑事责任。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w:t>
      </w:r>
      <w:r>
        <w:rPr>
          <w:rFonts w:hint="eastAsia" w:ascii="宋体" w:hAnsi="宋体" w:eastAsia="黑体" w:cs="黑体"/>
          <w:kern w:val="0"/>
          <w:szCs w:val="32"/>
          <w:lang w:eastAsia="zh-CN"/>
        </w:rPr>
        <w:t>　</w:t>
      </w:r>
      <w:r>
        <w:rPr>
          <w:rFonts w:hint="eastAsia" w:ascii="宋体" w:hAnsi="宋体" w:eastAsia="黑体" w:cs="黑体"/>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第七十四条</w:t>
      </w:r>
      <w:r>
        <w:rPr>
          <w:rFonts w:hint="eastAsia" w:ascii="宋体" w:hAnsi="宋体" w:cs="Arial"/>
          <w:kern w:val="0"/>
          <w:szCs w:val="32"/>
          <w:lang w:eastAsia="zh-CN"/>
        </w:rPr>
        <w:t>　</w:t>
      </w:r>
      <w:r>
        <w:rPr>
          <w:rFonts w:hint="eastAsia" w:ascii="宋体" w:hAnsi="宋体" w:cs="Arial"/>
          <w:kern w:val="0"/>
          <w:szCs w:val="32"/>
        </w:rPr>
        <w:t>国家鼓励、支持开展公益广告宣传活动，传播社会主义核心价值观，倡导文明风尚。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大众传播媒介有义务发布公益广告。广播电台、电视台、报刊出版单位应当按照规定的版面、时段、时长发布公益广告。公益广告的管理办法，由国务院市场监督管理部门会同有关部门制定。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第七十五条</w:t>
      </w:r>
      <w:r>
        <w:rPr>
          <w:rFonts w:hint="eastAsia" w:ascii="宋体" w:hAnsi="宋体" w:cs="Arial"/>
          <w:kern w:val="0"/>
          <w:szCs w:val="32"/>
          <w:lang w:eastAsia="zh-CN"/>
        </w:rPr>
        <w:t>　</w:t>
      </w:r>
      <w:r>
        <w:rPr>
          <w:rFonts w:hint="eastAsia" w:ascii="宋体" w:hAnsi="宋体" w:cs="Arial"/>
          <w:kern w:val="0"/>
          <w:szCs w:val="32"/>
        </w:rPr>
        <w:t>本法自2015年9月1日起施行。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11" w:name="_Toc223"/>
      <w:r>
        <w:rPr>
          <w:rFonts w:hint="eastAsia" w:ascii="宋体" w:hAnsi="宋体" w:eastAsia="宋体" w:cs="宋体"/>
          <w:sz w:val="44"/>
          <w:szCs w:val="44"/>
        </w:rPr>
        <w:t>中华人民共和国产品质量法</w:t>
      </w:r>
      <w:bookmarkEnd w:id="211"/>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(1993年2月22日第七届全国人民代表大会常务委员会第三十次会议通过　根据2000年7月8日第九届全国人民代表大会常务委员会第十六次会议《关于修改〈中华人民共和国产品质量法〉的决定》第一次修正根据2009年8月27日第十一届全国人民代表大会常务委员会第十次会议《关于修改部分法律的决定》第二次修正　根据2018年12月29日第十三届全国人民代表大会常务委员会第七次会议《关于修改〈中华人民共和国产品质量法〉等五部法律的决定》第三次修正)</w:t>
      </w:r>
    </w:p>
    <w:p>
      <w:pPr>
        <w:pStyle w:val="3"/>
        <w:rPr>
          <w:rFonts w:hint="eastAsia"/>
        </w:rPr>
      </w:pPr>
    </w:p>
    <w:p>
      <w:pPr>
        <w:widowControl w:val="0"/>
        <w:wordWrap/>
        <w:overflowPunct w:val="0"/>
        <w:spacing w:beforeAutospacing="0" w:afterAutospacing="0" w:line="560" w:lineRule="exact"/>
        <w:jc w:val="center"/>
        <w:textAlignment w:val="auto"/>
        <w:rPr>
          <w:rFonts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第一章　总则</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第二章　产品质量的监督</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第三章　生产者、销售者的产品质量责任和义务</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宋体" w:cs="宋体"/>
          <w:kern w:val="0"/>
          <w:szCs w:val="32"/>
          <w:lang w:val="en-US" w:eastAsia="zh-CN"/>
        </w:rPr>
        <w:t xml:space="preserve">    </w:t>
      </w:r>
      <w:r>
        <w:rPr>
          <w:rFonts w:hint="eastAsia" w:ascii="宋体" w:hAnsi="宋体" w:eastAsia="楷体_GB2312" w:cs="楷体_GB2312"/>
          <w:kern w:val="0"/>
          <w:szCs w:val="32"/>
        </w:rPr>
        <w:t>第一节　生产者的产品质量责任和义务</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宋体" w:cs="宋体"/>
          <w:kern w:val="0"/>
          <w:szCs w:val="32"/>
          <w:lang w:val="en-US" w:eastAsia="zh-CN"/>
        </w:rPr>
        <w:t xml:space="preserve">    </w:t>
      </w:r>
      <w:r>
        <w:rPr>
          <w:rFonts w:hint="eastAsia" w:ascii="宋体" w:hAnsi="宋体" w:eastAsia="楷体_GB2312" w:cs="楷体_GB2312"/>
          <w:kern w:val="0"/>
          <w:szCs w:val="32"/>
        </w:rPr>
        <w:t>第二节　销售者的产品质量责任和义务</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第四章　损害赔偿</w:t>
      </w:r>
    </w:p>
    <w:p>
      <w:pPr>
        <w:widowControl w:val="0"/>
        <w:wordWrap/>
        <w:overflowPunct w:val="0"/>
        <w:spacing w:beforeAutospacing="0" w:afterAutospacing="0" w:line="560" w:lineRule="exact"/>
        <w:textAlignment w:val="auto"/>
        <w:rPr>
          <w:rFonts w:ascii="宋体" w:hAnsi="宋体" w:eastAsia="宋体" w:cs="宋体"/>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第五章　罚则</w:t>
      </w:r>
    </w:p>
    <w:p>
      <w:pPr>
        <w:widowControl w:val="0"/>
        <w:wordWrap/>
        <w:overflowPunct w:val="0"/>
        <w:spacing w:beforeAutospacing="0" w:afterAutospacing="0" w:line="560" w:lineRule="exact"/>
        <w:textAlignment w:val="auto"/>
        <w:rPr>
          <w:rFonts w:ascii="宋体" w:hAnsi="宋体" w:eastAsia="楷体_GB2312" w:cs="楷体_GB2312"/>
          <w:kern w:val="0"/>
          <w:szCs w:val="32"/>
        </w:rPr>
      </w:pPr>
      <w:r>
        <w:rPr>
          <w:rFonts w:hint="eastAsia" w:ascii="宋体" w:hAnsi="宋体" w:eastAsia="宋体" w:cs="宋体"/>
          <w:kern w:val="0"/>
          <w:szCs w:val="32"/>
        </w:rPr>
        <w:t>　　</w:t>
      </w:r>
      <w:r>
        <w:rPr>
          <w:rFonts w:hint="eastAsia" w:ascii="宋体" w:hAnsi="宋体" w:eastAsia="楷体_GB2312" w:cs="楷体_GB2312"/>
          <w:kern w:val="0"/>
          <w:szCs w:val="32"/>
        </w:rPr>
        <w:t>第六章　附则</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第一条</w:t>
      </w:r>
      <w:r>
        <w:rPr>
          <w:rFonts w:hint="eastAsia" w:ascii="宋体" w:hAnsi="宋体" w:cs="Arial"/>
          <w:kern w:val="0"/>
          <w:szCs w:val="32"/>
          <w:lang w:eastAsia="zh-CN"/>
        </w:rPr>
        <w:t>　为了加强对产品质量的监督管理，提高产品质量水平，明确产品质量责任，保护消费者的合法权益，维护社会经济秩序，制定本法。</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第二条　</w:t>
      </w:r>
      <w:r>
        <w:rPr>
          <w:rFonts w:hint="eastAsia" w:ascii="宋体" w:hAnsi="宋体" w:cs="Arial"/>
          <w:kern w:val="0"/>
          <w:szCs w:val="32"/>
          <w:lang w:eastAsia="zh-CN"/>
        </w:rPr>
        <w:t>在中华人民共和国境内从事产品生产、销售活动，必须遵守本法。</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本法所称产品是指经过加工、制作，用于销售的产品。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建设工程不适用本法规定；但是，建设工程使用的建筑材料、建筑构配件和设备，属于前款规定的产品范围的，适用本法规定。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第三条</w:t>
      </w:r>
      <w:r>
        <w:rPr>
          <w:rFonts w:hint="eastAsia" w:ascii="宋体" w:hAnsi="宋体" w:cs="Arial"/>
          <w:kern w:val="0"/>
          <w:szCs w:val="32"/>
          <w:lang w:eastAsia="zh-CN"/>
        </w:rPr>
        <w:t>　生产者、销售者应当建立健全内部产品质量管理制度，严格实施岗位质量规范、质量责任以及相应的考核办法。</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第四条</w:t>
      </w:r>
      <w:r>
        <w:rPr>
          <w:rFonts w:hint="eastAsia" w:ascii="宋体" w:hAnsi="宋体" w:cs="Arial"/>
          <w:kern w:val="0"/>
          <w:szCs w:val="32"/>
          <w:lang w:eastAsia="zh-CN"/>
        </w:rPr>
        <w:t>　生产者、销售者依照本法规定承担产品质量责任。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第五条　</w:t>
      </w:r>
      <w:r>
        <w:rPr>
          <w:rFonts w:hint="eastAsia" w:ascii="宋体" w:hAnsi="宋体" w:cs="Arial"/>
          <w:kern w:val="0"/>
          <w:szCs w:val="32"/>
          <w:lang w:eastAsia="zh-CN"/>
        </w:rPr>
        <w:t>禁止伪造或者冒用认证标志等质量标志；禁止伪造产品的产地，伪造或者冒用他人的厂名、厂址；禁止在生产、销售的产品中掺杂、掺假，以假充真，以次充好。</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第六条</w:t>
      </w:r>
      <w:r>
        <w:rPr>
          <w:rFonts w:hint="eastAsia" w:ascii="宋体" w:hAnsi="宋体" w:cs="Arial"/>
          <w:kern w:val="0"/>
          <w:szCs w:val="32"/>
          <w:lang w:eastAsia="zh-CN"/>
        </w:rPr>
        <w:t>　国家鼓励推行科学的质量管理方法，采用先进的科学技术，鼓励企业产品质量达到并且超过行业标准、国家标准和国际标准。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对产品质量管理先进和产品质量达到国际先进水平、成绩显著的单位和个人，给予奖励。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第七条</w:t>
      </w:r>
      <w:r>
        <w:rPr>
          <w:rFonts w:hint="eastAsia" w:ascii="宋体" w:hAnsi="宋体" w:cs="Arial"/>
          <w:kern w:val="0"/>
          <w:szCs w:val="32"/>
          <w:lang w:eastAsia="zh-CN"/>
        </w:rPr>
        <w:t>　各级人民政府应当把提高产品质量纳入国民经济和社会发展规划，加强对产品质量工作的统筹规划和组织领导，引导、督促生产者、销售者加强产品质量管理，提高产品质量，组织各有关部门依法采取措施，制止产品生产、销售中违反本法规定的行为，保障本法的施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第八条</w:t>
      </w:r>
      <w:r>
        <w:rPr>
          <w:rFonts w:hint="eastAsia" w:ascii="宋体" w:hAnsi="宋体" w:cs="Arial"/>
          <w:kern w:val="0"/>
          <w:szCs w:val="32"/>
          <w:lang w:eastAsia="zh-CN"/>
        </w:rPr>
        <w:t>　国务院市场监督管理部门主管全国产品质量监督工作。国务院有关部门在各自的职责范围内负责产品质量监督工作。</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县级以上地方市场监督管理部门主管本行政区域内的产品质量监督工作。县级以上地方人民政府有关部门在各自的职责范围内负责产品质量监督工作。</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法律对产品质量的监督部门另有规定的，依照有关法律的规定执行。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第九条</w:t>
      </w:r>
      <w:r>
        <w:rPr>
          <w:rFonts w:hint="eastAsia" w:ascii="宋体" w:hAnsi="宋体" w:cs="Arial"/>
          <w:kern w:val="0"/>
          <w:szCs w:val="32"/>
          <w:lang w:eastAsia="zh-CN"/>
        </w:rPr>
        <w:t>　各级人民政府工作人员和其他国家机关工作人员不得滥用职权、玩忽职守或者徇私舞弊，包庇、放纵本地区、本系统发生的产品生产、销售中违反本法规定的行为，或者阻挠、干预依法对产品生产、销售中违反本法规定的行为进行查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各级地方人民政府和其他国家机关有包庇、放纵产品生产、销售中违反本法规定的行为的，依法追究其主要负责人的法律责任。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第十条</w:t>
      </w:r>
      <w:r>
        <w:rPr>
          <w:rFonts w:hint="eastAsia" w:ascii="宋体" w:hAnsi="宋体" w:cs="Arial"/>
          <w:kern w:val="0"/>
          <w:szCs w:val="32"/>
          <w:lang w:eastAsia="zh-CN"/>
        </w:rPr>
        <w:t>　任何单位和个人有权对违反本法规定的行为，向市场监督管理部门或者其他有关部门检举。</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市场监督管理部门和有关部门应当为检举人保密，并按照省、自治区、直辖市人民政府的规定给予奖励。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第十一条</w:t>
      </w:r>
      <w:r>
        <w:rPr>
          <w:rFonts w:hint="eastAsia" w:ascii="宋体" w:hAnsi="宋体" w:cs="Arial"/>
          <w:kern w:val="0"/>
          <w:szCs w:val="32"/>
          <w:lang w:eastAsia="zh-CN"/>
        </w:rPr>
        <w:t>　任何单位和个人不得排斥非本地区或者非本系统企业生产的质量合格产品进入本地区、本系统。</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第二章  产品质量的监督</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第十二条</w:t>
      </w:r>
      <w:r>
        <w:rPr>
          <w:rFonts w:hint="eastAsia" w:ascii="宋体" w:hAnsi="宋体" w:cs="Arial"/>
          <w:kern w:val="0"/>
          <w:szCs w:val="32"/>
          <w:lang w:eastAsia="zh-CN"/>
        </w:rPr>
        <w:t>　产品质量应当检验合格，不得以不合格产品冒充合格产品。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第十三条</w:t>
      </w:r>
      <w:r>
        <w:rPr>
          <w:rFonts w:hint="eastAsia" w:ascii="宋体" w:hAnsi="宋体" w:cs="Arial"/>
          <w:kern w:val="0"/>
          <w:szCs w:val="32"/>
          <w:lang w:eastAsia="zh-CN"/>
        </w:rPr>
        <w:t>　可能危及人体健康和人身、财产安全的工业产品，必须符合保障人体健康和人身、财产安全的国家标准、行业标准；未制定国家标准、行业标准的，必须符合保障人体健康和人身、财产安全的要求。</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禁止生产、销售不符合保障人体健康和人身、财产安全的标准和要求的工业产品。具体管理办法由国务院规定。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第十四条</w:t>
      </w:r>
      <w:r>
        <w:rPr>
          <w:rFonts w:hint="eastAsia" w:ascii="宋体" w:hAnsi="宋体" w:cs="Arial"/>
          <w:kern w:val="0"/>
          <w:szCs w:val="32"/>
          <w:lang w:eastAsia="zh-CN"/>
        </w:rPr>
        <w:t>　国家根据国际通用的质量管理标准，推行企业质量体系认证制度。企业根据自愿原则可以向国务院市场监督管理部门认可的或者国务院市场监督管理部门授权的部门认可的认证机构申请企业质量体系认证。经认证合格的，由认证机构颁发企业质量体系认证证书。</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国家参照国际先进的产品标准和技术要求，推行产品质量认证制度。企业根据自愿原则可以向国务院市场监督管理部门认可的或者国务院市场监督管理部门授权的部门认可的认证机构申请产品质量认证。经认证合格的，由认证机构颁发产品质量认证证书，准许企业在产品或者其包装上使用产品质量认证标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第十五条</w:t>
      </w:r>
      <w:r>
        <w:rPr>
          <w:rFonts w:hint="eastAsia" w:ascii="宋体" w:hAnsi="宋体" w:cs="Arial"/>
          <w:kern w:val="0"/>
          <w:szCs w:val="32"/>
          <w:lang w:eastAsia="zh-CN"/>
        </w:rPr>
        <w:t>　国家对产品质量实行以抽查为主要方式的监督检查制度，对可能危及人体健康和人身、财产安全的产品，影响国计民生的重要工业产品以及消费者、有关组织反映有质量问题的产品进行抽查。抽查的样品应当在市场上或者企业成品仓库内的待销产品中随机抽取。监督抽查工作由国务院市场监督管理部门规划和组织。县级以上地方市场监督管理部门在本行政区域内也可以组织监督抽查。法律对产品质量的监督检查另有规定的，依照有关法律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国家监督抽查的产品，地方不得另行重复抽查；上级监督抽查的产品，下级不得另行重复抽查。</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根据监督抽查的需要，可以对产品进行检验。检验抽取样品的数量不得超过检验的合理需要，并不得向被检查人收取检验费用。监督抽查所需检验费用按照国务院规定列支。</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生产者、销售者对抽查检验的结果有异议的，可以自收到检验结果之日起十五日内向实施监督抽查的市场监督管理部门或者其上级市场监督管理部门申请复检，由受理复检的市场监督管理部门作出复检结论。</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第十六条</w:t>
      </w:r>
      <w:r>
        <w:rPr>
          <w:rFonts w:hint="eastAsia" w:ascii="宋体" w:hAnsi="宋体" w:cs="Arial"/>
          <w:kern w:val="0"/>
          <w:szCs w:val="32"/>
          <w:lang w:eastAsia="zh-CN"/>
        </w:rPr>
        <w:t>　对依法进行的产品质量监督检查，生产者、销售者不得拒绝。</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第十七条</w:t>
      </w:r>
      <w:r>
        <w:rPr>
          <w:rFonts w:hint="eastAsia" w:ascii="宋体" w:hAnsi="宋体" w:cs="Arial"/>
          <w:kern w:val="0"/>
          <w:szCs w:val="32"/>
          <w:lang w:eastAsia="zh-CN"/>
        </w:rPr>
        <w:t>　依照本法规定进行监督抽查的产品质量不合格的，由实施监督抽查的市场监督管理部门责令其生产者、销售者限期改正。逾期不改正的，由省级以上人民政府市场监督管理部门予以公告；公告后经复查仍不合格的，责令停业，限期整顿；整顿期满后经复查产品质量仍不合格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监督抽查的产品有严重质量问题的，依照本法第五章的有关规定处罚。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第十八条</w:t>
      </w:r>
      <w:r>
        <w:rPr>
          <w:rFonts w:hint="eastAsia" w:ascii="宋体" w:hAnsi="宋体" w:cs="Arial"/>
          <w:kern w:val="0"/>
          <w:szCs w:val="32"/>
          <w:lang w:eastAsia="zh-CN"/>
        </w:rPr>
        <w:t>　县级以上市场监督管理部门根据已经取得的违法嫌疑证据或者举报，对涉嫌违反本法规定的行为进行查处时，可以行使下列职权：</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(一)对当事人涉嫌从事违反本法的生产、销售活动的场所实施现场检查；</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(二)向当事人的法定代表人、主要负责人和其他有关人员调查、了解与涉嫌从事违反本法的生产、销售活动有关的情况；</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(三)查阅、复制当事人有关的合同、发票、帐簿以及其他有关资料；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(四)对有根据认为不符合保障人体健康和人身、财产安全的国家标准、行业标准的产品或者有其他严重质量问题的产品，以及直接用于生产、销售该项产品的原辅材料、包装物、生产工具，予以查封或者扣押。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第十九条</w:t>
      </w:r>
      <w:r>
        <w:rPr>
          <w:rFonts w:hint="eastAsia" w:ascii="宋体" w:hAnsi="宋体" w:cs="Arial"/>
          <w:kern w:val="0"/>
          <w:szCs w:val="32"/>
          <w:lang w:eastAsia="zh-CN"/>
        </w:rPr>
        <w:t>　产品质量检验机构必须具备相应的检测条件和能力，经省级以上人民政府市场监督管理部门或者其授权的部门考核合格后，方可承担产品质量检验工作。法律、行政法规对产品质量检验机构另有规定的，依照有关法律、行政法规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第二十条</w:t>
      </w:r>
      <w:r>
        <w:rPr>
          <w:rFonts w:hint="eastAsia" w:ascii="宋体" w:hAnsi="宋体" w:cs="Arial"/>
          <w:kern w:val="0"/>
          <w:szCs w:val="32"/>
          <w:lang w:eastAsia="zh-CN"/>
        </w:rPr>
        <w:t>　从事产品质量检验、认证的社会中介机构必须依法设立，不得与行政机关和其他国家机关存在隶属关系或者其他利益关系。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第二十一条　</w:t>
      </w:r>
      <w:r>
        <w:rPr>
          <w:rFonts w:hint="eastAsia" w:ascii="宋体" w:hAnsi="宋体" w:cs="Arial"/>
          <w:kern w:val="0"/>
          <w:szCs w:val="32"/>
          <w:lang w:eastAsia="zh-CN"/>
        </w:rPr>
        <w:t>产品质量检验机构、认证机构必须依法按照有关标准，客观、公正地出具检验结果或者认证证明。</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产品质量认证机构应当依照国家规定对准许使用认证标志的产品进行认证后的跟踪检查；对不符合认证标准而使用认证标志的，要求其改正；情节严重的，取消其使用认证标志的资格。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第二十二条</w:t>
      </w:r>
      <w:r>
        <w:rPr>
          <w:rFonts w:hint="eastAsia" w:ascii="宋体" w:hAnsi="宋体" w:cs="Arial"/>
          <w:kern w:val="0"/>
          <w:szCs w:val="32"/>
          <w:lang w:eastAsia="zh-CN"/>
        </w:rPr>
        <w:t>　消费者有权就产品质量问题，向产品的生产者、销售者查询；向市场监督管理部门及有关部门申诉，接受申诉的部门应当负责处理。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第二十三条</w:t>
      </w:r>
      <w:r>
        <w:rPr>
          <w:rFonts w:hint="eastAsia" w:ascii="宋体" w:hAnsi="宋体" w:cs="Arial"/>
          <w:kern w:val="0"/>
          <w:szCs w:val="32"/>
          <w:lang w:eastAsia="zh-CN"/>
        </w:rPr>
        <w:t>　保护消费者权益的社会组织可以就消费者反映的产品质量问题建议有关部门负责处理，支持消费者对因产品质量造成的损害向人民法院起诉。</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第二十四条</w:t>
      </w:r>
      <w:r>
        <w:rPr>
          <w:rFonts w:hint="eastAsia" w:ascii="宋体" w:hAnsi="宋体" w:cs="Arial"/>
          <w:kern w:val="0"/>
          <w:szCs w:val="32"/>
          <w:lang w:eastAsia="zh-CN"/>
        </w:rPr>
        <w:t>　国务院和省、自治区、直辖市人民政府的市场监督管理部门应当定期发布其监督抽查的产品的质量状况公告。</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第二十五条</w:t>
      </w:r>
      <w:r>
        <w:rPr>
          <w:rFonts w:hint="eastAsia" w:ascii="宋体" w:hAnsi="宋体" w:cs="Arial"/>
          <w:kern w:val="0"/>
          <w:szCs w:val="32"/>
          <w:lang w:eastAsia="zh-CN"/>
        </w:rPr>
        <w:t>　市场监督管理部门或者其他国家机关以及产品质量检验机构不得向社会推荐生产者的产品；不得以对产品进行监制、监销等方式参与产品经营活动。</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第三章　生产者、销售者的产品质量责任和义务</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生产者的产品质量责任和义务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第二十六条</w:t>
      </w:r>
      <w:r>
        <w:rPr>
          <w:rFonts w:hint="eastAsia" w:ascii="宋体" w:hAnsi="宋体" w:cs="Arial"/>
          <w:kern w:val="0"/>
          <w:szCs w:val="32"/>
          <w:lang w:eastAsia="zh-CN"/>
        </w:rPr>
        <w:t>　生产者应当对其生产的产品质量负责。</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产品质量应当符合下列要求：</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(一)不存在危及人身、财产安全的不合理的危险，有保障人体健康和人身、财产安全的国家标准、行业标准的，应当符合该标准；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(二)具备产品应当具备的使用性能，但是，对产品存在使用性能的瑕疵作出说明的除外；</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(三)符合在产品或者其包装上注明采用的产品标准，符合以产品说明、实物样品等方式表明的质量状况。</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第二十七条</w:t>
      </w:r>
      <w:r>
        <w:rPr>
          <w:rFonts w:hint="eastAsia" w:ascii="宋体" w:hAnsi="宋体" w:cs="Arial"/>
          <w:kern w:val="0"/>
          <w:szCs w:val="32"/>
          <w:lang w:eastAsia="zh-CN"/>
        </w:rPr>
        <w:t>　产品或者其包装上的标识必须真实，并符合下列要求：</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(一)有产品质量检验合格证明；</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(二)有中文标明的产品名称、生产厂厂名和厂址；</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(三)根据产品的特点和使用要求，需要标明产品规格、等级、所含主要成份的名称和含量的，用中文相应予以标明；需要事先让消费者知晓的，应当在外包装上标明，或者预先向消费者提供有关资料；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(四)限期使用的产品，应当在显著位置清晰地标明生产日期和安全使用期或者失效日期；</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(五)使用不当，容易造成产品本身损坏或者可能危及人身、财产安全的产品，应当有警示标志或者中文警示说明。</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裸装的食品和其他根据产品的特点难以附加标识的裸装产品，可以不附加产品标识。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第二十八条</w:t>
      </w:r>
      <w:r>
        <w:rPr>
          <w:rFonts w:hint="eastAsia" w:ascii="宋体" w:hAnsi="宋体" w:cs="Arial"/>
          <w:kern w:val="0"/>
          <w:szCs w:val="32"/>
          <w:lang w:eastAsia="zh-CN"/>
        </w:rPr>
        <w:t>　易碎、易燃、易爆、有毒、有腐蚀性、有放射性等危险物品以及储运中不能倒置和其他有特殊要求的产品，其包装质量必须符合相应要求，依照国家有关规定作出警示标志或者中文警示说明，标明储运注意事项。</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第二十九条</w:t>
      </w:r>
      <w:r>
        <w:rPr>
          <w:rFonts w:hint="eastAsia" w:ascii="宋体" w:hAnsi="宋体" w:cs="Arial"/>
          <w:kern w:val="0"/>
          <w:szCs w:val="32"/>
          <w:lang w:eastAsia="zh-CN"/>
        </w:rPr>
        <w:t>　生产者不得生产国家明令淘汰的产品。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第三十条</w:t>
      </w:r>
      <w:r>
        <w:rPr>
          <w:rFonts w:hint="eastAsia" w:ascii="宋体" w:hAnsi="宋体" w:cs="Arial"/>
          <w:kern w:val="0"/>
          <w:szCs w:val="32"/>
          <w:lang w:eastAsia="zh-CN"/>
        </w:rPr>
        <w:t>　生产者不得伪造产地，不得伪造或者冒用他人的厂名、厂址。</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第三十一条</w:t>
      </w:r>
      <w:r>
        <w:rPr>
          <w:rFonts w:hint="eastAsia" w:ascii="宋体" w:hAnsi="宋体" w:cs="Arial"/>
          <w:kern w:val="0"/>
          <w:szCs w:val="32"/>
          <w:lang w:eastAsia="zh-CN"/>
        </w:rPr>
        <w:t>　生产者不得伪造或者冒用认证标志等质量标志。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第三十二条</w:t>
      </w:r>
      <w:r>
        <w:rPr>
          <w:rFonts w:hint="eastAsia" w:ascii="宋体" w:hAnsi="宋体" w:cs="Arial"/>
          <w:kern w:val="0"/>
          <w:szCs w:val="32"/>
          <w:lang w:eastAsia="zh-CN"/>
        </w:rPr>
        <w:t>　生产者生产产品，不得掺杂、掺假，不得以假充真、以次充好，不得以不合格产品冒充合格产品。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销售者的产品质量责任和义务</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第三十三条</w:t>
      </w:r>
      <w:r>
        <w:rPr>
          <w:rFonts w:hint="eastAsia" w:ascii="宋体" w:hAnsi="宋体" w:cs="Arial"/>
          <w:kern w:val="0"/>
          <w:szCs w:val="32"/>
          <w:lang w:eastAsia="zh-CN"/>
        </w:rPr>
        <w:t>　销售者应当建立并执行进货检查验收制度，验明产品合格证明和其他标识。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第三十四条</w:t>
      </w:r>
      <w:r>
        <w:rPr>
          <w:rFonts w:hint="eastAsia" w:ascii="宋体" w:hAnsi="宋体" w:cs="Arial"/>
          <w:kern w:val="0"/>
          <w:szCs w:val="32"/>
          <w:lang w:eastAsia="zh-CN"/>
        </w:rPr>
        <w:t>　销售者应当采取措施，保持销售产品的质量。</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第三十五条</w:t>
      </w:r>
      <w:r>
        <w:rPr>
          <w:rFonts w:hint="eastAsia" w:ascii="宋体" w:hAnsi="宋体" w:cs="Arial"/>
          <w:kern w:val="0"/>
          <w:szCs w:val="32"/>
          <w:lang w:eastAsia="zh-CN"/>
        </w:rPr>
        <w:t>　销售者不得销售国家明令淘汰并停止销售的产品和失效、变质的产品。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第三十六条</w:t>
      </w:r>
      <w:r>
        <w:rPr>
          <w:rFonts w:hint="eastAsia" w:ascii="宋体" w:hAnsi="宋体" w:cs="Arial"/>
          <w:kern w:val="0"/>
          <w:szCs w:val="32"/>
          <w:lang w:eastAsia="zh-CN"/>
        </w:rPr>
        <w:t>　销售者销售的产品的标识应当符合本法第二十七条的规定。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第三十七条</w:t>
      </w:r>
      <w:r>
        <w:rPr>
          <w:rFonts w:hint="eastAsia" w:ascii="宋体" w:hAnsi="宋体" w:cs="Arial"/>
          <w:kern w:val="0"/>
          <w:szCs w:val="32"/>
          <w:lang w:eastAsia="zh-CN"/>
        </w:rPr>
        <w:t>　销售者不得伪造产地，不得伪造或者冒用他人的厂名、厂址。</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第三十八条　</w:t>
      </w:r>
      <w:r>
        <w:rPr>
          <w:rFonts w:hint="eastAsia" w:ascii="宋体" w:hAnsi="宋体" w:cs="Arial"/>
          <w:kern w:val="0"/>
          <w:szCs w:val="32"/>
          <w:lang w:eastAsia="zh-CN"/>
        </w:rPr>
        <w:t>销售者不得伪造或者冒用认证标志等质量标志。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第三十九条</w:t>
      </w:r>
      <w:r>
        <w:rPr>
          <w:rFonts w:hint="eastAsia" w:ascii="宋体" w:hAnsi="宋体" w:cs="Arial"/>
          <w:kern w:val="0"/>
          <w:szCs w:val="32"/>
          <w:lang w:eastAsia="zh-CN"/>
        </w:rPr>
        <w:t>　销售者销售产品，不得掺杂、掺假，不得以假充真、以次充好，不得以不合格产品冒充合格产品。</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第四章　损害赔偿</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第四十条</w:t>
      </w:r>
      <w:r>
        <w:rPr>
          <w:rFonts w:hint="eastAsia" w:ascii="宋体" w:hAnsi="宋体" w:cs="Arial"/>
          <w:kern w:val="0"/>
          <w:szCs w:val="32"/>
          <w:lang w:eastAsia="zh-CN"/>
        </w:rPr>
        <w:t>　售出的产品有下列情形之一的，销售者应当负责修理、更换、退货；给购买产品的消费者造成损失的，销售者应当赔偿损失：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(一)不具备产品应当具备的使用性能而事先未作说明的；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(二)不符合在产品或者其包装上注明采用的产品标准的；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(三)不符合以产品说明、实物样品等方式表明的质量状况的。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销售者依照前款规定负责修理、更换、退货、赔偿损失后，属于生产者的责任或者属于向销售者提供产品的其他销售者(以下简称供货者)的责任的，销售者有权向生产者、供货者追偿。</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销售者未按照第一款规定给予修理、更换、退货或者赔偿损失的，由市场监督管理部门责令改正。</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生产者之间，销售者之间，生产者与销售者之间订立的买卖合同、承揽合同有不同约定的，合同当事人按照合同约定执行。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第四十一条</w:t>
      </w:r>
      <w:r>
        <w:rPr>
          <w:rFonts w:hint="eastAsia" w:ascii="宋体" w:hAnsi="宋体" w:cs="Arial"/>
          <w:kern w:val="0"/>
          <w:szCs w:val="32"/>
          <w:lang w:eastAsia="zh-CN"/>
        </w:rPr>
        <w:t>　因产品存在缺陷造成人身、缺陷产品以外的其他财产(以下简称他人财产)损害的，生产者应当承担赔偿责任。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生产者能够证明有下列情形之一的，不承担赔偿责任：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(一)未将产品投入流通的；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(二)产品投入流通时，引起损害的缺陷尚不存在的；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(三)将产品投入流通时的科学技术水平尚不能发现缺陷的存在的。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第四十二条　</w:t>
      </w:r>
      <w:r>
        <w:rPr>
          <w:rFonts w:hint="eastAsia" w:ascii="宋体" w:hAnsi="宋体" w:cs="Arial"/>
          <w:kern w:val="0"/>
          <w:szCs w:val="32"/>
          <w:lang w:eastAsia="zh-CN"/>
        </w:rPr>
        <w:t>由于销售者的过错使产品存在缺陷，造成人身、他人财产损害的，销售者应当承担赔偿责任。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销售者不能指明缺陷产品的生产者也不能指明缺陷产品的供货者的，销售者应当承担赔偿责任。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第四十三条</w:t>
      </w:r>
      <w:r>
        <w:rPr>
          <w:rFonts w:hint="eastAsia" w:ascii="宋体" w:hAnsi="宋体" w:cs="Arial"/>
          <w:kern w:val="0"/>
          <w:szCs w:val="32"/>
          <w:lang w:eastAsia="zh-CN"/>
        </w:rPr>
        <w:t>　因产品存在缺陷造成人身、他人财产损害的，受害人可以向产品的生产者要求赔偿，也可以向产品的销售者要求赔偿。属于产品的生产者的责任，产品的销售者赔偿的，产品的销售者有权向产品的生产者追偿。属于产品的销售者的责任，产品的生产者赔偿的，产品的生产者有权向产品的销售者追偿。</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第四十四条</w:t>
      </w:r>
      <w:r>
        <w:rPr>
          <w:rFonts w:hint="eastAsia" w:ascii="宋体" w:hAnsi="宋体" w:cs="Arial"/>
          <w:kern w:val="0"/>
          <w:szCs w:val="32"/>
          <w:lang w:eastAsia="zh-CN"/>
        </w:rPr>
        <w:t>　因产品存在缺陷造成受害人人身伤害的，侵害人应当赔偿医疗费、治疗期间的护理费、因误工减少的收入等费用；造成残疾的，还应当支付残疾者生活自助具费、生活补助费、残疾赔偿金以及由其扶养的人所必需的生活费等费用；造成受害人死亡的，并应当支付丧葬费、死亡赔偿金以及由死者生前扶养的人所必需的生活费等费用。</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因产品存在缺陷造成受害人财产损失的，侵害人应当恢复原状或者折价赔偿。受害人因此遭受其他重大损失的，侵害人应当赔偿损失。</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第四十五条</w:t>
      </w:r>
      <w:r>
        <w:rPr>
          <w:rFonts w:hint="eastAsia" w:ascii="宋体" w:hAnsi="宋体" w:cs="Arial"/>
          <w:kern w:val="0"/>
          <w:szCs w:val="32"/>
          <w:lang w:eastAsia="zh-CN"/>
        </w:rPr>
        <w:t>　因产品存在缺陷造成损害要求赔偿的诉讼时效期间为二年，自当事人知道或者应当知道其权益受到损害时起计算。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因产品存在缺陷造成损害要求赔偿的请求权，在造成损害的缺陷产品交付最初消费者满十年丧失；但是，尚未超过明示的安全使用期的除外。</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第四十六条</w:t>
      </w:r>
      <w:r>
        <w:rPr>
          <w:rFonts w:hint="eastAsia" w:ascii="宋体" w:hAnsi="宋体" w:cs="Arial"/>
          <w:kern w:val="0"/>
          <w:szCs w:val="32"/>
          <w:lang w:eastAsia="zh-CN"/>
        </w:rPr>
        <w:t>　本法所称缺陷，是指产品存在危及人身、他人财产安全的不合理的危险；产品有保障人体健康和人身、财产安全的国家标准、行业标准的，是指不符合该标准。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第四十七条</w:t>
      </w:r>
      <w:r>
        <w:rPr>
          <w:rFonts w:hint="eastAsia" w:ascii="宋体" w:hAnsi="宋体" w:cs="Arial"/>
          <w:kern w:val="0"/>
          <w:szCs w:val="32"/>
          <w:lang w:eastAsia="zh-CN"/>
        </w:rPr>
        <w:t>　因产品质量发生民事纠纷时，当事人可以通过协商或者调解解决。当事人不愿通过协商、调解解决或者协商、调解不成的，可以根据当事人各方的协议向仲裁机构申请仲裁；当事人各方没有达成仲裁协议或者仲裁协议无效的，可以直接向人民法院起诉。</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第四十八条</w:t>
      </w:r>
      <w:r>
        <w:rPr>
          <w:rFonts w:hint="eastAsia" w:ascii="宋体" w:hAnsi="宋体" w:cs="Arial"/>
          <w:kern w:val="0"/>
          <w:szCs w:val="32"/>
          <w:lang w:eastAsia="zh-CN"/>
        </w:rPr>
        <w:t>　仲裁机构或者人民法院可以委托本法第十九条规定的产品质量检验机构，对有关产品质量进行检验。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第五章　罚则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第四十九条　</w:t>
      </w:r>
      <w:r>
        <w:rPr>
          <w:rFonts w:hint="eastAsia" w:ascii="宋体" w:hAnsi="宋体" w:cs="Arial"/>
          <w:kern w:val="0"/>
          <w:szCs w:val="32"/>
          <w:lang w:eastAsia="zh-CN"/>
        </w:rPr>
        <w:t>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第五十条　</w:t>
      </w:r>
      <w:r>
        <w:rPr>
          <w:rFonts w:hint="eastAsia" w:ascii="宋体" w:hAnsi="宋体" w:cs="Arial"/>
          <w:kern w:val="0"/>
          <w:szCs w:val="32"/>
          <w:lang w:eastAsia="zh-CN"/>
        </w:rPr>
        <w:t>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第五十一条</w:t>
      </w:r>
      <w:r>
        <w:rPr>
          <w:rFonts w:hint="eastAsia" w:ascii="宋体" w:hAnsi="宋体" w:cs="Arial"/>
          <w:kern w:val="0"/>
          <w:szCs w:val="32"/>
          <w:lang w:eastAsia="zh-CN"/>
        </w:rPr>
        <w:t>　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第五十二条</w:t>
      </w:r>
      <w:r>
        <w:rPr>
          <w:rFonts w:hint="eastAsia" w:ascii="宋体" w:hAnsi="宋体" w:cs="Arial"/>
          <w:kern w:val="0"/>
          <w:szCs w:val="32"/>
          <w:lang w:eastAsia="zh-CN"/>
        </w:rPr>
        <w:t>　销售失效、变质的产品的，责令停止销售，没收违法销售的产品，并处违法销售产品货值金额二倍以下的罚款；有违法所得的，并处没收违法所得；情节严重的，吊销营业执照；构成犯罪的，依法追究刑事责任。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第五十三条</w:t>
      </w:r>
      <w:r>
        <w:rPr>
          <w:rFonts w:hint="eastAsia" w:ascii="宋体" w:hAnsi="宋体" w:cs="Arial"/>
          <w:kern w:val="0"/>
          <w:szCs w:val="32"/>
          <w:lang w:eastAsia="zh-CN"/>
        </w:rPr>
        <w:t>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第五十四条　</w:t>
      </w:r>
      <w:r>
        <w:rPr>
          <w:rFonts w:hint="eastAsia" w:ascii="宋体" w:hAnsi="宋体" w:cs="Arial"/>
          <w:kern w:val="0"/>
          <w:szCs w:val="32"/>
          <w:lang w:eastAsia="zh-CN"/>
        </w:rPr>
        <w:t>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第五十五条</w:t>
      </w:r>
      <w:r>
        <w:rPr>
          <w:rFonts w:hint="eastAsia" w:ascii="宋体" w:hAnsi="宋体" w:cs="Arial"/>
          <w:kern w:val="0"/>
          <w:szCs w:val="32"/>
          <w:lang w:eastAsia="zh-CN"/>
        </w:rPr>
        <w:t>　销售者销售本法第四十九条至第五十三条规定禁止销售的产品，有充分证据证明其不知道该产品为禁止销售的产品并如实说明其进货来源的，可以从轻或者减轻处罚。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第五十六条</w:t>
      </w:r>
      <w:r>
        <w:rPr>
          <w:rFonts w:hint="eastAsia" w:ascii="宋体" w:hAnsi="宋体" w:cs="Arial"/>
          <w:kern w:val="0"/>
          <w:szCs w:val="32"/>
          <w:lang w:eastAsia="zh-CN"/>
        </w:rPr>
        <w:t>　拒绝接受依法进行的产品质量监督检查的，给予警告，责令改正；拒不改正的，责令停业整顿；情节特别严重的，吊销营业执照。</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第五十七条</w:t>
      </w:r>
      <w:r>
        <w:rPr>
          <w:rFonts w:hint="eastAsia" w:ascii="宋体" w:hAnsi="宋体" w:cs="Arial"/>
          <w:kern w:val="0"/>
          <w:szCs w:val="32"/>
          <w:lang w:eastAsia="zh-CN"/>
        </w:rPr>
        <w:t>　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产品质量检验机构、认证机构出具的检验结果或者证明不实，造成损失的，应当承担相应的赔偿责任；造成重大损失的，撤销其检验资格、认证资格。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认证机构违反本法第二十一条第二款的规定，对不符合认证标准而使用认证标志的产品，未依法要求其改正或者取消其使用认证标志资格的，对因产品不符合认证标准给消费者造成的损失，与产品的生产者、销售者承担连带责任；情节严重的，撤销其认证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第五十八条</w:t>
      </w:r>
      <w:r>
        <w:rPr>
          <w:rFonts w:hint="eastAsia" w:ascii="宋体" w:hAnsi="宋体" w:cs="Arial"/>
          <w:kern w:val="0"/>
          <w:szCs w:val="32"/>
          <w:lang w:eastAsia="zh-CN"/>
        </w:rPr>
        <w:t>　社会团体、社会中介机构对产品质量作出承诺、保证，而该产品又不符合其承诺、保证的质量要求，给消费者造成损失的，与产品的生产者、销售者承担连带责任。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第五十九条　</w:t>
      </w:r>
      <w:r>
        <w:rPr>
          <w:rFonts w:hint="eastAsia" w:ascii="宋体" w:hAnsi="宋体" w:cs="Arial"/>
          <w:kern w:val="0"/>
          <w:szCs w:val="32"/>
          <w:lang w:eastAsia="zh-CN"/>
        </w:rPr>
        <w:t>在广告中对产品质量作虚假宣传，欺骗和误导消费者的，依照《中华人民共和国广告法》的规定追究法律责任。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第六十条　</w:t>
      </w:r>
      <w:r>
        <w:rPr>
          <w:rFonts w:hint="eastAsia" w:ascii="宋体" w:hAnsi="宋体" w:cs="Arial"/>
          <w:kern w:val="0"/>
          <w:szCs w:val="32"/>
          <w:lang w:eastAsia="zh-CN"/>
        </w:rPr>
        <w:t>对生产者专门用于生产本法第四十九条、第五十一条所列的产品或者以假充真的产品的原辅材料、包装物、生产工具，应当予以没收。</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第六十一条</w:t>
      </w:r>
      <w:r>
        <w:rPr>
          <w:rFonts w:hint="eastAsia" w:ascii="宋体" w:hAnsi="宋体" w:cs="Arial"/>
          <w:kern w:val="0"/>
          <w:szCs w:val="32"/>
          <w:lang w:eastAsia="zh-CN"/>
        </w:rPr>
        <w:t>　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第六十二条</w:t>
      </w:r>
      <w:r>
        <w:rPr>
          <w:rFonts w:hint="eastAsia" w:ascii="宋体" w:hAnsi="宋体" w:cs="Arial"/>
          <w:kern w:val="0"/>
          <w:szCs w:val="32"/>
          <w:lang w:eastAsia="zh-CN"/>
        </w:rPr>
        <w:t>　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第六十三条</w:t>
      </w:r>
      <w:r>
        <w:rPr>
          <w:rFonts w:hint="eastAsia" w:ascii="宋体" w:hAnsi="宋体" w:cs="Arial"/>
          <w:kern w:val="0"/>
          <w:szCs w:val="32"/>
          <w:lang w:eastAsia="zh-CN"/>
        </w:rPr>
        <w:t>　隐匿、转移、变卖、损毁被市场监督管理部门查封、扣押的物品的，处被隐匿、转移、变卖、损毁物品货值金额等值以上三倍以下的罚款；有违法所得的，并处没收违法所得。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第六十四条</w:t>
      </w:r>
      <w:r>
        <w:rPr>
          <w:rFonts w:hint="eastAsia" w:ascii="宋体" w:hAnsi="宋体" w:cs="Arial"/>
          <w:kern w:val="0"/>
          <w:szCs w:val="32"/>
          <w:lang w:eastAsia="zh-CN"/>
        </w:rPr>
        <w:t>　违反本法规定，应当承担民事赔偿责任和缴纳罚款、罚金，其财产不足以同时支付时，先承担民事赔偿责任。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第六十五条</w:t>
      </w:r>
      <w:r>
        <w:rPr>
          <w:rFonts w:hint="eastAsia" w:ascii="宋体" w:hAnsi="宋体" w:cs="Arial"/>
          <w:kern w:val="0"/>
          <w:szCs w:val="32"/>
          <w:lang w:eastAsia="zh-CN"/>
        </w:rPr>
        <w:t>　各级人民政府工作人员和其他国家机关工作人员有下列情形之一的，依法给予行政处分；构成犯罪的，依法追究刑事责任：</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(一)包庇、放纵产品生产、销售中违反本法规定行为的；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(二)向从事违反本法规定的生产、销售活动的当事人通风报信，帮助其逃避查处的；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(三)阻挠、干预市场监督管理部门依法对产品生产、销售中违反本法规定的行为进行查处，造成严重后果的。</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第六十六条</w:t>
      </w:r>
      <w:r>
        <w:rPr>
          <w:rFonts w:hint="eastAsia" w:ascii="宋体" w:hAnsi="宋体" w:cs="Arial"/>
          <w:kern w:val="0"/>
          <w:szCs w:val="32"/>
          <w:lang w:eastAsia="zh-CN"/>
        </w:rPr>
        <w:t>　市场监督管理部门在产品质量监督抽查中超过规定的数量索取样品或者向被检查人收取检验费用的，由上级市场监督管理部门或者监察机关责令退还；情节严重的，对直接负责的主管人员和其他直接责任人员依法给予行政处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第六十七条</w:t>
      </w:r>
      <w:r>
        <w:rPr>
          <w:rFonts w:hint="eastAsia" w:ascii="宋体" w:hAnsi="宋体" w:cs="Arial"/>
          <w:kern w:val="0"/>
          <w:szCs w:val="32"/>
          <w:lang w:eastAsia="zh-CN"/>
        </w:rPr>
        <w:t>　市场监督管理部门或者其他国家机关违反本法第二十五条的规定，向社会推荐生产者的产品或者以监制、监销等方式参与产品经营活动的，由其上级机关或者监察机关责令改正，消除影响，有违法收入的予以没收；情节严重的，对直接负责的主管人员和其他直接责任人员依法给予行政处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产品质量检验机构有前款所列违法行为的，由市场监督管理部门责令改正，消除影响，有违法收入的予以没收，可以并处违法收入一倍以下的罚款；情节严重的，撤销其质量检验资格。</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第六十八条</w:t>
      </w:r>
      <w:r>
        <w:rPr>
          <w:rFonts w:hint="eastAsia" w:ascii="宋体" w:hAnsi="宋体" w:cs="Arial"/>
          <w:kern w:val="0"/>
          <w:szCs w:val="32"/>
          <w:lang w:eastAsia="zh-CN"/>
        </w:rPr>
        <w:t>　市场监督管理部门的工作人员滥用职权、玩忽职守、徇私舞弊，构成犯罪的，依法追究刑事责任；尚不构成犯罪的，依法给予行政处分。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第六十九条</w:t>
      </w:r>
      <w:r>
        <w:rPr>
          <w:rFonts w:hint="eastAsia" w:ascii="宋体" w:hAnsi="宋体" w:cs="Arial"/>
          <w:kern w:val="0"/>
          <w:szCs w:val="32"/>
          <w:lang w:eastAsia="zh-CN"/>
        </w:rPr>
        <w:t>　以暴力、威胁方法阻碍市场监督管理部门的工作人员依法执行职务的，依法追究刑事责任；拒绝、阻碍未使用暴力、威胁方法的，由公安机关依照治安管理处罚法的规定处罚。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第七十条　</w:t>
      </w:r>
      <w:r>
        <w:rPr>
          <w:rFonts w:hint="eastAsia" w:ascii="宋体" w:hAnsi="宋体" w:cs="Arial"/>
          <w:kern w:val="0"/>
          <w:szCs w:val="32"/>
          <w:lang w:eastAsia="zh-CN"/>
        </w:rPr>
        <w:t>本法第四十九条至第五十七条、第六十条至第六十三条规定的行政处罚由市场监督管理部门决定。法律、行政法规对行使行政处罚权的机关另有规定的，依照有关法律、行政法规的规定执行。</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第七十一条</w:t>
      </w:r>
      <w:r>
        <w:rPr>
          <w:rFonts w:hint="eastAsia" w:ascii="宋体" w:hAnsi="宋体" w:cs="Arial"/>
          <w:kern w:val="0"/>
          <w:szCs w:val="32"/>
          <w:lang w:eastAsia="zh-CN"/>
        </w:rPr>
        <w:t>　对依照本法规定没收的产品，依照国家有关规定进行销毁或者采取其他方式处理。</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第七十二条</w:t>
      </w:r>
      <w:r>
        <w:rPr>
          <w:rFonts w:hint="eastAsia" w:ascii="宋体" w:hAnsi="宋体" w:cs="Arial"/>
          <w:kern w:val="0"/>
          <w:szCs w:val="32"/>
          <w:lang w:eastAsia="zh-CN"/>
        </w:rPr>
        <w:t>　本法第四十九条至第五十四条、第六十二条、第六十三条所规定的货值金额以违法生产、销售产品的标价计算；没有标价的，按照同类产品的市场价格计算。</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第六章　附则</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黑体" w:hAnsi="黑体" w:eastAsia="黑体" w:cs="黑体"/>
          <w:kern w:val="0"/>
          <w:szCs w:val="32"/>
          <w:lang w:eastAsia="zh-CN"/>
        </w:rPr>
        <w:t>第七十三条</w:t>
      </w:r>
      <w:r>
        <w:rPr>
          <w:rFonts w:hint="eastAsia" w:ascii="宋体" w:hAnsi="宋体" w:cs="Arial"/>
          <w:kern w:val="0"/>
          <w:szCs w:val="32"/>
          <w:lang w:eastAsia="zh-CN"/>
        </w:rPr>
        <w:t>　军工产品质量监督管理办法，由国务院、中央军事委员会另行制定。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lang w:eastAsia="zh-CN"/>
        </w:rPr>
      </w:pPr>
      <w:r>
        <w:rPr>
          <w:rFonts w:hint="eastAsia" w:ascii="宋体" w:hAnsi="宋体" w:cs="Arial"/>
          <w:kern w:val="0"/>
          <w:szCs w:val="32"/>
          <w:lang w:eastAsia="zh-CN"/>
        </w:rPr>
        <w:t>因核设施、核产品造成损害的赔偿责任，法律、行政法规另有规定的，依照其规定。</w:t>
      </w:r>
    </w:p>
    <w:p>
      <w:pPr>
        <w:widowControl w:val="0"/>
        <w:wordWrap/>
        <w:overflowPunct w:val="0"/>
        <w:adjustRightInd/>
        <w:snapToGrid/>
        <w:spacing w:beforeAutospacing="0" w:afterAutospacing="0" w:line="560" w:lineRule="exact"/>
        <w:ind w:firstLine="640" w:firstLineChars="200"/>
        <w:textAlignment w:val="auto"/>
        <w:outlineLvl w:val="9"/>
        <w:rPr>
          <w:rFonts w:hint="eastAsia" w:ascii="宋体" w:hAnsi="宋体" w:cs="Arial"/>
          <w:kern w:val="0"/>
          <w:szCs w:val="32"/>
        </w:rPr>
      </w:pPr>
      <w:r>
        <w:rPr>
          <w:rFonts w:hint="eastAsia" w:ascii="黑体" w:hAnsi="黑体" w:eastAsia="黑体" w:cs="黑体"/>
          <w:kern w:val="0"/>
          <w:szCs w:val="32"/>
          <w:lang w:eastAsia="zh-CN"/>
        </w:rPr>
        <w:t>第七十四条</w:t>
      </w:r>
      <w:r>
        <w:rPr>
          <w:rFonts w:hint="eastAsia" w:ascii="宋体" w:hAnsi="宋体" w:cs="Arial"/>
          <w:kern w:val="0"/>
          <w:szCs w:val="32"/>
          <w:lang w:eastAsia="zh-CN"/>
        </w:rPr>
        <w:t>　本法自1993年9月1日起施行。</w:t>
      </w:r>
      <w:r>
        <w:rPr>
          <w:rFonts w:hint="eastAsia" w:ascii="宋体" w:hAnsi="宋体" w:cs="Arial"/>
          <w:kern w:val="0"/>
          <w:szCs w:val="32"/>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sz w:val="44"/>
          <w:szCs w:val="44"/>
        </w:rPr>
      </w:pPr>
      <w:bookmarkStart w:id="212" w:name="_Toc18122"/>
      <w:r>
        <w:rPr>
          <w:rFonts w:hint="eastAsia" w:ascii="宋体" w:hAnsi="宋体" w:eastAsia="宋体" w:cs="宋体"/>
          <w:sz w:val="44"/>
          <w:szCs w:val="44"/>
        </w:rPr>
        <w:t>中华人民共和国价格法</w:t>
      </w:r>
      <w:bookmarkEnd w:id="212"/>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32"/>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w:t>
      </w:r>
      <w:r>
        <w:rPr>
          <w:rFonts w:hint="eastAsia" w:ascii="宋体" w:hAnsi="宋体" w:eastAsia="楷体_GB2312" w:cs="楷体_GB2312"/>
          <w:kern w:val="0"/>
          <w:szCs w:val="32"/>
        </w:rPr>
        <w:t>1997年12月29日第八届全国人民代表大会常务委员会第二十九次会议通过</w:t>
      </w:r>
      <w:r>
        <w:rPr>
          <w:rFonts w:hint="eastAsia" w:ascii="宋体" w:hAnsi="宋体" w:eastAsia="楷体_GB2312" w:cs="楷体_GB2312"/>
          <w:kern w:val="0"/>
          <w:szCs w:val="32"/>
          <w:lang w:eastAsia="zh-CN"/>
        </w:rPr>
        <w:t>）</w:t>
      </w:r>
    </w:p>
    <w:p>
      <w:pPr>
        <w:widowControl w:val="0"/>
        <w:wordWrap/>
        <w:overflowPunct w:val="0"/>
        <w:adjustRightInd/>
        <w:snapToGrid/>
        <w:spacing w:beforeAutospacing="0" w:afterAutospacing="0" w:line="560" w:lineRule="exact"/>
        <w:ind w:right="640" w:rightChars="200"/>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ind w:right="640" w:rightChars="200"/>
        <w:jc w:val="center"/>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二章　经营者的价格行为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三章　政府的定价行为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四章　价格总水平调控</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五章　价格监督检查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六章　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宋体" w:cs="宋体"/>
          <w:kern w:val="0"/>
          <w:szCs w:val="32"/>
          <w:lang w:eastAsia="zh-CN"/>
        </w:rPr>
        <w:t>　　</w:t>
      </w:r>
      <w:r>
        <w:rPr>
          <w:rFonts w:hint="eastAsia" w:ascii="宋体" w:hAnsi="宋体" w:eastAsia="楷体_GB2312" w:cs="楷体_GB2312"/>
          <w:kern w:val="0"/>
          <w:szCs w:val="32"/>
          <w:lang w:eastAsia="zh-CN"/>
        </w:rPr>
        <w:t>第</w:t>
      </w:r>
      <w:r>
        <w:rPr>
          <w:rFonts w:hint="eastAsia" w:ascii="宋体" w:hAnsi="宋体" w:eastAsia="楷体_GB2312" w:cs="楷体_GB2312"/>
          <w:kern w:val="0"/>
          <w:szCs w:val="32"/>
        </w:rPr>
        <w:t>七章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cs="Arial"/>
          <w:kern w:val="0"/>
          <w:szCs w:val="32"/>
        </w:rPr>
      </w:pPr>
      <w:r>
        <w:rPr>
          <w:rFonts w:hint="eastAsia" w:ascii="宋体" w:hAnsi="宋体" w:eastAsia="黑体" w:cs="黑体"/>
          <w:kern w:val="0"/>
          <w:szCs w:val="32"/>
          <w:lang w:eastAsia="zh-CN"/>
        </w:rPr>
        <w:t>第</w:t>
      </w:r>
      <w:r>
        <w:rPr>
          <w:rFonts w:hint="eastAsia" w:ascii="宋体" w:hAnsi="宋体" w:eastAsia="黑体" w:cs="黑体"/>
          <w:kern w:val="0"/>
          <w:szCs w:val="32"/>
        </w:rPr>
        <w:t>一章　总则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第一条</w:t>
      </w:r>
      <w:r>
        <w:rPr>
          <w:rFonts w:hint="eastAsia" w:ascii="宋体" w:hAnsi="宋体" w:cs="Arial"/>
          <w:kern w:val="0"/>
          <w:szCs w:val="32"/>
        </w:rPr>
        <w:t>　为了规范价格行为，发挥价格合理配置资源的作用，稳定市场价格总水平，保护消费者和经营者的合法权益，促进社会主义市场经济健康发展，制定本法。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第二条</w:t>
      </w:r>
      <w:r>
        <w:rPr>
          <w:rFonts w:hint="eastAsia" w:ascii="宋体" w:hAnsi="宋体" w:cs="Arial"/>
          <w:kern w:val="0"/>
          <w:szCs w:val="32"/>
        </w:rPr>
        <w:t>　在中华人民共和国境内发生的价格行为，适用本法。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本法所称价格包括商品价格和服务价格。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商品价格是指各类有形产品和无形资产的价格。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服务价格是指各类有偿服务的收费。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第三条</w:t>
      </w:r>
      <w:r>
        <w:rPr>
          <w:rFonts w:hint="eastAsia" w:ascii="宋体" w:hAnsi="宋体" w:cs="Arial"/>
          <w:kern w:val="0"/>
          <w:szCs w:val="32"/>
        </w:rPr>
        <w:t>　国家实行并逐步完善宏观经济调控下主要由市场形成价格的机制。价格的制定应当符合价值规律，大多数商品和服务价格实行市场调节价，极少数商品和服务价格实行政府指导价或者政府定价。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市场调节价，是指由经营者自主制定，通过市场竞争形成的价格。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本法所称经营者是指从事生产、经营商品或者提供有偿服务的法人、其他组织和个人。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政府指导价，是指依照本法规定，由政府价格主管部门或者其他有关部门，按照定价权限和范围规定基准价及其浮动幅度，指导经营者制定的价格。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政府定价，是指依照本法规定，由政府价格主管部门或者其他有关部门，按照定价权限和范围制定的价格。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第四条</w:t>
      </w:r>
      <w:r>
        <w:rPr>
          <w:rFonts w:hint="eastAsia" w:ascii="宋体" w:hAnsi="宋体" w:cs="Arial"/>
          <w:kern w:val="0"/>
          <w:szCs w:val="32"/>
        </w:rPr>
        <w:t>　国家支持和促进公平、公开、合法的市场竞争，维护正常的价格秩序，对价格活动实行管理、监督和必要的调控。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第五条</w:t>
      </w:r>
      <w:r>
        <w:rPr>
          <w:rFonts w:hint="eastAsia" w:ascii="宋体" w:hAnsi="宋体" w:cs="Arial"/>
          <w:kern w:val="0"/>
          <w:szCs w:val="32"/>
        </w:rPr>
        <w:t>　国务院价格主管部门统一负责全国的价格工作。国务院其他有关部门在各自的职责范围内，负责有关的价格工作。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县级以上地方各级人民政府价格主管部门负责本行政区域内的价格工作。县级以上地方各级人民政府其他有关部门在各自的职责范围内，负责有关的价格工作。</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第二章　经营者的价格行为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第六条</w:t>
      </w:r>
      <w:r>
        <w:rPr>
          <w:rFonts w:hint="eastAsia" w:ascii="宋体" w:hAnsi="宋体" w:cs="Arial"/>
          <w:kern w:val="0"/>
          <w:szCs w:val="32"/>
        </w:rPr>
        <w:t>　商品价格和服务价格，除依照本法第十八条规定适用政府指导价或者政府定价外，实行市场调节价，由经营者依照本法自主制定。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第七条</w:t>
      </w:r>
      <w:r>
        <w:rPr>
          <w:rFonts w:hint="eastAsia" w:ascii="宋体" w:hAnsi="宋体" w:cs="Arial"/>
          <w:kern w:val="0"/>
          <w:szCs w:val="32"/>
        </w:rPr>
        <w:t>　经营者定价，应当遵循公平、合法和诚实信用的原则。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第八条</w:t>
      </w:r>
      <w:r>
        <w:rPr>
          <w:rFonts w:hint="eastAsia" w:ascii="宋体" w:hAnsi="宋体" w:cs="Arial"/>
          <w:kern w:val="0"/>
          <w:szCs w:val="32"/>
        </w:rPr>
        <w:t>　经营者定价的基本依据是生产经营成本和市场供求状况。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第九条</w:t>
      </w:r>
      <w:r>
        <w:rPr>
          <w:rFonts w:hint="eastAsia" w:ascii="宋体" w:hAnsi="宋体" w:cs="Arial"/>
          <w:kern w:val="0"/>
          <w:szCs w:val="32"/>
        </w:rPr>
        <w:t>　经营者应当努力改进生产经营管理，降低生产经营成本，为消费者提供价格合理的商品和服务，并在市场竞争中获取合法利润。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第十条</w:t>
      </w:r>
      <w:r>
        <w:rPr>
          <w:rFonts w:hint="eastAsia" w:ascii="宋体" w:hAnsi="宋体" w:cs="Arial"/>
          <w:kern w:val="0"/>
          <w:szCs w:val="32"/>
        </w:rPr>
        <w:t>　经营者应当根据其经营条件建立、健全内部价格管理制度，准确记录与核定商品和服务的生产经营成本，不得弄虚作假。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第十一条</w:t>
      </w:r>
      <w:r>
        <w:rPr>
          <w:rFonts w:hint="eastAsia" w:ascii="宋体" w:hAnsi="宋体" w:cs="Arial"/>
          <w:kern w:val="0"/>
          <w:szCs w:val="32"/>
        </w:rPr>
        <w:t>　经营者进行价格活动，享有下列权利：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（一）自主制定属于市场调节的价格；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（二）在政府指导价规定的幅度内制定价格；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（三）制定属于政府指导价、政府定价产品范围内的新产品的试销价格，特定产品除外；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（四）检举、控告侵犯其依法自主定价权利的行为。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第十二条</w:t>
      </w:r>
      <w:r>
        <w:rPr>
          <w:rFonts w:hint="eastAsia" w:ascii="宋体" w:hAnsi="宋体" w:cs="Arial"/>
          <w:kern w:val="0"/>
          <w:szCs w:val="32"/>
        </w:rPr>
        <w:t>　经营者进行价格活动，应当遵守法律、法规，执行依法制定的政府指导价、政府定价和法定的价格干预措施、紧急措施。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第十三条</w:t>
      </w:r>
      <w:r>
        <w:rPr>
          <w:rFonts w:hint="eastAsia" w:ascii="宋体" w:hAnsi="宋体" w:cs="Arial"/>
          <w:kern w:val="0"/>
          <w:szCs w:val="32"/>
        </w:rPr>
        <w:t>　经营者销售、收购商品和提供服务，应当按照政府价格主管部门的规定明码标价，注明商品的品名、产地、规格、等级、计价单位、价格或者服务的项目、收费标准等有关情况。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经营者不得在标价之外加价出售商品，不得收取任何未予标明的费用。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第十四条</w:t>
      </w:r>
      <w:r>
        <w:rPr>
          <w:rFonts w:hint="eastAsia" w:ascii="宋体" w:hAnsi="宋体" w:cs="Arial"/>
          <w:kern w:val="0"/>
          <w:szCs w:val="32"/>
        </w:rPr>
        <w:t>　经营者不得有下列不正当价格行为：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（一）相互串通，操纵市场价格，损害其他经营者或者消费者的合法权益；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（二）在依法降价处理鲜活商品、季节性商品、积压商品等商品外，为了排挤竞争对手或者独占市场，以低于成本的价格倾销，扰乱正常的生产经营秩序，损害国家利益或者其他经营者的合法权益；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（三）捏造、散布涨价信息，哄抬价格，推动商品价格过高上涨的；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（四）利用虚假的或者使人误解的价格手段，诱骗消费者或者其他经营者与其进行交易；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（五）提供相同商品或者服务，对具有同等交易条件的其他经营者实行价格歧视；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（六）采取抬高等级或者压低等级等手段收购、销售商品或者提供服务，变相提高或者压低价格；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（七）违反法律、法规的规定牟取暴利；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（八）法律、行政法规禁止的其他不正当价格行为。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第十五条</w:t>
      </w:r>
      <w:r>
        <w:rPr>
          <w:rFonts w:hint="eastAsia" w:ascii="宋体" w:hAnsi="宋体" w:cs="Arial"/>
          <w:kern w:val="0"/>
          <w:szCs w:val="32"/>
        </w:rPr>
        <w:t>　各类中介机构提供有偿服务收取费用，应当遵守本法的规定。法律另有规定的，按照有关规定执行。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第十六条</w:t>
      </w:r>
      <w:r>
        <w:rPr>
          <w:rFonts w:hint="eastAsia" w:ascii="宋体" w:hAnsi="宋体" w:cs="Arial"/>
          <w:kern w:val="0"/>
          <w:szCs w:val="32"/>
        </w:rPr>
        <w:t>　经营者销售进口商品、收购出口商品，应当遵守本章的有关规定，维护国内市场秩序。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第十七条</w:t>
      </w:r>
      <w:r>
        <w:rPr>
          <w:rFonts w:hint="eastAsia" w:ascii="宋体" w:hAnsi="宋体" w:cs="Arial"/>
          <w:kern w:val="0"/>
          <w:szCs w:val="32"/>
        </w:rPr>
        <w:t>　行业组织应当遵守价格法律、法规，加强价格自律，接受政府价格主管部门的工作指导。</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第三章　政府的定价行为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第十八条</w:t>
      </w:r>
      <w:r>
        <w:rPr>
          <w:rFonts w:hint="eastAsia" w:ascii="宋体" w:hAnsi="宋体" w:cs="Arial"/>
          <w:kern w:val="0"/>
          <w:szCs w:val="32"/>
        </w:rPr>
        <w:t>　下列商品和服务价格，政府在必要时可以实行政府指导价或者政府定价：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（一）与国民经济发展和人民生活关系重大的极少数商品价格；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（二）资源稀缺的少数商品价格；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（三）自然垄断经营的商品价格；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（四）重要的公用事业价格；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（五）重要的公益性服务价格。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第十九条</w:t>
      </w:r>
      <w:r>
        <w:rPr>
          <w:rFonts w:hint="eastAsia" w:ascii="宋体" w:hAnsi="宋体" w:cs="Arial"/>
          <w:kern w:val="0"/>
          <w:szCs w:val="32"/>
        </w:rPr>
        <w:t>　政府指导价、政府定价的定价权限和具体适用范围，以中央的和地方的定价目录为依据。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中央定价目录由国务院价格主管部门制定、修订，报国务院批准后公布。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地方定价目录由省、自治区、直辖市人民政府价格主管部门按照中央定价目录规定的定价权限和具体适用范围制定，经本级人民政府审核同意，报国务院价格主管部门审定后公布。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省、自治区、直辖市人民政府以下各级地方人民政府不得制定定价目录。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第二十条</w:t>
      </w:r>
      <w:r>
        <w:rPr>
          <w:rFonts w:hint="eastAsia" w:ascii="宋体" w:hAnsi="宋体" w:cs="Arial"/>
          <w:kern w:val="0"/>
          <w:szCs w:val="32"/>
        </w:rPr>
        <w:t>　国务院价格主管部门和其他有关部门，按照中央定价目录规定的定价权限和具体适用范围制定政府指导价、政府定价；其中重要的商品和服务价格的政府指导价、政府定价，应当按照规定经国务院批准。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省、自治区、直辖市人民政府价格主管部门和其他有关部门，应当按照地方定价目录规定的定价权限和具体适用范围制定在本地区执行的政府指导价、政府定价。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市、县人民政府可以根据省、自治区、直辖市人民政府的授权，按照地方定价目录规定的定价权限和具体适用范围制定在本地区执行的政府指导价、政府定价。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第二十一条</w:t>
      </w:r>
      <w:r>
        <w:rPr>
          <w:rFonts w:hint="eastAsia" w:ascii="宋体" w:hAnsi="宋体" w:cs="Arial"/>
          <w:kern w:val="0"/>
          <w:szCs w:val="32"/>
        </w:rPr>
        <w:t>　制定政府指导价、政府定价，应当依据有关商品或者服务的社会平均成本和市场供求状况、国民经济与社会发展要求以及社会承受能力，实行合理的购销差价、批零差价、地区差价和季节差价。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第二十二条</w:t>
      </w:r>
      <w:r>
        <w:rPr>
          <w:rFonts w:hint="eastAsia" w:ascii="宋体" w:hAnsi="宋体" w:cs="Arial"/>
          <w:kern w:val="0"/>
          <w:szCs w:val="32"/>
        </w:rPr>
        <w:t>　政府价格主管部门和其他有关部门制定政府指导价、政府定价，应当开展价格、成本调查，听取消费者、经营者和有关方面的意见。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政府价格主管部门开展对政府指导价、政府定价的价格、成本调查时，有关单位应当如实反映情况，提供必需的帐簿、文件以及其他资料。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第二十三条</w:t>
      </w:r>
      <w:r>
        <w:rPr>
          <w:rFonts w:hint="eastAsia" w:ascii="宋体" w:hAnsi="宋体" w:cs="Arial"/>
          <w:kern w:val="0"/>
          <w:szCs w:val="32"/>
        </w:rPr>
        <w:t>　制定关系群众切身利益的公用事业价格、公益性服务价格、自然垄断经营的商品价格等政府指导价、政府定价，应当建立听证会制度，由政府价格主管部门主持，征求消费者、经营者和有关方面的意见，论证其必要性、可行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第二十四条</w:t>
      </w:r>
      <w:r>
        <w:rPr>
          <w:rFonts w:hint="eastAsia" w:ascii="宋体" w:hAnsi="宋体" w:cs="Arial"/>
          <w:kern w:val="0"/>
          <w:szCs w:val="32"/>
        </w:rPr>
        <w:t>　政府指导价、政府定价制定后，由制定价格的部门向消费者、经营者公布。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第二十五条</w:t>
      </w:r>
      <w:r>
        <w:rPr>
          <w:rFonts w:hint="eastAsia" w:ascii="宋体" w:hAnsi="宋体" w:cs="Arial"/>
          <w:kern w:val="0"/>
          <w:szCs w:val="32"/>
        </w:rPr>
        <w:t>　政府指导价、政府定价的具体适用范围、价格水平，应当根据经济运行情况，按照规定的定价权限和程序适时调整。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消费者、经营者可以对政府指导价、政府定价提出调整建议。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第四章　价格总水平调控</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第二十六条</w:t>
      </w:r>
      <w:r>
        <w:rPr>
          <w:rFonts w:hint="eastAsia" w:ascii="宋体" w:hAnsi="宋体" w:cs="Arial"/>
          <w:kern w:val="0"/>
          <w:szCs w:val="32"/>
        </w:rPr>
        <w:t>　稳定市场价格总水平是国家重要的宏观经济政策目标。国家根据国民经济发展的需要和社会承受能力，确定市场价格总水平调控目标，列入国民经济和社会发展计划，并综合运用货币、财政、投资、进出口等方面的政策和措施，予以实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第二十七条</w:t>
      </w:r>
      <w:r>
        <w:rPr>
          <w:rFonts w:hint="eastAsia" w:ascii="宋体" w:hAnsi="宋体" w:cs="Arial"/>
          <w:kern w:val="0"/>
          <w:szCs w:val="32"/>
        </w:rPr>
        <w:t>　政府可以建立重要商品储备制度，设立价格调节基金，调控价格，稳定市场。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第二十八条</w:t>
      </w:r>
      <w:r>
        <w:rPr>
          <w:rFonts w:hint="eastAsia" w:ascii="宋体" w:hAnsi="宋体" w:cs="Arial"/>
          <w:kern w:val="0"/>
          <w:szCs w:val="32"/>
        </w:rPr>
        <w:t>　为适应价格调控和管理的需要，政府价格主管部门应当建立价格监测制度，对重要商品、服务价格的变动进行监测。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第二十九条</w:t>
      </w:r>
      <w:r>
        <w:rPr>
          <w:rFonts w:hint="eastAsia" w:ascii="宋体" w:hAnsi="宋体" w:cs="Arial"/>
          <w:kern w:val="0"/>
          <w:szCs w:val="32"/>
        </w:rPr>
        <w:t>　政府在粮食等重要农产品的市场购买价格过低时，可以在收购中实行保护价格，并采取相应的经济措施保证其实现。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第三十条</w:t>
      </w:r>
      <w:r>
        <w:rPr>
          <w:rFonts w:hint="eastAsia" w:ascii="宋体" w:hAnsi="宋体" w:cs="Arial"/>
          <w:kern w:val="0"/>
          <w:szCs w:val="32"/>
        </w:rPr>
        <w:t>　当重要商品和服务价格显著上涨或者有可能显著上涨，国务院和省、自治区、直辖市人民政府可以对部分价格采取限定差价率或者利润率、规定限价、实行提价申报制度和调价备案制度等干预措施。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省、自治区、直辖市人民政府采取前款规定的干预措施，应当报国务院备案。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第三十一条</w:t>
      </w:r>
      <w:r>
        <w:rPr>
          <w:rFonts w:hint="eastAsia" w:ascii="宋体" w:hAnsi="宋体" w:cs="Arial"/>
          <w:kern w:val="0"/>
          <w:szCs w:val="32"/>
        </w:rPr>
        <w:t>　当市场价格总水平出现剧烈波动等异常状态时，国务院可以在全国范围内或者部分区域内采取临时集中定价权限、部分或者全面冻结价格的紧急措施。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第三十二条</w:t>
      </w:r>
      <w:r>
        <w:rPr>
          <w:rFonts w:hint="eastAsia" w:ascii="宋体" w:hAnsi="宋体" w:cs="Arial"/>
          <w:kern w:val="0"/>
          <w:szCs w:val="32"/>
        </w:rPr>
        <w:t>　依照本法第三十条、第三十一条的规定实行干预措施、紧急措施的情形消除后，应当及时解除干预措施、紧急措施。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第五章　价格监督检查</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第三十三条</w:t>
      </w:r>
      <w:r>
        <w:rPr>
          <w:rFonts w:hint="eastAsia" w:ascii="宋体" w:hAnsi="宋体" w:cs="Arial"/>
          <w:kern w:val="0"/>
          <w:szCs w:val="32"/>
        </w:rPr>
        <w:t>　县级以上各级人民政府价格主管部门，依法对价格活动进行监督检查，并依照本法的规定对价格违法行为实施行政处罚。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第三十四</w:t>
      </w:r>
      <w:r>
        <w:rPr>
          <w:rFonts w:hint="eastAsia" w:ascii="宋体" w:hAnsi="宋体" w:eastAsia="黑体" w:cs="黑体"/>
          <w:kern w:val="0"/>
          <w:szCs w:val="32"/>
        </w:rPr>
        <w:t>条</w:t>
      </w:r>
      <w:r>
        <w:rPr>
          <w:rFonts w:hint="eastAsia" w:ascii="宋体" w:hAnsi="宋体" w:cs="Arial"/>
          <w:kern w:val="0"/>
          <w:szCs w:val="32"/>
        </w:rPr>
        <w:t>　政府价格主管部门进行价格监督检查时，可以行使下列职权；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（一）询问当事人或者有关人员，并要求其提供证明材料和与价格违法行为有关的其他资料；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（二）查询、复制与价格违法行为有关的帐簿、单据、凭证、文件及其他资料，核对与价格违法行为有关的银行资料；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（三）检查与价格违法行为有关的财物，必要时可以责令当事人暂停相关营业；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（四）在证据可能灭失或者以后难以取得的情况下，可以依法先行登记保存，当事人或者有关人员不得转移、隐匿或者销毁。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三十五条</w:t>
      </w:r>
      <w:r>
        <w:rPr>
          <w:rFonts w:hint="eastAsia" w:ascii="宋体" w:hAnsi="宋体" w:cs="Arial"/>
          <w:kern w:val="0"/>
          <w:szCs w:val="32"/>
        </w:rPr>
        <w:t>　经营者接受政府价格主管部门的监督检查时，应当如实提供价格监督检查所必需的帐簿、单据、凭证、文件以及其他资料。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三十六条</w:t>
      </w:r>
      <w:r>
        <w:rPr>
          <w:rFonts w:hint="eastAsia" w:ascii="宋体" w:hAnsi="宋体" w:cs="Arial"/>
          <w:kern w:val="0"/>
          <w:szCs w:val="32"/>
        </w:rPr>
        <w:t>　政府部门价格工作人员不得将依法取得的资料或者了解的情况用于依法进行价格管理以外的任何其他目的，不得泄露当事人的商业秘密。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三十七条</w:t>
      </w:r>
      <w:r>
        <w:rPr>
          <w:rFonts w:hint="eastAsia" w:ascii="宋体" w:hAnsi="宋体" w:cs="Arial"/>
          <w:kern w:val="0"/>
          <w:szCs w:val="32"/>
        </w:rPr>
        <w:t>　消费者组织、职工价格监督组织、居民委员会、村民委员会等组织以及消费者，有权对价格行为进行社会监督。政府价格主管部门应当充分发挥群众的价格监督作用。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新闻单位有权进行价格舆论监督。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三十八条</w:t>
      </w:r>
      <w:r>
        <w:rPr>
          <w:rFonts w:hint="eastAsia" w:ascii="宋体" w:hAnsi="宋体" w:cs="Arial"/>
          <w:kern w:val="0"/>
          <w:szCs w:val="32"/>
        </w:rPr>
        <w:t>　政府价格主管部门应当建立对价格违法行为的举报制度。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任何单位和个人均有权对价格违法行为进行举报。政府价格主管部门应当对举报者给予鼓励，并负责为举报者保密。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w:t>
      </w:r>
      <w:r>
        <w:rPr>
          <w:rFonts w:hint="eastAsia" w:ascii="宋体" w:hAnsi="宋体" w:eastAsia="黑体" w:cs="黑体"/>
          <w:kern w:val="0"/>
          <w:szCs w:val="32"/>
        </w:rPr>
        <w:t>六章　法律责任</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三十九条</w:t>
      </w:r>
      <w:r>
        <w:rPr>
          <w:rFonts w:hint="eastAsia" w:ascii="宋体" w:hAnsi="宋体" w:cs="Arial"/>
          <w:kern w:val="0"/>
          <w:szCs w:val="32"/>
        </w:rPr>
        <w:t>　经营者不执行政府指导价、政府定价以及法定的价格干预措施、紧急措施的，责令改正，没收违法所得，可以并处违法所得五倍以下的罚款；没有违法所得的，可以处以罚款；情节严重的，责令停业整顿。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四十条</w:t>
      </w:r>
      <w:r>
        <w:rPr>
          <w:rFonts w:hint="eastAsia" w:ascii="宋体" w:hAnsi="宋体" w:cs="Arial"/>
          <w:kern w:val="0"/>
          <w:szCs w:val="32"/>
        </w:rPr>
        <w:t>　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有本法第十四条第（一）项、第（二）项所列行为，属于是全国性的，由国务院价格主管部门认定；属于是省及省以下区域性的，由省、自治区、直辖市人民政府价格主管部门认定。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四十一条</w:t>
      </w:r>
      <w:r>
        <w:rPr>
          <w:rFonts w:hint="eastAsia" w:ascii="宋体" w:hAnsi="宋体" w:cs="Arial"/>
          <w:kern w:val="0"/>
          <w:szCs w:val="32"/>
        </w:rPr>
        <w:t>　经营者因价格违法行为致使消费者或者其他经营者多付价款的，应当退还多付部分；造成损害的，应当依法承担赔偿责任。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四十二条</w:t>
      </w:r>
      <w:r>
        <w:rPr>
          <w:rFonts w:hint="eastAsia" w:ascii="宋体" w:hAnsi="宋体" w:cs="Arial"/>
          <w:kern w:val="0"/>
          <w:szCs w:val="32"/>
        </w:rPr>
        <w:t>　经营者违反明码标价规定的，责令改正，没收违法所得，可以并处五千元以下的罚款。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四十三条</w:t>
      </w:r>
      <w:r>
        <w:rPr>
          <w:rFonts w:hint="eastAsia" w:ascii="宋体" w:hAnsi="宋体" w:cs="Arial"/>
          <w:kern w:val="0"/>
          <w:szCs w:val="32"/>
        </w:rPr>
        <w:t>　经营者被责令暂停相关营业而不停止的，或者转移、隐匿、销毁依法登记保存的财物的，处相关营业所得或者转移、隐匿、销毁的财物价值一倍以上三倍以下的罚款。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四十四条</w:t>
      </w:r>
      <w:r>
        <w:rPr>
          <w:rFonts w:hint="eastAsia" w:ascii="宋体" w:hAnsi="宋体" w:cs="Arial"/>
          <w:kern w:val="0"/>
          <w:szCs w:val="32"/>
        </w:rPr>
        <w:t>　拒绝按照规定提供监督检查所需资料或者提供虚假资料的，责令改正，予以警告；逾期不改正的，可以处以罚款。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四十五条</w:t>
      </w:r>
      <w:r>
        <w:rPr>
          <w:rFonts w:hint="eastAsia" w:ascii="宋体" w:hAnsi="宋体" w:cs="Arial"/>
          <w:kern w:val="0"/>
          <w:szCs w:val="32"/>
        </w:rPr>
        <w:t>　地方各级人民政府或者各级人民政府有关部门违反本法规定，超越定价权限和范围擅自制定、调整价格或者不执行法定的价格干预措施、紧急措施的，责令改正，并可以通报批评；对直接负责的主管人员和其他直接责任人员，依法给予行政处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四十六条</w:t>
      </w:r>
      <w:r>
        <w:rPr>
          <w:rFonts w:hint="eastAsia" w:ascii="宋体" w:hAnsi="宋体" w:cs="Arial"/>
          <w:kern w:val="0"/>
          <w:szCs w:val="32"/>
        </w:rPr>
        <w:t>　价格工作人员泄露国家秘密、商业秘密以及滥用职权、徇私舞弊、玩忽职守、索贿受贿，构成犯罪的，依法追究刑事责任；尚不构成犯罪的，依法给予处分。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w:t>
      </w:r>
      <w:r>
        <w:rPr>
          <w:rFonts w:hint="eastAsia" w:ascii="宋体" w:hAnsi="宋体" w:eastAsia="黑体" w:cs="黑体"/>
          <w:kern w:val="0"/>
          <w:szCs w:val="32"/>
        </w:rPr>
        <w:t>七章　附则</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四十七条</w:t>
      </w:r>
      <w:r>
        <w:rPr>
          <w:rFonts w:hint="eastAsia" w:ascii="宋体" w:hAnsi="宋体" w:cs="Arial"/>
          <w:kern w:val="0"/>
          <w:szCs w:val="32"/>
        </w:rPr>
        <w:t>　国家行政机关的收费，应当依法进行，严格控制收费项目，限定收费范围、标准。收费的具体管理办法由国务院另行制定。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　</w:t>
      </w:r>
      <w:r>
        <w:rPr>
          <w:rFonts w:hint="eastAsia" w:ascii="宋体" w:hAnsi="宋体" w:cs="Arial"/>
          <w:kern w:val="0"/>
          <w:szCs w:val="32"/>
          <w:lang w:eastAsia="zh-CN"/>
        </w:rPr>
        <w:t>　</w:t>
      </w:r>
      <w:r>
        <w:rPr>
          <w:rFonts w:hint="eastAsia" w:ascii="宋体" w:hAnsi="宋体" w:cs="Arial"/>
          <w:kern w:val="0"/>
          <w:szCs w:val="32"/>
        </w:rPr>
        <w:t>利率、汇率、保险费率、证券及期货价格，适用有关法律、行政法规的规定，不适用本法。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lang w:eastAsia="zh-CN"/>
        </w:rPr>
        <w:t>第</w:t>
      </w:r>
      <w:r>
        <w:rPr>
          <w:rFonts w:hint="eastAsia" w:ascii="宋体" w:hAnsi="宋体" w:eastAsia="黑体" w:cs="黑体"/>
          <w:kern w:val="0"/>
          <w:szCs w:val="32"/>
        </w:rPr>
        <w:t>四十八条</w:t>
      </w:r>
      <w:r>
        <w:rPr>
          <w:rFonts w:hint="eastAsia" w:ascii="宋体" w:hAnsi="宋体" w:cs="Arial"/>
          <w:kern w:val="0"/>
          <w:szCs w:val="32"/>
        </w:rPr>
        <w:t>　本法自1998年5月1日起施行。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adjustRightInd/>
        <w:snapToGrid/>
        <w:spacing w:beforeAutospacing="0" w:afterAutospacing="0" w:line="560" w:lineRule="exact"/>
        <w:jc w:val="center"/>
        <w:textAlignment w:val="auto"/>
        <w:outlineLvl w:val="9"/>
        <w:rPr>
          <w:rFonts w:hint="eastAsia" w:ascii="宋体" w:hAnsi="宋体" w:cs="Arial"/>
          <w:kern w:val="0"/>
          <w:szCs w:val="32"/>
        </w:rPr>
      </w:pPr>
      <w:r>
        <w:rPr>
          <w:rFonts w:hint="eastAsia" w:ascii="宋体" w:hAnsi="宋体" w:eastAsia="宋体" w:cs="宋体"/>
          <w:sz w:val="44"/>
          <w:szCs w:val="44"/>
        </w:rPr>
        <w:t>中华人民共和国社会保险法</w:t>
      </w:r>
      <w:r>
        <w:rPr>
          <w:rFonts w:hint="eastAsia" w:ascii="宋体" w:hAnsi="宋体" w:cs="Arial"/>
          <w:kern w:val="0"/>
          <w:szCs w:val="32"/>
        </w:rPr>
        <w:br w:type="textWrapping"/>
      </w:r>
    </w:p>
    <w:p>
      <w:pPr>
        <w:widowControl w:val="0"/>
        <w:wordWrap/>
        <w:overflowPunct w:val="0"/>
        <w:adjustRightInd/>
        <w:snapToGrid/>
        <w:spacing w:beforeAutospacing="0" w:afterAutospacing="0" w:line="560" w:lineRule="exact"/>
        <w:ind w:left="640" w:leftChars="200" w:right="525" w:rightChars="164" w:firstLine="0" w:firstLineChars="0"/>
        <w:jc w:val="center"/>
        <w:textAlignment w:val="auto"/>
        <w:outlineLvl w:val="9"/>
        <w:rPr>
          <w:rFonts w:hint="eastAsia" w:ascii="宋体" w:hAnsi="宋体" w:cs="Arial"/>
          <w:kern w:val="0"/>
          <w:szCs w:val="32"/>
        </w:rPr>
      </w:pPr>
      <w:r>
        <w:rPr>
          <w:rFonts w:hint="eastAsia" w:ascii="楷体" w:hAnsi="楷体" w:eastAsia="楷体" w:cs="楷体"/>
          <w:kern w:val="0"/>
          <w:szCs w:val="32"/>
        </w:rPr>
        <w:t>（2010年10月28日第十一届全国人民代表大会常务委员会第十七次会议通过　根据2018年12月29日第十三届全国人民代表大会常务委员会第七次会议《关于修改〈中华人民共和国社会保险法〉的决定》修正）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楷体" w:hAnsi="楷体" w:eastAsia="楷体" w:cs="楷体"/>
          <w:kern w:val="0"/>
          <w:szCs w:val="32"/>
        </w:rPr>
      </w:pPr>
      <w:r>
        <w:rPr>
          <w:rFonts w:hint="eastAsia" w:ascii="楷体" w:hAnsi="楷体" w:eastAsia="楷体" w:cs="楷体"/>
          <w:kern w:val="0"/>
          <w:szCs w:val="32"/>
          <w:lang w:val="en-US" w:eastAsia="zh-CN"/>
        </w:rPr>
        <w:t>目　　录</w:t>
      </w:r>
    </w:p>
    <w:p>
      <w:pPr>
        <w:widowControl w:val="0"/>
        <w:wordWrap/>
        <w:overflowPunct w:val="0"/>
        <w:adjustRightInd/>
        <w:snapToGrid/>
        <w:spacing w:beforeAutospacing="0" w:afterAutospacing="0" w:line="560" w:lineRule="exact"/>
        <w:ind w:left="640" w:leftChars="200" w:firstLine="0" w:firstLineChars="0"/>
        <w:textAlignment w:val="auto"/>
        <w:outlineLvl w:val="9"/>
        <w:rPr>
          <w:rFonts w:hint="eastAsia" w:ascii="楷体" w:hAnsi="楷体" w:eastAsia="楷体" w:cs="楷体"/>
          <w:kern w:val="0"/>
          <w:szCs w:val="32"/>
          <w:lang w:val="en-US" w:eastAsia="zh-CN"/>
        </w:rPr>
      </w:pPr>
      <w:r>
        <w:rPr>
          <w:rFonts w:hint="eastAsia" w:ascii="楷体" w:hAnsi="楷体" w:eastAsia="楷体" w:cs="楷体"/>
          <w:kern w:val="0"/>
          <w:szCs w:val="32"/>
          <w:lang w:val="en-US" w:eastAsia="zh-CN"/>
        </w:rPr>
        <w:t>第一章　总　　则</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第二章　基本养老保险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第三章　基本医疗保险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第四章　工伤保险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第五章　失业保险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第六章　生育保险</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第七章　社会保险费征缴</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第八章　社会保险基金</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第九章　社会保险经办</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第十章　社会保险监督</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第十一章　法律责任</w:t>
      </w:r>
      <w:r>
        <w:rPr>
          <w:rFonts w:hint="eastAsia" w:ascii="楷体" w:hAnsi="楷体" w:eastAsia="楷体" w:cs="楷体"/>
          <w:kern w:val="0"/>
          <w:szCs w:val="32"/>
          <w:lang w:val="en-US" w:eastAsia="zh-CN"/>
        </w:rPr>
        <w:br w:type="textWrapping"/>
      </w:r>
      <w:r>
        <w:rPr>
          <w:rFonts w:hint="eastAsia" w:ascii="楷体" w:hAnsi="楷体" w:eastAsia="楷体" w:cs="楷体"/>
          <w:kern w:val="0"/>
          <w:szCs w:val="32"/>
          <w:lang w:val="en-US" w:eastAsia="zh-CN"/>
        </w:rPr>
        <w:t>第十二章　附　　则</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总　　则</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第一条</w:t>
      </w:r>
      <w:r>
        <w:rPr>
          <w:rFonts w:hint="eastAsia" w:ascii="宋体" w:hAnsi="宋体" w:cs="Arial"/>
          <w:kern w:val="0"/>
          <w:szCs w:val="32"/>
          <w:lang w:val="en-US" w:eastAsia="zh-CN"/>
        </w:rPr>
        <w:t>　为了规范社会保险关系，维护公民参加社会保险和享受社会保险待遇的合法权益，使公民共享发展成果，促进社会和谐稳定，根据</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328179&amp;ix=1&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56S+5Lya5L+d6Zmp5rOVJScpIAYFAAAADS3lj5HluIPml6XmnJ8GBgAAAA/npL7kvJrkv53pmanms5UAAAsBAAD//javascript:SLC(311281,0)" </w:instrText>
      </w:r>
      <w:r>
        <w:rPr>
          <w:rFonts w:hint="eastAsia" w:ascii="宋体" w:hAnsi="宋体" w:cs="Arial"/>
          <w:kern w:val="0"/>
          <w:szCs w:val="32"/>
          <w:lang w:val="en-US" w:eastAsia="zh-CN"/>
        </w:rPr>
        <w:fldChar w:fldCharType="separate"/>
      </w:r>
      <w:r>
        <w:rPr>
          <w:rFonts w:hint="eastAsia" w:ascii="宋体" w:hAnsi="宋体" w:cs="Arial"/>
          <w:kern w:val="0"/>
          <w:szCs w:val="32"/>
        </w:rPr>
        <w:t>宪法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，制定本法。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第二条　</w:t>
      </w:r>
      <w:r>
        <w:rPr>
          <w:rFonts w:hint="eastAsia" w:ascii="宋体" w:hAnsi="宋体" w:cs="Arial"/>
          <w:kern w:val="0"/>
          <w:szCs w:val="32"/>
          <w:lang w:val="en-US" w:eastAsia="zh-CN"/>
        </w:rPr>
        <w:t>国家建立基本养老保险、基本医疗保险、工伤保险、失业保险、生育保险等社会保险制度，保障公民在年老、疾病、工伤、失业、生育等情况下依法从国家和社会获得物质帮助的权利。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第三条</w:t>
      </w:r>
      <w:r>
        <w:rPr>
          <w:rFonts w:hint="eastAsia" w:ascii="宋体" w:hAnsi="宋体" w:cs="Arial"/>
          <w:kern w:val="0"/>
          <w:szCs w:val="32"/>
          <w:lang w:val="en-US" w:eastAsia="zh-CN"/>
        </w:rPr>
        <w:t>　社会保险制度坚持广覆盖、保基本、多层次、可持续的方针，社会保险水平应当与经济社会发展水平相适应。</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第四条　中华人民共和国境内的用人单位和个人依法缴纳社会保险费，有权查询缴费记录、个人权益记录，要求社会保险经办机构提供社会保险咨询等相关服务。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个人依法享受社会保险待遇，有权监督本单位为其缴费情况。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第五条</w:t>
      </w:r>
      <w:r>
        <w:rPr>
          <w:rFonts w:hint="eastAsia" w:ascii="宋体" w:hAnsi="宋体" w:cs="Arial"/>
          <w:kern w:val="0"/>
          <w:szCs w:val="32"/>
          <w:lang w:val="en-US" w:eastAsia="zh-CN"/>
        </w:rPr>
        <w:t>　县级以上人民政府将社会保险事业纳入国民经济和社会发展规划。</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国家多渠道筹集社会保险资金。县级以上人民政府对社会保险事业给予必要的经费支持。</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国家通过税收优惠政策支持社会保险事业。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第六条</w:t>
      </w:r>
      <w:r>
        <w:rPr>
          <w:rFonts w:hint="eastAsia" w:ascii="宋体" w:hAnsi="宋体" w:cs="Arial"/>
          <w:kern w:val="0"/>
          <w:szCs w:val="32"/>
          <w:lang w:val="en-US" w:eastAsia="zh-CN"/>
        </w:rPr>
        <w:t>　国家对社会保险基金实行严格监管。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国务院和省、自治区、直辖市人民政府建立健全社会保险基金监督管理制度，保障社会保险基金安全、有效运行。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县级以上人民政府采取措施，鼓励和支持社会各方面参与社会保险基金的监督。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第七条</w:t>
      </w:r>
      <w:r>
        <w:rPr>
          <w:rFonts w:hint="eastAsia" w:ascii="宋体" w:hAnsi="宋体" w:cs="Arial"/>
          <w:kern w:val="0"/>
          <w:szCs w:val="32"/>
          <w:lang w:val="en-US" w:eastAsia="zh-CN"/>
        </w:rPr>
        <w:t>　国务院社会保险行政部门负责全国的社会保险管理工作，国务院其他有关部门在各自的职责范围内负责有关的社会保险工作。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县级以上地方人民政府社会保险行政部门负责本行政区域的社会保险管理工作，县级以上地方人民政府其他有关部门在各自的职责范围内负责有关的社会保险工作。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第八条　</w:t>
      </w:r>
      <w:r>
        <w:rPr>
          <w:rFonts w:hint="eastAsia" w:ascii="宋体" w:hAnsi="宋体" w:cs="Arial"/>
          <w:kern w:val="0"/>
          <w:szCs w:val="32"/>
          <w:lang w:val="en-US" w:eastAsia="zh-CN"/>
        </w:rPr>
        <w:t>社会保险经办机构提供社会保险服务，负责社会保险登记、个人权益记录、社会保险待遇支付等工作。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第九条　</w:t>
      </w:r>
      <w:r>
        <w:rPr>
          <w:rFonts w:hint="eastAsia" w:ascii="宋体" w:hAnsi="宋体" w:cs="Arial"/>
          <w:kern w:val="0"/>
          <w:szCs w:val="32"/>
          <w:lang w:val="en-US" w:eastAsia="zh-CN"/>
        </w:rPr>
        <w:t>工会依法维护职工的合法权益，有权参与社会保险重大事项的研究，参加社会保险监督委员会，对与职工社会保险权益有关的事项进行监督。</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基本养老保险</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ind w:left="320" w:hanging="320" w:hangingChars="100"/>
        <w:textAlignment w:val="auto"/>
        <w:outlineLvl w:val="9"/>
        <w:rPr>
          <w:rFonts w:hint="eastAsia"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第十条</w:t>
      </w:r>
      <w:r>
        <w:rPr>
          <w:rFonts w:hint="eastAsia" w:ascii="宋体" w:hAnsi="宋体" w:cs="Arial"/>
          <w:kern w:val="0"/>
          <w:szCs w:val="32"/>
          <w:lang w:val="en-US" w:eastAsia="zh-CN"/>
        </w:rPr>
        <w:t>　职工应当参加基本养老保险，由用人单位和职工共同缴纳基本养老保险费。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无雇工的个体工商户、未在用人单位参加基本养老保险的非全日制从业人员以及其他灵活就业人员可以参加基本养老保险，由个人缴纳基本养老保险费。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公务员和参照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328179&amp;ix=1&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56S+5Lya5L+d6Zmp5rOVJScpIAYFAAAADS3lj5HluIPml6XmnJ8GBgAAAA/npL7kvJrkv53pmanms5UAAAsBAAD//javascript:SLC(301392,0)" </w:instrText>
      </w:r>
      <w:r>
        <w:rPr>
          <w:rFonts w:hint="eastAsia" w:ascii="宋体" w:hAnsi="宋体" w:cs="Arial"/>
          <w:kern w:val="0"/>
          <w:szCs w:val="32"/>
          <w:lang w:val="en-US" w:eastAsia="zh-CN"/>
        </w:rPr>
        <w:fldChar w:fldCharType="separate"/>
      </w:r>
      <w:r>
        <w:rPr>
          <w:rFonts w:hint="eastAsia" w:ascii="宋体" w:hAnsi="宋体" w:cs="Arial"/>
          <w:kern w:val="0"/>
          <w:szCs w:val="32"/>
        </w:rPr>
        <w:t>公务员法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管理的工作人员养老保险的办法由国务院规定。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第十一条　</w:t>
      </w:r>
      <w:r>
        <w:rPr>
          <w:rFonts w:hint="eastAsia" w:ascii="宋体" w:hAnsi="宋体" w:cs="Arial"/>
          <w:kern w:val="0"/>
          <w:szCs w:val="32"/>
          <w:lang w:val="en-US" w:eastAsia="zh-CN"/>
        </w:rPr>
        <w:t>基本养老保险实行社会统筹与个人账户相结合。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基本养老保险基金由用人单位和个人缴费以及政府补贴等组成。</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第十二条　</w:t>
      </w:r>
      <w:r>
        <w:rPr>
          <w:rFonts w:hint="eastAsia" w:ascii="宋体" w:hAnsi="宋体" w:cs="Arial"/>
          <w:kern w:val="0"/>
          <w:szCs w:val="32"/>
          <w:lang w:val="en-US" w:eastAsia="zh-CN"/>
        </w:rPr>
        <w:t>用人单位应当按照国家规定的本单位职工工资总额的比例缴纳基本养老保险费，记入基本养老保险统筹基金。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职工应当按照国家规定的本人工资的比例缴纳基本养老保险费，记入个人账户。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无雇工的个体工商户、未在用人单位参加基本养老保险的非全日制从业人员以及其他灵活就业人员参加基本养老保险的，应当按照国家规定缴纳基本养老保险费，分别记入基本养老保险统筹基金和个人账户。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第十三条</w:t>
      </w:r>
      <w:r>
        <w:rPr>
          <w:rFonts w:hint="eastAsia" w:ascii="宋体" w:hAnsi="宋体" w:cs="Arial"/>
          <w:kern w:val="0"/>
          <w:szCs w:val="32"/>
          <w:lang w:val="en-US" w:eastAsia="zh-CN"/>
        </w:rPr>
        <w:t>　国有企业、事业单位职工参加基本养老保险前，视同缴费年限期间应当缴纳的基本养老保险费由政府承担。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基本养老保险基金出现支付不足时，政府给予补贴。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第十四条</w:t>
      </w:r>
      <w:r>
        <w:rPr>
          <w:rFonts w:hint="eastAsia" w:ascii="宋体" w:hAnsi="宋体" w:cs="Arial"/>
          <w:kern w:val="0"/>
          <w:szCs w:val="32"/>
          <w:lang w:val="en-US" w:eastAsia="zh-CN"/>
        </w:rPr>
        <w:t>　个人账户不得提前支取，记账利率不得低于银行定期存款利率，免征利息税。个人死亡的，个人账户余额可以继承。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第十五条</w:t>
      </w:r>
      <w:r>
        <w:rPr>
          <w:rFonts w:hint="eastAsia" w:ascii="宋体" w:hAnsi="宋体" w:cs="Arial"/>
          <w:kern w:val="0"/>
          <w:szCs w:val="32"/>
          <w:lang w:val="en-US" w:eastAsia="zh-CN"/>
        </w:rPr>
        <w:t>　基本养老金由统筹养老金和个人账户养老金组成。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基本养老金根据个人累计缴费年限、缴费工资、当地职工平均工资、个人账户金额、城镇人口平均预期寿命等因素确定。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第十六条　</w:t>
      </w:r>
      <w:r>
        <w:rPr>
          <w:rFonts w:hint="eastAsia" w:ascii="宋体" w:hAnsi="宋体" w:cs="Arial"/>
          <w:kern w:val="0"/>
          <w:szCs w:val="32"/>
          <w:lang w:val="en-US" w:eastAsia="zh-CN"/>
        </w:rPr>
        <w:t>参加基本养老保险的个人，达到法定退休年龄时累计缴费满十五年的，按月领取基本养老金。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第十七条　</w:t>
      </w:r>
      <w:r>
        <w:rPr>
          <w:rFonts w:hint="eastAsia" w:ascii="宋体" w:hAnsi="宋体" w:cs="Arial"/>
          <w:kern w:val="0"/>
          <w:szCs w:val="32"/>
          <w:lang w:val="en-US" w:eastAsia="zh-CN"/>
        </w:rPr>
        <w:t>参加基本养老保险的个人，因病或者非因工死亡的，其遗属可以领取丧葬补助金和抚恤金；在未达到法定退休年龄时因病或者非因工致残完全丧失劳动能力的，可以领取病残津贴。所需资金从基本养老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第十八条　</w:t>
      </w:r>
      <w:r>
        <w:rPr>
          <w:rFonts w:hint="eastAsia" w:ascii="宋体" w:hAnsi="宋体" w:cs="Arial"/>
          <w:kern w:val="0"/>
          <w:szCs w:val="32"/>
          <w:lang w:val="en-US" w:eastAsia="zh-CN"/>
        </w:rPr>
        <w:t>国家建立基本养老金正常调整机制。根据职工平均工资增长、物价上涨情况，适时提高基本养老保险待遇水平。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第十九条</w:t>
      </w:r>
      <w:r>
        <w:rPr>
          <w:rFonts w:hint="eastAsia" w:ascii="宋体" w:hAnsi="宋体" w:cs="Arial"/>
          <w:kern w:val="0"/>
          <w:szCs w:val="32"/>
          <w:lang w:val="en-US" w:eastAsia="zh-CN"/>
        </w:rPr>
        <w:t>　个人跨统筹地区就业的，其基本养老保险关系随本人转移，缴费年限累计计算。个人达到法定退休年龄时，基本养老金分段计算、统一支付。具体办法由国务院规定。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第二十条　</w:t>
      </w:r>
      <w:r>
        <w:rPr>
          <w:rFonts w:hint="eastAsia" w:ascii="宋体" w:hAnsi="宋体" w:cs="Arial"/>
          <w:kern w:val="0"/>
          <w:szCs w:val="32"/>
          <w:lang w:val="en-US" w:eastAsia="zh-CN"/>
        </w:rPr>
        <w:t>国家建立和完善新型农村社会养老保险制度。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新型农村社会养老保险实行个人缴费、集体补助和政府补贴相结合。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第二十一条　</w:t>
      </w:r>
      <w:r>
        <w:rPr>
          <w:rFonts w:hint="eastAsia" w:ascii="宋体" w:hAnsi="宋体" w:cs="Arial"/>
          <w:kern w:val="0"/>
          <w:szCs w:val="32"/>
          <w:lang w:val="en-US" w:eastAsia="zh-CN"/>
        </w:rPr>
        <w:t>新型农村社会养老保险待遇由基础养老金和个人账户养老金组成。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参加新型农村社会养老保险的农村居民，符合国家规定条件的，按月领取新型农村社会养老保险待遇。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第二十二条　</w:t>
      </w:r>
      <w:r>
        <w:rPr>
          <w:rFonts w:hint="eastAsia" w:ascii="宋体" w:hAnsi="宋体" w:cs="Arial"/>
          <w:kern w:val="0"/>
          <w:szCs w:val="32"/>
          <w:lang w:val="en-US" w:eastAsia="zh-CN"/>
        </w:rPr>
        <w:t>国家建立和完善城镇居民社会养老保险制度。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省、自治区、直辖市人民政府根据实际情况，可以将城镇居民社会养老保险和新型农村社会养老保险合并实施。</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基本医疗保险</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第二十三条</w:t>
      </w:r>
      <w:r>
        <w:rPr>
          <w:rFonts w:hint="eastAsia" w:ascii="宋体" w:hAnsi="宋体" w:cs="Arial"/>
          <w:kern w:val="0"/>
          <w:szCs w:val="32"/>
          <w:lang w:val="en-US" w:eastAsia="zh-CN"/>
        </w:rPr>
        <w:t>　职工应当参加职工基本医疗保险，由用人单位和职工按照国家规定共同缴纳基本医疗保险费。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无雇工的个体工商户、未在用人单位参加职工基本医疗保险的非全日制从业人员以及其他灵活就业人员可以参加职工基本医疗保险，由个人按照国家规定缴纳基本医疗保险费。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第二十四条　</w:t>
      </w:r>
      <w:r>
        <w:rPr>
          <w:rFonts w:hint="eastAsia" w:ascii="宋体" w:hAnsi="宋体" w:cs="Arial"/>
          <w:kern w:val="0"/>
          <w:szCs w:val="32"/>
          <w:lang w:val="en-US" w:eastAsia="zh-CN"/>
        </w:rPr>
        <w:t>国家建立和完善新型农村合作医疗制度。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新型农村合作医疗的管理办法，由国务院规定。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第二十五条　</w:t>
      </w:r>
      <w:r>
        <w:rPr>
          <w:rFonts w:hint="eastAsia" w:ascii="宋体" w:hAnsi="宋体" w:cs="Arial"/>
          <w:kern w:val="0"/>
          <w:szCs w:val="32"/>
          <w:lang w:val="en-US" w:eastAsia="zh-CN"/>
        </w:rPr>
        <w:t>国家建立和完善城镇居民基本医疗保险制度。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城镇居民基本医疗保险实行个人缴费和政府补贴相结合。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享受最低生活保障的人、丧失劳动能力的残疾人、低收入家庭六十周岁以上的老年人和未成年人等所需个人缴费部分，由政府给予补贴。</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第二十六条　</w:t>
      </w:r>
      <w:r>
        <w:rPr>
          <w:rFonts w:hint="eastAsia" w:ascii="宋体" w:hAnsi="宋体" w:cs="Arial"/>
          <w:kern w:val="0"/>
          <w:szCs w:val="32"/>
          <w:lang w:val="en-US" w:eastAsia="zh-CN"/>
        </w:rPr>
        <w:t>职工基本医疗保险、新型农村合作医疗和城镇居民基本医疗保险的待遇标准按照国家规定执行。</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第二十七条</w:t>
      </w:r>
      <w:r>
        <w:rPr>
          <w:rFonts w:hint="eastAsia" w:ascii="宋体" w:hAnsi="宋体" w:cs="Arial"/>
          <w:kern w:val="0"/>
          <w:szCs w:val="32"/>
          <w:lang w:val="en-US" w:eastAsia="zh-CN"/>
        </w:rPr>
        <w:t>　参加职工基本医疗保险的个人，达到法定退休年龄时累计缴费达到国家规定年限的，退休后不再缴纳基本医疗保险费，按照国家规定享受基本医疗保险待遇；未达到国家规定年限的，可以缴费至国家规定年限。</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第二十八条　</w:t>
      </w:r>
      <w:r>
        <w:rPr>
          <w:rFonts w:hint="eastAsia" w:ascii="宋体" w:hAnsi="宋体" w:cs="Arial"/>
          <w:kern w:val="0"/>
          <w:szCs w:val="32"/>
          <w:lang w:val="en-US" w:eastAsia="zh-CN"/>
        </w:rPr>
        <w:t>符合基本医疗保险药品目录、诊疗项目、医疗服务设施标准以及急诊、抢救的医疗费用，按照国家规定从基本医疗保险基金中支付。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第二十九条</w:t>
      </w:r>
      <w:r>
        <w:rPr>
          <w:rFonts w:hint="eastAsia" w:ascii="宋体" w:hAnsi="宋体" w:cs="Arial"/>
          <w:kern w:val="0"/>
          <w:szCs w:val="32"/>
          <w:lang w:val="en-US" w:eastAsia="zh-CN"/>
        </w:rPr>
        <w:t>　参保人员医疗费用中应当由基本医疗保险基金支付的部分，由社会保险经办机构与医疗机构、药品经营单位直接结算。</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社会保险行政部门和卫生行政部门应当建立异地就医医疗费用结算制度，方便参保人员享受基本医疗保险待遇。</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第三十条</w:t>
      </w:r>
      <w:r>
        <w:rPr>
          <w:rFonts w:hint="eastAsia" w:ascii="宋体" w:hAnsi="宋体" w:cs="Arial"/>
          <w:kern w:val="0"/>
          <w:szCs w:val="32"/>
          <w:lang w:val="en-US" w:eastAsia="zh-CN"/>
        </w:rPr>
        <w:t>　下列医疗费用不纳入基本医疗保险基金支付范围: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（一）应当从工伤保险基金中支付的；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（二）应当由第三人负担的；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（三）应当由公共卫生负担的；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（四）在境外就医的。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医疗费用依法应当由第三人负担，第三人不支付或者无法确定第三人的，由基本医疗保险基金先行支付。基本医疗保险基金先行支付后，有权向第三人追偿。</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第三十一条</w:t>
      </w:r>
      <w:r>
        <w:rPr>
          <w:rFonts w:hint="eastAsia" w:ascii="宋体" w:hAnsi="宋体" w:cs="Arial"/>
          <w:kern w:val="0"/>
          <w:szCs w:val="32"/>
          <w:lang w:val="en-US" w:eastAsia="zh-CN"/>
        </w:rPr>
        <w:t>　社会保险经办机构根据管理服务的需要，可以与医疗机构、药品经营单位签订服务协议，规范医疗服务行为。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医疗机构应当为参保人员提供合理、必要的医疗服务。</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第三十二条</w:t>
      </w:r>
      <w:r>
        <w:rPr>
          <w:rFonts w:hint="eastAsia" w:ascii="宋体" w:hAnsi="宋体" w:cs="Arial"/>
          <w:kern w:val="0"/>
          <w:szCs w:val="32"/>
          <w:lang w:val="en-US" w:eastAsia="zh-CN"/>
        </w:rPr>
        <w:t>　个人跨统筹地区就业的，其基本医疗保险关系随本人转移，缴费年限累计计算。</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第四章　工伤保险</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第三十三条</w:t>
      </w:r>
      <w:r>
        <w:rPr>
          <w:rFonts w:hint="eastAsia" w:ascii="宋体" w:hAnsi="宋体" w:cs="Arial"/>
          <w:kern w:val="0"/>
          <w:szCs w:val="32"/>
          <w:lang w:val="en-US" w:eastAsia="zh-CN"/>
        </w:rPr>
        <w:t>　职工应当参加工伤保险，由用人单位缴纳工伤保险费，职工不缴纳工伤保险费。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第三十四条</w:t>
      </w:r>
      <w:r>
        <w:rPr>
          <w:rFonts w:hint="eastAsia" w:ascii="宋体" w:hAnsi="宋体" w:cs="Arial"/>
          <w:kern w:val="0"/>
          <w:szCs w:val="32"/>
          <w:lang w:val="en-US" w:eastAsia="zh-CN"/>
        </w:rPr>
        <w:t>　国家根据不同行业的工伤风险程度确定行业的差别费率，并根据使用工伤保险基金、工伤发生率等情况在每个行业内确定费率档次。行业差别费率和行业内费率档次由国务院社会保险行政部门制定，报国务院批准后公布施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社会保险经办机构根据用人单位使用工伤保险基金、工伤发生率和所属行业费率档次等情况，确定用人单位缴费费率。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第三十五条</w:t>
      </w:r>
      <w:r>
        <w:rPr>
          <w:rFonts w:hint="eastAsia" w:ascii="宋体" w:hAnsi="宋体" w:cs="Arial"/>
          <w:kern w:val="0"/>
          <w:szCs w:val="32"/>
          <w:lang w:val="en-US" w:eastAsia="zh-CN"/>
        </w:rPr>
        <w:t>　用人单位应当按照本单位职工工资总额，根据社会保险经办机构确定的费率缴纳工伤保险费。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第三十六条　</w:t>
      </w:r>
      <w:r>
        <w:rPr>
          <w:rFonts w:hint="eastAsia" w:ascii="宋体" w:hAnsi="宋体" w:cs="Arial"/>
          <w:kern w:val="0"/>
          <w:szCs w:val="32"/>
          <w:lang w:val="en-US" w:eastAsia="zh-CN"/>
        </w:rPr>
        <w:t>职工因工作原因受到事故伤害或者患职业病，且经工伤认定的，享受工伤保险待遇；其中，经劳动能力鉴定丧失劳动能力的，享受伤残待遇。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工伤认定和劳动能力鉴定应当简捷、方便。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第三十七条　</w:t>
      </w:r>
      <w:r>
        <w:rPr>
          <w:rFonts w:hint="eastAsia" w:ascii="宋体" w:hAnsi="宋体" w:cs="Arial"/>
          <w:kern w:val="0"/>
          <w:szCs w:val="32"/>
          <w:lang w:val="en-US" w:eastAsia="zh-CN"/>
        </w:rPr>
        <w:t>职工因下列情形之一导致本人在工作中伤亡的，不认定为工伤：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（一）故意犯罪；</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（二）醉酒或者吸毒；</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（三）自残或者自杀；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（四）法律、行政法规规定的其他情形。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第三十八条　</w:t>
      </w:r>
      <w:r>
        <w:rPr>
          <w:rFonts w:hint="eastAsia" w:ascii="宋体" w:hAnsi="宋体" w:cs="Arial"/>
          <w:kern w:val="0"/>
          <w:szCs w:val="32"/>
          <w:lang w:val="en-US" w:eastAsia="zh-CN"/>
        </w:rPr>
        <w:t>因工伤发生的下列费用，按照国家规定从工伤保险基金中支付：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（一）治疗工伤的医疗费用和康复费用；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（二）住院伙食补助费；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（三）到统筹地区以外就医的交通食宿费；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（四）安装配置伤残辅助器具所需费用；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（五）生活不能自理的，经劳动能力鉴定委员会确认的生活护理费；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（六）一次性伤残补助金和一至四级伤残职工按月领取的伤残津贴；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（七）终止或者解除劳动合同时，应当享受的一次性医疗补助金；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（八）因工死亡的，其遗属领取的丧葬补助金、供养亲属抚恤金和因工死亡补助金；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（九）劳动能力鉴定费。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第三十九条　</w:t>
      </w:r>
      <w:r>
        <w:rPr>
          <w:rFonts w:hint="eastAsia" w:ascii="宋体" w:hAnsi="宋体" w:cs="Arial"/>
          <w:kern w:val="0"/>
          <w:szCs w:val="32"/>
          <w:lang w:val="en-US" w:eastAsia="zh-CN"/>
        </w:rPr>
        <w:t>因工伤发生的下列费用，按照国家规定由用人单位支付：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（一）治疗工伤期间的工资福利；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（二）五级、六级伤残职工按月领取的伤残津贴；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（三）终止或者解除劳动合同时，应当享受的一次性伤残就业补助金。</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第四十条　</w:t>
      </w:r>
      <w:r>
        <w:rPr>
          <w:rFonts w:hint="eastAsia" w:ascii="宋体" w:hAnsi="宋体" w:cs="Arial"/>
          <w:kern w:val="0"/>
          <w:szCs w:val="32"/>
          <w:lang w:val="en-US" w:eastAsia="zh-CN"/>
        </w:rPr>
        <w:t>工伤职工符合领取基本养老金条件的，停发伤残津贴，享受基本养老保险待遇。基本养老保险待遇低于伤残津贴的，从工伤保险基金中补足差额。</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第四十一条　</w:t>
      </w:r>
      <w:r>
        <w:rPr>
          <w:rFonts w:hint="eastAsia" w:ascii="宋体" w:hAnsi="宋体" w:cs="Arial"/>
          <w:kern w:val="0"/>
          <w:szCs w:val="32"/>
          <w:lang w:val="en-US" w:eastAsia="zh-CN"/>
        </w:rPr>
        <w:t>职工所在用人单位未依法缴纳工伤保险费，发生工伤事故的，由用人单位支付工伤保险待遇。用人单位不支付的，从工伤保险基金中先行支付。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从工伤保险基金中先行支付的工伤保险待遇应当由用人单位偿还。用人单位不偿还的，社会保险经办机构可以依照本法第六十三条的规定追偿。</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第四十二条</w:t>
      </w:r>
      <w:r>
        <w:rPr>
          <w:rFonts w:hint="eastAsia" w:ascii="宋体" w:hAnsi="宋体" w:cs="Arial"/>
          <w:kern w:val="0"/>
          <w:szCs w:val="32"/>
          <w:lang w:val="en-US" w:eastAsia="zh-CN"/>
        </w:rPr>
        <w:t>　由于第三人的原因造成工伤，第三人不支付工伤医疗费用或者无法确定第三人的，由工伤保险基金先行支付。工伤保险基金先行支付后，有权向第三人追偿。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第四十三条　</w:t>
      </w:r>
      <w:r>
        <w:rPr>
          <w:rFonts w:hint="eastAsia" w:ascii="宋体" w:hAnsi="宋体" w:cs="Arial"/>
          <w:kern w:val="0"/>
          <w:szCs w:val="32"/>
          <w:lang w:val="en-US" w:eastAsia="zh-CN"/>
        </w:rPr>
        <w:t>工伤职工有下列情形之一的，停止享受工伤保险待遇：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（一）丧失享受待遇条件的；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（二）拒不接受劳动能力鉴定的；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（三）拒绝治疗的。</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失业保险</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第四十四条　</w:t>
      </w:r>
      <w:r>
        <w:rPr>
          <w:rFonts w:hint="eastAsia" w:ascii="宋体" w:hAnsi="宋体" w:cs="Arial"/>
          <w:kern w:val="0"/>
          <w:szCs w:val="32"/>
          <w:lang w:val="en-US" w:eastAsia="zh-CN"/>
        </w:rPr>
        <w:t>职工应当参加失业保险，由用人单位和职工按照国家规定共同缴纳失业保险费。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第四十五条　</w:t>
      </w:r>
      <w:r>
        <w:rPr>
          <w:rFonts w:hint="eastAsia" w:ascii="宋体" w:hAnsi="宋体" w:cs="Arial"/>
          <w:kern w:val="0"/>
          <w:szCs w:val="32"/>
          <w:lang w:val="en-US" w:eastAsia="zh-CN"/>
        </w:rPr>
        <w:t>失业人员符合下列条件的，从失业保险基金中领取失业保险金：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（一）失业前用人单位和本人已经缴纳失业保险费满一年的；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（二）非因本人意愿中断就业的；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（三）已经进行失业登记，并有求职要求的。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第四十六条</w:t>
      </w:r>
      <w:r>
        <w:rPr>
          <w:rFonts w:hint="eastAsia" w:ascii="宋体" w:hAnsi="宋体" w:cs="Arial"/>
          <w:kern w:val="0"/>
          <w:szCs w:val="32"/>
          <w:lang w:val="en-US" w:eastAsia="zh-CN"/>
        </w:rPr>
        <w:t>　失业人员失业前用人单位和本人累计缴费满一年不足五年的，领取失业保险金的期限最长为十二个月；累计缴费满五年不足十年的，领取失业保险金的期限最长为十八个月；累计缴费十年以上的，领取失业保险金的期限最长为二十四个月。重新就业后，再次失业的，缴费时间重新计算，领取失业保险金的期限与前次失业应当领取而尚未领取的失业保险金的期限合并计算，最长不超过二十四个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第四十七条</w:t>
      </w:r>
      <w:r>
        <w:rPr>
          <w:rFonts w:hint="eastAsia" w:ascii="宋体" w:hAnsi="宋体" w:cs="Arial"/>
          <w:kern w:val="0"/>
          <w:szCs w:val="32"/>
          <w:lang w:val="en-US" w:eastAsia="zh-CN"/>
        </w:rPr>
        <w:t>　失业保险金的标准，由省、自治区、直辖市人民政府确定，不得低于城市居民最低生活保障标准。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第四十八条　</w:t>
      </w:r>
      <w:r>
        <w:rPr>
          <w:rFonts w:hint="eastAsia" w:ascii="宋体" w:hAnsi="宋体" w:cs="Arial"/>
          <w:kern w:val="0"/>
          <w:szCs w:val="32"/>
          <w:lang w:val="en-US" w:eastAsia="zh-CN"/>
        </w:rPr>
        <w:t>失业人员在领取失业保险金期间，参加职工基本医疗保险，享受基本医疗保险待遇。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失业人员应当缴纳的基本医疗保险费从失业保险基金中支付，个人不缴纳基本医疗保险费。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第四十九条</w:t>
      </w:r>
      <w:r>
        <w:rPr>
          <w:rFonts w:hint="eastAsia" w:ascii="宋体" w:hAnsi="宋体" w:cs="Arial"/>
          <w:kern w:val="0"/>
          <w:szCs w:val="32"/>
          <w:lang w:val="en-US" w:eastAsia="zh-CN"/>
        </w:rPr>
        <w:t>　失业人员在领取失业保险金期间死亡的，参照当地对在职职工死亡的规定，向其遗属发给一次性丧葬补助金和抚恤金。所需资金从失业保险基金中支付。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个人死亡同时符合领取基本养老保险丧葬补助金、工伤保险丧葬补助金和失业保险丧葬补助金条件的，其遗属只能选择领取其中的一项。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第五十条</w:t>
      </w:r>
      <w:r>
        <w:rPr>
          <w:rFonts w:hint="eastAsia" w:ascii="宋体" w:hAnsi="宋体" w:cs="Arial"/>
          <w:kern w:val="0"/>
          <w:szCs w:val="32"/>
          <w:lang w:val="en-US" w:eastAsia="zh-CN"/>
        </w:rPr>
        <w:t>　用人单位应当及时为失业人员出具终止或者解除劳动关系的证明，并将失业人员的名单自终止或者解除劳动关系之日起十五日内告知社会保险经办机构。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失业人员应当持本单位为其出具的终止或者解除劳动关系的证明，及时到指定的公共就业服务机构办理失业登记。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失业人员凭失业登记证明和个人身份证明，到社会保险经办机构办理领取失业保险金的手续。失业保险金领取期限自办理失业登记之日起计算。</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第五十一条</w:t>
      </w:r>
      <w:r>
        <w:rPr>
          <w:rFonts w:hint="eastAsia" w:ascii="宋体" w:hAnsi="宋体" w:cs="Arial"/>
          <w:kern w:val="0"/>
          <w:szCs w:val="32"/>
          <w:lang w:val="en-US" w:eastAsia="zh-CN"/>
        </w:rPr>
        <w:t>　失业人员在领取失业保险金期间有下列情形之一的，停止领取失业保险金，并同时停止享受其他失业保险待遇：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（一）重新就业的；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（二）应征服兵役的；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（三）移居境外的；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（四）享受基本养老保险待遇的；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（五）无正当理由，拒不接受当地人民政府指定部门或者机构介绍的适当工作或者提供的培训的。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第五十二条　</w:t>
      </w:r>
      <w:r>
        <w:rPr>
          <w:rFonts w:hint="eastAsia" w:ascii="宋体" w:hAnsi="宋体" w:cs="Arial"/>
          <w:kern w:val="0"/>
          <w:szCs w:val="32"/>
          <w:lang w:val="en-US" w:eastAsia="zh-CN"/>
        </w:rPr>
        <w:t>职工跨统筹地区就业的，其失业保险关系随本人转移，缴费年限累计计算。</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第六章　生育保险</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第五十三条　</w:t>
      </w:r>
      <w:r>
        <w:rPr>
          <w:rFonts w:hint="eastAsia" w:ascii="宋体" w:hAnsi="宋体" w:cs="Arial"/>
          <w:kern w:val="0"/>
          <w:szCs w:val="32"/>
          <w:lang w:val="en-US" w:eastAsia="zh-CN"/>
        </w:rPr>
        <w:t>职工应当参加生育保险，由用人单位按照国家规定缴纳生育保险费，职工不缴纳生育保险费。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第五十四条</w:t>
      </w:r>
      <w:r>
        <w:rPr>
          <w:rFonts w:hint="eastAsia" w:ascii="宋体" w:hAnsi="宋体" w:cs="Arial"/>
          <w:kern w:val="0"/>
          <w:szCs w:val="32"/>
          <w:lang w:val="en-US" w:eastAsia="zh-CN"/>
        </w:rPr>
        <w:t>　用人单位已经缴纳生育保险费的，其职工享受生育保险待遇；职工未就业配偶按照国家规定享受生育医疗费用待遇。所需资金从生育保险基金中支付。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生育保险待遇包括生育医疗费用和生育津贴。</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第五十五条　</w:t>
      </w:r>
      <w:r>
        <w:rPr>
          <w:rFonts w:hint="eastAsia" w:ascii="宋体" w:hAnsi="宋体" w:cs="Arial"/>
          <w:kern w:val="0"/>
          <w:szCs w:val="32"/>
          <w:lang w:val="en-US" w:eastAsia="zh-CN"/>
        </w:rPr>
        <w:t>生育医疗费用包括下列各项：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（一）生育的医疗费用；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（二）计划生育的医疗费用；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（三）法律、法规规定的其他项目费用。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第五十六条</w:t>
      </w:r>
      <w:r>
        <w:rPr>
          <w:rFonts w:hint="eastAsia" w:ascii="宋体" w:hAnsi="宋体" w:cs="Arial"/>
          <w:kern w:val="0"/>
          <w:szCs w:val="32"/>
          <w:lang w:val="en-US" w:eastAsia="zh-CN"/>
        </w:rPr>
        <w:t>　职工有下列情形之一的，可以按照国家规定享受生育津贴：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（一）女职工生育享受产假；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（二）享受计划生育手术休假；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（三）法律、法规规定的其他情形。</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生育津贴按照职工所在用人单位上年度职工月平均工资计发。</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第七章　社会保险费征缴</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第五十七条　</w:t>
      </w:r>
      <w:r>
        <w:rPr>
          <w:rFonts w:hint="eastAsia" w:ascii="宋体" w:hAnsi="宋体" w:cs="Arial"/>
          <w:kern w:val="0"/>
          <w:szCs w:val="32"/>
          <w:lang w:val="en-US" w:eastAsia="zh-CN"/>
        </w:rPr>
        <w:t>用人单位应当自成立之日起三十日内凭营业执照、登记证书或者单位印章，向当地社会保险经办机构申请办理社会保险登记。社会保险经办机构应当自收到申请之日起十五日内予以审核，发给社会保险登记证件。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用人单位的社会保险登记事项发生变更或者用人单位依法终止的，应当自变更或者终止之日起三十日内，到社会保险经办机构办理变更或者注销社会保险登记。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市场监督管理部门、民政部门和机构编制管理机关应当及时向社会保险经办机构通报用人单位的成立、终止情况，公安机关应当及时向社会保险经办机构通报个人的出生、死亡以及户口登记、迁移、注销等情况。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第五十八条</w:t>
      </w:r>
      <w:r>
        <w:rPr>
          <w:rFonts w:hint="eastAsia" w:ascii="宋体" w:hAnsi="宋体" w:cs="Arial"/>
          <w:kern w:val="0"/>
          <w:szCs w:val="32"/>
          <w:lang w:val="en-US" w:eastAsia="zh-CN"/>
        </w:rPr>
        <w:t>　用人单位应当自用工之日起三十日内为其职工向社会保险经办机构申请办理社会保险登记。未办理社会保险登记的，由社会保险经办机构核定其应当缴纳的社会保险费。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自愿参加社会保险的无雇工的个体工商户、未在用人单位参加社会保险的非全日制从业人员以及其他灵活就业人员，应当向社会保险经办机构申请办理社会保险登记。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国家建立全国统一的个人社会保障号码。个人社会保障号码为公民身份号码。</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第五十九条　</w:t>
      </w:r>
      <w:r>
        <w:rPr>
          <w:rFonts w:hint="eastAsia" w:ascii="宋体" w:hAnsi="宋体" w:cs="Arial"/>
          <w:kern w:val="0"/>
          <w:szCs w:val="32"/>
          <w:lang w:val="en-US" w:eastAsia="zh-CN"/>
        </w:rPr>
        <w:t>县级以上人民政府加强社会保险费的征收工作。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社会保险费实行统一征收，实施步骤和具体办法由国务院规定。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第六十条　</w:t>
      </w:r>
      <w:r>
        <w:rPr>
          <w:rFonts w:hint="eastAsia" w:ascii="宋体" w:hAnsi="宋体" w:cs="Arial"/>
          <w:kern w:val="0"/>
          <w:szCs w:val="32"/>
          <w:lang w:val="en-US" w:eastAsia="zh-CN"/>
        </w:rPr>
        <w:t>用人单位应当自行申报、按时足额缴纳社会保险费，非因不可抗力等法定事由不得缓缴、减免。职工应当缴纳的社会保险费由用人单位代扣代缴，用人单位应当按月将缴纳社会保险费的明细情况告知本人。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无雇工的个体工商户、未在用人单位参加社会保险的非全日制从业人员以及其他灵活就业人员，可以直接向社会保险费征收机构缴纳社会保险费。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第六十一条　</w:t>
      </w:r>
      <w:r>
        <w:rPr>
          <w:rFonts w:hint="eastAsia" w:ascii="宋体" w:hAnsi="宋体" w:cs="Arial"/>
          <w:kern w:val="0"/>
          <w:szCs w:val="32"/>
          <w:lang w:val="en-US" w:eastAsia="zh-CN"/>
        </w:rPr>
        <w:t>社会保险费征收机构应当依法按时足额征收社会保险费，并将缴费情况定期告知用人单位和个人。</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第六十二条</w:t>
      </w:r>
      <w:r>
        <w:rPr>
          <w:rFonts w:hint="eastAsia" w:ascii="宋体" w:hAnsi="宋体" w:cs="Arial"/>
          <w:kern w:val="0"/>
          <w:szCs w:val="32"/>
          <w:lang w:val="en-US" w:eastAsia="zh-CN"/>
        </w:rPr>
        <w:t>　用人单位未按规定申报应当缴纳的社会保险费数额的，按照该单位上月缴费额的百分之一百一十确定应当缴纳数额；缴费单位补办申报手续后，由社会保险费征收机构按照规定结算。</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第六十三条</w:t>
      </w:r>
      <w:r>
        <w:rPr>
          <w:rFonts w:hint="eastAsia" w:ascii="宋体" w:hAnsi="宋体" w:cs="Arial"/>
          <w:kern w:val="0"/>
          <w:szCs w:val="32"/>
          <w:lang w:val="en-US" w:eastAsia="zh-CN"/>
        </w:rPr>
        <w:t>　用人单位未按时足额缴纳社会保险费的，由社会保险费征收机构责令其限期缴纳或者补足。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逾期仍未缴纳或者补足社会保险费的，社会保险费征收机构可以向银行和其他金融机构查询其存款账户；并可以申请县级以上有关行政部门作出划拨社会保险费的决定，书面通知其开户银行或者其他金融机构划拨社会保险费。用人单位账户余额少于应当缴纳的社会保险费的，社会保险费征收机构可以要求该用人单位提供担保，签订延期缴费协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用人单位未足额缴纳社会保险费且未提供担保的，社会保险费征收机构可以申请人民法院扣押、查封、拍卖其价值相当于应当缴纳社会保险费的财产，以拍卖所得抵缴社会保险费。</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第八章　社会保险基金</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第六十四条　</w:t>
      </w:r>
      <w:r>
        <w:rPr>
          <w:rFonts w:hint="eastAsia" w:ascii="宋体" w:hAnsi="宋体" w:cs="Arial"/>
          <w:kern w:val="0"/>
          <w:szCs w:val="32"/>
          <w:lang w:val="en-US" w:eastAsia="zh-CN"/>
        </w:rPr>
        <w:t>社会保险基金包括基本养老保险基金、基本医疗保险基金、工伤保险基金、失业保险基金和生育保险基金。除基本医疗保险基金与生育保险基金合并建账及核算外，其他各项社会保险基金按照社会保险险种分别建账，分账核算。社会保险基金执行国家统一的会计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社会保险基金专款专用，任何组织和个人不得侵占或者挪用。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基本养老保险基金逐步实行全国统筹,其他社会保险基金逐步实行省级统筹，具体时间、步骤由国务院规定。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第六十五条　</w:t>
      </w:r>
      <w:r>
        <w:rPr>
          <w:rFonts w:hint="eastAsia" w:ascii="宋体" w:hAnsi="宋体" w:cs="Arial"/>
          <w:kern w:val="0"/>
          <w:szCs w:val="32"/>
          <w:lang w:val="en-US" w:eastAsia="zh-CN"/>
        </w:rPr>
        <w:t>社会保险基金通过预算实现收支平衡。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县级以上人民政府在社会保险基金出现支付不足时，给予补贴。</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第六十六条　</w:t>
      </w:r>
      <w:r>
        <w:rPr>
          <w:rFonts w:hint="eastAsia" w:ascii="宋体" w:hAnsi="宋体" w:cs="Arial"/>
          <w:kern w:val="0"/>
          <w:szCs w:val="32"/>
          <w:lang w:val="en-US" w:eastAsia="zh-CN"/>
        </w:rPr>
        <w:t>社会保险基金按照统筹层次设立预算。除基本医疗保险基金与生育保险基金预算合并编制外，其他社会保险基金预算按照社会保险项目分别编制。</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第六十七条</w:t>
      </w:r>
      <w:r>
        <w:rPr>
          <w:rFonts w:hint="eastAsia" w:ascii="宋体" w:hAnsi="宋体" w:cs="Arial"/>
          <w:kern w:val="0"/>
          <w:szCs w:val="32"/>
          <w:lang w:val="en-US" w:eastAsia="zh-CN"/>
        </w:rPr>
        <w:t>　社会保险基金预算、决算草案的编制、审核和批准，依照法律和国务院规定执行。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第六十八条　</w:t>
      </w:r>
      <w:r>
        <w:rPr>
          <w:rFonts w:hint="eastAsia" w:ascii="宋体" w:hAnsi="宋体" w:cs="Arial"/>
          <w:kern w:val="0"/>
          <w:szCs w:val="32"/>
          <w:lang w:val="en-US" w:eastAsia="zh-CN"/>
        </w:rPr>
        <w:t>社会保险基金存入财政专户，具体管理办法由国务院规定。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第六十九条　</w:t>
      </w:r>
      <w:r>
        <w:rPr>
          <w:rFonts w:hint="eastAsia" w:ascii="宋体" w:hAnsi="宋体" w:cs="Arial"/>
          <w:kern w:val="0"/>
          <w:szCs w:val="32"/>
          <w:lang w:val="en-US" w:eastAsia="zh-CN"/>
        </w:rPr>
        <w:t>社会保险基金在保证安全的前提下，按照国务院规定投资运营实现保值增值。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社会保险基金不得违规投资运营，不得用于平衡其他政府预算，不得用于兴建、改建办公场所和支付人员经费、运行费用、管理费用，或者违反法律、行政法规规定挪作其他用途。</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第七十条　</w:t>
      </w:r>
      <w:r>
        <w:rPr>
          <w:rFonts w:hint="eastAsia" w:ascii="宋体" w:hAnsi="宋体" w:cs="Arial"/>
          <w:kern w:val="0"/>
          <w:szCs w:val="32"/>
          <w:lang w:val="en-US" w:eastAsia="zh-CN"/>
        </w:rPr>
        <w:t>社会保险经办机构应当定期向社会公布参加社会保险情况以及社会保险基金的收入、支出、结余和收益情况。</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第七十一条　</w:t>
      </w:r>
      <w:r>
        <w:rPr>
          <w:rFonts w:hint="eastAsia" w:ascii="宋体" w:hAnsi="宋体" w:cs="Arial"/>
          <w:kern w:val="0"/>
          <w:szCs w:val="32"/>
          <w:lang w:val="en-US" w:eastAsia="zh-CN"/>
        </w:rPr>
        <w:t>国家设立全国社会保障基金，由中央财政预算拨款以及国务院批准的其他方式筹集的资金构成，用于社会保障支出的补充、调剂。全国社会保障基金由全国社会保障基金管理运营机构负责管理运营，在保证安全的前提下实现保值增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全国社会保障基金应当定期向社会公布收支、管理和投资运营的情况。国务院财政部门、社会保险行政部门、审计机关对全国社会保障基金的收支、管理和投资运营情况实施监督。</w:t>
      </w:r>
    </w:p>
    <w:p>
      <w:pPr>
        <w:pStyle w:val="33"/>
        <w:wordWrap/>
        <w:spacing w:line="560" w:lineRule="exact"/>
        <w:textAlignment w:val="auto"/>
        <w:rPr>
          <w:rFonts w:hint="eastAsia"/>
        </w:rPr>
      </w:pPr>
    </w:p>
    <w:p>
      <w:pPr>
        <w:widowControl w:val="0"/>
        <w:numPr>
          <w:ilvl w:val="0"/>
          <w:numId w:val="6"/>
        </w:numPr>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rPr>
      </w:pPr>
      <w:r>
        <w:rPr>
          <w:rFonts w:hint="eastAsia" w:ascii="黑体" w:hAnsi="黑体" w:eastAsia="黑体" w:cs="黑体"/>
          <w:kern w:val="0"/>
          <w:szCs w:val="32"/>
        </w:rPr>
        <w:t>　社会保险经办</w:t>
      </w:r>
    </w:p>
    <w:p>
      <w:pPr>
        <w:pStyle w:val="33"/>
        <w:numPr>
          <w:ilvl w:val="0"/>
          <w:numId w:val="0"/>
        </w:numPr>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第七十二条</w:t>
      </w:r>
      <w:r>
        <w:rPr>
          <w:rFonts w:hint="eastAsia" w:ascii="宋体" w:hAnsi="宋体" w:cs="Arial"/>
          <w:kern w:val="0"/>
          <w:szCs w:val="32"/>
          <w:lang w:val="en-US" w:eastAsia="zh-CN"/>
        </w:rPr>
        <w:t>　统筹地区设立社会保险经办机构。社会保险经办机构根据工作需要，经所在地的社会保险行政部门和机构编制管理机关批准，可以在本统筹地区设立分支机构和服务网点。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社会保险经办机构的人员经费和经办社会保险发生的基本运行费用、管理费用，由同级财政按照国家规定予以保障。</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第七十三条　</w:t>
      </w:r>
      <w:r>
        <w:rPr>
          <w:rFonts w:hint="eastAsia" w:ascii="宋体" w:hAnsi="宋体" w:cs="Arial"/>
          <w:kern w:val="0"/>
          <w:szCs w:val="32"/>
          <w:lang w:val="en-US" w:eastAsia="zh-CN"/>
        </w:rPr>
        <w:t>社会保险经办机构应当建立健全业务、财务、安全和风险管理制度。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社会保险经办机构应当按时足额支付社会保险待遇。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第七十四条</w:t>
      </w:r>
      <w:r>
        <w:rPr>
          <w:rFonts w:hint="eastAsia" w:ascii="宋体" w:hAnsi="宋体" w:cs="Arial"/>
          <w:kern w:val="0"/>
          <w:szCs w:val="32"/>
          <w:lang w:val="en-US" w:eastAsia="zh-CN"/>
        </w:rPr>
        <w:t>　社会保险经办机构通过业务经办、统计、调查获取社会保险工作所需的数据，有关单位和个人应当及时、如实提供。</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社会保险经办机构应当及时为用人单位建立档案，完整、准确地记录参加社会保险的人员、缴费等社会保险数据，妥善保管登记、申报的原始凭证和支付结算的会计凭证。</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社会保险经办机构应当及时、完整、准确地记录参加社会保险的个人缴费和用人单位为其缴费，以及享受社会保险待遇等个人权益记录，定期将个人权益记录单免费寄送本人。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用人单位和个人可以免费向社会保险经办机构查询、核对其缴费和享受社会保险待遇记录，要求社会保险经办机构提供社会保险咨询等相关服务。</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第七十五条</w:t>
      </w:r>
      <w:r>
        <w:rPr>
          <w:rFonts w:hint="eastAsia" w:ascii="宋体" w:hAnsi="宋体" w:cs="Arial"/>
          <w:kern w:val="0"/>
          <w:szCs w:val="32"/>
          <w:lang w:val="en-US" w:eastAsia="zh-CN"/>
        </w:rPr>
        <w:t>　全国社会保险信息系统按照国家统一规划，由县级以上人民政府按照分级负责的原则共同建设。</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第十章　社会保险监督</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第七十六条</w:t>
      </w:r>
      <w:r>
        <w:rPr>
          <w:rFonts w:hint="eastAsia" w:ascii="宋体" w:hAnsi="宋体" w:cs="Arial"/>
          <w:kern w:val="0"/>
          <w:szCs w:val="32"/>
          <w:lang w:val="en-US" w:eastAsia="zh-CN"/>
        </w:rPr>
        <w:t>　各级人民代表大会常务委员会听取和审议本级人民政府对社会保险基金的收支、管理、投资运营以及监督检查情况的专项工作报告，组织对本法实施情况的执法检查等，依法行使监督职权。</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第七十七条</w:t>
      </w:r>
      <w:r>
        <w:rPr>
          <w:rFonts w:hint="eastAsia" w:ascii="宋体" w:hAnsi="宋体" w:cs="Arial"/>
          <w:kern w:val="0"/>
          <w:szCs w:val="32"/>
          <w:lang w:val="en-US" w:eastAsia="zh-CN"/>
        </w:rPr>
        <w:t>　县级以上人民政府社会保险行政部门应当加强对用人单位和个人遵守社会保险法律、法规情况的监督检查。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社会保险行政部门实施监督检查时，被检查的用人单位和个人应当如实提供与社会保险有关的资料，不得拒绝检查或者谎报、瞒报。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第七十八条</w:t>
      </w:r>
      <w:r>
        <w:rPr>
          <w:rFonts w:hint="eastAsia" w:ascii="宋体" w:hAnsi="宋体" w:cs="Arial"/>
          <w:kern w:val="0"/>
          <w:szCs w:val="32"/>
          <w:lang w:val="en-US" w:eastAsia="zh-CN"/>
        </w:rPr>
        <w:t>　财政部门、审计机关按照各自职责，对社会保险基金的收支、管理和投资运营情况实施监督。</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第七十九条　</w:t>
      </w:r>
      <w:r>
        <w:rPr>
          <w:rFonts w:hint="eastAsia" w:ascii="宋体" w:hAnsi="宋体" w:cs="Arial"/>
          <w:kern w:val="0"/>
          <w:szCs w:val="32"/>
          <w:lang w:val="en-US" w:eastAsia="zh-CN"/>
        </w:rPr>
        <w:t>社会保险行政部门对社会保险基金的收支、管理和投资运营情况进行监督检查，发现存在问题的，应当提出整改建议，依法作出处理决定或者向有关行政部门提出处理建议。社会保险基金检查结果应当定期向社会公布。</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社会保险行政部门对社会保险基金实施监督检查，有权采取下列措施：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（一）查阅、记录、复制与社会保险基金收支、管理和投资运营相关的资料，对可能被转移、隐匿或者灭失的资料予以封存；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（二）询问与调查事项有关的单位和个人，要求其对与调查事项有关的问题作出说明、提供有关证明材料；</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（三）对隐匿、转移、侵占、挪用社会保险基金的行为予以制止并责令改正。</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第八十条　</w:t>
      </w:r>
      <w:r>
        <w:rPr>
          <w:rFonts w:hint="eastAsia" w:ascii="宋体" w:hAnsi="宋体" w:cs="Arial"/>
          <w:kern w:val="0"/>
          <w:szCs w:val="32"/>
          <w:lang w:val="en-US" w:eastAsia="zh-CN"/>
        </w:rPr>
        <w:t>统筹地区人民政府成立由用人单位代表、参保人员代表，以及工会代表、专家等组成的社会保险监督委员会，掌握、分析社会保险基金的收支、管理和投资运营情况，对社会保险工作提出咨询意见和建议，实施社会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经办机构应当定期向社会保险监督委员会汇报社会保险基金的收支、管理和投资运营情况。社会保险监督委员会可以聘请会计师事务所对社会保险基金的收支、管理和投资运营情况进行年度审计和专项审计。审计结果应当向社会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社会保险监督委员会发现社会保险基金收支、管理和投资运营中存在问题的，有权提出改正建议；对社会保险经办机构及其工作人员的违法行为，有权向有关部门提出依法处理建议。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第八十一条　</w:t>
      </w:r>
      <w:r>
        <w:rPr>
          <w:rFonts w:hint="eastAsia" w:ascii="宋体" w:hAnsi="宋体" w:cs="Arial"/>
          <w:kern w:val="0"/>
          <w:szCs w:val="32"/>
          <w:lang w:val="en-US" w:eastAsia="zh-CN"/>
        </w:rPr>
        <w:t>社会保险行政部门和其他有关行政部门、社会保险经办机构、社会保险费征收机构及其工作人员，应当依法为用人单位和个人的信息保密，不得以任何形式泄露。</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第八十二条</w:t>
      </w:r>
      <w:r>
        <w:rPr>
          <w:rFonts w:hint="eastAsia" w:ascii="宋体" w:hAnsi="宋体" w:cs="Arial"/>
          <w:kern w:val="0"/>
          <w:szCs w:val="32"/>
          <w:lang w:val="en-US" w:eastAsia="zh-CN"/>
        </w:rPr>
        <w:t>　任何组织或者个人有权对违反社会保险法律、法规的行为进行举报、投诉。</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行政部门、卫生行政部门、社会保险经办机构、社会保险费征收机构和财政部门、审计机关对属于本部门、本机构职责范围的举报、投诉，应当依法处理；对不属于本部门、本机构职责范围的，应当书面通知并移交有权处理的部门、机构处理。有权处理的部门、机构应当及时处理，不得推诿。</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第八十三条</w:t>
      </w:r>
      <w:r>
        <w:rPr>
          <w:rFonts w:hint="eastAsia" w:ascii="宋体" w:hAnsi="宋体" w:cs="Arial"/>
          <w:kern w:val="0"/>
          <w:szCs w:val="32"/>
          <w:lang w:val="en-US" w:eastAsia="zh-CN"/>
        </w:rPr>
        <w:t>　用人单位或者个人认为社会保险费征收机构的行为侵害自己合法权益的，可以依法申请行政复议或者提起行政诉讼。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用人单位或者个人对社会保险经办机构不依法办理社会保险登记、核定社会保险费、支付社会保险待遇、办理社会保险转移接续手续或者侵害其他社会保险权益的行为，可以依法申请行政复议或者提起行政诉讼。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个人与所在用人单位发生社会保险争议的，可以依法申请调解、仲裁，提起诉讼。用人单位侵害个人社会保险权益的，个人也可以要求社会保险行政部门或者社会保险费征收机构依法处理。</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第十一章　法律责任</w:t>
      </w:r>
    </w:p>
    <w:p>
      <w:pPr>
        <w:pStyle w:val="33"/>
        <w:wordWrap/>
        <w:spacing w:line="560" w:lineRule="exact"/>
        <w:textAlignment w:val="auto"/>
        <w:rPr>
          <w:rFonts w:hint="default"/>
          <w:lang w:val="en-US" w:eastAsia="zh-CN"/>
        </w:rPr>
      </w:pPr>
      <w:r>
        <w:rPr>
          <w:rFonts w:hint="eastAsia"/>
          <w:lang w:val="en-US" w:eastAsia="zh-CN"/>
        </w:rPr>
        <w:t xml:space="preserve"> </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第八十四条</w:t>
      </w:r>
      <w:r>
        <w:rPr>
          <w:rFonts w:hint="eastAsia" w:ascii="宋体" w:hAnsi="宋体" w:cs="Arial"/>
          <w:kern w:val="0"/>
          <w:szCs w:val="32"/>
          <w:lang w:val="en-US" w:eastAsia="zh-CN"/>
        </w:rPr>
        <w:t>　用人单位不办理社会保险登记的，由社会保险行政部门责令限期改正；逾期不改正的，对用人单位处应缴社会保险费数额一倍以上三倍以下的罚款，对其直接负责的主管人员和其他直接责任人员处五百元以上三千元以下的罚款。</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第八十五条　</w:t>
      </w:r>
      <w:r>
        <w:rPr>
          <w:rFonts w:hint="eastAsia" w:ascii="宋体" w:hAnsi="宋体" w:cs="Arial"/>
          <w:kern w:val="0"/>
          <w:szCs w:val="32"/>
          <w:lang w:val="en-US" w:eastAsia="zh-CN"/>
        </w:rPr>
        <w:t>用人单位拒不出具终止或者解除劳动关系证明的，依照《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328179&amp;ix=1&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jaGwGBAAAADvmlYjlipvnuqfliKs9WEEwMSUgYW5kICAo5rOV6KeE5qCH6aKYPScl56S+5Lya5L+d6Zmp5rOVJScpIAYFAAAADS3lj5HluIPml6XmnJ8GBgAAAA/npL7kvJrkv53pmanms5UAAAsBAAD//javascript:SLC(199310,0)" </w:instrText>
      </w:r>
      <w:r>
        <w:rPr>
          <w:rFonts w:hint="eastAsia" w:ascii="宋体" w:hAnsi="宋体" w:cs="Arial"/>
          <w:kern w:val="0"/>
          <w:szCs w:val="32"/>
          <w:lang w:val="en-US" w:eastAsia="zh-CN"/>
        </w:rPr>
        <w:fldChar w:fldCharType="separate"/>
      </w:r>
      <w:r>
        <w:rPr>
          <w:rFonts w:hint="eastAsia" w:ascii="宋体" w:hAnsi="宋体" w:cs="Arial"/>
          <w:kern w:val="0"/>
          <w:szCs w:val="32"/>
        </w:rPr>
        <w:t>中华人民共和国劳动合同法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》的规定处理。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第八十六条　</w:t>
      </w:r>
      <w:r>
        <w:rPr>
          <w:rFonts w:hint="eastAsia" w:ascii="宋体" w:hAnsi="宋体" w:cs="Arial"/>
          <w:kern w:val="0"/>
          <w:szCs w:val="32"/>
          <w:lang w:val="en-US" w:eastAsia="zh-CN"/>
        </w:rPr>
        <w:t>用人单位未按时足额缴纳社会保险费的，由社会保险费征收机构责令限期缴纳或者补足，并自欠缴之日起，按日加收万分之五的滞纳金；逾期仍不缴纳的，由有关行政部门处欠缴数额一倍以上三倍以下的罚款。</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第八十七条</w:t>
      </w:r>
      <w:r>
        <w:rPr>
          <w:rFonts w:hint="eastAsia" w:ascii="宋体" w:hAnsi="宋体" w:cs="Arial"/>
          <w:kern w:val="0"/>
          <w:szCs w:val="32"/>
          <w:lang w:val="en-US" w:eastAsia="zh-CN"/>
        </w:rPr>
        <w:t>　社会保险经办机构以及医疗机构、药品经营单位等社会保险服务机构以欺诈、伪造证明材料或者其他手段骗取社会保险基金支出的，由社会保险行政部门责令退回骗取的社会保险金，处骗取金额二倍以上五倍以下的罚款；属于社会保险服务机构的，解除服务协议；直接负责的主管人员和其他直接责任人员有执业资格的，依法吊销其执业资格。</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第八十八条</w:t>
      </w:r>
      <w:r>
        <w:rPr>
          <w:rFonts w:hint="eastAsia" w:ascii="宋体" w:hAnsi="宋体" w:cs="Arial"/>
          <w:kern w:val="0"/>
          <w:szCs w:val="32"/>
          <w:lang w:val="en-US" w:eastAsia="zh-CN"/>
        </w:rPr>
        <w:t>　以欺诈、伪造证明材料或者其他手段骗取社会保险待遇的，由社会保险行政部门责令退回骗取的社会保险金，处骗取金额二倍以上五倍以下的罚款。</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第八十九条</w:t>
      </w:r>
      <w:r>
        <w:rPr>
          <w:rFonts w:hint="eastAsia" w:ascii="宋体" w:hAnsi="宋体" w:cs="Arial"/>
          <w:kern w:val="0"/>
          <w:szCs w:val="32"/>
          <w:lang w:val="en-US" w:eastAsia="zh-CN"/>
        </w:rPr>
        <w:t>　社会保险经办机构及其工作人员有下列行为之一的，由社会保险行政部门责令改正；给社会保险基金、用人单位或者个人造成损失的，依法承担赔偿责任；对直接负责的主管人员和其他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（一）未履行社会保险法定职责的；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（二）未将社会保险基金存入财政专户的；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（三）克扣或者拒不按时支付社会保险待遇的；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（四）丢失或者篡改缴费记录、享受社会保险待遇记录等社会保险数据、个人权益记录的；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（五）有违反社会保险法律、法规的其他行为的。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第九十条　</w:t>
      </w:r>
      <w:r>
        <w:rPr>
          <w:rFonts w:hint="eastAsia" w:ascii="宋体" w:hAnsi="宋体" w:cs="Arial"/>
          <w:kern w:val="0"/>
          <w:szCs w:val="32"/>
          <w:lang w:val="en-US" w:eastAsia="zh-CN"/>
        </w:rPr>
        <w:t>社会保险费征收机构擅自更改社会保险费缴费基数、费率，导致少收或者多收社会保险费的，由有关行政部门责令其追缴应当缴纳的社会保险费或者退还不应当缴纳的社会保险费；对直接负责的主管人员和其他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第九十一条　</w:t>
      </w:r>
      <w:r>
        <w:rPr>
          <w:rFonts w:hint="eastAsia" w:ascii="宋体" w:hAnsi="宋体" w:cs="Arial"/>
          <w:kern w:val="0"/>
          <w:szCs w:val="32"/>
          <w:lang w:val="en-US" w:eastAsia="zh-CN"/>
        </w:rPr>
        <w:t>违反本法规定，隐匿、转移、侵占、挪用社会保险基金或者违规投资运营的，由社会保险行政部门、财政部门、审计机关责令追回；有违法所得的，没收违法所得；对直接负责的主管人员和其他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第九十二条</w:t>
      </w:r>
      <w:r>
        <w:rPr>
          <w:rFonts w:hint="eastAsia" w:ascii="宋体" w:hAnsi="宋体" w:cs="Arial"/>
          <w:kern w:val="0"/>
          <w:szCs w:val="32"/>
          <w:lang w:val="en-US" w:eastAsia="zh-CN"/>
        </w:rPr>
        <w:t>　社会保险行政部门和其他有关行政部门、社会保险经办机构、社会保险费征收机构及其工作人员泄露用人单位和个人信息的，对直接负责的主管人员和其他直接责任人员依法给予处分；给用人单位或者个人造成损失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第九十三条　</w:t>
      </w:r>
      <w:r>
        <w:rPr>
          <w:rFonts w:hint="eastAsia" w:ascii="宋体" w:hAnsi="宋体" w:cs="Arial"/>
          <w:kern w:val="0"/>
          <w:szCs w:val="32"/>
          <w:lang w:val="en-US" w:eastAsia="zh-CN"/>
        </w:rPr>
        <w:t>国家工作人员在社会保险管理、监督工作中滥用职权、玩忽职守、徇私舞弊的，依法给予处分。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第九十四条</w:t>
      </w:r>
      <w:r>
        <w:rPr>
          <w:rFonts w:hint="eastAsia" w:ascii="宋体" w:hAnsi="宋体" w:cs="Arial"/>
          <w:kern w:val="0"/>
          <w:szCs w:val="32"/>
          <w:lang w:val="en-US" w:eastAsia="zh-CN"/>
        </w:rPr>
        <w:t>　违反本法规定，构成犯罪的，依法追究刑事责任。</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第十二章　附则</w:t>
      </w:r>
    </w:p>
    <w:p>
      <w:pPr>
        <w:pStyle w:val="33"/>
        <w:wordWrap/>
        <w:spacing w:line="560" w:lineRule="exact"/>
        <w:textAlignment w:val="auto"/>
        <w:rPr>
          <w:rFonts w:hint="eastAsia"/>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第九十五条</w:t>
      </w:r>
      <w:r>
        <w:rPr>
          <w:rFonts w:hint="eastAsia" w:ascii="宋体" w:hAnsi="宋体" w:cs="Arial"/>
          <w:kern w:val="0"/>
          <w:szCs w:val="32"/>
          <w:lang w:val="en-US" w:eastAsia="zh-CN"/>
        </w:rPr>
        <w:t>　进城务工的农村居民依照本法规定参加社会保险。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第九十六条</w:t>
      </w:r>
      <w:r>
        <w:rPr>
          <w:rFonts w:hint="eastAsia" w:ascii="宋体" w:hAnsi="宋体" w:cs="Arial"/>
          <w:kern w:val="0"/>
          <w:szCs w:val="32"/>
          <w:lang w:val="en-US" w:eastAsia="zh-CN"/>
        </w:rPr>
        <w:t>　征收农村集体所有的土地，应当足额安排被征地农民的社会保险费，按照国务院规定将被征地农民纳入相应的社会保险制度。</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第九十七条　</w:t>
      </w:r>
      <w:r>
        <w:rPr>
          <w:rFonts w:hint="eastAsia" w:ascii="宋体" w:hAnsi="宋体" w:cs="Arial"/>
          <w:kern w:val="0"/>
          <w:szCs w:val="32"/>
          <w:lang w:val="en-US" w:eastAsia="zh-CN"/>
        </w:rPr>
        <w:t>外国人在中国境内就业的，参照本法规定参加社会保险。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第九十八条</w:t>
      </w:r>
      <w:r>
        <w:rPr>
          <w:rFonts w:hint="eastAsia" w:ascii="宋体" w:hAnsi="宋体" w:cs="Arial"/>
          <w:kern w:val="0"/>
          <w:szCs w:val="32"/>
          <w:lang w:val="en-US" w:eastAsia="zh-CN"/>
        </w:rPr>
        <w:t>　本法自2011年7月1日起施行。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lang w:eastAsia="zh-CN"/>
        </w:rPr>
      </w:pPr>
      <w:r>
        <w:rPr>
          <w:rFonts w:hint="eastAsia" w:ascii="宋体" w:hAnsi="宋体" w:eastAsia="宋体" w:cs="宋体"/>
          <w:kern w:val="0"/>
          <w:sz w:val="44"/>
          <w:szCs w:val="44"/>
          <w:lang w:eastAsia="zh-CN"/>
        </w:rPr>
        <w:br w:type="page"/>
      </w:r>
    </w:p>
    <w:p>
      <w:pPr>
        <w:widowControl w:val="0"/>
        <w:wordWrap/>
        <w:overflowPunct w:val="0"/>
        <w:adjustRightInd/>
        <w:snapToGrid/>
        <w:spacing w:beforeAutospacing="0" w:afterAutospacing="0" w:line="560" w:lineRule="exact"/>
        <w:jc w:val="center"/>
        <w:textAlignment w:val="auto"/>
        <w:outlineLvl w:val="0"/>
        <w:rPr>
          <w:rFonts w:hint="eastAsia" w:ascii="宋体" w:hAnsi="宋体" w:cs="Arial"/>
          <w:kern w:val="0"/>
          <w:szCs w:val="32"/>
          <w:lang w:eastAsia="zh-CN"/>
        </w:rPr>
      </w:pPr>
      <w:bookmarkStart w:id="213" w:name="_Toc18139"/>
      <w:r>
        <w:rPr>
          <w:rFonts w:hint="eastAsia" w:ascii="宋体" w:hAnsi="宋体" w:eastAsia="宋体" w:cs="宋体"/>
          <w:kern w:val="0"/>
          <w:sz w:val="44"/>
          <w:szCs w:val="44"/>
          <w:lang w:eastAsia="zh-CN"/>
        </w:rPr>
        <w:t>中华人民共和国劳动法</w:t>
      </w:r>
      <w:r>
        <w:rPr>
          <w:rFonts w:hint="eastAsia" w:ascii="宋体" w:hAnsi="宋体" w:cs="Arial"/>
          <w:kern w:val="0"/>
          <w:szCs w:val="32"/>
          <w:lang w:eastAsia="zh-CN"/>
        </w:rPr>
        <w:br w:type="textWrapping"/>
      </w:r>
      <w:bookmarkEnd w:id="213"/>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cs="Arial"/>
          <w:kern w:val="0"/>
          <w:szCs w:val="32"/>
          <w:lang w:eastAsia="zh-CN"/>
        </w:rPr>
      </w:pPr>
      <w:r>
        <w:rPr>
          <w:rFonts w:hint="eastAsia" w:ascii="宋体" w:hAnsi="宋体" w:cs="Arial"/>
          <w:kern w:val="0"/>
          <w:szCs w:val="32"/>
          <w:lang w:eastAsia="zh-CN"/>
        </w:rPr>
        <w:t>（1994年7月5日第八届全国人民代表大会常务委员会第八次会议通过　根据2009年8月27日第十一届全国人民代表大会常务委员会第十次会议《关于修改部分法律的决定》第一次修正　根据2018年12月29日第十三届全国人民代表大会常务委员会第七次会议《关于修改〈中华人民共和国劳动法〉等七部法律的决定》第二次修正）</w:t>
      </w: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cs="Arial"/>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目　　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第一章　总　　则</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第二章　促进就业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第三章　劳动合同和集体合同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第四章　工作时间和休息休假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第五章　工　　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第六章　劳动安全卫生</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第七章　女职工和未成年工特殊保护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第八章　职业培训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第九章　社会保险和福利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第十章　劳动争议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第十一章　监督检查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第十二章　法律责任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第十三章　附　　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第一章　总则</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第一条　</w:t>
      </w:r>
      <w:r>
        <w:rPr>
          <w:rFonts w:hint="eastAsia" w:ascii="宋体" w:hAnsi="宋体" w:cs="Arial"/>
          <w:kern w:val="0"/>
          <w:szCs w:val="32"/>
          <w:lang w:val="en-US" w:eastAsia="zh-CN"/>
        </w:rPr>
        <w:t>为了保护劳动者的合法权益，调整劳动关系，建立和维护适应社会主义市场经济的劳动制度，促进经济发展和社会进步，根据</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328222&amp;ix=1&amp;w=H4sIAAAAAAAEAAArAdT+AAEAAAD/////AQAAAAAAAAAMAgAAADxDbGlWNSwgVmVyc2lvbj0xLjAuMC4wLCBDdWx0dXJlPW5ldXRyYWwsIFB1YmxpY0tleVRva2VuPW51bGwFAQAAACtDbGlWNS5Db21tb25DbGFzcy5TZXJpYWxQYXJhbStTZWFyY2hfU3RydWN0BgAAAAhEYXRhYmFzZQVXaGVyZQRTb3J0B0tleXdvcmQHSXNHcm91cAlJc1N1bW1hcnkBAQEBAAABAQIAAAAGAwAAAANjaGwGBAAAADXmlYjlipvnuqfliKs9WEEwMSUgYW5kICAo5rOV6KeE5qCH6aKYPScl5Yqz5Yqo5rOVJScpIAYFAAAADS3lj5HluIPml6XmnJ8GBgAAAAnlirPliqjms5UAAAsBAAD///javascript:SLC(311950,0)" </w:instrText>
      </w:r>
      <w:r>
        <w:rPr>
          <w:rFonts w:hint="eastAsia" w:ascii="宋体" w:hAnsi="宋体" w:cs="Arial"/>
          <w:kern w:val="0"/>
          <w:szCs w:val="32"/>
          <w:lang w:val="en-US" w:eastAsia="zh-CN"/>
        </w:rPr>
        <w:fldChar w:fldCharType="separate"/>
      </w:r>
      <w:r>
        <w:rPr>
          <w:rFonts w:hint="eastAsia" w:ascii="宋体" w:hAnsi="宋体" w:cs="Arial"/>
          <w:kern w:val="0"/>
          <w:szCs w:val="32"/>
          <w:lang w:eastAsia="zh-CN"/>
        </w:rPr>
        <w:t>宪法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，制定本法。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第二条　</w:t>
      </w:r>
      <w:r>
        <w:rPr>
          <w:rFonts w:hint="eastAsia" w:ascii="宋体" w:hAnsi="宋体" w:cs="Arial"/>
          <w:kern w:val="0"/>
          <w:szCs w:val="32"/>
          <w:lang w:val="en-US" w:eastAsia="zh-CN"/>
        </w:rPr>
        <w:t>在中华人民共和国境内的企业、个体经济组织（以下统称用人单位）和与之形成劳动关系的劳动者，适用本法。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国家机关、事业组织、社会团体和与之建立劳动合同关系的劳动者，依照本法执行。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第三条　</w:t>
      </w:r>
      <w:r>
        <w:rPr>
          <w:rFonts w:hint="eastAsia" w:ascii="宋体" w:hAnsi="宋体" w:cs="Arial"/>
          <w:kern w:val="0"/>
          <w:szCs w:val="32"/>
          <w:lang w:val="en-US" w:eastAsia="zh-CN"/>
        </w:rPr>
        <w:t>劳动者享有平等就业和选择职业的权利、取得劳动报酬的权利、休息休假的权利、获得劳动安全卫生保护的权利、接受职业技能培训的权利、享受社会保险和福利的权利、提请劳动争议处理的权利以及法律规定的其他劳动权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劳动者应当完成劳动任务，提高职业技能，执行劳动安全卫生规程，遵守劳动纪律和职业道德。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第四条</w:t>
      </w:r>
      <w:r>
        <w:rPr>
          <w:rFonts w:hint="eastAsia" w:ascii="宋体" w:hAnsi="宋体" w:cs="Arial"/>
          <w:kern w:val="0"/>
          <w:szCs w:val="32"/>
          <w:lang w:val="en-US" w:eastAsia="zh-CN"/>
        </w:rPr>
        <w:t>　用人单位应当依法建立和完善规章制度，保障劳动者享有劳动权利和履行劳动义务。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第五条</w:t>
      </w:r>
      <w:r>
        <w:rPr>
          <w:rFonts w:hint="eastAsia" w:ascii="宋体" w:hAnsi="宋体" w:cs="Arial"/>
          <w:kern w:val="0"/>
          <w:szCs w:val="32"/>
          <w:lang w:val="en-US" w:eastAsia="zh-CN"/>
        </w:rPr>
        <w:t>　国家采取各种措施，促进劳动就业，发展职业教育，制定劳动标准，调节社会收入，完善社会保险，协调劳动关系，逐步提高劳动者的生活水平。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第六条</w:t>
      </w:r>
      <w:r>
        <w:rPr>
          <w:rFonts w:hint="eastAsia" w:ascii="宋体" w:hAnsi="宋体" w:cs="Arial"/>
          <w:kern w:val="0"/>
          <w:szCs w:val="32"/>
          <w:lang w:val="en-US" w:eastAsia="zh-CN"/>
        </w:rPr>
        <w:t>　国家提倡劳动者参加社会义务劳动，开展劳动竞赛和合理化建议活动，鼓励和保护劳动者进行科学研究、技术革新和发明创造，表彰和奖励劳动模范和先进工作者。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第七条　</w:t>
      </w:r>
      <w:r>
        <w:rPr>
          <w:rFonts w:hint="eastAsia" w:ascii="宋体" w:hAnsi="宋体" w:cs="Arial"/>
          <w:kern w:val="0"/>
          <w:szCs w:val="32"/>
          <w:lang w:val="en-US" w:eastAsia="zh-CN"/>
        </w:rPr>
        <w:t>劳动者有权依法参加和组织工会。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工会代表和维护劳动者的合法权益，依法独立自主地开展活动。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第八条</w:t>
      </w:r>
      <w:r>
        <w:rPr>
          <w:rFonts w:hint="eastAsia" w:ascii="宋体" w:hAnsi="宋体" w:cs="Arial"/>
          <w:kern w:val="0"/>
          <w:szCs w:val="32"/>
          <w:lang w:val="en-US" w:eastAsia="zh-CN"/>
        </w:rPr>
        <w:t>　劳动者依照法律规定，通过职工大会、职工代表大会或者其他形式，参与民主管理或者就保护劳动者合法权益与用人单位进行平等协商。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第九条</w:t>
      </w:r>
      <w:r>
        <w:rPr>
          <w:rFonts w:hint="eastAsia" w:ascii="宋体" w:hAnsi="宋体" w:cs="Arial"/>
          <w:kern w:val="0"/>
          <w:szCs w:val="32"/>
          <w:lang w:val="en-US" w:eastAsia="zh-CN"/>
        </w:rPr>
        <w:t>　国务院劳动行政部门主管全国劳动工作。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县级以上地方人民政府劳动行政部门主管本行政区域内的劳动工作。</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第二章　促进就业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第十条</w:t>
      </w:r>
      <w:r>
        <w:rPr>
          <w:rFonts w:hint="eastAsia" w:ascii="宋体" w:hAnsi="宋体" w:cs="Arial"/>
          <w:kern w:val="0"/>
          <w:szCs w:val="32"/>
          <w:lang w:val="en-US" w:eastAsia="zh-CN"/>
        </w:rPr>
        <w:t>　国家通过促进经济和社会发展，创造就业条件，扩大就业机会。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国家鼓励企业、事业组织、社会团体在法律、行政法规规定的范围内兴办产业或者拓展经营，增加就业。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国家支持劳动者自愿组织起来就业和从事个体经营实现就业。</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第十一条</w:t>
      </w:r>
      <w:r>
        <w:rPr>
          <w:rFonts w:hint="eastAsia" w:ascii="宋体" w:hAnsi="宋体" w:cs="Arial"/>
          <w:kern w:val="0"/>
          <w:szCs w:val="32"/>
          <w:lang w:val="en-US" w:eastAsia="zh-CN"/>
        </w:rPr>
        <w:t>　地方各级人民政府应当采取措施，发展多种类型的职业介绍机构，提供就业服务。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第十二条</w:t>
      </w:r>
      <w:r>
        <w:rPr>
          <w:rFonts w:hint="eastAsia" w:ascii="宋体" w:hAnsi="宋体" w:cs="Arial"/>
          <w:kern w:val="0"/>
          <w:szCs w:val="32"/>
          <w:lang w:val="en-US" w:eastAsia="zh-CN"/>
        </w:rPr>
        <w:t>　劳动者就业，不因民族、种族、性别、宗教信仰不同而受歧视。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第十三条　</w:t>
      </w:r>
      <w:r>
        <w:rPr>
          <w:rFonts w:hint="eastAsia" w:ascii="宋体" w:hAnsi="宋体" w:cs="Arial"/>
          <w:kern w:val="0"/>
          <w:szCs w:val="32"/>
          <w:lang w:val="en-US" w:eastAsia="zh-CN"/>
        </w:rPr>
        <w:t>妇女享有与男子平等的就业权利。在录用职工时，除国家规定的不适合妇女的工种或者岗位外，不得以性别为由拒绝录用妇女或者提高对妇女的录用标准。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第十四条</w:t>
      </w:r>
      <w:r>
        <w:rPr>
          <w:rFonts w:hint="eastAsia" w:ascii="宋体" w:hAnsi="宋体" w:cs="Arial"/>
          <w:kern w:val="0"/>
          <w:szCs w:val="32"/>
          <w:lang w:val="en-US" w:eastAsia="zh-CN"/>
        </w:rPr>
        <w:t>　残疾人、少数民族人员、退出现役的军人的就业，法律、法规有特别规定的，从其规定。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第十五条</w:t>
      </w:r>
      <w:r>
        <w:rPr>
          <w:rFonts w:hint="eastAsia" w:ascii="宋体" w:hAnsi="宋体" w:cs="Arial"/>
          <w:kern w:val="0"/>
          <w:szCs w:val="32"/>
          <w:lang w:val="en-US" w:eastAsia="zh-CN"/>
        </w:rPr>
        <w:t>　禁止用人单位招用未满十六周岁的未成年人。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文艺、体育和特种工艺单位招用未满十六周岁的未成年人，必须遵守国家有关规定，并保障其接受义务教育的权利。</w:t>
      </w:r>
    </w:p>
    <w:p>
      <w:pPr>
        <w:pStyle w:val="33"/>
        <w:wordWrap/>
        <w:spacing w:line="560" w:lineRule="exact"/>
        <w:textAlignment w:val="auto"/>
        <w:rPr>
          <w:rFonts w:hint="eastAsia"/>
          <w:lang w:eastAsia="zh-CN"/>
        </w:rPr>
      </w:pPr>
    </w:p>
    <w:p>
      <w:pPr>
        <w:widowControl w:val="0"/>
        <w:numPr>
          <w:ilvl w:val="0"/>
          <w:numId w:val="7"/>
        </w:numPr>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eastAsia="zh-CN"/>
        </w:rPr>
      </w:pPr>
      <w:r>
        <w:rPr>
          <w:rFonts w:hint="eastAsia" w:ascii="黑体" w:hAnsi="黑体" w:eastAsia="黑体" w:cs="黑体"/>
          <w:kern w:val="0"/>
          <w:szCs w:val="32"/>
          <w:lang w:eastAsia="zh-CN"/>
        </w:rPr>
        <w:t>　劳动合同和集体合同</w:t>
      </w:r>
    </w:p>
    <w:p>
      <w:pPr>
        <w:pStyle w:val="33"/>
        <w:numPr>
          <w:ilvl w:val="0"/>
          <w:numId w:val="0"/>
        </w:numPr>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第十六条</w:t>
      </w:r>
      <w:r>
        <w:rPr>
          <w:rFonts w:hint="eastAsia" w:ascii="宋体" w:hAnsi="宋体" w:cs="Arial"/>
          <w:kern w:val="0"/>
          <w:szCs w:val="32"/>
          <w:lang w:val="en-US" w:eastAsia="zh-CN"/>
        </w:rPr>
        <w:t>　劳动合同是劳动者与用人单位确立劳动关系、明确双方权利和义务的协议。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建立劳动关系应当订立劳动合同。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第十七条　</w:t>
      </w:r>
      <w:r>
        <w:rPr>
          <w:rFonts w:hint="eastAsia" w:ascii="宋体" w:hAnsi="宋体" w:cs="Arial"/>
          <w:kern w:val="0"/>
          <w:szCs w:val="32"/>
          <w:lang w:val="en-US" w:eastAsia="zh-CN"/>
        </w:rPr>
        <w:t>订立和变更劳动合同，应当遵循平等自愿、协商一致的原则，不得违反法律、行政法规的规定。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劳动合同依法订立即具有法律约束力，当事人必须履行劳动合同规定的义务。</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第十八条　</w:t>
      </w:r>
      <w:r>
        <w:rPr>
          <w:rFonts w:hint="eastAsia" w:ascii="宋体" w:hAnsi="宋体" w:cs="Arial"/>
          <w:kern w:val="0"/>
          <w:szCs w:val="32"/>
          <w:lang w:val="en-US" w:eastAsia="zh-CN"/>
        </w:rPr>
        <w:t>下列劳动合同无效：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（一）违反法律、行政法规的劳动合同；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（二）采取欺诈、威胁等手段订立的劳动合同。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无效的劳动合同，从订立的时候起，就没有法律约束力。确认劳动合同部分无效的，如果不影响其余部分的效力，其余部分仍然有效。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劳动合同的无效，由劳动争议仲裁委员会或者人民法院确认。</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第十九条　</w:t>
      </w:r>
      <w:r>
        <w:rPr>
          <w:rFonts w:hint="eastAsia" w:ascii="宋体" w:hAnsi="宋体" w:cs="Arial"/>
          <w:kern w:val="0"/>
          <w:szCs w:val="32"/>
          <w:lang w:val="en-US" w:eastAsia="zh-CN"/>
        </w:rPr>
        <w:t>劳动合同应当以书面形式订立，并具备以下条款：</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（一）劳动合同期限；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（二）工作内容；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（三）劳动保护和劳动条件；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（四）劳动报酬；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（五）劳动纪律；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（六）劳动合同终止的条件；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（七）违反劳动合同的责任。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劳动合同除前款规定的必备条款外，当事人可以协商约定其他内容。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第二十条</w:t>
      </w:r>
      <w:r>
        <w:rPr>
          <w:rFonts w:hint="eastAsia" w:ascii="宋体" w:hAnsi="宋体" w:cs="Arial"/>
          <w:kern w:val="0"/>
          <w:szCs w:val="32"/>
          <w:lang w:val="en-US" w:eastAsia="zh-CN"/>
        </w:rPr>
        <w:t>　劳动合同的期限分为有固定期限、无固定期限和以完成一定的工作为期限。</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劳动者在同一用人单位连续工作满十年以上，当事人双方同意续延劳动合同的，如果劳动者提出订立无固定期限的劳动合同，应当订立无固定期限的劳动合同。</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第二十一条</w:t>
      </w:r>
      <w:r>
        <w:rPr>
          <w:rFonts w:hint="eastAsia" w:ascii="宋体" w:hAnsi="宋体" w:cs="Arial"/>
          <w:kern w:val="0"/>
          <w:szCs w:val="32"/>
          <w:lang w:val="en-US" w:eastAsia="zh-CN"/>
        </w:rPr>
        <w:t>　劳动合同可以约定试用期。试用期最长不得超过六个月。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第二十二条</w:t>
      </w:r>
      <w:r>
        <w:rPr>
          <w:rFonts w:hint="eastAsia" w:ascii="宋体" w:hAnsi="宋体" w:cs="Arial"/>
          <w:kern w:val="0"/>
          <w:szCs w:val="32"/>
          <w:lang w:val="en-US" w:eastAsia="zh-CN"/>
        </w:rPr>
        <w:t>　劳动合同当事人可以在劳动合同中约定保守用人单位商业秘密的有关事项。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第二十三条</w:t>
      </w:r>
      <w:r>
        <w:rPr>
          <w:rFonts w:hint="eastAsia" w:ascii="宋体" w:hAnsi="宋体" w:cs="Arial"/>
          <w:kern w:val="0"/>
          <w:szCs w:val="32"/>
          <w:lang w:val="en-US" w:eastAsia="zh-CN"/>
        </w:rPr>
        <w:t>　劳动合同期满或者当事人约定的劳动合同终止条件出现，劳动合同即行终止。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第二十四条　</w:t>
      </w:r>
      <w:r>
        <w:rPr>
          <w:rFonts w:hint="eastAsia" w:ascii="宋体" w:hAnsi="宋体" w:cs="Arial"/>
          <w:kern w:val="0"/>
          <w:szCs w:val="32"/>
          <w:lang w:val="en-US" w:eastAsia="zh-CN"/>
        </w:rPr>
        <w:t>经劳动合同当事人协商一致，劳动合同可以解除。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第二十五条　</w:t>
      </w:r>
      <w:r>
        <w:rPr>
          <w:rFonts w:hint="eastAsia" w:ascii="宋体" w:hAnsi="宋体" w:cs="Arial"/>
          <w:kern w:val="0"/>
          <w:szCs w:val="32"/>
          <w:lang w:val="en-US" w:eastAsia="zh-CN"/>
        </w:rPr>
        <w:t>劳动者有下列情形之一的，用人单位可以解除劳动合同：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（一）在试用期间被证明不符合录用条件的；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（二）严重违反劳动纪律或者用人单位规章制度的；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（三）严重失职，营私舞弊，对用人单位利益造成重大损害的；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（四）被依法追究刑事责任的。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第二十六条</w:t>
      </w:r>
      <w:r>
        <w:rPr>
          <w:rFonts w:hint="eastAsia" w:ascii="宋体" w:hAnsi="宋体" w:cs="Arial"/>
          <w:kern w:val="0"/>
          <w:szCs w:val="32"/>
          <w:lang w:val="en-US" w:eastAsia="zh-CN"/>
        </w:rPr>
        <w:t>　有下列情形之一的，用人单位可以解除劳动合同，但是应当提前三十日以书面形式通知劳动者本人：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（一）劳动者患病或者非因工负伤，医疗期满后，不能从事原工作也不能从事由用人单位另行安排的工作的；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（二）劳动者不能胜任工作，经过培训或者调整工作岗位，仍不能胜任工作的；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（三）劳动合同订立时所依据的客观情况发生重大变化，致使原劳动合同无法履行，经当事人协商不能就变更劳动合同达成协议的。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第二十七条　</w:t>
      </w:r>
      <w:r>
        <w:rPr>
          <w:rFonts w:hint="eastAsia" w:ascii="宋体" w:hAnsi="宋体" w:cs="Arial"/>
          <w:kern w:val="0"/>
          <w:szCs w:val="32"/>
          <w:lang w:val="en-US" w:eastAsia="zh-CN"/>
        </w:rPr>
        <w:t>用人单位濒临破产进行法定整顿期间或者生产经营状况发生严重困难，确需裁减人员的，应当提前三十日向工会或者全体职工说明情况，听取工会或者职工的意见，经向劳动行政部门报告后，可以裁减人员。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用人单位依据本条规定裁减人员，在六个月内录用人员的，应当优先录用被裁减的人员。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第二十八条　</w:t>
      </w:r>
      <w:r>
        <w:rPr>
          <w:rFonts w:hint="eastAsia" w:ascii="宋体" w:hAnsi="宋体" w:cs="Arial"/>
          <w:kern w:val="0"/>
          <w:szCs w:val="32"/>
          <w:lang w:val="en-US" w:eastAsia="zh-CN"/>
        </w:rPr>
        <w:t>用人单位依据本法第二十四条、第二十六条、第二十七条的规定解除劳动合同的，应当依照国家有关规定给予经济补偿。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第二十九条　</w:t>
      </w:r>
      <w:r>
        <w:rPr>
          <w:rFonts w:hint="eastAsia" w:ascii="宋体" w:hAnsi="宋体" w:cs="Arial"/>
          <w:kern w:val="0"/>
          <w:szCs w:val="32"/>
          <w:lang w:val="en-US" w:eastAsia="zh-CN"/>
        </w:rPr>
        <w:t>劳动者有下列情形之一的，用人单位不得依据本法第二十六条、第二十七条的规定解除劳动合同：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（一）患职业病或者因工负伤并被确认丧失或者部分丧失劳动能力的；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（二）患病或者负伤，在规定的医疗期内的；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（三）女职工在孕期、产期、哺乳期内的；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（四）法律、行政法规规定的其他情形。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第三十条</w:t>
      </w:r>
      <w:r>
        <w:rPr>
          <w:rFonts w:hint="eastAsia" w:ascii="宋体" w:hAnsi="宋体" w:cs="Arial"/>
          <w:kern w:val="0"/>
          <w:szCs w:val="32"/>
          <w:lang w:val="en-US" w:eastAsia="zh-CN"/>
        </w:rPr>
        <w:t>　用人单位解除劳动合同，工会认为不适当的，有权提出意见。如果用人单位违反法律、法规或者劳动合同，工会有权要求重新处理；劳动者申请仲裁或者提起诉讼的，工会应当依法给予支持和帮助。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第三十一条　</w:t>
      </w:r>
      <w:r>
        <w:rPr>
          <w:rFonts w:hint="eastAsia" w:ascii="宋体" w:hAnsi="宋体" w:cs="Arial"/>
          <w:kern w:val="0"/>
          <w:szCs w:val="32"/>
          <w:lang w:val="en-US" w:eastAsia="zh-CN"/>
        </w:rPr>
        <w:t>劳动者解除劳动合同，应当提前三十日以书面形式通知用人单位。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第三十二条　</w:t>
      </w:r>
      <w:r>
        <w:rPr>
          <w:rFonts w:hint="eastAsia" w:ascii="宋体" w:hAnsi="宋体" w:cs="Arial"/>
          <w:kern w:val="0"/>
          <w:szCs w:val="32"/>
          <w:lang w:val="en-US" w:eastAsia="zh-CN"/>
        </w:rPr>
        <w:t>有下列情形之一的，劳动者可以随时通知用人单位解除劳动合同：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（一）在试用期内的；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（二）用人单位以暴力、威胁或者非法限制人身自由的手段强迫劳动的；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（三）用人单位未按照劳动合同约定支付劳动报酬或者提供劳动条件的。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第三十三条　</w:t>
      </w:r>
      <w:r>
        <w:rPr>
          <w:rFonts w:hint="eastAsia" w:ascii="宋体" w:hAnsi="宋体" w:cs="Arial"/>
          <w:kern w:val="0"/>
          <w:szCs w:val="32"/>
          <w:lang w:val="en-US" w:eastAsia="zh-CN"/>
        </w:rPr>
        <w:t>企业职工一方与企业可以就劳动报酬、工作时间、休息休假、劳动安全卫生、保险福利等事项，签订集体合同。集体合同草案应当提交职工代表大会或者全体职工讨论通过。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集体合同由工会代表职工与企业签订；没有建立工会的企业，由职工推举的代表与企业签订。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第三十四条　</w:t>
      </w:r>
      <w:r>
        <w:rPr>
          <w:rFonts w:hint="eastAsia" w:ascii="宋体" w:hAnsi="宋体" w:cs="Arial"/>
          <w:kern w:val="0"/>
          <w:szCs w:val="32"/>
          <w:lang w:val="en-US" w:eastAsia="zh-CN"/>
        </w:rPr>
        <w:t>集体合同签订后应当报送劳动行政部门；劳动行政部门自收到集体合同文本之日起十五日内未提出异议的，集体合同即行生效。</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第三十五条　</w:t>
      </w:r>
      <w:r>
        <w:rPr>
          <w:rFonts w:hint="eastAsia" w:ascii="宋体" w:hAnsi="宋体" w:cs="Arial"/>
          <w:kern w:val="0"/>
          <w:szCs w:val="32"/>
          <w:lang w:val="en-US" w:eastAsia="zh-CN"/>
        </w:rPr>
        <w:t>依法签订的集体合同对企业和企业全体职工具有约束力。职工个人与企业订立的劳动合同中劳动条件和劳动报酬等标准不得低于集体合同的规定。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第四章　工作时间和休息休假</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黑体" w:hAnsi="黑体" w:eastAsia="黑体" w:cs="黑体"/>
          <w:kern w:val="0"/>
          <w:szCs w:val="32"/>
          <w:lang w:val="en-US" w:eastAsia="zh-CN"/>
        </w:rPr>
        <w:t xml:space="preserve">    第三十六条　</w:t>
      </w:r>
      <w:r>
        <w:rPr>
          <w:rFonts w:hint="eastAsia" w:ascii="宋体" w:hAnsi="宋体" w:cs="Arial"/>
          <w:kern w:val="0"/>
          <w:szCs w:val="32"/>
          <w:lang w:val="en-US" w:eastAsia="zh-CN"/>
        </w:rPr>
        <w:t>国家实行劳动者每日工作时间不超过八小时、平均每周工作时间不超过四十四小时的工时制度。</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第三十七条</w:t>
      </w:r>
      <w:r>
        <w:rPr>
          <w:rFonts w:hint="eastAsia" w:ascii="宋体" w:hAnsi="宋体" w:cs="Arial"/>
          <w:kern w:val="0"/>
          <w:szCs w:val="32"/>
          <w:lang w:val="en-US" w:eastAsia="zh-CN"/>
        </w:rPr>
        <w:t>　对实行计件工作的劳动者，用人单位应当根据本法第三十六条规定的工时制度合理确定其劳动定额和计件报酬标准。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第三十八条</w:t>
      </w:r>
      <w:r>
        <w:rPr>
          <w:rFonts w:hint="eastAsia" w:ascii="宋体" w:hAnsi="宋体" w:cs="Arial"/>
          <w:kern w:val="0"/>
          <w:szCs w:val="32"/>
          <w:lang w:val="en-US" w:eastAsia="zh-CN"/>
        </w:rPr>
        <w:t>　用人单位应当保证劳动者每周至少休息一日。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第三十九条</w:t>
      </w:r>
      <w:r>
        <w:rPr>
          <w:rFonts w:hint="eastAsia" w:ascii="宋体" w:hAnsi="宋体" w:cs="Arial"/>
          <w:kern w:val="0"/>
          <w:szCs w:val="32"/>
          <w:lang w:val="en-US" w:eastAsia="zh-CN"/>
        </w:rPr>
        <w:t>　企业因生产特点不能实行本法第三十六条、第三十八条规定的，经劳动行政部门批准，可以实行其他工作和休息办法。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第四十条　</w:t>
      </w:r>
      <w:r>
        <w:rPr>
          <w:rFonts w:hint="eastAsia" w:ascii="宋体" w:hAnsi="宋体" w:cs="Arial"/>
          <w:kern w:val="0"/>
          <w:szCs w:val="32"/>
          <w:lang w:val="en-US" w:eastAsia="zh-CN"/>
        </w:rPr>
        <w:t>用人单位在下列节日期间应当依法安排劳动者休假：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（一）元旦；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（二）春节；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（三）国际劳动节；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（四）国庆节；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（五）法律、法规规定的其他休假节日。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第四十一条　</w:t>
      </w:r>
      <w:r>
        <w:rPr>
          <w:rFonts w:hint="eastAsia" w:ascii="宋体" w:hAnsi="宋体" w:cs="Arial"/>
          <w:kern w:val="0"/>
          <w:szCs w:val="32"/>
          <w:lang w:val="en-US" w:eastAsia="zh-CN"/>
        </w:rPr>
        <w:t>用人单位由于生产经营需要，经与工会和劳动者协商后可以延长工作时间，一般每日不得超过一小时；因特殊原因需要延长工作时间的，在保障劳动者身体健康的条件下延长工作时间每日不得超过三小时，但是每月不得超过三十六小时。</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第四十二条　</w:t>
      </w:r>
      <w:r>
        <w:rPr>
          <w:rFonts w:hint="eastAsia" w:ascii="宋体" w:hAnsi="宋体" w:cs="Arial"/>
          <w:kern w:val="0"/>
          <w:szCs w:val="32"/>
          <w:lang w:val="en-US" w:eastAsia="zh-CN"/>
        </w:rPr>
        <w:t>有下列情形之一的，延长工作时间不受本法第四十一条规定的限制：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（一）发生自然灾害、事故或者因其他原因，威胁劳动者生命健康和财产安全，需要紧急处理的；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（二）生产设备、交通运输线路、公共设施发生故障，影响生产和公众利益，必须及时抢修的；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（三）法律、行政法规规定的其他情形。</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第四十三条</w:t>
      </w:r>
      <w:r>
        <w:rPr>
          <w:rFonts w:hint="eastAsia" w:ascii="宋体" w:hAnsi="宋体" w:cs="Arial"/>
          <w:kern w:val="0"/>
          <w:szCs w:val="32"/>
          <w:lang w:val="en-US" w:eastAsia="zh-CN"/>
        </w:rPr>
        <w:t>　用人单位不得违反本法规定延长劳动者的工作时间。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第四十四条</w:t>
      </w:r>
      <w:r>
        <w:rPr>
          <w:rFonts w:hint="eastAsia" w:ascii="宋体" w:hAnsi="宋体" w:cs="Arial"/>
          <w:kern w:val="0"/>
          <w:szCs w:val="32"/>
          <w:lang w:val="en-US" w:eastAsia="zh-CN"/>
        </w:rPr>
        <w:t>　有下列情形之一的，用人单位应当按照下列标准支付高于劳动者正常工作时间工资的工资报酬：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（一）安排劳动者延长工作时间的，支付不低于工资的百分之一百五十的工资报酬；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（二）休息日安排劳动者工作又不能安排补休的，支付不低于工资的百分之二百的工资报酬；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（三）法定休假日安排劳动者工作的，支付不低于工资的百分之三百的工资报酬。</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第四十五条</w:t>
      </w:r>
      <w:r>
        <w:rPr>
          <w:rFonts w:hint="eastAsia" w:ascii="宋体" w:hAnsi="宋体" w:cs="Arial"/>
          <w:kern w:val="0"/>
          <w:szCs w:val="32"/>
          <w:lang w:val="en-US" w:eastAsia="zh-CN"/>
        </w:rPr>
        <w:t>　国家实行带薪年休假制度。</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劳动者连续工作一年以上的，享受带薪年休假。具体办法由国务院规定。</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第五章　工资</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第四十六条</w:t>
      </w:r>
      <w:r>
        <w:rPr>
          <w:rFonts w:hint="eastAsia" w:ascii="宋体" w:hAnsi="宋体" w:cs="Arial"/>
          <w:kern w:val="0"/>
          <w:szCs w:val="32"/>
          <w:lang w:val="en-US" w:eastAsia="zh-CN"/>
        </w:rPr>
        <w:t>　工资分配应当遵循按劳分配原则，实行同工同酬。</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工资水平在经济发展的基础上逐步提高。国家对工资总量实行宏观调控。</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第四十七条　</w:t>
      </w:r>
      <w:r>
        <w:rPr>
          <w:rFonts w:hint="eastAsia" w:ascii="宋体" w:hAnsi="宋体" w:cs="Arial"/>
          <w:kern w:val="0"/>
          <w:szCs w:val="32"/>
          <w:lang w:val="en-US" w:eastAsia="zh-CN"/>
        </w:rPr>
        <w:t>用人单位根据本单位的生产经营特点和经济效益，依法自主确定本单位的工资分配方式和工资水平。</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第四十八条</w:t>
      </w:r>
      <w:r>
        <w:rPr>
          <w:rFonts w:hint="eastAsia" w:ascii="宋体" w:hAnsi="宋体" w:cs="Arial"/>
          <w:kern w:val="0"/>
          <w:szCs w:val="32"/>
          <w:lang w:val="en-US" w:eastAsia="zh-CN"/>
        </w:rPr>
        <w:t>　国家实行最低工资保障制度。最低工资的具体标准由省、自治区、直辖市人民政府规定，报国务院备案。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用人单位支付劳动者的工资不得低于当地最低工资标准。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第四十九条</w:t>
      </w:r>
      <w:r>
        <w:rPr>
          <w:rFonts w:hint="eastAsia" w:ascii="宋体" w:hAnsi="宋体" w:cs="Arial"/>
          <w:kern w:val="0"/>
          <w:szCs w:val="32"/>
          <w:lang w:val="en-US" w:eastAsia="zh-CN"/>
        </w:rPr>
        <w:t>　确定和调整最低工资标准应当综合参考下列因素：</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（一）劳动者本人及平均赡养人口的最低生活费用；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（二）社会平均工资水平；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（三）劳动生产率；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（四）就业状况；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（五）地区之间经济发展水平的差异。</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第五十条</w:t>
      </w:r>
      <w:r>
        <w:rPr>
          <w:rFonts w:hint="eastAsia" w:ascii="宋体" w:hAnsi="宋体" w:cs="Arial"/>
          <w:kern w:val="0"/>
          <w:szCs w:val="32"/>
          <w:lang w:val="en-US" w:eastAsia="zh-CN"/>
        </w:rPr>
        <w:t>　工资应当以货币形式按月支付给劳动者本人。不得克扣或者无故拖欠劳动者的工资。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第五十一条　</w:t>
      </w:r>
      <w:r>
        <w:rPr>
          <w:rFonts w:hint="eastAsia" w:ascii="宋体" w:hAnsi="宋体" w:cs="Arial"/>
          <w:kern w:val="0"/>
          <w:szCs w:val="32"/>
          <w:lang w:val="en-US" w:eastAsia="zh-CN"/>
        </w:rPr>
        <w:t>劳动者在法定休假日和婚丧假期间以及依法参加社会活动期间，用人单位应当依法支付工资。</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第六章　劳动安全卫生</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第五十二条</w:t>
      </w:r>
      <w:r>
        <w:rPr>
          <w:rFonts w:hint="eastAsia" w:ascii="宋体" w:hAnsi="宋体" w:cs="Arial"/>
          <w:kern w:val="0"/>
          <w:szCs w:val="32"/>
          <w:lang w:val="en-US" w:eastAsia="zh-CN"/>
        </w:rPr>
        <w:t>　用人单位必须建立、健全劳动安全卫生制度，严格执行国家劳动安全卫生规程和标准，对劳动者进行劳动安全卫生教育，防止劳动过程中的事故，减少职业危害。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第五十三条</w:t>
      </w:r>
      <w:r>
        <w:rPr>
          <w:rFonts w:hint="eastAsia" w:ascii="宋体" w:hAnsi="宋体" w:cs="Arial"/>
          <w:kern w:val="0"/>
          <w:szCs w:val="32"/>
          <w:lang w:val="en-US" w:eastAsia="zh-CN"/>
        </w:rPr>
        <w:t>　劳动安全卫生设施必须符合国家规定的标准。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新建、改建、扩建工程的劳动安全卫生设施必须与主体工程同时设计、同时施工、同时投入生产和使用。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第五十四条</w:t>
      </w:r>
      <w:r>
        <w:rPr>
          <w:rFonts w:hint="eastAsia" w:ascii="宋体" w:hAnsi="宋体" w:cs="Arial"/>
          <w:kern w:val="0"/>
          <w:szCs w:val="32"/>
          <w:lang w:val="en-US" w:eastAsia="zh-CN"/>
        </w:rPr>
        <w:t>　用人单位必须为劳动者提供符合国家规定的劳动安全卫生条件和必要的劳动防护用品，对从事有职业危害作业的劳动者应当定期进行健康检查。</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第五十五条</w:t>
      </w:r>
      <w:r>
        <w:rPr>
          <w:rFonts w:hint="eastAsia" w:ascii="宋体" w:hAnsi="宋体" w:cs="Arial"/>
          <w:kern w:val="0"/>
          <w:szCs w:val="32"/>
          <w:lang w:val="en-US" w:eastAsia="zh-CN"/>
        </w:rPr>
        <w:t>　从事特种作业的劳动者必须经过专门培训并取得特种作业资格。</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第五十六条　</w:t>
      </w:r>
      <w:r>
        <w:rPr>
          <w:rFonts w:hint="eastAsia" w:ascii="宋体" w:hAnsi="宋体" w:cs="Arial"/>
          <w:kern w:val="0"/>
          <w:szCs w:val="32"/>
          <w:lang w:val="en-US" w:eastAsia="zh-CN"/>
        </w:rPr>
        <w:t>劳动者在劳动过程中必须严格遵守安全操作规程。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劳动者对用人单位管理人员违章指挥、强令冒险作业，有权拒绝执行；对危害生命安全和身体健康的行为，有权提出批评、检举和控告。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第五十七条</w:t>
      </w:r>
      <w:r>
        <w:rPr>
          <w:rFonts w:hint="eastAsia" w:ascii="宋体" w:hAnsi="宋体" w:cs="Arial"/>
          <w:kern w:val="0"/>
          <w:szCs w:val="32"/>
          <w:lang w:val="en-US" w:eastAsia="zh-CN"/>
        </w:rPr>
        <w:t>　国家建立伤亡事故和职业病统计报告和处理制度。县级以上各级人民政府劳动行政部门、有关部门和用人单位应当依法对劳动者在劳动过程中发生的伤亡事故和劳动者的职业病状况，进行统计、报告和处理。</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第七章　女职工和未成年工特殊保护</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黑体" w:hAnsi="黑体" w:eastAsia="黑体" w:cs="黑体"/>
          <w:kern w:val="0"/>
          <w:szCs w:val="32"/>
          <w:lang w:val="en-US" w:eastAsia="zh-CN"/>
        </w:rPr>
        <w:t>　  第五十八条</w:t>
      </w:r>
      <w:r>
        <w:rPr>
          <w:rFonts w:hint="eastAsia" w:ascii="宋体" w:hAnsi="宋体" w:cs="Arial"/>
          <w:kern w:val="0"/>
          <w:szCs w:val="32"/>
          <w:lang w:val="en-US" w:eastAsia="zh-CN"/>
        </w:rPr>
        <w:t>　国家对女职工和未成年工实行特殊劳动保护。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未成年工是指年满十六周岁未满十八周岁的劳动者。</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第五十九条</w:t>
      </w:r>
      <w:r>
        <w:rPr>
          <w:rFonts w:hint="eastAsia" w:ascii="宋体" w:hAnsi="宋体" w:cs="Arial"/>
          <w:kern w:val="0"/>
          <w:szCs w:val="32"/>
          <w:lang w:val="en-US" w:eastAsia="zh-CN"/>
        </w:rPr>
        <w:t>　禁止安排女职工从事矿山井下、国家规定的第四级体力劳动强度的劳动和其他禁忌从事的劳动。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第六十条</w:t>
      </w:r>
      <w:r>
        <w:rPr>
          <w:rFonts w:hint="eastAsia" w:ascii="宋体" w:hAnsi="宋体" w:cs="Arial"/>
          <w:kern w:val="0"/>
          <w:szCs w:val="32"/>
          <w:lang w:val="en-US" w:eastAsia="zh-CN"/>
        </w:rPr>
        <w:t>　不得安排女职工在经期从事高处、低温、冷水作业和国家规定的第三级体力劳动强度的劳动。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第六十一条</w:t>
      </w:r>
      <w:r>
        <w:rPr>
          <w:rFonts w:hint="eastAsia" w:ascii="宋体" w:hAnsi="宋体" w:cs="Arial"/>
          <w:kern w:val="0"/>
          <w:szCs w:val="32"/>
          <w:lang w:val="en-US" w:eastAsia="zh-CN"/>
        </w:rPr>
        <w:t>　不得安排女职工在怀孕期间从事国家规定的第三级体力劳动强度的劳动和孕期禁忌从事的劳动。对怀孕七个月以上的女职工，不得安排其延长工作时间和夜班劳动。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第六十二条</w:t>
      </w:r>
      <w:r>
        <w:rPr>
          <w:rFonts w:hint="eastAsia" w:ascii="宋体" w:hAnsi="宋体" w:cs="Arial"/>
          <w:kern w:val="0"/>
          <w:szCs w:val="32"/>
          <w:lang w:val="en-US" w:eastAsia="zh-CN"/>
        </w:rPr>
        <w:t>　女职工生育享受不少于九十天的产假。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第六十三条</w:t>
      </w:r>
      <w:r>
        <w:rPr>
          <w:rFonts w:hint="eastAsia" w:ascii="宋体" w:hAnsi="宋体" w:cs="Arial"/>
          <w:kern w:val="0"/>
          <w:szCs w:val="32"/>
          <w:lang w:val="en-US" w:eastAsia="zh-CN"/>
        </w:rPr>
        <w:t>　不得安排女职工在哺乳未满一周岁的婴儿期间从事国家规定的第三级体力劳动强度的劳动和哺乳期禁忌从事的其他劳动，不得安排其延长工作时间和夜班劳动。</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第六十四条</w:t>
      </w:r>
      <w:r>
        <w:rPr>
          <w:rFonts w:hint="eastAsia" w:ascii="宋体" w:hAnsi="宋体" w:cs="Arial"/>
          <w:kern w:val="0"/>
          <w:szCs w:val="32"/>
          <w:lang w:val="en-US" w:eastAsia="zh-CN"/>
        </w:rPr>
        <w:t>　不得安排未成年工从事矿山井下、有毒有害、国家规定的第四级体力劳动强度的劳动和其他禁忌从事的劳动。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第六十五条　</w:t>
      </w:r>
      <w:r>
        <w:rPr>
          <w:rFonts w:hint="eastAsia" w:ascii="宋体" w:hAnsi="宋体" w:cs="Arial"/>
          <w:kern w:val="0"/>
          <w:szCs w:val="32"/>
          <w:lang w:val="en-US" w:eastAsia="zh-CN"/>
        </w:rPr>
        <w:t>用人单位应当对未成年工定期进行健康检查。</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第八章　职业培训</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第六十六条</w:t>
      </w:r>
      <w:r>
        <w:rPr>
          <w:rFonts w:hint="eastAsia" w:ascii="宋体" w:hAnsi="宋体" w:cs="Arial"/>
          <w:kern w:val="0"/>
          <w:szCs w:val="32"/>
          <w:lang w:val="en-US" w:eastAsia="zh-CN"/>
        </w:rPr>
        <w:t>　国家通过各种途径，采取各种措施，发展职业培训事业，开发劳动者的职业技能，提高劳动者素质，增强劳动者的就业能力和工作能力。</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第六十七条　</w:t>
      </w:r>
      <w:r>
        <w:rPr>
          <w:rFonts w:hint="eastAsia" w:ascii="宋体" w:hAnsi="宋体" w:cs="Arial"/>
          <w:kern w:val="0"/>
          <w:szCs w:val="32"/>
          <w:lang w:val="en-US" w:eastAsia="zh-CN"/>
        </w:rPr>
        <w:t>各级人民政府应当把发展职业培训纳入社会经济发展的规划，鼓励和支持有条件的企业、事业组织、社会团体和个人进行各种形式的职业培训。</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第六十八条</w:t>
      </w:r>
      <w:r>
        <w:rPr>
          <w:rFonts w:hint="eastAsia" w:ascii="宋体" w:hAnsi="宋体" w:cs="Arial"/>
          <w:kern w:val="0"/>
          <w:szCs w:val="32"/>
          <w:lang w:val="en-US" w:eastAsia="zh-CN"/>
        </w:rPr>
        <w:t>　用人单位应当建立职业培训制度，按照国家规定提取和使用职业培训经费，根据本单位实际，有计划地对劳动者进行职业培训。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从事技术工种的劳动者，上岗前必须经过培训。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第六十九条</w:t>
      </w:r>
      <w:r>
        <w:rPr>
          <w:rFonts w:hint="eastAsia" w:ascii="宋体" w:hAnsi="宋体" w:cs="Arial"/>
          <w:kern w:val="0"/>
          <w:szCs w:val="32"/>
          <w:lang w:val="en-US" w:eastAsia="zh-CN"/>
        </w:rPr>
        <w:t>　国家确定职业分类，对规定的职业制定职业技能标准，实行职业资格证书制度，由经备案的考核鉴定机构负责对劳动者实施职业技能考核鉴定。</w:t>
      </w: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第九章　社会保险和福利</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第七十条</w:t>
      </w:r>
      <w:r>
        <w:rPr>
          <w:rFonts w:hint="eastAsia" w:ascii="宋体" w:hAnsi="宋体" w:cs="Arial"/>
          <w:kern w:val="0"/>
          <w:szCs w:val="32"/>
          <w:lang w:val="en-US" w:eastAsia="zh-CN"/>
        </w:rPr>
        <w:t>　国家发展社会保险事业，建立社会保险制度，设立社会保险基金，使劳动者在年老、患病、工伤、失业、生育等情况下获得帮助和补偿。</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第七十一条</w:t>
      </w:r>
      <w:r>
        <w:rPr>
          <w:rFonts w:hint="eastAsia" w:ascii="宋体" w:hAnsi="宋体" w:cs="Arial"/>
          <w:kern w:val="0"/>
          <w:szCs w:val="32"/>
          <w:lang w:val="en-US" w:eastAsia="zh-CN"/>
        </w:rPr>
        <w:t>　社会保险水平应当与社会经济发展水平和社会承受能力相适应。</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第七十二条　</w:t>
      </w:r>
      <w:r>
        <w:rPr>
          <w:rFonts w:hint="eastAsia" w:ascii="宋体" w:hAnsi="宋体" w:cs="Arial"/>
          <w:kern w:val="0"/>
          <w:szCs w:val="32"/>
          <w:lang w:val="en-US" w:eastAsia="zh-CN"/>
        </w:rPr>
        <w:t>社会保险基金按照保险类型确定资金来源，逐步实行社会统筹。用人单位和劳动者必须依法参加社会保险，缴纳社会保险费。</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第七十三条</w:t>
      </w:r>
      <w:r>
        <w:rPr>
          <w:rFonts w:hint="eastAsia" w:ascii="宋体" w:hAnsi="宋体" w:cs="Arial"/>
          <w:kern w:val="0"/>
          <w:szCs w:val="32"/>
          <w:lang w:val="en-US" w:eastAsia="zh-CN"/>
        </w:rPr>
        <w:t>　劳动者在下列情形下，依法享受社会保险待遇：</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（一）退休；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（二）患病、负伤；</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（三）因工伤残或者患职业病；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（四）失业；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（五）生育。</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劳动者死亡后，其遗属依法享受遗属津贴。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劳动者享受社会保险待遇的条件和标准由法律、法规规定。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劳动者享受的社会保险金必须按时足额支付。</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第七十四条</w:t>
      </w:r>
      <w:r>
        <w:rPr>
          <w:rFonts w:hint="eastAsia" w:ascii="宋体" w:hAnsi="宋体" w:cs="Arial"/>
          <w:kern w:val="0"/>
          <w:szCs w:val="32"/>
          <w:lang w:val="en-US" w:eastAsia="zh-CN"/>
        </w:rPr>
        <w:t>　社会保险基金经办机构依照法律规定收支、管理和运营社会保险基金，并负有使社会保险基金保值增值的责任。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社会保险基金监督机构依照法律规定，对社会保险基金的收支、管理和运营实施监督。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社会保险基金经办机构和社会保险基金监督机构的设立和职能由法律规定。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任何组织和个人不得挪用社会保险基金。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第七十五条　</w:t>
      </w:r>
      <w:r>
        <w:rPr>
          <w:rFonts w:hint="eastAsia" w:ascii="宋体" w:hAnsi="宋体" w:cs="Arial"/>
          <w:kern w:val="0"/>
          <w:szCs w:val="32"/>
          <w:lang w:val="en-US" w:eastAsia="zh-CN"/>
        </w:rPr>
        <w:t>国家鼓励用人单位根据本单位实际情况为劳动者建立补充保险。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国家提倡劳动者个人进行储蓄性保险。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第七十六条　</w:t>
      </w:r>
      <w:r>
        <w:rPr>
          <w:rFonts w:hint="eastAsia" w:ascii="宋体" w:hAnsi="宋体" w:cs="Arial"/>
          <w:kern w:val="0"/>
          <w:szCs w:val="32"/>
          <w:lang w:val="en-US" w:eastAsia="zh-CN"/>
        </w:rPr>
        <w:t>国家发展社会福利事业，兴建公共福利设施，为劳动者休息、休养和疗养提供条件。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用人单位应当创造条件，改善集体福利，提高劳动者的福利待遇。</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第十章　劳动争议</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第七十七条</w:t>
      </w:r>
      <w:r>
        <w:rPr>
          <w:rFonts w:hint="eastAsia" w:ascii="宋体" w:hAnsi="宋体" w:cs="Arial"/>
          <w:kern w:val="0"/>
          <w:szCs w:val="32"/>
          <w:lang w:val="en-US" w:eastAsia="zh-CN"/>
        </w:rPr>
        <w:t>　用人单位与劳动者发生劳动争议，当事人可以依法申请调解、仲裁、提起诉讼，也可以协商解决。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调解原则适用于仲裁和诉讼程序。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第七十八条</w:t>
      </w:r>
      <w:r>
        <w:rPr>
          <w:rFonts w:hint="eastAsia" w:ascii="宋体" w:hAnsi="宋体" w:cs="Arial"/>
          <w:kern w:val="0"/>
          <w:szCs w:val="32"/>
          <w:lang w:val="en-US" w:eastAsia="zh-CN"/>
        </w:rPr>
        <w:t>　解决劳动争议，应当根据合法、公正、及时处理的原则，依法维护劳动争议当事人的合法权益。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第七十九条</w:t>
      </w:r>
      <w:r>
        <w:rPr>
          <w:rFonts w:hint="eastAsia" w:ascii="宋体" w:hAnsi="宋体" w:cs="Arial"/>
          <w:kern w:val="0"/>
          <w:szCs w:val="32"/>
          <w:lang w:val="en-US" w:eastAsia="zh-CN"/>
        </w:rPr>
        <w:t>　劳动争议发生后，当事人可以向本单位劳动争议调解委员会申请调解；调解不成，当事人一方要求仲裁的，可以向劳动争议仲裁委员会申请仲裁。当事人一方也可以直接向劳动争议仲裁委员会申请仲裁。对仲裁裁决不服的，可以向人民法院提起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第八十条</w:t>
      </w:r>
      <w:r>
        <w:rPr>
          <w:rFonts w:hint="eastAsia" w:ascii="宋体" w:hAnsi="宋体" w:cs="Arial"/>
          <w:kern w:val="0"/>
          <w:szCs w:val="32"/>
          <w:lang w:val="en-US" w:eastAsia="zh-CN"/>
        </w:rPr>
        <w:t>　在用人单位内，可以设立劳动争议调解委员会。劳动争议调解委员会由职工代表、用人单位代表和工会代表组成。劳动争议调解委员会主任由工会代表担任。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劳动争议经调解达成协议的，当事人应当履行。</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第八十一条　</w:t>
      </w:r>
      <w:r>
        <w:rPr>
          <w:rFonts w:hint="eastAsia" w:ascii="宋体" w:hAnsi="宋体" w:cs="Arial"/>
          <w:kern w:val="0"/>
          <w:szCs w:val="32"/>
          <w:lang w:val="en-US" w:eastAsia="zh-CN"/>
        </w:rPr>
        <w:t>劳动争议仲裁委员会由劳动行政部门代表、同级工会代表、用人单位方面的代表组成。劳动争议仲裁委员会主任由劳动行政部门代表担任。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第八十二条　</w:t>
      </w:r>
      <w:r>
        <w:rPr>
          <w:rFonts w:hint="eastAsia" w:ascii="宋体" w:hAnsi="宋体" w:cs="Arial"/>
          <w:kern w:val="0"/>
          <w:szCs w:val="32"/>
          <w:lang w:val="en-US" w:eastAsia="zh-CN"/>
        </w:rPr>
        <w:t>提出仲裁要求的一方应当自劳动争议发生之日起六十日内向劳动争议仲裁委员会提出书面申请。仲裁裁决一般应在收到仲裁申请的六十日内作出。对仲裁裁决无异议的，当事人必须履行。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第八十三条　</w:t>
      </w:r>
      <w:r>
        <w:rPr>
          <w:rFonts w:hint="eastAsia" w:ascii="宋体" w:hAnsi="宋体" w:cs="Arial"/>
          <w:kern w:val="0"/>
          <w:szCs w:val="32"/>
          <w:lang w:val="en-US" w:eastAsia="zh-CN"/>
        </w:rPr>
        <w:t>劳动争议当事人对仲裁裁决不服的，可以自收到仲裁裁决书之日起十五日内向人民法院提起诉讼。一方当事人在法定期限内不起诉又不履行仲裁裁决的，另一方当事人可以申请人民法院强制执行。</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第八十四条</w:t>
      </w:r>
      <w:r>
        <w:rPr>
          <w:rFonts w:hint="eastAsia" w:ascii="宋体" w:hAnsi="宋体" w:cs="Arial"/>
          <w:kern w:val="0"/>
          <w:szCs w:val="32"/>
          <w:lang w:val="en-US" w:eastAsia="zh-CN"/>
        </w:rPr>
        <w:t>　因签订集体合同发生争议，当事人协商解决不成的，当地人民政府劳动行政部门可以组织有关各方协调处理。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因履行集体合同发生争议，当事人协商解决不成的，可以向劳动争议仲裁委员会申请仲裁；对仲裁裁决不服的，可以自收到仲裁裁决书之日起十五日内向人民法院提起诉讼。</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第十一章　监督检查</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val="en-US"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第八十五条　</w:t>
      </w:r>
      <w:r>
        <w:rPr>
          <w:rFonts w:hint="eastAsia" w:ascii="宋体" w:hAnsi="宋体" w:cs="Arial"/>
          <w:kern w:val="0"/>
          <w:szCs w:val="32"/>
          <w:lang w:val="en-US" w:eastAsia="zh-CN"/>
        </w:rPr>
        <w:t>县级以上各级人民政府劳动行政部门依法对用人单位遵守劳动法律、法规的情况进行监督检查，对违反劳动法律、法规的行为有权制止，并责令改正。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第八十六条</w:t>
      </w:r>
      <w:r>
        <w:rPr>
          <w:rFonts w:hint="eastAsia" w:ascii="宋体" w:hAnsi="宋体" w:cs="Arial"/>
          <w:kern w:val="0"/>
          <w:szCs w:val="32"/>
          <w:lang w:val="en-US" w:eastAsia="zh-CN"/>
        </w:rPr>
        <w:t>　县级以上各级人民政府劳动行政部门监督检查人员执行公务，有权进入用人单位了解执行劳动法律、法规的情况，查阅必要的资料，并对劳动场所进行检查。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县级以上各级人民政府劳动行政部门监督检查人员执行公务，必须出示证件，秉公执法并遵守有关规定。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第八十七条　</w:t>
      </w:r>
      <w:r>
        <w:rPr>
          <w:rFonts w:hint="eastAsia" w:ascii="宋体" w:hAnsi="宋体" w:cs="Arial"/>
          <w:kern w:val="0"/>
          <w:szCs w:val="32"/>
          <w:lang w:val="en-US" w:eastAsia="zh-CN"/>
        </w:rPr>
        <w:t>县级以上各级人民政府有关部门在各自职责范围内，对用人单位遵守劳动法律、法规的情况进行监督。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第八十八条　</w:t>
      </w:r>
      <w:r>
        <w:rPr>
          <w:rFonts w:hint="eastAsia" w:ascii="宋体" w:hAnsi="宋体" w:cs="Arial"/>
          <w:kern w:val="0"/>
          <w:szCs w:val="32"/>
          <w:lang w:val="en-US" w:eastAsia="zh-CN"/>
        </w:rPr>
        <w:t>各级工会依法维护劳动者的合法权益，对用人单位遵守劳动法律、法规的情况进行监督。</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任何组织和个人对于违反劳动法律、法规的行为有权检举和控告。</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第十二章　法律责任</w:t>
      </w:r>
    </w:p>
    <w:p>
      <w:pPr>
        <w:pStyle w:val="33"/>
        <w:wordWrap/>
        <w:spacing w:line="560" w:lineRule="exact"/>
        <w:textAlignment w:val="auto"/>
        <w:rPr>
          <w:rFonts w:hint="eastAsia"/>
          <w:lang w:eastAsia="zh-CN"/>
        </w:rPr>
      </w:pPr>
    </w:p>
    <w:p>
      <w:pPr>
        <w:widowControl w:val="0"/>
        <w:wordWrap/>
        <w:overflowPunct w:val="0"/>
        <w:adjustRightInd/>
        <w:snapToGrid/>
        <w:spacing w:beforeAutospacing="0" w:afterAutospacing="0" w:line="560" w:lineRule="exact"/>
        <w:ind w:left="320" w:hanging="320" w:hangingChars="100"/>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第八十九条　</w:t>
      </w:r>
      <w:r>
        <w:rPr>
          <w:rFonts w:hint="eastAsia" w:ascii="宋体" w:hAnsi="宋体" w:cs="Arial"/>
          <w:kern w:val="0"/>
          <w:szCs w:val="32"/>
          <w:lang w:val="en-US" w:eastAsia="zh-CN"/>
        </w:rPr>
        <w:t>用人单位制定的劳动规章制度违反法律、法规规定的，由劳动行政部门给予警告，责令改正；对劳动者造成损害的，应当承担赔偿责任。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第九十条</w:t>
      </w:r>
      <w:r>
        <w:rPr>
          <w:rFonts w:hint="eastAsia" w:ascii="宋体" w:hAnsi="宋体" w:cs="Arial"/>
          <w:kern w:val="0"/>
          <w:szCs w:val="32"/>
          <w:lang w:val="en-US" w:eastAsia="zh-CN"/>
        </w:rPr>
        <w:t>　用人单位违反本法规定，延长劳动者工作时间的，由劳动行政部门给予警告，责令改正，并可以处以罚款。</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第九十一条</w:t>
      </w:r>
      <w:r>
        <w:rPr>
          <w:rFonts w:hint="eastAsia" w:ascii="宋体" w:hAnsi="宋体" w:cs="Arial"/>
          <w:kern w:val="0"/>
          <w:szCs w:val="32"/>
          <w:lang w:val="en-US" w:eastAsia="zh-CN"/>
        </w:rPr>
        <w:t>　用人单位有下列侵害劳动者合法权益情形之一的，由劳动行政部门责令支付劳动者的工资报酬、经济补偿，并可以责令支付赔偿金：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（一）克扣或者无故拖欠劳动者工资的；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（二）拒不支付劳动者延长工作时间工资报酬的；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（三）低于当地最低工资标准支付劳动者工资的；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（四）解除劳动合同后，未依照本法规定给予劳动者经济补偿的。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第九十二条</w:t>
      </w:r>
      <w:r>
        <w:rPr>
          <w:rFonts w:hint="eastAsia" w:ascii="宋体" w:hAnsi="宋体" w:cs="Arial"/>
          <w:kern w:val="0"/>
          <w:szCs w:val="32"/>
          <w:lang w:val="en-US" w:eastAsia="zh-CN"/>
        </w:rPr>
        <w:t>　用人单位的劳动安全设施和劳动卫生条件不符合国家规定或者未向劳动者提供必要的劳动防护用品和劳动保护设施的，由劳动行政部门或者有关部门责令改正，可以处以罚款；情节严重的，提请县级以上人民政府决定责令停产整顿；对事故隐患不采取措施，致使发生重大事故，造成劳动者生命和财产损失的，对责任人员依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328222&amp;ix=1&amp;w=H4sIAAAAAAAEAAArAdT+AAEAAAD/////AQAAAAAAAAAMAgAAADxDbGlWNSwgVmVyc2lvbj0xLjAuMC4wLCBDdWx0dXJlPW5ldXRyYWwsIFB1YmxpY0tleVRva2VuPW51bGwFAQAAACtDbGlWNS5Db21tb25DbGFzcy5TZXJpYWxQYXJhbStTZWFyY2hfU3RydWN0BgAAAAhEYXRhYmFzZQVXaGVyZQRTb3J0B0tleXdvcmQHSXNHcm91cAlJc1N1bW1hcnkBAQEBAAABAQIAAAAGAwAAAANjaGwGBAAAADXmlYjlipvnuqfliKs9WEEwMSUgYW5kICAo5rOV6KeE5qCH6aKYPScl5Yqz5Yqo5rOVJScpIAYFAAAADS3lj5HluIPml6XmnJ8GBgAAAAnlirPliqjms5UAAAsBAAD///javascript:SLC(17010,0)" </w:instrText>
      </w:r>
      <w:r>
        <w:rPr>
          <w:rFonts w:hint="eastAsia" w:ascii="宋体" w:hAnsi="宋体" w:cs="Arial"/>
          <w:kern w:val="0"/>
          <w:szCs w:val="32"/>
          <w:lang w:val="en-US" w:eastAsia="zh-CN"/>
        </w:rPr>
        <w:fldChar w:fldCharType="separate"/>
      </w:r>
      <w:r>
        <w:rPr>
          <w:rFonts w:hint="eastAsia" w:ascii="宋体" w:hAnsi="宋体" w:cs="Arial"/>
          <w:kern w:val="0"/>
          <w:szCs w:val="32"/>
          <w:lang w:eastAsia="zh-CN"/>
        </w:rPr>
        <w:t>刑法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有关规定追究刑事责任。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第九十三条　</w:t>
      </w:r>
      <w:r>
        <w:rPr>
          <w:rFonts w:hint="eastAsia" w:ascii="宋体" w:hAnsi="宋体" w:cs="Arial"/>
          <w:kern w:val="0"/>
          <w:szCs w:val="32"/>
          <w:lang w:val="en-US" w:eastAsia="zh-CN"/>
        </w:rPr>
        <w:t>用人单位强令劳动者违章冒险作业，发生重大伤亡事故，造成严重后果的，对责任人员依法追究刑事责任。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第九十四条　</w:t>
      </w:r>
      <w:r>
        <w:rPr>
          <w:rFonts w:hint="eastAsia" w:ascii="宋体" w:hAnsi="宋体" w:cs="Arial"/>
          <w:kern w:val="0"/>
          <w:szCs w:val="32"/>
          <w:lang w:val="en-US" w:eastAsia="zh-CN"/>
        </w:rPr>
        <w:t>用人单位非法招用未满十六周岁的未成年人的，由劳动行政部门责令改正，处以罚款；情节严重的，由市场监督管理部门吊销营业执照。</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第九十五条　</w:t>
      </w:r>
      <w:r>
        <w:rPr>
          <w:rFonts w:hint="eastAsia" w:ascii="宋体" w:hAnsi="宋体" w:cs="Arial"/>
          <w:kern w:val="0"/>
          <w:szCs w:val="32"/>
          <w:lang w:val="en-US" w:eastAsia="zh-CN"/>
        </w:rPr>
        <w:t>用人单位违反本法对女职工和未成年工的保护规定，侵害其合法权益的，由劳动行政部门责令改正，处以罚款；对女职工或者未成年工造成损害的，应当承担赔偿责任。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第九十六条　</w:t>
      </w:r>
      <w:r>
        <w:rPr>
          <w:rFonts w:hint="eastAsia" w:ascii="宋体" w:hAnsi="宋体" w:cs="Arial"/>
          <w:kern w:val="0"/>
          <w:szCs w:val="32"/>
          <w:lang w:val="en-US" w:eastAsia="zh-CN"/>
        </w:rPr>
        <w:t>用人单位有下列行为之一，由公安机关对责任人员处以十五日以下拘留、罚款或者警告；构成犯罪的，对责任人员依法追究刑事责任：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（一）以暴力、威胁或者非法限制人身自由的手段强迫劳动的；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（二）侮辱、体罚、殴打、非法搜查和拘禁劳动者的。</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第九十七条</w:t>
      </w:r>
      <w:r>
        <w:rPr>
          <w:rFonts w:hint="eastAsia" w:ascii="宋体" w:hAnsi="宋体" w:cs="Arial"/>
          <w:kern w:val="0"/>
          <w:szCs w:val="32"/>
          <w:lang w:val="en-US" w:eastAsia="zh-CN"/>
        </w:rPr>
        <w:t>　由于用人单位的原因订立的无效合同，对劳动者造成损害的，应当承担赔偿责任。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第九十八条　</w:t>
      </w:r>
      <w:r>
        <w:rPr>
          <w:rFonts w:hint="eastAsia" w:ascii="宋体" w:hAnsi="宋体" w:cs="Arial"/>
          <w:kern w:val="0"/>
          <w:szCs w:val="32"/>
          <w:lang w:val="en-US" w:eastAsia="zh-CN"/>
        </w:rPr>
        <w:t>用人单位违反本法规定的条件解除劳动合同或者故意拖延不订立劳动合同的，由劳动行政部门责令改正；对劳动者造成损害的，应当承担赔偿责任。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第九十九条　</w:t>
      </w:r>
      <w:r>
        <w:rPr>
          <w:rFonts w:hint="eastAsia" w:ascii="宋体" w:hAnsi="宋体" w:cs="Arial"/>
          <w:kern w:val="0"/>
          <w:szCs w:val="32"/>
          <w:lang w:val="en-US" w:eastAsia="zh-CN"/>
        </w:rPr>
        <w:t>用人单位招用尚未解除劳动合同的劳动者，对原用人单位造成经济损失的，该用人单位应当依法承担连带赔偿责任。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第一百条</w:t>
      </w:r>
      <w:r>
        <w:rPr>
          <w:rFonts w:hint="eastAsia" w:ascii="宋体" w:hAnsi="宋体" w:cs="Arial"/>
          <w:kern w:val="0"/>
          <w:szCs w:val="32"/>
          <w:lang w:val="en-US" w:eastAsia="zh-CN"/>
        </w:rPr>
        <w:t>　用人单位无故不缴纳社会保险费的，由劳动行政部门责令其限期缴纳；逾期不缴的，可以加收滞纳金。</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第一百零一条　</w:t>
      </w:r>
      <w:r>
        <w:rPr>
          <w:rFonts w:hint="eastAsia" w:ascii="宋体" w:hAnsi="宋体" w:cs="Arial"/>
          <w:kern w:val="0"/>
          <w:szCs w:val="32"/>
          <w:lang w:val="en-US" w:eastAsia="zh-CN"/>
        </w:rPr>
        <w:t>用人单位无理阻挠劳动行政部门、有关部门及其工作人员行使监督检查权，打击报复举报人员的，由劳动行政部门或者有关部门处以罚款；构成犯罪的，对责任人员依法追究刑事责任。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第一百零二条</w:t>
      </w:r>
      <w:r>
        <w:rPr>
          <w:rFonts w:hint="eastAsia" w:ascii="宋体" w:hAnsi="宋体" w:cs="Arial"/>
          <w:kern w:val="0"/>
          <w:szCs w:val="32"/>
          <w:lang w:val="en-US" w:eastAsia="zh-CN"/>
        </w:rPr>
        <w:t>　劳动者违反本法规定的条件解除劳动合同或者违反劳动合同中约定的保密事项，对用人单位造成经济损失的，应当依法承担赔偿责任。</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第一百零三条</w:t>
      </w:r>
      <w:r>
        <w:rPr>
          <w:rFonts w:hint="eastAsia" w:ascii="宋体" w:hAnsi="宋体" w:cs="Arial"/>
          <w:kern w:val="0"/>
          <w:szCs w:val="32"/>
          <w:lang w:val="en-US" w:eastAsia="zh-CN"/>
        </w:rPr>
        <w:t>　劳动行政部门或者有关部门的工作人员滥用职权、玩忽职守、徇私舞弊，构成犯罪的，依法追究刑事责任；不构成犯罪的，给予行政处分。</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第一百零四条</w:t>
      </w:r>
      <w:r>
        <w:rPr>
          <w:rFonts w:hint="eastAsia" w:ascii="宋体" w:hAnsi="宋体" w:cs="Arial"/>
          <w:kern w:val="0"/>
          <w:szCs w:val="32"/>
          <w:lang w:val="en-US" w:eastAsia="zh-CN"/>
        </w:rPr>
        <w:t>　国家工作人员和社会保险基金经办机构的工作人员挪用社会保险基金，构成犯罪的，依法追究刑事责任。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xml:space="preserve">  第一百零五条</w:t>
      </w:r>
      <w:r>
        <w:rPr>
          <w:rFonts w:hint="eastAsia" w:ascii="宋体" w:hAnsi="宋体" w:cs="Arial"/>
          <w:kern w:val="0"/>
          <w:szCs w:val="32"/>
          <w:lang w:val="en-US" w:eastAsia="zh-CN"/>
        </w:rPr>
        <w:t>　违反本法规定侵害劳动者合法权益，其他法律、行政法规已规定处罚的，依照该法律、行政法规的规定处罚。</w:t>
      </w:r>
    </w:p>
    <w:p>
      <w:pPr>
        <w:widowControl w:val="0"/>
        <w:wordWrap/>
        <w:overflowPunct w:val="0"/>
        <w:adjustRightInd/>
        <w:snapToGrid/>
        <w:spacing w:beforeAutospacing="0" w:afterAutospacing="0" w:line="560" w:lineRule="exact"/>
        <w:textAlignment w:val="auto"/>
        <w:outlineLvl w:val="9"/>
        <w:rPr>
          <w:rFonts w:hint="eastAsia" w:ascii="黑体" w:hAnsi="黑体" w:eastAsia="黑体" w:cs="黑体"/>
          <w:kern w:val="0"/>
          <w:szCs w:val="32"/>
          <w:lang w:val="en-US" w:eastAsia="zh-CN"/>
        </w:rPr>
      </w:pPr>
    </w:p>
    <w:p>
      <w:pPr>
        <w:widowControl w:val="0"/>
        <w:wordWrap/>
        <w:overflowPunct w:val="0"/>
        <w:adjustRightInd/>
        <w:snapToGrid/>
        <w:spacing w:beforeAutospacing="0" w:afterAutospacing="0" w:line="560" w:lineRule="exact"/>
        <w:jc w:val="center"/>
        <w:textAlignment w:val="auto"/>
        <w:outlineLvl w:val="9"/>
        <w:rPr>
          <w:rFonts w:hint="eastAsia" w:ascii="黑体" w:hAnsi="黑体" w:eastAsia="黑体" w:cs="黑体"/>
          <w:kern w:val="0"/>
          <w:szCs w:val="32"/>
          <w:lang w:val="en-US" w:eastAsia="zh-CN"/>
        </w:rPr>
      </w:pPr>
      <w:r>
        <w:rPr>
          <w:rFonts w:hint="eastAsia" w:ascii="黑体" w:hAnsi="黑体" w:eastAsia="黑体" w:cs="黑体"/>
          <w:kern w:val="0"/>
          <w:szCs w:val="32"/>
          <w:lang w:val="en-US" w:eastAsia="zh-CN"/>
        </w:rPr>
        <w:t>第十三章　附则</w:t>
      </w:r>
    </w:p>
    <w:p>
      <w:pPr>
        <w:pStyle w:val="33"/>
        <w:wordWrap/>
        <w:spacing w:line="560" w:lineRule="exact"/>
        <w:textAlignment w:val="auto"/>
        <w:rPr>
          <w:rFonts w:hint="eastAsia"/>
          <w:lang w:val="en-US"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 xml:space="preserve"> 第一百零六条　</w:t>
      </w:r>
      <w:r>
        <w:rPr>
          <w:rFonts w:hint="eastAsia" w:ascii="宋体" w:hAnsi="宋体" w:cs="Arial"/>
          <w:kern w:val="0"/>
          <w:szCs w:val="32"/>
          <w:lang w:val="en-US" w:eastAsia="zh-CN"/>
        </w:rPr>
        <w:t>省、自治区、直辖市人民政府根据本法和本地区的实际情况，规定劳动合同制度的实施步骤，报国务院备案。</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w:t>
      </w:r>
      <w:r>
        <w:rPr>
          <w:rFonts w:hint="eastAsia" w:ascii="黑体" w:hAnsi="黑体" w:eastAsia="黑体" w:cs="黑体"/>
          <w:kern w:val="0"/>
          <w:szCs w:val="32"/>
          <w:lang w:val="en-US" w:eastAsia="zh-CN"/>
        </w:rPr>
        <w:t>第一百零七条</w:t>
      </w:r>
      <w:r>
        <w:rPr>
          <w:rFonts w:hint="eastAsia" w:ascii="宋体" w:hAnsi="宋体" w:cs="Arial"/>
          <w:kern w:val="0"/>
          <w:szCs w:val="32"/>
          <w:lang w:val="en-US" w:eastAsia="zh-CN"/>
        </w:rPr>
        <w:t>　本法自1995年1月1日起施行。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lang w:eastAsia="zh-CN"/>
        </w:rPr>
      </w:pPr>
    </w:p>
    <w:p>
      <w:pPr>
        <w:widowControl w:val="0"/>
        <w:wordWrap/>
        <w:overflowPunct w:val="0"/>
        <w:spacing w:beforeAutospacing="0" w:afterAutospacing="0" w:line="560" w:lineRule="exact"/>
        <w:textAlignment w:val="auto"/>
        <w:rPr>
          <w:rFonts w:hint="eastAsia" w:ascii="宋体" w:hAnsi="宋体" w:eastAsia="宋体" w:cs="宋体"/>
          <w:kern w:val="0"/>
          <w:szCs w:val="32"/>
        </w:rPr>
      </w:pPr>
      <w:r>
        <w:rPr>
          <w:rFonts w:hint="eastAsia" w:ascii="宋体" w:hAnsi="宋体" w:eastAsia="宋体" w:cs="宋体"/>
          <w:kern w:val="0"/>
          <w:szCs w:val="32"/>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214" w:name="_Toc32587"/>
      <w:r>
        <w:rPr>
          <w:rFonts w:hint="eastAsia" w:ascii="宋体" w:hAnsi="宋体" w:eastAsia="宋体" w:cs="宋体"/>
          <w:kern w:val="0"/>
          <w:sz w:val="44"/>
          <w:szCs w:val="44"/>
        </w:rPr>
        <w:t>中华人民共和国劳动合同法</w:t>
      </w:r>
      <w:bookmarkEnd w:id="214"/>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仿宋_GB2312"/>
          <w:kern w:val="0"/>
          <w:szCs w:val="32"/>
        </w:rPr>
      </w:pPr>
      <w:bookmarkStart w:id="215" w:name="_Hlk530854446"/>
      <w:r>
        <w:rPr>
          <w:rFonts w:hint="eastAsia" w:ascii="宋体" w:hAnsi="宋体" w:eastAsia="楷体_GB2312" w:cs="仿宋_GB2312"/>
          <w:kern w:val="0"/>
          <w:szCs w:val="32"/>
        </w:rPr>
        <w:t>（2007年6月29日第十届全国人民代表大会常务委员会第二十八次会议通过　根据2012年12月28日第十一届全国人民代表大会常务委员会第三十次会议《关于修改&lt;中华人民共和国劳动合同法&gt;的决定》修正）</w:t>
      </w:r>
      <w:bookmarkEnd w:id="215"/>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目　　录</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第一章　总则</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第二章　劳动合同的订立</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第三章　劳动合同的履行和变更</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第四章　劳动合同的解除和终止</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第五章　特别规定</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第一节　集体合同</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第二节　劳务派遣</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第三节　非全日制用工</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第六章　监督检查</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第七章　法律</w:t>
      </w:r>
      <w:r>
        <w:rPr>
          <w:rFonts w:hint="eastAsia" w:ascii="宋体" w:hAnsi="宋体" w:eastAsia="楷体_GB2312" w:cs="楷体_GB2312"/>
          <w:kern w:val="0"/>
          <w:szCs w:val="32"/>
          <w:lang w:val="en-US" w:eastAsia="zh-CN"/>
        </w:rPr>
        <w:t>责</w:t>
      </w:r>
      <w:r>
        <w:rPr>
          <w:rFonts w:hint="eastAsia" w:ascii="宋体" w:hAnsi="宋体" w:eastAsia="楷体_GB2312" w:cs="楷体_GB2312"/>
          <w:kern w:val="0"/>
          <w:szCs w:val="32"/>
        </w:rPr>
        <w:t>任</w:t>
      </w:r>
    </w:p>
    <w:p>
      <w:pPr>
        <w:widowControl w:val="0"/>
        <w:wordWrap/>
        <w:overflowPunct w:val="0"/>
        <w:spacing w:beforeAutospacing="0" w:afterAutospacing="0" w:line="560" w:lineRule="exact"/>
        <w:textAlignment w:val="auto"/>
        <w:rPr>
          <w:rFonts w:hint="eastAsia" w:ascii="宋体" w:hAnsi="宋体" w:eastAsia="楷体_GB2312" w:cs="楷体_GB2312"/>
          <w:kern w:val="0"/>
          <w:szCs w:val="32"/>
        </w:rPr>
      </w:pPr>
      <w:r>
        <w:rPr>
          <w:rFonts w:hint="eastAsia" w:ascii="宋体" w:hAnsi="宋体" w:eastAsia="楷体_GB2312" w:cs="楷体_GB2312"/>
          <w:kern w:val="0"/>
          <w:szCs w:val="32"/>
        </w:rPr>
        <w:t>　　第八章　附则</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第一章　总则</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第一条</w:t>
      </w:r>
      <w:r>
        <w:rPr>
          <w:rFonts w:hint="eastAsia" w:ascii="宋体" w:hAnsi="宋体" w:eastAsia="仿宋_GB2312" w:cs="仿宋_GB2312"/>
          <w:kern w:val="0"/>
          <w:szCs w:val="32"/>
        </w:rPr>
        <w:t>　为了完善劳动合同制度，明确劳动合同双方当事人的权利和义务，保护劳动者的合法权益，构建和发展和谐稳定的劳动关系，制定本法。</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第二条</w:t>
      </w:r>
      <w:r>
        <w:rPr>
          <w:rFonts w:hint="eastAsia" w:ascii="宋体" w:hAnsi="宋体" w:eastAsia="仿宋_GB2312" w:cs="仿宋_GB2312"/>
          <w:kern w:val="0"/>
          <w:szCs w:val="32"/>
        </w:rPr>
        <w:t>　中华人民共和国境内的企业、个体经济组织、民办非企业单位等组织（以下称用人单位）与劳动者建立劳动关系，订立、履行、变更、解除或者终止劳动合同，适用本法。</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国家机关、事业单位、社会团体和与其建立劳动关系的劳动者，订立、履行、变更、解除或者终止劳动合同，依照本法执行。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第三条</w:t>
      </w:r>
      <w:r>
        <w:rPr>
          <w:rFonts w:hint="eastAsia" w:ascii="宋体" w:hAnsi="宋体" w:eastAsia="仿宋_GB2312" w:cs="仿宋_GB2312"/>
          <w:kern w:val="0"/>
          <w:szCs w:val="32"/>
        </w:rPr>
        <w:t>　订立劳动合同，应当遵循合法、公平、平等自愿、协商一致、诚实信用的原则。</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依法订立的劳动合同具有约束力，用人单位与劳动者应当履行劳动合同约定的义务。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第四条</w:t>
      </w:r>
      <w:r>
        <w:rPr>
          <w:rFonts w:hint="eastAsia" w:ascii="宋体" w:hAnsi="宋体" w:eastAsia="仿宋_GB2312" w:cs="仿宋_GB2312"/>
          <w:kern w:val="0"/>
          <w:szCs w:val="32"/>
        </w:rPr>
        <w:t>　用人单位应当依法建立和完善劳动规章制度，保障劳动者享有劳动权利、履行劳动义务。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在制定、修改或者决定有关劳动报酬、工作时间、休息休假、劳动安全卫生、保险福利、职工培训、劳动纪律以及劳动定额管理等直接涉及劳动者切身利益的规章制度或者重大事项时，应当经职工代表大会或者全体职工讨论，提出方案和意见，与工会或者职工代表平等协商确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在规章制度和重大事项决定实施过程中，工会或者职工认为不适当的，有权向用人单位提出，通过协商予以修改完善。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用人单位应当将直接涉及劳动者切身利益的规章制度和重大事项决定公示，或者告知劳动者。</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第五条</w:t>
      </w:r>
      <w:r>
        <w:rPr>
          <w:rFonts w:hint="eastAsia" w:ascii="宋体" w:hAnsi="宋体" w:eastAsia="仿宋_GB2312" w:cs="仿宋_GB2312"/>
          <w:kern w:val="0"/>
          <w:szCs w:val="32"/>
        </w:rPr>
        <w:t>　县级以上人民政府劳动行政部门会同工会和企业方面代表，建立健全协调劳动关系三方机制，共同研究解决有关劳动关系的重大问题。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第六条</w:t>
      </w:r>
      <w:r>
        <w:rPr>
          <w:rFonts w:hint="eastAsia" w:ascii="宋体" w:hAnsi="宋体" w:eastAsia="仿宋_GB2312" w:cs="仿宋_GB2312"/>
          <w:kern w:val="0"/>
          <w:szCs w:val="32"/>
        </w:rPr>
        <w:t>　工会应当帮助、指导劳动者与用人单位依法订立和履行劳动合同，并与用人单位建立集体协商机制，维护劳动者的合法权益。</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第二章　劳动合同的订立</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第七条</w:t>
      </w:r>
      <w:r>
        <w:rPr>
          <w:rFonts w:hint="eastAsia" w:ascii="宋体" w:hAnsi="宋体" w:eastAsia="仿宋_GB2312" w:cs="仿宋_GB2312"/>
          <w:kern w:val="0"/>
          <w:szCs w:val="32"/>
        </w:rPr>
        <w:t>　用人单位自用工之日起即与劳动者建立劳动关系。用人单位应当建立职工名册备查。</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第八条</w:t>
      </w:r>
      <w:r>
        <w:rPr>
          <w:rFonts w:hint="eastAsia" w:ascii="宋体" w:hAnsi="宋体" w:eastAsia="仿宋_GB2312" w:cs="仿宋_GB2312"/>
          <w:kern w:val="0"/>
          <w:szCs w:val="32"/>
        </w:rPr>
        <w:t>　用人单位招用劳动者时，应当如实告知劳动者工作内容、工作条件、工作地点、职业危害、安全生产状况、劳动报酬，以及劳动者要求了解的其他情况；用人单位有权了解劳动者与劳动合同直接相关的基本情况，劳动者应当如实说明。</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第九条</w:t>
      </w:r>
      <w:r>
        <w:rPr>
          <w:rFonts w:hint="eastAsia" w:ascii="宋体" w:hAnsi="宋体" w:eastAsia="仿宋_GB2312" w:cs="仿宋_GB2312"/>
          <w:kern w:val="0"/>
          <w:szCs w:val="32"/>
        </w:rPr>
        <w:t>　用人单位招用劳动者，不得扣押劳动者的居民身份证和其他证件，不得要求劳动者提供担保或者以其他名义向劳动者收取财物。</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第十条</w:t>
      </w:r>
      <w:r>
        <w:rPr>
          <w:rFonts w:hint="eastAsia" w:ascii="宋体" w:hAnsi="宋体" w:eastAsia="仿宋_GB2312" w:cs="仿宋_GB2312"/>
          <w:kern w:val="0"/>
          <w:szCs w:val="32"/>
        </w:rPr>
        <w:t>　建立劳动关系，应当订立书面劳动合同。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已建立劳动关系，未同时订立书面劳动合同的，应当自用工之日起一个月内订立书面劳动合同。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用人单位与劳动者在用工前订立劳动合同的，劳动关系自用工之日起建立。</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第十一条</w:t>
      </w:r>
      <w:r>
        <w:rPr>
          <w:rFonts w:hint="eastAsia" w:ascii="宋体" w:hAnsi="宋体" w:eastAsia="仿宋_GB2312" w:cs="仿宋_GB2312"/>
          <w:kern w:val="0"/>
          <w:szCs w:val="32"/>
        </w:rPr>
        <w:t>　用人单位未在用工的同时订立书面劳动合同，与劳动者约定的劳动报酬不明确的，新招用的劳动者的劳动报酬按照集体合同规定的标准执行；没有集体合同或者集体合同未规定的，实行同工同酬。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第十二条</w:t>
      </w:r>
      <w:r>
        <w:rPr>
          <w:rFonts w:hint="eastAsia" w:ascii="宋体" w:hAnsi="宋体" w:eastAsia="仿宋_GB2312" w:cs="仿宋_GB2312"/>
          <w:kern w:val="0"/>
          <w:szCs w:val="32"/>
        </w:rPr>
        <w:t>　劳动合同分为固定期限劳动合同、无固定期限劳动合同和以完成一定工作任务为期限的劳动合同。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第十三条</w:t>
      </w:r>
      <w:r>
        <w:rPr>
          <w:rFonts w:hint="eastAsia" w:ascii="宋体" w:hAnsi="宋体" w:eastAsia="仿宋_GB2312" w:cs="仿宋_GB2312"/>
          <w:kern w:val="0"/>
          <w:szCs w:val="32"/>
        </w:rPr>
        <w:t>　固定期限劳动合同，是指用人单位与劳动者约定合同终止时间的劳动合同。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用人单位与劳动者协商一致，可以订立固定期限劳动合同。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第十四条</w:t>
      </w:r>
      <w:r>
        <w:rPr>
          <w:rFonts w:hint="eastAsia" w:ascii="宋体" w:hAnsi="宋体" w:eastAsia="仿宋_GB2312" w:cs="仿宋_GB2312"/>
          <w:kern w:val="0"/>
          <w:szCs w:val="32"/>
        </w:rPr>
        <w:t>　无固定期限劳动合同，是指用人单位与劳动者约定无确定终止时间的劳动合同。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用人单位与劳动者协商一致，可以订立无固定期限劳动合同。有下列情形之一，劳动者提出或者同意续订、订立劳动合同的，除劳动者提出订立固定期限劳动合同外，应当订立无固定期限劳动合同: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（一）劳动者在该用人单位连续工作满十年的；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（二）用人单位初次实行劳动合同制度或者国有企业改制重新订立劳动合同时，劳动者在该用人单位连续工作满十年且距法定退休年龄不足十年的；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（三）连续订立二次固定期限劳动合同，且劳动者没有本法第三十九条和第四十条第一项、第二项规定的情形，续订劳动合同的。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用人单位自用工之日起满一年不与劳动者订立书面劳动合同的，视为用人单位与劳动者已订立无固定期限劳动合同。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第十五条</w:t>
      </w:r>
      <w:r>
        <w:rPr>
          <w:rFonts w:hint="eastAsia" w:ascii="宋体" w:hAnsi="宋体" w:eastAsia="仿宋_GB2312" w:cs="仿宋_GB2312"/>
          <w:kern w:val="0"/>
          <w:szCs w:val="32"/>
        </w:rPr>
        <w:t>　以完成一定工作任务为期限的劳动合同，是指用人单位与劳动者约定以某项工作的完成为合同期限的劳动合同。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用人单位与劳动者协商一致，可以订立以完成一定工作任务为期限的劳动合同。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第十六条</w:t>
      </w:r>
      <w:r>
        <w:rPr>
          <w:rFonts w:hint="eastAsia" w:ascii="宋体" w:hAnsi="宋体" w:eastAsia="仿宋_GB2312" w:cs="仿宋_GB2312"/>
          <w:kern w:val="0"/>
          <w:szCs w:val="32"/>
        </w:rPr>
        <w:t>　劳动合同由用人单位与劳动者协商一致，并经用人单位与劳动者在劳动合同文本上签字或者盖章生效。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劳动合同文本由用人单位和劳动者各执一份。</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第十七条</w:t>
      </w:r>
      <w:r>
        <w:rPr>
          <w:rFonts w:hint="eastAsia" w:ascii="宋体" w:hAnsi="宋体" w:eastAsia="仿宋_GB2312" w:cs="仿宋_GB2312"/>
          <w:kern w:val="0"/>
          <w:szCs w:val="32"/>
        </w:rPr>
        <w:t>　劳动合同应当具备以下条款:</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（一）用人单位的名称、住所和法定代表人或者主要负责人；</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（二）劳动者的姓名、住址和居民身份证或者其他有效身份证件号码；</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（三）劳动合同期限；</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（四）工作内容和工作地点；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（五）工作时间和休息休假；</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（七）社会保险；</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（八）劳动保护、劳动条件和职业危害防护；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（九）法律、法规规定应当纳入劳动合同的其他事项。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劳动合同除前款规定的必备条款外，用人单位与劳动者可以约定试用期、培训、保守秘密、补充保险和福利待遇等其他事项。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第十八条</w:t>
      </w:r>
      <w:r>
        <w:rPr>
          <w:rFonts w:hint="eastAsia" w:ascii="宋体" w:hAnsi="宋体" w:eastAsia="仿宋_GB2312" w:cs="仿宋_GB2312"/>
          <w:kern w:val="0"/>
          <w:szCs w:val="32"/>
        </w:rPr>
        <w:t>　劳动合同对劳动报酬和劳动条件等标准约定不明确，引发争议的，用人单位与劳动者可以重新协商；协商不成的，适用集体合同规定；没有集体合同或者集体合同未规定劳动报酬的，实行同工同酬；没有集体合同或者集体合同未规定劳动条件等标准的，适用国家有关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第十九条</w:t>
      </w:r>
      <w:r>
        <w:rPr>
          <w:rFonts w:hint="eastAsia" w:ascii="宋体" w:hAnsi="宋体" w:eastAsia="仿宋_GB2312" w:cs="仿宋_GB2312"/>
          <w:kern w:val="0"/>
          <w:szCs w:val="32"/>
        </w:rPr>
        <w:t>　劳动合同期限三个月以上不满一年的，试用期不得超过一个月；劳动合同期限一年以上不满三年的，试用期不得超过二个月；三年以上固定期限和无固定期限的劳动合同，试用期不得超过六个月。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同一用人单位与同一劳动者只能约定一次试用期。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以完成一定工作任务为期限的劳动合同或者劳动合同期限不满三个月的，不得约定试用期。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试用期包含在劳动合同期限内。劳动合同仅约定试用期的，试用期不成立，该期限为劳动合同期限。</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第二十条</w:t>
      </w:r>
      <w:r>
        <w:rPr>
          <w:rFonts w:hint="eastAsia" w:ascii="宋体" w:hAnsi="宋体" w:eastAsia="仿宋_GB2312" w:cs="仿宋_GB2312"/>
          <w:kern w:val="0"/>
          <w:szCs w:val="32"/>
        </w:rPr>
        <w:t>　劳动者在试用期的工资不得低于本单位相同岗位最低档工资或者劳动合同约定工资的百分之八十，并不得低于用人单位所在地的最低工资标准。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第二十一条</w:t>
      </w:r>
      <w:r>
        <w:rPr>
          <w:rFonts w:hint="eastAsia" w:ascii="宋体" w:hAnsi="宋体" w:eastAsia="仿宋_GB2312" w:cs="仿宋_GB2312"/>
          <w:kern w:val="0"/>
          <w:szCs w:val="32"/>
        </w:rPr>
        <w:t>　在试用期中，除劳动者有本法第三十九条和第四十条第一项、第二项规定的情形外，用人单位不得解除劳动合同。用人单位在试用期解除劳动合同的，应当向劳动者说明理由。</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第二十二条</w:t>
      </w:r>
      <w:r>
        <w:rPr>
          <w:rFonts w:hint="eastAsia" w:ascii="宋体" w:hAnsi="宋体" w:eastAsia="仿宋_GB2312" w:cs="仿宋_GB2312"/>
          <w:kern w:val="0"/>
          <w:szCs w:val="32"/>
        </w:rPr>
        <w:t>　用人单位为劳动者提供专项培训费用，对其进行专业技术培训的，可以与该劳动者订立协议，约定服务期。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劳动者违反服务期约定的，应当按照约定向用人单位支付违约金。违约金的数额不得超过用人单位提供的培训费用。用人单位要求劳动者支付的违约金不得超过服务期尚未履行部分所应分摊的培训费用。</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用人单位与劳动者约定服务期的，不影响按照正常的工资调整机制提高劳动者在服务期期间的劳动报酬。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第二十三条</w:t>
      </w:r>
      <w:r>
        <w:rPr>
          <w:rFonts w:hint="eastAsia" w:ascii="宋体" w:hAnsi="宋体" w:eastAsia="仿宋_GB2312" w:cs="仿宋_GB2312"/>
          <w:kern w:val="0"/>
          <w:szCs w:val="32"/>
        </w:rPr>
        <w:t>　用人单位与劳动者可以在劳动合同中约定保守用人单位的商业秘密和与知识产权相关的保密事项。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对负有保密义务的劳动者，用人单位可以在劳动合同或者保密协议中与劳动者约定竞业限制条款，并约定在解除或者终止劳动合同后，在竞业限制期限内按月给予劳动者经济补偿。劳动者违反竞业限制约定的，应当按照约定向用人单位支付违约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第二十四条</w:t>
      </w:r>
      <w:r>
        <w:rPr>
          <w:rFonts w:hint="eastAsia" w:ascii="宋体" w:hAnsi="宋体" w:eastAsia="仿宋_GB2312" w:cs="仿宋_GB2312"/>
          <w:kern w:val="0"/>
          <w:szCs w:val="32"/>
        </w:rPr>
        <w:t>　竞业限制的人员限于用人单位的高级管理人员、高级技术人员和其他负有保密义务的人员。竞业限制的范围、地域、期限由用人单位与劳动者约定，竞业限制的约定不得违反法律、法规的规定。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在解除或者终止劳动合同后，前款规定的人员到与本单位生产或者经营同类产品、从事同类业务的有竞争关系的其他用人单位，或者自己开业生产或者经营同类产品、从事同类业务的竞业限制期限，不得超过二年。</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第二十五条</w:t>
      </w:r>
      <w:r>
        <w:rPr>
          <w:rFonts w:hint="eastAsia" w:ascii="宋体" w:hAnsi="宋体" w:eastAsia="仿宋_GB2312" w:cs="仿宋_GB2312"/>
          <w:kern w:val="0"/>
          <w:szCs w:val="32"/>
        </w:rPr>
        <w:t>　除本法第二十二条和第二十三条规定的情形外，用人单位不得与劳动者约定由劳动者承担违约金。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第二十六条</w:t>
      </w:r>
      <w:r>
        <w:rPr>
          <w:rFonts w:hint="eastAsia" w:ascii="宋体" w:hAnsi="宋体" w:eastAsia="仿宋_GB2312" w:cs="仿宋_GB2312"/>
          <w:kern w:val="0"/>
          <w:szCs w:val="32"/>
        </w:rPr>
        <w:t>　下列劳动合同无效或者部分无效: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（一）以欺诈、胁迫的手段或者乘人之危，使对方在违背真实意思的情况下订立或者变更劳动合同的；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（二）用人单位免除自己的法定责任、排除劳动者权利的；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（三）违反法律、行政法规强制性规定的。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对劳动合同的无效或者部分无效有争议的，由劳动争议仲裁机构或者人民法院确认。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劳动合同部分无效，不影响其他部分效力的，其他部分仍然有效。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劳动合同被确认无效，劳动者已付出劳动的，用人单位应当向劳动者支付劳动报酬。劳动报酬的数额，参照本单位相同或者相近岗位劳动者的劳动报酬确定。</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第三章　劳动合同的履行和变更</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第二十九条</w:t>
      </w:r>
      <w:r>
        <w:rPr>
          <w:rFonts w:hint="eastAsia" w:ascii="宋体" w:hAnsi="宋体" w:eastAsia="仿宋_GB2312" w:cs="仿宋_GB2312"/>
          <w:kern w:val="0"/>
          <w:szCs w:val="32"/>
        </w:rPr>
        <w:t>　用人单位与劳动者应当按照劳动合同的约定，全面履行各自的义务。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第三十条</w:t>
      </w:r>
      <w:r>
        <w:rPr>
          <w:rFonts w:hint="eastAsia" w:ascii="宋体" w:hAnsi="宋体" w:eastAsia="仿宋_GB2312" w:cs="仿宋_GB2312"/>
          <w:kern w:val="0"/>
          <w:szCs w:val="32"/>
        </w:rPr>
        <w:t>　用人单位应当按照劳动合同约定和国家规定，向劳动者及时足额支付劳动报酬。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用人单位拖欠或者未足额支付劳动报酬的，劳动者可以依法向当地人民法院申请支付令，人民法院应当依法发出支付令。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第三十一条</w:t>
      </w:r>
      <w:r>
        <w:rPr>
          <w:rFonts w:hint="eastAsia" w:ascii="宋体" w:hAnsi="宋体" w:eastAsia="仿宋_GB2312" w:cs="仿宋_GB2312"/>
          <w:kern w:val="0"/>
          <w:szCs w:val="32"/>
        </w:rPr>
        <w:t>　用人单位应当严格执行劳动定额标准，不得强迫或者变相强迫劳动者加班。用人单位安排加班的，应当按照国家有关规定向劳动者支付加班费。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第三十二条</w:t>
      </w:r>
      <w:r>
        <w:rPr>
          <w:rFonts w:hint="eastAsia" w:ascii="宋体" w:hAnsi="宋体" w:eastAsia="仿宋_GB2312" w:cs="仿宋_GB2312"/>
          <w:kern w:val="0"/>
          <w:szCs w:val="32"/>
        </w:rPr>
        <w:t>　劳动者拒绝用人单位管理人员违章指挥、强令冒险作业的，不视为违反劳动合同。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劳动者对危害生命安全和身体健康的劳动条件，有权对用人单位提出批评、检举和控告。</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第三十三条</w:t>
      </w:r>
      <w:r>
        <w:rPr>
          <w:rFonts w:hint="eastAsia" w:ascii="宋体" w:hAnsi="宋体" w:eastAsia="仿宋_GB2312" w:cs="仿宋_GB2312"/>
          <w:kern w:val="0"/>
          <w:szCs w:val="32"/>
        </w:rPr>
        <w:t>　用人单位变更名称、法定代表人、主要负责人或者投资人等事项，不影响劳动合同的履行。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第三十四条</w:t>
      </w:r>
      <w:r>
        <w:rPr>
          <w:rFonts w:hint="eastAsia" w:ascii="宋体" w:hAnsi="宋体" w:eastAsia="仿宋_GB2312" w:cs="仿宋_GB2312"/>
          <w:kern w:val="0"/>
          <w:szCs w:val="32"/>
        </w:rPr>
        <w:t>　用人单位发生合并或者分立等情况，原劳动合同继续有效，劳动合同由承继其权利和义务的用人单位继续履行。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第三十五条</w:t>
      </w:r>
      <w:r>
        <w:rPr>
          <w:rFonts w:hint="eastAsia" w:ascii="宋体" w:hAnsi="宋体" w:eastAsia="仿宋_GB2312" w:cs="仿宋_GB2312"/>
          <w:kern w:val="0"/>
          <w:szCs w:val="32"/>
        </w:rPr>
        <w:t>　用人单位与劳动者协商一致，可以变更劳动合同约定的内容。变更劳动合同，应当采用书面形式。</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变更后的劳动合同文本由用人单位和劳动者各执一份。</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第四章　劳动合同的解除和终止</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第三十六条</w:t>
      </w:r>
      <w:r>
        <w:rPr>
          <w:rFonts w:hint="eastAsia" w:ascii="宋体" w:hAnsi="宋体" w:eastAsia="仿宋_GB2312" w:cs="仿宋_GB2312"/>
          <w:kern w:val="0"/>
          <w:szCs w:val="32"/>
        </w:rPr>
        <w:t>　用人单位与劳动者协商一致，可以解除劳动合同。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第三十七条</w:t>
      </w:r>
      <w:r>
        <w:rPr>
          <w:rFonts w:hint="eastAsia" w:ascii="宋体" w:hAnsi="宋体" w:eastAsia="仿宋_GB2312" w:cs="仿宋_GB2312"/>
          <w:kern w:val="0"/>
          <w:szCs w:val="32"/>
        </w:rPr>
        <w:t>　劳动者提前三十日以书面形式通知用人单位，可以解除劳动合同。劳动者在试用期内提前三日通知用人单位，可以解除劳动合同。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第三十八条</w:t>
      </w:r>
      <w:r>
        <w:rPr>
          <w:rFonts w:hint="eastAsia" w:ascii="宋体" w:hAnsi="宋体" w:eastAsia="仿宋_GB2312" w:cs="仿宋_GB2312"/>
          <w:kern w:val="0"/>
          <w:szCs w:val="32"/>
        </w:rPr>
        <w:t>　用人单位有下列情形之一的，劳动者可以解除劳动合同: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（一）未按照劳动合同约定提供劳动保护或者劳动条件的；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（二）未及时足额支付劳动报酬的；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（三）未依法为劳动者缴纳社会保险费的；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（四）用人单位的规章制度违反法律、法规的规定，损害劳动者权益的；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（五）因本法第二十六条第一款规定的情形致使劳动合同无效的；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（六）法律、行政法规规定劳动者可以解除劳动合同的其他情形。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用人单位以暴力、威胁或者非法限制人身自由的手段强迫劳动者劳动的，或者用人单位违章指挥、强令冒险作业危及劳动者人身安全的，劳动者可以立即解除劳动合同，不需事先告知用人单位。</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第三十九条</w:t>
      </w:r>
      <w:r>
        <w:rPr>
          <w:rFonts w:hint="eastAsia" w:ascii="宋体" w:hAnsi="宋体" w:eastAsia="仿宋_GB2312" w:cs="仿宋_GB2312"/>
          <w:kern w:val="0"/>
          <w:szCs w:val="32"/>
        </w:rPr>
        <w:t>　劳动者有下列情形之一的，用人单位可以解除劳动合同: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（一）在试用期间被证明不符合录用条件的；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（二）严重违反用人单位的规章制度的；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（三）严重失职，营私舞弊，给用人单位造成重大损害的；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（四）劳动者同时与其他用人单位建立劳动关系，对完成本单位的工作任务造成严重影响，或者经用人单位提出，拒不改正的；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（五）因本法第二十六条第一款第一项规定的情形致使劳动合同无效的；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（六）被依法追究刑事责任的。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第四十条</w:t>
      </w:r>
      <w:r>
        <w:rPr>
          <w:rFonts w:hint="eastAsia" w:ascii="宋体" w:hAnsi="宋体" w:eastAsia="仿宋_GB2312" w:cs="仿宋_GB2312"/>
          <w:kern w:val="0"/>
          <w:szCs w:val="32"/>
        </w:rPr>
        <w:t>　有下列情形之一的，用人单位提前三十日以书面形式通知劳动者本人或者额外支付劳动者一个月工资后，可以解除劳动合同: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（一）劳动者患病或者非因工负伤，在规定的医疗期满后不能从事原工作，也不能从事由用人单位另行安排的工作的；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（二）劳动者不能胜任工作，经过培训或者调整工作岗位，仍不能胜任工作的；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（三）劳动合同订立时所依据的客观情况发生重大变化，致使劳动合同无法履行，经用人单位与劳动者协商，未能就变更劳动合同内容达成协议的。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第四十一条</w:t>
      </w:r>
      <w:r>
        <w:rPr>
          <w:rFonts w:hint="eastAsia" w:ascii="宋体" w:hAnsi="宋体" w:eastAsia="仿宋_GB2312" w:cs="仿宋_GB2312"/>
          <w:kern w:val="0"/>
          <w:szCs w:val="32"/>
        </w:rPr>
        <w:t>　有下列情形之一，需要裁减人员二十人以上或者裁减不足二十人但占企业职工总数百分之十以上的，用人单位提前三十日向工会或者全体职工说明情况，听取工会或者职工的意见后，裁减人员方案经向劳动行政部门报告，可以裁减人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（一）依照企业破产法规定进行重整的；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（二）生产经营发生严重困难的；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（三）企业转产、重大技术革新或者经营方式调整，经变更劳动合同后，仍需裁减人员的；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（四）其他因劳动合同订立时所依据的客观经济情况发生重大变化，致使劳动合同无法履行的。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裁减人员时，应当优先留用下列人员: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（一）与本单位订立较长期限的固定期限劳动合同的；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（二）与本单位订立无固定期限劳动合同的；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（三）家庭无其他就业人员，有需要扶养的老人或者未成年人的。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用人单位依照本条第一款规定裁减人员，在六个月内重新招用人员的，应当通知被裁减的人员，并在同等条件下优先招用被裁减的人员。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第四十二条</w:t>
      </w:r>
      <w:r>
        <w:rPr>
          <w:rFonts w:hint="eastAsia" w:ascii="宋体" w:hAnsi="宋体" w:eastAsia="仿宋_GB2312" w:cs="仿宋_GB2312"/>
          <w:kern w:val="0"/>
          <w:szCs w:val="32"/>
        </w:rPr>
        <w:t>　劳动者有下列情形之一的，用人单位不得依照本法第四十条、第四十一条的规定解除劳动合同: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（一）从事接触职业病危害作业的劳动者未进行离岗前职业健康检查，或者疑似职业病病人在诊断或者医学观察期间的；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（二）在本单位患职业病或者因工负伤并被确认丧失或者部分丧失劳动能力的；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（三）患病或者非因工负伤，在规定的医疗期内的；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（四）女职工在孕期、产期、哺乳期的；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（五）在本单位连续工作满十五年，且距法定退休年龄不足五年的；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（六）法律、行政法规规定的其他情形。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第四十三条</w:t>
      </w:r>
      <w:r>
        <w:rPr>
          <w:rFonts w:hint="eastAsia" w:ascii="宋体" w:hAnsi="宋体" w:eastAsia="仿宋_GB2312" w:cs="仿宋_GB2312"/>
          <w:kern w:val="0"/>
          <w:szCs w:val="32"/>
        </w:rPr>
        <w:t>　用人单位单方解除劳动合同，应当事先将理由通知工会。用人单位违反法律、行政法规规定或者劳动合同约定的，工会有权要求用人单位纠正。用人单位应当研究工会的意见，并将处理结果书面通知工会。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第四十四条</w:t>
      </w:r>
      <w:r>
        <w:rPr>
          <w:rFonts w:hint="eastAsia" w:ascii="宋体" w:hAnsi="宋体" w:eastAsia="仿宋_GB2312" w:cs="仿宋_GB2312"/>
          <w:kern w:val="0"/>
          <w:szCs w:val="32"/>
        </w:rPr>
        <w:t>　有下列情形之一的，劳动合同终止: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（一）劳动合同期满的；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（二）劳动者开始依法享受基本养老保险待遇的；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（三）劳动者死亡，或者被人民法院宣告死亡或者宣告失踪的；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（四）用人单位被依法宣告破产的；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（五）用人单位被吊销营业执照、责令关闭、撤销或者用人单位决定提前解散的；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（六）法律、行政法规规定的其他情形。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第四十五条</w:t>
      </w:r>
      <w:r>
        <w:rPr>
          <w:rFonts w:hint="eastAsia" w:ascii="宋体" w:hAnsi="宋体" w:eastAsia="仿宋_GB2312" w:cs="仿宋_GB2312"/>
          <w:kern w:val="0"/>
          <w:szCs w:val="32"/>
        </w:rPr>
        <w:t>　劳动合同期满，有本法第四十二条规定情形之一的，劳动合同应当续延至相应的情形消失时终止。但是，本法第四十二条第二项规定丧失或者部分丧失劳动能力劳动者的劳动合同的终止，按照国家有关工伤保险的规定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第四十六条</w:t>
      </w:r>
      <w:r>
        <w:rPr>
          <w:rFonts w:hint="eastAsia" w:ascii="宋体" w:hAnsi="宋体" w:eastAsia="仿宋_GB2312" w:cs="仿宋_GB2312"/>
          <w:kern w:val="0"/>
          <w:szCs w:val="32"/>
        </w:rPr>
        <w:t>　有下列情形之一的，用人单位应当向劳动者支付经济补偿:</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（一）劳动者依照本法第三十八条规定解除劳动合同的；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（二）用人单位依照本法第三十六条规定向劳动者提出解除劳动合同并与劳动者协商一致解除劳动合同的；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（三）用人单位依照本法第四十条规定解除劳动合同的；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（四）用人单位依照本法第四十一条第一款规定解除劳动合同的；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（五）除用人单位维持或者提高劳动合同约定条件续订劳动合同，劳动者不同意续订的情形外，依照本法第四十四条第一项规定终止固定期限劳动合同的；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（六）依照本法第四十四条第四项、第五项规定终止劳动合同的；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（七）法律、行政法规规定的其他情形。</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第四十七条</w:t>
      </w:r>
      <w:r>
        <w:rPr>
          <w:rFonts w:hint="eastAsia" w:ascii="宋体" w:hAnsi="宋体" w:eastAsia="仿宋_GB2312" w:cs="仿宋_GB2312"/>
          <w:kern w:val="0"/>
          <w:szCs w:val="32"/>
        </w:rPr>
        <w:t>　经济补偿按劳动者在本单位工作的年限，每满一年支付一个月工资的标准向劳动者支付。六个月以上不满一年的，按一年计算；不满六个月的，向劳动者支付半个月工资的经济补偿。</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月工资高于用人单位所在直辖市、设区的市级人民政府公布的本地区上年度职工月平均工资三倍的，向其支付经济补偿的标准按职工月平均工资三倍的数额支付，向其支付经济补偿的年限最高不超过十二年。</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本条所称月工资是指劳动者在劳动合同解除或者终止前十二个月的平均工资。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第四十八条</w:t>
      </w:r>
      <w:r>
        <w:rPr>
          <w:rFonts w:hint="eastAsia" w:ascii="宋体" w:hAnsi="宋体" w:eastAsia="仿宋_GB2312" w:cs="仿宋_GB2312"/>
          <w:kern w:val="0"/>
          <w:szCs w:val="32"/>
        </w:rPr>
        <w:t>　用人单位违反本法规定解除或者终止劳动合同，劳动者要求继续履行劳动合同的，用人单位应当继续履行；劳动者不要求继续履行劳动合同或者劳动合同已经不能继续履行的，用人单位应当依照本法第八十七条规定支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第四十九条</w:t>
      </w:r>
      <w:r>
        <w:rPr>
          <w:rFonts w:hint="eastAsia" w:ascii="宋体" w:hAnsi="宋体" w:eastAsia="仿宋_GB2312" w:cs="仿宋_GB2312"/>
          <w:kern w:val="0"/>
          <w:szCs w:val="32"/>
        </w:rPr>
        <w:t>　国家采取措施，建立健全劳动者社会保险关系跨地区转移接续制度。</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第五十条</w:t>
      </w:r>
      <w:r>
        <w:rPr>
          <w:rFonts w:hint="eastAsia" w:ascii="宋体" w:hAnsi="宋体" w:eastAsia="仿宋_GB2312" w:cs="仿宋_GB2312"/>
          <w:kern w:val="0"/>
          <w:szCs w:val="32"/>
        </w:rPr>
        <w:t>　用人单位应当在解除或者终止劳动合同时出具解除或者终止劳动合同的证明，并在十五日内为劳动者办理档案和社会保险关系转移手续。</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劳动者应当按照双方约定，办理工作交接。用人单位依照本法有关规定应当向劳动者支付经济补偿的，在办结工作交接时支付。</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用人单位对已经解除或者终止的劳动合同的文本，至少保存二年备查。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第五章　特别规定</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第一节　集体合同</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第五十一条</w:t>
      </w:r>
      <w:r>
        <w:rPr>
          <w:rFonts w:hint="eastAsia" w:ascii="宋体" w:hAnsi="宋体" w:eastAsia="仿宋_GB2312" w:cs="仿宋_GB2312"/>
          <w:kern w:val="0"/>
          <w:szCs w:val="32"/>
        </w:rPr>
        <w:t>　企业职工一方与用人单位通过平等协商，可以就劳动报酬、工作时间、休息休假、劳动安全卫生、保险福利等事项订立集体合同。集体合同草案应当提交职工代表大会或者全体职工讨论通过。</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集体合同由工会代表企业职工一方与用人单位订立；尚未建立工会的用人单位，由上级工会指导劳动者推举的代表与用人单位订立。</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第五十二条</w:t>
      </w:r>
      <w:r>
        <w:rPr>
          <w:rFonts w:hint="eastAsia" w:ascii="宋体" w:hAnsi="宋体" w:eastAsia="仿宋_GB2312" w:cs="仿宋_GB2312"/>
          <w:kern w:val="0"/>
          <w:szCs w:val="32"/>
        </w:rPr>
        <w:t>　企业职工一方与用人单位可以订立劳动安全卫生、女职工权益保护、工资调整机制等专项集体合同。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在县级以下区域内，建筑业、采矿业、餐饮服务业等行业可以由工会与企业方面代表订立行业性集体合同，或者订立区域性集体合同。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第五十四条</w:t>
      </w:r>
      <w:r>
        <w:rPr>
          <w:rFonts w:hint="eastAsia" w:ascii="宋体" w:hAnsi="宋体" w:eastAsia="仿宋_GB2312" w:cs="仿宋_GB2312"/>
          <w:kern w:val="0"/>
          <w:szCs w:val="32"/>
        </w:rPr>
        <w:t>　集体合同订立后，应当报送劳动行政部门；劳动行政部门自收到集体合同文本之日起十五日内未提出异议的，集体合同即行生效。</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依法订立的集体合同对用人单位和劳动者具有约束力。行业性、区域性集体合同对当地本行业、本区域的用人单位和劳动者具有约束力。</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第五十五条</w:t>
      </w:r>
      <w:r>
        <w:rPr>
          <w:rFonts w:hint="eastAsia" w:ascii="宋体" w:hAnsi="宋体" w:eastAsia="仿宋_GB2312" w:cs="仿宋_GB2312"/>
          <w:kern w:val="0"/>
          <w:szCs w:val="32"/>
        </w:rPr>
        <w:t>　集体合同中劳动报酬和劳动条件等标准不得低于当地人民政府规定的最低标准；用人单位与劳动者订立的劳动合同中劳动报酬和劳动条件等标准不得低于集体合同规定的标准。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第五十六条</w:t>
      </w:r>
      <w:r>
        <w:rPr>
          <w:rFonts w:hint="eastAsia" w:ascii="宋体" w:hAnsi="宋体" w:eastAsia="仿宋_GB2312" w:cs="仿宋_GB2312"/>
          <w:kern w:val="0"/>
          <w:szCs w:val="32"/>
        </w:rPr>
        <w:t>　用人单位违反集体合同，侵犯职工劳动权益的，工会可以依法要求用人单位承担责任；因履行集体合同发生争议，经协商解决不成的，工会可以依法申请仲裁、提起诉讼。</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第二节　劳务派遣</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第五十七条</w:t>
      </w:r>
      <w:r>
        <w:rPr>
          <w:rFonts w:hint="eastAsia" w:ascii="宋体" w:hAnsi="宋体" w:eastAsia="仿宋_GB2312" w:cs="仿宋_GB2312"/>
          <w:kern w:val="0"/>
          <w:szCs w:val="32"/>
        </w:rPr>
        <w:t>　经营劳务派遣业务应当具备下列条件:</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（一）注册资本不得少于人民币二百万元；</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（二）有与开展业务相适应的固定的经营场所和设施；</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（三）有符合法律、行政法规规定的劳务派遣管理制度；</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（四）法律、行政法规规定的其他条件。</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经营劳务派遣业务，应当向劳动行政部门依法申请行政许可；经许可的，依法办理相应的公司登记。未经许可，任何单位和个人不得经营劳务派遣业务。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第五十八条</w:t>
      </w:r>
      <w:r>
        <w:rPr>
          <w:rFonts w:hint="eastAsia" w:ascii="宋体" w:hAnsi="宋体" w:eastAsia="仿宋_GB2312" w:cs="仿宋_GB2312"/>
          <w:kern w:val="0"/>
          <w:szCs w:val="32"/>
        </w:rPr>
        <w:t>　劳务派遣单位是本法所称用人单位，应当履行用人单位对劳动者的义务。劳务派遣单位与被派遣劳动者订立的劳动合同，除应当载明本法第十七条规定的事项外，还应当载明被派遣劳动者的用工单位以及派遣期限、工作岗位等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劳务派遣单位应当与被派遣劳动者订立二年以上的固定期限劳动合同，按月支付劳动报酬；被派遣劳动者在无工作期间，劳务派遣单位应当按照所在地人民政府规定的最低工资标准，向其按月支付报酬。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第五十九条</w:t>
      </w:r>
      <w:r>
        <w:rPr>
          <w:rFonts w:hint="eastAsia" w:ascii="宋体" w:hAnsi="宋体" w:eastAsia="仿宋_GB2312" w:cs="仿宋_GB2312"/>
          <w:kern w:val="0"/>
          <w:szCs w:val="32"/>
        </w:rPr>
        <w:t>　劳务派遣单位派遣劳动者应当与接受以劳务派遣形式用工的单位（以下称用工单位）订立劳务派遣协议。劳务派遣协议应当约定派遣岗位和人员数量、派遣期限、劳动报酬和社会保险费的数额与支付方式以及违反协议的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用工单位应当根据工作岗位的实际需要与劳务派遣单位确定派遣期限，不得将连续用工期限分割订立数个短期劳务派遣协议。</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第六十条</w:t>
      </w:r>
      <w:r>
        <w:rPr>
          <w:rFonts w:hint="eastAsia" w:ascii="宋体" w:hAnsi="宋体" w:eastAsia="仿宋_GB2312" w:cs="仿宋_GB2312"/>
          <w:kern w:val="0"/>
          <w:szCs w:val="32"/>
        </w:rPr>
        <w:t>　劳务派遣单位应当将劳务派遣协议的内容告知被派遣劳动者。</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劳务派遣单位不得克扣用工单位按照劳务派遣协议支付给被派遣劳动者的劳动报酬。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劳务派遣单位和用工单位不得向被派遣劳动者收取费用。</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第六十一条</w:t>
      </w:r>
      <w:r>
        <w:rPr>
          <w:rFonts w:hint="eastAsia" w:ascii="宋体" w:hAnsi="宋体" w:eastAsia="仿宋_GB2312" w:cs="仿宋_GB2312"/>
          <w:kern w:val="0"/>
          <w:szCs w:val="32"/>
        </w:rPr>
        <w:t>　劳务派遣单位跨地区派遣劳动者的，被派遣劳动者享有的劳动报酬和劳动条件，按照用工单位所在地的标准执行。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第六十二条</w:t>
      </w:r>
      <w:r>
        <w:rPr>
          <w:rFonts w:hint="eastAsia" w:ascii="宋体" w:hAnsi="宋体" w:eastAsia="仿宋_GB2312" w:cs="仿宋_GB2312"/>
          <w:kern w:val="0"/>
          <w:szCs w:val="32"/>
        </w:rPr>
        <w:t>　用工单位应当履行下列义务:</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（一）执行国家劳动标准，提供相应的劳动条件和劳动保护；</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（二）告知被派遣劳动者的工作要求和劳动报酬；</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（三）支付加班费、绩效奖金，提供与工作岗位相关的福利待遇；</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（四）对在岗被派遣劳动者进行工作岗位所必需的培训；</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（五）连续用工的，实行正常的工资调整机制。</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用工单位不得将被派遣劳动者再派遣到其他用人单位。</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第六十三条</w:t>
      </w:r>
      <w:r>
        <w:rPr>
          <w:rFonts w:hint="eastAsia" w:ascii="宋体" w:hAnsi="宋体" w:eastAsia="仿宋_GB2312" w:cs="仿宋_GB2312"/>
          <w:kern w:val="0"/>
          <w:szCs w:val="32"/>
        </w:rPr>
        <w:t>　被派遣劳动者享有与用工单位的劳动者同工同酬的权利。用工单位应当按照同工同酬原则，对被派遣劳动者与本单位同类岗位的劳动者实行相同的劳动报酬分配办法。用工单位无同类岗位劳动者的，参照用工单位所在地相同或者相近岗位劳动者的劳动报酬确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劳务派遣单位与被派遣劳动者订立的劳动合同和与用工单位订立的劳务派遣协议，载明或者约定的向被派遣劳动者支付的劳动报酬应当符合前款规定。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第六十四条</w:t>
      </w:r>
      <w:r>
        <w:rPr>
          <w:rFonts w:hint="eastAsia" w:ascii="宋体" w:hAnsi="宋体" w:eastAsia="仿宋_GB2312" w:cs="仿宋_GB2312"/>
          <w:kern w:val="0"/>
          <w:szCs w:val="32"/>
        </w:rPr>
        <w:t>　被派遣劳动者有权在劳务派遣单位或者用工单位依法参加或者组织工会，维护自身的合法权益。</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第六十五条</w:t>
      </w:r>
      <w:r>
        <w:rPr>
          <w:rFonts w:hint="eastAsia" w:ascii="宋体" w:hAnsi="宋体" w:eastAsia="仿宋_GB2312" w:cs="仿宋_GB2312"/>
          <w:kern w:val="0"/>
          <w:szCs w:val="32"/>
        </w:rPr>
        <w:t>　被派遣劳动者可以依照本法第三十六条、第三十八条的规定与劳务派遣单位解除劳动合同。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被派遣劳动者有本法第三十九条和第四十条第一项、第二项规定情形的，用工单位可以将劳动者退回劳务派遣单位，劳务派遣单位依照本法有关规定，可以与劳动者解除劳动合同。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第六十六条</w:t>
      </w:r>
      <w:r>
        <w:rPr>
          <w:rFonts w:hint="eastAsia" w:ascii="宋体" w:hAnsi="宋体" w:eastAsia="仿宋_GB2312" w:cs="仿宋_GB2312"/>
          <w:kern w:val="0"/>
          <w:szCs w:val="32"/>
        </w:rPr>
        <w:t>　劳动合同用工是我国的企业基本用工形式。劳务派遣用工是补充形式，只能在临时性、辅助性或者替代性的工作岗位上实施。</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前款规定的临时性工作岗位是指存续时间不超过六个月的岗位；辅助性工作岗位是指为主营业务岗位提供服务的非主营业务岗位；替代性工作岗位是指用工单位的劳动者因脱产学习、休假等原因无法工作的一定期间内，可以由其他劳动者替代工作的岗位。</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用工单位应当严格控制劳务派遣用工数量，不得超过其用工总量的一定比例，具体比例由国务院劳动行政部门规定。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第六十七条</w:t>
      </w:r>
      <w:r>
        <w:rPr>
          <w:rFonts w:hint="eastAsia" w:ascii="宋体" w:hAnsi="宋体" w:eastAsia="仿宋_GB2312" w:cs="仿宋_GB2312"/>
          <w:kern w:val="0"/>
          <w:szCs w:val="32"/>
        </w:rPr>
        <w:t>　用人单位不得设立劳务派遣单位向本单位或者所属单位派遣劳动者。</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第三节　非全日制用工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第六十八条</w:t>
      </w:r>
      <w:r>
        <w:rPr>
          <w:rFonts w:hint="eastAsia" w:ascii="宋体" w:hAnsi="宋体" w:eastAsia="仿宋_GB2312" w:cs="仿宋_GB2312"/>
          <w:kern w:val="0"/>
          <w:szCs w:val="32"/>
        </w:rPr>
        <w:t>　非全日制用工，是指以小时计酬为主，劳动者在同一用人单位一般平均每日工作时间不超过四小时，每周工作时间累计不超过二十四小时的用工形式。</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第六十九条</w:t>
      </w:r>
      <w:r>
        <w:rPr>
          <w:rFonts w:hint="eastAsia" w:ascii="宋体" w:hAnsi="宋体" w:eastAsia="仿宋_GB2312" w:cs="仿宋_GB2312"/>
          <w:kern w:val="0"/>
          <w:szCs w:val="32"/>
        </w:rPr>
        <w:t>　非全日制用工双方当事人可以订立口头协议。</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从事非全日制用工的劳动者可以与一个或者一个以上用人单位订立劳动合同；但是，后订立的劳动合同不得影响先订立的劳动合同的履行。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第七十条</w:t>
      </w:r>
      <w:r>
        <w:rPr>
          <w:rFonts w:hint="eastAsia" w:ascii="宋体" w:hAnsi="宋体" w:eastAsia="仿宋_GB2312" w:cs="仿宋_GB2312"/>
          <w:kern w:val="0"/>
          <w:szCs w:val="32"/>
        </w:rPr>
        <w:t>　非全日制用工双方当事人不得约定试用期。</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第七十一条</w:t>
      </w:r>
      <w:r>
        <w:rPr>
          <w:rFonts w:hint="eastAsia" w:ascii="宋体" w:hAnsi="宋体" w:eastAsia="仿宋_GB2312" w:cs="仿宋_GB2312"/>
          <w:kern w:val="0"/>
          <w:szCs w:val="32"/>
        </w:rPr>
        <w:t>　非全日制用工双方当事人任何一方都可以随时通知对方终止用工。终止用工，用人单位不向劳动者支付经济补偿。</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第七十二条</w:t>
      </w:r>
      <w:r>
        <w:rPr>
          <w:rFonts w:hint="eastAsia" w:ascii="宋体" w:hAnsi="宋体" w:eastAsia="仿宋_GB2312" w:cs="仿宋_GB2312"/>
          <w:kern w:val="0"/>
          <w:szCs w:val="32"/>
        </w:rPr>
        <w:t>　非全日制用工小时计酬标准不得低于用人单位所在地人民政府规定的最低小时工资标准。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非全日制用工劳动报酬结算支付周期最长不得超过十五日。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第六章　监督检查</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第七十三条</w:t>
      </w:r>
      <w:r>
        <w:rPr>
          <w:rFonts w:hint="eastAsia" w:ascii="宋体" w:hAnsi="宋体" w:eastAsia="仿宋_GB2312" w:cs="仿宋_GB2312"/>
          <w:kern w:val="0"/>
          <w:szCs w:val="32"/>
        </w:rPr>
        <w:t>　国务院劳动行政部门负责全国劳动合同制度实施的监督管理。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县级以上地方人民政府劳动行政部门负责本行政区域内劳动合同制度实施的监督管理。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县级以上各级人民政府劳动行政部门在劳动合同制度实施的监督管理工作中，应当听取工会、企业方面代表以及有关行业主管部门的意见。</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第七十四条</w:t>
      </w:r>
      <w:r>
        <w:rPr>
          <w:rFonts w:hint="eastAsia" w:ascii="宋体" w:hAnsi="宋体" w:eastAsia="仿宋_GB2312" w:cs="仿宋_GB2312"/>
          <w:kern w:val="0"/>
          <w:szCs w:val="32"/>
        </w:rPr>
        <w:t>　县级以上地方人民政府劳动行政部门依法对下列实施劳动合同制度的情况进行监督检查:</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（一）用人单位制定直接涉及劳动者切身利益的规章制度及其执行的情况；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（二）用人单位与劳动者订立和解除劳动合同的情况；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（三）劳务派遣单位和用工单位遵守劳务派遣有关规定的情况；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（四）用人单位遵守国家关于劳动者工作时间和休息休假规定的情况；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（五）用人单位支付劳动合同约定的劳动报酬和执行最低工资标准的情况；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（六）用人单位参加各项社会保险和缴纳社会保险费的情况；</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（七）法律、法规规定的其他劳动监察事项。</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第七十五条</w:t>
      </w:r>
      <w:r>
        <w:rPr>
          <w:rFonts w:hint="eastAsia" w:ascii="宋体" w:hAnsi="宋体" w:eastAsia="仿宋_GB2312" w:cs="仿宋_GB2312"/>
          <w:kern w:val="0"/>
          <w:szCs w:val="32"/>
        </w:rPr>
        <w:t>　县级以上地方人民政府劳动行政部门实施监督检查时，有权查阅与劳动合同、集体合同有关的材料，有权对劳动场所进行实地检查，用人单位和劳动者都应当如实提供有关情况和材料。</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劳动行政部门的工作人员进行监督检查，应当出示证件，依法行使职权，文明执法。</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第七十六条</w:t>
      </w:r>
      <w:r>
        <w:rPr>
          <w:rFonts w:hint="eastAsia" w:ascii="宋体" w:hAnsi="宋体" w:eastAsia="仿宋_GB2312" w:cs="仿宋_GB2312"/>
          <w:kern w:val="0"/>
          <w:szCs w:val="32"/>
        </w:rPr>
        <w:t>　县级以上人民政府建设、卫生、安全生产监督管理等有关主管部门在各自职责范围内，对用人单位执行劳动合同制度的情况进行监督管理。</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第七十七条</w:t>
      </w:r>
      <w:r>
        <w:rPr>
          <w:rFonts w:hint="eastAsia" w:ascii="宋体" w:hAnsi="宋体" w:eastAsia="仿宋_GB2312" w:cs="仿宋_GB2312"/>
          <w:kern w:val="0"/>
          <w:szCs w:val="32"/>
        </w:rPr>
        <w:t>　劳动者合法权益受到侵害的，有权要求有关部门依法处理，或者依法申请仲裁、提起诉讼。</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第七十八条</w:t>
      </w:r>
      <w:r>
        <w:rPr>
          <w:rFonts w:hint="eastAsia" w:ascii="宋体" w:hAnsi="宋体" w:eastAsia="仿宋_GB2312" w:cs="仿宋_GB2312"/>
          <w:kern w:val="0"/>
          <w:szCs w:val="32"/>
        </w:rPr>
        <w:t>　工会依法维护劳动者的合法权益，对用人单位履行劳动合同、集体合同的情况进行监督。用人单位违反劳动法律、法规和劳动合同、集体合同的，工会有权提出意见或者要求纠正；劳动者申请仲裁、提起诉讼的，工会依法给予支持和帮助。</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第七十九条</w:t>
      </w:r>
      <w:r>
        <w:rPr>
          <w:rFonts w:hint="eastAsia" w:ascii="宋体" w:hAnsi="宋体" w:eastAsia="仿宋_GB2312" w:cs="仿宋_GB2312"/>
          <w:kern w:val="0"/>
          <w:szCs w:val="32"/>
        </w:rPr>
        <w:t>　任何组织或者个人对违反本法的行为都有权举报，县级以上人民政府劳动行政部门应当及时核实、处理，并对举报有功人员给予奖励。</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第七章　法律责任</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第八十条</w:t>
      </w:r>
      <w:r>
        <w:rPr>
          <w:rFonts w:hint="eastAsia" w:ascii="宋体" w:hAnsi="宋体" w:eastAsia="仿宋_GB2312" w:cs="仿宋_GB2312"/>
          <w:kern w:val="0"/>
          <w:szCs w:val="32"/>
        </w:rPr>
        <w:t>　用人单位直接涉及劳动者切身利益的规章制度违反法律、法规规定的，由劳动行政部门责令改正，给予警告；给劳动者造成损害的，应当承担赔偿责任。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第八十一条</w:t>
      </w:r>
      <w:r>
        <w:rPr>
          <w:rFonts w:hint="eastAsia" w:ascii="宋体" w:hAnsi="宋体" w:eastAsia="仿宋_GB2312" w:cs="仿宋_GB2312"/>
          <w:kern w:val="0"/>
          <w:szCs w:val="32"/>
        </w:rPr>
        <w:t>　用人单位提供的劳动合同文本未载明本法规定的劳动合同必备条款或者用人单位未将劳动合同文本交付劳动者的，由劳动行政部门责令改正；给劳动者造成损害的，应当承担赔偿责任。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第八十二条</w:t>
      </w:r>
      <w:r>
        <w:rPr>
          <w:rFonts w:hint="eastAsia" w:ascii="宋体" w:hAnsi="宋体" w:eastAsia="仿宋_GB2312" w:cs="仿宋_GB2312"/>
          <w:kern w:val="0"/>
          <w:szCs w:val="32"/>
        </w:rPr>
        <w:t>　用人单位自用工之日起超过一个月不满一年未与劳动者订立书面劳动合同的，应当向劳动者每月支付二倍的工资。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用人单位违反本法规定不与劳动者订立无固定期限劳动合同的，自应当订立无固定期限劳动合同之日起向劳动者每月支付二倍的工资。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第八十三条</w:t>
      </w:r>
      <w:r>
        <w:rPr>
          <w:rFonts w:hint="eastAsia" w:ascii="宋体" w:hAnsi="宋体" w:eastAsia="仿宋_GB2312" w:cs="仿宋_GB2312"/>
          <w:kern w:val="0"/>
          <w:szCs w:val="32"/>
        </w:rPr>
        <w:t>　用人单位违反本法规定与劳动者约定试用期的，由劳动行政部门责令改正；违法约定的试用期已经履行的，由用人单位以劳动者试用期满月工资为标准，按已经履行的超过法定试用期的期间向劳动者支付赔偿金。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第八十四条</w:t>
      </w:r>
      <w:r>
        <w:rPr>
          <w:rFonts w:hint="eastAsia" w:ascii="宋体" w:hAnsi="宋体" w:eastAsia="仿宋_GB2312" w:cs="仿宋_GB2312"/>
          <w:kern w:val="0"/>
          <w:szCs w:val="32"/>
        </w:rPr>
        <w:t>　用人单位违反本法规定，扣押劳动者居民身份证等证件的，由劳动行政部门责令限期退还劳动者本人，并依照有关法律规定给予处罚。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用人单位违反本法规定，以担保或者其他名义向劳动者收取财物的，由劳动行政部门责令限期退还劳动者本人，并以每人五百元以上二千元以下的标准处以罚款；给劳动者造成损害的，应当承担赔偿责任。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劳动者依法解除或者终止劳动合同，用人单位扣押劳动者档案或者其他物品的，依照前款规定处罚。</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第八十五条</w:t>
      </w:r>
      <w:r>
        <w:rPr>
          <w:rFonts w:hint="eastAsia" w:ascii="宋体" w:hAnsi="宋体" w:eastAsia="仿宋_GB2312" w:cs="仿宋_GB2312"/>
          <w:kern w:val="0"/>
          <w:szCs w:val="32"/>
        </w:rPr>
        <w:t>　用人单位有下列情形之一的，由劳动行政部门责令限期支付劳动报酬、加班费或者经济补偿；劳动报酬低于当地最低工资标准的，应当支付其差额部分；逾期不支付的，责令用人单位按应付金额百分之五十以上百分之一百以下的标准向劳动者加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（一）未按照劳动合同的约定或者国家规定及时足额支付劳动者劳动报酬的；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（二）低于当地最低工资标准支付劳动者工资的；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（三）安排加班不支付加班费的；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（四）解除或者终止劳动合同，未依照本法规定向劳动者支付经济补偿的。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第八十六条</w:t>
      </w:r>
      <w:r>
        <w:rPr>
          <w:rFonts w:hint="eastAsia" w:ascii="宋体" w:hAnsi="宋体" w:eastAsia="仿宋_GB2312" w:cs="仿宋_GB2312"/>
          <w:kern w:val="0"/>
          <w:szCs w:val="32"/>
        </w:rPr>
        <w:t>　劳动合同依照本法第二十六条规定被确认无效，给对方造成损害的，有过错的一方应当承担赔偿责任。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第八十七条</w:t>
      </w:r>
      <w:r>
        <w:rPr>
          <w:rFonts w:hint="eastAsia" w:ascii="宋体" w:hAnsi="宋体" w:eastAsia="仿宋_GB2312" w:cs="仿宋_GB2312"/>
          <w:kern w:val="0"/>
          <w:szCs w:val="32"/>
        </w:rPr>
        <w:t>　用人单位违反本法规定解除或者终止劳动合同的，应当依照本法第四十七条规定的经济补偿标准的二倍向劳动者支付赔偿金。</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第八十八条</w:t>
      </w:r>
      <w:r>
        <w:rPr>
          <w:rFonts w:hint="eastAsia" w:ascii="宋体" w:hAnsi="宋体" w:eastAsia="仿宋_GB2312" w:cs="仿宋_GB2312"/>
          <w:kern w:val="0"/>
          <w:szCs w:val="32"/>
        </w:rPr>
        <w:t>　用人单位有下列情形之一的，依法给予行政处罚；构成犯罪的，依法追究刑事责任；给劳动者造成损害的，应当承担赔偿责任: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（一）以暴力、威胁或者非法限制人身自由的手段强迫劳动的；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（二）违章指挥或者强令冒险作业危及劳动者人身安全的；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（三）侮辱、体罚、殴打、非法搜查或者拘禁劳动者的；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（四）劳动条件恶劣、环境污染严重，给劳动者身心健康造成严重损害的。</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第八十九条</w:t>
      </w:r>
      <w:r>
        <w:rPr>
          <w:rFonts w:hint="eastAsia" w:ascii="宋体" w:hAnsi="宋体" w:eastAsia="仿宋_GB2312" w:cs="仿宋_GB2312"/>
          <w:kern w:val="0"/>
          <w:szCs w:val="32"/>
        </w:rPr>
        <w:t>　用人单位违反本法规定未向劳动者出具解除或者终止劳动合同的书面证明，由劳动行政部门责令改正；给劳动者造成损害的，应当承担赔偿责任。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第九十条　</w:t>
      </w:r>
      <w:r>
        <w:rPr>
          <w:rFonts w:hint="eastAsia" w:ascii="宋体" w:hAnsi="宋体" w:eastAsia="仿宋_GB2312" w:cs="仿宋_GB2312"/>
          <w:kern w:val="0"/>
          <w:szCs w:val="32"/>
        </w:rPr>
        <w:t>劳动者违反本法规定解除劳动合同，或者违反劳动合同中约定的保密义务或者竞业限制，给用人单位造成损失的，应当承担赔偿责任。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第九十一条</w:t>
      </w:r>
      <w:r>
        <w:rPr>
          <w:rFonts w:hint="eastAsia" w:ascii="宋体" w:hAnsi="宋体" w:eastAsia="仿宋_GB2312" w:cs="仿宋_GB2312"/>
          <w:kern w:val="0"/>
          <w:szCs w:val="32"/>
        </w:rPr>
        <w:t>　用人单位招用与其他用人单位尚未解除或者终止劳动合同的劳动者，给其他用人单位造成损失的，应当承担连带赔偿责任。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第九十二条</w:t>
      </w:r>
      <w:r>
        <w:rPr>
          <w:rFonts w:hint="eastAsia" w:ascii="宋体" w:hAnsi="宋体" w:eastAsia="仿宋_GB2312" w:cs="仿宋_GB2312"/>
          <w:kern w:val="0"/>
          <w:szCs w:val="32"/>
        </w:rPr>
        <w:t>　违反本法规定，未经许可，擅自经营劳务派遣业务的，由劳动行政部门责令停止违法行为，没收违法所得，并处违法所得一倍以上五倍以下的罚款；没有违法所得的，可以处五万元以下的罚款。</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劳务派遣单位、用工单位违反本法有关劳务派遣规定的，由劳动行政部门责令限期改正；逾期不改正的，以每人五千元以上一万元以下的标准处以罚款，对劳务派遣单位，吊销其劳务派遣业务经营许可证。用工单位给被派遣劳动者造成损害的，劳务派遣单位与用工单位承担连带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第九十三条</w:t>
      </w:r>
      <w:r>
        <w:rPr>
          <w:rFonts w:hint="eastAsia" w:ascii="宋体" w:hAnsi="宋体" w:eastAsia="仿宋_GB2312" w:cs="仿宋_GB2312"/>
          <w:kern w:val="0"/>
          <w:szCs w:val="32"/>
        </w:rPr>
        <w:t>　对不具备合法经营资格的用人单位的违法犯罪行为，依法追究法律责任；劳动者已经付出劳动的，该单位或者其出资人应当依照本法有关规定向劳动者支付劳动报酬、经济补偿、赔偿金；给劳动者造成损害的，应当承担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第九十四条</w:t>
      </w:r>
      <w:r>
        <w:rPr>
          <w:rFonts w:hint="eastAsia" w:ascii="宋体" w:hAnsi="宋体" w:eastAsia="仿宋_GB2312" w:cs="仿宋_GB2312"/>
          <w:kern w:val="0"/>
          <w:szCs w:val="32"/>
        </w:rPr>
        <w:t>　个人承包经营违反本法规定招用劳动者，给劳动者造成损害的，发包的组织与个人承包经营者承担连带赔偿责任。</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第九十五条</w:t>
      </w:r>
      <w:r>
        <w:rPr>
          <w:rFonts w:hint="eastAsia" w:ascii="宋体" w:hAnsi="宋体" w:eastAsia="仿宋_GB2312" w:cs="仿宋_GB2312"/>
          <w:kern w:val="0"/>
          <w:szCs w:val="32"/>
        </w:rPr>
        <w:t>　劳动行政部门和其他有关主管部门及其工作人员玩忽职守、不履行法定职责，或者违法行使职权，给劳动者或者用人单位造成损害的，应当承担赔偿责任；对直接负责的主管人员和其他直接责任人员，依法给予行政处分；构成犯罪的，依法追究刑事责任。</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黑体"/>
          <w:kern w:val="0"/>
          <w:szCs w:val="32"/>
        </w:rPr>
      </w:pPr>
      <w:r>
        <w:rPr>
          <w:rFonts w:hint="eastAsia" w:ascii="宋体" w:hAnsi="宋体" w:eastAsia="黑体" w:cs="黑体"/>
          <w:kern w:val="0"/>
          <w:szCs w:val="32"/>
        </w:rPr>
        <w:t>第八章　附则</w:t>
      </w:r>
    </w:p>
    <w:p>
      <w:pPr>
        <w:widowControl w:val="0"/>
        <w:wordWrap/>
        <w:overflowPunct w:val="0"/>
        <w:spacing w:beforeAutospacing="0" w:afterAutospacing="0" w:line="560" w:lineRule="exact"/>
        <w:textAlignment w:val="auto"/>
        <w:rPr>
          <w:rFonts w:hint="eastAsia" w:ascii="宋体" w:hAnsi="宋体" w:eastAsia="宋体" w:cs="宋体"/>
          <w:kern w:val="0"/>
          <w:szCs w:val="32"/>
        </w:rPr>
      </w:pP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第九十六条</w:t>
      </w:r>
      <w:r>
        <w:rPr>
          <w:rFonts w:hint="eastAsia" w:ascii="宋体" w:hAnsi="宋体" w:eastAsia="仿宋_GB2312" w:cs="仿宋_GB2312"/>
          <w:kern w:val="0"/>
          <w:szCs w:val="32"/>
        </w:rPr>
        <w:t>　事业单位与实行聘用制的工作人员订立、履行、变更、解除或者终止劳动合同，法律、行政法规或者国务院另有规定的，依照其规定；未作规定的，依照本法有关规定执行。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第九十七条</w:t>
      </w:r>
      <w:r>
        <w:rPr>
          <w:rFonts w:hint="eastAsia" w:ascii="宋体" w:hAnsi="宋体" w:eastAsia="仿宋_GB2312" w:cs="仿宋_GB2312"/>
          <w:kern w:val="0"/>
          <w:szCs w:val="32"/>
        </w:rPr>
        <w:t>　本法施行前已依法订立且在本法施行之日存续的劳动合同，继续履行；本法第十四条第二款第三项规定连续订立固定期限劳动合同的次数，自本法施行后续订固定期限劳动合同时开始计算。</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本法施行前已建立劳动关系，尚未订立书面劳动合同的，应当自本法施行之日起一个月内订立。</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本法施行之日存续的劳动合同在本法施行后解除或者终止，依照本法第四十六条规定应当支付经济补偿的，经济补偿年限自本法施行之日起计算；本法施行前按照当时有关规定，用人单位应当向劳动者支付经济补偿的，按照当时有关规定执行。</w:t>
      </w:r>
    </w:p>
    <w:p>
      <w:pPr>
        <w:widowControl w:val="0"/>
        <w:wordWrap/>
        <w:overflowPunct w:val="0"/>
        <w:spacing w:beforeAutospacing="0" w:afterAutospacing="0" w:line="560" w:lineRule="exact"/>
        <w:textAlignment w:val="auto"/>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第九十八条</w:t>
      </w:r>
      <w:r>
        <w:rPr>
          <w:rFonts w:hint="eastAsia" w:ascii="宋体" w:hAnsi="宋体" w:eastAsia="仿宋_GB2312" w:cs="仿宋_GB2312"/>
          <w:kern w:val="0"/>
          <w:szCs w:val="32"/>
        </w:rPr>
        <w:t>　本法自2008年1月1日起施行。</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32"/>
          <w:szCs w:val="32"/>
          <w:lang w:eastAsia="zh-CN"/>
        </w:rPr>
      </w:pP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 w:val="32"/>
          <w:szCs w:val="32"/>
          <w:lang w:eastAsia="zh-CN"/>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ordWrap/>
        <w:spacing w:line="560" w:lineRule="exact"/>
        <w:jc w:val="center"/>
        <w:textAlignment w:val="auto"/>
        <w:outlineLvl w:val="0"/>
        <w:rPr>
          <w:rFonts w:hint="eastAsia" w:ascii="宋体" w:hAnsi="宋体" w:eastAsia="宋体" w:cs="宋体"/>
          <w:sz w:val="44"/>
          <w:szCs w:val="44"/>
        </w:rPr>
      </w:pPr>
      <w:bookmarkStart w:id="216" w:name="_Toc16789"/>
      <w:r>
        <w:rPr>
          <w:rFonts w:hint="eastAsia" w:ascii="宋体" w:hAnsi="宋体" w:eastAsia="宋体" w:cs="宋体"/>
          <w:sz w:val="44"/>
          <w:szCs w:val="44"/>
        </w:rPr>
        <w:t>中华人民共和国慈善法</w:t>
      </w:r>
      <w:bookmarkEnd w:id="216"/>
    </w:p>
    <w:p>
      <w:pPr>
        <w:wordWrap/>
        <w:spacing w:line="560" w:lineRule="exact"/>
        <w:textAlignment w:val="auto"/>
        <w:rPr>
          <w:rFonts w:hint="eastAsia"/>
        </w:rPr>
      </w:pPr>
    </w:p>
    <w:p>
      <w:pPr>
        <w:wordWrap/>
        <w:spacing w:line="560" w:lineRule="exact"/>
        <w:ind w:left="640" w:leftChars="200" w:right="525" w:rightChars="164" w:firstLine="0" w:firstLineChars="0"/>
        <w:textAlignment w:val="auto"/>
        <w:rPr>
          <w:rFonts w:hint="eastAsia" w:ascii="楷体" w:hAnsi="楷体" w:eastAsia="楷体" w:cs="楷体"/>
        </w:rPr>
      </w:pPr>
      <w:r>
        <w:rPr>
          <w:rFonts w:hint="eastAsia" w:ascii="楷体" w:hAnsi="楷体" w:eastAsia="楷体" w:cs="楷体"/>
        </w:rPr>
        <w:t>（2016年3月16日第十二届全国人民代表大会第四次会议通过）</w:t>
      </w:r>
    </w:p>
    <w:p>
      <w:pPr>
        <w:wordWrap/>
        <w:spacing w:line="560" w:lineRule="exact"/>
        <w:textAlignment w:val="auto"/>
        <w:rPr>
          <w:rFonts w:hint="eastAsia" w:ascii="楷体" w:hAnsi="楷体" w:eastAsia="楷体" w:cs="楷体"/>
        </w:rPr>
      </w:pPr>
      <w:r>
        <w:rPr>
          <w:rFonts w:hint="eastAsia" w:ascii="楷体" w:hAnsi="楷体" w:eastAsia="楷体" w:cs="楷体"/>
        </w:rPr>
        <w:t>　　</w:t>
      </w:r>
    </w:p>
    <w:p>
      <w:pPr>
        <w:wordWrap/>
        <w:spacing w:line="560" w:lineRule="exact"/>
        <w:jc w:val="center"/>
        <w:textAlignment w:val="auto"/>
        <w:rPr>
          <w:rFonts w:hint="eastAsia" w:ascii="楷体" w:hAnsi="楷体" w:eastAsia="楷体" w:cs="楷体"/>
        </w:rPr>
      </w:pPr>
      <w:r>
        <w:rPr>
          <w:rFonts w:hint="eastAsia" w:ascii="楷体" w:hAnsi="楷体" w:eastAsia="楷体" w:cs="楷体"/>
        </w:rPr>
        <w:t>目录</w:t>
      </w:r>
    </w:p>
    <w:p>
      <w:pPr>
        <w:wordWrap/>
        <w:spacing w:line="560" w:lineRule="exact"/>
        <w:textAlignment w:val="auto"/>
        <w:rPr>
          <w:rFonts w:hint="eastAsia" w:ascii="楷体" w:hAnsi="楷体" w:eastAsia="楷体" w:cs="楷体"/>
        </w:rPr>
      </w:pPr>
      <w:r>
        <w:rPr>
          <w:rFonts w:hint="eastAsia" w:ascii="楷体" w:hAnsi="楷体" w:eastAsia="楷体" w:cs="楷体"/>
        </w:rPr>
        <w:t>　 第一章　总则</w:t>
      </w:r>
    </w:p>
    <w:p>
      <w:pPr>
        <w:wordWrap/>
        <w:spacing w:line="560" w:lineRule="exact"/>
        <w:textAlignment w:val="auto"/>
        <w:rPr>
          <w:rFonts w:hint="eastAsia" w:ascii="楷体" w:hAnsi="楷体" w:eastAsia="楷体" w:cs="楷体"/>
        </w:rPr>
      </w:pPr>
      <w:r>
        <w:rPr>
          <w:rFonts w:hint="eastAsia" w:ascii="楷体" w:hAnsi="楷体" w:eastAsia="楷体" w:cs="楷体"/>
        </w:rPr>
        <w:t>　 第二章　慈善组织</w:t>
      </w:r>
    </w:p>
    <w:p>
      <w:pPr>
        <w:wordWrap/>
        <w:spacing w:line="560" w:lineRule="exact"/>
        <w:textAlignment w:val="auto"/>
        <w:rPr>
          <w:rFonts w:hint="eastAsia" w:ascii="楷体" w:hAnsi="楷体" w:eastAsia="楷体" w:cs="楷体"/>
        </w:rPr>
      </w:pPr>
      <w:r>
        <w:rPr>
          <w:rFonts w:hint="eastAsia" w:ascii="楷体" w:hAnsi="楷体" w:eastAsia="楷体" w:cs="楷体"/>
        </w:rPr>
        <w:t>　 第三章　慈善募捐</w:t>
      </w:r>
    </w:p>
    <w:p>
      <w:pPr>
        <w:wordWrap/>
        <w:spacing w:line="560" w:lineRule="exact"/>
        <w:textAlignment w:val="auto"/>
        <w:rPr>
          <w:rFonts w:hint="eastAsia" w:ascii="楷体" w:hAnsi="楷体" w:eastAsia="楷体" w:cs="楷体"/>
        </w:rPr>
      </w:pPr>
      <w:r>
        <w:rPr>
          <w:rFonts w:hint="eastAsia" w:ascii="楷体" w:hAnsi="楷体" w:eastAsia="楷体" w:cs="楷体"/>
        </w:rPr>
        <w:t>　 第四章　慈善捐赠</w:t>
      </w:r>
    </w:p>
    <w:p>
      <w:pPr>
        <w:wordWrap/>
        <w:spacing w:line="560" w:lineRule="exact"/>
        <w:textAlignment w:val="auto"/>
        <w:rPr>
          <w:rFonts w:hint="eastAsia" w:ascii="楷体" w:hAnsi="楷体" w:eastAsia="楷体" w:cs="楷体"/>
        </w:rPr>
      </w:pPr>
      <w:r>
        <w:rPr>
          <w:rFonts w:hint="eastAsia" w:ascii="楷体" w:hAnsi="楷体" w:eastAsia="楷体" w:cs="楷体"/>
        </w:rPr>
        <w:t>　 第五章　慈善信托</w:t>
      </w:r>
    </w:p>
    <w:p>
      <w:pPr>
        <w:wordWrap/>
        <w:spacing w:line="560" w:lineRule="exact"/>
        <w:textAlignment w:val="auto"/>
        <w:rPr>
          <w:rFonts w:hint="eastAsia" w:ascii="楷体" w:hAnsi="楷体" w:eastAsia="楷体" w:cs="楷体"/>
        </w:rPr>
      </w:pPr>
      <w:r>
        <w:rPr>
          <w:rFonts w:hint="eastAsia" w:ascii="楷体" w:hAnsi="楷体" w:eastAsia="楷体" w:cs="楷体"/>
        </w:rPr>
        <w:t>　 第六章　慈善财产</w:t>
      </w:r>
    </w:p>
    <w:p>
      <w:pPr>
        <w:wordWrap/>
        <w:spacing w:line="560" w:lineRule="exact"/>
        <w:textAlignment w:val="auto"/>
        <w:rPr>
          <w:rFonts w:hint="eastAsia" w:ascii="楷体" w:hAnsi="楷体" w:eastAsia="楷体" w:cs="楷体"/>
        </w:rPr>
      </w:pPr>
      <w:r>
        <w:rPr>
          <w:rFonts w:hint="eastAsia" w:ascii="楷体" w:hAnsi="楷体" w:eastAsia="楷体" w:cs="楷体"/>
        </w:rPr>
        <w:t>　 第七章　慈善服务</w:t>
      </w:r>
    </w:p>
    <w:p>
      <w:pPr>
        <w:wordWrap/>
        <w:spacing w:line="560" w:lineRule="exact"/>
        <w:textAlignment w:val="auto"/>
        <w:rPr>
          <w:rFonts w:hint="eastAsia" w:ascii="楷体" w:hAnsi="楷体" w:eastAsia="楷体" w:cs="楷体"/>
        </w:rPr>
      </w:pPr>
      <w:r>
        <w:rPr>
          <w:rFonts w:hint="eastAsia" w:ascii="楷体" w:hAnsi="楷体" w:eastAsia="楷体" w:cs="楷体"/>
        </w:rPr>
        <w:t>　 第八章　信息公开</w:t>
      </w:r>
    </w:p>
    <w:p>
      <w:pPr>
        <w:wordWrap/>
        <w:spacing w:line="560" w:lineRule="exact"/>
        <w:textAlignment w:val="auto"/>
        <w:rPr>
          <w:rFonts w:hint="eastAsia" w:ascii="楷体" w:hAnsi="楷体" w:eastAsia="楷体" w:cs="楷体"/>
        </w:rPr>
      </w:pPr>
      <w:r>
        <w:rPr>
          <w:rFonts w:hint="eastAsia" w:ascii="楷体" w:hAnsi="楷体" w:eastAsia="楷体" w:cs="楷体"/>
        </w:rPr>
        <w:t>　 第九章　促进措施</w:t>
      </w:r>
    </w:p>
    <w:p>
      <w:pPr>
        <w:wordWrap/>
        <w:spacing w:line="560" w:lineRule="exact"/>
        <w:textAlignment w:val="auto"/>
        <w:rPr>
          <w:rFonts w:hint="eastAsia" w:ascii="楷体" w:hAnsi="楷体" w:eastAsia="楷体" w:cs="楷体"/>
        </w:rPr>
      </w:pPr>
      <w:r>
        <w:rPr>
          <w:rFonts w:hint="eastAsia" w:ascii="楷体" w:hAnsi="楷体" w:eastAsia="楷体" w:cs="楷体"/>
        </w:rPr>
        <w:t>　 第十章　监督管理</w:t>
      </w:r>
    </w:p>
    <w:p>
      <w:pPr>
        <w:wordWrap/>
        <w:spacing w:line="560" w:lineRule="exact"/>
        <w:textAlignment w:val="auto"/>
        <w:rPr>
          <w:rFonts w:hint="eastAsia" w:ascii="楷体" w:hAnsi="楷体" w:eastAsia="楷体" w:cs="楷体"/>
        </w:rPr>
      </w:pPr>
      <w:r>
        <w:rPr>
          <w:rFonts w:hint="eastAsia" w:ascii="楷体" w:hAnsi="楷体" w:eastAsia="楷体" w:cs="楷体"/>
        </w:rPr>
        <w:t>　 第十一章　法律责任</w:t>
      </w:r>
    </w:p>
    <w:p>
      <w:pPr>
        <w:wordWrap/>
        <w:spacing w:line="560" w:lineRule="exact"/>
        <w:textAlignment w:val="auto"/>
        <w:rPr>
          <w:rFonts w:hint="eastAsia" w:ascii="楷体" w:hAnsi="楷体" w:eastAsia="楷体" w:cs="楷体"/>
        </w:rPr>
      </w:pPr>
      <w:r>
        <w:rPr>
          <w:rFonts w:hint="eastAsia" w:ascii="楷体" w:hAnsi="楷体" w:eastAsia="楷体" w:cs="楷体"/>
        </w:rPr>
        <w:t>　 第十二章　附则</w:t>
      </w:r>
    </w:p>
    <w:p>
      <w:pPr>
        <w:pStyle w:val="3"/>
        <w:rPr>
          <w:rFonts w:hint="eastAsia"/>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第一章　总则</w:t>
      </w:r>
    </w:p>
    <w:p>
      <w:pPr>
        <w:pStyle w:val="3"/>
        <w:rPr>
          <w:rFonts w:hint="eastAsia"/>
        </w:rPr>
      </w:pPr>
    </w:p>
    <w:p>
      <w:pPr>
        <w:wordWrap/>
        <w:spacing w:line="560" w:lineRule="exact"/>
        <w:textAlignment w:val="auto"/>
        <w:rPr>
          <w:rFonts w:hint="eastAsia"/>
        </w:rPr>
      </w:pPr>
      <w:r>
        <w:rPr>
          <w:rFonts w:hint="eastAsia"/>
        </w:rPr>
        <w:t>　　</w:t>
      </w:r>
      <w:r>
        <w:rPr>
          <w:rFonts w:hint="eastAsia" w:ascii="黑体" w:hAnsi="黑体" w:eastAsia="黑体" w:cs="黑体"/>
        </w:rPr>
        <w:t>第一条</w:t>
      </w:r>
      <w:r>
        <w:rPr>
          <w:rFonts w:hint="eastAsia"/>
        </w:rPr>
        <w:t>　为了发展慈善事业，弘扬慈善文化，规范慈善活动，保护慈善组织、捐赠人、志愿者、受益人等慈善活动参与者的合法权益，促进社会进步，共享发展成果，制定本法。</w:t>
      </w:r>
    </w:p>
    <w:p>
      <w:pPr>
        <w:wordWrap/>
        <w:spacing w:line="560" w:lineRule="exact"/>
        <w:textAlignment w:val="auto"/>
        <w:rPr>
          <w:rFonts w:hint="eastAsia"/>
        </w:rPr>
      </w:pPr>
      <w:r>
        <w:rPr>
          <w:rFonts w:hint="eastAsia"/>
        </w:rPr>
        <w:t>　　</w:t>
      </w:r>
      <w:r>
        <w:rPr>
          <w:rFonts w:hint="eastAsia" w:ascii="黑体" w:hAnsi="黑体" w:eastAsia="黑体" w:cs="黑体"/>
        </w:rPr>
        <w:t>第二条</w:t>
      </w:r>
      <w:r>
        <w:rPr>
          <w:rFonts w:hint="eastAsia"/>
        </w:rPr>
        <w:t>　自然人、法人和其他组织开展慈善活动以及与慈善有关的活动，适用本法。其他法律有特别规定的，依照其规定。</w:t>
      </w:r>
    </w:p>
    <w:p>
      <w:pPr>
        <w:wordWrap/>
        <w:spacing w:line="560" w:lineRule="exact"/>
        <w:textAlignment w:val="auto"/>
        <w:rPr>
          <w:rFonts w:hint="eastAsia"/>
        </w:rPr>
      </w:pPr>
      <w:r>
        <w:rPr>
          <w:rFonts w:hint="eastAsia"/>
        </w:rPr>
        <w:t>　　</w:t>
      </w:r>
      <w:r>
        <w:rPr>
          <w:rFonts w:hint="eastAsia" w:ascii="黑体" w:hAnsi="黑体" w:eastAsia="黑体" w:cs="黑体"/>
        </w:rPr>
        <w:t>第三条</w:t>
      </w:r>
      <w:r>
        <w:rPr>
          <w:rFonts w:hint="eastAsia"/>
        </w:rPr>
        <w:t>　本法所称慈善活动，是指自然人、法人和其他组织以捐赠财产或者提供服务等方式，自愿开展的下列公益活动：</w:t>
      </w:r>
    </w:p>
    <w:p>
      <w:pPr>
        <w:wordWrap/>
        <w:spacing w:line="560" w:lineRule="exact"/>
        <w:textAlignment w:val="auto"/>
        <w:rPr>
          <w:rFonts w:hint="eastAsia"/>
        </w:rPr>
      </w:pPr>
      <w:r>
        <w:rPr>
          <w:rFonts w:hint="eastAsia"/>
        </w:rPr>
        <w:t>　　（一）扶贫、济困；</w:t>
      </w:r>
    </w:p>
    <w:p>
      <w:pPr>
        <w:wordWrap/>
        <w:spacing w:line="560" w:lineRule="exact"/>
        <w:textAlignment w:val="auto"/>
        <w:rPr>
          <w:rFonts w:hint="eastAsia"/>
        </w:rPr>
      </w:pPr>
      <w:r>
        <w:rPr>
          <w:rFonts w:hint="eastAsia"/>
        </w:rPr>
        <w:t>　　（二）扶老、救孤、恤病、助残、优抚；</w:t>
      </w:r>
    </w:p>
    <w:p>
      <w:pPr>
        <w:wordWrap/>
        <w:spacing w:line="560" w:lineRule="exact"/>
        <w:textAlignment w:val="auto"/>
        <w:rPr>
          <w:rFonts w:hint="eastAsia"/>
        </w:rPr>
      </w:pPr>
      <w:r>
        <w:rPr>
          <w:rFonts w:hint="eastAsia"/>
        </w:rPr>
        <w:t>　　（三）救助自然灾害、事故灾难和公共卫生事件等突发事件造成的损害；</w:t>
      </w:r>
    </w:p>
    <w:p>
      <w:pPr>
        <w:wordWrap/>
        <w:spacing w:line="560" w:lineRule="exact"/>
        <w:textAlignment w:val="auto"/>
        <w:rPr>
          <w:rFonts w:hint="eastAsia"/>
        </w:rPr>
      </w:pPr>
      <w:r>
        <w:rPr>
          <w:rFonts w:hint="eastAsia"/>
        </w:rPr>
        <w:t>　　（四）促进教育、科学、文化、卫生、体育等事业的发展；</w:t>
      </w:r>
    </w:p>
    <w:p>
      <w:pPr>
        <w:wordWrap/>
        <w:spacing w:line="560" w:lineRule="exact"/>
        <w:textAlignment w:val="auto"/>
        <w:rPr>
          <w:rFonts w:hint="eastAsia"/>
        </w:rPr>
      </w:pPr>
      <w:r>
        <w:rPr>
          <w:rFonts w:hint="eastAsia"/>
        </w:rPr>
        <w:t>　　（五）防治污染和其他公害，保护和改善生态环境；</w:t>
      </w:r>
    </w:p>
    <w:p>
      <w:pPr>
        <w:wordWrap/>
        <w:spacing w:line="560" w:lineRule="exact"/>
        <w:textAlignment w:val="auto"/>
        <w:rPr>
          <w:rFonts w:hint="eastAsia"/>
        </w:rPr>
      </w:pPr>
      <w:r>
        <w:rPr>
          <w:rFonts w:hint="eastAsia"/>
        </w:rPr>
        <w:t>　　（六）符合本法规定的其他公益活动。</w:t>
      </w:r>
    </w:p>
    <w:p>
      <w:pPr>
        <w:wordWrap/>
        <w:spacing w:line="560" w:lineRule="exact"/>
        <w:textAlignment w:val="auto"/>
        <w:rPr>
          <w:rFonts w:hint="eastAsia"/>
        </w:rPr>
      </w:pPr>
      <w:r>
        <w:rPr>
          <w:rFonts w:hint="eastAsia"/>
        </w:rPr>
        <w:t>　　</w:t>
      </w:r>
      <w:r>
        <w:rPr>
          <w:rFonts w:hint="eastAsia" w:ascii="黑体" w:hAnsi="黑体" w:eastAsia="黑体" w:cs="黑体"/>
        </w:rPr>
        <w:t>第四条</w:t>
      </w:r>
      <w:r>
        <w:rPr>
          <w:rFonts w:hint="eastAsia"/>
        </w:rPr>
        <w:t>　开展慈善活动，应当遵循合法、自愿、诚信、非营利的原则，不得违背社会公德，不得危害国家安全、损害社会公共利益和他人合法权益。</w:t>
      </w:r>
    </w:p>
    <w:p>
      <w:pPr>
        <w:wordWrap/>
        <w:spacing w:line="560" w:lineRule="exact"/>
        <w:textAlignment w:val="auto"/>
        <w:rPr>
          <w:rFonts w:hint="eastAsia"/>
        </w:rPr>
      </w:pPr>
      <w:r>
        <w:rPr>
          <w:rFonts w:hint="eastAsia"/>
        </w:rPr>
        <w:t>　　</w:t>
      </w:r>
      <w:r>
        <w:rPr>
          <w:rFonts w:hint="eastAsia" w:ascii="黑体" w:hAnsi="黑体" w:eastAsia="黑体" w:cs="黑体"/>
        </w:rPr>
        <w:t>第五条</w:t>
      </w:r>
      <w:r>
        <w:rPr>
          <w:rFonts w:hint="eastAsia"/>
        </w:rPr>
        <w:t>　国家鼓励和支持自然人、法人和其他组织践行社会主义核心价值观，弘扬中华民族传统美德，依法开展慈善活动。</w:t>
      </w:r>
    </w:p>
    <w:p>
      <w:pPr>
        <w:wordWrap/>
        <w:spacing w:line="560" w:lineRule="exact"/>
        <w:textAlignment w:val="auto"/>
        <w:rPr>
          <w:rFonts w:hint="eastAsia"/>
        </w:rPr>
      </w:pPr>
      <w:r>
        <w:rPr>
          <w:rFonts w:hint="eastAsia"/>
        </w:rPr>
        <w:t>　　</w:t>
      </w:r>
      <w:r>
        <w:rPr>
          <w:rFonts w:hint="eastAsia" w:ascii="黑体" w:hAnsi="黑体" w:eastAsia="黑体" w:cs="黑体"/>
        </w:rPr>
        <w:t>第六条</w:t>
      </w:r>
      <w:r>
        <w:rPr>
          <w:rFonts w:hint="eastAsia"/>
        </w:rPr>
        <w:t>　国务院民政部门主管全国慈善工作，县级以上地方各级人民政府民政部门主管本行政区域内的慈善工作；县级以上人民政府有关部门依照本法和其他有关法律法规，在各自的职责范围内做好相关工作。</w:t>
      </w:r>
    </w:p>
    <w:p>
      <w:pPr>
        <w:wordWrap/>
        <w:spacing w:line="560" w:lineRule="exact"/>
        <w:textAlignment w:val="auto"/>
        <w:rPr>
          <w:rFonts w:hint="eastAsia"/>
        </w:rPr>
      </w:pPr>
      <w:r>
        <w:rPr>
          <w:rFonts w:hint="eastAsia"/>
        </w:rPr>
        <w:t>　　</w:t>
      </w:r>
      <w:r>
        <w:rPr>
          <w:rFonts w:hint="eastAsia" w:ascii="黑体" w:hAnsi="黑体" w:eastAsia="黑体" w:cs="黑体"/>
        </w:rPr>
        <w:t>第七条　</w:t>
      </w:r>
      <w:r>
        <w:rPr>
          <w:rFonts w:hint="eastAsia"/>
        </w:rPr>
        <w:t>每年9月5日为“中华慈善日”。</w:t>
      </w:r>
    </w:p>
    <w:p>
      <w:pPr>
        <w:wordWrap/>
        <w:spacing w:line="560" w:lineRule="exact"/>
        <w:jc w:val="center"/>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第二章　慈善组织</w:t>
      </w:r>
    </w:p>
    <w:p>
      <w:pPr>
        <w:pStyle w:val="3"/>
        <w:rPr>
          <w:rFonts w:hint="eastAsia"/>
        </w:rPr>
      </w:pPr>
    </w:p>
    <w:p>
      <w:pPr>
        <w:wordWrap/>
        <w:spacing w:line="560" w:lineRule="exact"/>
        <w:textAlignment w:val="auto"/>
        <w:rPr>
          <w:rFonts w:hint="eastAsia"/>
        </w:rPr>
      </w:pPr>
      <w:r>
        <w:rPr>
          <w:rFonts w:hint="eastAsia"/>
        </w:rPr>
        <w:t>　　</w:t>
      </w:r>
      <w:r>
        <w:rPr>
          <w:rFonts w:hint="eastAsia" w:ascii="黑体" w:hAnsi="黑体" w:eastAsia="黑体" w:cs="黑体"/>
        </w:rPr>
        <w:t>第八条</w:t>
      </w:r>
      <w:r>
        <w:rPr>
          <w:rFonts w:hint="eastAsia"/>
        </w:rPr>
        <w:t>　本法所称慈善组织，是指依法成立、符合本法规定，以面向社会开展慈善活动为宗旨的非营利性组织。</w:t>
      </w:r>
    </w:p>
    <w:p>
      <w:pPr>
        <w:wordWrap/>
        <w:spacing w:line="560" w:lineRule="exact"/>
        <w:textAlignment w:val="auto"/>
        <w:rPr>
          <w:rFonts w:hint="eastAsia"/>
        </w:rPr>
      </w:pPr>
      <w:r>
        <w:rPr>
          <w:rFonts w:hint="eastAsia"/>
        </w:rPr>
        <w:t>　　慈善组织可以采取基金会、社会团体、社会服务机构等组织形式。</w:t>
      </w:r>
    </w:p>
    <w:p>
      <w:pPr>
        <w:wordWrap/>
        <w:spacing w:line="560" w:lineRule="exact"/>
        <w:textAlignment w:val="auto"/>
        <w:rPr>
          <w:rFonts w:hint="eastAsia"/>
        </w:rPr>
      </w:pPr>
      <w:r>
        <w:rPr>
          <w:rFonts w:hint="eastAsia"/>
        </w:rPr>
        <w:t>　　</w:t>
      </w:r>
      <w:r>
        <w:rPr>
          <w:rFonts w:hint="eastAsia" w:ascii="黑体" w:hAnsi="黑体" w:eastAsia="黑体" w:cs="黑体"/>
        </w:rPr>
        <w:t>第九条</w:t>
      </w:r>
      <w:r>
        <w:rPr>
          <w:rFonts w:hint="eastAsia"/>
        </w:rPr>
        <w:t>　慈善组织应当符合下列条件：</w:t>
      </w:r>
    </w:p>
    <w:p>
      <w:pPr>
        <w:wordWrap/>
        <w:spacing w:line="560" w:lineRule="exact"/>
        <w:textAlignment w:val="auto"/>
        <w:rPr>
          <w:rFonts w:hint="eastAsia"/>
        </w:rPr>
      </w:pPr>
      <w:r>
        <w:rPr>
          <w:rFonts w:hint="eastAsia"/>
        </w:rPr>
        <w:t>　　（一）以开展慈善活动为宗旨；</w:t>
      </w:r>
    </w:p>
    <w:p>
      <w:pPr>
        <w:wordWrap/>
        <w:spacing w:line="560" w:lineRule="exact"/>
        <w:textAlignment w:val="auto"/>
        <w:rPr>
          <w:rFonts w:hint="eastAsia"/>
        </w:rPr>
      </w:pPr>
      <w:r>
        <w:rPr>
          <w:rFonts w:hint="eastAsia"/>
        </w:rPr>
        <w:t>　　（二）不以营利为目的；</w:t>
      </w:r>
    </w:p>
    <w:p>
      <w:pPr>
        <w:wordWrap/>
        <w:spacing w:line="560" w:lineRule="exact"/>
        <w:textAlignment w:val="auto"/>
        <w:rPr>
          <w:rFonts w:hint="eastAsia"/>
        </w:rPr>
      </w:pPr>
      <w:r>
        <w:rPr>
          <w:rFonts w:hint="eastAsia"/>
        </w:rPr>
        <w:t>　　（三）有自己的名称和住所；</w:t>
      </w:r>
    </w:p>
    <w:p>
      <w:pPr>
        <w:wordWrap/>
        <w:spacing w:line="560" w:lineRule="exact"/>
        <w:textAlignment w:val="auto"/>
        <w:rPr>
          <w:rFonts w:hint="eastAsia"/>
        </w:rPr>
      </w:pPr>
      <w:r>
        <w:rPr>
          <w:rFonts w:hint="eastAsia"/>
        </w:rPr>
        <w:t>　　（四）有组织章程；</w:t>
      </w:r>
    </w:p>
    <w:p>
      <w:pPr>
        <w:wordWrap/>
        <w:spacing w:line="560" w:lineRule="exact"/>
        <w:textAlignment w:val="auto"/>
        <w:rPr>
          <w:rFonts w:hint="eastAsia"/>
        </w:rPr>
      </w:pPr>
      <w:r>
        <w:rPr>
          <w:rFonts w:hint="eastAsia"/>
        </w:rPr>
        <w:t>　　（五）有必要的财产；</w:t>
      </w:r>
    </w:p>
    <w:p>
      <w:pPr>
        <w:wordWrap/>
        <w:spacing w:line="560" w:lineRule="exact"/>
        <w:textAlignment w:val="auto"/>
        <w:rPr>
          <w:rFonts w:hint="eastAsia"/>
        </w:rPr>
      </w:pPr>
      <w:r>
        <w:rPr>
          <w:rFonts w:hint="eastAsia"/>
        </w:rPr>
        <w:t>　　（六）有符合条件的组织机构和负责人；</w:t>
      </w:r>
    </w:p>
    <w:p>
      <w:pPr>
        <w:wordWrap/>
        <w:spacing w:line="560" w:lineRule="exact"/>
        <w:textAlignment w:val="auto"/>
        <w:rPr>
          <w:rFonts w:hint="eastAsia"/>
        </w:rPr>
      </w:pPr>
      <w:r>
        <w:rPr>
          <w:rFonts w:hint="eastAsia"/>
        </w:rPr>
        <w:t>　　（七）法律、行政法规规定的其他条件。</w:t>
      </w:r>
    </w:p>
    <w:p>
      <w:pPr>
        <w:wordWrap/>
        <w:spacing w:line="560" w:lineRule="exact"/>
        <w:textAlignment w:val="auto"/>
        <w:rPr>
          <w:rFonts w:hint="eastAsia"/>
        </w:rPr>
      </w:pPr>
      <w:r>
        <w:rPr>
          <w:rFonts w:hint="eastAsia"/>
        </w:rPr>
        <w:t>　　</w:t>
      </w:r>
      <w:r>
        <w:rPr>
          <w:rFonts w:hint="eastAsia" w:ascii="黑体" w:hAnsi="黑体" w:eastAsia="黑体" w:cs="黑体"/>
        </w:rPr>
        <w:t>第十条</w:t>
      </w:r>
      <w:r>
        <w:rPr>
          <w:rFonts w:hint="eastAsia"/>
        </w:rPr>
        <w:t>　设立慈善组织，应当向县级以上人民政府民政部门申请登记，民政部门应当自受理申请之日起三十日内作出决定。符合本法规定条件的，准予登记并向社会公告；不符合本法规定条件的，不予登记并书面说明理由。</w:t>
      </w:r>
    </w:p>
    <w:p>
      <w:pPr>
        <w:wordWrap/>
        <w:spacing w:line="560" w:lineRule="exact"/>
        <w:textAlignment w:val="auto"/>
        <w:rPr>
          <w:rFonts w:hint="eastAsia"/>
        </w:rPr>
      </w:pPr>
      <w:r>
        <w:rPr>
          <w:rFonts w:hint="eastAsia"/>
        </w:rPr>
        <w:t>　　本法公布前已经设立的基金会、社会团体、社会服务机构等非营利性组织，可以向其登记的民政部门申请认定为慈善组织，民政部门应当自受理申请之日起二十日内作出决定。符合慈善组织条件的，予以认定并向社会公告；不符合慈善组织条件的，不予认定并书面说明理由。</w:t>
      </w:r>
    </w:p>
    <w:p>
      <w:pPr>
        <w:wordWrap/>
        <w:spacing w:line="560" w:lineRule="exact"/>
        <w:textAlignment w:val="auto"/>
        <w:rPr>
          <w:rFonts w:hint="eastAsia"/>
        </w:rPr>
      </w:pPr>
      <w:r>
        <w:rPr>
          <w:rFonts w:hint="eastAsia"/>
        </w:rPr>
        <w:t>　　有特殊情况需要延长登记或者认定期限的，报经国务院民政部门批准，可以适当延长，但延长的期限不得超过六十日。</w:t>
      </w:r>
    </w:p>
    <w:p>
      <w:pPr>
        <w:wordWrap/>
        <w:spacing w:line="560" w:lineRule="exact"/>
        <w:textAlignment w:val="auto"/>
        <w:rPr>
          <w:rFonts w:hint="eastAsia"/>
        </w:rPr>
      </w:pPr>
      <w:r>
        <w:rPr>
          <w:rFonts w:hint="eastAsia"/>
        </w:rPr>
        <w:t>　　</w:t>
      </w:r>
      <w:r>
        <w:rPr>
          <w:rFonts w:hint="eastAsia" w:ascii="黑体" w:hAnsi="黑体" w:eastAsia="黑体" w:cs="黑体"/>
        </w:rPr>
        <w:t>第十一条</w:t>
      </w:r>
      <w:r>
        <w:rPr>
          <w:rFonts w:hint="eastAsia"/>
        </w:rPr>
        <w:t>　慈善组织的章程，应当符合法律法规的规定，并载明下列事项：</w:t>
      </w:r>
    </w:p>
    <w:p>
      <w:pPr>
        <w:wordWrap/>
        <w:spacing w:line="560" w:lineRule="exact"/>
        <w:textAlignment w:val="auto"/>
        <w:rPr>
          <w:rFonts w:hint="eastAsia"/>
        </w:rPr>
      </w:pPr>
      <w:r>
        <w:rPr>
          <w:rFonts w:hint="eastAsia"/>
        </w:rPr>
        <w:t>　　（一）名称和住所；</w:t>
      </w:r>
    </w:p>
    <w:p>
      <w:pPr>
        <w:wordWrap/>
        <w:spacing w:line="560" w:lineRule="exact"/>
        <w:textAlignment w:val="auto"/>
        <w:rPr>
          <w:rFonts w:hint="eastAsia"/>
        </w:rPr>
      </w:pPr>
      <w:r>
        <w:rPr>
          <w:rFonts w:hint="eastAsia"/>
        </w:rPr>
        <w:t>　　（二）组织形式；</w:t>
      </w:r>
    </w:p>
    <w:p>
      <w:pPr>
        <w:wordWrap/>
        <w:spacing w:line="560" w:lineRule="exact"/>
        <w:textAlignment w:val="auto"/>
        <w:rPr>
          <w:rFonts w:hint="eastAsia"/>
        </w:rPr>
      </w:pPr>
      <w:r>
        <w:rPr>
          <w:rFonts w:hint="eastAsia"/>
        </w:rPr>
        <w:t>　　（三）宗旨和活动范围；</w:t>
      </w:r>
    </w:p>
    <w:p>
      <w:pPr>
        <w:wordWrap/>
        <w:spacing w:line="560" w:lineRule="exact"/>
        <w:textAlignment w:val="auto"/>
        <w:rPr>
          <w:rFonts w:hint="eastAsia"/>
        </w:rPr>
      </w:pPr>
      <w:r>
        <w:rPr>
          <w:rFonts w:hint="eastAsia"/>
        </w:rPr>
        <w:t>　　（四）财产来源及构成；</w:t>
      </w:r>
    </w:p>
    <w:p>
      <w:pPr>
        <w:wordWrap/>
        <w:spacing w:line="560" w:lineRule="exact"/>
        <w:textAlignment w:val="auto"/>
        <w:rPr>
          <w:rFonts w:hint="eastAsia"/>
        </w:rPr>
      </w:pPr>
      <w:r>
        <w:rPr>
          <w:rFonts w:hint="eastAsia"/>
        </w:rPr>
        <w:t>　　（五）决策、执行机构的组成及职责；</w:t>
      </w:r>
    </w:p>
    <w:p>
      <w:pPr>
        <w:wordWrap/>
        <w:spacing w:line="560" w:lineRule="exact"/>
        <w:textAlignment w:val="auto"/>
        <w:rPr>
          <w:rFonts w:hint="eastAsia"/>
        </w:rPr>
      </w:pPr>
      <w:r>
        <w:rPr>
          <w:rFonts w:hint="eastAsia"/>
        </w:rPr>
        <w:t>　　（六）内部监督机制；</w:t>
      </w:r>
    </w:p>
    <w:p>
      <w:pPr>
        <w:wordWrap/>
        <w:spacing w:line="560" w:lineRule="exact"/>
        <w:textAlignment w:val="auto"/>
        <w:rPr>
          <w:rFonts w:hint="eastAsia"/>
        </w:rPr>
      </w:pPr>
      <w:r>
        <w:rPr>
          <w:rFonts w:hint="eastAsia"/>
        </w:rPr>
        <w:t>　　（七）财产管理使用制度；</w:t>
      </w:r>
    </w:p>
    <w:p>
      <w:pPr>
        <w:wordWrap/>
        <w:spacing w:line="560" w:lineRule="exact"/>
        <w:textAlignment w:val="auto"/>
        <w:rPr>
          <w:rFonts w:hint="eastAsia"/>
        </w:rPr>
      </w:pPr>
      <w:r>
        <w:rPr>
          <w:rFonts w:hint="eastAsia"/>
        </w:rPr>
        <w:t>　　（八）项目管理制度；</w:t>
      </w:r>
    </w:p>
    <w:p>
      <w:pPr>
        <w:wordWrap/>
        <w:spacing w:line="560" w:lineRule="exact"/>
        <w:textAlignment w:val="auto"/>
        <w:rPr>
          <w:rFonts w:hint="eastAsia"/>
        </w:rPr>
      </w:pPr>
      <w:r>
        <w:rPr>
          <w:rFonts w:hint="eastAsia"/>
        </w:rPr>
        <w:t>　　（九）终止情形及终止后的清算办法；</w:t>
      </w:r>
    </w:p>
    <w:p>
      <w:pPr>
        <w:wordWrap/>
        <w:spacing w:line="560" w:lineRule="exact"/>
        <w:textAlignment w:val="auto"/>
        <w:rPr>
          <w:rFonts w:hint="eastAsia"/>
        </w:rPr>
      </w:pPr>
      <w:r>
        <w:rPr>
          <w:rFonts w:hint="eastAsia"/>
        </w:rPr>
        <w:t>　　（十）其他重要事项。</w:t>
      </w:r>
    </w:p>
    <w:p>
      <w:pPr>
        <w:wordWrap/>
        <w:spacing w:line="560" w:lineRule="exact"/>
        <w:textAlignment w:val="auto"/>
        <w:rPr>
          <w:rFonts w:hint="eastAsia"/>
        </w:rPr>
      </w:pPr>
      <w:r>
        <w:rPr>
          <w:rFonts w:hint="eastAsia"/>
        </w:rPr>
        <w:t>　　</w:t>
      </w:r>
      <w:r>
        <w:rPr>
          <w:rFonts w:hint="eastAsia" w:ascii="黑体" w:hAnsi="黑体" w:eastAsia="黑体" w:cs="黑体"/>
        </w:rPr>
        <w:t>第十二条</w:t>
      </w:r>
      <w:r>
        <w:rPr>
          <w:rFonts w:hint="eastAsia"/>
        </w:rPr>
        <w:t>　慈善组织应当根据法律法规以及章程的规定，建立健全内部治理结构，明确决策、执行、监督等方面的职责权限，开展慈善活动。</w:t>
      </w:r>
    </w:p>
    <w:p>
      <w:pPr>
        <w:wordWrap/>
        <w:spacing w:line="560" w:lineRule="exact"/>
        <w:textAlignment w:val="auto"/>
        <w:rPr>
          <w:rFonts w:hint="eastAsia"/>
        </w:rPr>
      </w:pPr>
      <w:r>
        <w:rPr>
          <w:rFonts w:hint="eastAsia"/>
        </w:rPr>
        <w:t>　　慈善组织应当执行国家统一的会计制度，依法进行会计核算，建立健全会计监督制度，并接受政府有关部门的监督管理。</w:t>
      </w:r>
    </w:p>
    <w:p>
      <w:pPr>
        <w:wordWrap/>
        <w:spacing w:line="560" w:lineRule="exact"/>
        <w:textAlignment w:val="auto"/>
        <w:rPr>
          <w:rFonts w:hint="eastAsia"/>
        </w:rPr>
      </w:pPr>
      <w:r>
        <w:rPr>
          <w:rFonts w:hint="eastAsia"/>
        </w:rPr>
        <w:t>　　</w:t>
      </w:r>
      <w:r>
        <w:rPr>
          <w:rFonts w:hint="eastAsia" w:ascii="黑体" w:hAnsi="黑体" w:eastAsia="黑体" w:cs="黑体"/>
        </w:rPr>
        <w:t>第十三条</w:t>
      </w:r>
      <w:r>
        <w:rPr>
          <w:rFonts w:hint="eastAsia"/>
        </w:rPr>
        <w:t>　慈善组织应当每年向其登记的民政部门报送年度工作报告和财务会计报告。报告应当包括年度开展募捐和接受捐赠情况、慈善财产的管理使用情况、慈善项目实施情况以及慈善组织工作人员的工资福利情况。</w:t>
      </w:r>
    </w:p>
    <w:p>
      <w:pPr>
        <w:wordWrap/>
        <w:spacing w:line="560" w:lineRule="exact"/>
        <w:textAlignment w:val="auto"/>
        <w:rPr>
          <w:rFonts w:hint="eastAsia"/>
        </w:rPr>
      </w:pPr>
      <w:r>
        <w:rPr>
          <w:rFonts w:hint="eastAsia"/>
        </w:rPr>
        <w:t>　　</w:t>
      </w:r>
      <w:r>
        <w:rPr>
          <w:rFonts w:hint="eastAsia" w:ascii="黑体" w:hAnsi="黑体" w:eastAsia="黑体" w:cs="黑体"/>
        </w:rPr>
        <w:t>第十四条</w:t>
      </w:r>
      <w:r>
        <w:rPr>
          <w:rFonts w:hint="eastAsia"/>
        </w:rPr>
        <w:t>　慈善组织的发起人、主要捐赠人以及管理人员，不得利用其关联关系损害慈善组织、受益人的利益和社会公共利益。</w:t>
      </w:r>
    </w:p>
    <w:p>
      <w:pPr>
        <w:wordWrap/>
        <w:spacing w:line="560" w:lineRule="exact"/>
        <w:textAlignment w:val="auto"/>
        <w:rPr>
          <w:rFonts w:hint="eastAsia"/>
        </w:rPr>
      </w:pPr>
      <w:r>
        <w:rPr>
          <w:rFonts w:hint="eastAsia"/>
        </w:rPr>
        <w:t>　　慈善组织的发起人、主要捐赠人以及管理人员与慈善组织发生交易行为的，不得参与慈善组织有关该交易行为的决策，有关交易情况应当向社会公开。</w:t>
      </w:r>
    </w:p>
    <w:p>
      <w:pPr>
        <w:wordWrap/>
        <w:spacing w:line="560" w:lineRule="exact"/>
        <w:textAlignment w:val="auto"/>
        <w:rPr>
          <w:rFonts w:hint="eastAsia"/>
        </w:rPr>
      </w:pPr>
      <w:r>
        <w:rPr>
          <w:rFonts w:hint="eastAsia"/>
        </w:rPr>
        <w:t>　　</w:t>
      </w:r>
      <w:r>
        <w:rPr>
          <w:rFonts w:hint="eastAsia" w:ascii="黑体" w:hAnsi="黑体" w:eastAsia="黑体" w:cs="黑体"/>
        </w:rPr>
        <w:t>第十五条</w:t>
      </w:r>
      <w:r>
        <w:rPr>
          <w:rFonts w:hint="eastAsia"/>
        </w:rPr>
        <w:t>　慈善组织不得从事、资助危害国家安全和社会公共利益的活动，不得接受附加违反法律法规和违背社会公德条件的捐赠，不得对受益人附加违反法律法规和违背社会公德的条件。</w:t>
      </w:r>
    </w:p>
    <w:p>
      <w:pPr>
        <w:wordWrap/>
        <w:spacing w:line="560" w:lineRule="exact"/>
        <w:textAlignment w:val="auto"/>
        <w:rPr>
          <w:rFonts w:hint="eastAsia"/>
        </w:rPr>
      </w:pPr>
      <w:r>
        <w:rPr>
          <w:rFonts w:hint="eastAsia"/>
        </w:rPr>
        <w:t>　</w:t>
      </w:r>
      <w:r>
        <w:rPr>
          <w:rFonts w:hint="eastAsia" w:ascii="黑体" w:hAnsi="黑体" w:eastAsia="黑体" w:cs="黑体"/>
        </w:rPr>
        <w:t>　第十六条</w:t>
      </w:r>
      <w:r>
        <w:rPr>
          <w:rFonts w:hint="eastAsia"/>
        </w:rPr>
        <w:t>　有下列情形之一的，不得担任慈善组织的负责人：</w:t>
      </w:r>
    </w:p>
    <w:p>
      <w:pPr>
        <w:wordWrap/>
        <w:spacing w:line="560" w:lineRule="exact"/>
        <w:textAlignment w:val="auto"/>
        <w:rPr>
          <w:rFonts w:hint="eastAsia"/>
        </w:rPr>
      </w:pPr>
      <w:r>
        <w:rPr>
          <w:rFonts w:hint="eastAsia"/>
        </w:rPr>
        <w:t>　　（一）无民事行为能力或者限制民事行为能力的；</w:t>
      </w:r>
    </w:p>
    <w:p>
      <w:pPr>
        <w:wordWrap/>
        <w:spacing w:line="560" w:lineRule="exact"/>
        <w:textAlignment w:val="auto"/>
        <w:rPr>
          <w:rFonts w:hint="eastAsia"/>
        </w:rPr>
      </w:pPr>
      <w:r>
        <w:rPr>
          <w:rFonts w:hint="eastAsia"/>
        </w:rPr>
        <w:t>　　（二）因故意犯罪被判处刑罚，自刑罚执行完毕之日起未逾五年的；</w:t>
      </w:r>
    </w:p>
    <w:p>
      <w:pPr>
        <w:wordWrap/>
        <w:spacing w:line="560" w:lineRule="exact"/>
        <w:textAlignment w:val="auto"/>
        <w:rPr>
          <w:rFonts w:hint="eastAsia"/>
        </w:rPr>
      </w:pPr>
      <w:r>
        <w:rPr>
          <w:rFonts w:hint="eastAsia"/>
        </w:rPr>
        <w:t>　　（三）在被吊销登记证书或者被取缔的组织担任负责人，自该组织被吊销登记证书或者被取缔之日起未逾五年的；</w:t>
      </w:r>
    </w:p>
    <w:p>
      <w:pPr>
        <w:wordWrap/>
        <w:spacing w:line="560" w:lineRule="exact"/>
        <w:textAlignment w:val="auto"/>
        <w:rPr>
          <w:rFonts w:hint="eastAsia"/>
        </w:rPr>
      </w:pPr>
      <w:r>
        <w:rPr>
          <w:rFonts w:hint="eastAsia"/>
        </w:rPr>
        <w:t>　　（四）法律、行政法规规定的其他情形。</w:t>
      </w:r>
    </w:p>
    <w:p>
      <w:pPr>
        <w:wordWrap/>
        <w:spacing w:line="560" w:lineRule="exact"/>
        <w:textAlignment w:val="auto"/>
        <w:rPr>
          <w:rFonts w:hint="eastAsia"/>
        </w:rPr>
      </w:pPr>
      <w:r>
        <w:rPr>
          <w:rFonts w:hint="eastAsia"/>
        </w:rPr>
        <w:t>　　</w:t>
      </w:r>
      <w:r>
        <w:rPr>
          <w:rFonts w:hint="eastAsia" w:ascii="黑体" w:hAnsi="黑体" w:eastAsia="黑体" w:cs="黑体"/>
        </w:rPr>
        <w:t>第十七条</w:t>
      </w:r>
      <w:r>
        <w:rPr>
          <w:rFonts w:hint="eastAsia"/>
        </w:rPr>
        <w:t>　慈善组织有下列情形之一的，应当终止：</w:t>
      </w:r>
    </w:p>
    <w:p>
      <w:pPr>
        <w:wordWrap/>
        <w:spacing w:line="560" w:lineRule="exact"/>
        <w:textAlignment w:val="auto"/>
        <w:rPr>
          <w:rFonts w:hint="eastAsia"/>
        </w:rPr>
      </w:pPr>
      <w:r>
        <w:rPr>
          <w:rFonts w:hint="eastAsia"/>
        </w:rPr>
        <w:t>　　（一）出现章程规定的终止情形的；</w:t>
      </w:r>
    </w:p>
    <w:p>
      <w:pPr>
        <w:wordWrap/>
        <w:spacing w:line="560" w:lineRule="exact"/>
        <w:textAlignment w:val="auto"/>
        <w:rPr>
          <w:rFonts w:hint="eastAsia"/>
        </w:rPr>
      </w:pPr>
      <w:r>
        <w:rPr>
          <w:rFonts w:hint="eastAsia"/>
        </w:rPr>
        <w:t>　　（二）因分立、合并需要终止的；</w:t>
      </w:r>
    </w:p>
    <w:p>
      <w:pPr>
        <w:wordWrap/>
        <w:spacing w:line="560" w:lineRule="exact"/>
        <w:textAlignment w:val="auto"/>
        <w:rPr>
          <w:rFonts w:hint="eastAsia"/>
        </w:rPr>
      </w:pPr>
      <w:r>
        <w:rPr>
          <w:rFonts w:hint="eastAsia"/>
        </w:rPr>
        <w:t>　　（三）连续二年未从事慈善活动的；</w:t>
      </w:r>
    </w:p>
    <w:p>
      <w:pPr>
        <w:wordWrap/>
        <w:spacing w:line="560" w:lineRule="exact"/>
        <w:textAlignment w:val="auto"/>
        <w:rPr>
          <w:rFonts w:hint="eastAsia"/>
        </w:rPr>
      </w:pPr>
      <w:r>
        <w:rPr>
          <w:rFonts w:hint="eastAsia"/>
        </w:rPr>
        <w:t>　　（四）依法被撤销登记或者吊销登记证书的；</w:t>
      </w:r>
    </w:p>
    <w:p>
      <w:pPr>
        <w:wordWrap/>
        <w:spacing w:line="560" w:lineRule="exact"/>
        <w:textAlignment w:val="auto"/>
        <w:rPr>
          <w:rFonts w:hint="eastAsia"/>
        </w:rPr>
      </w:pPr>
      <w:r>
        <w:rPr>
          <w:rFonts w:hint="eastAsia"/>
        </w:rPr>
        <w:t>　　（五）法律、行政法规规定应当终止的其他情形。</w:t>
      </w:r>
    </w:p>
    <w:p>
      <w:pPr>
        <w:wordWrap/>
        <w:spacing w:line="560" w:lineRule="exact"/>
        <w:textAlignment w:val="auto"/>
        <w:rPr>
          <w:rFonts w:hint="eastAsia"/>
        </w:rPr>
      </w:pPr>
      <w:r>
        <w:rPr>
          <w:rFonts w:hint="eastAsia"/>
        </w:rPr>
        <w:t>　</w:t>
      </w:r>
      <w:r>
        <w:rPr>
          <w:rFonts w:hint="eastAsia" w:ascii="黑体" w:hAnsi="黑体" w:eastAsia="黑体" w:cs="黑体"/>
        </w:rPr>
        <w:t>　第十八条</w:t>
      </w:r>
      <w:r>
        <w:rPr>
          <w:rFonts w:hint="eastAsia"/>
        </w:rPr>
        <w:t>　慈善组织终止，应当进行清算。</w:t>
      </w:r>
    </w:p>
    <w:p>
      <w:pPr>
        <w:wordWrap/>
        <w:spacing w:line="560" w:lineRule="exact"/>
        <w:textAlignment w:val="auto"/>
        <w:rPr>
          <w:rFonts w:hint="eastAsia"/>
        </w:rPr>
      </w:pPr>
      <w:r>
        <w:rPr>
          <w:rFonts w:hint="eastAsia"/>
        </w:rPr>
        <w:t>　　慈善组织的决策机构应当在本法第十七条规定的终止情形出现之日起三十日内成立清算组进行清算，并向社会公告。不成立清算组或者清算组不履行职责的，民政部门可以申请人民法院指定有关人员组成清算组进行清算。</w:t>
      </w:r>
    </w:p>
    <w:p>
      <w:pPr>
        <w:wordWrap/>
        <w:spacing w:line="560" w:lineRule="exact"/>
        <w:textAlignment w:val="auto"/>
        <w:rPr>
          <w:rFonts w:hint="eastAsia"/>
        </w:rPr>
      </w:pPr>
      <w:r>
        <w:rPr>
          <w:rFonts w:hint="eastAsia"/>
        </w:rPr>
        <w:t>　　慈善组织清算后的剩余财产，应当按照慈善组织章程的规定转给宗旨相同或者相近的慈善组织；章程未规定的，由民政部门主持转给宗旨相同或者相近的慈善组织，并向社会公告。</w:t>
      </w:r>
    </w:p>
    <w:p>
      <w:pPr>
        <w:wordWrap/>
        <w:spacing w:line="560" w:lineRule="exact"/>
        <w:textAlignment w:val="auto"/>
        <w:rPr>
          <w:rFonts w:hint="eastAsia"/>
        </w:rPr>
      </w:pPr>
      <w:r>
        <w:rPr>
          <w:rFonts w:hint="eastAsia"/>
        </w:rPr>
        <w:t>　　慈善组织清算结束后，应当向其登记的民政部门办理注销登记，并由民政部门向社会公告。</w:t>
      </w:r>
    </w:p>
    <w:p>
      <w:pPr>
        <w:wordWrap/>
        <w:spacing w:line="560" w:lineRule="exact"/>
        <w:textAlignment w:val="auto"/>
        <w:rPr>
          <w:rFonts w:hint="eastAsia"/>
        </w:rPr>
      </w:pPr>
      <w:r>
        <w:rPr>
          <w:rFonts w:hint="eastAsia"/>
        </w:rPr>
        <w:t>　　</w:t>
      </w:r>
      <w:r>
        <w:rPr>
          <w:rFonts w:hint="eastAsia" w:ascii="黑体" w:hAnsi="黑体" w:eastAsia="黑体" w:cs="黑体"/>
        </w:rPr>
        <w:t>第十九条</w:t>
      </w:r>
      <w:r>
        <w:rPr>
          <w:rFonts w:hint="eastAsia"/>
        </w:rPr>
        <w:t>　慈善组织依法成立行业组织。</w:t>
      </w:r>
    </w:p>
    <w:p>
      <w:pPr>
        <w:wordWrap/>
        <w:spacing w:line="560" w:lineRule="exact"/>
        <w:textAlignment w:val="auto"/>
        <w:rPr>
          <w:rFonts w:hint="eastAsia"/>
        </w:rPr>
      </w:pPr>
      <w:r>
        <w:rPr>
          <w:rFonts w:hint="eastAsia"/>
        </w:rPr>
        <w:t>　　慈善行业组织应当反映行业诉求，推动行业交流，提高慈善行业公信力，促进慈善事业发展。</w:t>
      </w:r>
    </w:p>
    <w:p>
      <w:pPr>
        <w:wordWrap/>
        <w:spacing w:line="560" w:lineRule="exact"/>
        <w:ind w:firstLine="640"/>
        <w:textAlignment w:val="auto"/>
        <w:rPr>
          <w:rFonts w:hint="eastAsia"/>
        </w:rPr>
      </w:pPr>
      <w:r>
        <w:rPr>
          <w:rFonts w:hint="eastAsia" w:ascii="黑体" w:hAnsi="黑体" w:eastAsia="黑体" w:cs="黑体"/>
        </w:rPr>
        <w:t>第二十条</w:t>
      </w:r>
      <w:r>
        <w:rPr>
          <w:rFonts w:hint="eastAsia"/>
        </w:rPr>
        <w:t>　慈善组织的组织形式、登记管理的具体办法由国务院制定。</w:t>
      </w:r>
    </w:p>
    <w:p>
      <w:pPr>
        <w:pStyle w:val="3"/>
        <w:ind w:firstLine="640"/>
        <w:rPr>
          <w:rFonts w:hint="eastAsia"/>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第三章　慈善募捐</w:t>
      </w:r>
    </w:p>
    <w:p>
      <w:pPr>
        <w:pStyle w:val="3"/>
        <w:rPr>
          <w:rFonts w:hint="eastAsia"/>
        </w:rPr>
      </w:pPr>
    </w:p>
    <w:p>
      <w:pPr>
        <w:wordWrap/>
        <w:spacing w:line="560" w:lineRule="exact"/>
        <w:textAlignment w:val="auto"/>
        <w:rPr>
          <w:rFonts w:hint="eastAsia"/>
        </w:rPr>
      </w:pPr>
      <w:r>
        <w:rPr>
          <w:rFonts w:hint="eastAsia" w:ascii="黑体" w:hAnsi="黑体" w:eastAsia="黑体" w:cs="黑体"/>
        </w:rPr>
        <w:t>　　第二十一条</w:t>
      </w:r>
      <w:r>
        <w:rPr>
          <w:rFonts w:hint="eastAsia"/>
        </w:rPr>
        <w:t>　本法所称慈善募捐，是指慈善组织基于慈善宗旨募集财产的活动。</w:t>
      </w:r>
    </w:p>
    <w:p>
      <w:pPr>
        <w:wordWrap/>
        <w:spacing w:line="560" w:lineRule="exact"/>
        <w:textAlignment w:val="auto"/>
        <w:rPr>
          <w:rFonts w:hint="eastAsia"/>
        </w:rPr>
      </w:pPr>
      <w:r>
        <w:rPr>
          <w:rFonts w:hint="eastAsia"/>
        </w:rPr>
        <w:t>　　慈善募捐，包括面向社会公众的公开募捐和面向特定对象的定向募捐。</w:t>
      </w:r>
    </w:p>
    <w:p>
      <w:pPr>
        <w:wordWrap/>
        <w:spacing w:line="560" w:lineRule="exact"/>
        <w:textAlignment w:val="auto"/>
        <w:rPr>
          <w:rFonts w:hint="eastAsia"/>
        </w:rPr>
      </w:pPr>
      <w:r>
        <w:rPr>
          <w:rFonts w:hint="eastAsia"/>
        </w:rPr>
        <w:t>　　</w:t>
      </w:r>
      <w:r>
        <w:rPr>
          <w:rFonts w:hint="eastAsia" w:ascii="黑体" w:hAnsi="黑体" w:eastAsia="黑体" w:cs="黑体"/>
        </w:rPr>
        <w:t>第二十二条</w:t>
      </w:r>
      <w:r>
        <w:rPr>
          <w:rFonts w:hint="eastAsia"/>
        </w:rPr>
        <w:t>　慈善组织开展公开募捐，应当取得公开募捐资格。依法登记满二年的慈善组织，可以向其登记的民政部门申请公开募捐资格。民政部门应当自受理申请之日起二十日内作出决定。慈善组织符合内部治理结构健全、运作规范的条件的，发给公开募捐资格证书；不符合条件的，不发给公开募捐资格证书并书面说明理由。</w:t>
      </w:r>
    </w:p>
    <w:p>
      <w:pPr>
        <w:wordWrap/>
        <w:spacing w:line="560" w:lineRule="exact"/>
        <w:textAlignment w:val="auto"/>
        <w:rPr>
          <w:rFonts w:hint="eastAsia"/>
        </w:rPr>
      </w:pPr>
      <w:r>
        <w:rPr>
          <w:rFonts w:hint="eastAsia"/>
        </w:rPr>
        <w:t>　　法律、行政法规规定自登记之日起可以公开募捐的基金会和社会团体，由民政部门直接发给公开募捐资格证书。</w:t>
      </w:r>
    </w:p>
    <w:p>
      <w:pPr>
        <w:wordWrap/>
        <w:spacing w:line="560" w:lineRule="exact"/>
        <w:textAlignment w:val="auto"/>
        <w:rPr>
          <w:rFonts w:hint="eastAsia"/>
        </w:rPr>
      </w:pPr>
      <w:r>
        <w:rPr>
          <w:rFonts w:hint="eastAsia"/>
        </w:rPr>
        <w:t>　　</w:t>
      </w:r>
      <w:r>
        <w:rPr>
          <w:rFonts w:hint="eastAsia" w:ascii="黑体" w:hAnsi="黑体" w:eastAsia="黑体" w:cs="黑体"/>
        </w:rPr>
        <w:t>第二十三条</w:t>
      </w:r>
      <w:r>
        <w:rPr>
          <w:rFonts w:hint="eastAsia"/>
        </w:rPr>
        <w:t>　开展公开募捐，可以采取下列方式：</w:t>
      </w:r>
    </w:p>
    <w:p>
      <w:pPr>
        <w:wordWrap/>
        <w:spacing w:line="560" w:lineRule="exact"/>
        <w:textAlignment w:val="auto"/>
        <w:rPr>
          <w:rFonts w:hint="eastAsia"/>
        </w:rPr>
      </w:pPr>
      <w:r>
        <w:rPr>
          <w:rFonts w:hint="eastAsia"/>
        </w:rPr>
        <w:t>　　（一）在公共场所设置募捐箱；</w:t>
      </w:r>
    </w:p>
    <w:p>
      <w:pPr>
        <w:wordWrap/>
        <w:spacing w:line="560" w:lineRule="exact"/>
        <w:textAlignment w:val="auto"/>
        <w:rPr>
          <w:rFonts w:hint="eastAsia"/>
        </w:rPr>
      </w:pPr>
      <w:r>
        <w:rPr>
          <w:rFonts w:hint="eastAsia"/>
        </w:rPr>
        <w:t>　　（二）举办面向社会公众的义演、义赛、义卖、义展、义拍、慈善晚会等；</w:t>
      </w:r>
    </w:p>
    <w:p>
      <w:pPr>
        <w:wordWrap/>
        <w:spacing w:line="560" w:lineRule="exact"/>
        <w:textAlignment w:val="auto"/>
        <w:rPr>
          <w:rFonts w:hint="eastAsia"/>
        </w:rPr>
      </w:pPr>
      <w:r>
        <w:rPr>
          <w:rFonts w:hint="eastAsia"/>
        </w:rPr>
        <w:t>　　（三）通过广播、电视、报刊、互联网等媒体发布募捐信息；</w:t>
      </w:r>
    </w:p>
    <w:p>
      <w:pPr>
        <w:wordWrap/>
        <w:spacing w:line="560" w:lineRule="exact"/>
        <w:textAlignment w:val="auto"/>
        <w:rPr>
          <w:rFonts w:hint="eastAsia"/>
        </w:rPr>
      </w:pPr>
      <w:r>
        <w:rPr>
          <w:rFonts w:hint="eastAsia"/>
        </w:rPr>
        <w:t>　　（四）其他公开募捐方式。</w:t>
      </w:r>
    </w:p>
    <w:p>
      <w:pPr>
        <w:wordWrap/>
        <w:spacing w:line="560" w:lineRule="exact"/>
        <w:textAlignment w:val="auto"/>
        <w:rPr>
          <w:rFonts w:hint="eastAsia"/>
        </w:rPr>
      </w:pPr>
      <w:r>
        <w:rPr>
          <w:rFonts w:hint="eastAsia"/>
        </w:rPr>
        <w:t>　　慈善组织采取前款第一项、第二项规定的方式开展公开募捐的，应当在其登记的民政部门管辖区域内进行，确有必要在其登记的民政部门管辖区域外进行的，应当报其开展募捐活动所在地的县级以上人民政府民政部门备案。捐赠人的捐赠行为不受地域限制。</w:t>
      </w:r>
    </w:p>
    <w:p>
      <w:pPr>
        <w:wordWrap/>
        <w:spacing w:line="560" w:lineRule="exact"/>
        <w:textAlignment w:val="auto"/>
        <w:rPr>
          <w:rFonts w:hint="eastAsia"/>
        </w:rPr>
      </w:pPr>
      <w:r>
        <w:rPr>
          <w:rFonts w:hint="eastAsia"/>
        </w:rPr>
        <w:t>　　慈善组织通过互联网开展公开募捐的，应当在国务院民政部门统一或者指定的慈善信息平台发布募捐信息，并可以同时在其网站发布募捐信息。</w:t>
      </w:r>
    </w:p>
    <w:p>
      <w:pPr>
        <w:wordWrap/>
        <w:spacing w:line="560" w:lineRule="exact"/>
        <w:textAlignment w:val="auto"/>
        <w:rPr>
          <w:rFonts w:hint="eastAsia"/>
        </w:rPr>
      </w:pPr>
      <w:r>
        <w:rPr>
          <w:rFonts w:hint="eastAsia"/>
        </w:rPr>
        <w:t>　</w:t>
      </w:r>
      <w:r>
        <w:rPr>
          <w:rFonts w:hint="eastAsia" w:ascii="黑体" w:hAnsi="黑体" w:eastAsia="黑体" w:cs="黑体"/>
        </w:rPr>
        <w:t>　第二十四条</w:t>
      </w:r>
      <w:r>
        <w:rPr>
          <w:rFonts w:hint="eastAsia"/>
        </w:rPr>
        <w:t>　开展公开募捐，应当制定募捐方案。募捐方案包括募捐目的、起止时间和地域、活动负责人姓名和办公地址、接受捐赠方式、银行账户、受益人、募得款物用途、募捐成本、剩余财产的处理等。</w:t>
      </w:r>
    </w:p>
    <w:p>
      <w:pPr>
        <w:wordWrap/>
        <w:spacing w:line="560" w:lineRule="exact"/>
        <w:textAlignment w:val="auto"/>
        <w:rPr>
          <w:rFonts w:hint="eastAsia"/>
        </w:rPr>
      </w:pPr>
      <w:r>
        <w:rPr>
          <w:rFonts w:hint="eastAsia"/>
        </w:rPr>
        <w:t>　　募捐方案应当在开展募捐活动前报慈善组织登记的民政部门备案。</w:t>
      </w:r>
    </w:p>
    <w:p>
      <w:pPr>
        <w:wordWrap/>
        <w:spacing w:line="560" w:lineRule="exact"/>
        <w:textAlignment w:val="auto"/>
        <w:rPr>
          <w:rFonts w:hint="eastAsia"/>
        </w:rPr>
      </w:pPr>
      <w:r>
        <w:rPr>
          <w:rFonts w:hint="eastAsia"/>
        </w:rPr>
        <w:t>　</w:t>
      </w:r>
      <w:r>
        <w:rPr>
          <w:rFonts w:hint="eastAsia" w:ascii="黑体" w:hAnsi="黑体" w:eastAsia="黑体" w:cs="黑体"/>
        </w:rPr>
        <w:t>　第二十五条</w:t>
      </w:r>
      <w:r>
        <w:rPr>
          <w:rFonts w:hint="eastAsia"/>
        </w:rPr>
        <w:t>　开展公开募捐，应当在募捐活动现场或者募捐活动载体的显著位置，公布募捐组织名称、公开募捐资格证书、募捐方案、联系方式、募捐信息查询方法等。</w:t>
      </w:r>
    </w:p>
    <w:p>
      <w:pPr>
        <w:wordWrap/>
        <w:spacing w:line="560" w:lineRule="exact"/>
        <w:textAlignment w:val="auto"/>
        <w:rPr>
          <w:rFonts w:hint="eastAsia"/>
        </w:rPr>
      </w:pPr>
      <w:r>
        <w:rPr>
          <w:rFonts w:hint="eastAsia"/>
        </w:rPr>
        <w:t>　　</w:t>
      </w:r>
      <w:r>
        <w:rPr>
          <w:rFonts w:hint="eastAsia" w:ascii="黑体" w:hAnsi="黑体" w:eastAsia="黑体" w:cs="黑体"/>
        </w:rPr>
        <w:t>第二十六条</w:t>
      </w:r>
      <w:r>
        <w:rPr>
          <w:rFonts w:hint="eastAsia"/>
        </w:rPr>
        <w:t>　不具有公开募捐资格的组织或者个人基于慈善目的，可以与具有公开募捐资格的慈善组织合作，由该慈善组织开展公开募捐并管理募得款物。</w:t>
      </w:r>
    </w:p>
    <w:p>
      <w:pPr>
        <w:wordWrap/>
        <w:spacing w:line="560" w:lineRule="exact"/>
        <w:textAlignment w:val="auto"/>
        <w:rPr>
          <w:rFonts w:hint="eastAsia"/>
        </w:rPr>
      </w:pPr>
      <w:r>
        <w:rPr>
          <w:rFonts w:hint="eastAsia"/>
        </w:rPr>
        <w:t>　　</w:t>
      </w:r>
      <w:r>
        <w:rPr>
          <w:rFonts w:hint="eastAsia" w:ascii="黑体" w:hAnsi="黑体" w:eastAsia="黑体" w:cs="黑体"/>
        </w:rPr>
        <w:t>第二十七条</w:t>
      </w:r>
      <w:r>
        <w:rPr>
          <w:rFonts w:hint="eastAsia"/>
        </w:rPr>
        <w:t>　广播、电视、报刊以及网络服务提供者、电信运营商，应当对利用其平台开展公开募捐的慈善组织的登记证书、公开募捐资格证书进行验证。</w:t>
      </w:r>
    </w:p>
    <w:p>
      <w:pPr>
        <w:wordWrap/>
        <w:spacing w:line="560" w:lineRule="exact"/>
        <w:textAlignment w:val="auto"/>
        <w:rPr>
          <w:rFonts w:hint="eastAsia"/>
        </w:rPr>
      </w:pPr>
      <w:r>
        <w:rPr>
          <w:rFonts w:hint="eastAsia"/>
        </w:rPr>
        <w:t>　　</w:t>
      </w:r>
      <w:r>
        <w:rPr>
          <w:rFonts w:hint="eastAsia" w:ascii="黑体" w:hAnsi="黑体" w:eastAsia="黑体" w:cs="黑体"/>
        </w:rPr>
        <w:t>第二十八条</w:t>
      </w:r>
      <w:r>
        <w:rPr>
          <w:rFonts w:hint="eastAsia"/>
        </w:rPr>
        <w:t>　慈善组织自登记之日起可以开展定向募捐。</w:t>
      </w:r>
    </w:p>
    <w:p>
      <w:pPr>
        <w:wordWrap/>
        <w:spacing w:line="560" w:lineRule="exact"/>
        <w:textAlignment w:val="auto"/>
        <w:rPr>
          <w:rFonts w:hint="eastAsia"/>
        </w:rPr>
      </w:pPr>
      <w:r>
        <w:rPr>
          <w:rFonts w:hint="eastAsia"/>
        </w:rPr>
        <w:t>　　慈善组织开展定向募捐，应当在发起人、理事会成员和会员等特定对象的范围内进行，并向募捐对象说明募捐目的、募得款物用途等事项。</w:t>
      </w:r>
    </w:p>
    <w:p>
      <w:pPr>
        <w:wordWrap/>
        <w:spacing w:line="560" w:lineRule="exact"/>
        <w:textAlignment w:val="auto"/>
        <w:rPr>
          <w:rFonts w:hint="eastAsia"/>
        </w:rPr>
      </w:pPr>
      <w:r>
        <w:rPr>
          <w:rFonts w:hint="eastAsia"/>
        </w:rPr>
        <w:t>　　</w:t>
      </w:r>
      <w:r>
        <w:rPr>
          <w:rFonts w:hint="eastAsia" w:ascii="黑体" w:hAnsi="黑体" w:eastAsia="黑体" w:cs="黑体"/>
        </w:rPr>
        <w:t>第二十九条</w:t>
      </w:r>
      <w:r>
        <w:rPr>
          <w:rFonts w:hint="eastAsia"/>
        </w:rPr>
        <w:t>　开展定向募捐，不得采取或者变相采取本法第二十三条规定的方式。</w:t>
      </w:r>
    </w:p>
    <w:p>
      <w:pPr>
        <w:wordWrap/>
        <w:spacing w:line="560" w:lineRule="exact"/>
        <w:textAlignment w:val="auto"/>
        <w:rPr>
          <w:rFonts w:hint="eastAsia"/>
        </w:rPr>
      </w:pPr>
      <w:r>
        <w:rPr>
          <w:rFonts w:hint="eastAsia"/>
        </w:rPr>
        <w:t>　　</w:t>
      </w:r>
      <w:r>
        <w:rPr>
          <w:rFonts w:hint="eastAsia" w:ascii="黑体" w:hAnsi="黑体" w:eastAsia="黑体" w:cs="黑体"/>
        </w:rPr>
        <w:t>第三十条</w:t>
      </w:r>
      <w:r>
        <w:rPr>
          <w:rFonts w:hint="eastAsia"/>
        </w:rPr>
        <w:t>　发生重大自然灾害、事故灾难和公共卫生事件等突发事件，需要迅速开展救助时，有关人民政府应当建立协调机制，提供需求信息，及时有序引导开展募捐和救助活动。</w:t>
      </w:r>
    </w:p>
    <w:p>
      <w:pPr>
        <w:wordWrap/>
        <w:spacing w:line="560" w:lineRule="exact"/>
        <w:textAlignment w:val="auto"/>
        <w:rPr>
          <w:rFonts w:hint="eastAsia"/>
        </w:rPr>
      </w:pPr>
      <w:r>
        <w:rPr>
          <w:rFonts w:hint="eastAsia"/>
        </w:rPr>
        <w:t>　　</w:t>
      </w:r>
      <w:r>
        <w:rPr>
          <w:rFonts w:hint="eastAsia" w:ascii="黑体" w:hAnsi="黑体" w:eastAsia="黑体" w:cs="黑体"/>
        </w:rPr>
        <w:t>第三十一条</w:t>
      </w:r>
      <w:r>
        <w:rPr>
          <w:rFonts w:hint="eastAsia"/>
        </w:rPr>
        <w:t>　开展募捐活动，应当尊重和维护募捐对象的合法权益，保障募捐对象的知情权，不得通过虚构事实等方式欺骗、诱导募捐对象实施捐赠。</w:t>
      </w:r>
    </w:p>
    <w:p>
      <w:pPr>
        <w:wordWrap/>
        <w:spacing w:line="560" w:lineRule="exact"/>
        <w:textAlignment w:val="auto"/>
        <w:rPr>
          <w:rFonts w:hint="eastAsia"/>
        </w:rPr>
      </w:pPr>
      <w:r>
        <w:rPr>
          <w:rFonts w:hint="eastAsia"/>
        </w:rPr>
        <w:t>　　</w:t>
      </w:r>
      <w:r>
        <w:rPr>
          <w:rFonts w:hint="eastAsia" w:ascii="黑体" w:hAnsi="黑体" w:eastAsia="黑体" w:cs="黑体"/>
        </w:rPr>
        <w:t>第三十二条</w:t>
      </w:r>
      <w:r>
        <w:rPr>
          <w:rFonts w:hint="eastAsia"/>
        </w:rPr>
        <w:t>　开展募捐活动，不得摊派或者变相摊派，不得妨碍公共秩序、企业生产经营和居民生活。</w:t>
      </w:r>
    </w:p>
    <w:p>
      <w:pPr>
        <w:wordWrap/>
        <w:spacing w:line="560" w:lineRule="exact"/>
        <w:textAlignment w:val="auto"/>
        <w:rPr>
          <w:rFonts w:hint="eastAsia"/>
        </w:rPr>
      </w:pPr>
      <w:r>
        <w:rPr>
          <w:rFonts w:hint="eastAsia"/>
        </w:rPr>
        <w:t>　　</w:t>
      </w:r>
      <w:r>
        <w:rPr>
          <w:rFonts w:hint="eastAsia" w:ascii="黑体" w:hAnsi="黑体" w:eastAsia="黑体" w:cs="黑体"/>
        </w:rPr>
        <w:t>第三十三条</w:t>
      </w:r>
      <w:r>
        <w:rPr>
          <w:rFonts w:hint="eastAsia"/>
        </w:rPr>
        <w:t>　禁止任何组织或者个人假借慈善名义或者假冒慈善组织开展募捐活动，骗取财产。</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第四章　慈善捐赠</w:t>
      </w:r>
    </w:p>
    <w:p>
      <w:pPr>
        <w:pStyle w:val="3"/>
        <w:rPr>
          <w:rFonts w:hint="eastAsia"/>
        </w:rPr>
      </w:pPr>
    </w:p>
    <w:p>
      <w:pPr>
        <w:wordWrap/>
        <w:spacing w:line="560" w:lineRule="exact"/>
        <w:textAlignment w:val="auto"/>
        <w:rPr>
          <w:rFonts w:hint="eastAsia"/>
        </w:rPr>
      </w:pPr>
      <w:r>
        <w:rPr>
          <w:rFonts w:hint="eastAsia" w:ascii="黑体" w:hAnsi="黑体" w:eastAsia="黑体" w:cs="黑体"/>
        </w:rPr>
        <w:t>　　第三十四条</w:t>
      </w:r>
      <w:r>
        <w:rPr>
          <w:rFonts w:hint="eastAsia"/>
        </w:rPr>
        <w:t>　本法所称慈善捐赠，是指自然人、法人和其他组织基于慈善目的，自愿、无偿赠与财产的活动。</w:t>
      </w:r>
    </w:p>
    <w:p>
      <w:pPr>
        <w:wordWrap/>
        <w:spacing w:line="560" w:lineRule="exact"/>
        <w:textAlignment w:val="auto"/>
        <w:rPr>
          <w:rFonts w:hint="eastAsia"/>
        </w:rPr>
      </w:pPr>
      <w:r>
        <w:rPr>
          <w:rFonts w:hint="eastAsia"/>
        </w:rPr>
        <w:t>　　</w:t>
      </w:r>
      <w:r>
        <w:rPr>
          <w:rFonts w:hint="eastAsia" w:ascii="黑体" w:hAnsi="黑体" w:eastAsia="黑体" w:cs="黑体"/>
        </w:rPr>
        <w:t>第三十五条</w:t>
      </w:r>
      <w:r>
        <w:rPr>
          <w:rFonts w:hint="eastAsia"/>
        </w:rPr>
        <w:t>　捐赠人可以通过慈善组织捐赠，也可以直接向受益人捐赠。</w:t>
      </w:r>
    </w:p>
    <w:p>
      <w:pPr>
        <w:wordWrap/>
        <w:spacing w:line="560" w:lineRule="exact"/>
        <w:textAlignment w:val="auto"/>
        <w:rPr>
          <w:rFonts w:hint="eastAsia"/>
        </w:rPr>
      </w:pPr>
      <w:r>
        <w:rPr>
          <w:rFonts w:hint="eastAsia"/>
        </w:rPr>
        <w:t>　　</w:t>
      </w:r>
      <w:r>
        <w:rPr>
          <w:rFonts w:hint="eastAsia" w:ascii="黑体" w:hAnsi="黑体" w:eastAsia="黑体" w:cs="黑体"/>
        </w:rPr>
        <w:t>第三十六条</w:t>
      </w:r>
      <w:r>
        <w:rPr>
          <w:rFonts w:hint="eastAsia"/>
        </w:rPr>
        <w:t>　捐赠人捐赠的财产应当是其有权处分的合法财产。捐赠财产包括货币、实物、房屋、有价证券、股权、知识产权等有形和无形财产。</w:t>
      </w:r>
    </w:p>
    <w:p>
      <w:pPr>
        <w:wordWrap/>
        <w:spacing w:line="560" w:lineRule="exact"/>
        <w:textAlignment w:val="auto"/>
        <w:rPr>
          <w:rFonts w:hint="eastAsia"/>
        </w:rPr>
      </w:pPr>
      <w:r>
        <w:rPr>
          <w:rFonts w:hint="eastAsia"/>
        </w:rPr>
        <w:t>　　捐赠人捐赠的实物应当具有使用价值，符合安全、卫生、环保等标准。</w:t>
      </w:r>
    </w:p>
    <w:p>
      <w:pPr>
        <w:wordWrap/>
        <w:spacing w:line="560" w:lineRule="exact"/>
        <w:textAlignment w:val="auto"/>
        <w:rPr>
          <w:rFonts w:hint="eastAsia"/>
        </w:rPr>
      </w:pPr>
      <w:r>
        <w:rPr>
          <w:rFonts w:hint="eastAsia"/>
        </w:rPr>
        <w:t>　　捐赠人捐赠本企业产品的，应当依法承担产品质量责任和义务。</w:t>
      </w:r>
    </w:p>
    <w:p>
      <w:pPr>
        <w:wordWrap/>
        <w:spacing w:line="560" w:lineRule="exact"/>
        <w:textAlignment w:val="auto"/>
        <w:rPr>
          <w:rFonts w:hint="eastAsia"/>
        </w:rPr>
      </w:pPr>
      <w:r>
        <w:rPr>
          <w:rFonts w:hint="eastAsia"/>
        </w:rPr>
        <w:t>　　</w:t>
      </w:r>
      <w:r>
        <w:rPr>
          <w:rFonts w:hint="eastAsia" w:ascii="黑体" w:hAnsi="黑体" w:eastAsia="黑体" w:cs="黑体"/>
        </w:rPr>
        <w:t>第三十七条</w:t>
      </w:r>
      <w:r>
        <w:rPr>
          <w:rFonts w:hint="eastAsia"/>
        </w:rPr>
        <w:t>　自然人、法人和其他组织开展演出、比赛、销售、拍卖等经营性活动，承诺将全部或者部分所得用于慈善目的的，应当在举办活动前与慈善组织或者其他接受捐赠的人签订捐赠协议，活动结束后按照捐赠协议履行捐赠义务，并将捐赠情况向社会公开。</w:t>
      </w:r>
    </w:p>
    <w:p>
      <w:pPr>
        <w:wordWrap/>
        <w:spacing w:line="560" w:lineRule="exact"/>
        <w:textAlignment w:val="auto"/>
        <w:rPr>
          <w:rFonts w:hint="eastAsia"/>
        </w:rPr>
      </w:pPr>
      <w:r>
        <w:rPr>
          <w:rFonts w:hint="eastAsia"/>
        </w:rPr>
        <w:t>　　</w:t>
      </w:r>
      <w:r>
        <w:rPr>
          <w:rFonts w:hint="eastAsia" w:ascii="黑体" w:hAnsi="黑体" w:eastAsia="黑体" w:cs="黑体"/>
        </w:rPr>
        <w:t>第三十八条</w:t>
      </w:r>
      <w:r>
        <w:rPr>
          <w:rFonts w:hint="eastAsia"/>
        </w:rPr>
        <w:t>　慈善组织接受捐赠，应当向捐赠人开具由财政部门统一监（印）制的捐赠票据。捐赠票据应当载明捐赠人、捐赠财产的种类及数量、慈善组织名称和经办人姓名、票据日期等。捐赠人匿名或者放弃接受捐赠票据的，慈善组织应当做好相关记录。</w:t>
      </w:r>
    </w:p>
    <w:p>
      <w:pPr>
        <w:wordWrap/>
        <w:spacing w:line="560" w:lineRule="exact"/>
        <w:textAlignment w:val="auto"/>
        <w:rPr>
          <w:rFonts w:hint="eastAsia"/>
        </w:rPr>
      </w:pPr>
      <w:r>
        <w:rPr>
          <w:rFonts w:hint="eastAsia"/>
        </w:rPr>
        <w:t>　　</w:t>
      </w:r>
      <w:r>
        <w:rPr>
          <w:rFonts w:hint="eastAsia" w:ascii="黑体" w:hAnsi="黑体" w:eastAsia="黑体" w:cs="黑体"/>
        </w:rPr>
        <w:t>第三十九条</w:t>
      </w:r>
      <w:r>
        <w:rPr>
          <w:rFonts w:hint="eastAsia"/>
        </w:rPr>
        <w:t>　慈善组织接受捐赠，捐赠人要求签订书面捐赠协议的，慈善组织应当与捐赠人签订书面捐赠协议。</w:t>
      </w:r>
    </w:p>
    <w:p>
      <w:pPr>
        <w:wordWrap/>
        <w:spacing w:line="560" w:lineRule="exact"/>
        <w:textAlignment w:val="auto"/>
        <w:rPr>
          <w:rFonts w:hint="eastAsia"/>
        </w:rPr>
      </w:pPr>
      <w:r>
        <w:rPr>
          <w:rFonts w:hint="eastAsia"/>
        </w:rPr>
        <w:t>　　书面捐赠协议包括捐赠人和慈善组织名称，捐赠财产的种类、数量、质量、用途、交付时间等内容。</w:t>
      </w:r>
    </w:p>
    <w:p>
      <w:pPr>
        <w:wordWrap/>
        <w:spacing w:line="560" w:lineRule="exact"/>
        <w:textAlignment w:val="auto"/>
        <w:rPr>
          <w:rFonts w:hint="eastAsia"/>
        </w:rPr>
      </w:pPr>
      <w:r>
        <w:rPr>
          <w:rFonts w:hint="eastAsia"/>
        </w:rPr>
        <w:t>　　</w:t>
      </w:r>
      <w:r>
        <w:rPr>
          <w:rFonts w:hint="eastAsia" w:ascii="黑体" w:hAnsi="黑体" w:eastAsia="黑体" w:cs="黑体"/>
        </w:rPr>
        <w:t>第四十条</w:t>
      </w:r>
      <w:r>
        <w:rPr>
          <w:rFonts w:hint="eastAsia"/>
        </w:rPr>
        <w:t>　捐赠人与慈善组织约定捐赠财产的用途和受益人时，不得指定捐赠人的利害关系人作为受益人。</w:t>
      </w:r>
    </w:p>
    <w:p>
      <w:pPr>
        <w:wordWrap/>
        <w:spacing w:line="560" w:lineRule="exact"/>
        <w:textAlignment w:val="auto"/>
        <w:rPr>
          <w:rFonts w:hint="eastAsia"/>
        </w:rPr>
      </w:pPr>
      <w:r>
        <w:rPr>
          <w:rFonts w:hint="eastAsia"/>
        </w:rPr>
        <w:t>　　任何组织和个人不得利用慈善捐赠违反法律规定宣传烟草制品，不得利用慈善捐赠以任何方式宣传法律禁止宣传的产品和事项。</w:t>
      </w:r>
    </w:p>
    <w:p>
      <w:pPr>
        <w:wordWrap/>
        <w:spacing w:line="560" w:lineRule="exact"/>
        <w:textAlignment w:val="auto"/>
        <w:rPr>
          <w:rFonts w:hint="eastAsia"/>
        </w:rPr>
      </w:pPr>
      <w:r>
        <w:rPr>
          <w:rFonts w:hint="eastAsia"/>
        </w:rPr>
        <w:t>　　</w:t>
      </w:r>
      <w:r>
        <w:rPr>
          <w:rFonts w:hint="eastAsia" w:ascii="黑体" w:hAnsi="黑体" w:eastAsia="黑体" w:cs="黑体"/>
        </w:rPr>
        <w:t>第四十一条</w:t>
      </w:r>
      <w:r>
        <w:rPr>
          <w:rFonts w:hint="eastAsia"/>
        </w:rPr>
        <w:t>　捐赠人应当按照捐赠协议履行捐赠义务。捐赠人违反捐赠协议逾期未交付捐赠财产，有下列情形之一的，慈善组织或者其他接受捐赠的人可以要求交付；捐赠人拒不交付的，慈善组织和其他接受捐赠的人可以依法向人民法院申请支付令或者提起诉讼：</w:t>
      </w:r>
    </w:p>
    <w:p>
      <w:pPr>
        <w:wordWrap/>
        <w:spacing w:line="560" w:lineRule="exact"/>
        <w:textAlignment w:val="auto"/>
        <w:rPr>
          <w:rFonts w:hint="eastAsia"/>
        </w:rPr>
      </w:pPr>
      <w:r>
        <w:rPr>
          <w:rFonts w:hint="eastAsia"/>
        </w:rPr>
        <w:t>　　（一）捐赠人通过广播、电视、报刊、互联网等媒体公开承诺捐赠的；</w:t>
      </w:r>
    </w:p>
    <w:p>
      <w:pPr>
        <w:wordWrap/>
        <w:spacing w:line="560" w:lineRule="exact"/>
        <w:textAlignment w:val="auto"/>
        <w:rPr>
          <w:rFonts w:hint="eastAsia"/>
        </w:rPr>
      </w:pPr>
      <w:r>
        <w:rPr>
          <w:rFonts w:hint="eastAsia"/>
        </w:rPr>
        <w:t>　　（二）捐赠财产用于本法第三条第一项至第三项规定的慈善活动，并签订书面捐赠协议的。</w:t>
      </w:r>
    </w:p>
    <w:p>
      <w:pPr>
        <w:wordWrap/>
        <w:spacing w:line="560" w:lineRule="exact"/>
        <w:textAlignment w:val="auto"/>
        <w:rPr>
          <w:rFonts w:hint="eastAsia"/>
        </w:rPr>
      </w:pPr>
      <w:r>
        <w:rPr>
          <w:rFonts w:hint="eastAsia"/>
        </w:rPr>
        <w:t>　　捐赠人公开承诺捐赠或者签订书面捐赠协议后经济状况显著恶化，严重影响其生产经营或者家庭生活的，经向公开承诺捐赠地或者书面捐赠协议签订地的民政部门报告并向社会公开说明情况后，可以不再履行捐赠义务。</w:t>
      </w:r>
    </w:p>
    <w:p>
      <w:pPr>
        <w:wordWrap/>
        <w:spacing w:line="560" w:lineRule="exact"/>
        <w:textAlignment w:val="auto"/>
        <w:rPr>
          <w:rFonts w:hint="eastAsia"/>
        </w:rPr>
      </w:pPr>
      <w:r>
        <w:rPr>
          <w:rFonts w:hint="eastAsia"/>
        </w:rPr>
        <w:t>　　</w:t>
      </w:r>
      <w:r>
        <w:rPr>
          <w:rFonts w:hint="eastAsia" w:ascii="黑体" w:hAnsi="黑体" w:eastAsia="黑体" w:cs="黑体"/>
        </w:rPr>
        <w:t>第四十二条</w:t>
      </w:r>
      <w:r>
        <w:rPr>
          <w:rFonts w:hint="eastAsia"/>
        </w:rPr>
        <w:t>　捐赠人有权查询、复制其捐赠财产管理使用的有关资料，慈善组织应当及时主动向捐赠人反馈有关情况。</w:t>
      </w:r>
    </w:p>
    <w:p>
      <w:pPr>
        <w:wordWrap/>
        <w:spacing w:line="560" w:lineRule="exact"/>
        <w:textAlignment w:val="auto"/>
        <w:rPr>
          <w:rFonts w:hint="eastAsia"/>
        </w:rPr>
      </w:pPr>
      <w:r>
        <w:rPr>
          <w:rFonts w:hint="eastAsia"/>
        </w:rPr>
        <w:t>　　慈善组织违反捐赠协议约定的用途，滥用捐赠财产的，捐赠人有权要求其改正；拒不改正的，捐赠人可以向民政部门投诉、举报或者向人民法院提起诉讼。</w:t>
      </w:r>
    </w:p>
    <w:p>
      <w:pPr>
        <w:wordWrap/>
        <w:spacing w:line="560" w:lineRule="exact"/>
        <w:textAlignment w:val="auto"/>
        <w:rPr>
          <w:rFonts w:hint="eastAsia"/>
        </w:rPr>
      </w:pPr>
      <w:r>
        <w:rPr>
          <w:rFonts w:hint="eastAsia"/>
        </w:rPr>
        <w:t>　　</w:t>
      </w:r>
      <w:r>
        <w:rPr>
          <w:rFonts w:hint="eastAsia" w:ascii="黑体" w:hAnsi="黑体" w:eastAsia="黑体" w:cs="黑体"/>
        </w:rPr>
        <w:t>第四十三条</w:t>
      </w:r>
      <w:r>
        <w:rPr>
          <w:rFonts w:hint="eastAsia"/>
        </w:rPr>
        <w:t>　国有企业实施慈善捐赠应当遵守有关国有资产管理的规定，履行批准和备案程序。</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第五章　慈善信托</w:t>
      </w:r>
    </w:p>
    <w:p>
      <w:pPr>
        <w:pStyle w:val="3"/>
        <w:rPr>
          <w:rFonts w:hint="eastAsia"/>
        </w:rPr>
      </w:pPr>
    </w:p>
    <w:p>
      <w:pPr>
        <w:wordWrap/>
        <w:spacing w:line="560" w:lineRule="exact"/>
        <w:textAlignment w:val="auto"/>
        <w:rPr>
          <w:rFonts w:hint="eastAsia"/>
        </w:rPr>
      </w:pPr>
      <w:r>
        <w:rPr>
          <w:rFonts w:hint="eastAsia" w:ascii="黑体" w:hAnsi="黑体" w:eastAsia="黑体" w:cs="黑体"/>
        </w:rPr>
        <w:t>　　第四十四条</w:t>
      </w:r>
      <w:r>
        <w:rPr>
          <w:rFonts w:hint="eastAsia"/>
        </w:rPr>
        <w:t>　本法所称慈善信托属于公益信托，是指委托人基于慈善目的，依法将其财产委托给受托人，由受托人按照委托人意愿以受托人名义进行管理和处分，开展慈善活动的行为。</w:t>
      </w:r>
    </w:p>
    <w:p>
      <w:pPr>
        <w:wordWrap/>
        <w:spacing w:line="560" w:lineRule="exact"/>
        <w:textAlignment w:val="auto"/>
        <w:rPr>
          <w:rFonts w:hint="eastAsia"/>
        </w:rPr>
      </w:pPr>
      <w:r>
        <w:rPr>
          <w:rFonts w:hint="eastAsia"/>
        </w:rPr>
        <w:t>　　</w:t>
      </w:r>
      <w:r>
        <w:rPr>
          <w:rFonts w:hint="eastAsia" w:ascii="黑体" w:hAnsi="黑体" w:eastAsia="黑体" w:cs="黑体"/>
        </w:rPr>
        <w:t>第四十五条</w:t>
      </w:r>
      <w:r>
        <w:rPr>
          <w:rFonts w:hint="eastAsia"/>
        </w:rPr>
        <w:t>　设立慈善信托、确定受托人和监察人，应当采取书面形式。受托人应当在慈善信托文件签订之日起七日内，将相关文件向受托人所在地县级以上人民政府民政部门备案。</w:t>
      </w:r>
    </w:p>
    <w:p>
      <w:pPr>
        <w:wordWrap/>
        <w:spacing w:line="560" w:lineRule="exact"/>
        <w:textAlignment w:val="auto"/>
        <w:rPr>
          <w:rFonts w:hint="eastAsia"/>
        </w:rPr>
      </w:pPr>
      <w:r>
        <w:rPr>
          <w:rFonts w:hint="eastAsia"/>
        </w:rPr>
        <w:t>　　未按照前款规定将相关文件报民政部门备案的，不享受税收优惠。</w:t>
      </w:r>
    </w:p>
    <w:p>
      <w:pPr>
        <w:wordWrap/>
        <w:spacing w:line="560" w:lineRule="exact"/>
        <w:textAlignment w:val="auto"/>
        <w:rPr>
          <w:rFonts w:hint="eastAsia"/>
        </w:rPr>
      </w:pPr>
      <w:r>
        <w:rPr>
          <w:rFonts w:hint="eastAsia"/>
        </w:rPr>
        <w:t>　</w:t>
      </w:r>
      <w:r>
        <w:rPr>
          <w:rFonts w:hint="eastAsia" w:ascii="黑体" w:hAnsi="黑体" w:eastAsia="黑体" w:cs="黑体"/>
        </w:rPr>
        <w:t>　第四十六条　</w:t>
      </w:r>
      <w:r>
        <w:rPr>
          <w:rFonts w:hint="eastAsia"/>
        </w:rPr>
        <w:t>慈善信托的受托人，可以由委托人确定其信赖的慈善组织或者信托公司担任。</w:t>
      </w:r>
    </w:p>
    <w:p>
      <w:pPr>
        <w:wordWrap/>
        <w:spacing w:line="560" w:lineRule="exact"/>
        <w:textAlignment w:val="auto"/>
        <w:rPr>
          <w:rFonts w:hint="eastAsia"/>
        </w:rPr>
      </w:pPr>
      <w:r>
        <w:rPr>
          <w:rFonts w:hint="eastAsia"/>
        </w:rPr>
        <w:t>　　</w:t>
      </w:r>
      <w:r>
        <w:rPr>
          <w:rFonts w:hint="eastAsia" w:ascii="黑体" w:hAnsi="黑体" w:eastAsia="黑体" w:cs="黑体"/>
        </w:rPr>
        <w:t>第四十七条</w:t>
      </w:r>
      <w:r>
        <w:rPr>
          <w:rFonts w:hint="eastAsia"/>
        </w:rPr>
        <w:t>　慈善信托的受托人违反信托义务或者难以履行职责的，委托人可以变更受托人。变更后的受托人应当自变更之日起七日内，将变更情况报原备案的民政部门重新备案。</w:t>
      </w:r>
    </w:p>
    <w:p>
      <w:pPr>
        <w:wordWrap/>
        <w:spacing w:line="560" w:lineRule="exact"/>
        <w:textAlignment w:val="auto"/>
        <w:rPr>
          <w:rFonts w:hint="eastAsia"/>
        </w:rPr>
      </w:pPr>
      <w:r>
        <w:rPr>
          <w:rFonts w:hint="eastAsia"/>
        </w:rPr>
        <w:t>　　</w:t>
      </w:r>
      <w:r>
        <w:rPr>
          <w:rFonts w:hint="eastAsia" w:ascii="黑体" w:hAnsi="黑体" w:eastAsia="黑体" w:cs="黑体"/>
        </w:rPr>
        <w:t>第四十八条</w:t>
      </w:r>
      <w:r>
        <w:rPr>
          <w:rFonts w:hint="eastAsia"/>
        </w:rPr>
        <w:t>　慈善信托的受托人管理和处分信托财产，应当按照信托目的，恪尽职守，履行诚信、谨慎管理的义务。</w:t>
      </w:r>
    </w:p>
    <w:p>
      <w:pPr>
        <w:wordWrap/>
        <w:spacing w:line="560" w:lineRule="exact"/>
        <w:textAlignment w:val="auto"/>
        <w:rPr>
          <w:rFonts w:hint="eastAsia"/>
        </w:rPr>
      </w:pPr>
      <w:r>
        <w:rPr>
          <w:rFonts w:hint="eastAsia"/>
        </w:rPr>
        <w:t>　　慈善信托的受托人应当根据信托文件和委托人的要求，及时向委托人报告信托事务处理情况、信托财产管理使用情况。慈善信托的受托人应当每年至少一次将信托事务处理情况及财务状况向其备案的民政部门报告，并向社会公开。</w:t>
      </w:r>
    </w:p>
    <w:p>
      <w:pPr>
        <w:wordWrap/>
        <w:spacing w:line="560" w:lineRule="exact"/>
        <w:textAlignment w:val="auto"/>
        <w:rPr>
          <w:rFonts w:hint="eastAsia"/>
        </w:rPr>
      </w:pPr>
      <w:r>
        <w:rPr>
          <w:rFonts w:hint="eastAsia"/>
        </w:rPr>
        <w:t>　　</w:t>
      </w:r>
      <w:r>
        <w:rPr>
          <w:rFonts w:hint="eastAsia" w:ascii="黑体" w:hAnsi="黑体" w:eastAsia="黑体" w:cs="黑体"/>
        </w:rPr>
        <w:t>第四十九条</w:t>
      </w:r>
      <w:r>
        <w:rPr>
          <w:rFonts w:hint="eastAsia"/>
        </w:rPr>
        <w:t>　慈善信托的委托人根据需要，可以确定信托监察人。</w:t>
      </w:r>
    </w:p>
    <w:p>
      <w:pPr>
        <w:wordWrap/>
        <w:spacing w:line="560" w:lineRule="exact"/>
        <w:textAlignment w:val="auto"/>
        <w:rPr>
          <w:rFonts w:hint="eastAsia"/>
        </w:rPr>
      </w:pPr>
      <w:r>
        <w:rPr>
          <w:rFonts w:hint="eastAsia"/>
        </w:rPr>
        <w:t>　　信托监察人对受托人的行为进行监督，依法维护委托人和受益人的权益。信托监察人发现受托人违反信托义务或者难以履行职责的，应当向委托人报告，并有权以自己的名义向人民法院提起诉讼。</w:t>
      </w:r>
    </w:p>
    <w:p>
      <w:pPr>
        <w:wordWrap/>
        <w:spacing w:line="560" w:lineRule="exact"/>
        <w:textAlignment w:val="auto"/>
        <w:rPr>
          <w:rFonts w:hint="eastAsia"/>
        </w:rPr>
      </w:pPr>
      <w:r>
        <w:rPr>
          <w:rFonts w:hint="eastAsia"/>
        </w:rPr>
        <w:t>　　</w:t>
      </w:r>
      <w:r>
        <w:rPr>
          <w:rFonts w:hint="eastAsia" w:ascii="黑体" w:hAnsi="黑体" w:eastAsia="黑体" w:cs="黑体"/>
        </w:rPr>
        <w:t>第五十条　</w:t>
      </w:r>
      <w:r>
        <w:rPr>
          <w:rFonts w:hint="eastAsia"/>
        </w:rPr>
        <w:t>慈善信托的设立、信托财产的管理、信托当事人、信托的终止和清算等事项，本章未规定的，适用本法其他有关规定；本法未规定的，适用《中华人民共和国信托法》的有关规定。</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第六章　慈善财产</w:t>
      </w:r>
    </w:p>
    <w:p>
      <w:pPr>
        <w:pStyle w:val="3"/>
        <w:rPr>
          <w:rFonts w:hint="eastAsia"/>
        </w:rPr>
      </w:pPr>
    </w:p>
    <w:p>
      <w:pPr>
        <w:wordWrap/>
        <w:spacing w:line="560" w:lineRule="exact"/>
        <w:textAlignment w:val="auto"/>
        <w:rPr>
          <w:rFonts w:hint="eastAsia"/>
        </w:rPr>
      </w:pPr>
      <w:r>
        <w:rPr>
          <w:rFonts w:hint="eastAsia" w:ascii="黑体" w:hAnsi="黑体" w:eastAsia="黑体" w:cs="黑体"/>
        </w:rPr>
        <w:t>　　第五十一条</w:t>
      </w:r>
      <w:r>
        <w:rPr>
          <w:rFonts w:hint="eastAsia"/>
        </w:rPr>
        <w:t>　慈善组织的财产包括：</w:t>
      </w:r>
    </w:p>
    <w:p>
      <w:pPr>
        <w:wordWrap/>
        <w:spacing w:line="560" w:lineRule="exact"/>
        <w:textAlignment w:val="auto"/>
        <w:rPr>
          <w:rFonts w:hint="eastAsia"/>
        </w:rPr>
      </w:pPr>
      <w:r>
        <w:rPr>
          <w:rFonts w:hint="eastAsia"/>
        </w:rPr>
        <w:t>　　（一）发起人捐赠、资助的创始财产；</w:t>
      </w:r>
    </w:p>
    <w:p>
      <w:pPr>
        <w:wordWrap/>
        <w:spacing w:line="560" w:lineRule="exact"/>
        <w:textAlignment w:val="auto"/>
        <w:rPr>
          <w:rFonts w:hint="eastAsia"/>
        </w:rPr>
      </w:pPr>
      <w:r>
        <w:rPr>
          <w:rFonts w:hint="eastAsia"/>
        </w:rPr>
        <w:t>　　（二）募集的财产；</w:t>
      </w:r>
    </w:p>
    <w:p>
      <w:pPr>
        <w:wordWrap/>
        <w:spacing w:line="560" w:lineRule="exact"/>
        <w:textAlignment w:val="auto"/>
        <w:rPr>
          <w:rFonts w:hint="eastAsia"/>
        </w:rPr>
      </w:pPr>
      <w:r>
        <w:rPr>
          <w:rFonts w:hint="eastAsia"/>
        </w:rPr>
        <w:t>　　（三）其他合法财产。</w:t>
      </w:r>
    </w:p>
    <w:p>
      <w:pPr>
        <w:wordWrap/>
        <w:spacing w:line="560" w:lineRule="exact"/>
        <w:textAlignment w:val="auto"/>
        <w:rPr>
          <w:rFonts w:hint="eastAsia"/>
        </w:rPr>
      </w:pPr>
      <w:r>
        <w:rPr>
          <w:rFonts w:hint="eastAsia"/>
        </w:rPr>
        <w:t>　　</w:t>
      </w:r>
      <w:r>
        <w:rPr>
          <w:rFonts w:hint="eastAsia" w:ascii="黑体" w:hAnsi="黑体" w:eastAsia="黑体" w:cs="黑体"/>
        </w:rPr>
        <w:t>第五十二条</w:t>
      </w:r>
      <w:r>
        <w:rPr>
          <w:rFonts w:hint="eastAsia"/>
        </w:rPr>
        <w:t>　慈善组织的财产应当根据章程和捐赠协议的规定全部用于慈善目的，不得在发起人、捐赠人以及慈善组织成员中分配。</w:t>
      </w:r>
    </w:p>
    <w:p>
      <w:pPr>
        <w:wordWrap/>
        <w:spacing w:line="560" w:lineRule="exact"/>
        <w:textAlignment w:val="auto"/>
        <w:rPr>
          <w:rFonts w:hint="eastAsia"/>
        </w:rPr>
      </w:pPr>
      <w:r>
        <w:rPr>
          <w:rFonts w:hint="eastAsia"/>
        </w:rPr>
        <w:t>　　任何组织和个人不得私分、挪用、截留或者侵占慈善财产。</w:t>
      </w:r>
    </w:p>
    <w:p>
      <w:pPr>
        <w:wordWrap/>
        <w:spacing w:line="560" w:lineRule="exact"/>
        <w:textAlignment w:val="auto"/>
        <w:rPr>
          <w:rFonts w:hint="eastAsia"/>
        </w:rPr>
      </w:pPr>
      <w:r>
        <w:rPr>
          <w:rFonts w:hint="eastAsia"/>
        </w:rPr>
        <w:t>　</w:t>
      </w:r>
      <w:r>
        <w:rPr>
          <w:rFonts w:hint="eastAsia" w:ascii="黑体" w:hAnsi="黑体" w:eastAsia="黑体" w:cs="黑体"/>
        </w:rPr>
        <w:t>　第五十三条</w:t>
      </w:r>
      <w:r>
        <w:rPr>
          <w:rFonts w:hint="eastAsia"/>
        </w:rPr>
        <w:t>　慈善组织对募集的财产，应当登记造册，严格管理，专款专用。</w:t>
      </w:r>
    </w:p>
    <w:p>
      <w:pPr>
        <w:wordWrap/>
        <w:spacing w:line="560" w:lineRule="exact"/>
        <w:textAlignment w:val="auto"/>
        <w:rPr>
          <w:rFonts w:hint="eastAsia"/>
        </w:rPr>
      </w:pPr>
      <w:r>
        <w:rPr>
          <w:rFonts w:hint="eastAsia"/>
        </w:rPr>
        <w:t>　　捐赠人捐赠的实物不易储存、运输或者难以直接用于慈善目的的，慈善组织可以依法拍卖或者变卖，所得收入扣除必要费用后，应当全部用于慈善目的。</w:t>
      </w:r>
    </w:p>
    <w:p>
      <w:pPr>
        <w:wordWrap/>
        <w:spacing w:line="560" w:lineRule="exact"/>
        <w:textAlignment w:val="auto"/>
        <w:rPr>
          <w:rFonts w:hint="eastAsia"/>
        </w:rPr>
      </w:pPr>
      <w:r>
        <w:rPr>
          <w:rFonts w:hint="eastAsia"/>
        </w:rPr>
        <w:t>　　</w:t>
      </w:r>
      <w:r>
        <w:rPr>
          <w:rFonts w:hint="eastAsia" w:ascii="黑体" w:hAnsi="黑体" w:eastAsia="黑体" w:cs="黑体"/>
        </w:rPr>
        <w:t>第五十四条</w:t>
      </w:r>
      <w:r>
        <w:rPr>
          <w:rFonts w:hint="eastAsia"/>
        </w:rPr>
        <w:t>　慈善组织为实现财产保值、增值进行投资的，应当遵循合法、安全、有效的原则，投资取得的收益应当全部用于慈善目的。慈善组织的重大投资方案应当经决策机构组成人员三分之二以上同意。政府资助的财产和捐赠协议约定不得投资的财产，不得用于投资。慈善组织的负责人和工作人员不得在慈善组织投资的企业兼职或者领取报酬。</w:t>
      </w:r>
    </w:p>
    <w:p>
      <w:pPr>
        <w:wordWrap/>
        <w:spacing w:line="560" w:lineRule="exact"/>
        <w:textAlignment w:val="auto"/>
        <w:rPr>
          <w:rFonts w:hint="eastAsia"/>
        </w:rPr>
      </w:pPr>
      <w:r>
        <w:rPr>
          <w:rFonts w:hint="eastAsia"/>
        </w:rPr>
        <w:t>　　前款规定事项的具体办法，由国务院民政部门制定。</w:t>
      </w:r>
    </w:p>
    <w:p>
      <w:pPr>
        <w:wordWrap/>
        <w:spacing w:line="560" w:lineRule="exact"/>
        <w:textAlignment w:val="auto"/>
        <w:rPr>
          <w:rFonts w:hint="eastAsia"/>
        </w:rPr>
      </w:pPr>
      <w:r>
        <w:rPr>
          <w:rFonts w:hint="eastAsia"/>
        </w:rPr>
        <w:t>　　</w:t>
      </w:r>
      <w:r>
        <w:rPr>
          <w:rFonts w:hint="eastAsia" w:ascii="黑体" w:hAnsi="黑体" w:eastAsia="黑体" w:cs="黑体"/>
        </w:rPr>
        <w:t>第五十五条</w:t>
      </w:r>
      <w:r>
        <w:rPr>
          <w:rFonts w:hint="eastAsia"/>
        </w:rPr>
        <w:t>　慈善组织开展慈善活动，应当依照法律法规和章程的规定，按照募捐方案或者捐赠协议使用捐赠财产。慈善组织确需变更募捐方案规定的捐赠财产用途的，应当报民政部门备案；确需变更捐赠协议约定的捐赠财产用途的，应当征得捐赠人同意。</w:t>
      </w:r>
    </w:p>
    <w:p>
      <w:pPr>
        <w:wordWrap/>
        <w:spacing w:line="560" w:lineRule="exact"/>
        <w:textAlignment w:val="auto"/>
        <w:rPr>
          <w:rFonts w:hint="eastAsia"/>
        </w:rPr>
      </w:pPr>
      <w:r>
        <w:rPr>
          <w:rFonts w:hint="eastAsia"/>
        </w:rPr>
        <w:t>　　</w:t>
      </w:r>
      <w:r>
        <w:rPr>
          <w:rFonts w:hint="eastAsia" w:ascii="黑体" w:hAnsi="黑体" w:eastAsia="黑体" w:cs="黑体"/>
        </w:rPr>
        <w:t>第五十六条　</w:t>
      </w:r>
      <w:r>
        <w:rPr>
          <w:rFonts w:hint="eastAsia"/>
        </w:rPr>
        <w:t>慈善组织应当合理设计慈善项目，优化实施流程，降低运行成本，提高慈善财产使用效益。</w:t>
      </w:r>
    </w:p>
    <w:p>
      <w:pPr>
        <w:wordWrap/>
        <w:spacing w:line="560" w:lineRule="exact"/>
        <w:textAlignment w:val="auto"/>
        <w:rPr>
          <w:rFonts w:hint="eastAsia"/>
        </w:rPr>
      </w:pPr>
      <w:r>
        <w:rPr>
          <w:rFonts w:hint="eastAsia"/>
        </w:rPr>
        <w:t>　　慈善组织应当建立项目管理制度，对项目实施情况进行跟踪监督。</w:t>
      </w:r>
    </w:p>
    <w:p>
      <w:pPr>
        <w:wordWrap/>
        <w:spacing w:line="560" w:lineRule="exact"/>
        <w:textAlignment w:val="auto"/>
        <w:rPr>
          <w:rFonts w:hint="eastAsia"/>
        </w:rPr>
      </w:pPr>
      <w:r>
        <w:rPr>
          <w:rFonts w:hint="eastAsia"/>
        </w:rPr>
        <w:t>　</w:t>
      </w:r>
      <w:r>
        <w:rPr>
          <w:rFonts w:hint="eastAsia" w:ascii="黑体" w:hAnsi="黑体" w:eastAsia="黑体" w:cs="黑体"/>
        </w:rPr>
        <w:t>　第五十七条</w:t>
      </w:r>
      <w:r>
        <w:rPr>
          <w:rFonts w:hint="eastAsia"/>
        </w:rPr>
        <w:t>　慈善项目终止后捐赠财产有剩余的，按照募捐方案或者捐赠协议处理；募捐方案未规定或者捐赠协议未约定的，慈善组织应当将剩余财产用于目的相同或者相近的其他慈善项目，并向社会公开。</w:t>
      </w:r>
    </w:p>
    <w:p>
      <w:pPr>
        <w:wordWrap/>
        <w:spacing w:line="560" w:lineRule="exact"/>
        <w:textAlignment w:val="auto"/>
        <w:rPr>
          <w:rFonts w:hint="eastAsia"/>
        </w:rPr>
      </w:pPr>
      <w:r>
        <w:rPr>
          <w:rFonts w:hint="eastAsia"/>
        </w:rPr>
        <w:t>　</w:t>
      </w:r>
      <w:r>
        <w:rPr>
          <w:rFonts w:hint="eastAsia" w:ascii="黑体" w:hAnsi="黑体" w:eastAsia="黑体" w:cs="黑体"/>
        </w:rPr>
        <w:t>　第五十八条</w:t>
      </w:r>
      <w:r>
        <w:rPr>
          <w:rFonts w:hint="eastAsia"/>
        </w:rPr>
        <w:t>　慈善组织确定慈善受益人，应当坚持公开、公平、公正的原则，不得指定慈善组织管理人员的利害关系人作为受益人。</w:t>
      </w:r>
    </w:p>
    <w:p>
      <w:pPr>
        <w:wordWrap/>
        <w:spacing w:line="560" w:lineRule="exact"/>
        <w:textAlignment w:val="auto"/>
        <w:rPr>
          <w:rFonts w:hint="eastAsia"/>
        </w:rPr>
      </w:pPr>
      <w:r>
        <w:rPr>
          <w:rFonts w:hint="eastAsia"/>
        </w:rPr>
        <w:t>　　</w:t>
      </w:r>
      <w:r>
        <w:rPr>
          <w:rFonts w:hint="eastAsia" w:ascii="黑体" w:hAnsi="黑体" w:eastAsia="黑体" w:cs="黑体"/>
        </w:rPr>
        <w:t>第五十九条</w:t>
      </w:r>
      <w:r>
        <w:rPr>
          <w:rFonts w:hint="eastAsia"/>
        </w:rPr>
        <w:t>　慈善组织根据需要可以与受益人签订协议，明确双方权利义务，约定慈善财产的用途、数额和使用方式等内容。</w:t>
      </w:r>
    </w:p>
    <w:p>
      <w:pPr>
        <w:wordWrap/>
        <w:spacing w:line="560" w:lineRule="exact"/>
        <w:textAlignment w:val="auto"/>
        <w:rPr>
          <w:rFonts w:hint="eastAsia"/>
        </w:rPr>
      </w:pPr>
      <w:r>
        <w:rPr>
          <w:rFonts w:hint="eastAsia"/>
        </w:rPr>
        <w:t>　　受益人应当珍惜慈善资助，按照协议使用慈善财产。受益人未按照协议使用慈善财产或者有其他严重违反协议情形的，慈善组织有权要求其改正；受益人拒不改正的，慈善组织有权解除协议并要求受益人返还财产。</w:t>
      </w:r>
    </w:p>
    <w:p>
      <w:pPr>
        <w:wordWrap/>
        <w:spacing w:line="560" w:lineRule="exact"/>
        <w:textAlignment w:val="auto"/>
        <w:rPr>
          <w:rFonts w:hint="eastAsia"/>
        </w:rPr>
      </w:pPr>
      <w:r>
        <w:rPr>
          <w:rFonts w:hint="eastAsia"/>
        </w:rPr>
        <w:t>　　</w:t>
      </w:r>
      <w:r>
        <w:rPr>
          <w:rFonts w:hint="eastAsia" w:ascii="黑体" w:hAnsi="黑体" w:eastAsia="黑体" w:cs="黑体"/>
        </w:rPr>
        <w:t>第六十条</w:t>
      </w:r>
      <w:r>
        <w:rPr>
          <w:rFonts w:hint="eastAsia"/>
        </w:rPr>
        <w:t>　慈善组织应当积极开展慈善活动，充分、高效运用慈善财产，并遵循管理费用最必要原则，厉行节约，减少不必要的开支。慈善组织中具有公开募捐资格的基金会开展慈善活动的年度支出，不得低于上一年总收入的百分之七十或者前三年收入平均数额的百分之七十；年度管理费用不得超过当年总支出的百分之十，特殊情况下，年度管理费用难以符合前述规定的，应当报告其登记的民政部门并向社会公开说明情况。</w:t>
      </w:r>
    </w:p>
    <w:p>
      <w:pPr>
        <w:wordWrap/>
        <w:spacing w:line="560" w:lineRule="exact"/>
        <w:textAlignment w:val="auto"/>
        <w:rPr>
          <w:rFonts w:hint="eastAsia"/>
        </w:rPr>
      </w:pPr>
      <w:r>
        <w:rPr>
          <w:rFonts w:hint="eastAsia"/>
        </w:rPr>
        <w:t>　　具有公开募捐资格的基金会以外的慈善组织开展慈善活动的年度支出和管理费用的标准，由国务院民政部门会同国务院财政、税务等部门依照前款规定的原则制定。</w:t>
      </w:r>
    </w:p>
    <w:p>
      <w:pPr>
        <w:wordWrap/>
        <w:spacing w:line="560" w:lineRule="exact"/>
        <w:textAlignment w:val="auto"/>
        <w:rPr>
          <w:rFonts w:hint="eastAsia"/>
        </w:rPr>
      </w:pPr>
      <w:r>
        <w:rPr>
          <w:rFonts w:hint="eastAsia"/>
        </w:rPr>
        <w:t>　　捐赠协议对单项捐赠财产的慈善活动支出和管理费用有约定的，按照其约定。</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第七章　慈善服务</w:t>
      </w:r>
    </w:p>
    <w:p>
      <w:pPr>
        <w:pStyle w:val="3"/>
        <w:rPr>
          <w:rFonts w:hint="eastAsia"/>
        </w:rPr>
      </w:pPr>
    </w:p>
    <w:p>
      <w:pPr>
        <w:wordWrap/>
        <w:spacing w:line="560" w:lineRule="exact"/>
        <w:textAlignment w:val="auto"/>
        <w:rPr>
          <w:rFonts w:hint="eastAsia"/>
        </w:rPr>
      </w:pPr>
      <w:r>
        <w:rPr>
          <w:rFonts w:hint="eastAsia" w:ascii="黑体" w:hAnsi="黑体" w:eastAsia="黑体" w:cs="黑体"/>
        </w:rPr>
        <w:t>　　第六十一条</w:t>
      </w:r>
      <w:r>
        <w:rPr>
          <w:rFonts w:hint="eastAsia"/>
        </w:rPr>
        <w:t>　本法所称慈善服务，是指慈善组织和其他组织以及个人基于慈善目的，向社会或者他人提供的志愿无偿服务以及其他非营利服务。</w:t>
      </w:r>
    </w:p>
    <w:p>
      <w:pPr>
        <w:wordWrap/>
        <w:spacing w:line="560" w:lineRule="exact"/>
        <w:textAlignment w:val="auto"/>
        <w:rPr>
          <w:rFonts w:hint="eastAsia"/>
        </w:rPr>
      </w:pPr>
      <w:r>
        <w:rPr>
          <w:rFonts w:hint="eastAsia"/>
        </w:rPr>
        <w:t>　　慈善组织开展慈善服务，可以自己提供或者招募志愿者提供，也可以委托有服务专长的其他组织提供。</w:t>
      </w:r>
    </w:p>
    <w:p>
      <w:pPr>
        <w:wordWrap/>
        <w:spacing w:line="560" w:lineRule="exact"/>
        <w:textAlignment w:val="auto"/>
        <w:rPr>
          <w:rFonts w:hint="eastAsia"/>
        </w:rPr>
      </w:pPr>
      <w:r>
        <w:rPr>
          <w:rFonts w:hint="eastAsia"/>
        </w:rPr>
        <w:t>　</w:t>
      </w:r>
      <w:r>
        <w:rPr>
          <w:rFonts w:hint="eastAsia" w:ascii="黑体" w:hAnsi="黑体" w:eastAsia="黑体" w:cs="黑体"/>
        </w:rPr>
        <w:t>　第六十二条</w:t>
      </w:r>
      <w:r>
        <w:rPr>
          <w:rFonts w:hint="eastAsia"/>
        </w:rPr>
        <w:t>　开展慈善服务，应当尊重受益人、志愿者的人格尊严，不得侵害受益人、志愿者的隐私。</w:t>
      </w:r>
    </w:p>
    <w:p>
      <w:pPr>
        <w:wordWrap/>
        <w:spacing w:line="560" w:lineRule="exact"/>
        <w:textAlignment w:val="auto"/>
        <w:rPr>
          <w:rFonts w:hint="eastAsia"/>
        </w:rPr>
      </w:pPr>
      <w:r>
        <w:rPr>
          <w:rFonts w:hint="eastAsia"/>
        </w:rPr>
        <w:t>　　</w:t>
      </w:r>
      <w:r>
        <w:rPr>
          <w:rFonts w:hint="eastAsia" w:ascii="黑体" w:hAnsi="黑体" w:eastAsia="黑体" w:cs="黑体"/>
        </w:rPr>
        <w:t>第六十三条</w:t>
      </w:r>
      <w:r>
        <w:rPr>
          <w:rFonts w:hint="eastAsia"/>
        </w:rPr>
        <w:t>　开展医疗康复、教育培训等慈善服务，需要专门技能的，应当执行国家或者行业组织制定的标准和规程。</w:t>
      </w:r>
    </w:p>
    <w:p>
      <w:pPr>
        <w:wordWrap/>
        <w:spacing w:line="560" w:lineRule="exact"/>
        <w:textAlignment w:val="auto"/>
        <w:rPr>
          <w:rFonts w:hint="eastAsia"/>
        </w:rPr>
      </w:pPr>
      <w:r>
        <w:rPr>
          <w:rFonts w:hint="eastAsia"/>
        </w:rPr>
        <w:t>　　慈善组织招募志愿者参与慈善服务，需要专门技能的，应当对志愿者开展相关培训。</w:t>
      </w:r>
    </w:p>
    <w:p>
      <w:pPr>
        <w:wordWrap/>
        <w:spacing w:line="560" w:lineRule="exact"/>
        <w:textAlignment w:val="auto"/>
        <w:rPr>
          <w:rFonts w:hint="eastAsia"/>
        </w:rPr>
      </w:pPr>
      <w:r>
        <w:rPr>
          <w:rFonts w:hint="eastAsia"/>
        </w:rPr>
        <w:t>　　</w:t>
      </w:r>
      <w:r>
        <w:rPr>
          <w:rFonts w:hint="eastAsia" w:ascii="黑体" w:hAnsi="黑体" w:eastAsia="黑体" w:cs="黑体"/>
        </w:rPr>
        <w:t>第六十四条　</w:t>
      </w:r>
      <w:r>
        <w:rPr>
          <w:rFonts w:hint="eastAsia"/>
        </w:rPr>
        <w:t>慈善组织招募志愿者参与慈善服务，应当公示与慈善服务有关的全部信息，告知服务过程中可能发生的风险。</w:t>
      </w:r>
    </w:p>
    <w:p>
      <w:pPr>
        <w:wordWrap/>
        <w:spacing w:line="560" w:lineRule="exact"/>
        <w:textAlignment w:val="auto"/>
        <w:rPr>
          <w:rFonts w:hint="eastAsia"/>
        </w:rPr>
      </w:pPr>
      <w:r>
        <w:rPr>
          <w:rFonts w:hint="eastAsia"/>
        </w:rPr>
        <w:t>　　慈善组织根据需要可以与志愿者签订协议，明确双方权利义务，约定服务的内容、方式和时间等。</w:t>
      </w:r>
    </w:p>
    <w:p>
      <w:pPr>
        <w:wordWrap/>
        <w:spacing w:line="560" w:lineRule="exact"/>
        <w:textAlignment w:val="auto"/>
        <w:rPr>
          <w:rFonts w:hint="eastAsia"/>
        </w:rPr>
      </w:pPr>
      <w:r>
        <w:rPr>
          <w:rFonts w:hint="eastAsia"/>
        </w:rPr>
        <w:t>　　</w:t>
      </w:r>
      <w:r>
        <w:rPr>
          <w:rFonts w:hint="eastAsia" w:ascii="黑体" w:hAnsi="黑体" w:eastAsia="黑体" w:cs="黑体"/>
        </w:rPr>
        <w:t>第六十五条</w:t>
      </w:r>
      <w:r>
        <w:rPr>
          <w:rFonts w:hint="eastAsia"/>
        </w:rPr>
        <w:t>　慈善组织应当对志愿者实名登记，记录志愿者的服务时间、内容、评价等信息。根据志愿者的要求，慈善组织应当无偿、如实出具志愿服务记录证明。</w:t>
      </w:r>
    </w:p>
    <w:p>
      <w:pPr>
        <w:wordWrap/>
        <w:spacing w:line="560" w:lineRule="exact"/>
        <w:textAlignment w:val="auto"/>
        <w:rPr>
          <w:rFonts w:hint="eastAsia"/>
        </w:rPr>
      </w:pPr>
      <w:r>
        <w:rPr>
          <w:rFonts w:hint="eastAsia"/>
        </w:rPr>
        <w:t>　　</w:t>
      </w:r>
      <w:r>
        <w:rPr>
          <w:rFonts w:hint="eastAsia" w:ascii="黑体" w:hAnsi="黑体" w:eastAsia="黑体" w:cs="黑体"/>
        </w:rPr>
        <w:t>第六十六条</w:t>
      </w:r>
      <w:r>
        <w:rPr>
          <w:rFonts w:hint="eastAsia"/>
        </w:rPr>
        <w:t>　慈善组织安排志愿者参与慈善服务，应当与志愿者的年龄、文化程度、技能和身体状况相适应。</w:t>
      </w:r>
    </w:p>
    <w:p>
      <w:pPr>
        <w:wordWrap/>
        <w:spacing w:line="560" w:lineRule="exact"/>
        <w:textAlignment w:val="auto"/>
        <w:rPr>
          <w:rFonts w:hint="eastAsia"/>
        </w:rPr>
      </w:pPr>
      <w:r>
        <w:rPr>
          <w:rFonts w:hint="eastAsia"/>
        </w:rPr>
        <w:t>　　</w:t>
      </w:r>
      <w:r>
        <w:rPr>
          <w:rFonts w:hint="eastAsia" w:ascii="黑体" w:hAnsi="黑体" w:eastAsia="黑体" w:cs="黑体"/>
        </w:rPr>
        <w:t>第六十七条</w:t>
      </w:r>
      <w:r>
        <w:rPr>
          <w:rFonts w:hint="eastAsia"/>
        </w:rPr>
        <w:t>　志愿者接受慈善组织安排参与慈善服务的，应当服从管理，接受必要的培训。</w:t>
      </w:r>
    </w:p>
    <w:p>
      <w:pPr>
        <w:wordWrap/>
        <w:spacing w:line="560" w:lineRule="exact"/>
        <w:textAlignment w:val="auto"/>
        <w:rPr>
          <w:rFonts w:hint="eastAsia"/>
        </w:rPr>
      </w:pPr>
      <w:r>
        <w:rPr>
          <w:rFonts w:hint="eastAsia" w:ascii="黑体" w:hAnsi="黑体" w:eastAsia="黑体" w:cs="黑体"/>
        </w:rPr>
        <w:t>　　第六十八条</w:t>
      </w:r>
      <w:r>
        <w:rPr>
          <w:rFonts w:hint="eastAsia"/>
        </w:rPr>
        <w:t>　慈善组织应当为志愿者参与慈善服务提供必要条件，保障志愿者的合法权益。</w:t>
      </w:r>
    </w:p>
    <w:p>
      <w:pPr>
        <w:wordWrap/>
        <w:spacing w:line="560" w:lineRule="exact"/>
        <w:textAlignment w:val="auto"/>
        <w:rPr>
          <w:rFonts w:hint="eastAsia"/>
        </w:rPr>
      </w:pPr>
      <w:r>
        <w:rPr>
          <w:rFonts w:hint="eastAsia"/>
        </w:rPr>
        <w:t>　　慈善组织安排志愿者参与可能发生人身危险的慈善服务前，应当为志愿者购买相应的人身意外伤害保险。</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第八章　信息公开</w:t>
      </w:r>
    </w:p>
    <w:p>
      <w:pPr>
        <w:pStyle w:val="3"/>
        <w:rPr>
          <w:rFonts w:hint="eastAsia"/>
        </w:rPr>
      </w:pPr>
    </w:p>
    <w:p>
      <w:pPr>
        <w:wordWrap/>
        <w:spacing w:line="560" w:lineRule="exact"/>
        <w:textAlignment w:val="auto"/>
        <w:rPr>
          <w:rFonts w:hint="eastAsia"/>
        </w:rPr>
      </w:pPr>
      <w:r>
        <w:rPr>
          <w:rFonts w:hint="eastAsia" w:ascii="黑体" w:hAnsi="黑体" w:eastAsia="黑体" w:cs="黑体"/>
        </w:rPr>
        <w:t>　　第六十九条</w:t>
      </w:r>
      <w:r>
        <w:rPr>
          <w:rFonts w:hint="eastAsia"/>
        </w:rPr>
        <w:t>　县级以上人民政府建立健全慈善信息统计和发布制度。</w:t>
      </w:r>
    </w:p>
    <w:p>
      <w:pPr>
        <w:wordWrap/>
        <w:spacing w:line="560" w:lineRule="exact"/>
        <w:textAlignment w:val="auto"/>
        <w:rPr>
          <w:rFonts w:hint="eastAsia"/>
        </w:rPr>
      </w:pPr>
      <w:r>
        <w:rPr>
          <w:rFonts w:hint="eastAsia"/>
        </w:rPr>
        <w:t>　　县级以上人民政府民政部门应当在统一的信息平台，及时向社会公开慈善信息，并免费提供慈善信息发布服务。</w:t>
      </w:r>
    </w:p>
    <w:p>
      <w:pPr>
        <w:wordWrap/>
        <w:spacing w:line="560" w:lineRule="exact"/>
        <w:textAlignment w:val="auto"/>
        <w:rPr>
          <w:rFonts w:hint="eastAsia"/>
        </w:rPr>
      </w:pPr>
      <w:r>
        <w:rPr>
          <w:rFonts w:hint="eastAsia"/>
        </w:rPr>
        <w:t>　　慈善组织和慈善信托的受托人应当在前款规定的平台发布慈善信息，并对信息的真实性负责。</w:t>
      </w:r>
    </w:p>
    <w:p>
      <w:pPr>
        <w:wordWrap/>
        <w:spacing w:line="560" w:lineRule="exact"/>
        <w:textAlignment w:val="auto"/>
        <w:rPr>
          <w:rFonts w:hint="eastAsia"/>
        </w:rPr>
      </w:pPr>
      <w:r>
        <w:rPr>
          <w:rFonts w:hint="eastAsia"/>
        </w:rPr>
        <w:t>　　</w:t>
      </w:r>
      <w:r>
        <w:rPr>
          <w:rFonts w:hint="eastAsia" w:ascii="黑体" w:hAnsi="黑体" w:eastAsia="黑体" w:cs="黑体"/>
        </w:rPr>
        <w:t>第七十条</w:t>
      </w:r>
      <w:r>
        <w:rPr>
          <w:rFonts w:hint="eastAsia"/>
        </w:rPr>
        <w:t>　县级以上人民政府民政部门和其他有关部门应当及时向社会公开下列慈善信息：</w:t>
      </w:r>
    </w:p>
    <w:p>
      <w:pPr>
        <w:wordWrap/>
        <w:spacing w:line="560" w:lineRule="exact"/>
        <w:textAlignment w:val="auto"/>
        <w:rPr>
          <w:rFonts w:hint="eastAsia"/>
        </w:rPr>
      </w:pPr>
      <w:r>
        <w:rPr>
          <w:rFonts w:hint="eastAsia"/>
        </w:rPr>
        <w:t>　　（一）慈善组织登记事项；</w:t>
      </w:r>
    </w:p>
    <w:p>
      <w:pPr>
        <w:wordWrap/>
        <w:spacing w:line="560" w:lineRule="exact"/>
        <w:textAlignment w:val="auto"/>
        <w:rPr>
          <w:rFonts w:hint="eastAsia"/>
        </w:rPr>
      </w:pPr>
      <w:r>
        <w:rPr>
          <w:rFonts w:hint="eastAsia"/>
        </w:rPr>
        <w:t>　　（二）慈善信托备案事项；</w:t>
      </w:r>
    </w:p>
    <w:p>
      <w:pPr>
        <w:wordWrap/>
        <w:spacing w:line="560" w:lineRule="exact"/>
        <w:textAlignment w:val="auto"/>
        <w:rPr>
          <w:rFonts w:hint="eastAsia"/>
        </w:rPr>
      </w:pPr>
      <w:r>
        <w:rPr>
          <w:rFonts w:hint="eastAsia"/>
        </w:rPr>
        <w:t>　　（三）具有公开募捐资格的慈善组织名单；</w:t>
      </w:r>
    </w:p>
    <w:p>
      <w:pPr>
        <w:wordWrap/>
        <w:spacing w:line="560" w:lineRule="exact"/>
        <w:textAlignment w:val="auto"/>
        <w:rPr>
          <w:rFonts w:hint="eastAsia"/>
        </w:rPr>
      </w:pPr>
      <w:r>
        <w:rPr>
          <w:rFonts w:hint="eastAsia"/>
        </w:rPr>
        <w:t>　　（四）具有出具公益性捐赠税前扣除票据资格的慈善组织名单；</w:t>
      </w:r>
    </w:p>
    <w:p>
      <w:pPr>
        <w:wordWrap/>
        <w:spacing w:line="560" w:lineRule="exact"/>
        <w:textAlignment w:val="auto"/>
        <w:rPr>
          <w:rFonts w:hint="eastAsia"/>
        </w:rPr>
      </w:pPr>
      <w:r>
        <w:rPr>
          <w:rFonts w:hint="eastAsia"/>
        </w:rPr>
        <w:t>　　（五）对慈善活动的税收优惠、资助补贴等促进措施；</w:t>
      </w:r>
    </w:p>
    <w:p>
      <w:pPr>
        <w:wordWrap/>
        <w:spacing w:line="560" w:lineRule="exact"/>
        <w:textAlignment w:val="auto"/>
        <w:rPr>
          <w:rFonts w:hint="eastAsia"/>
        </w:rPr>
      </w:pPr>
      <w:r>
        <w:rPr>
          <w:rFonts w:hint="eastAsia"/>
        </w:rPr>
        <w:t>　　（六）向慈善组织购买服务的信息；</w:t>
      </w:r>
    </w:p>
    <w:p>
      <w:pPr>
        <w:wordWrap/>
        <w:spacing w:line="560" w:lineRule="exact"/>
        <w:textAlignment w:val="auto"/>
        <w:rPr>
          <w:rFonts w:hint="eastAsia"/>
        </w:rPr>
      </w:pPr>
      <w:r>
        <w:rPr>
          <w:rFonts w:hint="eastAsia"/>
        </w:rPr>
        <w:t>　　（七）对慈善组织、慈善信托开展检查、评估的结果；</w:t>
      </w:r>
    </w:p>
    <w:p>
      <w:pPr>
        <w:wordWrap/>
        <w:spacing w:line="560" w:lineRule="exact"/>
        <w:textAlignment w:val="auto"/>
        <w:rPr>
          <w:rFonts w:hint="eastAsia"/>
        </w:rPr>
      </w:pPr>
      <w:r>
        <w:rPr>
          <w:rFonts w:hint="eastAsia"/>
        </w:rPr>
        <w:t>　　（八）对慈善组织和其他组织以及个人的表彰、处罚结果；</w:t>
      </w:r>
    </w:p>
    <w:p>
      <w:pPr>
        <w:wordWrap/>
        <w:spacing w:line="560" w:lineRule="exact"/>
        <w:textAlignment w:val="auto"/>
        <w:rPr>
          <w:rFonts w:hint="eastAsia"/>
        </w:rPr>
      </w:pPr>
      <w:r>
        <w:rPr>
          <w:rFonts w:hint="eastAsia"/>
        </w:rPr>
        <w:t>　　（九）法律法规规定应当公开的其他信息。</w:t>
      </w:r>
    </w:p>
    <w:p>
      <w:pPr>
        <w:wordWrap/>
        <w:spacing w:line="560" w:lineRule="exact"/>
        <w:textAlignment w:val="auto"/>
        <w:rPr>
          <w:rFonts w:hint="eastAsia"/>
        </w:rPr>
      </w:pPr>
      <w:r>
        <w:rPr>
          <w:rFonts w:hint="eastAsia"/>
        </w:rPr>
        <w:t>　　</w:t>
      </w:r>
      <w:r>
        <w:rPr>
          <w:rFonts w:hint="eastAsia" w:ascii="黑体" w:hAnsi="黑体" w:eastAsia="黑体" w:cs="黑体"/>
        </w:rPr>
        <w:t>第七十一条</w:t>
      </w:r>
      <w:r>
        <w:rPr>
          <w:rFonts w:hint="eastAsia"/>
        </w:rPr>
        <w:t>　慈善组织、慈善信托的受托人应当依法履行信息公开义务。信息公开应当真实、完整、及时。</w:t>
      </w:r>
    </w:p>
    <w:p>
      <w:pPr>
        <w:wordWrap/>
        <w:spacing w:line="560" w:lineRule="exact"/>
        <w:textAlignment w:val="auto"/>
        <w:rPr>
          <w:rFonts w:hint="eastAsia"/>
        </w:rPr>
      </w:pPr>
      <w:r>
        <w:rPr>
          <w:rFonts w:hint="eastAsia"/>
        </w:rPr>
        <w:t>　　</w:t>
      </w:r>
      <w:r>
        <w:rPr>
          <w:rFonts w:hint="eastAsia" w:ascii="黑体" w:hAnsi="黑体" w:eastAsia="黑体" w:cs="黑体"/>
        </w:rPr>
        <w:t>第七十二条</w:t>
      </w:r>
      <w:r>
        <w:rPr>
          <w:rFonts w:hint="eastAsia"/>
        </w:rPr>
        <w:t>　慈善组织应当向社会公开组织章程和决策、执行、监督机构成员信息以及国务院民政部门要求公开的其他信息。上述信息有重大变更的，慈善组织应当及时向社会公开。</w:t>
      </w:r>
    </w:p>
    <w:p>
      <w:pPr>
        <w:wordWrap/>
        <w:spacing w:line="560" w:lineRule="exact"/>
        <w:textAlignment w:val="auto"/>
        <w:rPr>
          <w:rFonts w:hint="eastAsia"/>
        </w:rPr>
      </w:pPr>
      <w:r>
        <w:rPr>
          <w:rFonts w:hint="eastAsia"/>
        </w:rPr>
        <w:t>　　慈善组织应当每年向社会公开其年度工作报告和财务会计报告。具有公开募捐资格的慈善组织的财务会计报告须经审计。</w:t>
      </w:r>
    </w:p>
    <w:p>
      <w:pPr>
        <w:wordWrap/>
        <w:spacing w:line="560" w:lineRule="exact"/>
        <w:textAlignment w:val="auto"/>
        <w:rPr>
          <w:rFonts w:hint="eastAsia"/>
        </w:rPr>
      </w:pPr>
      <w:r>
        <w:rPr>
          <w:rFonts w:hint="eastAsia" w:ascii="黑体" w:hAnsi="黑体" w:eastAsia="黑体" w:cs="黑体"/>
        </w:rPr>
        <w:t>　　第七十三条</w:t>
      </w:r>
      <w:r>
        <w:rPr>
          <w:rFonts w:hint="eastAsia"/>
        </w:rPr>
        <w:t>　具有公开募捐资格的慈善组织应当定期向社会公开其募捐情况和慈善项目实施情况。</w:t>
      </w:r>
    </w:p>
    <w:p>
      <w:pPr>
        <w:wordWrap/>
        <w:spacing w:line="560" w:lineRule="exact"/>
        <w:textAlignment w:val="auto"/>
        <w:rPr>
          <w:rFonts w:hint="eastAsia"/>
        </w:rPr>
      </w:pPr>
      <w:r>
        <w:rPr>
          <w:rFonts w:hint="eastAsia"/>
        </w:rPr>
        <w:t>　　公开募捐周期超过六个月的，至少每三个月公开一次募捐情况，公开募捐活动结束后三个月内应当全面公开募捐情况。</w:t>
      </w:r>
    </w:p>
    <w:p>
      <w:pPr>
        <w:wordWrap/>
        <w:spacing w:line="560" w:lineRule="exact"/>
        <w:textAlignment w:val="auto"/>
        <w:rPr>
          <w:rFonts w:hint="eastAsia"/>
        </w:rPr>
      </w:pPr>
      <w:r>
        <w:rPr>
          <w:rFonts w:hint="eastAsia"/>
        </w:rPr>
        <w:t>　　慈善项目实施周期超过六个月的，至少每三个月公开一次项目实施情况，项目结束后三个月内应当全面公开项目实施情况和募得款物使用情况。</w:t>
      </w:r>
    </w:p>
    <w:p>
      <w:pPr>
        <w:wordWrap/>
        <w:spacing w:line="560" w:lineRule="exact"/>
        <w:textAlignment w:val="auto"/>
        <w:rPr>
          <w:rFonts w:hint="eastAsia"/>
        </w:rPr>
      </w:pPr>
      <w:r>
        <w:rPr>
          <w:rFonts w:hint="eastAsia"/>
        </w:rPr>
        <w:t>　　</w:t>
      </w:r>
      <w:r>
        <w:rPr>
          <w:rFonts w:hint="eastAsia" w:ascii="黑体" w:hAnsi="黑体" w:eastAsia="黑体" w:cs="黑体"/>
        </w:rPr>
        <w:t>第七十四条</w:t>
      </w:r>
      <w:r>
        <w:rPr>
          <w:rFonts w:hint="eastAsia"/>
        </w:rPr>
        <w:t>　慈善组织开展定向募捐的，应当及时向捐赠人告知募捐情况、募得款物的管理使用情况。</w:t>
      </w:r>
    </w:p>
    <w:p>
      <w:pPr>
        <w:wordWrap/>
        <w:spacing w:line="560" w:lineRule="exact"/>
        <w:textAlignment w:val="auto"/>
        <w:rPr>
          <w:rFonts w:hint="eastAsia"/>
        </w:rPr>
      </w:pPr>
      <w:r>
        <w:rPr>
          <w:rFonts w:hint="eastAsia"/>
        </w:rPr>
        <w:t>　　</w:t>
      </w:r>
      <w:r>
        <w:rPr>
          <w:rFonts w:hint="eastAsia" w:ascii="黑体" w:hAnsi="黑体" w:eastAsia="黑体" w:cs="黑体"/>
        </w:rPr>
        <w:t>第七十五条</w:t>
      </w:r>
      <w:r>
        <w:rPr>
          <w:rFonts w:hint="eastAsia"/>
        </w:rPr>
        <w:t>　慈善组织、慈善信托的受托人应当向受益人告知其资助标准、工作流程和工作规范等信息。</w:t>
      </w:r>
    </w:p>
    <w:p>
      <w:pPr>
        <w:wordWrap/>
        <w:spacing w:line="560" w:lineRule="exact"/>
        <w:textAlignment w:val="auto"/>
        <w:rPr>
          <w:rFonts w:hint="eastAsia"/>
        </w:rPr>
      </w:pPr>
      <w:r>
        <w:rPr>
          <w:rFonts w:hint="eastAsia"/>
        </w:rPr>
        <w:t>　　</w:t>
      </w:r>
      <w:r>
        <w:rPr>
          <w:rFonts w:hint="eastAsia" w:ascii="黑体" w:hAnsi="黑体" w:eastAsia="黑体" w:cs="黑体"/>
        </w:rPr>
        <w:t>第七十六条</w:t>
      </w:r>
      <w:r>
        <w:rPr>
          <w:rFonts w:hint="eastAsia"/>
        </w:rPr>
        <w:t>　涉及国家秘密、商业秘密、个人隐私的信息以及捐赠人、慈善信托的委托人不同意公开的姓名、名称、住所、通讯方式等信息，不得公开。</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第九章　促进措施</w:t>
      </w:r>
    </w:p>
    <w:p>
      <w:pPr>
        <w:pStyle w:val="3"/>
        <w:rPr>
          <w:rFonts w:hint="eastAsia"/>
        </w:rPr>
      </w:pPr>
    </w:p>
    <w:p>
      <w:pPr>
        <w:wordWrap/>
        <w:spacing w:line="560" w:lineRule="exact"/>
        <w:textAlignment w:val="auto"/>
        <w:rPr>
          <w:rFonts w:hint="eastAsia"/>
        </w:rPr>
      </w:pPr>
      <w:r>
        <w:rPr>
          <w:rFonts w:hint="eastAsia" w:ascii="黑体" w:hAnsi="黑体" w:eastAsia="黑体" w:cs="黑体"/>
        </w:rPr>
        <w:t>　　第七十七条</w:t>
      </w:r>
      <w:r>
        <w:rPr>
          <w:rFonts w:hint="eastAsia"/>
        </w:rPr>
        <w:t>　县级以上人民政府应当根据经济社会发展情况，制定促进慈善事业发展的政策和措施。</w:t>
      </w:r>
    </w:p>
    <w:p>
      <w:pPr>
        <w:wordWrap/>
        <w:spacing w:line="560" w:lineRule="exact"/>
        <w:textAlignment w:val="auto"/>
        <w:rPr>
          <w:rFonts w:hint="eastAsia"/>
        </w:rPr>
      </w:pPr>
      <w:r>
        <w:rPr>
          <w:rFonts w:hint="eastAsia"/>
        </w:rPr>
        <w:t>　　县级以上人民政府有关部门应当在各自职责范围内，向慈善组织、慈善信托受托人等提供慈善需求信息，为慈善活动提供指导和帮助。</w:t>
      </w:r>
    </w:p>
    <w:p>
      <w:pPr>
        <w:wordWrap/>
        <w:spacing w:line="560" w:lineRule="exact"/>
        <w:textAlignment w:val="auto"/>
        <w:rPr>
          <w:rFonts w:hint="eastAsia"/>
        </w:rPr>
      </w:pPr>
      <w:r>
        <w:rPr>
          <w:rFonts w:hint="eastAsia"/>
        </w:rPr>
        <w:t>　　</w:t>
      </w:r>
      <w:r>
        <w:rPr>
          <w:rFonts w:hint="eastAsia" w:ascii="黑体" w:hAnsi="黑体" w:eastAsia="黑体" w:cs="黑体"/>
        </w:rPr>
        <w:t>第七十八条</w:t>
      </w:r>
      <w:r>
        <w:rPr>
          <w:rFonts w:hint="eastAsia"/>
        </w:rPr>
        <w:t>　县级以上人民政府民政部门应当建立与其他部门之间的慈善信息共享机制。</w:t>
      </w:r>
    </w:p>
    <w:p>
      <w:pPr>
        <w:wordWrap/>
        <w:spacing w:line="560" w:lineRule="exact"/>
        <w:textAlignment w:val="auto"/>
        <w:rPr>
          <w:rFonts w:hint="eastAsia"/>
        </w:rPr>
      </w:pPr>
      <w:r>
        <w:rPr>
          <w:rFonts w:hint="eastAsia"/>
        </w:rPr>
        <w:t>　</w:t>
      </w:r>
      <w:r>
        <w:rPr>
          <w:rFonts w:hint="eastAsia" w:ascii="黑体" w:hAnsi="黑体" w:eastAsia="黑体" w:cs="黑体"/>
        </w:rPr>
        <w:t>　第七十九条</w:t>
      </w:r>
      <w:r>
        <w:rPr>
          <w:rFonts w:hint="eastAsia"/>
        </w:rPr>
        <w:t>　慈善组织及其取得的收入依法享受税收优惠。</w:t>
      </w:r>
    </w:p>
    <w:p>
      <w:pPr>
        <w:wordWrap/>
        <w:spacing w:line="560" w:lineRule="exact"/>
        <w:textAlignment w:val="auto"/>
        <w:rPr>
          <w:rFonts w:hint="eastAsia"/>
        </w:rPr>
      </w:pPr>
      <w:r>
        <w:rPr>
          <w:rFonts w:hint="eastAsia"/>
        </w:rPr>
        <w:t>　</w:t>
      </w:r>
      <w:r>
        <w:rPr>
          <w:rFonts w:hint="eastAsia" w:ascii="黑体" w:hAnsi="黑体" w:eastAsia="黑体" w:cs="黑体"/>
        </w:rPr>
        <w:t>　第八十条</w:t>
      </w:r>
      <w:r>
        <w:rPr>
          <w:rFonts w:hint="eastAsia"/>
        </w:rPr>
        <w:t>　自然人、法人和其他组织捐赠财产用于慈善活动的，依法享受税收优惠。企业慈善捐赠支出超过法律规定的准予在计算企业所得税应纳税所得额时当年扣除的部分，允许结转以后三年内在计算应纳税所得额时扣除。</w:t>
      </w:r>
    </w:p>
    <w:p>
      <w:pPr>
        <w:wordWrap/>
        <w:spacing w:line="560" w:lineRule="exact"/>
        <w:textAlignment w:val="auto"/>
        <w:rPr>
          <w:rFonts w:hint="eastAsia"/>
        </w:rPr>
      </w:pPr>
      <w:r>
        <w:rPr>
          <w:rFonts w:hint="eastAsia"/>
        </w:rPr>
        <w:t>　　境外捐赠用于慈善活动的物资，依法减征或者免征进口关税和进口环节增值税。</w:t>
      </w:r>
    </w:p>
    <w:p>
      <w:pPr>
        <w:wordWrap/>
        <w:spacing w:line="560" w:lineRule="exact"/>
        <w:textAlignment w:val="auto"/>
        <w:rPr>
          <w:rFonts w:hint="eastAsia"/>
        </w:rPr>
      </w:pPr>
      <w:r>
        <w:rPr>
          <w:rFonts w:hint="eastAsia"/>
        </w:rPr>
        <w:t>　</w:t>
      </w:r>
      <w:r>
        <w:rPr>
          <w:rFonts w:hint="eastAsia" w:ascii="黑体" w:hAnsi="黑体" w:eastAsia="黑体" w:cs="黑体"/>
        </w:rPr>
        <w:t>　第八十一条</w:t>
      </w:r>
      <w:r>
        <w:rPr>
          <w:rFonts w:hint="eastAsia"/>
        </w:rPr>
        <w:t>　受益人接受慈善捐赠，依法享受税收优惠。</w:t>
      </w:r>
    </w:p>
    <w:p>
      <w:pPr>
        <w:wordWrap/>
        <w:spacing w:line="560" w:lineRule="exact"/>
        <w:textAlignment w:val="auto"/>
        <w:rPr>
          <w:rFonts w:hint="eastAsia"/>
        </w:rPr>
      </w:pPr>
      <w:r>
        <w:rPr>
          <w:rFonts w:hint="eastAsia"/>
        </w:rPr>
        <w:t>　　</w:t>
      </w:r>
      <w:r>
        <w:rPr>
          <w:rFonts w:hint="eastAsia" w:ascii="黑体" w:hAnsi="黑体" w:eastAsia="黑体" w:cs="黑体"/>
        </w:rPr>
        <w:t>第八十二条</w:t>
      </w:r>
      <w:r>
        <w:rPr>
          <w:rFonts w:hint="eastAsia"/>
        </w:rPr>
        <w:t>　慈善组织、捐赠人、受益人依法享受税收优惠的，有关部门应当及时办理相关手续。</w:t>
      </w:r>
    </w:p>
    <w:p>
      <w:pPr>
        <w:wordWrap/>
        <w:spacing w:line="560" w:lineRule="exact"/>
        <w:textAlignment w:val="auto"/>
        <w:rPr>
          <w:rFonts w:hint="eastAsia"/>
        </w:rPr>
      </w:pPr>
      <w:r>
        <w:rPr>
          <w:rFonts w:hint="eastAsia"/>
        </w:rPr>
        <w:t>　　</w:t>
      </w:r>
      <w:r>
        <w:rPr>
          <w:rFonts w:hint="eastAsia" w:ascii="黑体" w:hAnsi="黑体" w:eastAsia="黑体" w:cs="黑体"/>
        </w:rPr>
        <w:t>第八十三条</w:t>
      </w:r>
      <w:r>
        <w:rPr>
          <w:rFonts w:hint="eastAsia"/>
        </w:rPr>
        <w:t>　捐赠人向慈善组织捐赠实物、有价证券、股权和知识产权的，依法免征权利转让的相关行政事业性费用。</w:t>
      </w:r>
    </w:p>
    <w:p>
      <w:pPr>
        <w:wordWrap/>
        <w:spacing w:line="560" w:lineRule="exact"/>
        <w:textAlignment w:val="auto"/>
        <w:rPr>
          <w:rFonts w:hint="eastAsia"/>
        </w:rPr>
      </w:pPr>
      <w:r>
        <w:rPr>
          <w:rFonts w:hint="eastAsia"/>
        </w:rPr>
        <w:t>　　</w:t>
      </w:r>
      <w:r>
        <w:rPr>
          <w:rFonts w:hint="eastAsia" w:ascii="黑体" w:hAnsi="黑体" w:eastAsia="黑体" w:cs="黑体"/>
        </w:rPr>
        <w:t>第八十四条</w:t>
      </w:r>
      <w:r>
        <w:rPr>
          <w:rFonts w:hint="eastAsia"/>
        </w:rPr>
        <w:t>　国家对开展扶贫济困的慈善活动，实行特殊的优惠政策。</w:t>
      </w:r>
    </w:p>
    <w:p>
      <w:pPr>
        <w:wordWrap/>
        <w:spacing w:line="560" w:lineRule="exact"/>
        <w:textAlignment w:val="auto"/>
        <w:rPr>
          <w:rFonts w:hint="eastAsia"/>
        </w:rPr>
      </w:pPr>
      <w:r>
        <w:rPr>
          <w:rFonts w:hint="eastAsia"/>
        </w:rPr>
        <w:t>　　</w:t>
      </w:r>
      <w:r>
        <w:rPr>
          <w:rFonts w:hint="eastAsia" w:ascii="黑体" w:hAnsi="黑体" w:eastAsia="黑体" w:cs="黑体"/>
        </w:rPr>
        <w:t>第八十五条</w:t>
      </w:r>
      <w:r>
        <w:rPr>
          <w:rFonts w:hint="eastAsia"/>
        </w:rPr>
        <w:t>　慈善组织开展本法第三条第一项、第二项规定的慈善活动需要慈善服务设施用地的，可以依法申请使用国有划拨土地或者农村集体建设用地。慈善服务设施用地非经法定程序不得改变用途。</w:t>
      </w:r>
    </w:p>
    <w:p>
      <w:pPr>
        <w:wordWrap/>
        <w:spacing w:line="560" w:lineRule="exact"/>
        <w:textAlignment w:val="auto"/>
        <w:rPr>
          <w:rFonts w:hint="eastAsia"/>
        </w:rPr>
      </w:pPr>
      <w:r>
        <w:rPr>
          <w:rFonts w:hint="eastAsia"/>
        </w:rPr>
        <w:t>　　</w:t>
      </w:r>
      <w:r>
        <w:rPr>
          <w:rFonts w:hint="eastAsia" w:ascii="黑体" w:hAnsi="黑体" w:eastAsia="黑体" w:cs="黑体"/>
        </w:rPr>
        <w:t>第八十六条</w:t>
      </w:r>
      <w:r>
        <w:rPr>
          <w:rFonts w:hint="eastAsia"/>
        </w:rPr>
        <w:t>　国家为慈善事业提供金融政策支持，鼓励金融机构为慈善组织、慈善信托提供融资和结算等金融服务。</w:t>
      </w:r>
    </w:p>
    <w:p>
      <w:pPr>
        <w:wordWrap/>
        <w:spacing w:line="560" w:lineRule="exact"/>
        <w:textAlignment w:val="auto"/>
        <w:rPr>
          <w:rFonts w:hint="eastAsia"/>
        </w:rPr>
      </w:pPr>
      <w:r>
        <w:rPr>
          <w:rFonts w:hint="eastAsia"/>
        </w:rPr>
        <w:t>　　</w:t>
      </w:r>
      <w:r>
        <w:rPr>
          <w:rFonts w:hint="eastAsia" w:ascii="黑体" w:hAnsi="黑体" w:eastAsia="黑体" w:cs="黑体"/>
        </w:rPr>
        <w:t>第八十七条</w:t>
      </w:r>
      <w:r>
        <w:rPr>
          <w:rFonts w:hint="eastAsia"/>
        </w:rPr>
        <w:t>　各级人民政府及其有关部门可以依法通过购买服务等方式，支持符合条件的慈善组织向社会提供服务，并依照有关政府采购的法律法规向社会公开相关情况。</w:t>
      </w:r>
    </w:p>
    <w:p>
      <w:pPr>
        <w:wordWrap/>
        <w:spacing w:line="560" w:lineRule="exact"/>
        <w:textAlignment w:val="auto"/>
        <w:rPr>
          <w:rFonts w:hint="eastAsia"/>
        </w:rPr>
      </w:pPr>
      <w:r>
        <w:rPr>
          <w:rFonts w:hint="eastAsia"/>
        </w:rPr>
        <w:t>　　</w:t>
      </w:r>
      <w:r>
        <w:rPr>
          <w:rFonts w:hint="eastAsia" w:ascii="黑体" w:hAnsi="黑体" w:eastAsia="黑体" w:cs="黑体"/>
        </w:rPr>
        <w:t>第八十八条</w:t>
      </w:r>
      <w:r>
        <w:rPr>
          <w:rFonts w:hint="eastAsia"/>
        </w:rPr>
        <w:t>　国家采取措施弘扬慈善文化，培育公民慈善意识。</w:t>
      </w:r>
    </w:p>
    <w:p>
      <w:pPr>
        <w:wordWrap/>
        <w:spacing w:line="560" w:lineRule="exact"/>
        <w:textAlignment w:val="auto"/>
        <w:rPr>
          <w:rFonts w:hint="eastAsia"/>
        </w:rPr>
      </w:pPr>
      <w:r>
        <w:rPr>
          <w:rFonts w:hint="eastAsia"/>
        </w:rPr>
        <w:t>　　学校等教育机构应当将慈善文化纳入教育教学内容。国家鼓励高等学校培养慈善专业人才，支持高等学校和科研机构开展慈善理论研究。</w:t>
      </w:r>
    </w:p>
    <w:p>
      <w:pPr>
        <w:wordWrap/>
        <w:spacing w:line="560" w:lineRule="exact"/>
        <w:textAlignment w:val="auto"/>
        <w:rPr>
          <w:rFonts w:hint="eastAsia"/>
        </w:rPr>
      </w:pPr>
      <w:r>
        <w:rPr>
          <w:rFonts w:hint="eastAsia"/>
        </w:rPr>
        <w:t>　　广播、电视、报刊、互联网等媒体应当积极开展慈善公益宣传活动，普及慈善知识，传播慈善文化。</w:t>
      </w:r>
    </w:p>
    <w:p>
      <w:pPr>
        <w:wordWrap/>
        <w:spacing w:line="560" w:lineRule="exact"/>
        <w:textAlignment w:val="auto"/>
        <w:rPr>
          <w:rFonts w:hint="eastAsia"/>
        </w:rPr>
      </w:pPr>
      <w:r>
        <w:rPr>
          <w:rFonts w:hint="eastAsia"/>
        </w:rPr>
        <w:t>　</w:t>
      </w:r>
      <w:r>
        <w:rPr>
          <w:rFonts w:hint="eastAsia" w:ascii="黑体" w:hAnsi="黑体" w:eastAsia="黑体" w:cs="黑体"/>
        </w:rPr>
        <w:t>　第八十九条</w:t>
      </w:r>
      <w:r>
        <w:rPr>
          <w:rFonts w:hint="eastAsia"/>
        </w:rPr>
        <w:t>　国家鼓励企业事业单位和其他组织为开展慈善活动提供场所和其他便利条件。</w:t>
      </w:r>
    </w:p>
    <w:p>
      <w:pPr>
        <w:wordWrap/>
        <w:spacing w:line="560" w:lineRule="exact"/>
        <w:textAlignment w:val="auto"/>
        <w:rPr>
          <w:rFonts w:hint="eastAsia"/>
        </w:rPr>
      </w:pPr>
      <w:r>
        <w:rPr>
          <w:rFonts w:hint="eastAsia"/>
        </w:rPr>
        <w:t>　　</w:t>
      </w:r>
      <w:r>
        <w:rPr>
          <w:rFonts w:hint="eastAsia" w:ascii="黑体" w:hAnsi="黑体" w:eastAsia="黑体" w:cs="黑体"/>
        </w:rPr>
        <w:t>第九十条</w:t>
      </w:r>
      <w:r>
        <w:rPr>
          <w:rFonts w:hint="eastAsia"/>
        </w:rPr>
        <w:t>　经受益人同意，捐赠人对其捐赠的慈善项目可以冠名纪念，法律法规规定需要批准的，从其规定。</w:t>
      </w:r>
    </w:p>
    <w:p>
      <w:pPr>
        <w:wordWrap/>
        <w:spacing w:line="560" w:lineRule="exact"/>
        <w:textAlignment w:val="auto"/>
        <w:rPr>
          <w:rFonts w:hint="eastAsia"/>
        </w:rPr>
      </w:pPr>
      <w:r>
        <w:rPr>
          <w:rFonts w:hint="eastAsia"/>
        </w:rPr>
        <w:t>　</w:t>
      </w:r>
      <w:r>
        <w:rPr>
          <w:rFonts w:hint="eastAsia" w:ascii="黑体" w:hAnsi="黑体" w:eastAsia="黑体" w:cs="黑体"/>
        </w:rPr>
        <w:t>　第九十一条　</w:t>
      </w:r>
      <w:r>
        <w:rPr>
          <w:rFonts w:hint="eastAsia"/>
        </w:rPr>
        <w:t>国家建立慈善表彰制度，对在慈善事业发展中做出突出贡献的自然人、法人和其他组织，由县级以上人民政府或者有关部门予以表彰。</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第十章　监督管理</w:t>
      </w:r>
    </w:p>
    <w:p>
      <w:pPr>
        <w:pStyle w:val="3"/>
        <w:rPr>
          <w:rFonts w:hint="eastAsia"/>
        </w:rPr>
      </w:pPr>
    </w:p>
    <w:p>
      <w:pPr>
        <w:wordWrap/>
        <w:spacing w:line="560" w:lineRule="exact"/>
        <w:textAlignment w:val="auto"/>
        <w:rPr>
          <w:rFonts w:hint="eastAsia"/>
        </w:rPr>
      </w:pPr>
      <w:r>
        <w:rPr>
          <w:rFonts w:hint="eastAsia" w:ascii="黑体" w:hAnsi="黑体" w:eastAsia="黑体" w:cs="黑体"/>
        </w:rPr>
        <w:t>　　第九十二条</w:t>
      </w:r>
      <w:r>
        <w:rPr>
          <w:rFonts w:hint="eastAsia"/>
        </w:rPr>
        <w:t>　县级以上人民政府民政部门应当依法履行职责，对慈善活动进行监督检查，对慈善行业组织进行指导。</w:t>
      </w:r>
    </w:p>
    <w:p>
      <w:pPr>
        <w:wordWrap/>
        <w:spacing w:line="560" w:lineRule="exact"/>
        <w:textAlignment w:val="auto"/>
        <w:rPr>
          <w:rFonts w:hint="eastAsia"/>
        </w:rPr>
      </w:pPr>
      <w:r>
        <w:rPr>
          <w:rFonts w:hint="eastAsia"/>
        </w:rPr>
        <w:t>　　</w:t>
      </w:r>
      <w:r>
        <w:rPr>
          <w:rFonts w:hint="eastAsia" w:ascii="黑体" w:hAnsi="黑体" w:eastAsia="黑体" w:cs="黑体"/>
        </w:rPr>
        <w:t>第九十三条</w:t>
      </w:r>
      <w:r>
        <w:rPr>
          <w:rFonts w:hint="eastAsia"/>
        </w:rPr>
        <w:t>　县级以上人民政府民政部门对涉嫌违反本法规定的慈善组织，有权采取下列措施：</w:t>
      </w:r>
    </w:p>
    <w:p>
      <w:pPr>
        <w:wordWrap/>
        <w:spacing w:line="560" w:lineRule="exact"/>
        <w:textAlignment w:val="auto"/>
        <w:rPr>
          <w:rFonts w:hint="eastAsia"/>
        </w:rPr>
      </w:pPr>
      <w:r>
        <w:rPr>
          <w:rFonts w:hint="eastAsia"/>
        </w:rPr>
        <w:t>　　（一）对慈善组织的住所和慈善活动发生地进行现场检查；</w:t>
      </w:r>
    </w:p>
    <w:p>
      <w:pPr>
        <w:wordWrap/>
        <w:spacing w:line="560" w:lineRule="exact"/>
        <w:textAlignment w:val="auto"/>
        <w:rPr>
          <w:rFonts w:hint="eastAsia"/>
        </w:rPr>
      </w:pPr>
      <w:r>
        <w:rPr>
          <w:rFonts w:hint="eastAsia"/>
        </w:rPr>
        <w:t>　　（二）要求慈善组织作出说明，查阅、复制有关资料；</w:t>
      </w:r>
    </w:p>
    <w:p>
      <w:pPr>
        <w:wordWrap/>
        <w:spacing w:line="560" w:lineRule="exact"/>
        <w:textAlignment w:val="auto"/>
        <w:rPr>
          <w:rFonts w:hint="eastAsia"/>
        </w:rPr>
      </w:pPr>
      <w:r>
        <w:rPr>
          <w:rFonts w:hint="eastAsia"/>
        </w:rPr>
        <w:t>　　（三）向与慈善活动有关的单位和个人调查与监督管理有关的情况；</w:t>
      </w:r>
    </w:p>
    <w:p>
      <w:pPr>
        <w:wordWrap/>
        <w:spacing w:line="560" w:lineRule="exact"/>
        <w:textAlignment w:val="auto"/>
        <w:rPr>
          <w:rFonts w:hint="eastAsia"/>
        </w:rPr>
      </w:pPr>
      <w:r>
        <w:rPr>
          <w:rFonts w:hint="eastAsia"/>
        </w:rPr>
        <w:t>　　（四）经本级人民政府批准，可以查询慈善组织的金融账户；</w:t>
      </w:r>
    </w:p>
    <w:p>
      <w:pPr>
        <w:wordWrap/>
        <w:spacing w:line="560" w:lineRule="exact"/>
        <w:textAlignment w:val="auto"/>
        <w:rPr>
          <w:rFonts w:hint="eastAsia"/>
        </w:rPr>
      </w:pPr>
      <w:r>
        <w:rPr>
          <w:rFonts w:hint="eastAsia"/>
        </w:rPr>
        <w:t>　　（五）法律、行政法规规定的其他措施。</w:t>
      </w:r>
    </w:p>
    <w:p>
      <w:pPr>
        <w:wordWrap/>
        <w:spacing w:line="560" w:lineRule="exact"/>
        <w:textAlignment w:val="auto"/>
        <w:rPr>
          <w:rFonts w:hint="eastAsia"/>
        </w:rPr>
      </w:pPr>
      <w:r>
        <w:rPr>
          <w:rFonts w:hint="eastAsia"/>
        </w:rPr>
        <w:t>　　</w:t>
      </w:r>
      <w:r>
        <w:rPr>
          <w:rFonts w:hint="eastAsia" w:ascii="黑体" w:hAnsi="黑体" w:eastAsia="黑体" w:cs="黑体"/>
        </w:rPr>
        <w:t>第九十四条</w:t>
      </w:r>
      <w:r>
        <w:rPr>
          <w:rFonts w:hint="eastAsia"/>
        </w:rPr>
        <w:t>　县级以上人民政府民政部门对慈善组织、有关单位和个人进行检查或者调查时，检查人员或者调查人员不得少于二人，并应当出示合法证件和检查、调查通知书。</w:t>
      </w:r>
    </w:p>
    <w:p>
      <w:pPr>
        <w:wordWrap/>
        <w:spacing w:line="560" w:lineRule="exact"/>
        <w:textAlignment w:val="auto"/>
        <w:rPr>
          <w:rFonts w:hint="eastAsia"/>
        </w:rPr>
      </w:pPr>
      <w:r>
        <w:rPr>
          <w:rFonts w:hint="eastAsia"/>
        </w:rPr>
        <w:t>　　</w:t>
      </w:r>
      <w:r>
        <w:rPr>
          <w:rFonts w:hint="eastAsia" w:ascii="黑体" w:hAnsi="黑体" w:eastAsia="黑体" w:cs="黑体"/>
        </w:rPr>
        <w:t>第九十五条</w:t>
      </w:r>
      <w:r>
        <w:rPr>
          <w:rFonts w:hint="eastAsia"/>
        </w:rPr>
        <w:t>　县级以上人民政府民政部门应当建立慈善组织及其负责人信用记录制度，并向社会公布。</w:t>
      </w:r>
    </w:p>
    <w:p>
      <w:pPr>
        <w:wordWrap/>
        <w:spacing w:line="560" w:lineRule="exact"/>
        <w:textAlignment w:val="auto"/>
        <w:rPr>
          <w:rFonts w:hint="eastAsia"/>
        </w:rPr>
      </w:pPr>
      <w:r>
        <w:rPr>
          <w:rFonts w:hint="eastAsia"/>
        </w:rPr>
        <w:t>　　民政部门应当建立慈善组织评估制度，鼓励和支持第三方机构对慈善组织进行评估，并向社会公布评估结果。</w:t>
      </w:r>
    </w:p>
    <w:p>
      <w:pPr>
        <w:wordWrap/>
        <w:spacing w:line="560" w:lineRule="exact"/>
        <w:textAlignment w:val="auto"/>
        <w:rPr>
          <w:rFonts w:hint="eastAsia"/>
        </w:rPr>
      </w:pPr>
      <w:r>
        <w:rPr>
          <w:rFonts w:hint="eastAsia"/>
        </w:rPr>
        <w:t>　　</w:t>
      </w:r>
      <w:r>
        <w:rPr>
          <w:rFonts w:hint="eastAsia" w:ascii="黑体" w:hAnsi="黑体" w:eastAsia="黑体" w:cs="黑体"/>
        </w:rPr>
        <w:t>第九十六条</w:t>
      </w:r>
      <w:r>
        <w:rPr>
          <w:rFonts w:hint="eastAsia"/>
        </w:rPr>
        <w:t>　慈善行业组织应当建立健全行业规范，加强行业自律。</w:t>
      </w:r>
    </w:p>
    <w:p>
      <w:pPr>
        <w:wordWrap/>
        <w:spacing w:line="560" w:lineRule="exact"/>
        <w:textAlignment w:val="auto"/>
        <w:rPr>
          <w:rFonts w:hint="eastAsia"/>
        </w:rPr>
      </w:pPr>
      <w:r>
        <w:rPr>
          <w:rFonts w:hint="eastAsia"/>
        </w:rPr>
        <w:t>　</w:t>
      </w:r>
      <w:r>
        <w:rPr>
          <w:rFonts w:hint="eastAsia" w:ascii="黑体" w:hAnsi="黑体" w:eastAsia="黑体" w:cs="黑体"/>
        </w:rPr>
        <w:t>　第九十七条</w:t>
      </w:r>
      <w:r>
        <w:rPr>
          <w:rFonts w:hint="eastAsia"/>
        </w:rPr>
        <w:t>　任何单位和个人发现慈善组织、慈善信托有违法行为的，可以向民政部门、其他有关部门或者慈善行业组织投诉、举报。民政部门、其他有关部门或者慈善行业组织接到投诉、举报后，应当及时调查处理。</w:t>
      </w:r>
    </w:p>
    <w:p>
      <w:pPr>
        <w:wordWrap/>
        <w:spacing w:line="560" w:lineRule="exact"/>
        <w:textAlignment w:val="auto"/>
        <w:rPr>
          <w:rFonts w:hint="eastAsia"/>
        </w:rPr>
      </w:pPr>
      <w:r>
        <w:rPr>
          <w:rFonts w:hint="eastAsia"/>
        </w:rPr>
        <w:t>　　国家鼓励公众、媒体对慈善活动进行监督，对假借慈善名义或者假冒慈善组织骗取财产以及慈善组织、慈善信托的违法违规行为予以曝光，发挥舆论和社会监督作用。</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第十一章　法律责任</w:t>
      </w:r>
    </w:p>
    <w:p>
      <w:pPr>
        <w:pStyle w:val="3"/>
        <w:rPr>
          <w:rFonts w:hint="eastAsia"/>
        </w:rPr>
      </w:pPr>
    </w:p>
    <w:p>
      <w:pPr>
        <w:wordWrap/>
        <w:spacing w:line="560" w:lineRule="exact"/>
        <w:textAlignment w:val="auto"/>
        <w:rPr>
          <w:rFonts w:hint="eastAsia"/>
        </w:rPr>
      </w:pPr>
      <w:r>
        <w:rPr>
          <w:rFonts w:hint="eastAsia" w:ascii="黑体" w:hAnsi="黑体" w:eastAsia="黑体" w:cs="黑体"/>
        </w:rPr>
        <w:t>　　第九十八条</w:t>
      </w:r>
      <w:r>
        <w:rPr>
          <w:rFonts w:hint="eastAsia"/>
        </w:rPr>
        <w:t>　慈善组织有下列情形之一的，由民政部门责令限期改正；逾期不改正的，吊销登记证书并予以公告：</w:t>
      </w:r>
    </w:p>
    <w:p>
      <w:pPr>
        <w:wordWrap/>
        <w:spacing w:line="560" w:lineRule="exact"/>
        <w:textAlignment w:val="auto"/>
        <w:rPr>
          <w:rFonts w:hint="eastAsia"/>
        </w:rPr>
      </w:pPr>
      <w:r>
        <w:rPr>
          <w:rFonts w:hint="eastAsia"/>
        </w:rPr>
        <w:t>　　（一）未按照慈善宗旨开展活动的；</w:t>
      </w:r>
    </w:p>
    <w:p>
      <w:pPr>
        <w:wordWrap/>
        <w:spacing w:line="560" w:lineRule="exact"/>
        <w:textAlignment w:val="auto"/>
        <w:rPr>
          <w:rFonts w:hint="eastAsia"/>
        </w:rPr>
      </w:pPr>
      <w:r>
        <w:rPr>
          <w:rFonts w:hint="eastAsia"/>
        </w:rPr>
        <w:t>　　（二）私分、挪用、截留或者侵占慈善财产的；</w:t>
      </w:r>
    </w:p>
    <w:p>
      <w:pPr>
        <w:wordWrap/>
        <w:spacing w:line="560" w:lineRule="exact"/>
        <w:textAlignment w:val="auto"/>
        <w:rPr>
          <w:rFonts w:hint="eastAsia"/>
        </w:rPr>
      </w:pPr>
      <w:r>
        <w:rPr>
          <w:rFonts w:hint="eastAsia"/>
        </w:rPr>
        <w:t>　　（三）接受附加违反法律法规或者违背社会公德条件的捐赠，或者对受益人附加违反法律法规或者违背社会公德的条件的。</w:t>
      </w:r>
    </w:p>
    <w:p>
      <w:pPr>
        <w:wordWrap/>
        <w:spacing w:line="560" w:lineRule="exact"/>
        <w:textAlignment w:val="auto"/>
        <w:rPr>
          <w:rFonts w:hint="eastAsia"/>
        </w:rPr>
      </w:pPr>
      <w:r>
        <w:rPr>
          <w:rFonts w:hint="eastAsia"/>
        </w:rPr>
        <w:t>　　</w:t>
      </w:r>
      <w:r>
        <w:rPr>
          <w:rFonts w:hint="eastAsia" w:ascii="黑体" w:hAnsi="黑体" w:eastAsia="黑体" w:cs="黑体"/>
        </w:rPr>
        <w:t>第九十九条</w:t>
      </w:r>
      <w:r>
        <w:rPr>
          <w:rFonts w:hint="eastAsia"/>
        </w:rPr>
        <w:t>　慈善组织有下列情形之一的，由民政部门予以警告、责令限期改正；逾期不改正的，责令限期停止活动并进行整改：</w:t>
      </w:r>
    </w:p>
    <w:p>
      <w:pPr>
        <w:wordWrap/>
        <w:spacing w:line="560" w:lineRule="exact"/>
        <w:textAlignment w:val="auto"/>
        <w:rPr>
          <w:rFonts w:hint="eastAsia"/>
        </w:rPr>
      </w:pPr>
      <w:r>
        <w:rPr>
          <w:rFonts w:hint="eastAsia"/>
        </w:rPr>
        <w:t>　　（一）违反本法第十四条规定造成慈善财产损失的；</w:t>
      </w:r>
    </w:p>
    <w:p>
      <w:pPr>
        <w:wordWrap/>
        <w:spacing w:line="560" w:lineRule="exact"/>
        <w:textAlignment w:val="auto"/>
        <w:rPr>
          <w:rFonts w:hint="eastAsia"/>
        </w:rPr>
      </w:pPr>
      <w:r>
        <w:rPr>
          <w:rFonts w:hint="eastAsia"/>
        </w:rPr>
        <w:t>　　（二）将不得用于投资的财产用于投资的；</w:t>
      </w:r>
    </w:p>
    <w:p>
      <w:pPr>
        <w:wordWrap/>
        <w:spacing w:line="560" w:lineRule="exact"/>
        <w:textAlignment w:val="auto"/>
        <w:rPr>
          <w:rFonts w:hint="eastAsia"/>
        </w:rPr>
      </w:pPr>
      <w:r>
        <w:rPr>
          <w:rFonts w:hint="eastAsia"/>
        </w:rPr>
        <w:t>　　（三）擅自改变捐赠财产用途的；</w:t>
      </w:r>
    </w:p>
    <w:p>
      <w:pPr>
        <w:wordWrap/>
        <w:spacing w:line="560" w:lineRule="exact"/>
        <w:textAlignment w:val="auto"/>
        <w:rPr>
          <w:rFonts w:hint="eastAsia"/>
        </w:rPr>
      </w:pPr>
      <w:r>
        <w:rPr>
          <w:rFonts w:hint="eastAsia"/>
        </w:rPr>
        <w:t>　　（四）开展慈善活动的年度支出或者管理费用的标准违反本法第六十条规定的；</w:t>
      </w:r>
    </w:p>
    <w:p>
      <w:pPr>
        <w:wordWrap/>
        <w:spacing w:line="560" w:lineRule="exact"/>
        <w:textAlignment w:val="auto"/>
        <w:rPr>
          <w:rFonts w:hint="eastAsia"/>
        </w:rPr>
      </w:pPr>
      <w:r>
        <w:rPr>
          <w:rFonts w:hint="eastAsia"/>
        </w:rPr>
        <w:t>　　（五）未依法履行信息公开义务的；</w:t>
      </w:r>
    </w:p>
    <w:p>
      <w:pPr>
        <w:wordWrap/>
        <w:spacing w:line="560" w:lineRule="exact"/>
        <w:textAlignment w:val="auto"/>
        <w:rPr>
          <w:rFonts w:hint="eastAsia"/>
        </w:rPr>
      </w:pPr>
      <w:r>
        <w:rPr>
          <w:rFonts w:hint="eastAsia"/>
        </w:rPr>
        <w:t>　　（六）未依法报送年度工作报告、财务会计报告或者报备募捐方案的；</w:t>
      </w:r>
    </w:p>
    <w:p>
      <w:pPr>
        <w:wordWrap/>
        <w:spacing w:line="560" w:lineRule="exact"/>
        <w:textAlignment w:val="auto"/>
        <w:rPr>
          <w:rFonts w:hint="eastAsia"/>
        </w:rPr>
      </w:pPr>
      <w:r>
        <w:rPr>
          <w:rFonts w:hint="eastAsia"/>
        </w:rPr>
        <w:t>　　（七）泄露捐赠人、志愿者、受益人个人隐私以及捐赠人、慈善信托的委托人不同意公开的姓名、名称、住所、通讯方式等信息的。</w:t>
      </w:r>
    </w:p>
    <w:p>
      <w:pPr>
        <w:wordWrap/>
        <w:spacing w:line="560" w:lineRule="exact"/>
        <w:textAlignment w:val="auto"/>
        <w:rPr>
          <w:rFonts w:hint="eastAsia"/>
        </w:rPr>
      </w:pPr>
      <w:r>
        <w:rPr>
          <w:rFonts w:hint="eastAsia"/>
        </w:rPr>
        <w:t>　　慈善组织违反本法规定泄露国家秘密、商业秘密的，依照有关法律的规定予以处罚。</w:t>
      </w:r>
    </w:p>
    <w:p>
      <w:pPr>
        <w:wordWrap/>
        <w:spacing w:line="560" w:lineRule="exact"/>
        <w:textAlignment w:val="auto"/>
        <w:rPr>
          <w:rFonts w:hint="eastAsia"/>
        </w:rPr>
      </w:pPr>
      <w:r>
        <w:rPr>
          <w:rFonts w:hint="eastAsia"/>
        </w:rPr>
        <w:t>　　慈善组织有前两款规定的情形，经依法处理后一年内再出现前款规定的情形，或者有其他情节严重情形的，由民政部门吊销登记证书并予以公告。</w:t>
      </w:r>
    </w:p>
    <w:p>
      <w:pPr>
        <w:wordWrap/>
        <w:spacing w:line="560" w:lineRule="exact"/>
        <w:textAlignment w:val="auto"/>
        <w:rPr>
          <w:rFonts w:hint="eastAsia"/>
        </w:rPr>
      </w:pPr>
      <w:r>
        <w:rPr>
          <w:rFonts w:hint="eastAsia"/>
        </w:rPr>
        <w:t>　　</w:t>
      </w:r>
      <w:r>
        <w:rPr>
          <w:rFonts w:hint="eastAsia" w:ascii="黑体" w:hAnsi="黑体" w:eastAsia="黑体" w:cs="黑体"/>
        </w:rPr>
        <w:t>第一百条</w:t>
      </w:r>
      <w:r>
        <w:rPr>
          <w:rFonts w:hint="eastAsia"/>
        </w:rPr>
        <w:t>　慈善组织有本法第九十八条、第九十九条规定的情形，有违法所得的，由民政部门予以没收；对直接负责的主管人员和其他直接责任人员处二万元以上二十万元以下罚款。</w:t>
      </w:r>
    </w:p>
    <w:p>
      <w:pPr>
        <w:wordWrap/>
        <w:spacing w:line="560" w:lineRule="exact"/>
        <w:textAlignment w:val="auto"/>
        <w:rPr>
          <w:rFonts w:hint="eastAsia"/>
        </w:rPr>
      </w:pPr>
      <w:r>
        <w:rPr>
          <w:rFonts w:hint="eastAsia"/>
        </w:rPr>
        <w:t>　</w:t>
      </w:r>
      <w:r>
        <w:rPr>
          <w:rFonts w:hint="eastAsia" w:ascii="黑体" w:hAnsi="黑体" w:eastAsia="黑体" w:cs="黑体"/>
        </w:rPr>
        <w:t>　第一百零一条</w:t>
      </w:r>
      <w:r>
        <w:rPr>
          <w:rFonts w:hint="eastAsia"/>
        </w:rPr>
        <w:t>　开展募捐活动有下列情形之一的，由民政部门予以警告、责令停止募捐活动；对违法募集的财产，责令退还捐赠人；难以退还的，由民政部门予以收缴，转给其他慈善组织用于慈善目的；对有关组织或者个人处二万元以上二十万元以下罚款：</w:t>
      </w:r>
    </w:p>
    <w:p>
      <w:pPr>
        <w:wordWrap/>
        <w:spacing w:line="560" w:lineRule="exact"/>
        <w:textAlignment w:val="auto"/>
        <w:rPr>
          <w:rFonts w:hint="eastAsia"/>
        </w:rPr>
      </w:pPr>
      <w:r>
        <w:rPr>
          <w:rFonts w:hint="eastAsia"/>
        </w:rPr>
        <w:t>　　（一）不具有公开募捐资格的组织或者个人开展公开募捐的；</w:t>
      </w:r>
    </w:p>
    <w:p>
      <w:pPr>
        <w:wordWrap/>
        <w:spacing w:line="560" w:lineRule="exact"/>
        <w:textAlignment w:val="auto"/>
        <w:rPr>
          <w:rFonts w:hint="eastAsia"/>
        </w:rPr>
      </w:pPr>
      <w:r>
        <w:rPr>
          <w:rFonts w:hint="eastAsia"/>
        </w:rPr>
        <w:t>　　（二）通过虚构事实等方式欺骗、诱导募捐对象实施捐赠的；</w:t>
      </w:r>
    </w:p>
    <w:p>
      <w:pPr>
        <w:wordWrap/>
        <w:spacing w:line="560" w:lineRule="exact"/>
        <w:textAlignment w:val="auto"/>
        <w:rPr>
          <w:rFonts w:hint="eastAsia"/>
        </w:rPr>
      </w:pPr>
      <w:r>
        <w:rPr>
          <w:rFonts w:hint="eastAsia"/>
        </w:rPr>
        <w:t>　　（三）向单位或者个人摊派或者变相摊派的；</w:t>
      </w:r>
    </w:p>
    <w:p>
      <w:pPr>
        <w:wordWrap/>
        <w:spacing w:line="560" w:lineRule="exact"/>
        <w:textAlignment w:val="auto"/>
        <w:rPr>
          <w:rFonts w:hint="eastAsia"/>
        </w:rPr>
      </w:pPr>
      <w:r>
        <w:rPr>
          <w:rFonts w:hint="eastAsia"/>
        </w:rPr>
        <w:t>　　（四）妨碍公共秩序、企业生产经营或者居民生活的。</w:t>
      </w:r>
    </w:p>
    <w:p>
      <w:pPr>
        <w:wordWrap/>
        <w:spacing w:line="560" w:lineRule="exact"/>
        <w:textAlignment w:val="auto"/>
        <w:rPr>
          <w:rFonts w:hint="eastAsia"/>
        </w:rPr>
      </w:pPr>
      <w:r>
        <w:rPr>
          <w:rFonts w:hint="eastAsia"/>
        </w:rPr>
        <w:t>　　广播、电视、报刊以及网络服务提供者、电信运营商未履行本法第二十七条规定的验证义务的，由其主管部门予以警告，责令限期改正；逾期不改正的，予以通报批评。</w:t>
      </w:r>
    </w:p>
    <w:p>
      <w:pPr>
        <w:wordWrap/>
        <w:spacing w:line="560" w:lineRule="exact"/>
        <w:textAlignment w:val="auto"/>
        <w:rPr>
          <w:rFonts w:hint="eastAsia"/>
        </w:rPr>
      </w:pPr>
      <w:r>
        <w:rPr>
          <w:rFonts w:hint="eastAsia"/>
        </w:rPr>
        <w:t>　　</w:t>
      </w:r>
      <w:r>
        <w:rPr>
          <w:rFonts w:hint="eastAsia" w:ascii="黑体" w:hAnsi="黑体" w:eastAsia="黑体" w:cs="黑体"/>
        </w:rPr>
        <w:t>第一百零二条</w:t>
      </w:r>
      <w:r>
        <w:rPr>
          <w:rFonts w:hint="eastAsia"/>
        </w:rPr>
        <w:t>　慈善组织不依法向捐赠人开具捐赠票据、不依法向志愿者出具志愿服务记录证明或者不及时主动向捐赠人反馈有关情况的，由民政部门予以警告，责令限期改正；逾期不改正的，责令限期停止活动。</w:t>
      </w:r>
    </w:p>
    <w:p>
      <w:pPr>
        <w:wordWrap/>
        <w:spacing w:line="560" w:lineRule="exact"/>
        <w:textAlignment w:val="auto"/>
        <w:rPr>
          <w:rFonts w:hint="eastAsia"/>
        </w:rPr>
      </w:pPr>
      <w:r>
        <w:rPr>
          <w:rFonts w:hint="eastAsia"/>
        </w:rPr>
        <w:t>　　</w:t>
      </w:r>
      <w:r>
        <w:rPr>
          <w:rFonts w:hint="eastAsia" w:ascii="黑体" w:hAnsi="黑体" w:eastAsia="黑体" w:cs="黑体"/>
        </w:rPr>
        <w:t>第一百零三条</w:t>
      </w:r>
      <w:r>
        <w:rPr>
          <w:rFonts w:hint="eastAsia"/>
        </w:rPr>
        <w:t>　慈善组织弄虚作假骗取税收优惠的，由税务机关依法查处；情节严重的，由民政部门吊销登记证书并予以公告。</w:t>
      </w:r>
    </w:p>
    <w:p>
      <w:pPr>
        <w:wordWrap/>
        <w:spacing w:line="560" w:lineRule="exact"/>
        <w:textAlignment w:val="auto"/>
        <w:rPr>
          <w:rFonts w:hint="eastAsia"/>
        </w:rPr>
      </w:pPr>
      <w:r>
        <w:rPr>
          <w:rFonts w:hint="eastAsia"/>
        </w:rPr>
        <w:t>　</w:t>
      </w:r>
      <w:r>
        <w:rPr>
          <w:rFonts w:hint="eastAsia" w:ascii="黑体" w:hAnsi="黑体" w:eastAsia="黑体" w:cs="黑体"/>
        </w:rPr>
        <w:t>　第一百零四条</w:t>
      </w:r>
      <w:r>
        <w:rPr>
          <w:rFonts w:hint="eastAsia"/>
        </w:rPr>
        <w:t>　慈善组织从事、资助危害国家安全或者社会公共利益活动的，由有关机关依法查处，由民政部门吊销登记证书并予以公告。</w:t>
      </w:r>
    </w:p>
    <w:p>
      <w:pPr>
        <w:wordWrap/>
        <w:spacing w:line="560" w:lineRule="exact"/>
        <w:textAlignment w:val="auto"/>
        <w:rPr>
          <w:rFonts w:hint="eastAsia"/>
        </w:rPr>
      </w:pPr>
      <w:r>
        <w:rPr>
          <w:rFonts w:hint="eastAsia"/>
        </w:rPr>
        <w:t>　　</w:t>
      </w:r>
      <w:r>
        <w:rPr>
          <w:rFonts w:hint="eastAsia" w:ascii="黑体" w:hAnsi="黑体" w:eastAsia="黑体" w:cs="黑体"/>
        </w:rPr>
        <w:t>第一百零五条</w:t>
      </w:r>
      <w:r>
        <w:rPr>
          <w:rFonts w:hint="eastAsia"/>
        </w:rPr>
        <w:t>　慈善信托的受托人有下列情形之一的，由民政部门予以警告，责令限期改正；有违法所得的，由民政部门予以没收；对直接负责的主管人员和其他直接责任人员处二万元以上二十万元以下罚款：</w:t>
      </w:r>
    </w:p>
    <w:p>
      <w:pPr>
        <w:wordWrap/>
        <w:spacing w:line="560" w:lineRule="exact"/>
        <w:textAlignment w:val="auto"/>
        <w:rPr>
          <w:rFonts w:hint="eastAsia"/>
        </w:rPr>
      </w:pPr>
      <w:r>
        <w:rPr>
          <w:rFonts w:hint="eastAsia"/>
        </w:rPr>
        <w:t>　　（一）将信托财产及其收益用于非慈善目的的；</w:t>
      </w:r>
    </w:p>
    <w:p>
      <w:pPr>
        <w:wordWrap/>
        <w:spacing w:line="560" w:lineRule="exact"/>
        <w:textAlignment w:val="auto"/>
        <w:rPr>
          <w:rFonts w:hint="eastAsia"/>
        </w:rPr>
      </w:pPr>
      <w:r>
        <w:rPr>
          <w:rFonts w:hint="eastAsia"/>
        </w:rPr>
        <w:t>　　（二）未按照规定将信托事务处理情况及财务状况向民政部门报告或者向社会公开的。</w:t>
      </w:r>
    </w:p>
    <w:p>
      <w:pPr>
        <w:wordWrap/>
        <w:spacing w:line="560" w:lineRule="exact"/>
        <w:textAlignment w:val="auto"/>
        <w:rPr>
          <w:rFonts w:hint="eastAsia"/>
        </w:rPr>
      </w:pPr>
      <w:r>
        <w:rPr>
          <w:rFonts w:hint="eastAsia"/>
        </w:rPr>
        <w:t>　　</w:t>
      </w:r>
      <w:r>
        <w:rPr>
          <w:rFonts w:hint="eastAsia" w:ascii="黑体" w:hAnsi="黑体" w:eastAsia="黑体" w:cs="黑体"/>
        </w:rPr>
        <w:t>第一百零六条</w:t>
      </w:r>
      <w:r>
        <w:rPr>
          <w:rFonts w:hint="eastAsia"/>
        </w:rPr>
        <w:t>　慈善服务过程中，因慈善组织或者志愿者过错造成受益人、第三人损害的，慈善组织依法承担赔偿责任；损害是由志愿者故意或者重大过失造成的，慈善组织可以向其追偿。</w:t>
      </w:r>
    </w:p>
    <w:p>
      <w:pPr>
        <w:wordWrap/>
        <w:spacing w:line="560" w:lineRule="exact"/>
        <w:textAlignment w:val="auto"/>
        <w:rPr>
          <w:rFonts w:hint="eastAsia"/>
        </w:rPr>
      </w:pPr>
      <w:r>
        <w:rPr>
          <w:rFonts w:hint="eastAsia"/>
        </w:rPr>
        <w:t>　　志愿者在参与慈善服务过程中，因慈善组织过错受到损害的，慈善组织依法承担赔偿责任；损害是由不可抗力造成的，慈善组织应当给予适当补偿。</w:t>
      </w:r>
    </w:p>
    <w:p>
      <w:pPr>
        <w:wordWrap/>
        <w:spacing w:line="560" w:lineRule="exact"/>
        <w:textAlignment w:val="auto"/>
        <w:rPr>
          <w:rFonts w:hint="eastAsia"/>
        </w:rPr>
      </w:pPr>
      <w:r>
        <w:rPr>
          <w:rFonts w:hint="eastAsia" w:ascii="黑体" w:hAnsi="黑体" w:eastAsia="黑体" w:cs="黑体"/>
        </w:rPr>
        <w:t>　　第一百零七条</w:t>
      </w:r>
      <w:r>
        <w:rPr>
          <w:rFonts w:hint="eastAsia"/>
        </w:rPr>
        <w:t>　自然人、法人或者其他组织假借慈善名义或者假冒慈善组织骗取财产的，由公安机关依法查处。</w:t>
      </w:r>
    </w:p>
    <w:p>
      <w:pPr>
        <w:wordWrap/>
        <w:spacing w:line="560" w:lineRule="exact"/>
        <w:textAlignment w:val="auto"/>
        <w:rPr>
          <w:rFonts w:hint="eastAsia"/>
        </w:rPr>
      </w:pPr>
      <w:r>
        <w:rPr>
          <w:rFonts w:hint="eastAsia"/>
        </w:rPr>
        <w:t>　　</w:t>
      </w:r>
      <w:r>
        <w:rPr>
          <w:rFonts w:hint="eastAsia" w:ascii="黑体" w:hAnsi="黑体" w:eastAsia="黑体" w:cs="黑体"/>
        </w:rPr>
        <w:t>第一百零八条</w:t>
      </w:r>
      <w:r>
        <w:rPr>
          <w:rFonts w:hint="eastAsia"/>
        </w:rPr>
        <w:t>　县级以上人民政府民政部门和其他有关部门及其工作人员有下列情形之一的，由上级机关或者监察机关责令改正；依法应当给予处分的，由任免机关或者监察机关对直接负责的主管人员和其他直接责任人员给予处分：</w:t>
      </w:r>
    </w:p>
    <w:p>
      <w:pPr>
        <w:wordWrap/>
        <w:spacing w:line="560" w:lineRule="exact"/>
        <w:textAlignment w:val="auto"/>
        <w:rPr>
          <w:rFonts w:hint="eastAsia"/>
        </w:rPr>
      </w:pPr>
      <w:r>
        <w:rPr>
          <w:rFonts w:hint="eastAsia"/>
        </w:rPr>
        <w:t>　　（一）未依法履行信息公开义务的；</w:t>
      </w:r>
    </w:p>
    <w:p>
      <w:pPr>
        <w:wordWrap/>
        <w:spacing w:line="560" w:lineRule="exact"/>
        <w:textAlignment w:val="auto"/>
        <w:rPr>
          <w:rFonts w:hint="eastAsia"/>
        </w:rPr>
      </w:pPr>
      <w:r>
        <w:rPr>
          <w:rFonts w:hint="eastAsia"/>
        </w:rPr>
        <w:t>　　（二）摊派或者变相摊派捐赠任务，强行指定志愿者、慈善组织提供服务的；</w:t>
      </w:r>
    </w:p>
    <w:p>
      <w:pPr>
        <w:wordWrap/>
        <w:spacing w:line="560" w:lineRule="exact"/>
        <w:textAlignment w:val="auto"/>
        <w:rPr>
          <w:rFonts w:hint="eastAsia"/>
        </w:rPr>
      </w:pPr>
      <w:r>
        <w:rPr>
          <w:rFonts w:hint="eastAsia"/>
        </w:rPr>
        <w:t>　　（三）未依法履行监督管理职责的；</w:t>
      </w:r>
    </w:p>
    <w:p>
      <w:pPr>
        <w:wordWrap/>
        <w:spacing w:line="560" w:lineRule="exact"/>
        <w:textAlignment w:val="auto"/>
        <w:rPr>
          <w:rFonts w:hint="eastAsia"/>
        </w:rPr>
      </w:pPr>
      <w:r>
        <w:rPr>
          <w:rFonts w:hint="eastAsia"/>
        </w:rPr>
        <w:t>　　（四）违法实施行政强制措施和行政处罚的；</w:t>
      </w:r>
    </w:p>
    <w:p>
      <w:pPr>
        <w:wordWrap/>
        <w:spacing w:line="560" w:lineRule="exact"/>
        <w:textAlignment w:val="auto"/>
        <w:rPr>
          <w:rFonts w:hint="eastAsia"/>
        </w:rPr>
      </w:pPr>
      <w:r>
        <w:rPr>
          <w:rFonts w:hint="eastAsia"/>
        </w:rPr>
        <w:t>　　（五）私分、挪用、截留或者侵占慈善财产的；</w:t>
      </w:r>
    </w:p>
    <w:p>
      <w:pPr>
        <w:wordWrap/>
        <w:spacing w:line="560" w:lineRule="exact"/>
        <w:textAlignment w:val="auto"/>
        <w:rPr>
          <w:rFonts w:hint="eastAsia"/>
        </w:rPr>
      </w:pPr>
      <w:r>
        <w:rPr>
          <w:rFonts w:hint="eastAsia"/>
        </w:rPr>
        <w:t>　　（六）其他滥用职权、玩忽职守、徇私舞弊的行为。</w:t>
      </w:r>
    </w:p>
    <w:p>
      <w:pPr>
        <w:wordWrap/>
        <w:spacing w:line="560" w:lineRule="exact"/>
        <w:textAlignment w:val="auto"/>
        <w:rPr>
          <w:rFonts w:hint="eastAsia"/>
        </w:rPr>
      </w:pPr>
      <w:r>
        <w:rPr>
          <w:rFonts w:hint="eastAsia"/>
        </w:rPr>
        <w:t>　　</w:t>
      </w:r>
      <w:r>
        <w:rPr>
          <w:rFonts w:hint="eastAsia" w:ascii="黑体" w:hAnsi="黑体" w:eastAsia="黑体" w:cs="黑体"/>
        </w:rPr>
        <w:t>第一百零九条</w:t>
      </w:r>
      <w:r>
        <w:rPr>
          <w:rFonts w:hint="eastAsia"/>
        </w:rPr>
        <w:t>　违反本法规定，构成违反治安管理行为的，由公安机关依法给予治安管理处罚；构成犯罪的，依法追究刑事责任。</w:t>
      </w:r>
    </w:p>
    <w:p>
      <w:pPr>
        <w:wordWrap/>
        <w:spacing w:line="560" w:lineRule="exact"/>
        <w:textAlignment w:val="auto"/>
        <w:rPr>
          <w:rFonts w:hint="eastAsia" w:ascii="黑体" w:hAnsi="黑体" w:eastAsia="黑体" w:cs="黑体"/>
        </w:rPr>
      </w:pPr>
    </w:p>
    <w:p>
      <w:pPr>
        <w:wordWrap/>
        <w:spacing w:line="560" w:lineRule="exact"/>
        <w:jc w:val="center"/>
        <w:textAlignment w:val="auto"/>
        <w:rPr>
          <w:rFonts w:hint="eastAsia" w:ascii="黑体" w:hAnsi="黑体" w:eastAsia="黑体" w:cs="黑体"/>
        </w:rPr>
      </w:pPr>
      <w:r>
        <w:rPr>
          <w:rFonts w:hint="eastAsia" w:ascii="黑体" w:hAnsi="黑体" w:eastAsia="黑体" w:cs="黑体"/>
        </w:rPr>
        <w:t>第十二章　附则</w:t>
      </w:r>
    </w:p>
    <w:p>
      <w:pPr>
        <w:pStyle w:val="3"/>
        <w:rPr>
          <w:rFonts w:hint="eastAsia"/>
        </w:rPr>
      </w:pPr>
    </w:p>
    <w:p>
      <w:pPr>
        <w:wordWrap/>
        <w:spacing w:line="560" w:lineRule="exact"/>
        <w:textAlignment w:val="auto"/>
        <w:rPr>
          <w:rFonts w:hint="eastAsia"/>
        </w:rPr>
      </w:pPr>
      <w:r>
        <w:rPr>
          <w:rFonts w:hint="eastAsia"/>
        </w:rPr>
        <w:t>　</w:t>
      </w:r>
      <w:r>
        <w:rPr>
          <w:rFonts w:hint="eastAsia" w:ascii="黑体" w:hAnsi="黑体" w:eastAsia="黑体" w:cs="黑体"/>
        </w:rPr>
        <w:t>　第一百一十条　</w:t>
      </w:r>
      <w:r>
        <w:rPr>
          <w:rFonts w:hint="eastAsia"/>
        </w:rPr>
        <w:t>城乡社区组织、单位可以在本社区、单位内部开展群众性互助互济活动。</w:t>
      </w:r>
    </w:p>
    <w:p>
      <w:pPr>
        <w:wordWrap/>
        <w:spacing w:line="560" w:lineRule="exact"/>
        <w:textAlignment w:val="auto"/>
        <w:rPr>
          <w:rFonts w:hint="eastAsia"/>
        </w:rPr>
      </w:pPr>
      <w:r>
        <w:rPr>
          <w:rFonts w:hint="eastAsia"/>
        </w:rPr>
        <w:t>　</w:t>
      </w:r>
      <w:r>
        <w:rPr>
          <w:rFonts w:hint="eastAsia" w:ascii="黑体" w:hAnsi="黑体" w:eastAsia="黑体" w:cs="黑体"/>
        </w:rPr>
        <w:t>　第一百一十一条</w:t>
      </w:r>
      <w:r>
        <w:rPr>
          <w:rFonts w:hint="eastAsia"/>
        </w:rPr>
        <w:t>　慈善组织以外的其他组织可以开展力所能及的慈善活动。</w:t>
      </w:r>
    </w:p>
    <w:p>
      <w:pPr>
        <w:wordWrap/>
        <w:spacing w:line="560" w:lineRule="exact"/>
        <w:textAlignment w:val="auto"/>
        <w:rPr>
          <w:rFonts w:hint="eastAsia"/>
        </w:rPr>
      </w:pPr>
      <w:r>
        <w:rPr>
          <w:rFonts w:hint="eastAsia" w:ascii="黑体" w:hAnsi="黑体" w:eastAsia="黑体" w:cs="黑体"/>
        </w:rPr>
        <w:t>　　第一百一十二条</w:t>
      </w:r>
      <w:r>
        <w:rPr>
          <w:rFonts w:hint="eastAsia"/>
        </w:rPr>
        <w:t>　本法自</w:t>
      </w:r>
      <w:bookmarkStart w:id="993" w:name="_GoBack"/>
      <w:bookmarkEnd w:id="993"/>
      <w:r>
        <w:rPr>
          <w:rFonts w:hint="eastAsia"/>
        </w:rPr>
        <w:t>2016年9月1日起施行。</w:t>
      </w:r>
    </w:p>
    <w:p>
      <w:pPr>
        <w:wordWrap/>
        <w:spacing w:line="560" w:lineRule="exact"/>
        <w:jc w:val="center"/>
        <w:textAlignment w:val="auto"/>
        <w:outlineLvl w:val="0"/>
        <w:rPr>
          <w:rFonts w:hint="eastAsia" w:ascii="Times New Roman" w:hAnsi="Times New Roman" w:eastAsia="宋体" w:cs="宋体"/>
          <w:sz w:val="44"/>
          <w:szCs w:val="44"/>
        </w:rPr>
      </w:pPr>
    </w:p>
    <w:p>
      <w:pPr>
        <w:wordWrap/>
        <w:spacing w:line="560" w:lineRule="exact"/>
        <w:textAlignment w:val="auto"/>
        <w:rPr>
          <w:rFonts w:hint="eastAsia" w:ascii="Times New Roman" w:hAnsi="Times New Roman" w:eastAsia="宋体" w:cs="宋体"/>
          <w:sz w:val="44"/>
          <w:szCs w:val="44"/>
        </w:rPr>
      </w:pPr>
      <w:r>
        <w:rPr>
          <w:rFonts w:hint="eastAsia" w:ascii="Times New Roman" w:hAnsi="Times New Roman" w:eastAsia="宋体" w:cs="宋体"/>
          <w:sz w:val="44"/>
          <w:szCs w:val="44"/>
        </w:rPr>
        <w:br w:type="page"/>
      </w:r>
    </w:p>
    <w:p>
      <w:pPr>
        <w:wordWrap/>
        <w:spacing w:line="560" w:lineRule="exact"/>
        <w:jc w:val="center"/>
        <w:textAlignment w:val="auto"/>
        <w:outlineLvl w:val="0"/>
        <w:rPr>
          <w:rFonts w:hint="eastAsia" w:ascii="宋体" w:hAnsi="宋体" w:eastAsia="宋体" w:cs="宋体"/>
          <w:sz w:val="44"/>
          <w:szCs w:val="44"/>
        </w:rPr>
      </w:pPr>
      <w:bookmarkStart w:id="217" w:name="_Toc12828"/>
      <w:r>
        <w:rPr>
          <w:rFonts w:hint="eastAsia" w:ascii="宋体" w:hAnsi="宋体" w:eastAsia="宋体" w:cs="宋体"/>
          <w:sz w:val="44"/>
          <w:szCs w:val="44"/>
        </w:rPr>
        <w:t>中华人民共和国红十字会法</w:t>
      </w:r>
      <w:bookmarkEnd w:id="217"/>
    </w:p>
    <w:p>
      <w:pPr>
        <w:wordWrap/>
        <w:spacing w:line="560" w:lineRule="exact"/>
        <w:textAlignment w:val="auto"/>
        <w:rPr>
          <w:rFonts w:hint="eastAsia" w:ascii="楷体" w:hAnsi="楷体" w:eastAsia="楷体" w:cs="楷体"/>
        </w:rPr>
      </w:pPr>
    </w:p>
    <w:p>
      <w:pPr>
        <w:wordWrap/>
        <w:spacing w:line="560" w:lineRule="exact"/>
        <w:ind w:left="640" w:leftChars="200" w:right="525" w:rightChars="164" w:firstLine="0" w:firstLineChars="0"/>
        <w:textAlignment w:val="auto"/>
        <w:rPr>
          <w:rFonts w:hint="eastAsia" w:ascii="楷体" w:hAnsi="楷体" w:eastAsia="楷体" w:cs="楷体"/>
        </w:rPr>
      </w:pPr>
      <w:r>
        <w:rPr>
          <w:rFonts w:hint="eastAsia" w:ascii="楷体" w:hAnsi="楷体" w:eastAsia="楷体" w:cs="楷体"/>
        </w:rPr>
        <w:t>（1993年10月31日第八届全国人民代表大会常务委员会第四次会议通过 根据2009年8月27日第十一届全国人民代表大会常务委员会第十次会议《关于修改部分法律的决定》修正</w:t>
      </w:r>
      <w:r>
        <w:rPr>
          <w:rFonts w:hint="eastAsia" w:ascii="楷体" w:hAnsi="楷体" w:eastAsia="楷体" w:cs="楷体"/>
          <w:lang w:val="en-US" w:eastAsia="zh-CN"/>
        </w:rPr>
        <w:t xml:space="preserve">  </w:t>
      </w:r>
      <w:r>
        <w:rPr>
          <w:rFonts w:hint="eastAsia" w:ascii="楷体" w:hAnsi="楷体" w:eastAsia="楷体" w:cs="楷体"/>
        </w:rPr>
        <w:t>2017年2月24日第十二届全国人民代表大会常务委员会第二十六次会议修订）</w:t>
      </w:r>
    </w:p>
    <w:p>
      <w:pPr>
        <w:pStyle w:val="3"/>
        <w:rPr>
          <w:rFonts w:hint="eastAsia" w:ascii="楷体" w:hAnsi="楷体" w:eastAsia="楷体" w:cs="楷体"/>
        </w:rPr>
      </w:pPr>
    </w:p>
    <w:p>
      <w:pPr>
        <w:wordWrap/>
        <w:spacing w:line="560" w:lineRule="exact"/>
        <w:jc w:val="center"/>
        <w:textAlignment w:val="auto"/>
        <w:rPr>
          <w:rFonts w:hint="eastAsia" w:ascii="楷体" w:hAnsi="楷体" w:eastAsia="楷体" w:cs="楷体"/>
        </w:rPr>
      </w:pPr>
      <w:r>
        <w:rPr>
          <w:rFonts w:hint="eastAsia" w:ascii="楷体" w:hAnsi="楷体" w:eastAsia="楷体" w:cs="楷体"/>
        </w:rPr>
        <w:t>目 录</w:t>
      </w:r>
    </w:p>
    <w:p>
      <w:pPr>
        <w:wordWrap/>
        <w:spacing w:line="560" w:lineRule="exact"/>
        <w:textAlignment w:val="auto"/>
        <w:rPr>
          <w:rFonts w:hint="eastAsia" w:ascii="楷体" w:hAnsi="楷体" w:eastAsia="楷体" w:cs="楷体"/>
        </w:rPr>
      </w:pPr>
      <w:r>
        <w:rPr>
          <w:rFonts w:hint="eastAsia" w:ascii="楷体" w:hAnsi="楷体" w:eastAsia="楷体" w:cs="楷体"/>
        </w:rPr>
        <w:t>　　第一章　总 则</w:t>
      </w:r>
    </w:p>
    <w:p>
      <w:pPr>
        <w:wordWrap/>
        <w:spacing w:line="560" w:lineRule="exact"/>
        <w:textAlignment w:val="auto"/>
        <w:rPr>
          <w:rFonts w:hint="eastAsia" w:ascii="楷体" w:hAnsi="楷体" w:eastAsia="楷体" w:cs="楷体"/>
        </w:rPr>
      </w:pPr>
      <w:r>
        <w:rPr>
          <w:rFonts w:hint="eastAsia" w:ascii="楷体" w:hAnsi="楷体" w:eastAsia="楷体" w:cs="楷体"/>
        </w:rPr>
        <w:t>　　第二章　组 织</w:t>
      </w:r>
    </w:p>
    <w:p>
      <w:pPr>
        <w:wordWrap/>
        <w:spacing w:line="560" w:lineRule="exact"/>
        <w:textAlignment w:val="auto"/>
        <w:rPr>
          <w:rFonts w:hint="eastAsia" w:ascii="楷体" w:hAnsi="楷体" w:eastAsia="楷体" w:cs="楷体"/>
        </w:rPr>
      </w:pPr>
      <w:r>
        <w:rPr>
          <w:rFonts w:hint="eastAsia" w:ascii="楷体" w:hAnsi="楷体" w:eastAsia="楷体" w:cs="楷体"/>
        </w:rPr>
        <w:t>　　第三章　职 责</w:t>
      </w:r>
    </w:p>
    <w:p>
      <w:pPr>
        <w:wordWrap/>
        <w:spacing w:line="560" w:lineRule="exact"/>
        <w:textAlignment w:val="auto"/>
        <w:rPr>
          <w:rFonts w:hint="eastAsia" w:ascii="楷体" w:hAnsi="楷体" w:eastAsia="楷体" w:cs="楷体"/>
        </w:rPr>
      </w:pPr>
      <w:r>
        <w:rPr>
          <w:rFonts w:hint="eastAsia" w:ascii="楷体" w:hAnsi="楷体" w:eastAsia="楷体" w:cs="楷体"/>
        </w:rPr>
        <w:t>　　第四章　标志与名称</w:t>
      </w:r>
    </w:p>
    <w:p>
      <w:pPr>
        <w:wordWrap/>
        <w:spacing w:line="560" w:lineRule="exact"/>
        <w:textAlignment w:val="auto"/>
        <w:rPr>
          <w:rFonts w:hint="eastAsia" w:ascii="楷体" w:hAnsi="楷体" w:eastAsia="楷体" w:cs="楷体"/>
        </w:rPr>
      </w:pPr>
      <w:r>
        <w:rPr>
          <w:rFonts w:hint="eastAsia" w:ascii="楷体" w:hAnsi="楷体" w:eastAsia="楷体" w:cs="楷体"/>
        </w:rPr>
        <w:t>　　第五章　财产与监管</w:t>
      </w:r>
    </w:p>
    <w:p>
      <w:pPr>
        <w:wordWrap/>
        <w:spacing w:line="560" w:lineRule="exact"/>
        <w:textAlignment w:val="auto"/>
        <w:rPr>
          <w:rFonts w:hint="eastAsia" w:ascii="楷体" w:hAnsi="楷体" w:eastAsia="楷体" w:cs="楷体"/>
        </w:rPr>
      </w:pPr>
      <w:r>
        <w:rPr>
          <w:rFonts w:hint="eastAsia" w:ascii="楷体" w:hAnsi="楷体" w:eastAsia="楷体" w:cs="楷体"/>
        </w:rPr>
        <w:t>　　第六章　法律责任</w:t>
      </w:r>
    </w:p>
    <w:p>
      <w:pPr>
        <w:wordWrap/>
        <w:spacing w:line="560" w:lineRule="exact"/>
        <w:ind w:firstLine="640"/>
        <w:textAlignment w:val="auto"/>
        <w:rPr>
          <w:rFonts w:hint="eastAsia" w:ascii="楷体" w:hAnsi="楷体" w:eastAsia="楷体" w:cs="楷体"/>
        </w:rPr>
      </w:pPr>
      <w:r>
        <w:rPr>
          <w:rFonts w:hint="eastAsia" w:ascii="楷体" w:hAnsi="楷体" w:eastAsia="楷体" w:cs="楷体"/>
        </w:rPr>
        <w:t>第七章　附 则</w:t>
      </w:r>
    </w:p>
    <w:p>
      <w:pPr>
        <w:pStyle w:val="3"/>
        <w:ind w:firstLine="640"/>
        <w:rPr>
          <w:rFonts w:hint="eastAsia"/>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第一章　总则</w:t>
      </w:r>
    </w:p>
    <w:p>
      <w:pPr>
        <w:pStyle w:val="3"/>
        <w:rPr>
          <w:rFonts w:hint="eastAsia"/>
        </w:rPr>
      </w:pP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第一条</w:t>
      </w:r>
      <w:r>
        <w:rPr>
          <w:rFonts w:hint="eastAsia"/>
        </w:rPr>
        <w:t>　为了保护人的生命和健康，维护人的尊严，发扬人道主义精神，促进和平进步事业，保障和规范红十字会依法履行职责，制定本法。</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第二条</w:t>
      </w:r>
      <w:r>
        <w:rPr>
          <w:rFonts w:hint="eastAsia"/>
        </w:rPr>
        <w:t>　中国红十字会是中华人民共和国统一的红十字组织，是从事人道主义工作的社会救助团体。</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第三条</w:t>
      </w:r>
      <w:r>
        <w:rPr>
          <w:rFonts w:hint="eastAsia"/>
        </w:rPr>
        <w:t>　中华人民共和国公民，不分民族、种族、性别、职业、宗教信仰、教育程度，承认中国红十字会章程并缴纳会费的，可以自愿参加中国红十字会。</w:t>
      </w:r>
    </w:p>
    <w:p>
      <w:pPr>
        <w:wordWrap/>
        <w:spacing w:line="560" w:lineRule="exact"/>
        <w:textAlignment w:val="auto"/>
        <w:rPr>
          <w:rFonts w:hint="eastAsia"/>
        </w:rPr>
      </w:pPr>
      <w:r>
        <w:rPr>
          <w:rFonts w:hint="eastAsia"/>
        </w:rPr>
        <w:t>　　企业、事业单位及有关团体通过申请可以成为红十字会的团体会员。</w:t>
      </w:r>
    </w:p>
    <w:p>
      <w:pPr>
        <w:wordWrap/>
        <w:spacing w:line="560" w:lineRule="exact"/>
        <w:textAlignment w:val="auto"/>
        <w:rPr>
          <w:rFonts w:hint="eastAsia"/>
        </w:rPr>
      </w:pPr>
      <w:r>
        <w:rPr>
          <w:rFonts w:hint="eastAsia"/>
        </w:rPr>
        <w:t>　　国家鼓励自然人、法人以及其他组织参与红十字志愿服务。</w:t>
      </w:r>
    </w:p>
    <w:p>
      <w:pPr>
        <w:wordWrap/>
        <w:spacing w:line="560" w:lineRule="exact"/>
        <w:textAlignment w:val="auto"/>
        <w:rPr>
          <w:rFonts w:hint="eastAsia"/>
        </w:rPr>
      </w:pPr>
      <w:r>
        <w:rPr>
          <w:rFonts w:hint="eastAsia"/>
        </w:rPr>
        <w:t>　　国家支持在学校开展红十字青少年工作。</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第四条</w:t>
      </w:r>
      <w:r>
        <w:rPr>
          <w:rFonts w:hint="eastAsia"/>
        </w:rPr>
        <w:t>　中国红十字会应当遵守宪法和法律，遵循国际红十字和红新月运动确立的基本原则，依照中国批准或者加入的日内瓦公约及其附加议定书和中国红十字会章程，独立自主地开展工作。</w:t>
      </w:r>
    </w:p>
    <w:p>
      <w:pPr>
        <w:wordWrap/>
        <w:spacing w:line="560" w:lineRule="exact"/>
        <w:textAlignment w:val="auto"/>
        <w:rPr>
          <w:rFonts w:hint="eastAsia"/>
        </w:rPr>
      </w:pPr>
      <w:r>
        <w:rPr>
          <w:rFonts w:hint="eastAsia"/>
        </w:rPr>
        <w:t>　　中国红十字会全国会员代表大会依法制定或者修改中国红十字会章程，章程不得与宪法和法律相抵触。</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第五条</w:t>
      </w:r>
      <w:r>
        <w:rPr>
          <w:rFonts w:hint="eastAsia"/>
        </w:rPr>
        <w:t>　各级人民政府对红十字会给予支持和资助，保障红十字会依法履行职责，并对其活动进行监督。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第六条</w:t>
      </w:r>
      <w:r>
        <w:rPr>
          <w:rFonts w:hint="eastAsia"/>
        </w:rPr>
        <w:t>　中国红十字会根据独立、平等、互相尊重的原则，发展同各国红十字会和红新月会的友好合作关系。</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第二章　组织</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第七条</w:t>
      </w:r>
      <w:r>
        <w:rPr>
          <w:rFonts w:hint="eastAsia"/>
        </w:rPr>
        <w:t>　全国建立中国红十字会总会。中国红十字会总会对外代表中国红十字会。</w:t>
      </w:r>
    </w:p>
    <w:p>
      <w:pPr>
        <w:wordWrap/>
        <w:spacing w:line="560" w:lineRule="exact"/>
        <w:textAlignment w:val="auto"/>
        <w:rPr>
          <w:rFonts w:hint="eastAsia"/>
        </w:rPr>
      </w:pPr>
      <w:r>
        <w:rPr>
          <w:rFonts w:hint="eastAsia"/>
        </w:rPr>
        <w:t>　　县级以上地方按行政区域建立地方各级红十字会，根据实际工作需要配备专职工作人员。</w:t>
      </w:r>
    </w:p>
    <w:p>
      <w:pPr>
        <w:wordWrap/>
        <w:spacing w:line="560" w:lineRule="exact"/>
        <w:textAlignment w:val="auto"/>
        <w:rPr>
          <w:rFonts w:hint="eastAsia"/>
        </w:rPr>
      </w:pPr>
      <w:r>
        <w:rPr>
          <w:rFonts w:hint="eastAsia"/>
        </w:rPr>
        <w:t>　　全国性行业根据需要可以建立行业红十字会。</w:t>
      </w:r>
    </w:p>
    <w:p>
      <w:pPr>
        <w:wordWrap/>
        <w:spacing w:line="560" w:lineRule="exact"/>
        <w:textAlignment w:val="auto"/>
        <w:rPr>
          <w:rFonts w:hint="eastAsia"/>
        </w:rPr>
      </w:pPr>
      <w:r>
        <w:rPr>
          <w:rFonts w:hint="eastAsia"/>
        </w:rPr>
        <w:t>　　上级红十字会指导下级红十字会工作。</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第八条</w:t>
      </w:r>
      <w:r>
        <w:rPr>
          <w:rFonts w:hint="eastAsia"/>
        </w:rPr>
        <w:t>　各级红十字会设立理事会、监事会。理事会、监事会由会员代表大会选举产生，向会员代表大会负责并报告工作，接受其监督。</w:t>
      </w:r>
    </w:p>
    <w:p>
      <w:pPr>
        <w:wordWrap/>
        <w:spacing w:line="560" w:lineRule="exact"/>
        <w:textAlignment w:val="auto"/>
        <w:rPr>
          <w:rFonts w:hint="eastAsia"/>
        </w:rPr>
      </w:pPr>
      <w:r>
        <w:rPr>
          <w:rFonts w:hint="eastAsia"/>
        </w:rPr>
        <w:t>　　理事会民主选举产生会长和副会长。理事会执行会员代表大会的决议。</w:t>
      </w:r>
    </w:p>
    <w:p>
      <w:pPr>
        <w:wordWrap/>
        <w:spacing w:line="560" w:lineRule="exact"/>
        <w:textAlignment w:val="auto"/>
        <w:rPr>
          <w:rFonts w:hint="eastAsia"/>
        </w:rPr>
      </w:pPr>
      <w:r>
        <w:rPr>
          <w:rFonts w:hint="eastAsia"/>
        </w:rPr>
        <w:t>　　执行委员会是理事会的常设执行机构，其人员组成由理事会决定，向理事会负责并报告工作。</w:t>
      </w:r>
    </w:p>
    <w:p>
      <w:pPr>
        <w:wordWrap/>
        <w:spacing w:line="560" w:lineRule="exact"/>
        <w:textAlignment w:val="auto"/>
        <w:rPr>
          <w:rFonts w:hint="eastAsia"/>
        </w:rPr>
      </w:pPr>
      <w:r>
        <w:rPr>
          <w:rFonts w:hint="eastAsia"/>
        </w:rPr>
        <w:t>　　监事会民主推选产生监事长和副监事长。理事会、执行委员会工作受监事会监督。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第九条</w:t>
      </w:r>
      <w:r>
        <w:rPr>
          <w:rFonts w:hint="eastAsia"/>
        </w:rPr>
        <w:t>　中国红十字会总会可以设名誉会长和名誉副会长。名誉会长和名誉副会长由中国红十字会总会理事会聘请。</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第十条</w:t>
      </w:r>
      <w:r>
        <w:rPr>
          <w:rFonts w:hint="eastAsia"/>
        </w:rPr>
        <w:t>　中国红十字会总会具有社会团体法人资格；地方各级红十字会、行业红十字会依法取得社会团体法人资格。</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第三章　职责</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第十一条　</w:t>
      </w:r>
      <w:r>
        <w:rPr>
          <w:rFonts w:hint="eastAsia"/>
        </w:rPr>
        <w:t>红十字会履行下列职责：</w:t>
      </w:r>
    </w:p>
    <w:p>
      <w:pPr>
        <w:wordWrap/>
        <w:spacing w:line="560" w:lineRule="exact"/>
        <w:textAlignment w:val="auto"/>
        <w:rPr>
          <w:rFonts w:hint="eastAsia"/>
        </w:rPr>
      </w:pPr>
      <w:r>
        <w:rPr>
          <w:rFonts w:hint="eastAsia"/>
        </w:rPr>
        <w:t>　　（一）开展救援、救灾的相关工作，建立红十字应急救援体系。在战争、武装冲突和自然灾害、事故灾难、公共卫生事件等突发事件中，对伤病人员和其他受害者提供紧急救援和人道救助；</w:t>
      </w:r>
    </w:p>
    <w:p>
      <w:pPr>
        <w:wordWrap/>
        <w:spacing w:line="560" w:lineRule="exact"/>
        <w:textAlignment w:val="auto"/>
        <w:rPr>
          <w:rFonts w:hint="eastAsia"/>
        </w:rPr>
      </w:pPr>
      <w:r>
        <w:rPr>
          <w:rFonts w:hint="eastAsia"/>
        </w:rPr>
        <w:t>　　（二）开展应急救护培训，普及应急救护、防灾避险和卫生健康知识，组织志愿者参与现场救护；</w:t>
      </w:r>
    </w:p>
    <w:p>
      <w:pPr>
        <w:wordWrap/>
        <w:spacing w:line="560" w:lineRule="exact"/>
        <w:textAlignment w:val="auto"/>
        <w:rPr>
          <w:rFonts w:hint="eastAsia"/>
        </w:rPr>
      </w:pPr>
      <w:r>
        <w:rPr>
          <w:rFonts w:hint="eastAsia"/>
        </w:rPr>
        <w:t>　　（三）参与、推动无偿献血、遗体和人体器官捐献工作，参与开展造血干细胞捐献的相关工作；</w:t>
      </w:r>
    </w:p>
    <w:p>
      <w:pPr>
        <w:wordWrap/>
        <w:spacing w:line="560" w:lineRule="exact"/>
        <w:textAlignment w:val="auto"/>
        <w:rPr>
          <w:rFonts w:hint="eastAsia"/>
        </w:rPr>
      </w:pPr>
      <w:r>
        <w:rPr>
          <w:rFonts w:hint="eastAsia"/>
        </w:rPr>
        <w:t>　　（四）组织开展红十字志愿服务、红十字青少年工作；</w:t>
      </w:r>
    </w:p>
    <w:p>
      <w:pPr>
        <w:wordWrap/>
        <w:spacing w:line="560" w:lineRule="exact"/>
        <w:textAlignment w:val="auto"/>
        <w:rPr>
          <w:rFonts w:hint="eastAsia"/>
        </w:rPr>
      </w:pPr>
      <w:r>
        <w:rPr>
          <w:rFonts w:hint="eastAsia"/>
        </w:rPr>
        <w:t>　　（五）参加国际人道主义救援工作；</w:t>
      </w:r>
    </w:p>
    <w:p>
      <w:pPr>
        <w:wordWrap/>
        <w:spacing w:line="560" w:lineRule="exact"/>
        <w:textAlignment w:val="auto"/>
        <w:rPr>
          <w:rFonts w:hint="eastAsia"/>
        </w:rPr>
      </w:pPr>
      <w:r>
        <w:rPr>
          <w:rFonts w:hint="eastAsia"/>
        </w:rPr>
        <w:t>　　（六）宣传国际红十字和红新月运动的基本原则和日内瓦公约及其附加议定书；</w:t>
      </w:r>
    </w:p>
    <w:p>
      <w:pPr>
        <w:wordWrap/>
        <w:spacing w:line="560" w:lineRule="exact"/>
        <w:textAlignment w:val="auto"/>
        <w:rPr>
          <w:rFonts w:hint="eastAsia"/>
        </w:rPr>
      </w:pPr>
      <w:r>
        <w:rPr>
          <w:rFonts w:hint="eastAsia"/>
        </w:rPr>
        <w:t>　　（七）依照国际红十字和红新月运动的基本原则，完成人民政府委托事宜；</w:t>
      </w:r>
    </w:p>
    <w:p>
      <w:pPr>
        <w:wordWrap/>
        <w:spacing w:line="560" w:lineRule="exact"/>
        <w:textAlignment w:val="auto"/>
        <w:rPr>
          <w:rFonts w:hint="eastAsia"/>
        </w:rPr>
      </w:pPr>
      <w:r>
        <w:rPr>
          <w:rFonts w:hint="eastAsia"/>
        </w:rPr>
        <w:t>　　（八）依照日内瓦公约及其附加议定书的有关规定开展工作；</w:t>
      </w:r>
    </w:p>
    <w:p>
      <w:pPr>
        <w:wordWrap/>
        <w:spacing w:line="560" w:lineRule="exact"/>
        <w:textAlignment w:val="auto"/>
        <w:rPr>
          <w:rFonts w:hint="eastAsia"/>
        </w:rPr>
      </w:pPr>
      <w:r>
        <w:rPr>
          <w:rFonts w:hint="eastAsia"/>
        </w:rPr>
        <w:t>　　（九）协助人民政府开展与其职责相关的其他人道主义服务活动。</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第十二条　</w:t>
      </w:r>
      <w:r>
        <w:rPr>
          <w:rFonts w:hint="eastAsia"/>
        </w:rPr>
        <w:t>在战争、武装冲突和自然灾害、事故灾难、公共卫生事件等突发事件中，执行救援、救助任务并标有红十字标志的人员、物资和交通工具有优先通行的权利。</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第十三条</w:t>
      </w:r>
      <w:r>
        <w:rPr>
          <w:rFonts w:hint="eastAsia"/>
        </w:rPr>
        <w:t>　任何组织和个人不得阻碍红十字会工作人员依法履行救援、救助、救护职责。</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第四章　标志与名称</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第十四条</w:t>
      </w:r>
      <w:r>
        <w:rPr>
          <w:rFonts w:hint="eastAsia"/>
        </w:rPr>
        <w:t>　中国红十字会使用白底红十字标志。</w:t>
      </w:r>
    </w:p>
    <w:p>
      <w:pPr>
        <w:wordWrap/>
        <w:spacing w:line="560" w:lineRule="exact"/>
        <w:textAlignment w:val="auto"/>
        <w:rPr>
          <w:rFonts w:hint="eastAsia"/>
        </w:rPr>
      </w:pPr>
      <w:r>
        <w:rPr>
          <w:rFonts w:hint="eastAsia"/>
        </w:rPr>
        <w:t>　　红十字标志具有保护作用和标明作用。</w:t>
      </w:r>
    </w:p>
    <w:p>
      <w:pPr>
        <w:wordWrap/>
        <w:spacing w:line="560" w:lineRule="exact"/>
        <w:textAlignment w:val="auto"/>
        <w:rPr>
          <w:rFonts w:hint="eastAsia"/>
        </w:rPr>
      </w:pPr>
      <w:r>
        <w:rPr>
          <w:rFonts w:hint="eastAsia"/>
        </w:rPr>
        <w:t>　　红十字标志的保护使用，是标示在战争、武装冲突中必须受到尊重和保护的人员和设备、设施。其使用办法，依照日内瓦公约及其附加议定书的有关规定执行。</w:t>
      </w:r>
    </w:p>
    <w:p>
      <w:pPr>
        <w:wordWrap/>
        <w:spacing w:line="560" w:lineRule="exact"/>
        <w:textAlignment w:val="auto"/>
        <w:rPr>
          <w:rFonts w:hint="eastAsia"/>
        </w:rPr>
      </w:pPr>
      <w:r>
        <w:rPr>
          <w:rFonts w:hint="eastAsia"/>
        </w:rPr>
        <w:t>　　红十字标志的标明使用，是标示与红十字活动有关的人或者物。其使用办法，由国务院和中央军事委员会依据本法规定。</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第十五条</w:t>
      </w:r>
      <w:r>
        <w:rPr>
          <w:rFonts w:hint="eastAsia"/>
        </w:rPr>
        <w:t>　国家武装力量的医疗卫生机构使用红十字标志，应当符合日内瓦公约及其附加议定书的有关规定。</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第十六条</w:t>
      </w:r>
      <w:r>
        <w:rPr>
          <w:rFonts w:hint="eastAsia"/>
        </w:rPr>
        <w:t>　红十字标志和名称受法律保护。禁止利用红十字标志和名称牟利，禁止以任何形式冒用、滥用、篡改红十字标志和名称。</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第五章　财产与监管</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第十七条</w:t>
      </w:r>
      <w:r>
        <w:rPr>
          <w:rFonts w:hint="eastAsia"/>
        </w:rPr>
        <w:t>　红十字会财产的主要来源：</w:t>
      </w:r>
    </w:p>
    <w:p>
      <w:pPr>
        <w:wordWrap/>
        <w:spacing w:line="560" w:lineRule="exact"/>
        <w:textAlignment w:val="auto"/>
        <w:rPr>
          <w:rFonts w:hint="eastAsia"/>
        </w:rPr>
      </w:pPr>
      <w:r>
        <w:rPr>
          <w:rFonts w:hint="eastAsia"/>
        </w:rPr>
        <w:t>　　（一）红十字会会员缴纳的会费；</w:t>
      </w:r>
    </w:p>
    <w:p>
      <w:pPr>
        <w:wordWrap/>
        <w:spacing w:line="560" w:lineRule="exact"/>
        <w:textAlignment w:val="auto"/>
        <w:rPr>
          <w:rFonts w:hint="eastAsia"/>
        </w:rPr>
      </w:pPr>
      <w:r>
        <w:rPr>
          <w:rFonts w:hint="eastAsia"/>
        </w:rPr>
        <w:t>　　（二）境内外组织和个人捐赠的款物；</w:t>
      </w:r>
    </w:p>
    <w:p>
      <w:pPr>
        <w:wordWrap/>
        <w:spacing w:line="560" w:lineRule="exact"/>
        <w:textAlignment w:val="auto"/>
        <w:rPr>
          <w:rFonts w:hint="eastAsia"/>
        </w:rPr>
      </w:pPr>
      <w:r>
        <w:rPr>
          <w:rFonts w:hint="eastAsia"/>
        </w:rPr>
        <w:t>　　（三）动产和不动产的收入；</w:t>
      </w:r>
    </w:p>
    <w:p>
      <w:pPr>
        <w:wordWrap/>
        <w:spacing w:line="560" w:lineRule="exact"/>
        <w:textAlignment w:val="auto"/>
        <w:rPr>
          <w:rFonts w:hint="eastAsia"/>
        </w:rPr>
      </w:pPr>
      <w:r>
        <w:rPr>
          <w:rFonts w:hint="eastAsia"/>
        </w:rPr>
        <w:t>　　（四）人民政府的拨款；</w:t>
      </w:r>
    </w:p>
    <w:p>
      <w:pPr>
        <w:wordWrap/>
        <w:spacing w:line="560" w:lineRule="exact"/>
        <w:textAlignment w:val="auto"/>
        <w:rPr>
          <w:rFonts w:hint="eastAsia"/>
        </w:rPr>
      </w:pPr>
      <w:r>
        <w:rPr>
          <w:rFonts w:hint="eastAsia"/>
        </w:rPr>
        <w:t>　　（五）其他合法收入。</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第十八条</w:t>
      </w:r>
      <w:r>
        <w:rPr>
          <w:rFonts w:hint="eastAsia"/>
        </w:rPr>
        <w:t>　国家对红十字会兴办的与其宗旨相符的公益事业给予扶持。</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第十九条</w:t>
      </w:r>
      <w:r>
        <w:rPr>
          <w:rFonts w:hint="eastAsia"/>
        </w:rPr>
        <w:t>　红十字会可以依法进行募捐活动。募捐活动应当符合《中华人民共和国慈善法》的有关规定。</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第二十条　</w:t>
      </w:r>
      <w:r>
        <w:rPr>
          <w:rFonts w:hint="eastAsia"/>
        </w:rPr>
        <w:t>红十字会依法接受自然人、法人以及其他组织捐赠的款物，应当向捐赠人开具由财政部门统一监（印）制的公益事业捐赠票据。捐赠人匿名或者放弃接受捐赠票据的，红十字会应当做好相关记录。</w:t>
      </w:r>
    </w:p>
    <w:p>
      <w:pPr>
        <w:wordWrap/>
        <w:spacing w:line="560" w:lineRule="exact"/>
        <w:textAlignment w:val="auto"/>
        <w:rPr>
          <w:rFonts w:hint="eastAsia"/>
        </w:rPr>
      </w:pPr>
      <w:r>
        <w:rPr>
          <w:rFonts w:hint="eastAsia"/>
        </w:rPr>
        <w:t>　　捐赠人依法享受税收优惠。</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第二十一条</w:t>
      </w:r>
      <w:r>
        <w:rPr>
          <w:rFonts w:hint="eastAsia"/>
        </w:rPr>
        <w:t>　红十字会应当按照募捐方案、捐赠人意愿或者捐赠协议处分其接受的捐赠款物。</w:t>
      </w:r>
    </w:p>
    <w:p>
      <w:pPr>
        <w:wordWrap/>
        <w:spacing w:line="560" w:lineRule="exact"/>
        <w:textAlignment w:val="auto"/>
        <w:rPr>
          <w:rFonts w:hint="eastAsia"/>
        </w:rPr>
      </w:pPr>
      <w:r>
        <w:rPr>
          <w:rFonts w:hint="eastAsia"/>
        </w:rPr>
        <w:t>　　捐赠人有权查询、复制其捐赠财产管理使用的有关资料，红十字会应当及时主动向捐赠人反馈有关情况。</w:t>
      </w:r>
    </w:p>
    <w:p>
      <w:pPr>
        <w:wordWrap/>
        <w:spacing w:line="560" w:lineRule="exact"/>
        <w:textAlignment w:val="auto"/>
        <w:rPr>
          <w:rFonts w:hint="eastAsia"/>
        </w:rPr>
      </w:pPr>
      <w:r>
        <w:rPr>
          <w:rFonts w:hint="eastAsia"/>
        </w:rPr>
        <w:t>　　红十字会违反募捐方案、捐赠人意愿或者捐赠协议约定的用途，滥用捐赠财产的，捐赠人有权要求其改正；拒不改正的，捐赠人可以向人民政府民政部门投诉、举报或者向人民法院提起诉讼。</w:t>
      </w:r>
    </w:p>
    <w:p>
      <w:pPr>
        <w:wordWrap/>
        <w:spacing w:line="560" w:lineRule="exact"/>
        <w:textAlignment w:val="auto"/>
        <w:rPr>
          <w:rFonts w:hint="eastAsia"/>
        </w:rPr>
      </w:pPr>
      <w:r>
        <w:rPr>
          <w:rFonts w:hint="eastAsia" w:ascii="黑体" w:hAnsi="黑体" w:eastAsia="黑体" w:cs="黑体"/>
          <w:b w:val="0"/>
          <w:bCs w:val="0"/>
        </w:rPr>
        <w:t>　 第二十二条</w:t>
      </w:r>
      <w:r>
        <w:rPr>
          <w:rFonts w:hint="eastAsia"/>
        </w:rPr>
        <w:t>　红十字会应当建立财务管理、内部控制、审计公开和监督检查制度。</w:t>
      </w:r>
    </w:p>
    <w:p>
      <w:pPr>
        <w:wordWrap/>
        <w:spacing w:line="560" w:lineRule="exact"/>
        <w:textAlignment w:val="auto"/>
        <w:rPr>
          <w:rFonts w:hint="eastAsia"/>
        </w:rPr>
      </w:pPr>
      <w:r>
        <w:rPr>
          <w:rFonts w:hint="eastAsia"/>
        </w:rPr>
        <w:t>　　红十字会的财产使用应当与其宗旨相一致。</w:t>
      </w:r>
    </w:p>
    <w:p>
      <w:pPr>
        <w:wordWrap/>
        <w:spacing w:line="560" w:lineRule="exact"/>
        <w:textAlignment w:val="auto"/>
        <w:rPr>
          <w:rFonts w:hint="eastAsia"/>
        </w:rPr>
      </w:pPr>
      <w:r>
        <w:rPr>
          <w:rFonts w:hint="eastAsia"/>
        </w:rPr>
        <w:t>　　红十字会对接受的境外捐赠款物，应当建立专项审查监督制度。</w:t>
      </w:r>
    </w:p>
    <w:p>
      <w:pPr>
        <w:wordWrap/>
        <w:spacing w:line="560" w:lineRule="exact"/>
        <w:textAlignment w:val="auto"/>
        <w:rPr>
          <w:rFonts w:hint="eastAsia"/>
        </w:rPr>
      </w:pPr>
      <w:r>
        <w:rPr>
          <w:rFonts w:hint="eastAsia"/>
        </w:rPr>
        <w:t>　　红十字会应当及时聘请依法设立的独立第三方机构，对捐赠款物的收入和使用情况进行审计，将审计结果向红十字会理事会和监事会报告，并向社会公布。</w:t>
      </w:r>
    </w:p>
    <w:p>
      <w:pPr>
        <w:wordWrap/>
        <w:spacing w:line="560" w:lineRule="exact"/>
        <w:textAlignment w:val="auto"/>
        <w:rPr>
          <w:rFonts w:hint="eastAsia"/>
        </w:rPr>
      </w:pPr>
      <w:r>
        <w:rPr>
          <w:rFonts w:hint="eastAsia"/>
        </w:rPr>
        <w:t>　</w:t>
      </w:r>
      <w:r>
        <w:rPr>
          <w:rFonts w:hint="eastAsia" w:ascii="黑体" w:hAnsi="黑体" w:eastAsia="黑体" w:cs="黑体"/>
          <w:b w:val="0"/>
          <w:bCs w:val="0"/>
        </w:rPr>
        <w:t xml:space="preserve"> 第二十三条</w:t>
      </w:r>
      <w:r>
        <w:rPr>
          <w:rFonts w:hint="eastAsia"/>
        </w:rPr>
        <w:t>　红十字会应当建立健全信息公开制度，规范信息发布，在统一的信息平台及时向社会公布捐赠款物的收入和使用情况，接受社会监督。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第二十四条</w:t>
      </w:r>
      <w:r>
        <w:rPr>
          <w:rFonts w:hint="eastAsia"/>
        </w:rPr>
        <w:t>　红十字会财产的收入和使用情况依法接受人民政府审计等部门的监督。</w:t>
      </w:r>
    </w:p>
    <w:p>
      <w:pPr>
        <w:wordWrap/>
        <w:spacing w:line="560" w:lineRule="exact"/>
        <w:textAlignment w:val="auto"/>
        <w:rPr>
          <w:rFonts w:hint="eastAsia"/>
        </w:rPr>
      </w:pPr>
      <w:r>
        <w:rPr>
          <w:rFonts w:hint="eastAsia"/>
        </w:rPr>
        <w:t>　　红十字会接受社会捐赠及其使用情况，依法接受人民政府民政部门的监督。</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第二十五条</w:t>
      </w:r>
      <w:r>
        <w:rPr>
          <w:rFonts w:hint="eastAsia"/>
        </w:rPr>
        <w:t>　任何组织和个人不得私分、挪用、截留或者侵占红十字会的财产。</w:t>
      </w:r>
    </w:p>
    <w:p>
      <w:pPr>
        <w:wordWrap/>
        <w:spacing w:line="560" w:lineRule="exact"/>
        <w:jc w:val="center"/>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第六章　法律责任</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第二十六条</w:t>
      </w:r>
      <w:r>
        <w:rPr>
          <w:rFonts w:hint="eastAsia"/>
        </w:rPr>
        <w:t>　红十字会及其工作人员有下列情形之一的，由同级人民政府审计、民政等部门责令改正；情节严重的，对直接负责的主管人员和其他直接责任人员依法给予处分；造成损害的，依法承担民事责任；构成犯罪的，依法追究刑事责任：</w:t>
      </w:r>
    </w:p>
    <w:p>
      <w:pPr>
        <w:wordWrap/>
        <w:spacing w:line="560" w:lineRule="exact"/>
        <w:textAlignment w:val="auto"/>
        <w:rPr>
          <w:rFonts w:hint="eastAsia"/>
        </w:rPr>
      </w:pPr>
      <w:r>
        <w:rPr>
          <w:rFonts w:hint="eastAsia"/>
        </w:rPr>
        <w:t>　　（一）违背募捐方案、捐赠人意愿或者捐赠协议，擅自处分其接受的捐赠款物的；</w:t>
      </w:r>
    </w:p>
    <w:p>
      <w:pPr>
        <w:wordWrap/>
        <w:spacing w:line="560" w:lineRule="exact"/>
        <w:textAlignment w:val="auto"/>
        <w:rPr>
          <w:rFonts w:hint="eastAsia"/>
        </w:rPr>
      </w:pPr>
      <w:r>
        <w:rPr>
          <w:rFonts w:hint="eastAsia"/>
        </w:rPr>
        <w:t>　　（二）私分、挪用、截留或者侵占财产的；</w:t>
      </w:r>
    </w:p>
    <w:p>
      <w:pPr>
        <w:wordWrap/>
        <w:spacing w:line="560" w:lineRule="exact"/>
        <w:textAlignment w:val="auto"/>
        <w:rPr>
          <w:rFonts w:hint="eastAsia"/>
        </w:rPr>
      </w:pPr>
      <w:r>
        <w:rPr>
          <w:rFonts w:hint="eastAsia"/>
        </w:rPr>
        <w:t>　　（三）未依法向捐赠人反馈情况或者开具捐赠票据的；</w:t>
      </w:r>
    </w:p>
    <w:p>
      <w:pPr>
        <w:wordWrap/>
        <w:spacing w:line="560" w:lineRule="exact"/>
        <w:textAlignment w:val="auto"/>
        <w:rPr>
          <w:rFonts w:hint="eastAsia"/>
        </w:rPr>
      </w:pPr>
      <w:r>
        <w:rPr>
          <w:rFonts w:hint="eastAsia"/>
        </w:rPr>
        <w:t>　　（四）未依法对捐赠款物的收入和使用情况进行审计的；</w:t>
      </w:r>
    </w:p>
    <w:p>
      <w:pPr>
        <w:wordWrap/>
        <w:spacing w:line="560" w:lineRule="exact"/>
        <w:textAlignment w:val="auto"/>
        <w:rPr>
          <w:rFonts w:hint="eastAsia"/>
        </w:rPr>
      </w:pPr>
      <w:r>
        <w:rPr>
          <w:rFonts w:hint="eastAsia"/>
        </w:rPr>
        <w:t>　　（五）未依法公开信息的；</w:t>
      </w:r>
    </w:p>
    <w:p>
      <w:pPr>
        <w:wordWrap/>
        <w:spacing w:line="560" w:lineRule="exact"/>
        <w:textAlignment w:val="auto"/>
        <w:rPr>
          <w:rFonts w:hint="eastAsia"/>
        </w:rPr>
      </w:pPr>
      <w:r>
        <w:rPr>
          <w:rFonts w:hint="eastAsia"/>
        </w:rPr>
        <w:t>　　（六）法律、法规规定的其他情形。</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第二十七条</w:t>
      </w:r>
      <w:r>
        <w:rPr>
          <w:rFonts w:hint="eastAsia"/>
        </w:rPr>
        <w:t>　自然人、法人或者其他组织有下列情形之一，造成损害的，依法承担民事责任；构成违反治安管理行为的，依法给予治安管理处罚；构成犯罪的，依法追究刑事责任：</w:t>
      </w:r>
    </w:p>
    <w:p>
      <w:pPr>
        <w:wordWrap/>
        <w:spacing w:line="560" w:lineRule="exact"/>
        <w:textAlignment w:val="auto"/>
        <w:rPr>
          <w:rFonts w:hint="eastAsia"/>
        </w:rPr>
      </w:pPr>
      <w:r>
        <w:rPr>
          <w:rFonts w:hint="eastAsia"/>
        </w:rPr>
        <w:t>　　（一）冒用、滥用、篡改红十字标志和名称的；</w:t>
      </w:r>
    </w:p>
    <w:p>
      <w:pPr>
        <w:wordWrap/>
        <w:spacing w:line="560" w:lineRule="exact"/>
        <w:textAlignment w:val="auto"/>
        <w:rPr>
          <w:rFonts w:hint="eastAsia"/>
        </w:rPr>
      </w:pPr>
      <w:r>
        <w:rPr>
          <w:rFonts w:hint="eastAsia"/>
        </w:rPr>
        <w:t>　　（二）利用红十字标志和名称牟利的；</w:t>
      </w:r>
    </w:p>
    <w:p>
      <w:pPr>
        <w:wordWrap/>
        <w:spacing w:line="560" w:lineRule="exact"/>
        <w:textAlignment w:val="auto"/>
        <w:rPr>
          <w:rFonts w:hint="eastAsia"/>
        </w:rPr>
      </w:pPr>
      <w:r>
        <w:rPr>
          <w:rFonts w:hint="eastAsia"/>
        </w:rPr>
        <w:t>　　（三）制造、发布、传播虚假信息，损害红十字会名誉的；</w:t>
      </w:r>
    </w:p>
    <w:p>
      <w:pPr>
        <w:wordWrap/>
        <w:spacing w:line="560" w:lineRule="exact"/>
        <w:textAlignment w:val="auto"/>
        <w:rPr>
          <w:rFonts w:hint="eastAsia"/>
        </w:rPr>
      </w:pPr>
      <w:r>
        <w:rPr>
          <w:rFonts w:hint="eastAsia"/>
        </w:rPr>
        <w:t>　　（四）盗窃、损毁或者以其他方式侵害红十字会财产的；</w:t>
      </w:r>
    </w:p>
    <w:p>
      <w:pPr>
        <w:wordWrap/>
        <w:spacing w:line="560" w:lineRule="exact"/>
        <w:textAlignment w:val="auto"/>
        <w:rPr>
          <w:rFonts w:hint="eastAsia"/>
        </w:rPr>
      </w:pPr>
      <w:r>
        <w:rPr>
          <w:rFonts w:hint="eastAsia"/>
        </w:rPr>
        <w:t>　　（五）阻碍红十字会工作人员依法履行救援、救助、救护职责的；</w:t>
      </w:r>
    </w:p>
    <w:p>
      <w:pPr>
        <w:wordWrap/>
        <w:spacing w:line="560" w:lineRule="exact"/>
        <w:textAlignment w:val="auto"/>
        <w:rPr>
          <w:rFonts w:hint="eastAsia"/>
        </w:rPr>
      </w:pPr>
      <w:r>
        <w:rPr>
          <w:rFonts w:hint="eastAsia"/>
        </w:rPr>
        <w:t>　　（六）法律、法规规定的其他情形。</w:t>
      </w:r>
    </w:p>
    <w:p>
      <w:pPr>
        <w:wordWrap/>
        <w:spacing w:line="560" w:lineRule="exact"/>
        <w:textAlignment w:val="auto"/>
        <w:rPr>
          <w:rFonts w:hint="eastAsia"/>
        </w:rPr>
      </w:pPr>
      <w:r>
        <w:rPr>
          <w:rFonts w:hint="eastAsia"/>
        </w:rPr>
        <w:t>　　红十字会及其工作人员有前款第一项、第二项所列行为的，按照前款规定处罚。</w:t>
      </w:r>
    </w:p>
    <w:p>
      <w:pPr>
        <w:wordWrap/>
        <w:spacing w:line="560" w:lineRule="exact"/>
        <w:textAlignment w:val="auto"/>
        <w:rPr>
          <w:rFonts w:hint="eastAsia"/>
        </w:rPr>
      </w:pPr>
      <w:r>
        <w:rPr>
          <w:rFonts w:hint="eastAsia"/>
        </w:rPr>
        <w:t xml:space="preserve">　 </w:t>
      </w:r>
      <w:r>
        <w:rPr>
          <w:rFonts w:hint="eastAsia" w:ascii="黑体" w:hAnsi="黑体" w:eastAsia="黑体" w:cs="黑体"/>
          <w:b w:val="0"/>
          <w:bCs w:val="0"/>
        </w:rPr>
        <w:t>第二十八条</w:t>
      </w:r>
      <w:r>
        <w:rPr>
          <w:rFonts w:hint="eastAsia"/>
        </w:rPr>
        <w:t>　各级人民政府有关部门及其工作人员在实施监督管理中滥用职权、玩忽职守、徇私舞弊的，对直接负责的主管人员和其他直接责任人员依法给予处分；构成犯罪的，依法追究刑事责任。</w:t>
      </w:r>
    </w:p>
    <w:p>
      <w:pPr>
        <w:wordWrap/>
        <w:spacing w:line="560" w:lineRule="exact"/>
        <w:textAlignment w:val="auto"/>
        <w:rPr>
          <w:rFonts w:hint="eastAsia" w:ascii="黑体" w:hAnsi="黑体" w:eastAsia="黑体" w:cs="黑体"/>
          <w:b w:val="0"/>
          <w:bCs w:val="0"/>
        </w:rPr>
      </w:pPr>
    </w:p>
    <w:p>
      <w:pPr>
        <w:wordWrap/>
        <w:spacing w:line="560" w:lineRule="exact"/>
        <w:jc w:val="center"/>
        <w:textAlignment w:val="auto"/>
        <w:rPr>
          <w:rFonts w:hint="eastAsia" w:ascii="黑体" w:hAnsi="黑体" w:eastAsia="黑体" w:cs="黑体"/>
          <w:b w:val="0"/>
          <w:bCs w:val="0"/>
        </w:rPr>
      </w:pPr>
      <w:r>
        <w:rPr>
          <w:rFonts w:hint="eastAsia" w:ascii="黑体" w:hAnsi="黑体" w:eastAsia="黑体" w:cs="黑体"/>
          <w:b w:val="0"/>
          <w:bCs w:val="0"/>
        </w:rPr>
        <w:t>第七章　附 则</w:t>
      </w:r>
    </w:p>
    <w:p>
      <w:pPr>
        <w:pStyle w:val="3"/>
        <w:rPr>
          <w:rFonts w:hint="eastAsia"/>
        </w:rPr>
      </w:pPr>
    </w:p>
    <w:p>
      <w:pPr>
        <w:wordWrap/>
        <w:spacing w:line="560" w:lineRule="exact"/>
        <w:textAlignment w:val="auto"/>
        <w:rPr>
          <w:rFonts w:hint="eastAsia"/>
        </w:rPr>
      </w:pPr>
      <w:r>
        <w:rPr>
          <w:rFonts w:hint="eastAsia" w:ascii="黑体" w:hAnsi="黑体" w:eastAsia="黑体" w:cs="黑体"/>
          <w:b w:val="0"/>
          <w:bCs w:val="0"/>
        </w:rPr>
        <w:t>　 第二十九条</w:t>
      </w:r>
      <w:r>
        <w:rPr>
          <w:rFonts w:hint="eastAsia"/>
        </w:rPr>
        <w:t>　本法所称“国际红十字和红新月运动确立的基本原则”，是指一九八六年十月日内瓦国际红十字大会第二十五次会议通过的“国际红十字和红新月运动章程”中确立的人道、公正、中立、独立、志愿服务、统一和普遍七项基本原则。</w:t>
      </w:r>
    </w:p>
    <w:p>
      <w:pPr>
        <w:wordWrap/>
        <w:spacing w:line="560" w:lineRule="exact"/>
        <w:textAlignment w:val="auto"/>
        <w:rPr>
          <w:rFonts w:hint="eastAsia"/>
        </w:rPr>
      </w:pPr>
      <w:r>
        <w:rPr>
          <w:rFonts w:hint="eastAsia"/>
        </w:rPr>
        <w:t>　　本法所称“日内瓦公约”，是指中国批准的于一九四九年八月十二日订立的日内瓦四公约，即：《改善战地武装部队伤者病者境遇之日内瓦公约》、《改善海上武装部队伤者病者及遇船难者境遇之日内瓦公约》、《关于战俘待遇之日内瓦公约》和《关于战时保护平民之日内瓦公约》。</w:t>
      </w:r>
    </w:p>
    <w:p>
      <w:pPr>
        <w:wordWrap/>
        <w:spacing w:line="560" w:lineRule="exact"/>
        <w:textAlignment w:val="auto"/>
        <w:rPr>
          <w:rFonts w:hint="eastAsia"/>
        </w:rPr>
      </w:pPr>
      <w:r>
        <w:rPr>
          <w:rFonts w:hint="eastAsia"/>
        </w:rPr>
        <w:t>　　本法所称日内瓦公约“附加议定书”，是指中国加入的于一九七七年六月八日订立的《一九四九年八月十二日日内瓦四公约关于保护国际性武装冲突受难者的附加议定书》和《一九四九年八月十二日日内瓦四公约关于保护非国际性武装冲突受难者的附加议定书》。</w:t>
      </w:r>
    </w:p>
    <w:p>
      <w:pPr>
        <w:wordWrap/>
        <w:spacing w:line="560" w:lineRule="exact"/>
        <w:textAlignment w:val="auto"/>
        <w:rPr>
          <w:rFonts w:hint="eastAsia" w:ascii="Times New Roman" w:hAnsi="Times New Roman" w:eastAsia="宋体" w:cs="宋体"/>
          <w:sz w:val="44"/>
          <w:szCs w:val="44"/>
        </w:rPr>
      </w:pPr>
      <w:r>
        <w:rPr>
          <w:rFonts w:hint="eastAsia"/>
        </w:rPr>
        <w:t xml:space="preserve">　 </w:t>
      </w:r>
      <w:r>
        <w:rPr>
          <w:rFonts w:hint="eastAsia" w:ascii="黑体" w:hAnsi="黑体" w:eastAsia="黑体" w:cs="黑体"/>
          <w:b w:val="0"/>
          <w:bCs w:val="0"/>
        </w:rPr>
        <w:t>第三十条</w:t>
      </w:r>
      <w:r>
        <w:rPr>
          <w:rFonts w:hint="eastAsia"/>
        </w:rPr>
        <w:t>　本法自2017年5月8日起施行。</w:t>
      </w:r>
    </w:p>
    <w:p>
      <w:pPr>
        <w:wordWrap/>
        <w:spacing w:line="560" w:lineRule="exact"/>
        <w:textAlignment w:val="auto"/>
        <w:rPr>
          <w:rFonts w:hint="eastAsia" w:ascii="Times New Roman" w:hAnsi="Times New Roman" w:eastAsia="宋体" w:cs="宋体"/>
          <w:sz w:val="44"/>
          <w:szCs w:val="44"/>
        </w:rPr>
      </w:pPr>
      <w:r>
        <w:rPr>
          <w:rFonts w:hint="eastAsia" w:ascii="Times New Roman" w:hAnsi="Times New Roman" w:eastAsia="宋体" w:cs="宋体"/>
          <w:sz w:val="44"/>
          <w:szCs w:val="44"/>
        </w:rPr>
        <w:br w:type="page"/>
      </w:r>
    </w:p>
    <w:p>
      <w:pPr>
        <w:pStyle w:val="4"/>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val="0"/>
          <w:kern w:val="2"/>
          <w:sz w:val="44"/>
          <w:szCs w:val="44"/>
          <w:lang w:val="en-US" w:eastAsia="zh-CN" w:bidi="ar-SA"/>
        </w:rPr>
      </w:pPr>
      <w:bookmarkStart w:id="218" w:name="_Toc3013"/>
      <w:r>
        <w:rPr>
          <w:rFonts w:hint="eastAsia" w:ascii="宋体" w:hAnsi="宋体" w:eastAsia="宋体" w:cs="宋体"/>
          <w:b w:val="0"/>
          <w:bCs w:val="0"/>
          <w:kern w:val="2"/>
          <w:sz w:val="44"/>
          <w:szCs w:val="44"/>
          <w:lang w:val="en-US" w:eastAsia="zh-CN" w:bidi="ar-SA"/>
        </w:rPr>
        <w:t>中华人民共和国公益事业捐赠法</w:t>
      </w:r>
      <w:bookmarkEnd w:id="218"/>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both"/>
        <w:textAlignment w:val="auto"/>
        <w:outlineLvl w:val="9"/>
        <w:rPr>
          <w:rFonts w:hint="eastAsia" w:ascii="楷体" w:hAnsi="楷体" w:eastAsia="楷体" w:cs="楷体"/>
          <w:b w:val="0"/>
          <w:bCs w:val="0"/>
          <w:kern w:val="2"/>
          <w:sz w:val="32"/>
          <w:szCs w:val="32"/>
          <w:lang w:val="en-US" w:eastAsia="zh-CN" w:bidi="ar-SA"/>
        </w:rPr>
      </w:pP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both"/>
        <w:textAlignment w:val="auto"/>
        <w:outlineLvl w:val="9"/>
        <w:rPr>
          <w:rFonts w:hint="default"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（1999年6月28日第九届全国人民代表大会常务委员会第十次会议通过  1999年6月28日中华人民共和国主席令第十九号公布  自1999年9月1日起施行）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center"/>
        <w:textAlignment w:val="auto"/>
        <w:outlineLvl w:val="9"/>
        <w:rPr>
          <w:rFonts w:hint="default" w:ascii="楷体" w:hAnsi="楷体" w:eastAsia="楷体" w:cs="楷体"/>
          <w:b w:val="0"/>
          <w:bCs w:val="0"/>
          <w:kern w:val="2"/>
          <w:sz w:val="32"/>
          <w:szCs w:val="32"/>
          <w:lang w:val="en-US" w:eastAsia="zh-CN" w:bidi="ar-SA"/>
        </w:rPr>
      </w:pPr>
      <w:r>
        <w:rPr>
          <w:rFonts w:hint="default" w:ascii="楷体" w:hAnsi="楷体" w:eastAsia="楷体" w:cs="楷体"/>
          <w:b w:val="0"/>
          <w:bCs w:val="0"/>
          <w:kern w:val="2"/>
          <w:sz w:val="32"/>
          <w:szCs w:val="32"/>
          <w:lang w:val="en-US" w:eastAsia="zh-CN" w:bidi="ar-SA"/>
        </w:rPr>
        <w:t>目  录</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640" w:leftChars="200" w:right="525" w:rightChars="164" w:firstLine="0" w:firstLineChars="0"/>
        <w:jc w:val="both"/>
        <w:textAlignment w:val="auto"/>
        <w:outlineLvl w:val="9"/>
        <w:rPr>
          <w:rFonts w:hint="default" w:ascii="楷体" w:hAnsi="楷体" w:eastAsia="楷体" w:cs="楷体"/>
          <w:b w:val="0"/>
          <w:bCs w:val="0"/>
          <w:kern w:val="2"/>
          <w:sz w:val="32"/>
          <w:szCs w:val="32"/>
          <w:lang w:val="en-US" w:eastAsia="zh-CN" w:bidi="ar-SA"/>
        </w:rPr>
      </w:pPr>
      <w:r>
        <w:rPr>
          <w:rFonts w:hint="default" w:ascii="楷体" w:hAnsi="楷体" w:eastAsia="楷体" w:cs="楷体"/>
          <w:b w:val="0"/>
          <w:bCs w:val="0"/>
          <w:kern w:val="2"/>
          <w:sz w:val="32"/>
          <w:szCs w:val="32"/>
          <w:lang w:val="en-US" w:eastAsia="zh-CN" w:bidi="ar-SA"/>
        </w:rPr>
        <w:t>    第一章  总  则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第二章  捐赠和受赠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第三章  捐赠财产的使用和管理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第四章  优惠措施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第五章  法律责任 </w:t>
      </w:r>
      <w:r>
        <w:rPr>
          <w:rFonts w:hint="default" w:ascii="楷体" w:hAnsi="楷体" w:eastAsia="楷体" w:cs="楷体"/>
          <w:b w:val="0"/>
          <w:bCs w:val="0"/>
          <w:kern w:val="2"/>
          <w:sz w:val="32"/>
          <w:szCs w:val="32"/>
          <w:lang w:val="en-US" w:eastAsia="zh-CN" w:bidi="ar-SA"/>
        </w:rPr>
        <w:br w:type="textWrapping"/>
      </w:r>
      <w:r>
        <w:rPr>
          <w:rFonts w:hint="default" w:ascii="楷体" w:hAnsi="楷体" w:eastAsia="楷体" w:cs="楷体"/>
          <w:b w:val="0"/>
          <w:bCs w:val="0"/>
          <w:kern w:val="2"/>
          <w:sz w:val="32"/>
          <w:szCs w:val="32"/>
          <w:lang w:val="en-US" w:eastAsia="zh-CN" w:bidi="ar-SA"/>
        </w:rPr>
        <w:t>    第六章  附  则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楷体" w:hAnsi="楷体" w:eastAsia="楷体" w:cs="楷体"/>
          <w:b w:val="0"/>
          <w:bCs w:val="0"/>
          <w:kern w:val="2"/>
          <w:sz w:val="32"/>
          <w:szCs w:val="32"/>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eastAsia" w:ascii="黑体" w:hAnsi="黑体" w:eastAsia="黑体" w:cs="黑体"/>
          <w:b w:val="0"/>
          <w:bCs w:val="0"/>
          <w:kern w:val="2"/>
          <w:sz w:val="32"/>
          <w:szCs w:val="24"/>
          <w:lang w:val="en-US" w:eastAsia="zh-CN" w:bidi="ar-SA"/>
        </w:rPr>
        <w:t>第一章  总则</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eastAsia" w:ascii="黑体" w:hAnsi="黑体" w:eastAsia="黑体" w:cs="黑体"/>
          <w:b w:val="0"/>
          <w:bCs w:val="0"/>
          <w:kern w:val="2"/>
          <w:sz w:val="32"/>
          <w:szCs w:val="24"/>
          <w:lang w:val="en-US" w:eastAsia="zh-CN" w:bidi="ar-SA"/>
        </w:rPr>
        <w:t>第一条</w:t>
      </w:r>
      <w:r>
        <w:rPr>
          <w:rFonts w:hint="default" w:ascii="Times New Roman" w:hAnsi="Times New Roman" w:eastAsia="仿宋_GB2312" w:cs="Times New Roman"/>
          <w:b w:val="0"/>
          <w:bCs w:val="0"/>
          <w:kern w:val="2"/>
          <w:sz w:val="32"/>
          <w:szCs w:val="24"/>
          <w:lang w:val="en-US" w:eastAsia="zh-CN" w:bidi="ar-SA"/>
        </w:rPr>
        <w:t>  为了鼓励捐赠，规范捐赠和受赠行为，保护捐赠人、受赠人和受益人的合法权益，促进公益事业的发展，制定本法。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第二条</w:t>
      </w:r>
      <w:r>
        <w:rPr>
          <w:rFonts w:hint="default" w:ascii="Times New Roman" w:hAnsi="Times New Roman" w:eastAsia="仿宋_GB2312" w:cs="Times New Roman"/>
          <w:b w:val="0"/>
          <w:bCs w:val="0"/>
          <w:kern w:val="2"/>
          <w:sz w:val="32"/>
          <w:szCs w:val="24"/>
          <w:lang w:val="en-US" w:eastAsia="zh-CN" w:bidi="ar-SA"/>
        </w:rPr>
        <w:t>  自然人、法人或者其他组织自愿无偿向依法成立的公益性社会团体和公益性非营利的事业单位捐赠财产，用于公益事业的，适用本法。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第三条</w:t>
      </w:r>
      <w:r>
        <w:rPr>
          <w:rFonts w:hint="default" w:ascii="Times New Roman" w:hAnsi="Times New Roman" w:eastAsia="仿宋_GB2312" w:cs="Times New Roman"/>
          <w:b w:val="0"/>
          <w:bCs w:val="0"/>
          <w:kern w:val="2"/>
          <w:sz w:val="32"/>
          <w:szCs w:val="24"/>
          <w:lang w:val="en-US" w:eastAsia="zh-CN" w:bidi="ar-SA"/>
        </w:rPr>
        <w:t>  本法所称公益事业是指非营利的下列事项：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（一）救助灾害、救济贫困、扶助残疾人等困难的社会群体和个人的活动；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（二）教育、科学、文化、卫生、体育事业；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（三）环境保护、社会公共设施建设；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（四）促进社会发展和进步的其他社会公共和福利事业。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第四条</w:t>
      </w:r>
      <w:r>
        <w:rPr>
          <w:rFonts w:hint="default" w:ascii="Times New Roman" w:hAnsi="Times New Roman" w:eastAsia="仿宋_GB2312" w:cs="Times New Roman"/>
          <w:b w:val="0"/>
          <w:bCs w:val="0"/>
          <w:kern w:val="2"/>
          <w:sz w:val="32"/>
          <w:szCs w:val="24"/>
          <w:lang w:val="en-US" w:eastAsia="zh-CN" w:bidi="ar-SA"/>
        </w:rPr>
        <w:t>  捐赠应当是自愿和无偿的，禁止强行摊派或者变相摊派，不得以捐赠为名从事营利活动。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第五条</w:t>
      </w:r>
      <w:r>
        <w:rPr>
          <w:rFonts w:hint="default" w:ascii="Times New Roman" w:hAnsi="Times New Roman" w:eastAsia="仿宋_GB2312" w:cs="Times New Roman"/>
          <w:b w:val="0"/>
          <w:bCs w:val="0"/>
          <w:kern w:val="2"/>
          <w:sz w:val="32"/>
          <w:szCs w:val="24"/>
          <w:lang w:val="en-US" w:eastAsia="zh-CN" w:bidi="ar-SA"/>
        </w:rPr>
        <w:t>  捐赠财产的使用应当尊重捐赠人的意愿，符合公益目的，不得将捐赠财产挪作他用。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第六条</w:t>
      </w:r>
      <w:r>
        <w:rPr>
          <w:rFonts w:hint="default" w:ascii="Times New Roman" w:hAnsi="Times New Roman" w:eastAsia="仿宋_GB2312" w:cs="Times New Roman"/>
          <w:b w:val="0"/>
          <w:bCs w:val="0"/>
          <w:kern w:val="2"/>
          <w:sz w:val="32"/>
          <w:szCs w:val="24"/>
          <w:lang w:val="en-US" w:eastAsia="zh-CN" w:bidi="ar-SA"/>
        </w:rPr>
        <w:t>  捐赠应当遵守法律、法规，不得违背社会公德，不得损害公共利益和其他公民的合法权益。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第七条</w:t>
      </w:r>
      <w:r>
        <w:rPr>
          <w:rFonts w:hint="default" w:ascii="Times New Roman" w:hAnsi="Times New Roman" w:eastAsia="仿宋_GB2312" w:cs="Times New Roman"/>
          <w:b w:val="0"/>
          <w:bCs w:val="0"/>
          <w:kern w:val="2"/>
          <w:sz w:val="32"/>
          <w:szCs w:val="24"/>
          <w:lang w:val="en-US" w:eastAsia="zh-CN" w:bidi="ar-SA"/>
        </w:rPr>
        <w:t>  公益性社会团体受赠的财产及其增值为社会公共财产，受国家法律保护，任何单位和个人不得侵占、挪用和损毁。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第八条</w:t>
      </w:r>
      <w:r>
        <w:rPr>
          <w:rFonts w:hint="default" w:ascii="Times New Roman" w:hAnsi="Times New Roman" w:eastAsia="仿宋_GB2312" w:cs="Times New Roman"/>
          <w:b w:val="0"/>
          <w:bCs w:val="0"/>
          <w:kern w:val="2"/>
          <w:sz w:val="32"/>
          <w:szCs w:val="24"/>
          <w:lang w:val="en-US" w:eastAsia="zh-CN" w:bidi="ar-SA"/>
        </w:rPr>
        <w:t>  国家鼓励公益事业的发展，对公益性社会团体和公益性非营利的事业单位给予扶持和优待。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国家鼓励自然人、法人或者其他组织对公益事业进行捐赠。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对公益事业捐赠有突出贡献的自然人、法人或者其他组织，由人民政府或者有关部门予以表彰。对捐赠人进行公开表彰，应当事先征求捐赠人的意见。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第二章  捐赠和受赠</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第九条</w:t>
      </w:r>
      <w:r>
        <w:rPr>
          <w:rFonts w:hint="default" w:ascii="Times New Roman" w:hAnsi="Times New Roman" w:eastAsia="仿宋_GB2312" w:cs="Times New Roman"/>
          <w:b w:val="0"/>
          <w:bCs w:val="0"/>
          <w:kern w:val="2"/>
          <w:sz w:val="32"/>
          <w:szCs w:val="24"/>
          <w:lang w:val="en-US" w:eastAsia="zh-CN" w:bidi="ar-SA"/>
        </w:rPr>
        <w:t>  自然人、法人或者其他组织可以选择符合其捐赠意愿的公益性社会团体和公益性非营利的事业单位进行捐赠。捐赠的财产应当是其有权处分的合法财产。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第十条</w:t>
      </w:r>
      <w:r>
        <w:rPr>
          <w:rFonts w:hint="default" w:ascii="Times New Roman" w:hAnsi="Times New Roman" w:eastAsia="仿宋_GB2312" w:cs="Times New Roman"/>
          <w:b w:val="0"/>
          <w:bCs w:val="0"/>
          <w:kern w:val="2"/>
          <w:sz w:val="32"/>
          <w:szCs w:val="24"/>
          <w:lang w:val="en-US" w:eastAsia="zh-CN" w:bidi="ar-SA"/>
        </w:rPr>
        <w:t>  公益性社会团体和公益性非营利的事业单位可以依照本法接受捐赠。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本法所称公益性社会团体是指依法成立的，以发展公益事业为宗旨的基金会、慈善组织等社会团体。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本法所称公益性非营利的事业单位是指依法成立的，从事公益事业的不以营利为目的的教育机构、科学研究机构、医疗卫生机构、社会公共文化机构、社会公共体育机构和社会福利机构等。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第十一条</w:t>
      </w:r>
      <w:r>
        <w:rPr>
          <w:rFonts w:hint="default" w:ascii="Times New Roman" w:hAnsi="Times New Roman" w:eastAsia="仿宋_GB2312" w:cs="Times New Roman"/>
          <w:b w:val="0"/>
          <w:bCs w:val="0"/>
          <w:kern w:val="2"/>
          <w:sz w:val="32"/>
          <w:szCs w:val="24"/>
          <w:lang w:val="en-US" w:eastAsia="zh-CN" w:bidi="ar-SA"/>
        </w:rPr>
        <w:t>  在发生自然灾害时或者境外捐赠人要求县级以上人民政府及其部门作为受赠人时，县级以上人民政府及其部门可以接受捐赠，并依照本法的有关规定对捐赠财产进行管理。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县级以上人民政府及其部门可以将受赠财产转交公益性社会团体或者公益性非营利的事业单位；也可以按照捐赠人的意愿分发或者兴办公益事业，但是不得以本机关为受益对象。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第十二条</w:t>
      </w:r>
      <w:r>
        <w:rPr>
          <w:rFonts w:hint="default" w:ascii="Times New Roman" w:hAnsi="Times New Roman" w:eastAsia="仿宋_GB2312" w:cs="Times New Roman"/>
          <w:b w:val="0"/>
          <w:bCs w:val="0"/>
          <w:kern w:val="2"/>
          <w:sz w:val="32"/>
          <w:szCs w:val="24"/>
          <w:lang w:val="en-US" w:eastAsia="zh-CN" w:bidi="ar-SA"/>
        </w:rPr>
        <w:t>  捐赠人可以与受赠人就捐赠财产的种类、质量、数量和用途等内容订立捐赠协议。捐赠人有权决定捐赠的数量、用途和方式。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捐赠人应当依法履行捐赠协议，按照捐赠协议约定的期限和方式将捐赠财产转移给受赠人。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第十三条</w:t>
      </w:r>
      <w:r>
        <w:rPr>
          <w:rFonts w:hint="default" w:ascii="Times New Roman" w:hAnsi="Times New Roman" w:eastAsia="仿宋_GB2312" w:cs="Times New Roman"/>
          <w:b w:val="0"/>
          <w:bCs w:val="0"/>
          <w:kern w:val="2"/>
          <w:sz w:val="32"/>
          <w:szCs w:val="24"/>
          <w:lang w:val="en-US" w:eastAsia="zh-CN" w:bidi="ar-SA"/>
        </w:rPr>
        <w:t>  捐赠人捐赠财产兴建公益事业工程项目，应当与受赠人订立捐赠协议，对工程项目的资金、建设、管理和使用作出约定。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捐赠的公益事业工程项目由受赠单位按照国家有关规定办理项目审批手续，并组织施工或者由受赠人和捐赠人共同组织施工。工程质量应当符合国家质量标准。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捐赠的公益事业工程项目竣工后，受赠单位应当将工程建设、建设资金的使用和工程质量验收情况向捐赠人通报。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第十四条</w:t>
      </w:r>
      <w:r>
        <w:rPr>
          <w:rFonts w:hint="default" w:ascii="Times New Roman" w:hAnsi="Times New Roman" w:eastAsia="仿宋_GB2312" w:cs="Times New Roman"/>
          <w:b w:val="0"/>
          <w:bCs w:val="0"/>
          <w:kern w:val="2"/>
          <w:sz w:val="32"/>
          <w:szCs w:val="24"/>
          <w:lang w:val="en-US" w:eastAsia="zh-CN" w:bidi="ar-SA"/>
        </w:rPr>
        <w:t>  捐赠人对于捐赠的公益事业工程项目可以留名纪念；捐赠人单独捐赠的工程项目或者主要由捐赠人出资兴建的工程项目，可以由捐赠人提出工程项目的名称，报县级以上人民政府批准。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第十五条</w:t>
      </w:r>
      <w:r>
        <w:rPr>
          <w:rFonts w:hint="default" w:ascii="Times New Roman" w:hAnsi="Times New Roman" w:eastAsia="仿宋_GB2312" w:cs="Times New Roman"/>
          <w:b w:val="0"/>
          <w:bCs w:val="0"/>
          <w:kern w:val="2"/>
          <w:sz w:val="32"/>
          <w:szCs w:val="24"/>
          <w:lang w:val="en-US" w:eastAsia="zh-CN" w:bidi="ar-SA"/>
        </w:rPr>
        <w:t>  境外捐赠人捐赠的财产，由受赠人按照国家有关规定办理入境手续；捐赠实行许可证管理的物品，由受赠人按照国家有关规定办理许可证申领手续，海关凭许可证验放、监管。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华侨向境内捐赠的，县级以上人民政府侨务部门可以协助办理有关入境手续，为捐赠人实施捐赠项目提供帮助。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第三章  捐赠财产的使用和管理</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黑体" w:hAnsi="黑体" w:eastAsia="黑体" w:cs="黑体"/>
          <w:b w:val="0"/>
          <w:bCs w:val="0"/>
          <w:kern w:val="2"/>
          <w:sz w:val="32"/>
          <w:szCs w:val="24"/>
          <w:lang w:val="en-US" w:eastAsia="zh-CN" w:bidi="ar-SA"/>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第十六条</w:t>
      </w:r>
      <w:r>
        <w:rPr>
          <w:rFonts w:hint="default" w:ascii="Times New Roman" w:hAnsi="Times New Roman" w:eastAsia="仿宋_GB2312" w:cs="Times New Roman"/>
          <w:b w:val="0"/>
          <w:bCs w:val="0"/>
          <w:kern w:val="2"/>
          <w:sz w:val="32"/>
          <w:szCs w:val="24"/>
          <w:lang w:val="en-US" w:eastAsia="zh-CN" w:bidi="ar-SA"/>
        </w:rPr>
        <w:t>  受赠人接受捐赠后，应当向捐赠人出具合法、有效的收据，将受赠财产登记造册，妥善保管。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第十七条</w:t>
      </w:r>
      <w:r>
        <w:rPr>
          <w:rFonts w:hint="default" w:ascii="Times New Roman" w:hAnsi="Times New Roman" w:eastAsia="仿宋_GB2312" w:cs="Times New Roman"/>
          <w:b w:val="0"/>
          <w:bCs w:val="0"/>
          <w:kern w:val="2"/>
          <w:sz w:val="32"/>
          <w:szCs w:val="24"/>
          <w:lang w:val="en-US" w:eastAsia="zh-CN" w:bidi="ar-SA"/>
        </w:rPr>
        <w:t>  公益性社会团体应当将受赠财产用于资助符合其宗旨的活动和事业。对于接受的救助灾害的捐赠财产，应当及时用于救助活动。基金会每年用于资助公益事业的资金数额，不得低于国家规定的比例。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公益性社会团体应当严格遵守国家的有关规定，按照合法、安全、有效的原则，积极实现捐赠财产的保值增值。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公益性非营利的事业单位应当将受赠财产用于发展本单位的公益事业，不得挪作他用。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对于不易储存、运输和超过实际需要的受赠财产，受赠人可以变卖，所取得的全部收入，应当用于捐赠目的。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第十八条</w:t>
      </w:r>
      <w:r>
        <w:rPr>
          <w:rFonts w:hint="default" w:ascii="Times New Roman" w:hAnsi="Times New Roman" w:eastAsia="仿宋_GB2312" w:cs="Times New Roman"/>
          <w:b w:val="0"/>
          <w:bCs w:val="0"/>
          <w:kern w:val="2"/>
          <w:sz w:val="32"/>
          <w:szCs w:val="24"/>
          <w:lang w:val="en-US" w:eastAsia="zh-CN" w:bidi="ar-SA"/>
        </w:rPr>
        <w:t>  受赠人与捐赠人订立了捐赠协议的，应当按照协议约定的用途使用捐赠财产，不得擅自改变捐赠财产的用途。如果确需改变用途的，应当征得捐赠人的同意。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第十九条</w:t>
      </w:r>
      <w:r>
        <w:rPr>
          <w:rFonts w:hint="default" w:ascii="Times New Roman" w:hAnsi="Times New Roman" w:eastAsia="仿宋_GB2312" w:cs="Times New Roman"/>
          <w:b w:val="0"/>
          <w:bCs w:val="0"/>
          <w:kern w:val="2"/>
          <w:sz w:val="32"/>
          <w:szCs w:val="24"/>
          <w:lang w:val="en-US" w:eastAsia="zh-CN" w:bidi="ar-SA"/>
        </w:rPr>
        <w:t>  受赠人应当依照国家有关规定，建立健全财务会计制度和受赠财产的使用制度，加强对受赠财产的管理。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第二十条</w:t>
      </w:r>
      <w:r>
        <w:rPr>
          <w:rFonts w:hint="default" w:ascii="Times New Roman" w:hAnsi="Times New Roman" w:eastAsia="仿宋_GB2312" w:cs="Times New Roman"/>
          <w:b w:val="0"/>
          <w:bCs w:val="0"/>
          <w:kern w:val="2"/>
          <w:sz w:val="32"/>
          <w:szCs w:val="24"/>
          <w:lang w:val="en-US" w:eastAsia="zh-CN" w:bidi="ar-SA"/>
        </w:rPr>
        <w:t>  受赠人每年度应当向政府有关部门报告受赠财产的使用、管理情况，接受监督。必要时，政府有关部门可以对其财务进行审计。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海关对减免关税的捐赠物品依法实施监督和管理。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县级以上人民政府侨务部门可以参与对华侨向境内捐赠财产使用与管理的监督。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第二十一条</w:t>
      </w:r>
      <w:r>
        <w:rPr>
          <w:rFonts w:hint="default" w:ascii="Times New Roman" w:hAnsi="Times New Roman" w:eastAsia="仿宋_GB2312" w:cs="Times New Roman"/>
          <w:b w:val="0"/>
          <w:bCs w:val="0"/>
          <w:kern w:val="2"/>
          <w:sz w:val="32"/>
          <w:szCs w:val="24"/>
          <w:lang w:val="en-US" w:eastAsia="zh-CN" w:bidi="ar-SA"/>
        </w:rPr>
        <w:t>  捐赠人有权向受赠人查询捐赠财产的使用、管理情况，并提出意见和建议。对于捐赠人的查询，受赠人应当如实答复。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第二十二条</w:t>
      </w:r>
      <w:r>
        <w:rPr>
          <w:rFonts w:hint="default" w:ascii="Times New Roman" w:hAnsi="Times New Roman" w:eastAsia="仿宋_GB2312" w:cs="Times New Roman"/>
          <w:b w:val="0"/>
          <w:bCs w:val="0"/>
          <w:kern w:val="2"/>
          <w:sz w:val="32"/>
          <w:szCs w:val="24"/>
          <w:lang w:val="en-US" w:eastAsia="zh-CN" w:bidi="ar-SA"/>
        </w:rPr>
        <w:t>  受赠人应当公开接受捐赠的情况和受赠财产的使用、管理情况，接受社会监督。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第二十三条</w:t>
      </w:r>
      <w:r>
        <w:rPr>
          <w:rFonts w:hint="default" w:ascii="Times New Roman" w:hAnsi="Times New Roman" w:eastAsia="仿宋_GB2312" w:cs="Times New Roman"/>
          <w:b w:val="0"/>
          <w:bCs w:val="0"/>
          <w:kern w:val="2"/>
          <w:sz w:val="32"/>
          <w:szCs w:val="24"/>
          <w:lang w:val="en-US" w:eastAsia="zh-CN" w:bidi="ar-SA"/>
        </w:rPr>
        <w:t>  公益性社会团体应当厉行节约，降低管理成本，工作人员的工资和办公费用从利息等收入中按照国家规定的标准开支。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黑体" w:hAnsi="黑体" w:eastAsia="黑体" w:cs="黑体"/>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第四章  优惠措施</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Times New Roman" w:hAnsi="Times New Roman" w:eastAsia="仿宋_GB2312" w:cs="Times New Roman"/>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第二十四条</w:t>
      </w:r>
      <w:r>
        <w:rPr>
          <w:rFonts w:hint="default" w:ascii="Times New Roman" w:hAnsi="Times New Roman" w:eastAsia="仿宋_GB2312" w:cs="Times New Roman"/>
          <w:b w:val="0"/>
          <w:bCs w:val="0"/>
          <w:kern w:val="2"/>
          <w:sz w:val="32"/>
          <w:szCs w:val="24"/>
          <w:lang w:val="en-US" w:eastAsia="zh-CN" w:bidi="ar-SA"/>
        </w:rPr>
        <w:t>  公司和其他企业依照本法的规定捐赠财产用于公益事业，依照法律、行政法规的规定享受企业所得税方面的优惠。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第二十五条</w:t>
      </w:r>
      <w:r>
        <w:rPr>
          <w:rFonts w:hint="default" w:ascii="Times New Roman" w:hAnsi="Times New Roman" w:eastAsia="仿宋_GB2312" w:cs="Times New Roman"/>
          <w:b w:val="0"/>
          <w:bCs w:val="0"/>
          <w:kern w:val="2"/>
          <w:sz w:val="32"/>
          <w:szCs w:val="24"/>
          <w:lang w:val="en-US" w:eastAsia="zh-CN" w:bidi="ar-SA"/>
        </w:rPr>
        <w:t>  自然人和个体工商户依照本法的规定捐赠财产用于公益事业，依照法律、行政法规的规定享受个人所得税方面的优惠。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第二十六条</w:t>
      </w:r>
      <w:r>
        <w:rPr>
          <w:rFonts w:hint="default" w:ascii="Times New Roman" w:hAnsi="Times New Roman" w:eastAsia="仿宋_GB2312" w:cs="Times New Roman"/>
          <w:b w:val="0"/>
          <w:bCs w:val="0"/>
          <w:kern w:val="2"/>
          <w:sz w:val="32"/>
          <w:szCs w:val="24"/>
          <w:lang w:val="en-US" w:eastAsia="zh-CN" w:bidi="ar-SA"/>
        </w:rPr>
        <w:t>  境外向公益性社会团体和公益性非营利的事业单位捐赠的用于公益事业的物资，依照法律、行政法规的规定减征或者免征进口关税和进口环节的增值税。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第二十七条</w:t>
      </w:r>
      <w:r>
        <w:rPr>
          <w:rFonts w:hint="default" w:ascii="Times New Roman" w:hAnsi="Times New Roman" w:eastAsia="仿宋_GB2312" w:cs="Times New Roman"/>
          <w:b w:val="0"/>
          <w:bCs w:val="0"/>
          <w:kern w:val="2"/>
          <w:sz w:val="32"/>
          <w:szCs w:val="24"/>
          <w:lang w:val="en-US" w:eastAsia="zh-CN" w:bidi="ar-SA"/>
        </w:rPr>
        <w:t>  对于捐赠的工程项目，当地人民政府应当给予支持和优惠。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第五章  法律责任</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default" w:ascii="黑体" w:hAnsi="黑体" w:eastAsia="黑体" w:cs="黑体"/>
          <w:b w:val="0"/>
          <w:bCs w:val="0"/>
          <w:kern w:val="2"/>
          <w:sz w:val="32"/>
          <w:szCs w:val="24"/>
          <w:lang w:val="en-US" w:eastAsia="zh-CN" w:bidi="ar-SA"/>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第二十八条</w:t>
      </w:r>
      <w:r>
        <w:rPr>
          <w:rFonts w:hint="default" w:ascii="Times New Roman" w:hAnsi="Times New Roman" w:eastAsia="仿宋_GB2312" w:cs="Times New Roman"/>
          <w:b w:val="0"/>
          <w:bCs w:val="0"/>
          <w:kern w:val="2"/>
          <w:sz w:val="32"/>
          <w:szCs w:val="24"/>
          <w:lang w:val="en-US" w:eastAsia="zh-CN" w:bidi="ar-SA"/>
        </w:rPr>
        <w:t>  受赠人未征得捐赠人的许可，擅自改变捐赠财产的性质、用途的，由县级以上人民政府有关部门责令改正，给予警告。拒不改正的，经征求捐赠人的意见，由县级以上人民政府将捐赠财产交由与其宗旨相同或者相似的公益性社会团体或者公益性非营利的事业单位管理。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第二十九条</w:t>
      </w:r>
      <w:r>
        <w:rPr>
          <w:rFonts w:hint="default" w:ascii="Times New Roman" w:hAnsi="Times New Roman" w:eastAsia="仿宋_GB2312" w:cs="Times New Roman"/>
          <w:b w:val="0"/>
          <w:bCs w:val="0"/>
          <w:kern w:val="2"/>
          <w:sz w:val="32"/>
          <w:szCs w:val="24"/>
          <w:lang w:val="en-US" w:eastAsia="zh-CN" w:bidi="ar-SA"/>
        </w:rPr>
        <w:t>  挪用、侵占或者贪污捐赠款物的，由县级以上人民政府有关部门责令退还所用、所得款物，并处以罚款；对直接责任人员，由所在单位依照有关规定予以处理；构成犯罪的，依法追究刑事责任。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依照前款追回、追缴的捐赠款物，应当用于原捐赠目的和用途。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第三十条</w:t>
      </w:r>
      <w:r>
        <w:rPr>
          <w:rFonts w:hint="default" w:ascii="Times New Roman" w:hAnsi="Times New Roman" w:eastAsia="仿宋_GB2312" w:cs="Times New Roman"/>
          <w:b w:val="0"/>
          <w:bCs w:val="0"/>
          <w:kern w:val="2"/>
          <w:sz w:val="32"/>
          <w:szCs w:val="24"/>
          <w:lang w:val="en-US" w:eastAsia="zh-CN" w:bidi="ar-SA"/>
        </w:rPr>
        <w:t>  在捐赠活动中，有下列行为之一的，依照法律、法规的有关规定予以处罚；构成犯罪的，依法追究刑事责任：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（一）逃汇、骗购外汇的；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（二）偷税、逃税的；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（三）进行走私活动的；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（四）未经海关许可并且未补缴应缴税额，擅自将减税、免税进口的捐赠物资在境内销售、转让或者移作他用的。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第三十一条</w:t>
      </w:r>
      <w:r>
        <w:rPr>
          <w:rFonts w:hint="default" w:ascii="Times New Roman" w:hAnsi="Times New Roman" w:eastAsia="仿宋_GB2312" w:cs="Times New Roman"/>
          <w:b w:val="0"/>
          <w:bCs w:val="0"/>
          <w:kern w:val="2"/>
          <w:sz w:val="32"/>
          <w:szCs w:val="24"/>
          <w:lang w:val="en-US" w:eastAsia="zh-CN" w:bidi="ar-SA"/>
        </w:rPr>
        <w:t>  受赠单位的工作人员，滥用职权，玩忽职守，徇私舞弊，致使捐赠财产造成重大损失的，由所在单位依照有关规定予以处理；构成犯罪的，依法追究刑事责任。 </w:t>
      </w: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w:t>
      </w:r>
      <w:r>
        <w:rPr>
          <w:rFonts w:hint="default" w:ascii="黑体" w:hAnsi="黑体" w:eastAsia="黑体" w:cs="黑体"/>
          <w:b w:val="0"/>
          <w:bCs w:val="0"/>
          <w:kern w:val="2"/>
          <w:sz w:val="32"/>
          <w:szCs w:val="24"/>
          <w:lang w:val="en-US" w:eastAsia="zh-CN" w:bidi="ar-SA"/>
        </w:rPr>
        <w:t xml:space="preserve">   </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9"/>
        <w:rPr>
          <w:rFonts w:hint="default" w:ascii="黑体" w:hAnsi="黑体" w:eastAsia="黑体" w:cs="黑体"/>
          <w:b w:val="0"/>
          <w:bCs w:val="0"/>
          <w:kern w:val="2"/>
          <w:sz w:val="32"/>
          <w:szCs w:val="24"/>
          <w:lang w:val="en-US" w:eastAsia="zh-CN" w:bidi="ar-SA"/>
        </w:rPr>
      </w:pPr>
      <w:r>
        <w:rPr>
          <w:rFonts w:hint="default" w:ascii="黑体" w:hAnsi="黑体" w:eastAsia="黑体" w:cs="黑体"/>
          <w:b w:val="0"/>
          <w:bCs w:val="0"/>
          <w:kern w:val="2"/>
          <w:sz w:val="32"/>
          <w:szCs w:val="24"/>
          <w:lang w:val="en-US" w:eastAsia="zh-CN" w:bidi="ar-SA"/>
        </w:rPr>
        <w:t>第六章  附则</w:t>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left"/>
        <w:textAlignment w:val="auto"/>
        <w:outlineLvl w:val="9"/>
        <w:rPr>
          <w:rFonts w:hint="eastAsia" w:ascii="Times New Roman" w:hAnsi="Times New Roman" w:eastAsia="宋体" w:cs="宋体"/>
          <w:sz w:val="44"/>
          <w:szCs w:val="44"/>
        </w:rPr>
      </w:pPr>
      <w:r>
        <w:rPr>
          <w:rFonts w:hint="default" w:ascii="Times New Roman" w:hAnsi="Times New Roman" w:eastAsia="仿宋_GB2312" w:cs="Times New Roman"/>
          <w:b w:val="0"/>
          <w:bCs w:val="0"/>
          <w:kern w:val="2"/>
          <w:sz w:val="32"/>
          <w:szCs w:val="24"/>
          <w:lang w:val="en-US" w:eastAsia="zh-CN" w:bidi="ar-SA"/>
        </w:rPr>
        <w:br w:type="textWrapping"/>
      </w:r>
      <w:r>
        <w:rPr>
          <w:rFonts w:hint="default" w:ascii="Times New Roman" w:hAnsi="Times New Roman" w:eastAsia="仿宋_GB2312" w:cs="Times New Roman"/>
          <w:b w:val="0"/>
          <w:bCs w:val="0"/>
          <w:kern w:val="2"/>
          <w:sz w:val="32"/>
          <w:szCs w:val="24"/>
          <w:lang w:val="en-US" w:eastAsia="zh-CN" w:bidi="ar-SA"/>
        </w:rPr>
        <w:t xml:space="preserve">    </w:t>
      </w:r>
      <w:r>
        <w:rPr>
          <w:rFonts w:hint="default" w:ascii="黑体" w:hAnsi="黑体" w:eastAsia="黑体" w:cs="黑体"/>
          <w:b w:val="0"/>
          <w:bCs w:val="0"/>
          <w:kern w:val="2"/>
          <w:sz w:val="32"/>
          <w:szCs w:val="24"/>
          <w:lang w:val="en-US" w:eastAsia="zh-CN" w:bidi="ar-SA"/>
        </w:rPr>
        <w:t>第三十二条</w:t>
      </w:r>
      <w:r>
        <w:rPr>
          <w:rFonts w:hint="default" w:ascii="Times New Roman" w:hAnsi="Times New Roman" w:eastAsia="仿宋_GB2312" w:cs="Times New Roman"/>
          <w:b w:val="0"/>
          <w:bCs w:val="0"/>
          <w:kern w:val="2"/>
          <w:sz w:val="32"/>
          <w:szCs w:val="24"/>
          <w:lang w:val="en-US" w:eastAsia="zh-CN" w:bidi="ar-SA"/>
        </w:rPr>
        <w:t>  本法自1999年9月1日起施行。</w:t>
      </w:r>
    </w:p>
    <w:p>
      <w:pPr>
        <w:wordWrap/>
        <w:adjustRightInd/>
        <w:snapToGrid/>
        <w:spacing w:line="560" w:lineRule="exact"/>
        <w:textAlignment w:val="auto"/>
        <w:rPr>
          <w:rFonts w:hint="eastAsia" w:ascii="Times New Roman" w:hAnsi="Times New Roman" w:eastAsia="宋体" w:cs="宋体"/>
          <w:sz w:val="44"/>
          <w:szCs w:val="44"/>
        </w:rPr>
      </w:pPr>
      <w:r>
        <w:rPr>
          <w:rFonts w:hint="eastAsia" w:ascii="Times New Roman" w:hAnsi="Times New Roman" w:eastAsia="宋体" w:cs="宋体"/>
          <w:sz w:val="44"/>
          <w:szCs w:val="44"/>
        </w:rPr>
        <w:br w:type="page"/>
      </w:r>
    </w:p>
    <w:p>
      <w:pPr>
        <w:rPr>
          <w:rFonts w:hint="eastAsia" w:ascii="宋体" w:hAnsi="宋体" w:eastAsia="宋体" w:cs="Arial"/>
          <w:kern w:val="0"/>
          <w:szCs w:val="32"/>
        </w:rPr>
      </w:pPr>
    </w:p>
    <w:p>
      <w:pPr>
        <w:rPr>
          <w:rFonts w:hint="eastAsia" w:ascii="宋体" w:hAnsi="宋体" w:eastAsia="宋体" w:cs="Arial"/>
          <w:kern w:val="0"/>
          <w:szCs w:val="32"/>
        </w:rPr>
      </w:pPr>
    </w:p>
    <w:p>
      <w:pPr>
        <w:jc w:val="center"/>
        <w:rPr>
          <w:rFonts w:ascii="宋体" w:hAnsi="宋体" w:eastAsia="宋体" w:cs="Arial"/>
          <w:bCs/>
          <w:sz w:val="44"/>
          <w:szCs w:val="44"/>
        </w:rPr>
      </w:pPr>
      <w:r>
        <w:rPr>
          <w:rFonts w:ascii="宋体" w:hAnsi="宋体" w:eastAsia="宋体" w:cs="Arial"/>
          <w:bCs/>
          <w:sz w:val="44"/>
          <w:szCs w:val="44"/>
        </w:rPr>
        <w:t>中华人民共和国刑法</w:t>
      </w:r>
    </w:p>
    <w:p>
      <w:pPr>
        <w:ind w:left="640" w:leftChars="200" w:right="640" w:rightChars="200"/>
        <w:rPr>
          <w:rFonts w:ascii="宋体" w:hAnsi="宋体" w:eastAsia="宋体" w:cs="Arial"/>
          <w:bCs/>
          <w:szCs w:val="32"/>
        </w:rPr>
      </w:pPr>
    </w:p>
    <w:p>
      <w:pPr>
        <w:ind w:left="640" w:leftChars="200" w:right="640" w:rightChars="200"/>
        <w:rPr>
          <w:rFonts w:hint="eastAsia" w:ascii="宋体" w:hAnsi="宋体" w:eastAsia="宋体" w:cs="Arial"/>
          <w:bCs/>
          <w:szCs w:val="32"/>
        </w:rPr>
      </w:pPr>
      <w:r>
        <w:rPr>
          <w:rFonts w:hint="eastAsia" w:ascii="楷体_GB2312" w:hAnsi="Arial" w:eastAsia="楷体_GB2312" w:cs="Arial"/>
          <w:szCs w:val="32"/>
        </w:rPr>
        <w:t>（</w:t>
      </w:r>
      <w:r>
        <w:rPr>
          <w:rFonts w:hint="default" w:ascii="Times New Roman" w:hAnsi="Times New Roman" w:eastAsia="楷体_GB2312" w:cs="Times New Roman"/>
          <w:szCs w:val="32"/>
        </w:rPr>
        <w:t>1979</w:t>
      </w:r>
      <w:r>
        <w:rPr>
          <w:rFonts w:hint="eastAsia" w:ascii="楷体_GB2312" w:hAnsi="Arial" w:eastAsia="楷体_GB2312" w:cs="Arial"/>
          <w:szCs w:val="32"/>
        </w:rPr>
        <w:t>年</w:t>
      </w:r>
      <w:r>
        <w:rPr>
          <w:rFonts w:hint="default" w:ascii="Times New Roman" w:hAnsi="Times New Roman" w:eastAsia="楷体_GB2312" w:cs="Times New Roman"/>
          <w:szCs w:val="32"/>
        </w:rPr>
        <w:t>7</w:t>
      </w:r>
      <w:r>
        <w:rPr>
          <w:rFonts w:hint="eastAsia" w:ascii="楷体_GB2312" w:hAnsi="Arial" w:eastAsia="楷体_GB2312" w:cs="Arial"/>
          <w:szCs w:val="32"/>
        </w:rPr>
        <w:t>月</w:t>
      </w:r>
      <w:r>
        <w:rPr>
          <w:rFonts w:hint="default" w:ascii="Times New Roman" w:hAnsi="Times New Roman" w:eastAsia="楷体_GB2312" w:cs="Times New Roman"/>
          <w:szCs w:val="32"/>
        </w:rPr>
        <w:t>1</w:t>
      </w:r>
      <w:r>
        <w:rPr>
          <w:rFonts w:hint="eastAsia" w:ascii="楷体_GB2312" w:hAnsi="Arial" w:eastAsia="楷体_GB2312" w:cs="Arial"/>
          <w:szCs w:val="32"/>
        </w:rPr>
        <w:t>日第五届全国人民代表大会第二次会议通过　</w:t>
      </w:r>
      <w:r>
        <w:rPr>
          <w:rFonts w:hint="default" w:ascii="Times New Roman" w:hAnsi="Times New Roman" w:eastAsia="楷体_GB2312" w:cs="Times New Roman"/>
          <w:szCs w:val="32"/>
        </w:rPr>
        <w:t>1997</w:t>
      </w:r>
      <w:r>
        <w:rPr>
          <w:rFonts w:hint="eastAsia" w:ascii="楷体_GB2312" w:hAnsi="Arial" w:eastAsia="楷体_GB2312" w:cs="Arial"/>
          <w:szCs w:val="32"/>
        </w:rPr>
        <w:t>年</w:t>
      </w:r>
      <w:r>
        <w:rPr>
          <w:rFonts w:hint="default" w:ascii="Times New Roman" w:hAnsi="Times New Roman" w:eastAsia="楷体_GB2312" w:cs="Times New Roman"/>
          <w:szCs w:val="32"/>
        </w:rPr>
        <w:t>3</w:t>
      </w:r>
      <w:r>
        <w:rPr>
          <w:rFonts w:hint="eastAsia" w:ascii="楷体_GB2312" w:hAnsi="Arial" w:eastAsia="楷体_GB2312" w:cs="Arial"/>
          <w:szCs w:val="32"/>
        </w:rPr>
        <w:t>月</w:t>
      </w:r>
      <w:r>
        <w:rPr>
          <w:rFonts w:hint="default" w:ascii="Times New Roman" w:hAnsi="Times New Roman" w:eastAsia="楷体_GB2312" w:cs="Times New Roman"/>
          <w:szCs w:val="32"/>
        </w:rPr>
        <w:t>14</w:t>
      </w:r>
      <w:r>
        <w:rPr>
          <w:rFonts w:hint="eastAsia" w:ascii="楷体_GB2312" w:hAnsi="Arial" w:eastAsia="楷体_GB2312" w:cs="Arial"/>
          <w:szCs w:val="32"/>
        </w:rPr>
        <w:t>日第八届全国人民代表大会第五次会议修订　根据</w:t>
      </w:r>
      <w:r>
        <w:rPr>
          <w:rFonts w:hint="default" w:ascii="Times New Roman" w:hAnsi="Times New Roman" w:eastAsia="楷体_GB2312" w:cs="Times New Roman"/>
          <w:szCs w:val="32"/>
        </w:rPr>
        <w:t>1998</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日第九届全国人民代表大会常务委员会第六次会议通过的《全国人民代表大会常务委员会关于惩治骗购外汇、逃汇和非法买卖外汇犯罪的决定》、</w:t>
      </w:r>
      <w:r>
        <w:rPr>
          <w:rFonts w:hint="default" w:ascii="Times New Roman" w:hAnsi="Times New Roman" w:eastAsia="楷体_GB2312" w:cs="Times New Roman"/>
          <w:szCs w:val="32"/>
        </w:rPr>
        <w:t>1999</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25</w:t>
      </w:r>
      <w:r>
        <w:rPr>
          <w:rFonts w:hint="eastAsia" w:ascii="楷体_GB2312" w:hAnsi="Arial" w:eastAsia="楷体_GB2312" w:cs="Arial"/>
          <w:szCs w:val="32"/>
        </w:rPr>
        <w:t>日第九届全国人民代表大会常务委员会第十三次会议通过的《中华人民共和国刑法修正案》、</w:t>
      </w:r>
      <w:r>
        <w:rPr>
          <w:rFonts w:hint="default" w:ascii="Times New Roman" w:hAnsi="Times New Roman" w:eastAsia="楷体_GB2312" w:cs="Times New Roman"/>
          <w:szCs w:val="32"/>
        </w:rPr>
        <w:t>2001</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31</w:t>
      </w:r>
      <w:r>
        <w:rPr>
          <w:rFonts w:hint="eastAsia" w:ascii="楷体_GB2312" w:hAnsi="Arial" w:eastAsia="楷体_GB2312" w:cs="Arial"/>
          <w:szCs w:val="32"/>
        </w:rPr>
        <w:t>日第九届全国人民代表大会常务委员会第二十三次会议通过的《中华人民共和国刑法修正案（二）》、</w:t>
      </w:r>
      <w:r>
        <w:rPr>
          <w:rFonts w:hint="default" w:ascii="Times New Roman" w:hAnsi="Times New Roman" w:eastAsia="楷体_GB2312" w:cs="Times New Roman"/>
          <w:szCs w:val="32"/>
        </w:rPr>
        <w:t>2001</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日第九届全国人民代表大会常务委员会第二十五次会议通过的《中华人民共和国刑法修正案（三）》、</w:t>
      </w:r>
      <w:r>
        <w:rPr>
          <w:rFonts w:hint="default" w:ascii="Times New Roman" w:hAnsi="Times New Roman" w:eastAsia="楷体_GB2312" w:cs="Times New Roman"/>
          <w:szCs w:val="32"/>
        </w:rPr>
        <w:t>2002</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28</w:t>
      </w:r>
      <w:r>
        <w:rPr>
          <w:rFonts w:hint="eastAsia" w:ascii="楷体_GB2312" w:hAnsi="Arial" w:eastAsia="楷体_GB2312" w:cs="Arial"/>
          <w:szCs w:val="32"/>
        </w:rPr>
        <w:t>日第九届全国人民代表大会常务委员会第三十一次会议通过的《中华人民共和国刑法修正案（四）》、</w:t>
      </w:r>
      <w:r>
        <w:rPr>
          <w:rFonts w:hint="default" w:ascii="Times New Roman" w:hAnsi="Times New Roman" w:eastAsia="楷体_GB2312" w:cs="Times New Roman"/>
          <w:szCs w:val="32"/>
        </w:rPr>
        <w:t>2005</w:t>
      </w:r>
      <w:r>
        <w:rPr>
          <w:rFonts w:hint="eastAsia" w:ascii="楷体_GB2312" w:hAnsi="Arial" w:eastAsia="楷体_GB2312" w:cs="Arial"/>
          <w:szCs w:val="32"/>
        </w:rPr>
        <w:t>年</w:t>
      </w:r>
      <w:r>
        <w:rPr>
          <w:rFonts w:hint="default" w:ascii="Times New Roman" w:hAnsi="Times New Roman" w:eastAsia="楷体_GB2312" w:cs="Times New Roman"/>
          <w:szCs w:val="32"/>
        </w:rPr>
        <w:t>2</w:t>
      </w:r>
      <w:r>
        <w:rPr>
          <w:rFonts w:hint="eastAsia" w:ascii="楷体_GB2312" w:hAnsi="Arial" w:eastAsia="楷体_GB2312" w:cs="Arial"/>
          <w:szCs w:val="32"/>
        </w:rPr>
        <w:t>月</w:t>
      </w:r>
      <w:r>
        <w:rPr>
          <w:rFonts w:hint="default" w:ascii="Times New Roman" w:hAnsi="Times New Roman" w:eastAsia="楷体_GB2312" w:cs="Times New Roman"/>
          <w:szCs w:val="32"/>
        </w:rPr>
        <w:t>28</w:t>
      </w:r>
      <w:r>
        <w:rPr>
          <w:rFonts w:hint="eastAsia" w:ascii="楷体_GB2312" w:hAnsi="Arial" w:eastAsia="楷体_GB2312" w:cs="Arial"/>
          <w:szCs w:val="32"/>
        </w:rPr>
        <w:t>日第十届全国人民代表大会常务委员会第十四次会议通过的《中华人民共和国刑法修正案（五）》、</w:t>
      </w:r>
      <w:r>
        <w:rPr>
          <w:rFonts w:hint="default" w:ascii="Times New Roman" w:hAnsi="Times New Roman" w:eastAsia="楷体_GB2312" w:cs="Times New Roman"/>
          <w:szCs w:val="32"/>
        </w:rPr>
        <w:t>2006</w:t>
      </w:r>
      <w:r>
        <w:rPr>
          <w:rFonts w:hint="eastAsia" w:ascii="楷体_GB2312" w:hAnsi="Arial" w:eastAsia="楷体_GB2312" w:cs="Arial"/>
          <w:szCs w:val="32"/>
        </w:rPr>
        <w:t>年</w:t>
      </w:r>
      <w:r>
        <w:rPr>
          <w:rFonts w:hint="default" w:ascii="Times New Roman" w:hAnsi="Times New Roman" w:eastAsia="楷体_GB2312" w:cs="Times New Roman"/>
          <w:szCs w:val="32"/>
        </w:rPr>
        <w:t>6</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日第十届全国人民代表大会常务委员会第二十二次会议通过的《中华人民共和国刑法修正案（六）》、</w:t>
      </w:r>
      <w:r>
        <w:rPr>
          <w:rFonts w:hint="default" w:ascii="Times New Roman" w:hAnsi="Times New Roman" w:eastAsia="楷体_GB2312" w:cs="Times New Roman"/>
          <w:szCs w:val="32"/>
        </w:rPr>
        <w:t>2009</w:t>
      </w:r>
      <w:r>
        <w:rPr>
          <w:rFonts w:hint="eastAsia" w:ascii="楷体_GB2312" w:hAnsi="Arial" w:eastAsia="楷体_GB2312" w:cs="Arial"/>
          <w:szCs w:val="32"/>
        </w:rPr>
        <w:t>年</w:t>
      </w:r>
      <w:r>
        <w:rPr>
          <w:rFonts w:hint="default" w:ascii="Times New Roman" w:hAnsi="Times New Roman" w:eastAsia="楷体_GB2312" w:cs="Times New Roman"/>
          <w:szCs w:val="32"/>
        </w:rPr>
        <w:t>2</w:t>
      </w:r>
      <w:r>
        <w:rPr>
          <w:rFonts w:hint="eastAsia" w:ascii="楷体_GB2312" w:hAnsi="Arial" w:eastAsia="楷体_GB2312" w:cs="Arial"/>
          <w:szCs w:val="32"/>
        </w:rPr>
        <w:t>月</w:t>
      </w:r>
      <w:r>
        <w:rPr>
          <w:rFonts w:hint="default" w:ascii="Times New Roman" w:hAnsi="Times New Roman" w:eastAsia="楷体_GB2312" w:cs="Times New Roman"/>
          <w:szCs w:val="32"/>
        </w:rPr>
        <w:t>28</w:t>
      </w:r>
      <w:r>
        <w:rPr>
          <w:rFonts w:hint="eastAsia" w:ascii="楷体_GB2312" w:hAnsi="Arial" w:eastAsia="楷体_GB2312" w:cs="Arial"/>
          <w:szCs w:val="32"/>
        </w:rPr>
        <w:t>日第十一届全国人民代表大会常务委员会第七次会议通过的《中华人民共和国刑法修正案（七）》、</w:t>
      </w:r>
      <w:r>
        <w:rPr>
          <w:rFonts w:hint="default" w:ascii="Times New Roman" w:hAnsi="Times New Roman" w:eastAsia="楷体_GB2312" w:cs="Times New Roman"/>
          <w:szCs w:val="32"/>
        </w:rPr>
        <w:t>2009</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27</w:t>
      </w:r>
      <w:r>
        <w:rPr>
          <w:rFonts w:hint="eastAsia" w:ascii="楷体_GB2312" w:hAnsi="Arial" w:eastAsia="楷体_GB2312" w:cs="Arial"/>
          <w:szCs w:val="32"/>
        </w:rPr>
        <w:t>日第十一届全国人民代表大会常务委员会第十次会议通过的《全国人民代表大会常务委员会关于修改部分法律的决定》、</w:t>
      </w:r>
      <w:r>
        <w:rPr>
          <w:rFonts w:hint="default" w:ascii="Times New Roman" w:hAnsi="Times New Roman" w:eastAsia="楷体_GB2312" w:cs="Times New Roman"/>
          <w:szCs w:val="32"/>
        </w:rPr>
        <w:t>2011</w:t>
      </w:r>
      <w:r>
        <w:rPr>
          <w:rFonts w:hint="eastAsia" w:ascii="楷体_GB2312" w:hAnsi="Arial" w:eastAsia="楷体_GB2312" w:cs="Arial"/>
          <w:szCs w:val="32"/>
        </w:rPr>
        <w:t>年</w:t>
      </w:r>
      <w:r>
        <w:rPr>
          <w:rFonts w:hint="default" w:ascii="Times New Roman" w:hAnsi="Times New Roman" w:eastAsia="楷体_GB2312" w:cs="Times New Roman"/>
          <w:szCs w:val="32"/>
        </w:rPr>
        <w:t>2</w:t>
      </w:r>
      <w:r>
        <w:rPr>
          <w:rFonts w:hint="eastAsia" w:ascii="楷体_GB2312" w:hAnsi="Arial" w:eastAsia="楷体_GB2312" w:cs="Arial"/>
          <w:szCs w:val="32"/>
        </w:rPr>
        <w:t>月</w:t>
      </w:r>
      <w:r>
        <w:rPr>
          <w:rFonts w:hint="default" w:ascii="Times New Roman" w:hAnsi="Times New Roman" w:eastAsia="楷体_GB2312" w:cs="Times New Roman"/>
          <w:szCs w:val="32"/>
        </w:rPr>
        <w:t>25</w:t>
      </w:r>
      <w:r>
        <w:rPr>
          <w:rFonts w:hint="eastAsia" w:ascii="楷体_GB2312" w:hAnsi="Arial" w:eastAsia="楷体_GB2312" w:cs="Arial"/>
          <w:szCs w:val="32"/>
        </w:rPr>
        <w:t>日第十一届全国人民代表大会常务委员会第十九次会议通过的《中华人民共和国刑法修正案（八）》、</w:t>
      </w:r>
      <w:r>
        <w:rPr>
          <w:rFonts w:hint="default" w:ascii="Times New Roman" w:hAnsi="Times New Roman" w:eastAsia="楷体_GB2312" w:cs="Times New Roman"/>
          <w:szCs w:val="32"/>
        </w:rPr>
        <w:t>2015</w:t>
      </w:r>
      <w:r>
        <w:rPr>
          <w:rFonts w:hint="eastAsia" w:ascii="楷体_GB2312" w:hAnsi="Arial" w:eastAsia="楷体_GB2312" w:cs="Arial"/>
          <w:szCs w:val="32"/>
        </w:rPr>
        <w:t>年</w:t>
      </w:r>
      <w:r>
        <w:rPr>
          <w:rFonts w:hint="default" w:ascii="Times New Roman" w:hAnsi="Times New Roman" w:eastAsia="楷体_GB2312" w:cs="Times New Roman"/>
          <w:szCs w:val="32"/>
        </w:rPr>
        <w:t>8</w:t>
      </w:r>
      <w:r>
        <w:rPr>
          <w:rFonts w:hint="eastAsia" w:ascii="楷体_GB2312" w:hAnsi="Arial" w:eastAsia="楷体_GB2312" w:cs="Arial"/>
          <w:szCs w:val="32"/>
        </w:rPr>
        <w:t>月</w:t>
      </w:r>
      <w:r>
        <w:rPr>
          <w:rFonts w:hint="default" w:ascii="Times New Roman" w:hAnsi="Times New Roman" w:eastAsia="楷体_GB2312" w:cs="Times New Roman"/>
          <w:szCs w:val="32"/>
        </w:rPr>
        <w:t>29</w:t>
      </w:r>
      <w:r>
        <w:rPr>
          <w:rFonts w:hint="eastAsia" w:ascii="楷体_GB2312" w:hAnsi="Arial" w:eastAsia="楷体_GB2312" w:cs="Arial"/>
          <w:szCs w:val="32"/>
        </w:rPr>
        <w:t>日第十二届全国人民代表大会常务委员会第十六次会议通过的《中华人民共和国刑法修正案（九）》、</w:t>
      </w:r>
      <w:r>
        <w:rPr>
          <w:rFonts w:hint="default" w:ascii="Times New Roman" w:hAnsi="Times New Roman" w:eastAsia="楷体_GB2312" w:cs="Times New Roman"/>
          <w:szCs w:val="32"/>
        </w:rPr>
        <w:t>2017</w:t>
      </w:r>
      <w:r>
        <w:rPr>
          <w:rFonts w:hint="eastAsia" w:ascii="楷体_GB2312" w:hAnsi="Arial" w:eastAsia="楷体_GB2312" w:cs="Arial"/>
          <w:szCs w:val="32"/>
        </w:rPr>
        <w:t>年</w:t>
      </w:r>
      <w:r>
        <w:rPr>
          <w:rFonts w:hint="default" w:ascii="Times New Roman" w:hAnsi="Times New Roman" w:eastAsia="楷体_GB2312" w:cs="Times New Roman"/>
          <w:szCs w:val="32"/>
        </w:rPr>
        <w:t>11</w:t>
      </w:r>
      <w:r>
        <w:rPr>
          <w:rFonts w:hint="eastAsia" w:ascii="楷体_GB2312" w:hAnsi="Arial" w:eastAsia="楷体_GB2312" w:cs="Arial"/>
          <w:szCs w:val="32"/>
        </w:rPr>
        <w:t>月</w:t>
      </w:r>
      <w:r>
        <w:rPr>
          <w:rFonts w:hint="default" w:ascii="Times New Roman" w:hAnsi="Times New Roman" w:eastAsia="楷体_GB2312" w:cs="Times New Roman"/>
          <w:szCs w:val="32"/>
        </w:rPr>
        <w:t>4</w:t>
      </w:r>
      <w:r>
        <w:rPr>
          <w:rFonts w:hint="eastAsia" w:ascii="楷体_GB2312" w:hAnsi="Arial" w:eastAsia="楷体_GB2312" w:cs="Arial"/>
          <w:szCs w:val="32"/>
        </w:rPr>
        <w:t>日第十二届全国人民代表大会常务委员会第三十次会议通过的《中华人民共和国刑法修正案（十）》和</w:t>
      </w:r>
      <w:r>
        <w:rPr>
          <w:rFonts w:hint="default" w:ascii="Times New Roman" w:hAnsi="Times New Roman" w:eastAsia="楷体_GB2312" w:cs="Times New Roman"/>
          <w:szCs w:val="32"/>
        </w:rPr>
        <w:t>2020</w:t>
      </w:r>
      <w:r>
        <w:rPr>
          <w:rFonts w:hint="eastAsia" w:ascii="楷体_GB2312" w:hAnsi="Arial" w:eastAsia="楷体_GB2312" w:cs="Arial"/>
          <w:szCs w:val="32"/>
        </w:rPr>
        <w:t>年</w:t>
      </w:r>
      <w:r>
        <w:rPr>
          <w:rFonts w:hint="default" w:ascii="Times New Roman" w:hAnsi="Times New Roman" w:eastAsia="楷体_GB2312" w:cs="Times New Roman"/>
          <w:szCs w:val="32"/>
        </w:rPr>
        <w:t>12</w:t>
      </w:r>
      <w:r>
        <w:rPr>
          <w:rFonts w:hint="eastAsia" w:ascii="楷体_GB2312" w:hAnsi="Arial" w:eastAsia="楷体_GB2312" w:cs="Arial"/>
          <w:szCs w:val="32"/>
        </w:rPr>
        <w:t>月</w:t>
      </w:r>
      <w:r>
        <w:rPr>
          <w:rFonts w:hint="default" w:ascii="Times New Roman" w:hAnsi="Times New Roman" w:eastAsia="楷体_GB2312" w:cs="Times New Roman"/>
          <w:szCs w:val="32"/>
        </w:rPr>
        <w:t>26</w:t>
      </w:r>
      <w:r>
        <w:rPr>
          <w:rFonts w:hint="eastAsia" w:ascii="楷体_GB2312" w:hAnsi="Arial" w:eastAsia="楷体_GB2312" w:cs="Arial"/>
          <w:szCs w:val="32"/>
        </w:rPr>
        <w:t>日第十三届全国人民代表大会常务委员会第二十四次会议通过的《中华人民共和国刑法修正案（十一）》修正）</w:t>
      </w:r>
      <w:r>
        <w:rPr>
          <w:rStyle w:val="28"/>
          <w:rFonts w:hint="eastAsia" w:ascii="楷体_GB2312" w:hAnsi="Arial" w:eastAsia="楷体_GB2312" w:cs="Arial"/>
          <w:szCs w:val="32"/>
        </w:rPr>
        <w:footnoteReference w:id="0"/>
      </w:r>
    </w:p>
    <w:p>
      <w:pPr>
        <w:spacing w:line="240" w:lineRule="auto"/>
        <w:ind w:firstLine="0"/>
        <w:jc w:val="both"/>
      </w:pPr>
    </w:p>
    <w:p>
      <w:pPr>
        <w:spacing w:line="240" w:lineRule="auto"/>
        <w:ind w:firstLine="0"/>
        <w:jc w:val="center"/>
      </w:pPr>
      <w:r>
        <w:rPr>
          <w:rFonts w:ascii="楷体_GB2312" w:hAnsi="楷体_GB2312" w:eastAsia="楷体_GB2312" w:cs="楷体_GB2312"/>
          <w:sz w:val="32"/>
        </w:rPr>
        <w:t>目　　录</w:t>
      </w:r>
    </w:p>
    <w:p>
      <w:pPr>
        <w:spacing w:line="240" w:lineRule="auto"/>
        <w:ind w:firstLine="640"/>
        <w:jc w:val="both"/>
      </w:pPr>
      <w:r>
        <w:rPr>
          <w:rFonts w:ascii="楷体_GB2312" w:hAnsi="楷体_GB2312" w:eastAsia="楷体_GB2312" w:cs="楷体_GB2312"/>
          <w:sz w:val="32"/>
        </w:rPr>
        <w:t>第一编　总则</w:t>
      </w:r>
    </w:p>
    <w:p>
      <w:pPr>
        <w:spacing w:line="240" w:lineRule="auto"/>
        <w:ind w:firstLine="1280" w:firstLineChars="400"/>
        <w:jc w:val="both"/>
      </w:pPr>
      <w:r>
        <w:rPr>
          <w:rFonts w:ascii="楷体_GB2312" w:hAnsi="楷体_GB2312" w:eastAsia="楷体_GB2312" w:cs="楷体_GB2312"/>
          <w:sz w:val="32"/>
        </w:rPr>
        <w:t>第一章　刑法的任务、基本原则和适用范围</w:t>
      </w:r>
    </w:p>
    <w:p>
      <w:pPr>
        <w:spacing w:line="240" w:lineRule="auto"/>
        <w:ind w:firstLine="1280" w:firstLineChars="400"/>
        <w:jc w:val="both"/>
      </w:pPr>
      <w:r>
        <w:rPr>
          <w:rFonts w:ascii="楷体_GB2312" w:hAnsi="楷体_GB2312" w:eastAsia="楷体_GB2312" w:cs="楷体_GB2312"/>
          <w:sz w:val="32"/>
        </w:rPr>
        <w:t>第二章　犯罪</w:t>
      </w:r>
    </w:p>
    <w:p>
      <w:pPr>
        <w:spacing w:line="240" w:lineRule="auto"/>
        <w:ind w:firstLine="1920" w:firstLineChars="600"/>
        <w:jc w:val="both"/>
      </w:pPr>
      <w:r>
        <w:rPr>
          <w:rFonts w:ascii="楷体_GB2312" w:hAnsi="楷体_GB2312" w:eastAsia="楷体_GB2312" w:cs="楷体_GB2312"/>
          <w:sz w:val="32"/>
        </w:rPr>
        <w:t>第一节　犯罪和刑事责任</w:t>
      </w:r>
    </w:p>
    <w:p>
      <w:pPr>
        <w:spacing w:line="240" w:lineRule="auto"/>
        <w:ind w:firstLine="1920" w:firstLineChars="600"/>
        <w:jc w:val="both"/>
      </w:pPr>
      <w:r>
        <w:rPr>
          <w:rFonts w:ascii="楷体_GB2312" w:hAnsi="楷体_GB2312" w:eastAsia="楷体_GB2312" w:cs="楷体_GB2312"/>
          <w:sz w:val="32"/>
        </w:rPr>
        <w:t>第二节　犯罪的预备、未遂和中止</w:t>
      </w:r>
    </w:p>
    <w:p>
      <w:pPr>
        <w:spacing w:line="240" w:lineRule="auto"/>
        <w:ind w:firstLine="1920" w:firstLineChars="600"/>
        <w:jc w:val="both"/>
      </w:pPr>
      <w:r>
        <w:rPr>
          <w:rFonts w:ascii="楷体_GB2312" w:hAnsi="楷体_GB2312" w:eastAsia="楷体_GB2312" w:cs="楷体_GB2312"/>
          <w:sz w:val="32"/>
        </w:rPr>
        <w:t>第三节　共同犯罪</w:t>
      </w:r>
    </w:p>
    <w:p>
      <w:pPr>
        <w:spacing w:line="240" w:lineRule="auto"/>
        <w:ind w:firstLine="1920" w:firstLineChars="600"/>
        <w:jc w:val="both"/>
      </w:pPr>
      <w:r>
        <w:rPr>
          <w:rFonts w:ascii="楷体_GB2312" w:hAnsi="楷体_GB2312" w:eastAsia="楷体_GB2312" w:cs="楷体_GB2312"/>
          <w:sz w:val="32"/>
        </w:rPr>
        <w:t>第四节　单位犯罪</w:t>
      </w:r>
    </w:p>
    <w:p>
      <w:pPr>
        <w:spacing w:line="240" w:lineRule="auto"/>
        <w:ind w:firstLine="1280" w:firstLineChars="400"/>
        <w:jc w:val="both"/>
      </w:pPr>
      <w:r>
        <w:rPr>
          <w:rFonts w:ascii="楷体_GB2312" w:hAnsi="楷体_GB2312" w:eastAsia="楷体_GB2312" w:cs="楷体_GB2312"/>
          <w:sz w:val="32"/>
        </w:rPr>
        <w:t>第三章　刑罚</w:t>
      </w:r>
    </w:p>
    <w:p>
      <w:pPr>
        <w:spacing w:line="240" w:lineRule="auto"/>
        <w:ind w:firstLine="1920" w:firstLineChars="600"/>
        <w:jc w:val="both"/>
      </w:pPr>
      <w:r>
        <w:rPr>
          <w:rFonts w:ascii="楷体_GB2312" w:hAnsi="楷体_GB2312" w:eastAsia="楷体_GB2312" w:cs="楷体_GB2312"/>
          <w:sz w:val="32"/>
        </w:rPr>
        <w:t>第一节　刑罚的种类</w:t>
      </w:r>
    </w:p>
    <w:p>
      <w:pPr>
        <w:spacing w:line="240" w:lineRule="auto"/>
        <w:ind w:firstLine="1920" w:firstLineChars="600"/>
        <w:jc w:val="both"/>
      </w:pPr>
      <w:r>
        <w:rPr>
          <w:rFonts w:ascii="楷体_GB2312" w:hAnsi="楷体_GB2312" w:eastAsia="楷体_GB2312" w:cs="楷体_GB2312"/>
          <w:sz w:val="32"/>
        </w:rPr>
        <w:t>第二节　管制</w:t>
      </w:r>
    </w:p>
    <w:p>
      <w:pPr>
        <w:spacing w:line="240" w:lineRule="auto"/>
        <w:ind w:firstLine="1920" w:firstLineChars="600"/>
        <w:jc w:val="both"/>
      </w:pPr>
      <w:r>
        <w:rPr>
          <w:rFonts w:ascii="楷体_GB2312" w:hAnsi="楷体_GB2312" w:eastAsia="楷体_GB2312" w:cs="楷体_GB2312"/>
          <w:sz w:val="32"/>
        </w:rPr>
        <w:t>第三节　拘役</w:t>
      </w:r>
    </w:p>
    <w:p>
      <w:pPr>
        <w:spacing w:line="240" w:lineRule="auto"/>
        <w:ind w:firstLine="1920" w:firstLineChars="600"/>
        <w:jc w:val="both"/>
      </w:pPr>
      <w:r>
        <w:rPr>
          <w:rFonts w:ascii="楷体_GB2312" w:hAnsi="楷体_GB2312" w:eastAsia="楷体_GB2312" w:cs="楷体_GB2312"/>
          <w:sz w:val="32"/>
        </w:rPr>
        <w:t>第四节　有期徒刑、无期徒刑</w:t>
      </w:r>
    </w:p>
    <w:p>
      <w:pPr>
        <w:spacing w:line="240" w:lineRule="auto"/>
        <w:ind w:firstLine="1920" w:firstLineChars="600"/>
        <w:jc w:val="both"/>
      </w:pPr>
      <w:r>
        <w:rPr>
          <w:rFonts w:ascii="楷体_GB2312" w:hAnsi="楷体_GB2312" w:eastAsia="楷体_GB2312" w:cs="楷体_GB2312"/>
          <w:sz w:val="32"/>
        </w:rPr>
        <w:t>第五节　死刑</w:t>
      </w:r>
    </w:p>
    <w:p>
      <w:pPr>
        <w:spacing w:line="240" w:lineRule="auto"/>
        <w:ind w:firstLine="1920" w:firstLineChars="600"/>
        <w:jc w:val="both"/>
      </w:pPr>
      <w:r>
        <w:rPr>
          <w:rFonts w:ascii="楷体_GB2312" w:hAnsi="楷体_GB2312" w:eastAsia="楷体_GB2312" w:cs="楷体_GB2312"/>
          <w:sz w:val="32"/>
        </w:rPr>
        <w:t>第六节　罚金</w:t>
      </w:r>
    </w:p>
    <w:p>
      <w:pPr>
        <w:spacing w:line="240" w:lineRule="auto"/>
        <w:ind w:firstLine="1920" w:firstLineChars="600"/>
        <w:jc w:val="both"/>
      </w:pPr>
      <w:r>
        <w:rPr>
          <w:rFonts w:ascii="楷体_GB2312" w:hAnsi="楷体_GB2312" w:eastAsia="楷体_GB2312" w:cs="楷体_GB2312"/>
          <w:sz w:val="32"/>
        </w:rPr>
        <w:t>第七节　剥夺政治权利</w:t>
      </w:r>
    </w:p>
    <w:p>
      <w:pPr>
        <w:spacing w:line="240" w:lineRule="auto"/>
        <w:ind w:firstLine="1920" w:firstLineChars="600"/>
        <w:jc w:val="both"/>
      </w:pPr>
      <w:r>
        <w:rPr>
          <w:rFonts w:ascii="楷体_GB2312" w:hAnsi="楷体_GB2312" w:eastAsia="楷体_GB2312" w:cs="楷体_GB2312"/>
          <w:sz w:val="32"/>
        </w:rPr>
        <w:t>第八节　没收财产</w:t>
      </w:r>
    </w:p>
    <w:p>
      <w:pPr>
        <w:spacing w:line="240" w:lineRule="auto"/>
        <w:ind w:firstLine="1280" w:firstLineChars="400"/>
        <w:jc w:val="both"/>
      </w:pPr>
      <w:r>
        <w:rPr>
          <w:rFonts w:ascii="楷体_GB2312" w:hAnsi="楷体_GB2312" w:eastAsia="楷体_GB2312" w:cs="楷体_GB2312"/>
          <w:sz w:val="32"/>
        </w:rPr>
        <w:t>第四章　刑罚的具体运用</w:t>
      </w:r>
    </w:p>
    <w:p>
      <w:pPr>
        <w:spacing w:line="240" w:lineRule="auto"/>
        <w:ind w:firstLine="1920" w:firstLineChars="600"/>
        <w:jc w:val="both"/>
      </w:pPr>
      <w:r>
        <w:rPr>
          <w:rFonts w:ascii="楷体_GB2312" w:hAnsi="楷体_GB2312" w:eastAsia="楷体_GB2312" w:cs="楷体_GB2312"/>
          <w:sz w:val="32"/>
        </w:rPr>
        <w:t>第一节　量刑</w:t>
      </w:r>
    </w:p>
    <w:p>
      <w:pPr>
        <w:spacing w:line="240" w:lineRule="auto"/>
        <w:ind w:firstLine="1920" w:firstLineChars="600"/>
        <w:jc w:val="both"/>
      </w:pPr>
      <w:r>
        <w:rPr>
          <w:rFonts w:ascii="楷体_GB2312" w:hAnsi="楷体_GB2312" w:eastAsia="楷体_GB2312" w:cs="楷体_GB2312"/>
          <w:sz w:val="32"/>
        </w:rPr>
        <w:t>第二节　累犯</w:t>
      </w:r>
    </w:p>
    <w:p>
      <w:pPr>
        <w:spacing w:line="240" w:lineRule="auto"/>
        <w:ind w:firstLine="1920" w:firstLineChars="600"/>
        <w:jc w:val="both"/>
      </w:pPr>
      <w:r>
        <w:rPr>
          <w:rFonts w:ascii="楷体_GB2312" w:hAnsi="楷体_GB2312" w:eastAsia="楷体_GB2312" w:cs="楷体_GB2312"/>
          <w:sz w:val="32"/>
        </w:rPr>
        <w:t>第三节　自首和立功</w:t>
      </w:r>
    </w:p>
    <w:p>
      <w:pPr>
        <w:spacing w:line="240" w:lineRule="auto"/>
        <w:ind w:firstLine="1920" w:firstLineChars="600"/>
        <w:jc w:val="both"/>
      </w:pPr>
      <w:r>
        <w:rPr>
          <w:rFonts w:ascii="楷体_GB2312" w:hAnsi="楷体_GB2312" w:eastAsia="楷体_GB2312" w:cs="楷体_GB2312"/>
          <w:sz w:val="32"/>
        </w:rPr>
        <w:t>第四节　数罪并罚</w:t>
      </w:r>
    </w:p>
    <w:p>
      <w:pPr>
        <w:spacing w:line="240" w:lineRule="auto"/>
        <w:ind w:firstLine="1920" w:firstLineChars="600"/>
        <w:jc w:val="both"/>
      </w:pPr>
      <w:r>
        <w:rPr>
          <w:rFonts w:ascii="楷体_GB2312" w:hAnsi="楷体_GB2312" w:eastAsia="楷体_GB2312" w:cs="楷体_GB2312"/>
          <w:sz w:val="32"/>
        </w:rPr>
        <w:t>第五节　缓刑</w:t>
      </w:r>
    </w:p>
    <w:p>
      <w:pPr>
        <w:spacing w:line="240" w:lineRule="auto"/>
        <w:ind w:firstLine="1920" w:firstLineChars="600"/>
        <w:jc w:val="both"/>
      </w:pPr>
      <w:r>
        <w:rPr>
          <w:rFonts w:ascii="楷体_GB2312" w:hAnsi="楷体_GB2312" w:eastAsia="楷体_GB2312" w:cs="楷体_GB2312"/>
          <w:sz w:val="32"/>
        </w:rPr>
        <w:t>第六节　减刑</w:t>
      </w:r>
    </w:p>
    <w:p>
      <w:pPr>
        <w:spacing w:line="240" w:lineRule="auto"/>
        <w:ind w:firstLine="1920" w:firstLineChars="600"/>
        <w:jc w:val="both"/>
      </w:pPr>
      <w:r>
        <w:rPr>
          <w:rFonts w:ascii="楷体_GB2312" w:hAnsi="楷体_GB2312" w:eastAsia="楷体_GB2312" w:cs="楷体_GB2312"/>
          <w:sz w:val="32"/>
        </w:rPr>
        <w:t>第七节　假释</w:t>
      </w:r>
    </w:p>
    <w:p>
      <w:pPr>
        <w:spacing w:line="240" w:lineRule="auto"/>
        <w:ind w:firstLine="1920" w:firstLineChars="600"/>
        <w:jc w:val="both"/>
      </w:pPr>
      <w:r>
        <w:rPr>
          <w:rFonts w:ascii="楷体_GB2312" w:hAnsi="楷体_GB2312" w:eastAsia="楷体_GB2312" w:cs="楷体_GB2312"/>
          <w:sz w:val="32"/>
        </w:rPr>
        <w:t>第八节　时效</w:t>
      </w:r>
    </w:p>
    <w:p>
      <w:pPr>
        <w:spacing w:line="240" w:lineRule="auto"/>
        <w:ind w:firstLine="1280" w:firstLineChars="400"/>
        <w:jc w:val="both"/>
      </w:pPr>
      <w:r>
        <w:rPr>
          <w:rFonts w:ascii="楷体_GB2312" w:hAnsi="楷体_GB2312" w:eastAsia="楷体_GB2312" w:cs="楷体_GB2312"/>
          <w:sz w:val="32"/>
        </w:rPr>
        <w:t>第五章　其他规定</w:t>
      </w:r>
    </w:p>
    <w:p>
      <w:pPr>
        <w:spacing w:line="240" w:lineRule="auto"/>
        <w:ind w:firstLine="640"/>
        <w:jc w:val="both"/>
      </w:pPr>
      <w:r>
        <w:rPr>
          <w:rFonts w:ascii="楷体_GB2312" w:hAnsi="楷体_GB2312" w:eastAsia="楷体_GB2312" w:cs="楷体_GB2312"/>
          <w:sz w:val="32"/>
        </w:rPr>
        <w:t>第二编　分则</w:t>
      </w:r>
    </w:p>
    <w:p>
      <w:pPr>
        <w:spacing w:line="240" w:lineRule="auto"/>
        <w:ind w:firstLine="1280" w:firstLineChars="400"/>
        <w:jc w:val="both"/>
      </w:pPr>
      <w:r>
        <w:rPr>
          <w:rFonts w:ascii="楷体_GB2312" w:hAnsi="楷体_GB2312" w:eastAsia="楷体_GB2312" w:cs="楷体_GB2312"/>
          <w:sz w:val="32"/>
        </w:rPr>
        <w:t>第一章　危害国家安全罪</w:t>
      </w:r>
    </w:p>
    <w:p>
      <w:pPr>
        <w:spacing w:line="240" w:lineRule="auto"/>
        <w:ind w:firstLine="1280" w:firstLineChars="400"/>
        <w:jc w:val="both"/>
      </w:pPr>
      <w:r>
        <w:rPr>
          <w:rFonts w:ascii="楷体_GB2312" w:hAnsi="楷体_GB2312" w:eastAsia="楷体_GB2312" w:cs="楷体_GB2312"/>
          <w:sz w:val="32"/>
        </w:rPr>
        <w:t>第二章　危害公共安全罪</w:t>
      </w:r>
    </w:p>
    <w:p>
      <w:pPr>
        <w:spacing w:line="240" w:lineRule="auto"/>
        <w:ind w:firstLine="1280" w:firstLineChars="400"/>
        <w:jc w:val="both"/>
      </w:pPr>
      <w:r>
        <w:rPr>
          <w:rFonts w:ascii="楷体_GB2312" w:hAnsi="楷体_GB2312" w:eastAsia="楷体_GB2312" w:cs="楷体_GB2312"/>
          <w:sz w:val="32"/>
        </w:rPr>
        <w:t>第三章　破坏社会主义市场经济秩序罪</w:t>
      </w:r>
    </w:p>
    <w:p>
      <w:pPr>
        <w:spacing w:line="240" w:lineRule="auto"/>
        <w:ind w:firstLine="1920" w:firstLineChars="600"/>
        <w:jc w:val="both"/>
      </w:pPr>
      <w:r>
        <w:rPr>
          <w:rFonts w:ascii="楷体_GB2312" w:hAnsi="楷体_GB2312" w:eastAsia="楷体_GB2312" w:cs="楷体_GB2312"/>
          <w:sz w:val="32"/>
        </w:rPr>
        <w:t>第一节　生产、销售伪劣商品罪</w:t>
      </w:r>
    </w:p>
    <w:p>
      <w:pPr>
        <w:spacing w:line="240" w:lineRule="auto"/>
        <w:ind w:firstLine="1920" w:firstLineChars="600"/>
        <w:jc w:val="both"/>
      </w:pPr>
      <w:r>
        <w:rPr>
          <w:rFonts w:ascii="楷体_GB2312" w:hAnsi="楷体_GB2312" w:eastAsia="楷体_GB2312" w:cs="楷体_GB2312"/>
          <w:sz w:val="32"/>
        </w:rPr>
        <w:t>第二节　走私罪</w:t>
      </w:r>
    </w:p>
    <w:p>
      <w:pPr>
        <w:spacing w:line="240" w:lineRule="auto"/>
        <w:ind w:firstLine="1920" w:firstLineChars="600"/>
        <w:jc w:val="both"/>
      </w:pPr>
      <w:r>
        <w:rPr>
          <w:rFonts w:ascii="楷体_GB2312" w:hAnsi="楷体_GB2312" w:eastAsia="楷体_GB2312" w:cs="楷体_GB2312"/>
          <w:sz w:val="32"/>
        </w:rPr>
        <w:t>第三节　妨害对公司、企业的管理秩序罪</w:t>
      </w:r>
    </w:p>
    <w:p>
      <w:pPr>
        <w:spacing w:line="240" w:lineRule="auto"/>
        <w:ind w:firstLine="1920" w:firstLineChars="600"/>
        <w:jc w:val="both"/>
      </w:pPr>
      <w:r>
        <w:rPr>
          <w:rFonts w:ascii="楷体_GB2312" w:hAnsi="楷体_GB2312" w:eastAsia="楷体_GB2312" w:cs="楷体_GB2312"/>
          <w:sz w:val="32"/>
        </w:rPr>
        <w:t>第四节　破坏金融管理秩序罪</w:t>
      </w:r>
    </w:p>
    <w:p>
      <w:pPr>
        <w:spacing w:line="240" w:lineRule="auto"/>
        <w:ind w:firstLine="1920" w:firstLineChars="600"/>
        <w:jc w:val="both"/>
      </w:pPr>
      <w:r>
        <w:rPr>
          <w:rFonts w:ascii="楷体_GB2312" w:hAnsi="楷体_GB2312" w:eastAsia="楷体_GB2312" w:cs="楷体_GB2312"/>
          <w:sz w:val="32"/>
        </w:rPr>
        <w:t>第五节　金融诈骗罪</w:t>
      </w:r>
    </w:p>
    <w:p>
      <w:pPr>
        <w:spacing w:line="240" w:lineRule="auto"/>
        <w:ind w:firstLine="1920" w:firstLineChars="600"/>
        <w:jc w:val="both"/>
      </w:pPr>
      <w:r>
        <w:rPr>
          <w:rFonts w:ascii="楷体_GB2312" w:hAnsi="楷体_GB2312" w:eastAsia="楷体_GB2312" w:cs="楷体_GB2312"/>
          <w:sz w:val="32"/>
        </w:rPr>
        <w:t>第六节　危害税收征管罪</w:t>
      </w:r>
    </w:p>
    <w:p>
      <w:pPr>
        <w:spacing w:line="240" w:lineRule="auto"/>
        <w:ind w:firstLine="1920" w:firstLineChars="600"/>
        <w:jc w:val="both"/>
      </w:pPr>
      <w:r>
        <w:rPr>
          <w:rFonts w:ascii="楷体_GB2312" w:hAnsi="楷体_GB2312" w:eastAsia="楷体_GB2312" w:cs="楷体_GB2312"/>
          <w:sz w:val="32"/>
        </w:rPr>
        <w:t>第七节　侵犯知识产权罪</w:t>
      </w:r>
    </w:p>
    <w:p>
      <w:pPr>
        <w:spacing w:line="240" w:lineRule="auto"/>
        <w:ind w:firstLine="1920" w:firstLineChars="600"/>
        <w:jc w:val="both"/>
      </w:pPr>
      <w:r>
        <w:rPr>
          <w:rFonts w:ascii="楷体_GB2312" w:hAnsi="楷体_GB2312" w:eastAsia="楷体_GB2312" w:cs="楷体_GB2312"/>
          <w:sz w:val="32"/>
        </w:rPr>
        <w:t>第八节　扰乱市场秩序罪</w:t>
      </w:r>
    </w:p>
    <w:p>
      <w:pPr>
        <w:spacing w:line="240" w:lineRule="auto"/>
        <w:ind w:firstLine="1280" w:firstLineChars="400"/>
        <w:jc w:val="both"/>
      </w:pPr>
      <w:r>
        <w:rPr>
          <w:rFonts w:ascii="楷体_GB2312" w:hAnsi="楷体_GB2312" w:eastAsia="楷体_GB2312" w:cs="楷体_GB2312"/>
          <w:sz w:val="32"/>
        </w:rPr>
        <w:t>第四章　侵犯公民人身权利、民主权利罪</w:t>
      </w:r>
    </w:p>
    <w:p>
      <w:pPr>
        <w:spacing w:line="240" w:lineRule="auto"/>
        <w:ind w:firstLine="1280" w:firstLineChars="400"/>
        <w:jc w:val="both"/>
      </w:pPr>
      <w:r>
        <w:rPr>
          <w:rFonts w:ascii="楷体_GB2312" w:hAnsi="楷体_GB2312" w:eastAsia="楷体_GB2312" w:cs="楷体_GB2312"/>
          <w:sz w:val="32"/>
        </w:rPr>
        <w:t>第五章　侵犯财产罪</w:t>
      </w:r>
    </w:p>
    <w:p>
      <w:pPr>
        <w:spacing w:line="240" w:lineRule="auto"/>
        <w:ind w:firstLine="1280" w:firstLineChars="400"/>
        <w:jc w:val="both"/>
      </w:pPr>
      <w:r>
        <w:rPr>
          <w:rFonts w:ascii="楷体_GB2312" w:hAnsi="楷体_GB2312" w:eastAsia="楷体_GB2312" w:cs="楷体_GB2312"/>
          <w:sz w:val="32"/>
        </w:rPr>
        <w:t>第六章　妨害社会管理秩序罪</w:t>
      </w:r>
    </w:p>
    <w:p>
      <w:pPr>
        <w:spacing w:line="240" w:lineRule="auto"/>
        <w:ind w:firstLine="1920" w:firstLineChars="600"/>
        <w:jc w:val="both"/>
      </w:pPr>
      <w:r>
        <w:rPr>
          <w:rFonts w:ascii="楷体_GB2312" w:hAnsi="楷体_GB2312" w:eastAsia="楷体_GB2312" w:cs="楷体_GB2312"/>
          <w:sz w:val="32"/>
        </w:rPr>
        <w:t>第一节　扰乱公共秩序罪</w:t>
      </w:r>
    </w:p>
    <w:p>
      <w:pPr>
        <w:spacing w:line="240" w:lineRule="auto"/>
        <w:ind w:firstLine="1920" w:firstLineChars="600"/>
        <w:jc w:val="both"/>
      </w:pPr>
      <w:r>
        <w:rPr>
          <w:rFonts w:ascii="楷体_GB2312" w:hAnsi="楷体_GB2312" w:eastAsia="楷体_GB2312" w:cs="楷体_GB2312"/>
          <w:sz w:val="32"/>
        </w:rPr>
        <w:t>第二节　妨害司法罪</w:t>
      </w:r>
    </w:p>
    <w:p>
      <w:pPr>
        <w:spacing w:line="240" w:lineRule="auto"/>
        <w:ind w:firstLine="1920" w:firstLineChars="600"/>
        <w:jc w:val="both"/>
      </w:pPr>
      <w:r>
        <w:rPr>
          <w:rFonts w:ascii="楷体_GB2312" w:hAnsi="楷体_GB2312" w:eastAsia="楷体_GB2312" w:cs="楷体_GB2312"/>
          <w:sz w:val="32"/>
        </w:rPr>
        <w:t>第三节　妨害国（边）境管理罪</w:t>
      </w:r>
    </w:p>
    <w:p>
      <w:pPr>
        <w:spacing w:line="240" w:lineRule="auto"/>
        <w:ind w:firstLine="1920" w:firstLineChars="600"/>
        <w:jc w:val="both"/>
      </w:pPr>
      <w:r>
        <w:rPr>
          <w:rFonts w:ascii="楷体_GB2312" w:hAnsi="楷体_GB2312" w:eastAsia="楷体_GB2312" w:cs="楷体_GB2312"/>
          <w:sz w:val="32"/>
        </w:rPr>
        <w:t>第四节　妨害文物管理罪</w:t>
      </w:r>
    </w:p>
    <w:p>
      <w:pPr>
        <w:spacing w:line="240" w:lineRule="auto"/>
        <w:ind w:firstLine="1920" w:firstLineChars="600"/>
        <w:jc w:val="both"/>
      </w:pPr>
      <w:r>
        <w:rPr>
          <w:rFonts w:ascii="楷体_GB2312" w:hAnsi="楷体_GB2312" w:eastAsia="楷体_GB2312" w:cs="楷体_GB2312"/>
          <w:sz w:val="32"/>
        </w:rPr>
        <w:t>第五节　危害公共卫生罪</w:t>
      </w:r>
    </w:p>
    <w:p>
      <w:pPr>
        <w:spacing w:line="240" w:lineRule="auto"/>
        <w:ind w:firstLine="1920" w:firstLineChars="600"/>
        <w:jc w:val="both"/>
      </w:pPr>
      <w:r>
        <w:rPr>
          <w:rFonts w:ascii="楷体_GB2312" w:hAnsi="楷体_GB2312" w:eastAsia="楷体_GB2312" w:cs="楷体_GB2312"/>
          <w:sz w:val="32"/>
        </w:rPr>
        <w:t>第六节　破坏环境资源保护罪</w:t>
      </w:r>
    </w:p>
    <w:p>
      <w:pPr>
        <w:spacing w:line="240" w:lineRule="auto"/>
        <w:ind w:firstLine="1920" w:firstLineChars="600"/>
        <w:jc w:val="both"/>
      </w:pPr>
      <w:r>
        <w:rPr>
          <w:rFonts w:ascii="楷体_GB2312" w:hAnsi="楷体_GB2312" w:eastAsia="楷体_GB2312" w:cs="楷体_GB2312"/>
          <w:sz w:val="32"/>
        </w:rPr>
        <w:t>第七节　走私、贩卖、运输、制造毒品罪</w:t>
      </w:r>
    </w:p>
    <w:p>
      <w:pPr>
        <w:spacing w:line="240" w:lineRule="auto"/>
        <w:ind w:firstLine="1920" w:firstLineChars="600"/>
        <w:jc w:val="both"/>
      </w:pPr>
      <w:r>
        <w:rPr>
          <w:rFonts w:ascii="楷体_GB2312" w:hAnsi="楷体_GB2312" w:eastAsia="楷体_GB2312" w:cs="楷体_GB2312"/>
          <w:sz w:val="32"/>
        </w:rPr>
        <w:t>第八节　组织、强迫、引诱、容留、介绍卖淫罪</w:t>
      </w:r>
    </w:p>
    <w:p>
      <w:pPr>
        <w:spacing w:line="240" w:lineRule="auto"/>
        <w:ind w:firstLine="1920" w:firstLineChars="600"/>
        <w:jc w:val="both"/>
      </w:pPr>
      <w:r>
        <w:rPr>
          <w:rFonts w:ascii="楷体_GB2312" w:hAnsi="楷体_GB2312" w:eastAsia="楷体_GB2312" w:cs="楷体_GB2312"/>
          <w:sz w:val="32"/>
        </w:rPr>
        <w:t>第九节　制作、贩卖、传播淫秽物品罪</w:t>
      </w:r>
    </w:p>
    <w:p>
      <w:pPr>
        <w:spacing w:line="240" w:lineRule="auto"/>
        <w:ind w:firstLine="1280" w:firstLineChars="400"/>
        <w:jc w:val="both"/>
      </w:pPr>
      <w:r>
        <w:rPr>
          <w:rFonts w:ascii="楷体_GB2312" w:hAnsi="楷体_GB2312" w:eastAsia="楷体_GB2312" w:cs="楷体_GB2312"/>
          <w:sz w:val="32"/>
        </w:rPr>
        <w:t>第七章　危害国防利益罪</w:t>
      </w:r>
    </w:p>
    <w:p>
      <w:pPr>
        <w:spacing w:line="240" w:lineRule="auto"/>
        <w:ind w:firstLine="1280" w:firstLineChars="400"/>
        <w:jc w:val="both"/>
      </w:pPr>
      <w:r>
        <w:rPr>
          <w:rFonts w:ascii="楷体_GB2312" w:hAnsi="楷体_GB2312" w:eastAsia="楷体_GB2312" w:cs="楷体_GB2312"/>
          <w:sz w:val="32"/>
        </w:rPr>
        <w:t>第八章　贪污贿赂罪</w:t>
      </w:r>
    </w:p>
    <w:p>
      <w:pPr>
        <w:spacing w:line="240" w:lineRule="auto"/>
        <w:ind w:firstLine="1280" w:firstLineChars="400"/>
        <w:jc w:val="both"/>
      </w:pPr>
      <w:r>
        <w:rPr>
          <w:rFonts w:ascii="楷体_GB2312" w:hAnsi="楷体_GB2312" w:eastAsia="楷体_GB2312" w:cs="楷体_GB2312"/>
          <w:sz w:val="32"/>
        </w:rPr>
        <w:t>第九章　渎职罪</w:t>
      </w:r>
    </w:p>
    <w:p>
      <w:pPr>
        <w:spacing w:line="240" w:lineRule="auto"/>
        <w:ind w:firstLine="1280" w:firstLineChars="400"/>
        <w:jc w:val="both"/>
      </w:pPr>
      <w:r>
        <w:rPr>
          <w:rFonts w:ascii="楷体_GB2312" w:hAnsi="楷体_GB2312" w:eastAsia="楷体_GB2312" w:cs="楷体_GB2312"/>
          <w:sz w:val="32"/>
        </w:rPr>
        <w:t>第十章　军人违反职责罪</w:t>
      </w:r>
    </w:p>
    <w:p>
      <w:pPr>
        <w:spacing w:line="240" w:lineRule="auto"/>
        <w:ind w:left="0" w:leftChars="0" w:firstLine="640" w:firstLineChars="0"/>
        <w:jc w:val="both"/>
      </w:pPr>
      <w:r>
        <w:rPr>
          <w:rFonts w:ascii="楷体_GB2312" w:hAnsi="楷体_GB2312" w:eastAsia="楷体_GB2312" w:cs="楷体_GB2312"/>
          <w:sz w:val="32"/>
        </w:rPr>
        <w:t>附则</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第一编　总则</w:t>
      </w:r>
    </w:p>
    <w:p>
      <w:pPr>
        <w:spacing w:line="240" w:lineRule="auto"/>
        <w:ind w:firstLine="0"/>
        <w:jc w:val="center"/>
      </w:pPr>
    </w:p>
    <w:p>
      <w:pPr>
        <w:spacing w:line="240" w:lineRule="auto"/>
        <w:ind w:firstLine="0"/>
        <w:jc w:val="center"/>
      </w:pPr>
      <w:r>
        <w:rPr>
          <w:rFonts w:ascii="黑体" w:hAnsi="黑体" w:eastAsia="黑体" w:cs="黑体"/>
          <w:sz w:val="32"/>
        </w:rPr>
        <w:t>第一章　刑法的任务、基本原则和适用范围</w:t>
      </w:r>
    </w:p>
    <w:p>
      <w:pPr>
        <w:spacing w:line="240" w:lineRule="auto"/>
        <w:ind w:firstLine="0"/>
        <w:jc w:val="center"/>
      </w:pPr>
    </w:p>
    <w:p>
      <w:pPr>
        <w:spacing w:line="240" w:lineRule="auto"/>
        <w:ind w:firstLine="640"/>
        <w:jc w:val="both"/>
      </w:pPr>
      <w:r>
        <w:rPr>
          <w:rFonts w:ascii="黑体" w:hAnsi="黑体" w:eastAsia="黑体" w:cs="黑体"/>
          <w:sz w:val="32"/>
        </w:rPr>
        <w:t>第一条</w:t>
      </w:r>
      <w:r>
        <w:rPr>
          <w:rFonts w:ascii="仿宋_GB2312" w:hAnsi="仿宋_GB2312" w:eastAsia="仿宋_GB2312" w:cs="仿宋_GB2312"/>
          <w:sz w:val="32"/>
        </w:rPr>
        <w:t>　为了惩罚犯罪，保护人民，根据宪法，结合我国同犯罪作斗争的具体经验及实际情况，制定本法。</w:t>
      </w:r>
    </w:p>
    <w:p>
      <w:pPr>
        <w:spacing w:line="240" w:lineRule="auto"/>
        <w:ind w:firstLine="640"/>
        <w:jc w:val="both"/>
      </w:pPr>
      <w:r>
        <w:rPr>
          <w:rFonts w:ascii="黑体" w:hAnsi="黑体" w:eastAsia="黑体" w:cs="黑体"/>
          <w:sz w:val="32"/>
        </w:rPr>
        <w:t>第二条</w:t>
      </w:r>
      <w:r>
        <w:rPr>
          <w:rFonts w:ascii="仿宋_GB2312" w:hAnsi="仿宋_GB2312" w:eastAsia="仿宋_GB2312" w:cs="仿宋_GB2312"/>
          <w:sz w:val="32"/>
        </w:rPr>
        <w:t>　中华人民共和国刑法的任务，是用刑罚同一切犯罪行为作斗争，以保卫国家安全，保卫人民民主专政的政权和社会主义制度，保护国有财产和劳动群众集体所有的财产，保护公民私人所有的财产，保护公民的人身权利、民主权利和其他权利，维护社会秩序、经济秩序，保障社会主义建设事业的顺利进行。</w:t>
      </w:r>
    </w:p>
    <w:p>
      <w:pPr>
        <w:spacing w:line="240" w:lineRule="auto"/>
        <w:ind w:firstLine="640"/>
        <w:jc w:val="both"/>
      </w:pPr>
      <w:r>
        <w:rPr>
          <w:rFonts w:ascii="黑体" w:hAnsi="黑体" w:eastAsia="黑体" w:cs="黑体"/>
          <w:sz w:val="32"/>
        </w:rPr>
        <w:t>第三条</w:t>
      </w:r>
      <w:r>
        <w:rPr>
          <w:rFonts w:ascii="仿宋_GB2312" w:hAnsi="仿宋_GB2312" w:eastAsia="仿宋_GB2312" w:cs="仿宋_GB2312"/>
          <w:sz w:val="32"/>
        </w:rPr>
        <w:t>　法律明文规定为犯罪行为的，依照法律定罪处刑；法律没有明文规定为犯罪行为的，不得定罪处刑。</w:t>
      </w:r>
    </w:p>
    <w:p>
      <w:pPr>
        <w:spacing w:line="240" w:lineRule="auto"/>
        <w:ind w:firstLine="640"/>
        <w:jc w:val="both"/>
      </w:pPr>
      <w:r>
        <w:rPr>
          <w:rFonts w:ascii="黑体" w:hAnsi="黑体" w:eastAsia="黑体" w:cs="黑体"/>
          <w:sz w:val="32"/>
        </w:rPr>
        <w:t>第四条</w:t>
      </w:r>
      <w:r>
        <w:rPr>
          <w:rFonts w:ascii="仿宋_GB2312" w:hAnsi="仿宋_GB2312" w:eastAsia="仿宋_GB2312" w:cs="仿宋_GB2312"/>
          <w:sz w:val="32"/>
        </w:rPr>
        <w:t>　对任何人犯罪，在适用法律上一律平等。不允许任何人有超越法律的特权。</w:t>
      </w:r>
    </w:p>
    <w:p>
      <w:pPr>
        <w:spacing w:line="240" w:lineRule="auto"/>
        <w:ind w:firstLine="640"/>
        <w:jc w:val="both"/>
      </w:pPr>
      <w:r>
        <w:rPr>
          <w:rFonts w:ascii="黑体" w:hAnsi="黑体" w:eastAsia="黑体" w:cs="黑体"/>
          <w:sz w:val="32"/>
        </w:rPr>
        <w:t>第五条</w:t>
      </w:r>
      <w:r>
        <w:rPr>
          <w:rFonts w:ascii="仿宋_GB2312" w:hAnsi="仿宋_GB2312" w:eastAsia="仿宋_GB2312" w:cs="仿宋_GB2312"/>
          <w:sz w:val="32"/>
        </w:rPr>
        <w:t>　刑罚的轻重，应当与犯罪分子所犯罪行和承担的刑事责任相适应。</w:t>
      </w:r>
    </w:p>
    <w:p>
      <w:pPr>
        <w:spacing w:line="240" w:lineRule="auto"/>
        <w:ind w:firstLine="640"/>
        <w:jc w:val="both"/>
      </w:pPr>
      <w:r>
        <w:rPr>
          <w:rFonts w:ascii="黑体" w:hAnsi="黑体" w:eastAsia="黑体" w:cs="黑体"/>
          <w:sz w:val="32"/>
        </w:rPr>
        <w:t>第六条</w:t>
      </w:r>
      <w:r>
        <w:rPr>
          <w:rFonts w:ascii="仿宋_GB2312" w:hAnsi="仿宋_GB2312" w:eastAsia="仿宋_GB2312" w:cs="仿宋_GB2312"/>
          <w:sz w:val="32"/>
        </w:rPr>
        <w:t>　凡在中华人民共和国领域内犯罪的，除法律有特别规定的以外，都适用本法。</w:t>
      </w:r>
    </w:p>
    <w:p>
      <w:pPr>
        <w:spacing w:line="240" w:lineRule="auto"/>
        <w:ind w:firstLine="640"/>
        <w:jc w:val="both"/>
      </w:pPr>
      <w:r>
        <w:rPr>
          <w:rFonts w:ascii="仿宋_GB2312" w:hAnsi="仿宋_GB2312" w:eastAsia="仿宋_GB2312" w:cs="仿宋_GB2312"/>
          <w:sz w:val="32"/>
        </w:rPr>
        <w:t>凡在中华人民共和国船舶或者航空器内犯罪的，也适用本法。</w:t>
      </w:r>
    </w:p>
    <w:p>
      <w:pPr>
        <w:spacing w:line="240" w:lineRule="auto"/>
        <w:ind w:firstLine="640"/>
        <w:jc w:val="both"/>
      </w:pPr>
      <w:r>
        <w:rPr>
          <w:rFonts w:ascii="仿宋_GB2312" w:hAnsi="仿宋_GB2312" w:eastAsia="仿宋_GB2312" w:cs="仿宋_GB2312"/>
          <w:sz w:val="32"/>
        </w:rPr>
        <w:t>犯罪的行为或者结果有一项发生在中华人民共和国领域内的，就认为是在中华人民共和国领域内犯罪。</w:t>
      </w:r>
    </w:p>
    <w:p>
      <w:pPr>
        <w:spacing w:line="240" w:lineRule="auto"/>
        <w:ind w:firstLine="640"/>
        <w:jc w:val="both"/>
      </w:pPr>
      <w:r>
        <w:rPr>
          <w:rFonts w:ascii="黑体" w:hAnsi="黑体" w:eastAsia="黑体" w:cs="黑体"/>
          <w:sz w:val="32"/>
        </w:rPr>
        <w:t>第七条</w:t>
      </w:r>
      <w:r>
        <w:rPr>
          <w:rFonts w:ascii="仿宋_GB2312" w:hAnsi="仿宋_GB2312" w:eastAsia="仿宋_GB2312" w:cs="仿宋_GB2312"/>
          <w:sz w:val="32"/>
        </w:rPr>
        <w:t>　中华人民共和国公民在中华人民共和国领域外犯本法规定之罪的，适用本法，但是按本法规定的最高刑为三年以下有期徒刑的，可以不予追究。</w:t>
      </w:r>
    </w:p>
    <w:p>
      <w:pPr>
        <w:spacing w:line="240" w:lineRule="auto"/>
        <w:ind w:firstLine="640"/>
        <w:jc w:val="both"/>
      </w:pPr>
      <w:r>
        <w:rPr>
          <w:rFonts w:ascii="仿宋_GB2312" w:hAnsi="仿宋_GB2312" w:eastAsia="仿宋_GB2312" w:cs="仿宋_GB2312"/>
          <w:sz w:val="32"/>
        </w:rPr>
        <w:t>中华人民共和国国家工作人员和军人在中华人民共和国领域外犯本法规定之罪的，适用本法。</w:t>
      </w:r>
    </w:p>
    <w:p>
      <w:pPr>
        <w:spacing w:line="240" w:lineRule="auto"/>
        <w:ind w:firstLine="640"/>
        <w:jc w:val="both"/>
      </w:pPr>
      <w:r>
        <w:rPr>
          <w:rFonts w:ascii="黑体" w:hAnsi="黑体" w:eastAsia="黑体" w:cs="黑体"/>
          <w:sz w:val="32"/>
        </w:rPr>
        <w:t>第八条</w:t>
      </w:r>
      <w:r>
        <w:rPr>
          <w:rFonts w:ascii="仿宋_GB2312" w:hAnsi="仿宋_GB2312" w:eastAsia="仿宋_GB2312" w:cs="仿宋_GB2312"/>
          <w:sz w:val="32"/>
        </w:rPr>
        <w:t>　外国人在中华人民共和国领域外对中华人民共和国国家或者公民犯罪，而按本法规定的最低刑为三年以上有期徒刑的，可以适用本法，但是按照犯罪地的法律不受处罚的除外。</w:t>
      </w:r>
    </w:p>
    <w:p>
      <w:pPr>
        <w:spacing w:line="240" w:lineRule="auto"/>
        <w:ind w:firstLine="640"/>
        <w:jc w:val="both"/>
      </w:pPr>
      <w:r>
        <w:rPr>
          <w:rFonts w:ascii="黑体" w:hAnsi="黑体" w:eastAsia="黑体" w:cs="黑体"/>
          <w:sz w:val="32"/>
        </w:rPr>
        <w:t>第九条</w:t>
      </w:r>
      <w:r>
        <w:rPr>
          <w:rFonts w:ascii="仿宋_GB2312" w:hAnsi="仿宋_GB2312" w:eastAsia="仿宋_GB2312" w:cs="仿宋_GB2312"/>
          <w:sz w:val="32"/>
        </w:rPr>
        <w:t>　对于中华人民共和国缔结或者参加的国际条约所规定的罪行，中华人民共和国在所承担条约义务的范围内行使刑事管辖权的，适用本法。</w:t>
      </w:r>
    </w:p>
    <w:p>
      <w:pPr>
        <w:spacing w:line="240" w:lineRule="auto"/>
        <w:ind w:firstLine="640"/>
        <w:jc w:val="both"/>
      </w:pPr>
      <w:r>
        <w:rPr>
          <w:rFonts w:ascii="黑体" w:hAnsi="黑体" w:eastAsia="黑体" w:cs="黑体"/>
          <w:sz w:val="32"/>
        </w:rPr>
        <w:t>第十条</w:t>
      </w:r>
      <w:r>
        <w:rPr>
          <w:rFonts w:ascii="仿宋_GB2312" w:hAnsi="仿宋_GB2312" w:eastAsia="仿宋_GB2312" w:cs="仿宋_GB2312"/>
          <w:sz w:val="32"/>
        </w:rPr>
        <w:t>　凡在中华人民共和国领域外犯罪，依照本法应当负刑事责任的，虽然经过外国审判，仍然可以依照本法追究，但是在外国已经受过刑罚处罚的，可以免除或者减轻处罚。</w:t>
      </w:r>
    </w:p>
    <w:p>
      <w:pPr>
        <w:spacing w:line="240" w:lineRule="auto"/>
        <w:ind w:firstLine="640"/>
        <w:jc w:val="both"/>
      </w:pPr>
      <w:r>
        <w:rPr>
          <w:rFonts w:ascii="黑体" w:hAnsi="黑体" w:eastAsia="黑体" w:cs="黑体"/>
          <w:sz w:val="32"/>
        </w:rPr>
        <w:t>第十一条</w:t>
      </w:r>
      <w:r>
        <w:rPr>
          <w:rFonts w:ascii="仿宋_GB2312" w:hAnsi="仿宋_GB2312" w:eastAsia="仿宋_GB2312" w:cs="仿宋_GB2312"/>
          <w:sz w:val="32"/>
        </w:rPr>
        <w:t>　享有外交特权和豁免权的外国人的刑事责任，通过外交途径解决。</w:t>
      </w:r>
    </w:p>
    <w:p>
      <w:pPr>
        <w:spacing w:line="240" w:lineRule="auto"/>
        <w:ind w:firstLine="640"/>
        <w:jc w:val="both"/>
      </w:pPr>
      <w:r>
        <w:rPr>
          <w:rFonts w:ascii="黑体" w:hAnsi="黑体" w:eastAsia="黑体" w:cs="黑体"/>
          <w:sz w:val="32"/>
        </w:rPr>
        <w:t>第十二条</w:t>
      </w:r>
      <w:r>
        <w:rPr>
          <w:rFonts w:ascii="仿宋_GB2312" w:hAnsi="仿宋_GB2312" w:eastAsia="仿宋_GB2312" w:cs="仿宋_GB2312"/>
          <w:sz w:val="32"/>
        </w:rPr>
        <w:t>　中华人民共和国成立以后本法施行以前的行为，如果当时的法律不认为是犯罪的，适用当时的法律；如果当时的法律认为是犯罪的，依照本法总则第四章第八节的规定应当追诉的，按照当时的法律追究刑事责任，但是如果本法不认为是犯罪或者处刑较轻的，适用本法。</w:t>
      </w:r>
    </w:p>
    <w:p>
      <w:pPr>
        <w:spacing w:line="240" w:lineRule="auto"/>
        <w:ind w:firstLine="640"/>
        <w:jc w:val="both"/>
      </w:pPr>
      <w:r>
        <w:rPr>
          <w:rFonts w:ascii="仿宋_GB2312" w:hAnsi="仿宋_GB2312" w:eastAsia="仿宋_GB2312" w:cs="仿宋_GB2312"/>
          <w:sz w:val="32"/>
        </w:rPr>
        <w:t>本法施行以前，依照当时的法律已经作出的生效判决，继续有效。</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第二章　犯罪</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犯罪和刑事责任</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第十三条</w:t>
      </w:r>
      <w:r>
        <w:rPr>
          <w:rFonts w:ascii="仿宋_GB2312" w:hAnsi="仿宋_GB2312" w:eastAsia="仿宋_GB2312" w:cs="仿宋_GB2312"/>
          <w:sz w:val="32"/>
        </w:rPr>
        <w:t>　一切危害国家主权、领土完整和安全，分裂国家、颠覆人民民主专政的政权和推翻社会主义制度，破坏社会秩序和经济秩序，侵犯国有财产或者劳动群众集体所有的财产，侵犯公民私人所有的财产，侵犯公民的人身权利、民主权利和其他权利，以及其他危害社会的行为，依照法律应当受刑罚处罚的，都是犯罪，但是情节显著轻微危害不大的，不认为是犯罪。</w:t>
      </w:r>
    </w:p>
    <w:p>
      <w:pPr>
        <w:spacing w:line="240" w:lineRule="auto"/>
        <w:ind w:firstLine="640"/>
        <w:jc w:val="both"/>
      </w:pPr>
      <w:r>
        <w:rPr>
          <w:rFonts w:ascii="黑体" w:hAnsi="黑体" w:eastAsia="黑体" w:cs="黑体"/>
          <w:sz w:val="32"/>
        </w:rPr>
        <w:t>第十四条</w:t>
      </w:r>
      <w:r>
        <w:rPr>
          <w:rFonts w:ascii="仿宋_GB2312" w:hAnsi="仿宋_GB2312" w:eastAsia="仿宋_GB2312" w:cs="仿宋_GB2312"/>
          <w:sz w:val="32"/>
        </w:rPr>
        <w:t>　明知自己的行为会发生危害社会的结果，并且希望或者放任这种结果发生，因而构成犯罪的，是故意犯罪。</w:t>
      </w:r>
    </w:p>
    <w:p>
      <w:pPr>
        <w:spacing w:line="240" w:lineRule="auto"/>
        <w:ind w:firstLine="640"/>
        <w:jc w:val="both"/>
      </w:pPr>
      <w:r>
        <w:rPr>
          <w:rFonts w:ascii="仿宋_GB2312" w:hAnsi="仿宋_GB2312" w:eastAsia="仿宋_GB2312" w:cs="仿宋_GB2312"/>
          <w:sz w:val="32"/>
        </w:rPr>
        <w:t>故意犯罪，应当负刑事责任。</w:t>
      </w:r>
    </w:p>
    <w:p>
      <w:pPr>
        <w:spacing w:line="240" w:lineRule="auto"/>
        <w:ind w:firstLine="640"/>
        <w:jc w:val="both"/>
      </w:pPr>
      <w:r>
        <w:rPr>
          <w:rFonts w:ascii="黑体" w:hAnsi="黑体" w:eastAsia="黑体" w:cs="黑体"/>
          <w:sz w:val="32"/>
        </w:rPr>
        <w:t>第十五条</w:t>
      </w:r>
      <w:r>
        <w:rPr>
          <w:rFonts w:ascii="仿宋_GB2312" w:hAnsi="仿宋_GB2312" w:eastAsia="仿宋_GB2312" w:cs="仿宋_GB2312"/>
          <w:sz w:val="32"/>
        </w:rPr>
        <w:t>　应当预见自己的行为可能发生危害社会的结果，因为疏忽大意而没有预见，或者已经预见而轻信能够避免，以致发生这种结果的，是过失犯罪。</w:t>
      </w:r>
    </w:p>
    <w:p>
      <w:pPr>
        <w:spacing w:line="240" w:lineRule="auto"/>
        <w:ind w:firstLine="640"/>
        <w:jc w:val="both"/>
      </w:pPr>
      <w:r>
        <w:rPr>
          <w:rFonts w:ascii="仿宋_GB2312" w:hAnsi="仿宋_GB2312" w:eastAsia="仿宋_GB2312" w:cs="仿宋_GB2312"/>
          <w:sz w:val="32"/>
        </w:rPr>
        <w:t>过失犯罪，法律有规定的才负刑事责任。</w:t>
      </w:r>
    </w:p>
    <w:p>
      <w:pPr>
        <w:spacing w:line="240" w:lineRule="auto"/>
        <w:ind w:firstLine="640"/>
        <w:jc w:val="both"/>
      </w:pPr>
      <w:r>
        <w:rPr>
          <w:rFonts w:ascii="黑体" w:hAnsi="黑体" w:eastAsia="黑体" w:cs="黑体"/>
          <w:sz w:val="32"/>
        </w:rPr>
        <w:t>第十六条</w:t>
      </w:r>
      <w:r>
        <w:rPr>
          <w:rFonts w:ascii="仿宋_GB2312" w:hAnsi="仿宋_GB2312" w:eastAsia="仿宋_GB2312" w:cs="仿宋_GB2312"/>
          <w:sz w:val="32"/>
        </w:rPr>
        <w:t>　行为在客观上虽然造成了损害结果，但是不是出于故意或者过失，而是由于不能抗拒或者不能预见的原因所引起的，不是犯罪。</w:t>
      </w:r>
    </w:p>
    <w:p>
      <w:pPr>
        <w:spacing w:line="240" w:lineRule="auto"/>
        <w:ind w:firstLine="640"/>
        <w:jc w:val="both"/>
      </w:pPr>
      <w:r>
        <w:rPr>
          <w:rFonts w:ascii="黑体" w:hAnsi="黑体" w:eastAsia="黑体" w:cs="黑体"/>
          <w:sz w:val="32"/>
        </w:rPr>
        <w:t>第十七条</w:t>
      </w:r>
      <w:r>
        <w:rPr>
          <w:rFonts w:ascii="仿宋_GB2312" w:hAnsi="仿宋_GB2312" w:eastAsia="仿宋_GB2312" w:cs="仿宋_GB2312"/>
          <w:sz w:val="32"/>
        </w:rPr>
        <w:t>　已满十六周岁的人犯罪，应当负刑事责任。</w:t>
      </w:r>
    </w:p>
    <w:p>
      <w:pPr>
        <w:spacing w:line="240" w:lineRule="auto"/>
        <w:ind w:firstLine="640"/>
        <w:jc w:val="both"/>
      </w:pPr>
      <w:r>
        <w:rPr>
          <w:rFonts w:ascii="仿宋_GB2312" w:hAnsi="仿宋_GB2312" w:eastAsia="仿宋_GB2312" w:cs="仿宋_GB2312"/>
          <w:sz w:val="32"/>
        </w:rPr>
        <w:t>已满十四周岁不满十六周岁的人，犯故意杀人、故意伤害致人重伤或者死亡、强奸、抢劫、贩卖毒品、放火、爆炸、投放危险物质罪的，应当负刑事责任。</w:t>
      </w:r>
    </w:p>
    <w:p>
      <w:pPr>
        <w:spacing w:line="240" w:lineRule="auto"/>
        <w:ind w:firstLine="640"/>
        <w:jc w:val="both"/>
      </w:pPr>
      <w:r>
        <w:rPr>
          <w:rFonts w:ascii="仿宋_GB2312" w:hAnsi="仿宋_GB2312" w:eastAsia="仿宋_GB2312" w:cs="仿宋_GB2312"/>
          <w:sz w:val="32"/>
        </w:rPr>
        <w:t>已满十二周岁不满十四周岁的人，犯故意杀人、故意伤害罪，致人死亡或者以特别残忍手段致人重伤造成严重残疾，情节恶劣，经最高人民检察院核准追诉的，应当负刑事责任。</w:t>
      </w:r>
    </w:p>
    <w:p>
      <w:pPr>
        <w:spacing w:line="240" w:lineRule="auto"/>
        <w:ind w:firstLine="640"/>
        <w:jc w:val="both"/>
      </w:pPr>
      <w:r>
        <w:rPr>
          <w:rFonts w:ascii="仿宋_GB2312" w:hAnsi="仿宋_GB2312" w:eastAsia="仿宋_GB2312" w:cs="仿宋_GB2312"/>
          <w:sz w:val="32"/>
        </w:rPr>
        <w:t>对依照前三款规定追究刑事责任的不满十八周岁的人，应当从轻或者减轻处罚。</w:t>
      </w:r>
    </w:p>
    <w:p>
      <w:pPr>
        <w:spacing w:line="240" w:lineRule="auto"/>
        <w:ind w:firstLine="640"/>
        <w:jc w:val="both"/>
      </w:pPr>
      <w:r>
        <w:rPr>
          <w:rFonts w:ascii="仿宋_GB2312" w:hAnsi="仿宋_GB2312" w:eastAsia="仿宋_GB2312" w:cs="仿宋_GB2312"/>
          <w:sz w:val="32"/>
        </w:rPr>
        <w:t>因不满十六周岁不予刑事处罚的，责令其父母或者其他监护人加以管教；在必要的时候，依法进行专门矫治教育。</w:t>
      </w:r>
    </w:p>
    <w:p>
      <w:pPr>
        <w:spacing w:line="240" w:lineRule="auto"/>
        <w:ind w:firstLine="640"/>
        <w:jc w:val="both"/>
      </w:pPr>
      <w:r>
        <w:rPr>
          <w:rFonts w:ascii="黑体" w:hAnsi="黑体" w:eastAsia="黑体" w:cs="黑体"/>
          <w:sz w:val="32"/>
        </w:rPr>
        <w:t>第十七</w:t>
      </w:r>
      <w:r>
        <w:rPr>
          <w:rFonts w:hint="eastAsia" w:ascii="黑体" w:hAnsi="黑体" w:eastAsia="黑体" w:cs="黑体"/>
          <w:sz w:val="32"/>
          <w:lang w:eastAsia="zh-CN"/>
        </w:rPr>
        <w:t>条之一　</w:t>
      </w:r>
      <w:r>
        <w:rPr>
          <w:rFonts w:ascii="仿宋_GB2312" w:hAnsi="仿宋_GB2312" w:eastAsia="仿宋_GB2312" w:cs="仿宋_GB2312"/>
          <w:sz w:val="32"/>
        </w:rPr>
        <w:t>已满七十五周岁的人故意犯罪的，可以从轻或者减轻处罚；过失犯罪的，应当从轻或者减轻处罚。</w:t>
      </w:r>
    </w:p>
    <w:p>
      <w:pPr>
        <w:spacing w:line="240" w:lineRule="auto"/>
        <w:ind w:firstLine="640"/>
        <w:jc w:val="both"/>
      </w:pPr>
      <w:r>
        <w:rPr>
          <w:rFonts w:ascii="黑体" w:hAnsi="黑体" w:eastAsia="黑体" w:cs="黑体"/>
          <w:sz w:val="32"/>
        </w:rPr>
        <w:t>第十八条</w:t>
      </w:r>
      <w:r>
        <w:rPr>
          <w:rFonts w:ascii="仿宋_GB2312" w:hAnsi="仿宋_GB2312" w:eastAsia="仿宋_GB2312" w:cs="仿宋_GB2312"/>
          <w:sz w:val="32"/>
        </w:rPr>
        <w:t>　精神病人在不能辨认或者不能控制自己行为的时候造成危害结果，经法定程序鉴定确认的，不负刑事责任，但是应当责令他的家属或者监护人严加看管和医疗；在必要的时候，由政府强制医疗。</w:t>
      </w:r>
    </w:p>
    <w:p>
      <w:pPr>
        <w:spacing w:line="240" w:lineRule="auto"/>
        <w:ind w:firstLine="640"/>
        <w:jc w:val="both"/>
      </w:pPr>
      <w:r>
        <w:rPr>
          <w:rFonts w:ascii="仿宋_GB2312" w:hAnsi="仿宋_GB2312" w:eastAsia="仿宋_GB2312" w:cs="仿宋_GB2312"/>
          <w:sz w:val="32"/>
        </w:rPr>
        <w:t>间歇性的精神病人在精神正常的时候犯罪，应当负刑事责任。</w:t>
      </w:r>
    </w:p>
    <w:p>
      <w:pPr>
        <w:spacing w:line="240" w:lineRule="auto"/>
        <w:ind w:firstLine="640"/>
        <w:jc w:val="both"/>
      </w:pPr>
      <w:r>
        <w:rPr>
          <w:rFonts w:ascii="仿宋_GB2312" w:hAnsi="仿宋_GB2312" w:eastAsia="仿宋_GB2312" w:cs="仿宋_GB2312"/>
          <w:sz w:val="32"/>
        </w:rPr>
        <w:t>尚未完全丧失辨认或者控制自己行为能力的精神病人犯罪的，应当负刑事责任，但是可以从轻或者减轻处罚。</w:t>
      </w:r>
    </w:p>
    <w:p>
      <w:pPr>
        <w:spacing w:line="240" w:lineRule="auto"/>
        <w:ind w:firstLine="640"/>
        <w:jc w:val="both"/>
      </w:pPr>
      <w:r>
        <w:rPr>
          <w:rFonts w:ascii="仿宋_GB2312" w:hAnsi="仿宋_GB2312" w:eastAsia="仿宋_GB2312" w:cs="仿宋_GB2312"/>
          <w:sz w:val="32"/>
        </w:rPr>
        <w:t>醉酒的人犯罪，应当负刑事责任。</w:t>
      </w:r>
    </w:p>
    <w:p>
      <w:pPr>
        <w:spacing w:line="240" w:lineRule="auto"/>
        <w:ind w:firstLine="640"/>
        <w:jc w:val="both"/>
      </w:pPr>
      <w:r>
        <w:rPr>
          <w:rFonts w:ascii="黑体" w:hAnsi="黑体" w:eastAsia="黑体" w:cs="黑体"/>
          <w:sz w:val="32"/>
        </w:rPr>
        <w:t>第十九条</w:t>
      </w:r>
      <w:r>
        <w:rPr>
          <w:rFonts w:ascii="仿宋_GB2312" w:hAnsi="仿宋_GB2312" w:eastAsia="仿宋_GB2312" w:cs="仿宋_GB2312"/>
          <w:sz w:val="32"/>
        </w:rPr>
        <w:t>　又聋又哑的人或者盲人犯罪，可以从轻、减轻或者免除处罚。</w:t>
      </w:r>
    </w:p>
    <w:p>
      <w:pPr>
        <w:spacing w:line="240" w:lineRule="auto"/>
        <w:ind w:firstLine="640"/>
        <w:jc w:val="both"/>
      </w:pPr>
      <w:r>
        <w:rPr>
          <w:rFonts w:ascii="黑体" w:hAnsi="黑体" w:eastAsia="黑体" w:cs="黑体"/>
          <w:sz w:val="32"/>
        </w:rPr>
        <w:t>第二十条</w:t>
      </w:r>
      <w:r>
        <w:rPr>
          <w:rFonts w:ascii="仿宋_GB2312" w:hAnsi="仿宋_GB2312" w:eastAsia="仿宋_GB2312" w:cs="仿宋_GB2312"/>
          <w:sz w:val="32"/>
        </w:rPr>
        <w:t>　为了使国家、公共利益、本人或者他人的人身、财产和其他权利免受正在进行的不法侵害，而采取的制止不法侵害的行为，对不法侵害人造成损害的，属于正当防卫，不负刑事责任。</w:t>
      </w:r>
    </w:p>
    <w:p>
      <w:pPr>
        <w:spacing w:line="240" w:lineRule="auto"/>
        <w:ind w:firstLine="640"/>
        <w:jc w:val="both"/>
      </w:pPr>
      <w:r>
        <w:rPr>
          <w:rFonts w:ascii="仿宋_GB2312" w:hAnsi="仿宋_GB2312" w:eastAsia="仿宋_GB2312" w:cs="仿宋_GB2312"/>
          <w:sz w:val="32"/>
        </w:rPr>
        <w:t>正当防卫明显超过必要限度造成重大损害的，应当负刑事责任，但是应当减轻或者免除处罚。</w:t>
      </w:r>
    </w:p>
    <w:p>
      <w:pPr>
        <w:spacing w:line="240" w:lineRule="auto"/>
        <w:ind w:firstLine="640"/>
        <w:jc w:val="both"/>
      </w:pPr>
      <w:r>
        <w:rPr>
          <w:rFonts w:ascii="仿宋_GB2312" w:hAnsi="仿宋_GB2312" w:eastAsia="仿宋_GB2312" w:cs="仿宋_GB2312"/>
          <w:sz w:val="32"/>
        </w:rPr>
        <w:t>对正在进行行凶、杀人、抢劫、强奸、绑架以及其他严重危及人身安全的暴力犯罪，采取防卫行为，造成不法侵害人伤亡的，不属于防卫过当，不负刑事责任。</w:t>
      </w:r>
    </w:p>
    <w:p>
      <w:pPr>
        <w:spacing w:line="240" w:lineRule="auto"/>
        <w:ind w:firstLine="640"/>
        <w:jc w:val="both"/>
      </w:pPr>
      <w:r>
        <w:rPr>
          <w:rFonts w:ascii="黑体" w:hAnsi="黑体" w:eastAsia="黑体" w:cs="黑体"/>
          <w:sz w:val="32"/>
        </w:rPr>
        <w:t>第二十一条</w:t>
      </w:r>
      <w:r>
        <w:rPr>
          <w:rFonts w:ascii="仿宋_GB2312" w:hAnsi="仿宋_GB2312" w:eastAsia="仿宋_GB2312" w:cs="仿宋_GB2312"/>
          <w:sz w:val="32"/>
        </w:rPr>
        <w:t>　为了使国家、公共利益、本人或者他人的人身、财产和其他权利免受正在发生的危险，不得已采取的紧急避险行为，造成损害的，不负刑事责任。</w:t>
      </w:r>
    </w:p>
    <w:p>
      <w:pPr>
        <w:spacing w:line="240" w:lineRule="auto"/>
        <w:ind w:firstLine="640"/>
        <w:jc w:val="both"/>
      </w:pPr>
      <w:r>
        <w:rPr>
          <w:rFonts w:ascii="仿宋_GB2312" w:hAnsi="仿宋_GB2312" w:eastAsia="仿宋_GB2312" w:cs="仿宋_GB2312"/>
          <w:sz w:val="32"/>
        </w:rPr>
        <w:t>紧急避险超过必要限度造成不应有的损害的，应当负刑事责任，但是应当减轻或者免除处罚。</w:t>
      </w:r>
    </w:p>
    <w:p>
      <w:pPr>
        <w:spacing w:line="240" w:lineRule="auto"/>
        <w:ind w:firstLine="640"/>
        <w:jc w:val="both"/>
      </w:pPr>
      <w:r>
        <w:rPr>
          <w:rFonts w:ascii="仿宋_GB2312" w:hAnsi="仿宋_GB2312" w:eastAsia="仿宋_GB2312" w:cs="仿宋_GB2312"/>
          <w:sz w:val="32"/>
        </w:rPr>
        <w:t>第一款中关于避免本人危险的规定，不适用于职务上、业务上负有特定责任的人。</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犯罪的预备、未遂和中止</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第二十二条</w:t>
      </w:r>
      <w:r>
        <w:rPr>
          <w:rFonts w:ascii="仿宋_GB2312" w:hAnsi="仿宋_GB2312" w:eastAsia="仿宋_GB2312" w:cs="仿宋_GB2312"/>
          <w:sz w:val="32"/>
        </w:rPr>
        <w:t>　为了犯罪，准备工具、制造条件的，是犯罪预备。</w:t>
      </w:r>
    </w:p>
    <w:p>
      <w:pPr>
        <w:spacing w:line="240" w:lineRule="auto"/>
        <w:ind w:firstLine="640"/>
        <w:jc w:val="both"/>
      </w:pPr>
      <w:r>
        <w:rPr>
          <w:rFonts w:ascii="仿宋_GB2312" w:hAnsi="仿宋_GB2312" w:eastAsia="仿宋_GB2312" w:cs="仿宋_GB2312"/>
          <w:sz w:val="32"/>
        </w:rPr>
        <w:t>对于预备犯，可以比照既遂犯从轻、减轻处罚或者免除处罚。</w:t>
      </w:r>
    </w:p>
    <w:p>
      <w:pPr>
        <w:spacing w:line="240" w:lineRule="auto"/>
        <w:ind w:firstLine="640"/>
        <w:jc w:val="both"/>
      </w:pPr>
      <w:r>
        <w:rPr>
          <w:rFonts w:ascii="黑体" w:hAnsi="黑体" w:eastAsia="黑体" w:cs="黑体"/>
          <w:sz w:val="32"/>
        </w:rPr>
        <w:t>第二十三条</w:t>
      </w:r>
      <w:r>
        <w:rPr>
          <w:rFonts w:ascii="仿宋_GB2312" w:hAnsi="仿宋_GB2312" w:eastAsia="仿宋_GB2312" w:cs="仿宋_GB2312"/>
          <w:sz w:val="32"/>
        </w:rPr>
        <w:t>　已经着手实行犯罪，由于犯罪分子意志以外的原因而未得逞的，是犯罪未遂。</w:t>
      </w:r>
    </w:p>
    <w:p>
      <w:pPr>
        <w:spacing w:line="240" w:lineRule="auto"/>
        <w:ind w:firstLine="640"/>
        <w:jc w:val="both"/>
      </w:pPr>
      <w:r>
        <w:rPr>
          <w:rFonts w:ascii="仿宋_GB2312" w:hAnsi="仿宋_GB2312" w:eastAsia="仿宋_GB2312" w:cs="仿宋_GB2312"/>
          <w:sz w:val="32"/>
        </w:rPr>
        <w:t>对于未遂犯，可以比照既遂犯从轻或者减轻处罚。</w:t>
      </w:r>
    </w:p>
    <w:p>
      <w:pPr>
        <w:spacing w:line="240" w:lineRule="auto"/>
        <w:ind w:firstLine="640"/>
        <w:jc w:val="both"/>
      </w:pPr>
      <w:r>
        <w:rPr>
          <w:rFonts w:ascii="黑体" w:hAnsi="黑体" w:eastAsia="黑体" w:cs="黑体"/>
          <w:sz w:val="32"/>
        </w:rPr>
        <w:t>第二十四条</w:t>
      </w:r>
      <w:r>
        <w:rPr>
          <w:rFonts w:ascii="仿宋_GB2312" w:hAnsi="仿宋_GB2312" w:eastAsia="仿宋_GB2312" w:cs="仿宋_GB2312"/>
          <w:sz w:val="32"/>
        </w:rPr>
        <w:t>　在犯罪过程中，自动放弃犯罪或者自动有效地防止犯罪结果发生的，是犯罪中止。</w:t>
      </w:r>
    </w:p>
    <w:p>
      <w:pPr>
        <w:spacing w:line="240" w:lineRule="auto"/>
        <w:ind w:firstLine="640"/>
        <w:jc w:val="both"/>
      </w:pPr>
      <w:r>
        <w:rPr>
          <w:rFonts w:ascii="仿宋_GB2312" w:hAnsi="仿宋_GB2312" w:eastAsia="仿宋_GB2312" w:cs="仿宋_GB2312"/>
          <w:sz w:val="32"/>
        </w:rPr>
        <w:t>对于中止犯，没有造成损害的，应当免除处罚；造成损害的，应当减轻处罚。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共同犯罪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第二十五条</w:t>
      </w:r>
      <w:r>
        <w:rPr>
          <w:rFonts w:ascii="仿宋_GB2312" w:hAnsi="仿宋_GB2312" w:eastAsia="仿宋_GB2312" w:cs="仿宋_GB2312"/>
          <w:sz w:val="32"/>
        </w:rPr>
        <w:t>　共同犯罪是指二人以上共同故意犯罪。</w:t>
      </w:r>
    </w:p>
    <w:p>
      <w:pPr>
        <w:spacing w:line="240" w:lineRule="auto"/>
        <w:ind w:firstLine="640"/>
        <w:jc w:val="both"/>
      </w:pPr>
      <w:r>
        <w:rPr>
          <w:rFonts w:ascii="仿宋_GB2312" w:hAnsi="仿宋_GB2312" w:eastAsia="仿宋_GB2312" w:cs="仿宋_GB2312"/>
          <w:sz w:val="32"/>
        </w:rPr>
        <w:t>二人以上共同过失犯罪，不以共同犯罪论处；应当负刑事责任的，按照他们所犯的罪分别处罚。</w:t>
      </w:r>
    </w:p>
    <w:p>
      <w:pPr>
        <w:spacing w:line="240" w:lineRule="auto"/>
        <w:ind w:firstLine="640"/>
        <w:jc w:val="both"/>
      </w:pPr>
      <w:r>
        <w:rPr>
          <w:rFonts w:ascii="黑体" w:hAnsi="黑体" w:eastAsia="黑体" w:cs="黑体"/>
          <w:sz w:val="32"/>
        </w:rPr>
        <w:t>第二十六条</w:t>
      </w:r>
      <w:r>
        <w:rPr>
          <w:rFonts w:ascii="仿宋_GB2312" w:hAnsi="仿宋_GB2312" w:eastAsia="仿宋_GB2312" w:cs="仿宋_GB2312"/>
          <w:sz w:val="32"/>
        </w:rPr>
        <w:t>　组织、领导犯罪集团进行犯罪活动的或者在共同犯罪中起主要作用的，是主犯。</w:t>
      </w:r>
    </w:p>
    <w:p>
      <w:pPr>
        <w:spacing w:line="240" w:lineRule="auto"/>
        <w:ind w:firstLine="640"/>
        <w:jc w:val="both"/>
      </w:pPr>
      <w:r>
        <w:rPr>
          <w:rFonts w:ascii="仿宋_GB2312" w:hAnsi="仿宋_GB2312" w:eastAsia="仿宋_GB2312" w:cs="仿宋_GB2312"/>
          <w:sz w:val="32"/>
        </w:rPr>
        <w:t>三人以上为共同实施犯罪而组成的较为固定的犯罪组织，是犯罪集团。</w:t>
      </w:r>
    </w:p>
    <w:p>
      <w:pPr>
        <w:spacing w:line="240" w:lineRule="auto"/>
        <w:ind w:firstLine="640"/>
        <w:jc w:val="both"/>
      </w:pPr>
      <w:r>
        <w:rPr>
          <w:rFonts w:ascii="仿宋_GB2312" w:hAnsi="仿宋_GB2312" w:eastAsia="仿宋_GB2312" w:cs="仿宋_GB2312"/>
          <w:sz w:val="32"/>
        </w:rPr>
        <w:t>对组织、领导犯罪集团的首要分子，按照集团所犯的全部罪行处罚。</w:t>
      </w:r>
    </w:p>
    <w:p>
      <w:pPr>
        <w:spacing w:line="240" w:lineRule="auto"/>
        <w:ind w:firstLine="640"/>
        <w:jc w:val="both"/>
      </w:pPr>
      <w:r>
        <w:rPr>
          <w:rFonts w:ascii="仿宋_GB2312" w:hAnsi="仿宋_GB2312" w:eastAsia="仿宋_GB2312" w:cs="仿宋_GB2312"/>
          <w:sz w:val="32"/>
        </w:rPr>
        <w:t>对于第三款规定以外的主犯，应当按照其所参与的或者组织、指挥的全部犯罪处罚。</w:t>
      </w:r>
    </w:p>
    <w:p>
      <w:pPr>
        <w:spacing w:line="240" w:lineRule="auto"/>
        <w:ind w:firstLine="640"/>
        <w:jc w:val="both"/>
      </w:pPr>
      <w:r>
        <w:rPr>
          <w:rFonts w:ascii="黑体" w:hAnsi="黑体" w:eastAsia="黑体" w:cs="黑体"/>
          <w:sz w:val="32"/>
        </w:rPr>
        <w:t>第二十七条</w:t>
      </w:r>
      <w:r>
        <w:rPr>
          <w:rFonts w:ascii="仿宋_GB2312" w:hAnsi="仿宋_GB2312" w:eastAsia="仿宋_GB2312" w:cs="仿宋_GB2312"/>
          <w:sz w:val="32"/>
        </w:rPr>
        <w:t>　在共同犯罪中起次要或者辅助作用的，是从犯。</w:t>
      </w:r>
    </w:p>
    <w:p>
      <w:pPr>
        <w:spacing w:line="240" w:lineRule="auto"/>
        <w:ind w:firstLine="640"/>
        <w:jc w:val="both"/>
      </w:pPr>
      <w:r>
        <w:rPr>
          <w:rFonts w:ascii="仿宋_GB2312" w:hAnsi="仿宋_GB2312" w:eastAsia="仿宋_GB2312" w:cs="仿宋_GB2312"/>
          <w:sz w:val="32"/>
        </w:rPr>
        <w:t>对于从犯，应当从轻、减轻处罚或者免除处罚。</w:t>
      </w:r>
    </w:p>
    <w:p>
      <w:pPr>
        <w:spacing w:line="240" w:lineRule="auto"/>
        <w:ind w:firstLine="640"/>
        <w:jc w:val="both"/>
      </w:pPr>
      <w:r>
        <w:rPr>
          <w:rFonts w:ascii="黑体" w:hAnsi="黑体" w:eastAsia="黑体" w:cs="黑体"/>
          <w:sz w:val="32"/>
        </w:rPr>
        <w:t>第二十八条</w:t>
      </w:r>
      <w:r>
        <w:rPr>
          <w:rFonts w:ascii="仿宋_GB2312" w:hAnsi="仿宋_GB2312" w:eastAsia="仿宋_GB2312" w:cs="仿宋_GB2312"/>
          <w:sz w:val="32"/>
        </w:rPr>
        <w:t>　对于被胁迫参加犯罪的，应当按照他的犯罪情节减轻处罚或者免除处罚。</w:t>
      </w:r>
    </w:p>
    <w:p>
      <w:pPr>
        <w:spacing w:line="240" w:lineRule="auto"/>
        <w:ind w:firstLine="640"/>
        <w:jc w:val="both"/>
      </w:pPr>
      <w:r>
        <w:rPr>
          <w:rFonts w:ascii="黑体" w:hAnsi="黑体" w:eastAsia="黑体" w:cs="黑体"/>
          <w:sz w:val="32"/>
        </w:rPr>
        <w:t>第二十九条</w:t>
      </w:r>
      <w:r>
        <w:rPr>
          <w:rFonts w:ascii="仿宋_GB2312" w:hAnsi="仿宋_GB2312" w:eastAsia="仿宋_GB2312" w:cs="仿宋_GB2312"/>
          <w:sz w:val="32"/>
        </w:rPr>
        <w:t>　教唆他人犯罪的，应当按照他在共同犯罪中所起的作用处罚。教唆不满十八周岁的人犯罪的，应当从重处罚。</w:t>
      </w:r>
    </w:p>
    <w:p>
      <w:pPr>
        <w:spacing w:line="240" w:lineRule="auto"/>
        <w:ind w:firstLine="640"/>
        <w:jc w:val="both"/>
      </w:pPr>
      <w:r>
        <w:rPr>
          <w:rFonts w:ascii="仿宋_GB2312" w:hAnsi="仿宋_GB2312" w:eastAsia="仿宋_GB2312" w:cs="仿宋_GB2312"/>
          <w:sz w:val="32"/>
        </w:rPr>
        <w:t>如果被教唆的人没有犯被教唆的罪，对于教唆犯，可以从轻或者减轻处罚。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单位犯罪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第三十条</w:t>
      </w:r>
      <w:r>
        <w:rPr>
          <w:rFonts w:ascii="仿宋_GB2312" w:hAnsi="仿宋_GB2312" w:eastAsia="仿宋_GB2312" w:cs="仿宋_GB2312"/>
          <w:sz w:val="32"/>
        </w:rPr>
        <w:t>　公司、企业、事业单位、机关、团体实施的危害社会的行为，法律规定为单位犯罪的，应当负刑事责任。</w:t>
      </w:r>
    </w:p>
    <w:p>
      <w:pPr>
        <w:spacing w:line="240" w:lineRule="auto"/>
        <w:ind w:firstLine="640"/>
        <w:jc w:val="both"/>
      </w:pPr>
      <w:r>
        <w:rPr>
          <w:rFonts w:ascii="黑体" w:hAnsi="黑体" w:eastAsia="黑体" w:cs="黑体"/>
          <w:sz w:val="32"/>
        </w:rPr>
        <w:t>第三十一条</w:t>
      </w:r>
      <w:r>
        <w:rPr>
          <w:rFonts w:ascii="仿宋_GB2312" w:hAnsi="仿宋_GB2312" w:eastAsia="仿宋_GB2312" w:cs="仿宋_GB2312"/>
          <w:sz w:val="32"/>
        </w:rPr>
        <w:t>　单位犯罪的，对单位判处罚金，并对其直接负责的主管人员和其他直接责任人员判处刑罚。本法分则和其他法律另有规定的，依照规定。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第三章　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刑罚的种类</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第三十二条</w:t>
      </w:r>
      <w:r>
        <w:rPr>
          <w:rFonts w:ascii="仿宋_GB2312" w:hAnsi="仿宋_GB2312" w:eastAsia="仿宋_GB2312" w:cs="仿宋_GB2312"/>
          <w:sz w:val="32"/>
        </w:rPr>
        <w:t>　刑罚分为主刑和附加刑。</w:t>
      </w:r>
    </w:p>
    <w:p>
      <w:pPr>
        <w:spacing w:line="240" w:lineRule="auto"/>
        <w:ind w:firstLine="640"/>
        <w:jc w:val="both"/>
      </w:pPr>
      <w:r>
        <w:rPr>
          <w:rFonts w:ascii="黑体" w:hAnsi="黑体" w:eastAsia="黑体" w:cs="黑体"/>
          <w:sz w:val="32"/>
        </w:rPr>
        <w:t>第三十三条</w:t>
      </w:r>
      <w:r>
        <w:rPr>
          <w:rFonts w:ascii="仿宋_GB2312" w:hAnsi="仿宋_GB2312" w:eastAsia="仿宋_GB2312" w:cs="仿宋_GB2312"/>
          <w:sz w:val="32"/>
        </w:rPr>
        <w:t>　主刑的种类如下：</w:t>
      </w:r>
    </w:p>
    <w:p>
      <w:pPr>
        <w:spacing w:line="240" w:lineRule="auto"/>
        <w:ind w:firstLine="640"/>
        <w:jc w:val="both"/>
      </w:pPr>
      <w:r>
        <w:rPr>
          <w:rFonts w:ascii="仿宋_GB2312" w:hAnsi="仿宋_GB2312" w:eastAsia="仿宋_GB2312" w:cs="仿宋_GB2312"/>
          <w:sz w:val="32"/>
        </w:rPr>
        <w:t>（一）管制；</w:t>
      </w:r>
    </w:p>
    <w:p>
      <w:pPr>
        <w:spacing w:line="240" w:lineRule="auto"/>
        <w:ind w:firstLine="640"/>
        <w:jc w:val="both"/>
      </w:pPr>
      <w:r>
        <w:rPr>
          <w:rFonts w:ascii="仿宋_GB2312" w:hAnsi="仿宋_GB2312" w:eastAsia="仿宋_GB2312" w:cs="仿宋_GB2312"/>
          <w:sz w:val="32"/>
        </w:rPr>
        <w:t>（二）拘役；</w:t>
      </w:r>
    </w:p>
    <w:p>
      <w:pPr>
        <w:spacing w:line="240" w:lineRule="auto"/>
        <w:ind w:firstLine="640"/>
        <w:jc w:val="both"/>
      </w:pPr>
      <w:r>
        <w:rPr>
          <w:rFonts w:ascii="仿宋_GB2312" w:hAnsi="仿宋_GB2312" w:eastAsia="仿宋_GB2312" w:cs="仿宋_GB2312"/>
          <w:sz w:val="32"/>
        </w:rPr>
        <w:t>（三）有期徒刑；</w:t>
      </w:r>
    </w:p>
    <w:p>
      <w:pPr>
        <w:spacing w:line="240" w:lineRule="auto"/>
        <w:ind w:firstLine="640"/>
        <w:jc w:val="both"/>
      </w:pPr>
      <w:r>
        <w:rPr>
          <w:rFonts w:ascii="仿宋_GB2312" w:hAnsi="仿宋_GB2312" w:eastAsia="仿宋_GB2312" w:cs="仿宋_GB2312"/>
          <w:sz w:val="32"/>
        </w:rPr>
        <w:t>（四）无期徒刑；</w:t>
      </w:r>
    </w:p>
    <w:p>
      <w:pPr>
        <w:spacing w:line="240" w:lineRule="auto"/>
        <w:ind w:firstLine="640"/>
        <w:jc w:val="both"/>
      </w:pPr>
      <w:r>
        <w:rPr>
          <w:rFonts w:ascii="仿宋_GB2312" w:hAnsi="仿宋_GB2312" w:eastAsia="仿宋_GB2312" w:cs="仿宋_GB2312"/>
          <w:sz w:val="32"/>
        </w:rPr>
        <w:t>（五）死刑。</w:t>
      </w:r>
    </w:p>
    <w:p>
      <w:pPr>
        <w:spacing w:line="240" w:lineRule="auto"/>
        <w:ind w:firstLine="640"/>
        <w:jc w:val="both"/>
      </w:pPr>
      <w:r>
        <w:rPr>
          <w:rFonts w:ascii="黑体" w:hAnsi="黑体" w:eastAsia="黑体" w:cs="黑体"/>
          <w:sz w:val="32"/>
        </w:rPr>
        <w:t>第三十四条</w:t>
      </w:r>
      <w:r>
        <w:rPr>
          <w:rFonts w:ascii="仿宋_GB2312" w:hAnsi="仿宋_GB2312" w:eastAsia="仿宋_GB2312" w:cs="仿宋_GB2312"/>
          <w:sz w:val="32"/>
        </w:rPr>
        <w:t>　附加刑的种类如下：</w:t>
      </w:r>
    </w:p>
    <w:p>
      <w:pPr>
        <w:spacing w:line="240" w:lineRule="auto"/>
        <w:ind w:firstLine="640"/>
        <w:jc w:val="both"/>
      </w:pPr>
      <w:r>
        <w:rPr>
          <w:rFonts w:ascii="仿宋_GB2312" w:hAnsi="仿宋_GB2312" w:eastAsia="仿宋_GB2312" w:cs="仿宋_GB2312"/>
          <w:sz w:val="32"/>
        </w:rPr>
        <w:t>（一）罚金；</w:t>
      </w:r>
    </w:p>
    <w:p>
      <w:pPr>
        <w:spacing w:line="240" w:lineRule="auto"/>
        <w:ind w:firstLine="640"/>
        <w:jc w:val="both"/>
      </w:pPr>
      <w:r>
        <w:rPr>
          <w:rFonts w:ascii="仿宋_GB2312" w:hAnsi="仿宋_GB2312" w:eastAsia="仿宋_GB2312" w:cs="仿宋_GB2312"/>
          <w:sz w:val="32"/>
        </w:rPr>
        <w:t>（二）剥夺政治权利；</w:t>
      </w:r>
    </w:p>
    <w:p>
      <w:pPr>
        <w:spacing w:line="240" w:lineRule="auto"/>
        <w:ind w:firstLine="640"/>
        <w:jc w:val="both"/>
      </w:pPr>
      <w:r>
        <w:rPr>
          <w:rFonts w:ascii="仿宋_GB2312" w:hAnsi="仿宋_GB2312" w:eastAsia="仿宋_GB2312" w:cs="仿宋_GB2312"/>
          <w:sz w:val="32"/>
        </w:rPr>
        <w:t>（三）没收财产。</w:t>
      </w:r>
    </w:p>
    <w:p>
      <w:pPr>
        <w:spacing w:line="240" w:lineRule="auto"/>
        <w:ind w:firstLine="640"/>
        <w:jc w:val="both"/>
      </w:pPr>
      <w:r>
        <w:rPr>
          <w:rFonts w:ascii="仿宋_GB2312" w:hAnsi="仿宋_GB2312" w:eastAsia="仿宋_GB2312" w:cs="仿宋_GB2312"/>
          <w:sz w:val="32"/>
        </w:rPr>
        <w:t>附加刑也可以独立适用。</w:t>
      </w:r>
    </w:p>
    <w:p>
      <w:pPr>
        <w:spacing w:line="240" w:lineRule="auto"/>
        <w:ind w:firstLine="640"/>
        <w:jc w:val="both"/>
      </w:pPr>
      <w:r>
        <w:rPr>
          <w:rFonts w:ascii="黑体" w:hAnsi="黑体" w:eastAsia="黑体" w:cs="黑体"/>
          <w:sz w:val="32"/>
        </w:rPr>
        <w:t>第三十五条</w:t>
      </w:r>
      <w:r>
        <w:rPr>
          <w:rFonts w:ascii="仿宋_GB2312" w:hAnsi="仿宋_GB2312" w:eastAsia="仿宋_GB2312" w:cs="仿宋_GB2312"/>
          <w:sz w:val="32"/>
        </w:rPr>
        <w:t>　对于犯罪的外国人，可以独立适用或者附加适用驱逐出境。</w:t>
      </w:r>
    </w:p>
    <w:p>
      <w:pPr>
        <w:spacing w:line="240" w:lineRule="auto"/>
        <w:ind w:firstLine="640"/>
        <w:jc w:val="both"/>
      </w:pPr>
      <w:r>
        <w:rPr>
          <w:rFonts w:ascii="黑体" w:hAnsi="黑体" w:eastAsia="黑体" w:cs="黑体"/>
          <w:sz w:val="32"/>
        </w:rPr>
        <w:t>第三十六条</w:t>
      </w:r>
      <w:r>
        <w:rPr>
          <w:rFonts w:ascii="仿宋_GB2312" w:hAnsi="仿宋_GB2312" w:eastAsia="仿宋_GB2312" w:cs="仿宋_GB2312"/>
          <w:sz w:val="32"/>
        </w:rPr>
        <w:t>　由于犯罪行为而使被害人遭受经济损失的，对犯罪分子除依法给予刑事处罚外，并应根据情况判处赔偿经济损失。</w:t>
      </w:r>
    </w:p>
    <w:p>
      <w:pPr>
        <w:spacing w:line="240" w:lineRule="auto"/>
        <w:ind w:firstLine="640"/>
        <w:jc w:val="both"/>
      </w:pPr>
      <w:r>
        <w:rPr>
          <w:rFonts w:ascii="仿宋_GB2312" w:hAnsi="仿宋_GB2312" w:eastAsia="仿宋_GB2312" w:cs="仿宋_GB2312"/>
          <w:sz w:val="32"/>
        </w:rPr>
        <w:t>承担民事赔偿责任的犯罪分子，同时被判处罚金，其财产不足以全部支付的，或者被判处没收财产的，应当先承担对被害人的民事赔偿责任。</w:t>
      </w:r>
    </w:p>
    <w:p>
      <w:pPr>
        <w:spacing w:line="240" w:lineRule="auto"/>
        <w:ind w:firstLine="640"/>
        <w:jc w:val="both"/>
      </w:pPr>
      <w:r>
        <w:rPr>
          <w:rFonts w:ascii="黑体" w:hAnsi="黑体" w:eastAsia="黑体" w:cs="黑体"/>
          <w:sz w:val="32"/>
        </w:rPr>
        <w:t>第三十七条</w:t>
      </w:r>
      <w:r>
        <w:rPr>
          <w:rFonts w:ascii="仿宋_GB2312" w:hAnsi="仿宋_GB2312" w:eastAsia="仿宋_GB2312" w:cs="仿宋_GB2312"/>
          <w:sz w:val="32"/>
        </w:rPr>
        <w:t>　对于犯罪情节轻微不需要判处刑罚的，可以免予刑事处罚，但是可以根据案件的不同情况，予以训诫或者责令具结悔过、赔礼道歉、赔偿损失，或者由主管部门予以行政处罚或者行政处分。</w:t>
      </w:r>
    </w:p>
    <w:p>
      <w:pPr>
        <w:spacing w:line="240" w:lineRule="auto"/>
        <w:ind w:firstLine="640"/>
        <w:jc w:val="both"/>
      </w:pPr>
      <w:r>
        <w:rPr>
          <w:rFonts w:ascii="黑体" w:hAnsi="黑体" w:eastAsia="黑体" w:cs="黑体"/>
          <w:sz w:val="32"/>
        </w:rPr>
        <w:t>第三十七</w:t>
      </w:r>
      <w:r>
        <w:rPr>
          <w:rFonts w:hint="eastAsia" w:ascii="黑体" w:hAnsi="黑体" w:eastAsia="黑体" w:cs="黑体"/>
          <w:sz w:val="32"/>
          <w:lang w:eastAsia="zh-CN"/>
        </w:rPr>
        <w:t>条之一　</w:t>
      </w:r>
      <w:r>
        <w:rPr>
          <w:rFonts w:ascii="仿宋_GB2312" w:hAnsi="仿宋_GB2312" w:eastAsia="仿宋_GB2312" w:cs="仿宋_GB2312"/>
          <w:sz w:val="32"/>
        </w:rPr>
        <w:t>因利用职业便利实施犯罪，或者实施违背职业要求的特定义务的犯罪被判处刑罚的，人民法院可以根据犯罪情况和预防再犯罪的需要，禁止其自刑罚执行完毕之日或者假释之日起从事相关职业，期限为三年至五年。</w:t>
      </w:r>
    </w:p>
    <w:p>
      <w:pPr>
        <w:spacing w:line="240" w:lineRule="auto"/>
        <w:ind w:firstLine="640"/>
        <w:jc w:val="both"/>
      </w:pPr>
      <w:r>
        <w:rPr>
          <w:rFonts w:ascii="仿宋_GB2312" w:hAnsi="仿宋_GB2312" w:eastAsia="仿宋_GB2312" w:cs="仿宋_GB2312"/>
          <w:sz w:val="32"/>
        </w:rPr>
        <w:t>被禁止从事相关职业的人违反人民法院依照前款规定作出的决定的，由公安机关依法给予处罚；情节严重的，依照本法第三百一十三条的规定定罪处罚。</w:t>
      </w:r>
    </w:p>
    <w:p>
      <w:pPr>
        <w:spacing w:line="240" w:lineRule="auto"/>
        <w:ind w:firstLine="640"/>
        <w:jc w:val="both"/>
      </w:pPr>
      <w:r>
        <w:rPr>
          <w:rFonts w:ascii="仿宋_GB2312" w:hAnsi="仿宋_GB2312" w:eastAsia="仿宋_GB2312" w:cs="仿宋_GB2312"/>
          <w:sz w:val="32"/>
        </w:rPr>
        <w:t>其他法律、行政法规对其从事相关职业另有禁止或者限制性规定的，从其规定。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管制</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第三十八条</w:t>
      </w:r>
      <w:r>
        <w:rPr>
          <w:rFonts w:ascii="仿宋_GB2312" w:hAnsi="仿宋_GB2312" w:eastAsia="仿宋_GB2312" w:cs="仿宋_GB2312"/>
          <w:sz w:val="32"/>
        </w:rPr>
        <w:t>　管制的期限，为三个月以上二年以下。</w:t>
      </w:r>
    </w:p>
    <w:p>
      <w:pPr>
        <w:spacing w:line="240" w:lineRule="auto"/>
        <w:ind w:firstLine="640"/>
        <w:jc w:val="both"/>
      </w:pPr>
      <w:r>
        <w:rPr>
          <w:rFonts w:ascii="仿宋_GB2312" w:hAnsi="仿宋_GB2312" w:eastAsia="仿宋_GB2312" w:cs="仿宋_GB2312"/>
          <w:sz w:val="32"/>
        </w:rPr>
        <w:t>判处管制，可以根据犯罪情况，同时禁止犯罪分子在执行期间从事特定活动，进入特定区域、场所，接触特定的人。</w:t>
      </w:r>
    </w:p>
    <w:p>
      <w:pPr>
        <w:spacing w:line="240" w:lineRule="auto"/>
        <w:ind w:firstLine="640"/>
        <w:jc w:val="both"/>
      </w:pPr>
      <w:r>
        <w:rPr>
          <w:rFonts w:ascii="仿宋_GB2312" w:hAnsi="仿宋_GB2312" w:eastAsia="仿宋_GB2312" w:cs="仿宋_GB2312"/>
          <w:sz w:val="32"/>
        </w:rPr>
        <w:t>对判处管制的犯罪分子，依法实行社区矫正。</w:t>
      </w:r>
    </w:p>
    <w:p>
      <w:pPr>
        <w:spacing w:line="240" w:lineRule="auto"/>
        <w:ind w:firstLine="640"/>
        <w:jc w:val="both"/>
      </w:pPr>
      <w:r>
        <w:rPr>
          <w:rFonts w:ascii="仿宋_GB2312" w:hAnsi="仿宋_GB2312" w:eastAsia="仿宋_GB2312" w:cs="仿宋_GB2312"/>
          <w:sz w:val="32"/>
        </w:rPr>
        <w:t>违反第二款规定的禁止令的，由公安机关依照《中华人民共和国治安管理处罚法》的规定处罚。</w:t>
      </w:r>
    </w:p>
    <w:p>
      <w:pPr>
        <w:spacing w:line="240" w:lineRule="auto"/>
        <w:ind w:firstLine="640"/>
        <w:jc w:val="both"/>
      </w:pPr>
      <w:r>
        <w:rPr>
          <w:rFonts w:ascii="黑体" w:hAnsi="黑体" w:eastAsia="黑体" w:cs="黑体"/>
          <w:sz w:val="32"/>
        </w:rPr>
        <w:t>第三十九条</w:t>
      </w:r>
      <w:r>
        <w:rPr>
          <w:rFonts w:ascii="仿宋_GB2312" w:hAnsi="仿宋_GB2312" w:eastAsia="仿宋_GB2312" w:cs="仿宋_GB2312"/>
          <w:sz w:val="32"/>
        </w:rPr>
        <w:t>　被判处管制的犯罪分子，在执行期间，应当遵守下列规定：</w:t>
      </w:r>
    </w:p>
    <w:p>
      <w:pPr>
        <w:spacing w:line="240" w:lineRule="auto"/>
        <w:ind w:firstLine="640"/>
        <w:jc w:val="both"/>
      </w:pPr>
      <w:r>
        <w:rPr>
          <w:rFonts w:ascii="仿宋_GB2312" w:hAnsi="仿宋_GB2312" w:eastAsia="仿宋_GB2312" w:cs="仿宋_GB2312"/>
          <w:sz w:val="32"/>
        </w:rPr>
        <w:t>（一）遵守法律、行政法规，服从监督；</w:t>
      </w:r>
    </w:p>
    <w:p>
      <w:pPr>
        <w:spacing w:line="240" w:lineRule="auto"/>
        <w:ind w:firstLine="640"/>
        <w:jc w:val="both"/>
      </w:pPr>
      <w:r>
        <w:rPr>
          <w:rFonts w:ascii="仿宋_GB2312" w:hAnsi="仿宋_GB2312" w:eastAsia="仿宋_GB2312" w:cs="仿宋_GB2312"/>
          <w:sz w:val="32"/>
        </w:rPr>
        <w:t>（二）未经执行机关批准，不得行使言论、出版、集会、结社、游行、示威自由的权利；</w:t>
      </w:r>
    </w:p>
    <w:p>
      <w:pPr>
        <w:spacing w:line="240" w:lineRule="auto"/>
        <w:ind w:firstLine="640"/>
        <w:jc w:val="both"/>
      </w:pPr>
      <w:r>
        <w:rPr>
          <w:rFonts w:ascii="仿宋_GB2312" w:hAnsi="仿宋_GB2312" w:eastAsia="仿宋_GB2312" w:cs="仿宋_GB2312"/>
          <w:sz w:val="32"/>
        </w:rPr>
        <w:t>（三）按照执行机关规定报告自己的活动情况；</w:t>
      </w:r>
    </w:p>
    <w:p>
      <w:pPr>
        <w:spacing w:line="240" w:lineRule="auto"/>
        <w:ind w:firstLine="640"/>
        <w:jc w:val="both"/>
      </w:pPr>
      <w:r>
        <w:rPr>
          <w:rFonts w:ascii="仿宋_GB2312" w:hAnsi="仿宋_GB2312" w:eastAsia="仿宋_GB2312" w:cs="仿宋_GB2312"/>
          <w:sz w:val="32"/>
        </w:rPr>
        <w:t>（四）遵守执行机关关于会客的规定；</w:t>
      </w:r>
    </w:p>
    <w:p>
      <w:pPr>
        <w:spacing w:line="240" w:lineRule="auto"/>
        <w:ind w:firstLine="640"/>
        <w:jc w:val="both"/>
      </w:pPr>
      <w:r>
        <w:rPr>
          <w:rFonts w:ascii="仿宋_GB2312" w:hAnsi="仿宋_GB2312" w:eastAsia="仿宋_GB2312" w:cs="仿宋_GB2312"/>
          <w:sz w:val="32"/>
        </w:rPr>
        <w:t>（五）离开所居住的市、县或者迁居，应当报经执行机关批准。</w:t>
      </w:r>
    </w:p>
    <w:p>
      <w:pPr>
        <w:spacing w:line="240" w:lineRule="auto"/>
        <w:ind w:firstLine="640"/>
        <w:jc w:val="both"/>
      </w:pPr>
      <w:r>
        <w:rPr>
          <w:rFonts w:ascii="仿宋_GB2312" w:hAnsi="仿宋_GB2312" w:eastAsia="仿宋_GB2312" w:cs="仿宋_GB2312"/>
          <w:sz w:val="32"/>
        </w:rPr>
        <w:t>对于被判处管制的犯罪分子，在劳动中应当同工同酬。</w:t>
      </w:r>
    </w:p>
    <w:p>
      <w:pPr>
        <w:spacing w:line="240" w:lineRule="auto"/>
        <w:ind w:firstLine="640"/>
        <w:jc w:val="both"/>
      </w:pPr>
      <w:r>
        <w:rPr>
          <w:rFonts w:ascii="黑体" w:hAnsi="黑体" w:eastAsia="黑体" w:cs="黑体"/>
          <w:sz w:val="32"/>
        </w:rPr>
        <w:t>第四十条</w:t>
      </w:r>
      <w:r>
        <w:rPr>
          <w:rFonts w:ascii="仿宋_GB2312" w:hAnsi="仿宋_GB2312" w:eastAsia="仿宋_GB2312" w:cs="仿宋_GB2312"/>
          <w:sz w:val="32"/>
        </w:rPr>
        <w:t>　被判处管制的犯罪分子，管制期满，执行机关应即向本人和其所在单位或者居住地的群众宣布解除管制。</w:t>
      </w:r>
    </w:p>
    <w:p>
      <w:pPr>
        <w:spacing w:line="240" w:lineRule="auto"/>
        <w:ind w:firstLine="640"/>
        <w:jc w:val="both"/>
      </w:pPr>
      <w:r>
        <w:rPr>
          <w:rFonts w:ascii="黑体" w:hAnsi="黑体" w:eastAsia="黑体" w:cs="黑体"/>
          <w:sz w:val="32"/>
        </w:rPr>
        <w:t>第四十一条</w:t>
      </w:r>
      <w:r>
        <w:rPr>
          <w:rFonts w:ascii="仿宋_GB2312" w:hAnsi="仿宋_GB2312" w:eastAsia="仿宋_GB2312" w:cs="仿宋_GB2312"/>
          <w:sz w:val="32"/>
        </w:rPr>
        <w:t>　管制的刑期，从判决执行之日起计算；判决执行以前先行羁押的，羁押一日折抵刑期二日。</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拘役</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第四十二条</w:t>
      </w:r>
      <w:r>
        <w:rPr>
          <w:rFonts w:ascii="仿宋_GB2312" w:hAnsi="仿宋_GB2312" w:eastAsia="仿宋_GB2312" w:cs="仿宋_GB2312"/>
          <w:sz w:val="32"/>
        </w:rPr>
        <w:t>　拘役的期限，为一个月以上六个月以下。</w:t>
      </w:r>
    </w:p>
    <w:p>
      <w:pPr>
        <w:spacing w:line="240" w:lineRule="auto"/>
        <w:ind w:firstLine="640"/>
        <w:jc w:val="both"/>
      </w:pPr>
      <w:r>
        <w:rPr>
          <w:rFonts w:ascii="黑体" w:hAnsi="黑体" w:eastAsia="黑体" w:cs="黑体"/>
          <w:sz w:val="32"/>
        </w:rPr>
        <w:t>第四十三条</w:t>
      </w:r>
      <w:r>
        <w:rPr>
          <w:rFonts w:ascii="仿宋_GB2312" w:hAnsi="仿宋_GB2312" w:eastAsia="仿宋_GB2312" w:cs="仿宋_GB2312"/>
          <w:sz w:val="32"/>
        </w:rPr>
        <w:t>　被判处拘役的犯罪分子，由公安机关就近执行。</w:t>
      </w:r>
    </w:p>
    <w:p>
      <w:pPr>
        <w:spacing w:line="240" w:lineRule="auto"/>
        <w:ind w:firstLine="640"/>
        <w:jc w:val="both"/>
      </w:pPr>
      <w:r>
        <w:rPr>
          <w:rFonts w:ascii="仿宋_GB2312" w:hAnsi="仿宋_GB2312" w:eastAsia="仿宋_GB2312" w:cs="仿宋_GB2312"/>
          <w:sz w:val="32"/>
        </w:rPr>
        <w:t>在执行期间，被判处拘役的犯罪分子每月可以回家一天至两天；参加劳动的，可以酌量发给报酬。</w:t>
      </w:r>
    </w:p>
    <w:p>
      <w:pPr>
        <w:spacing w:line="240" w:lineRule="auto"/>
        <w:ind w:firstLine="640"/>
        <w:jc w:val="both"/>
      </w:pPr>
      <w:r>
        <w:rPr>
          <w:rFonts w:ascii="黑体" w:hAnsi="黑体" w:eastAsia="黑体" w:cs="黑体"/>
          <w:sz w:val="32"/>
        </w:rPr>
        <w:t>第四十四条</w:t>
      </w:r>
      <w:r>
        <w:rPr>
          <w:rFonts w:ascii="仿宋_GB2312" w:hAnsi="仿宋_GB2312" w:eastAsia="仿宋_GB2312" w:cs="仿宋_GB2312"/>
          <w:sz w:val="32"/>
        </w:rPr>
        <w:t>　拘役的刑期，从判决执行之日起计算；判决执行以前先行羁押的，羁押一日折抵刑期一日。</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有期徒刑、无期徒刑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第四十五条</w:t>
      </w:r>
      <w:r>
        <w:rPr>
          <w:rFonts w:ascii="仿宋_GB2312" w:hAnsi="仿宋_GB2312" w:eastAsia="仿宋_GB2312" w:cs="仿宋_GB2312"/>
          <w:sz w:val="32"/>
        </w:rPr>
        <w:t>　有期徒刑的期限，除本法第五十条、第六十九条规定外，为六个月以上十五年以下。</w:t>
      </w:r>
    </w:p>
    <w:p>
      <w:pPr>
        <w:spacing w:line="240" w:lineRule="auto"/>
        <w:ind w:firstLine="640"/>
        <w:jc w:val="both"/>
      </w:pPr>
      <w:r>
        <w:rPr>
          <w:rFonts w:ascii="黑体" w:hAnsi="黑体" w:eastAsia="黑体" w:cs="黑体"/>
          <w:sz w:val="32"/>
        </w:rPr>
        <w:t>第四十六条</w:t>
      </w:r>
      <w:r>
        <w:rPr>
          <w:rFonts w:ascii="仿宋_GB2312" w:hAnsi="仿宋_GB2312" w:eastAsia="仿宋_GB2312" w:cs="仿宋_GB2312"/>
          <w:sz w:val="32"/>
        </w:rPr>
        <w:t>　被判处有期徒刑、无期徒刑的犯罪分子，在监狱或者其他执行场所执行；凡有劳动能力的，都应当参加劳动，接受教育和改造。</w:t>
      </w:r>
    </w:p>
    <w:p>
      <w:pPr>
        <w:spacing w:line="240" w:lineRule="auto"/>
        <w:ind w:firstLine="640"/>
        <w:jc w:val="both"/>
      </w:pPr>
      <w:r>
        <w:rPr>
          <w:rFonts w:ascii="黑体" w:hAnsi="黑体" w:eastAsia="黑体" w:cs="黑体"/>
          <w:sz w:val="32"/>
        </w:rPr>
        <w:t>第四十七条</w:t>
      </w:r>
      <w:r>
        <w:rPr>
          <w:rFonts w:ascii="仿宋_GB2312" w:hAnsi="仿宋_GB2312" w:eastAsia="仿宋_GB2312" w:cs="仿宋_GB2312"/>
          <w:sz w:val="32"/>
        </w:rPr>
        <w:t>　有期徒刑的刑期，从判决执行之日起计算；判决执行以前先行羁押的，羁押一日折抵刑期一日。</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死刑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第四十八条</w:t>
      </w:r>
      <w:r>
        <w:rPr>
          <w:rFonts w:ascii="仿宋_GB2312" w:hAnsi="仿宋_GB2312" w:eastAsia="仿宋_GB2312" w:cs="仿宋_GB2312"/>
          <w:sz w:val="32"/>
        </w:rPr>
        <w:t>　死刑只适用于罪行极其严重的犯罪分子。对于应当判处死刑的犯罪分子，如果不是必须立即执行的，可以判处死刑同时宣告缓期二年执行。</w:t>
      </w:r>
    </w:p>
    <w:p>
      <w:pPr>
        <w:spacing w:line="240" w:lineRule="auto"/>
        <w:ind w:firstLine="640"/>
        <w:jc w:val="both"/>
      </w:pPr>
      <w:r>
        <w:rPr>
          <w:rFonts w:ascii="仿宋_GB2312" w:hAnsi="仿宋_GB2312" w:eastAsia="仿宋_GB2312" w:cs="仿宋_GB2312"/>
          <w:sz w:val="32"/>
        </w:rPr>
        <w:t>死刑除依法由最高人民法院判决的以外，都应当报请最高人民法院核准。死刑缓期执行的，可以由高级人民法院判决或者核准。</w:t>
      </w:r>
    </w:p>
    <w:p>
      <w:pPr>
        <w:spacing w:line="240" w:lineRule="auto"/>
        <w:ind w:firstLine="640"/>
        <w:jc w:val="both"/>
      </w:pPr>
      <w:r>
        <w:rPr>
          <w:rFonts w:ascii="黑体" w:hAnsi="黑体" w:eastAsia="黑体" w:cs="黑体"/>
          <w:sz w:val="32"/>
        </w:rPr>
        <w:t>第四十九条</w:t>
      </w:r>
      <w:r>
        <w:rPr>
          <w:rFonts w:ascii="仿宋_GB2312" w:hAnsi="仿宋_GB2312" w:eastAsia="仿宋_GB2312" w:cs="仿宋_GB2312"/>
          <w:sz w:val="32"/>
        </w:rPr>
        <w:t>　犯罪的时候不满十八周岁的人和审判的时候怀孕的妇女，不适用死刑。</w:t>
      </w:r>
    </w:p>
    <w:p>
      <w:pPr>
        <w:spacing w:line="240" w:lineRule="auto"/>
        <w:ind w:firstLine="640"/>
        <w:jc w:val="both"/>
      </w:pPr>
      <w:r>
        <w:rPr>
          <w:rFonts w:ascii="仿宋_GB2312" w:hAnsi="仿宋_GB2312" w:eastAsia="仿宋_GB2312" w:cs="仿宋_GB2312"/>
          <w:sz w:val="32"/>
        </w:rPr>
        <w:t>审判的时候已满七十五周岁的人，不适用死刑，但以特别残忍手段致人死亡的除外。</w:t>
      </w:r>
    </w:p>
    <w:p>
      <w:pPr>
        <w:spacing w:line="240" w:lineRule="auto"/>
        <w:ind w:firstLine="640"/>
        <w:jc w:val="both"/>
      </w:pPr>
      <w:r>
        <w:rPr>
          <w:rFonts w:ascii="黑体" w:hAnsi="黑体" w:eastAsia="黑体" w:cs="黑体"/>
          <w:sz w:val="32"/>
        </w:rPr>
        <w:t>第五十条</w:t>
      </w:r>
      <w:r>
        <w:rPr>
          <w:rFonts w:ascii="仿宋_GB2312" w:hAnsi="仿宋_GB2312" w:eastAsia="仿宋_GB2312" w:cs="仿宋_GB2312"/>
          <w:sz w:val="32"/>
        </w:rPr>
        <w:t>　判处死刑缓期执行的，在死刑缓期执行期间，如果没有故意犯罪，二年期满以后，减为无期徒刑；如果确有重大立功表现，二年期满以后，减为二十五年有期徒刑；如果故意犯罪，情节恶劣的，报请最高人民法院核准后执行死刑；对于故意犯罪未执行死刑的，死刑缓期执行的期间重新计算，并报最高人民法院备案。</w:t>
      </w:r>
    </w:p>
    <w:p>
      <w:pPr>
        <w:spacing w:line="240" w:lineRule="auto"/>
        <w:ind w:firstLine="640"/>
        <w:jc w:val="both"/>
      </w:pPr>
      <w:r>
        <w:rPr>
          <w:rFonts w:ascii="仿宋_GB2312" w:hAnsi="仿宋_GB2312" w:eastAsia="仿宋_GB2312" w:cs="仿宋_GB2312"/>
          <w:sz w:val="32"/>
        </w:rPr>
        <w:t>对被判处死刑缓期执行的累犯以及因故意杀人、强奸、抢劫、绑架、放火、爆炸、投放危险物质或者有组织的暴力性犯罪被判处死刑缓期执行的犯罪分子，人民法院根据犯罪情节等情况可以同时决定对其限制减刑。</w:t>
      </w:r>
    </w:p>
    <w:p>
      <w:pPr>
        <w:spacing w:line="240" w:lineRule="auto"/>
        <w:ind w:firstLine="640"/>
        <w:jc w:val="both"/>
      </w:pPr>
      <w:r>
        <w:rPr>
          <w:rFonts w:ascii="黑体" w:hAnsi="黑体" w:eastAsia="黑体" w:cs="黑体"/>
          <w:sz w:val="32"/>
        </w:rPr>
        <w:t>第五十一条</w:t>
      </w:r>
      <w:r>
        <w:rPr>
          <w:rFonts w:ascii="仿宋_GB2312" w:hAnsi="仿宋_GB2312" w:eastAsia="仿宋_GB2312" w:cs="仿宋_GB2312"/>
          <w:sz w:val="32"/>
        </w:rPr>
        <w:t>　死刑缓期执行的期间，从判决确定之日起计算。死刑缓期执行减为有期徒刑的刑期，从死刑缓期执行期满之日起计算。</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罚金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第五十二条</w:t>
      </w:r>
      <w:r>
        <w:rPr>
          <w:rFonts w:ascii="仿宋_GB2312" w:hAnsi="仿宋_GB2312" w:eastAsia="仿宋_GB2312" w:cs="仿宋_GB2312"/>
          <w:sz w:val="32"/>
        </w:rPr>
        <w:t>　判处罚金，应当根据犯罪情节决定罚金数额。</w:t>
      </w:r>
    </w:p>
    <w:p>
      <w:pPr>
        <w:spacing w:line="240" w:lineRule="auto"/>
        <w:ind w:firstLine="640"/>
        <w:jc w:val="both"/>
      </w:pPr>
      <w:r>
        <w:rPr>
          <w:rFonts w:ascii="黑体" w:hAnsi="黑体" w:eastAsia="黑体" w:cs="黑体"/>
          <w:sz w:val="32"/>
        </w:rPr>
        <w:t>第五十三条</w:t>
      </w:r>
      <w:r>
        <w:rPr>
          <w:rFonts w:ascii="仿宋_GB2312" w:hAnsi="仿宋_GB2312" w:eastAsia="仿宋_GB2312" w:cs="仿宋_GB2312"/>
          <w:sz w:val="32"/>
        </w:rPr>
        <w:t>　罚金在判决指定的期限内一次或者分期缴纳。期满不缴纳的，强制缴纳。对于不能全部缴纳罚金的，人民法院在任何时候发现被执行人有可以执行的财产，应当随时追缴。</w:t>
      </w:r>
    </w:p>
    <w:p>
      <w:pPr>
        <w:spacing w:line="240" w:lineRule="auto"/>
        <w:ind w:firstLine="640"/>
        <w:jc w:val="both"/>
      </w:pPr>
      <w:r>
        <w:rPr>
          <w:rFonts w:ascii="仿宋_GB2312" w:hAnsi="仿宋_GB2312" w:eastAsia="仿宋_GB2312" w:cs="仿宋_GB2312"/>
          <w:sz w:val="32"/>
        </w:rPr>
        <w:t>由于遭遇不能抗拒的灾祸等原因缴纳确实有困难的，经人民法院裁定，可以延期缴纳、酌情减少或者免除。</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剥夺政治权利</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第五十四条</w:t>
      </w:r>
      <w:r>
        <w:rPr>
          <w:rFonts w:ascii="仿宋_GB2312" w:hAnsi="仿宋_GB2312" w:eastAsia="仿宋_GB2312" w:cs="仿宋_GB2312"/>
          <w:sz w:val="32"/>
        </w:rPr>
        <w:t>　剥夺政治权利是剥夺下列权利：</w:t>
      </w:r>
    </w:p>
    <w:p>
      <w:pPr>
        <w:spacing w:line="240" w:lineRule="auto"/>
        <w:ind w:firstLine="640"/>
        <w:jc w:val="both"/>
      </w:pPr>
      <w:r>
        <w:rPr>
          <w:rFonts w:ascii="仿宋_GB2312" w:hAnsi="仿宋_GB2312" w:eastAsia="仿宋_GB2312" w:cs="仿宋_GB2312"/>
          <w:sz w:val="32"/>
        </w:rPr>
        <w:t>（一）选举权和被选举权；</w:t>
      </w:r>
    </w:p>
    <w:p>
      <w:pPr>
        <w:spacing w:line="240" w:lineRule="auto"/>
        <w:ind w:firstLine="640"/>
        <w:jc w:val="both"/>
      </w:pPr>
      <w:r>
        <w:rPr>
          <w:rFonts w:ascii="仿宋_GB2312" w:hAnsi="仿宋_GB2312" w:eastAsia="仿宋_GB2312" w:cs="仿宋_GB2312"/>
          <w:sz w:val="32"/>
        </w:rPr>
        <w:t>（二）言论、出版、集会、结社、游行、示威自由的权利；</w:t>
      </w:r>
    </w:p>
    <w:p>
      <w:pPr>
        <w:spacing w:line="240" w:lineRule="auto"/>
        <w:ind w:firstLine="640"/>
        <w:jc w:val="both"/>
      </w:pPr>
      <w:r>
        <w:rPr>
          <w:rFonts w:ascii="仿宋_GB2312" w:hAnsi="仿宋_GB2312" w:eastAsia="仿宋_GB2312" w:cs="仿宋_GB2312"/>
          <w:sz w:val="32"/>
        </w:rPr>
        <w:t>（三）担任国家机关职务的权利；</w:t>
      </w:r>
    </w:p>
    <w:p>
      <w:pPr>
        <w:spacing w:line="240" w:lineRule="auto"/>
        <w:ind w:firstLine="640"/>
        <w:jc w:val="both"/>
      </w:pPr>
      <w:r>
        <w:rPr>
          <w:rFonts w:ascii="仿宋_GB2312" w:hAnsi="仿宋_GB2312" w:eastAsia="仿宋_GB2312" w:cs="仿宋_GB2312"/>
          <w:sz w:val="32"/>
        </w:rPr>
        <w:t>（四）担任国有公司、企业、事业单位和人民团体领导职务的权利。</w:t>
      </w:r>
    </w:p>
    <w:p>
      <w:pPr>
        <w:spacing w:line="240" w:lineRule="auto"/>
        <w:ind w:firstLine="640"/>
        <w:jc w:val="both"/>
      </w:pPr>
      <w:r>
        <w:rPr>
          <w:rFonts w:ascii="黑体" w:hAnsi="黑体" w:eastAsia="黑体" w:cs="黑体"/>
          <w:sz w:val="32"/>
        </w:rPr>
        <w:t>第五十五条</w:t>
      </w:r>
      <w:r>
        <w:rPr>
          <w:rFonts w:ascii="仿宋_GB2312" w:hAnsi="仿宋_GB2312" w:eastAsia="仿宋_GB2312" w:cs="仿宋_GB2312"/>
          <w:sz w:val="32"/>
        </w:rPr>
        <w:t>　剥夺政治权利的期限，除本法第五十七条规定外，为一年以上五年以下。</w:t>
      </w:r>
    </w:p>
    <w:p>
      <w:pPr>
        <w:spacing w:line="240" w:lineRule="auto"/>
        <w:ind w:firstLine="640"/>
        <w:jc w:val="both"/>
      </w:pPr>
      <w:r>
        <w:rPr>
          <w:rFonts w:ascii="仿宋_GB2312" w:hAnsi="仿宋_GB2312" w:eastAsia="仿宋_GB2312" w:cs="仿宋_GB2312"/>
          <w:sz w:val="32"/>
        </w:rPr>
        <w:t>判处管制附加剥夺政治权利的，剥夺政治权利的期限与管制的期限相等，同时执行。</w:t>
      </w:r>
    </w:p>
    <w:p>
      <w:pPr>
        <w:spacing w:line="240" w:lineRule="auto"/>
        <w:ind w:firstLine="640"/>
        <w:jc w:val="both"/>
      </w:pPr>
      <w:r>
        <w:rPr>
          <w:rFonts w:ascii="黑体" w:hAnsi="黑体" w:eastAsia="黑体" w:cs="黑体"/>
          <w:sz w:val="32"/>
        </w:rPr>
        <w:t>第五十六条</w:t>
      </w:r>
      <w:r>
        <w:rPr>
          <w:rFonts w:ascii="仿宋_GB2312" w:hAnsi="仿宋_GB2312" w:eastAsia="仿宋_GB2312" w:cs="仿宋_GB2312"/>
          <w:sz w:val="32"/>
        </w:rPr>
        <w:t>　对于危害国家安全的犯罪分子应当附加剥夺政治权利；对于故意杀人、强奸、放火、爆炸、投毒、抢劫等严重破坏社会秩序的犯罪分子，可以附加剥夺政治权利。</w:t>
      </w:r>
    </w:p>
    <w:p>
      <w:pPr>
        <w:spacing w:line="240" w:lineRule="auto"/>
        <w:ind w:firstLine="640"/>
        <w:jc w:val="both"/>
      </w:pPr>
      <w:r>
        <w:rPr>
          <w:rFonts w:ascii="仿宋_GB2312" w:hAnsi="仿宋_GB2312" w:eastAsia="仿宋_GB2312" w:cs="仿宋_GB2312"/>
          <w:sz w:val="32"/>
        </w:rPr>
        <w:t>独立适用剥夺政治权利的，依照本法分则的规定。</w:t>
      </w:r>
    </w:p>
    <w:p>
      <w:pPr>
        <w:spacing w:line="240" w:lineRule="auto"/>
        <w:ind w:firstLine="640"/>
        <w:jc w:val="both"/>
      </w:pPr>
      <w:r>
        <w:rPr>
          <w:rFonts w:ascii="黑体" w:hAnsi="黑体" w:eastAsia="黑体" w:cs="黑体"/>
          <w:sz w:val="32"/>
        </w:rPr>
        <w:t>第五十七条</w:t>
      </w:r>
      <w:r>
        <w:rPr>
          <w:rFonts w:ascii="仿宋_GB2312" w:hAnsi="仿宋_GB2312" w:eastAsia="仿宋_GB2312" w:cs="仿宋_GB2312"/>
          <w:sz w:val="32"/>
        </w:rPr>
        <w:t>　对于被判处死刑、无期徒刑的犯罪分子，应当剥夺政治权利终身。</w:t>
      </w:r>
    </w:p>
    <w:p>
      <w:pPr>
        <w:spacing w:line="240" w:lineRule="auto"/>
        <w:ind w:firstLine="640"/>
        <w:jc w:val="both"/>
      </w:pPr>
      <w:r>
        <w:rPr>
          <w:rFonts w:ascii="仿宋_GB2312" w:hAnsi="仿宋_GB2312" w:eastAsia="仿宋_GB2312" w:cs="仿宋_GB2312"/>
          <w:sz w:val="32"/>
        </w:rPr>
        <w:t>在死刑缓期执行减为有期徒刑或者无期徒刑减为有期徒刑的时候，应当把附加剥夺政治权利的期限改为三年以上十年以下。</w:t>
      </w:r>
    </w:p>
    <w:p>
      <w:pPr>
        <w:spacing w:line="240" w:lineRule="auto"/>
        <w:ind w:firstLine="640"/>
        <w:jc w:val="both"/>
      </w:pPr>
      <w:r>
        <w:rPr>
          <w:rFonts w:ascii="黑体" w:hAnsi="黑体" w:eastAsia="黑体" w:cs="黑体"/>
          <w:sz w:val="32"/>
        </w:rPr>
        <w:t>第五十八条</w:t>
      </w:r>
      <w:r>
        <w:rPr>
          <w:rFonts w:ascii="仿宋_GB2312" w:hAnsi="仿宋_GB2312" w:eastAsia="仿宋_GB2312" w:cs="仿宋_GB2312"/>
          <w:sz w:val="32"/>
        </w:rPr>
        <w:t>　附加剥夺政治权利的刑期，从徒刑、拘役执行完毕之日或者从假释之日起计算；剥夺政治权利的效力当然施用于主刑执行期间。</w:t>
      </w:r>
    </w:p>
    <w:p>
      <w:pPr>
        <w:spacing w:line="240" w:lineRule="auto"/>
        <w:ind w:firstLine="640"/>
        <w:jc w:val="both"/>
      </w:pPr>
      <w:r>
        <w:rPr>
          <w:rFonts w:ascii="仿宋_GB2312" w:hAnsi="仿宋_GB2312" w:eastAsia="仿宋_GB2312" w:cs="仿宋_GB2312"/>
          <w:sz w:val="32"/>
        </w:rPr>
        <w:t>被剥夺政治权利的犯罪分子，在执行期间，应当遵守法律、行政法规和国务院公安部门有关监督管理的规定，服从监督；不得行使本法第五十四条规定的各项权利。</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没收财产</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第五十九条</w:t>
      </w:r>
      <w:r>
        <w:rPr>
          <w:rFonts w:ascii="仿宋_GB2312" w:hAnsi="仿宋_GB2312" w:eastAsia="仿宋_GB2312" w:cs="仿宋_GB2312"/>
          <w:sz w:val="32"/>
        </w:rPr>
        <w:t>　没收财产是没收犯罪分子个人所有财产的一部或者全部。没收全部财产的，应当对犯罪分子个人及其扶养的家属保留必需的生活费用。</w:t>
      </w:r>
    </w:p>
    <w:p>
      <w:pPr>
        <w:spacing w:line="240" w:lineRule="auto"/>
        <w:ind w:firstLine="640"/>
        <w:jc w:val="both"/>
      </w:pPr>
      <w:r>
        <w:rPr>
          <w:rFonts w:ascii="仿宋_GB2312" w:hAnsi="仿宋_GB2312" w:eastAsia="仿宋_GB2312" w:cs="仿宋_GB2312"/>
          <w:sz w:val="32"/>
        </w:rPr>
        <w:t>在判处没收财产的时候，不得没收属于犯罪分子家属所有或者应有的财产。</w:t>
      </w:r>
    </w:p>
    <w:p>
      <w:pPr>
        <w:spacing w:line="240" w:lineRule="auto"/>
        <w:ind w:firstLine="640"/>
        <w:jc w:val="both"/>
      </w:pPr>
      <w:r>
        <w:rPr>
          <w:rFonts w:ascii="黑体" w:hAnsi="黑体" w:eastAsia="黑体" w:cs="黑体"/>
          <w:sz w:val="32"/>
        </w:rPr>
        <w:t>第六十条</w:t>
      </w:r>
      <w:r>
        <w:rPr>
          <w:rFonts w:ascii="仿宋_GB2312" w:hAnsi="仿宋_GB2312" w:eastAsia="仿宋_GB2312" w:cs="仿宋_GB2312"/>
          <w:sz w:val="32"/>
        </w:rPr>
        <w:t>　没收财产以前犯罪分子所负的正当债务，需要以没收的财产偿还的，经债权人请求，应当偿还。</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第四章　刑罚的具体运用</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量刑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第六十一条</w:t>
      </w:r>
      <w:r>
        <w:rPr>
          <w:rFonts w:ascii="仿宋_GB2312" w:hAnsi="仿宋_GB2312" w:eastAsia="仿宋_GB2312" w:cs="仿宋_GB2312"/>
          <w:sz w:val="32"/>
        </w:rPr>
        <w:t>　对于犯罪分子决定刑罚的时候，应当根据犯罪的事实、犯罪的性质、情节和对于社会的危害程度，依照本法的有关规定判处。</w:t>
      </w:r>
    </w:p>
    <w:p>
      <w:pPr>
        <w:spacing w:line="240" w:lineRule="auto"/>
        <w:ind w:firstLine="640"/>
        <w:jc w:val="both"/>
      </w:pPr>
      <w:r>
        <w:rPr>
          <w:rFonts w:ascii="黑体" w:hAnsi="黑体" w:eastAsia="黑体" w:cs="黑体"/>
          <w:sz w:val="32"/>
        </w:rPr>
        <w:t>第六十二条</w:t>
      </w:r>
      <w:r>
        <w:rPr>
          <w:rFonts w:ascii="仿宋_GB2312" w:hAnsi="仿宋_GB2312" w:eastAsia="仿宋_GB2312" w:cs="仿宋_GB2312"/>
          <w:sz w:val="32"/>
        </w:rPr>
        <w:t>　犯罪分子具有本法规定的从重处罚、从轻处罚情节的，应当在法定刑的限度以内判处刑罚。</w:t>
      </w:r>
    </w:p>
    <w:p>
      <w:pPr>
        <w:spacing w:line="240" w:lineRule="auto"/>
        <w:ind w:firstLine="640"/>
        <w:jc w:val="both"/>
      </w:pPr>
      <w:r>
        <w:rPr>
          <w:rFonts w:ascii="黑体" w:hAnsi="黑体" w:eastAsia="黑体" w:cs="黑体"/>
          <w:sz w:val="32"/>
        </w:rPr>
        <w:t>第六十三条</w:t>
      </w:r>
      <w:r>
        <w:rPr>
          <w:rFonts w:ascii="仿宋_GB2312" w:hAnsi="仿宋_GB2312" w:eastAsia="仿宋_GB2312" w:cs="仿宋_GB2312"/>
          <w:sz w:val="32"/>
        </w:rPr>
        <w:t>　犯罪分子具有本法规定的减轻处罚情节的，应当在法定刑以下判处刑罚；本法规定有数个量刑幅度的，应当在法定量刑幅度的下一个量刑幅度内判处刑罚。</w:t>
      </w:r>
    </w:p>
    <w:p>
      <w:pPr>
        <w:spacing w:line="240" w:lineRule="auto"/>
        <w:ind w:firstLine="640"/>
        <w:jc w:val="both"/>
      </w:pPr>
      <w:r>
        <w:rPr>
          <w:rFonts w:ascii="仿宋_GB2312" w:hAnsi="仿宋_GB2312" w:eastAsia="仿宋_GB2312" w:cs="仿宋_GB2312"/>
          <w:sz w:val="32"/>
        </w:rPr>
        <w:t>犯罪分子虽然不具有本法规定的减轻处罚情节，但是根据案件的特殊情况，经最高人民法院核准，也可以在法定刑以下判处刑罚。</w:t>
      </w:r>
    </w:p>
    <w:p>
      <w:pPr>
        <w:spacing w:line="240" w:lineRule="auto"/>
        <w:ind w:firstLine="640"/>
        <w:jc w:val="both"/>
      </w:pPr>
      <w:r>
        <w:rPr>
          <w:rFonts w:ascii="黑体" w:hAnsi="黑体" w:eastAsia="黑体" w:cs="黑体"/>
          <w:sz w:val="32"/>
        </w:rPr>
        <w:t>第六十四条</w:t>
      </w:r>
      <w:r>
        <w:rPr>
          <w:rFonts w:ascii="仿宋_GB2312" w:hAnsi="仿宋_GB2312" w:eastAsia="仿宋_GB2312" w:cs="仿宋_GB2312"/>
          <w:sz w:val="32"/>
        </w:rPr>
        <w:t>　犯罪分子违法所得的一切财物，应当予以追缴或者责令退赔；对被害人的合法财产，应当及时返还；违禁品和供犯罪所用的本人财物，应当予以没收。没收的财物和罚金，一律上缴国库，不得挪用和自行处理。</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累犯</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第六十五条</w:t>
      </w:r>
      <w:r>
        <w:rPr>
          <w:rFonts w:ascii="仿宋_GB2312" w:hAnsi="仿宋_GB2312" w:eastAsia="仿宋_GB2312" w:cs="仿宋_GB2312"/>
          <w:sz w:val="32"/>
        </w:rPr>
        <w:t>　被判处有期徒刑以上刑罚的犯罪分子，刑罚执行完毕或者赦免以后，在五年以内再犯应当判处有期徒刑以上刑罚之罪的，是累犯，应当从重处罚，但是过失犯罪和不满十八周岁的人犯罪的除外。</w:t>
      </w:r>
    </w:p>
    <w:p>
      <w:pPr>
        <w:spacing w:line="240" w:lineRule="auto"/>
        <w:ind w:firstLine="640"/>
        <w:jc w:val="both"/>
      </w:pPr>
      <w:r>
        <w:rPr>
          <w:rFonts w:ascii="仿宋_GB2312" w:hAnsi="仿宋_GB2312" w:eastAsia="仿宋_GB2312" w:cs="仿宋_GB2312"/>
          <w:sz w:val="32"/>
        </w:rPr>
        <w:t>前款规定的期限，对于被假释的犯罪分子，从假释期满之日起计算。</w:t>
      </w:r>
    </w:p>
    <w:p>
      <w:pPr>
        <w:spacing w:line="240" w:lineRule="auto"/>
        <w:ind w:firstLine="640"/>
        <w:jc w:val="both"/>
      </w:pPr>
      <w:r>
        <w:rPr>
          <w:rFonts w:ascii="黑体" w:hAnsi="黑体" w:eastAsia="黑体" w:cs="黑体"/>
          <w:sz w:val="32"/>
        </w:rPr>
        <w:t>第六十六条</w:t>
      </w:r>
      <w:r>
        <w:rPr>
          <w:rFonts w:ascii="仿宋_GB2312" w:hAnsi="仿宋_GB2312" w:eastAsia="仿宋_GB2312" w:cs="仿宋_GB2312"/>
          <w:sz w:val="32"/>
        </w:rPr>
        <w:t>　危害国家安全犯罪、恐怖活动犯罪、黑社会性质的组织犯罪的犯罪分子，在刑罚执行完毕或者赦免以后，在任何时候再犯上述任一类罪的，都以累犯论处。</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自首和立功</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第六十七条</w:t>
      </w:r>
      <w:r>
        <w:rPr>
          <w:rFonts w:ascii="仿宋_GB2312" w:hAnsi="仿宋_GB2312" w:eastAsia="仿宋_GB2312" w:cs="仿宋_GB2312"/>
          <w:sz w:val="32"/>
        </w:rPr>
        <w:t>　犯罪以后自动投案，如实供述自己的罪行的，是自首。对于自首的犯罪分子，可以从轻或者减轻处罚。其中，犯罪较轻的，可以免除处罚。</w:t>
      </w:r>
    </w:p>
    <w:p>
      <w:pPr>
        <w:spacing w:line="240" w:lineRule="auto"/>
        <w:ind w:firstLine="640"/>
        <w:jc w:val="both"/>
      </w:pPr>
      <w:r>
        <w:rPr>
          <w:rFonts w:ascii="仿宋_GB2312" w:hAnsi="仿宋_GB2312" w:eastAsia="仿宋_GB2312" w:cs="仿宋_GB2312"/>
          <w:sz w:val="32"/>
        </w:rPr>
        <w:t>被采取强制措施的犯罪嫌疑人、被告人和正在服刑的罪犯，如实供述司法机关还未掌握的本人其他罪行的，以自首论。</w:t>
      </w:r>
    </w:p>
    <w:p>
      <w:pPr>
        <w:spacing w:line="240" w:lineRule="auto"/>
        <w:ind w:firstLine="640"/>
        <w:jc w:val="both"/>
      </w:pPr>
      <w:r>
        <w:rPr>
          <w:rFonts w:ascii="仿宋_GB2312" w:hAnsi="仿宋_GB2312" w:eastAsia="仿宋_GB2312" w:cs="仿宋_GB2312"/>
          <w:sz w:val="32"/>
        </w:rPr>
        <w:t>犯罪嫌疑人虽不具有前两款规定的自首情节，但是如实供述自己罪行的，可以从轻处罚；因其如实供述自己罪行，避免特别严重后果发生的，可以减轻处罚。</w:t>
      </w:r>
    </w:p>
    <w:p>
      <w:pPr>
        <w:spacing w:line="240" w:lineRule="auto"/>
        <w:ind w:firstLine="640"/>
        <w:jc w:val="both"/>
      </w:pPr>
      <w:r>
        <w:rPr>
          <w:rFonts w:ascii="黑体" w:hAnsi="黑体" w:eastAsia="黑体" w:cs="黑体"/>
          <w:sz w:val="32"/>
        </w:rPr>
        <w:t>第六十八条</w:t>
      </w:r>
      <w:r>
        <w:rPr>
          <w:rFonts w:ascii="仿宋_GB2312" w:hAnsi="仿宋_GB2312" w:eastAsia="仿宋_GB2312" w:cs="仿宋_GB2312"/>
          <w:sz w:val="32"/>
        </w:rPr>
        <w:t>　犯罪分子有揭发他人犯罪行为，查证属实的，或者提供重要线索，从而得以侦破其他案件等立功表现的，可以从轻或者减轻处罚；有重大立功表现的，可以减轻或者免除处罚。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数罪并罚</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第六十九条</w:t>
      </w:r>
      <w:r>
        <w:rPr>
          <w:rFonts w:ascii="仿宋_GB2312" w:hAnsi="仿宋_GB2312" w:eastAsia="仿宋_GB2312" w:cs="仿宋_GB2312"/>
          <w:sz w:val="32"/>
        </w:rPr>
        <w:t>　判决宣告以前一人犯数罪的，除判处死刑和无期徒刑的以外，应当在总和刑期以下、数刑中最高刑期以上，酌情决定执行的刑期，但是管制最高不能超过三年，拘役最高不能超过一年，有期徒刑总和刑期不满三十五年的，最高不能超过二十年，总和刑期在三十五年以上的，最高不能超过二十五年。</w:t>
      </w:r>
    </w:p>
    <w:p>
      <w:pPr>
        <w:spacing w:line="240" w:lineRule="auto"/>
        <w:ind w:firstLine="640"/>
        <w:jc w:val="both"/>
      </w:pPr>
      <w:r>
        <w:rPr>
          <w:rFonts w:ascii="仿宋_GB2312" w:hAnsi="仿宋_GB2312" w:eastAsia="仿宋_GB2312" w:cs="仿宋_GB2312"/>
          <w:sz w:val="32"/>
        </w:rPr>
        <w:t>数罪中有判处有期徒刑和拘役的，执行有期徒刑。数罪中有判处有期徒刑和管制，或者拘役和管制的，有期徒刑、拘役执行完毕后，管制仍须执行。</w:t>
      </w:r>
    </w:p>
    <w:p>
      <w:pPr>
        <w:spacing w:line="240" w:lineRule="auto"/>
        <w:ind w:firstLine="640"/>
        <w:jc w:val="both"/>
      </w:pPr>
      <w:r>
        <w:rPr>
          <w:rFonts w:ascii="仿宋_GB2312" w:hAnsi="仿宋_GB2312" w:eastAsia="仿宋_GB2312" w:cs="仿宋_GB2312"/>
          <w:sz w:val="32"/>
        </w:rPr>
        <w:t>数罪中有判处附加刑的，附加刑仍须执行，其中附加刑种类相同的，合并执行，种类不同的，分别执行。</w:t>
      </w:r>
    </w:p>
    <w:p>
      <w:pPr>
        <w:spacing w:line="240" w:lineRule="auto"/>
        <w:ind w:firstLine="640"/>
        <w:jc w:val="both"/>
      </w:pPr>
      <w:r>
        <w:rPr>
          <w:rFonts w:ascii="黑体" w:hAnsi="黑体" w:eastAsia="黑体" w:cs="黑体"/>
          <w:sz w:val="32"/>
        </w:rPr>
        <w:t>第七十条</w:t>
      </w:r>
      <w:r>
        <w:rPr>
          <w:rFonts w:ascii="仿宋_GB2312" w:hAnsi="仿宋_GB2312" w:eastAsia="仿宋_GB2312" w:cs="仿宋_GB2312"/>
          <w:sz w:val="32"/>
        </w:rPr>
        <w:t>　判决宣告以后，刑罚执行完毕以前，发现被判刑的犯罪分子在判决宣告以前还有其他罪没有判决的，应当对新发现的罪作出判决，把前后两个判决所判处的刑罚，依照本法第六十九条的规定，决定执行的刑罚。已经执行的刑期，应当计算在新判决决定的刑期以内。</w:t>
      </w:r>
    </w:p>
    <w:p>
      <w:pPr>
        <w:spacing w:line="240" w:lineRule="auto"/>
        <w:ind w:firstLine="640"/>
        <w:jc w:val="both"/>
      </w:pPr>
      <w:r>
        <w:rPr>
          <w:rFonts w:ascii="黑体" w:hAnsi="黑体" w:eastAsia="黑体" w:cs="黑体"/>
          <w:sz w:val="32"/>
        </w:rPr>
        <w:t>第七十一条</w:t>
      </w:r>
      <w:r>
        <w:rPr>
          <w:rFonts w:ascii="仿宋_GB2312" w:hAnsi="仿宋_GB2312" w:eastAsia="仿宋_GB2312" w:cs="仿宋_GB2312"/>
          <w:sz w:val="32"/>
        </w:rPr>
        <w:t>　判决宣告以后，刑罚执行完毕以前，被判刑的犯罪分子又犯罪的，应当对新犯的罪作出判决，把前罪没有执行的刑罚和后罪所判处的刑罚，依照本法第六十九条的规定，决定执行的刑罚。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缓刑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第七十二条</w:t>
      </w:r>
      <w:r>
        <w:rPr>
          <w:rFonts w:ascii="仿宋_GB2312" w:hAnsi="仿宋_GB2312" w:eastAsia="仿宋_GB2312" w:cs="仿宋_GB2312"/>
          <w:sz w:val="32"/>
        </w:rPr>
        <w:t>　对于被判处拘役、三年以下有期徒刑的犯罪分子，同时符合下列条件的，可以宣告缓刑，对其中不满十八周岁的人、怀孕的妇女和已满七十五周岁的人，应当宣告缓刑：</w:t>
      </w:r>
    </w:p>
    <w:p>
      <w:pPr>
        <w:spacing w:line="240" w:lineRule="auto"/>
        <w:ind w:firstLine="640"/>
        <w:jc w:val="both"/>
      </w:pPr>
      <w:r>
        <w:rPr>
          <w:rFonts w:ascii="仿宋_GB2312" w:hAnsi="仿宋_GB2312" w:eastAsia="仿宋_GB2312" w:cs="仿宋_GB2312"/>
          <w:sz w:val="32"/>
        </w:rPr>
        <w:t>（一）犯罪情节较轻；</w:t>
      </w:r>
    </w:p>
    <w:p>
      <w:pPr>
        <w:spacing w:line="240" w:lineRule="auto"/>
        <w:ind w:firstLine="640"/>
        <w:jc w:val="both"/>
      </w:pPr>
      <w:r>
        <w:rPr>
          <w:rFonts w:ascii="仿宋_GB2312" w:hAnsi="仿宋_GB2312" w:eastAsia="仿宋_GB2312" w:cs="仿宋_GB2312"/>
          <w:sz w:val="32"/>
        </w:rPr>
        <w:t>（二）有悔罪表现；</w:t>
      </w:r>
    </w:p>
    <w:p>
      <w:pPr>
        <w:spacing w:line="240" w:lineRule="auto"/>
        <w:ind w:firstLine="640"/>
        <w:jc w:val="both"/>
      </w:pPr>
      <w:r>
        <w:rPr>
          <w:rFonts w:ascii="仿宋_GB2312" w:hAnsi="仿宋_GB2312" w:eastAsia="仿宋_GB2312" w:cs="仿宋_GB2312"/>
          <w:sz w:val="32"/>
        </w:rPr>
        <w:t>（三）没有再犯罪的危险；</w:t>
      </w:r>
    </w:p>
    <w:p>
      <w:pPr>
        <w:spacing w:line="240" w:lineRule="auto"/>
        <w:ind w:firstLine="640"/>
        <w:jc w:val="both"/>
      </w:pPr>
      <w:r>
        <w:rPr>
          <w:rFonts w:ascii="仿宋_GB2312" w:hAnsi="仿宋_GB2312" w:eastAsia="仿宋_GB2312" w:cs="仿宋_GB2312"/>
          <w:sz w:val="32"/>
        </w:rPr>
        <w:t>（四）宣告缓刑对所居住社区没有重大不良影响。</w:t>
      </w:r>
    </w:p>
    <w:p>
      <w:pPr>
        <w:spacing w:line="240" w:lineRule="auto"/>
        <w:ind w:firstLine="640"/>
        <w:jc w:val="both"/>
      </w:pPr>
      <w:r>
        <w:rPr>
          <w:rFonts w:ascii="仿宋_GB2312" w:hAnsi="仿宋_GB2312" w:eastAsia="仿宋_GB2312" w:cs="仿宋_GB2312"/>
          <w:sz w:val="32"/>
        </w:rPr>
        <w:t>宣告缓刑，可以根据犯罪情况，同时禁止犯罪分子在缓刑考验期限内从事特定活动，进入特定区域、场所，接触特定的人。</w:t>
      </w:r>
    </w:p>
    <w:p>
      <w:pPr>
        <w:spacing w:line="240" w:lineRule="auto"/>
        <w:ind w:firstLine="640"/>
        <w:jc w:val="both"/>
      </w:pPr>
      <w:r>
        <w:rPr>
          <w:rFonts w:ascii="仿宋_GB2312" w:hAnsi="仿宋_GB2312" w:eastAsia="仿宋_GB2312" w:cs="仿宋_GB2312"/>
          <w:sz w:val="32"/>
        </w:rPr>
        <w:t>被宣告缓刑的犯罪分子，如果被判处附加刑，附加刑仍须执行。</w:t>
      </w:r>
    </w:p>
    <w:p>
      <w:pPr>
        <w:spacing w:line="240" w:lineRule="auto"/>
        <w:ind w:firstLine="640"/>
        <w:jc w:val="both"/>
      </w:pPr>
      <w:r>
        <w:rPr>
          <w:rFonts w:ascii="黑体" w:hAnsi="黑体" w:eastAsia="黑体" w:cs="黑体"/>
          <w:sz w:val="32"/>
        </w:rPr>
        <w:t>第七十三条</w:t>
      </w:r>
      <w:r>
        <w:rPr>
          <w:rFonts w:ascii="仿宋_GB2312" w:hAnsi="仿宋_GB2312" w:eastAsia="仿宋_GB2312" w:cs="仿宋_GB2312"/>
          <w:sz w:val="32"/>
        </w:rPr>
        <w:t>　拘役的缓刑考验期限为原判刑期以上一年以下，但是不能少于二个月。</w:t>
      </w:r>
    </w:p>
    <w:p>
      <w:pPr>
        <w:spacing w:line="240" w:lineRule="auto"/>
        <w:ind w:firstLine="640"/>
        <w:jc w:val="both"/>
      </w:pPr>
      <w:r>
        <w:rPr>
          <w:rFonts w:ascii="仿宋_GB2312" w:hAnsi="仿宋_GB2312" w:eastAsia="仿宋_GB2312" w:cs="仿宋_GB2312"/>
          <w:sz w:val="32"/>
        </w:rPr>
        <w:t>有期徒刑的缓刑考验期限为原判刑期以上五年以下，但是不能少于一年。</w:t>
      </w:r>
    </w:p>
    <w:p>
      <w:pPr>
        <w:spacing w:line="240" w:lineRule="auto"/>
        <w:ind w:firstLine="640"/>
        <w:jc w:val="both"/>
      </w:pPr>
      <w:r>
        <w:rPr>
          <w:rFonts w:ascii="仿宋_GB2312" w:hAnsi="仿宋_GB2312" w:eastAsia="仿宋_GB2312" w:cs="仿宋_GB2312"/>
          <w:sz w:val="32"/>
        </w:rPr>
        <w:t>缓刑考验期限，从判决确定之日起计算。</w:t>
      </w:r>
    </w:p>
    <w:p>
      <w:pPr>
        <w:spacing w:line="240" w:lineRule="auto"/>
        <w:ind w:firstLine="640"/>
        <w:jc w:val="both"/>
      </w:pPr>
      <w:r>
        <w:rPr>
          <w:rFonts w:ascii="黑体" w:hAnsi="黑体" w:eastAsia="黑体" w:cs="黑体"/>
          <w:sz w:val="32"/>
        </w:rPr>
        <w:t>第七十四条</w:t>
      </w:r>
      <w:r>
        <w:rPr>
          <w:rFonts w:ascii="仿宋_GB2312" w:hAnsi="仿宋_GB2312" w:eastAsia="仿宋_GB2312" w:cs="仿宋_GB2312"/>
          <w:sz w:val="32"/>
        </w:rPr>
        <w:t>　对于累犯和犯罪集团的首要分子，不适用缓刑。</w:t>
      </w:r>
    </w:p>
    <w:p>
      <w:pPr>
        <w:spacing w:line="240" w:lineRule="auto"/>
        <w:ind w:firstLine="640"/>
        <w:jc w:val="both"/>
      </w:pPr>
      <w:r>
        <w:rPr>
          <w:rFonts w:ascii="黑体" w:hAnsi="黑体" w:eastAsia="黑体" w:cs="黑体"/>
          <w:sz w:val="32"/>
        </w:rPr>
        <w:t>第七十五条</w:t>
      </w:r>
      <w:r>
        <w:rPr>
          <w:rFonts w:ascii="仿宋_GB2312" w:hAnsi="仿宋_GB2312" w:eastAsia="仿宋_GB2312" w:cs="仿宋_GB2312"/>
          <w:sz w:val="32"/>
        </w:rPr>
        <w:t>　被宣告缓刑的犯罪分子，应当遵守下列规定：</w:t>
      </w:r>
    </w:p>
    <w:p>
      <w:pPr>
        <w:spacing w:line="240" w:lineRule="auto"/>
        <w:ind w:firstLine="640"/>
        <w:jc w:val="both"/>
      </w:pPr>
      <w:r>
        <w:rPr>
          <w:rFonts w:ascii="仿宋_GB2312" w:hAnsi="仿宋_GB2312" w:eastAsia="仿宋_GB2312" w:cs="仿宋_GB2312"/>
          <w:sz w:val="32"/>
        </w:rPr>
        <w:t>（一）遵守法律、行政法规，服从监督；</w:t>
      </w:r>
    </w:p>
    <w:p>
      <w:pPr>
        <w:spacing w:line="240" w:lineRule="auto"/>
        <w:ind w:firstLine="640"/>
        <w:jc w:val="both"/>
      </w:pPr>
      <w:r>
        <w:rPr>
          <w:rFonts w:ascii="仿宋_GB2312" w:hAnsi="仿宋_GB2312" w:eastAsia="仿宋_GB2312" w:cs="仿宋_GB2312"/>
          <w:sz w:val="32"/>
        </w:rPr>
        <w:t>（二）按照考察机关的规定报告自己的活动情况；</w:t>
      </w:r>
    </w:p>
    <w:p>
      <w:pPr>
        <w:spacing w:line="240" w:lineRule="auto"/>
        <w:ind w:firstLine="640"/>
        <w:jc w:val="both"/>
      </w:pPr>
      <w:r>
        <w:rPr>
          <w:rFonts w:ascii="仿宋_GB2312" w:hAnsi="仿宋_GB2312" w:eastAsia="仿宋_GB2312" w:cs="仿宋_GB2312"/>
          <w:sz w:val="32"/>
        </w:rPr>
        <w:t>（三）遵守考察机关关于会客的规定；</w:t>
      </w:r>
    </w:p>
    <w:p>
      <w:pPr>
        <w:spacing w:line="240" w:lineRule="auto"/>
        <w:ind w:firstLine="640"/>
        <w:jc w:val="both"/>
      </w:pPr>
      <w:r>
        <w:rPr>
          <w:rFonts w:ascii="仿宋_GB2312" w:hAnsi="仿宋_GB2312" w:eastAsia="仿宋_GB2312" w:cs="仿宋_GB2312"/>
          <w:sz w:val="32"/>
        </w:rPr>
        <w:t>（四）离开所居住的市、县或者迁居，应当报经考察机关批准。</w:t>
      </w:r>
    </w:p>
    <w:p>
      <w:pPr>
        <w:spacing w:line="240" w:lineRule="auto"/>
        <w:ind w:firstLine="640"/>
        <w:jc w:val="both"/>
      </w:pPr>
      <w:r>
        <w:rPr>
          <w:rFonts w:ascii="黑体" w:hAnsi="黑体" w:eastAsia="黑体" w:cs="黑体"/>
          <w:sz w:val="32"/>
        </w:rPr>
        <w:t>第七十六条</w:t>
      </w:r>
      <w:r>
        <w:rPr>
          <w:rFonts w:ascii="仿宋_GB2312" w:hAnsi="仿宋_GB2312" w:eastAsia="仿宋_GB2312" w:cs="仿宋_GB2312"/>
          <w:sz w:val="32"/>
        </w:rPr>
        <w:t>　对宣告缓刑的犯罪分子，在缓刑考验期限内，依法实行社区矫正，如果没有本法第七十七条规定的情形，缓刑考验期满，原判的刑罚就不再执行，并公开予以宣告。</w:t>
      </w:r>
    </w:p>
    <w:p>
      <w:pPr>
        <w:spacing w:line="240" w:lineRule="auto"/>
        <w:ind w:firstLine="640"/>
        <w:jc w:val="both"/>
      </w:pPr>
      <w:r>
        <w:rPr>
          <w:rFonts w:ascii="黑体" w:hAnsi="黑体" w:eastAsia="黑体" w:cs="黑体"/>
          <w:sz w:val="32"/>
        </w:rPr>
        <w:t>第七十七条</w:t>
      </w:r>
      <w:r>
        <w:rPr>
          <w:rFonts w:ascii="仿宋_GB2312" w:hAnsi="仿宋_GB2312" w:eastAsia="仿宋_GB2312" w:cs="仿宋_GB2312"/>
          <w:sz w:val="32"/>
        </w:rPr>
        <w:t>　被宣告缓刑的犯罪分子，在缓刑考验期限内犯新罪或者发现判决宣告以前还有其他罪没有判决的，应当撤销缓刑，对新犯的罪或者新发现的罪作出判决，把前罪和后罪所判处的刑罚，依照本法第六十九条的规定，决定执行的刑罚。</w:t>
      </w:r>
    </w:p>
    <w:p>
      <w:pPr>
        <w:spacing w:line="240" w:lineRule="auto"/>
        <w:ind w:firstLine="640"/>
        <w:jc w:val="both"/>
      </w:pPr>
      <w:r>
        <w:rPr>
          <w:rFonts w:ascii="仿宋_GB2312" w:hAnsi="仿宋_GB2312" w:eastAsia="仿宋_GB2312" w:cs="仿宋_GB2312"/>
          <w:sz w:val="32"/>
        </w:rPr>
        <w:t>被宣告缓刑的犯罪分子，在缓刑考验期限内，违反法律、行政法规或者国务院有关部门关于缓刑的监督管理规定，或者违反人民法院判决中的禁止令，情节严重的，应当撤销缓刑，执行原判刑罚。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减刑</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第七十八条</w:t>
      </w:r>
      <w:r>
        <w:rPr>
          <w:rFonts w:ascii="仿宋_GB2312" w:hAnsi="仿宋_GB2312" w:eastAsia="仿宋_GB2312" w:cs="仿宋_GB2312"/>
          <w:sz w:val="32"/>
        </w:rPr>
        <w:t>　被判处管制、拘役、有期徒刑、无期徒刑的犯罪分子，在执行期间，如果认真遵守监规，接受教育改造，确有悔改表现的，或者有立功表现的，可以减刑；有下列重大立功表现之一的，应当减刑：</w:t>
      </w:r>
    </w:p>
    <w:p>
      <w:pPr>
        <w:spacing w:line="240" w:lineRule="auto"/>
        <w:ind w:firstLine="640"/>
        <w:jc w:val="both"/>
      </w:pPr>
      <w:r>
        <w:rPr>
          <w:rFonts w:ascii="仿宋_GB2312" w:hAnsi="仿宋_GB2312" w:eastAsia="仿宋_GB2312" w:cs="仿宋_GB2312"/>
          <w:sz w:val="32"/>
        </w:rPr>
        <w:t>（一）阻止他人重大犯罪活动的；</w:t>
      </w:r>
    </w:p>
    <w:p>
      <w:pPr>
        <w:spacing w:line="240" w:lineRule="auto"/>
        <w:ind w:firstLine="640"/>
        <w:jc w:val="both"/>
      </w:pPr>
      <w:r>
        <w:rPr>
          <w:rFonts w:ascii="仿宋_GB2312" w:hAnsi="仿宋_GB2312" w:eastAsia="仿宋_GB2312" w:cs="仿宋_GB2312"/>
          <w:sz w:val="32"/>
        </w:rPr>
        <w:t>（二）检举监狱内外重大犯罪活动，经查证属实的；</w:t>
      </w:r>
    </w:p>
    <w:p>
      <w:pPr>
        <w:spacing w:line="240" w:lineRule="auto"/>
        <w:ind w:firstLine="640"/>
        <w:jc w:val="both"/>
      </w:pPr>
      <w:r>
        <w:rPr>
          <w:rFonts w:ascii="仿宋_GB2312" w:hAnsi="仿宋_GB2312" w:eastAsia="仿宋_GB2312" w:cs="仿宋_GB2312"/>
          <w:sz w:val="32"/>
        </w:rPr>
        <w:t>（三）有发明创造或者重大技术革新的；</w:t>
      </w:r>
    </w:p>
    <w:p>
      <w:pPr>
        <w:spacing w:line="240" w:lineRule="auto"/>
        <w:ind w:firstLine="640"/>
        <w:jc w:val="both"/>
      </w:pPr>
      <w:r>
        <w:rPr>
          <w:rFonts w:ascii="仿宋_GB2312" w:hAnsi="仿宋_GB2312" w:eastAsia="仿宋_GB2312" w:cs="仿宋_GB2312"/>
          <w:sz w:val="32"/>
        </w:rPr>
        <w:t>（四）在日常生产、生活中舍己救人的；</w:t>
      </w:r>
    </w:p>
    <w:p>
      <w:pPr>
        <w:spacing w:line="240" w:lineRule="auto"/>
        <w:ind w:firstLine="640"/>
        <w:jc w:val="both"/>
      </w:pPr>
      <w:r>
        <w:rPr>
          <w:rFonts w:ascii="仿宋_GB2312" w:hAnsi="仿宋_GB2312" w:eastAsia="仿宋_GB2312" w:cs="仿宋_GB2312"/>
          <w:sz w:val="32"/>
        </w:rPr>
        <w:t>（五）在抗御自然灾害或者排除重大事故中，有突出表现的；</w:t>
      </w:r>
    </w:p>
    <w:p>
      <w:pPr>
        <w:spacing w:line="240" w:lineRule="auto"/>
        <w:ind w:firstLine="640"/>
        <w:jc w:val="both"/>
      </w:pPr>
      <w:r>
        <w:rPr>
          <w:rFonts w:ascii="仿宋_GB2312" w:hAnsi="仿宋_GB2312" w:eastAsia="仿宋_GB2312" w:cs="仿宋_GB2312"/>
          <w:sz w:val="32"/>
        </w:rPr>
        <w:t>（六）对国家和社会有其他重大贡献的。</w:t>
      </w:r>
    </w:p>
    <w:p>
      <w:pPr>
        <w:spacing w:line="240" w:lineRule="auto"/>
        <w:ind w:firstLine="640"/>
        <w:jc w:val="both"/>
      </w:pPr>
      <w:r>
        <w:rPr>
          <w:rFonts w:ascii="仿宋_GB2312" w:hAnsi="仿宋_GB2312" w:eastAsia="仿宋_GB2312" w:cs="仿宋_GB2312"/>
          <w:sz w:val="32"/>
        </w:rPr>
        <w:t>减刑以后实际执行的刑期不能少于下列期限：</w:t>
      </w:r>
    </w:p>
    <w:p>
      <w:pPr>
        <w:spacing w:line="240" w:lineRule="auto"/>
        <w:ind w:firstLine="640"/>
        <w:jc w:val="both"/>
      </w:pPr>
      <w:r>
        <w:rPr>
          <w:rFonts w:ascii="仿宋_GB2312" w:hAnsi="仿宋_GB2312" w:eastAsia="仿宋_GB2312" w:cs="仿宋_GB2312"/>
          <w:sz w:val="32"/>
        </w:rPr>
        <w:t>（一）判处管制、拘役、有期徒刑的，不能少于原判刑期的二分之一；</w:t>
      </w:r>
    </w:p>
    <w:p>
      <w:pPr>
        <w:spacing w:line="240" w:lineRule="auto"/>
        <w:ind w:firstLine="640"/>
        <w:jc w:val="both"/>
      </w:pPr>
      <w:r>
        <w:rPr>
          <w:rFonts w:ascii="仿宋_GB2312" w:hAnsi="仿宋_GB2312" w:eastAsia="仿宋_GB2312" w:cs="仿宋_GB2312"/>
          <w:sz w:val="32"/>
        </w:rPr>
        <w:t>（二）判处无期徒刑的，不能少于十三年；</w:t>
      </w:r>
    </w:p>
    <w:p>
      <w:pPr>
        <w:spacing w:line="240" w:lineRule="auto"/>
        <w:ind w:firstLine="640"/>
        <w:jc w:val="both"/>
      </w:pPr>
      <w:r>
        <w:rPr>
          <w:rFonts w:ascii="仿宋_GB2312" w:hAnsi="仿宋_GB2312" w:eastAsia="仿宋_GB2312" w:cs="仿宋_GB2312"/>
          <w:sz w:val="32"/>
        </w:rPr>
        <w:t>（三）人民法院依照本法第五十条第二款规定限制减刑的死刑缓期执行的犯罪分子，缓期执行期满后依法减为无期徒刑的，不能少于二十五年，缓期执行期满后依法减为二十五年有期徒刑的，不能少于二十年。</w:t>
      </w:r>
    </w:p>
    <w:p>
      <w:pPr>
        <w:spacing w:line="240" w:lineRule="auto"/>
        <w:ind w:firstLine="640"/>
        <w:jc w:val="both"/>
      </w:pPr>
      <w:r>
        <w:rPr>
          <w:rFonts w:ascii="黑体" w:hAnsi="黑体" w:eastAsia="黑体" w:cs="黑体"/>
          <w:sz w:val="32"/>
        </w:rPr>
        <w:t>第七十九条</w:t>
      </w:r>
      <w:r>
        <w:rPr>
          <w:rFonts w:ascii="仿宋_GB2312" w:hAnsi="仿宋_GB2312" w:eastAsia="仿宋_GB2312" w:cs="仿宋_GB2312"/>
          <w:sz w:val="32"/>
        </w:rPr>
        <w:t>　对于犯罪分子的减刑，由执行机关向中级以上人民法院提出减刑建议书。人民法院应当组成合议庭进行审理，对确有悔改或者立功事实的，裁定予以减刑。非经法定程序不得减刑。</w:t>
      </w:r>
    </w:p>
    <w:p>
      <w:pPr>
        <w:spacing w:line="240" w:lineRule="auto"/>
        <w:ind w:firstLine="640"/>
        <w:jc w:val="both"/>
      </w:pPr>
      <w:r>
        <w:rPr>
          <w:rFonts w:ascii="黑体" w:hAnsi="黑体" w:eastAsia="黑体" w:cs="黑体"/>
          <w:sz w:val="32"/>
        </w:rPr>
        <w:t>第八十条</w:t>
      </w:r>
      <w:r>
        <w:rPr>
          <w:rFonts w:ascii="仿宋_GB2312" w:hAnsi="仿宋_GB2312" w:eastAsia="仿宋_GB2312" w:cs="仿宋_GB2312"/>
          <w:sz w:val="32"/>
        </w:rPr>
        <w:t>　无期徒刑减为有期徒刑的刑期，从裁定减刑之日起计算。</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假释</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第八十一条</w:t>
      </w:r>
      <w:r>
        <w:rPr>
          <w:rFonts w:ascii="仿宋_GB2312" w:hAnsi="仿宋_GB2312" w:eastAsia="仿宋_GB2312" w:cs="仿宋_GB2312"/>
          <w:sz w:val="32"/>
        </w:rPr>
        <w:t>　被判处有期徒刑的犯罪分子，执行原判刑期二分之一以上，被判处无期徒刑的犯罪分子，实际执行十三年以上，如果认真遵守监规，接受教育改造，确有悔改表现，没有再犯罪的危险的，可以假释。如果有特殊情况，经最高人民法院核准，可以不受上述执行刑期的限制。</w:t>
      </w:r>
    </w:p>
    <w:p>
      <w:pPr>
        <w:spacing w:line="240" w:lineRule="auto"/>
        <w:ind w:firstLine="640"/>
        <w:jc w:val="both"/>
      </w:pPr>
      <w:r>
        <w:rPr>
          <w:rFonts w:ascii="仿宋_GB2312" w:hAnsi="仿宋_GB2312" w:eastAsia="仿宋_GB2312" w:cs="仿宋_GB2312"/>
          <w:sz w:val="32"/>
        </w:rPr>
        <w:t>对累犯以及因故意杀人、强奸、抢劫、绑架、放火、爆炸、投放危险物质或者有组织的暴力性犯罪被判处十年以上有期徒刑、无期徒刑的犯罪分子，不得假释。</w:t>
      </w:r>
    </w:p>
    <w:p>
      <w:pPr>
        <w:spacing w:line="240" w:lineRule="auto"/>
        <w:ind w:firstLine="640"/>
        <w:jc w:val="both"/>
      </w:pPr>
      <w:r>
        <w:rPr>
          <w:rFonts w:ascii="仿宋_GB2312" w:hAnsi="仿宋_GB2312" w:eastAsia="仿宋_GB2312" w:cs="仿宋_GB2312"/>
          <w:sz w:val="32"/>
        </w:rPr>
        <w:t>对犯罪分子决定假释时，应当考虑其假释后对所居住社区的影响。</w:t>
      </w:r>
    </w:p>
    <w:p>
      <w:pPr>
        <w:spacing w:line="240" w:lineRule="auto"/>
        <w:ind w:firstLine="640"/>
        <w:jc w:val="both"/>
      </w:pPr>
      <w:r>
        <w:rPr>
          <w:rFonts w:ascii="黑体" w:hAnsi="黑体" w:eastAsia="黑体" w:cs="黑体"/>
          <w:sz w:val="32"/>
        </w:rPr>
        <w:t>第八十二条</w:t>
      </w:r>
      <w:r>
        <w:rPr>
          <w:rFonts w:ascii="仿宋_GB2312" w:hAnsi="仿宋_GB2312" w:eastAsia="仿宋_GB2312" w:cs="仿宋_GB2312"/>
          <w:sz w:val="32"/>
        </w:rPr>
        <w:t>　对于犯罪分子的假释，依照本法第七十九条规定的程序进行。非经法定程序不得假释。</w:t>
      </w:r>
    </w:p>
    <w:p>
      <w:pPr>
        <w:spacing w:line="240" w:lineRule="auto"/>
        <w:ind w:firstLine="640"/>
        <w:jc w:val="both"/>
      </w:pPr>
      <w:r>
        <w:rPr>
          <w:rFonts w:ascii="黑体" w:hAnsi="黑体" w:eastAsia="黑体" w:cs="黑体"/>
          <w:sz w:val="32"/>
        </w:rPr>
        <w:t>第八十三条</w:t>
      </w:r>
      <w:r>
        <w:rPr>
          <w:rFonts w:ascii="仿宋_GB2312" w:hAnsi="仿宋_GB2312" w:eastAsia="仿宋_GB2312" w:cs="仿宋_GB2312"/>
          <w:sz w:val="32"/>
        </w:rPr>
        <w:t>　有期徒刑的假释考验期限，为没有执行完毕的刑期；无期徒刑的假释考验期限为十年。</w:t>
      </w:r>
    </w:p>
    <w:p>
      <w:pPr>
        <w:spacing w:line="240" w:lineRule="auto"/>
        <w:ind w:firstLine="640"/>
        <w:jc w:val="both"/>
      </w:pPr>
      <w:r>
        <w:rPr>
          <w:rFonts w:ascii="仿宋_GB2312" w:hAnsi="仿宋_GB2312" w:eastAsia="仿宋_GB2312" w:cs="仿宋_GB2312"/>
          <w:sz w:val="32"/>
        </w:rPr>
        <w:t>假释考验期限，从假释之日起计算。</w:t>
      </w:r>
    </w:p>
    <w:p>
      <w:pPr>
        <w:spacing w:line="240" w:lineRule="auto"/>
        <w:ind w:firstLine="640"/>
        <w:jc w:val="both"/>
      </w:pPr>
      <w:r>
        <w:rPr>
          <w:rFonts w:ascii="黑体" w:hAnsi="黑体" w:eastAsia="黑体" w:cs="黑体"/>
          <w:sz w:val="32"/>
        </w:rPr>
        <w:t>第八十四条</w:t>
      </w:r>
      <w:r>
        <w:rPr>
          <w:rFonts w:ascii="仿宋_GB2312" w:hAnsi="仿宋_GB2312" w:eastAsia="仿宋_GB2312" w:cs="仿宋_GB2312"/>
          <w:sz w:val="32"/>
        </w:rPr>
        <w:t>　被宣告假释的犯罪分子，应当遵守下列规定：</w:t>
      </w:r>
    </w:p>
    <w:p>
      <w:pPr>
        <w:spacing w:line="240" w:lineRule="auto"/>
        <w:ind w:firstLine="640"/>
        <w:jc w:val="both"/>
      </w:pPr>
      <w:r>
        <w:rPr>
          <w:rFonts w:ascii="仿宋_GB2312" w:hAnsi="仿宋_GB2312" w:eastAsia="仿宋_GB2312" w:cs="仿宋_GB2312"/>
          <w:sz w:val="32"/>
        </w:rPr>
        <w:t>（一）遵守法律、行政法规，服从监督；</w:t>
      </w:r>
    </w:p>
    <w:p>
      <w:pPr>
        <w:spacing w:line="240" w:lineRule="auto"/>
        <w:ind w:firstLine="640"/>
        <w:jc w:val="both"/>
      </w:pPr>
      <w:r>
        <w:rPr>
          <w:rFonts w:ascii="仿宋_GB2312" w:hAnsi="仿宋_GB2312" w:eastAsia="仿宋_GB2312" w:cs="仿宋_GB2312"/>
          <w:sz w:val="32"/>
        </w:rPr>
        <w:t>（二）按照监督机关的规定报告自己的活动情况；</w:t>
      </w:r>
    </w:p>
    <w:p>
      <w:pPr>
        <w:spacing w:line="240" w:lineRule="auto"/>
        <w:ind w:firstLine="640"/>
        <w:jc w:val="both"/>
      </w:pPr>
      <w:r>
        <w:rPr>
          <w:rFonts w:ascii="仿宋_GB2312" w:hAnsi="仿宋_GB2312" w:eastAsia="仿宋_GB2312" w:cs="仿宋_GB2312"/>
          <w:sz w:val="32"/>
        </w:rPr>
        <w:t>（三）遵守监督机关关于会客的规定；</w:t>
      </w:r>
    </w:p>
    <w:p>
      <w:pPr>
        <w:spacing w:line="240" w:lineRule="auto"/>
        <w:ind w:firstLine="640"/>
        <w:jc w:val="both"/>
      </w:pPr>
      <w:r>
        <w:rPr>
          <w:rFonts w:ascii="仿宋_GB2312" w:hAnsi="仿宋_GB2312" w:eastAsia="仿宋_GB2312" w:cs="仿宋_GB2312"/>
          <w:sz w:val="32"/>
        </w:rPr>
        <w:t>（四）离开所居住的市、县或者迁居，应当报经监督机关批准。</w:t>
      </w:r>
    </w:p>
    <w:p>
      <w:pPr>
        <w:spacing w:line="240" w:lineRule="auto"/>
        <w:ind w:firstLine="640"/>
        <w:jc w:val="both"/>
      </w:pPr>
      <w:r>
        <w:rPr>
          <w:rFonts w:ascii="黑体" w:hAnsi="黑体" w:eastAsia="黑体" w:cs="黑体"/>
          <w:sz w:val="32"/>
        </w:rPr>
        <w:t>第八十五条</w:t>
      </w:r>
      <w:r>
        <w:rPr>
          <w:rFonts w:ascii="仿宋_GB2312" w:hAnsi="仿宋_GB2312" w:eastAsia="仿宋_GB2312" w:cs="仿宋_GB2312"/>
          <w:sz w:val="32"/>
        </w:rPr>
        <w:t>　对假释的犯罪分子，在假释考验期限内，依法实行社区矫正，如果没有本法第八十六条规定的情形，假释考验期满，就认为原判刑罚已经执行完毕，并公开予以宣告。</w:t>
      </w:r>
    </w:p>
    <w:p>
      <w:pPr>
        <w:spacing w:line="240" w:lineRule="auto"/>
        <w:ind w:firstLine="640"/>
        <w:jc w:val="both"/>
      </w:pPr>
      <w:r>
        <w:rPr>
          <w:rFonts w:ascii="黑体" w:hAnsi="黑体" w:eastAsia="黑体" w:cs="黑体"/>
          <w:sz w:val="32"/>
        </w:rPr>
        <w:t>第八十六条</w:t>
      </w:r>
      <w:r>
        <w:rPr>
          <w:rFonts w:ascii="仿宋_GB2312" w:hAnsi="仿宋_GB2312" w:eastAsia="仿宋_GB2312" w:cs="仿宋_GB2312"/>
          <w:sz w:val="32"/>
        </w:rPr>
        <w:t>　被假释的犯罪分子，在假释考验期限内犯新罪，应当撤销假释，依照本法第七十一条的规定实行数罪并罚。</w:t>
      </w:r>
    </w:p>
    <w:p>
      <w:pPr>
        <w:spacing w:line="240" w:lineRule="auto"/>
        <w:ind w:firstLine="640"/>
        <w:jc w:val="both"/>
      </w:pPr>
      <w:r>
        <w:rPr>
          <w:rFonts w:ascii="仿宋_GB2312" w:hAnsi="仿宋_GB2312" w:eastAsia="仿宋_GB2312" w:cs="仿宋_GB2312"/>
          <w:sz w:val="32"/>
        </w:rPr>
        <w:t>在假释考验期限内，发现被假释的犯罪分子在判决宣告以前还有其他罪没有判决的，应当撤销假释，依照本法第七十条的规定实行数罪并罚。</w:t>
      </w:r>
    </w:p>
    <w:p>
      <w:pPr>
        <w:spacing w:line="240" w:lineRule="auto"/>
        <w:ind w:firstLine="640"/>
        <w:jc w:val="both"/>
      </w:pPr>
      <w:r>
        <w:rPr>
          <w:rFonts w:ascii="仿宋_GB2312" w:hAnsi="仿宋_GB2312" w:eastAsia="仿宋_GB2312" w:cs="仿宋_GB2312"/>
          <w:sz w:val="32"/>
        </w:rPr>
        <w:t>被假释的犯罪分子，在假释考验期限内，有违反法律、行政法规或者国务院有关部门关于假释的监督管理规定的行为，尚未构成新的犯罪的，应当依照法定程序撤销假释，收监执行未执行完毕的刑罚。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时效</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第八十七条</w:t>
      </w:r>
      <w:r>
        <w:rPr>
          <w:rFonts w:ascii="仿宋_GB2312" w:hAnsi="仿宋_GB2312" w:eastAsia="仿宋_GB2312" w:cs="仿宋_GB2312"/>
          <w:sz w:val="32"/>
        </w:rPr>
        <w:t>　犯罪经过下列期限不再追诉：</w:t>
      </w:r>
    </w:p>
    <w:p>
      <w:pPr>
        <w:spacing w:line="240" w:lineRule="auto"/>
        <w:ind w:firstLine="640"/>
        <w:jc w:val="both"/>
      </w:pPr>
      <w:r>
        <w:rPr>
          <w:rFonts w:ascii="仿宋_GB2312" w:hAnsi="仿宋_GB2312" w:eastAsia="仿宋_GB2312" w:cs="仿宋_GB2312"/>
          <w:sz w:val="32"/>
        </w:rPr>
        <w:t>（一）法定最高刑为不满五年有期徒刑的，经过五年；</w:t>
      </w:r>
    </w:p>
    <w:p>
      <w:pPr>
        <w:spacing w:line="240" w:lineRule="auto"/>
        <w:ind w:firstLine="640"/>
        <w:jc w:val="both"/>
      </w:pPr>
      <w:r>
        <w:rPr>
          <w:rFonts w:ascii="仿宋_GB2312" w:hAnsi="仿宋_GB2312" w:eastAsia="仿宋_GB2312" w:cs="仿宋_GB2312"/>
          <w:sz w:val="32"/>
        </w:rPr>
        <w:t>（二）法定最高刑为五年以上不满十年有期徒刑的，经过十年；</w:t>
      </w:r>
    </w:p>
    <w:p>
      <w:pPr>
        <w:spacing w:line="240" w:lineRule="auto"/>
        <w:ind w:firstLine="640"/>
        <w:jc w:val="both"/>
      </w:pPr>
      <w:r>
        <w:rPr>
          <w:rFonts w:ascii="仿宋_GB2312" w:hAnsi="仿宋_GB2312" w:eastAsia="仿宋_GB2312" w:cs="仿宋_GB2312"/>
          <w:sz w:val="32"/>
        </w:rPr>
        <w:t>（三）法定最高刑为十年以上有期徒刑的，经过十五年；</w:t>
      </w:r>
    </w:p>
    <w:p>
      <w:pPr>
        <w:spacing w:line="240" w:lineRule="auto"/>
        <w:ind w:firstLine="640"/>
        <w:jc w:val="both"/>
      </w:pPr>
      <w:r>
        <w:rPr>
          <w:rFonts w:ascii="仿宋_GB2312" w:hAnsi="仿宋_GB2312" w:eastAsia="仿宋_GB2312" w:cs="仿宋_GB2312"/>
          <w:sz w:val="32"/>
        </w:rPr>
        <w:t>（四）法定最高刑为无期徒刑、死刑的，经过二十年。如果二十年以后认为必须追诉的，须报请最高人民检察院核准。</w:t>
      </w:r>
    </w:p>
    <w:p>
      <w:pPr>
        <w:spacing w:line="240" w:lineRule="auto"/>
        <w:ind w:firstLine="640"/>
        <w:jc w:val="both"/>
      </w:pPr>
      <w:r>
        <w:rPr>
          <w:rFonts w:ascii="黑体" w:hAnsi="黑体" w:eastAsia="黑体" w:cs="黑体"/>
          <w:sz w:val="32"/>
        </w:rPr>
        <w:t>第八十八条</w:t>
      </w:r>
      <w:r>
        <w:rPr>
          <w:rFonts w:ascii="仿宋_GB2312" w:hAnsi="仿宋_GB2312" w:eastAsia="仿宋_GB2312" w:cs="仿宋_GB2312"/>
          <w:sz w:val="32"/>
        </w:rPr>
        <w:t>　在人民检察院、公安机关、国家安全机关立案侦查或者在人民法院受理案件以后，逃避侦查或者审判的，不受追诉期限的限制。</w:t>
      </w:r>
    </w:p>
    <w:p>
      <w:pPr>
        <w:spacing w:line="240" w:lineRule="auto"/>
        <w:ind w:firstLine="640"/>
        <w:jc w:val="both"/>
      </w:pPr>
      <w:r>
        <w:rPr>
          <w:rFonts w:ascii="仿宋_GB2312" w:hAnsi="仿宋_GB2312" w:eastAsia="仿宋_GB2312" w:cs="仿宋_GB2312"/>
          <w:sz w:val="32"/>
        </w:rPr>
        <w:t>被害人在追诉期限内提出控告，人民法院、人民检察院、公安机关应当立案而不予立案的，不受追诉期限的限制。</w:t>
      </w:r>
    </w:p>
    <w:p>
      <w:pPr>
        <w:spacing w:line="240" w:lineRule="auto"/>
        <w:ind w:firstLine="640"/>
        <w:jc w:val="both"/>
      </w:pPr>
      <w:r>
        <w:rPr>
          <w:rFonts w:ascii="黑体" w:hAnsi="黑体" w:eastAsia="黑体" w:cs="黑体"/>
          <w:sz w:val="32"/>
        </w:rPr>
        <w:t>第八十九条</w:t>
      </w:r>
      <w:r>
        <w:rPr>
          <w:rFonts w:ascii="仿宋_GB2312" w:hAnsi="仿宋_GB2312" w:eastAsia="仿宋_GB2312" w:cs="仿宋_GB2312"/>
          <w:sz w:val="32"/>
        </w:rPr>
        <w:t>　追诉期限从犯罪之日起计算；犯罪行为有连续或者继续状态的，从犯罪行为终了之日起计算。</w:t>
      </w:r>
    </w:p>
    <w:p>
      <w:pPr>
        <w:spacing w:line="240" w:lineRule="auto"/>
        <w:ind w:firstLine="640"/>
        <w:jc w:val="both"/>
      </w:pPr>
      <w:r>
        <w:rPr>
          <w:rFonts w:ascii="仿宋_GB2312" w:hAnsi="仿宋_GB2312" w:eastAsia="仿宋_GB2312" w:cs="仿宋_GB2312"/>
          <w:sz w:val="32"/>
        </w:rPr>
        <w:t>在追诉期限以内又犯罪的，前罪追诉的期限从犯后罪之日起计算。</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第五章　其他规定</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第九十条</w:t>
      </w:r>
      <w:r>
        <w:rPr>
          <w:rFonts w:ascii="仿宋_GB2312" w:hAnsi="仿宋_GB2312" w:eastAsia="仿宋_GB2312" w:cs="仿宋_GB2312"/>
          <w:sz w:val="32"/>
        </w:rPr>
        <w:t>　民族自治地方不能全部适用本法规定的，可以由自治区或者省的人民代表大会根据当地民族的政治、经济、文化的特点和本法规定的基本原则，制定变通或者补充的规定，报请全国人民代表大会常务委员会批准施行。</w:t>
      </w:r>
    </w:p>
    <w:p>
      <w:pPr>
        <w:spacing w:line="240" w:lineRule="auto"/>
        <w:ind w:firstLine="640"/>
        <w:jc w:val="both"/>
      </w:pPr>
      <w:r>
        <w:rPr>
          <w:rFonts w:ascii="黑体" w:hAnsi="黑体" w:eastAsia="黑体" w:cs="黑体"/>
          <w:sz w:val="32"/>
        </w:rPr>
        <w:t>第九十一条</w:t>
      </w:r>
      <w:r>
        <w:rPr>
          <w:rFonts w:ascii="仿宋_GB2312" w:hAnsi="仿宋_GB2312" w:eastAsia="仿宋_GB2312" w:cs="仿宋_GB2312"/>
          <w:sz w:val="32"/>
        </w:rPr>
        <w:t>　本法所称公共财产，是指下列财产：</w:t>
      </w:r>
    </w:p>
    <w:p>
      <w:pPr>
        <w:spacing w:line="240" w:lineRule="auto"/>
        <w:ind w:firstLine="640"/>
        <w:jc w:val="both"/>
      </w:pPr>
      <w:r>
        <w:rPr>
          <w:rFonts w:ascii="仿宋_GB2312" w:hAnsi="仿宋_GB2312" w:eastAsia="仿宋_GB2312" w:cs="仿宋_GB2312"/>
          <w:sz w:val="32"/>
        </w:rPr>
        <w:t>（一）国有财产；</w:t>
      </w:r>
    </w:p>
    <w:p>
      <w:pPr>
        <w:spacing w:line="240" w:lineRule="auto"/>
        <w:ind w:firstLine="640"/>
        <w:jc w:val="both"/>
      </w:pPr>
      <w:r>
        <w:rPr>
          <w:rFonts w:ascii="仿宋_GB2312" w:hAnsi="仿宋_GB2312" w:eastAsia="仿宋_GB2312" w:cs="仿宋_GB2312"/>
          <w:sz w:val="32"/>
        </w:rPr>
        <w:t>（二）劳动群众集体所有的财产；</w:t>
      </w:r>
    </w:p>
    <w:p>
      <w:pPr>
        <w:spacing w:line="240" w:lineRule="auto"/>
        <w:ind w:firstLine="640"/>
        <w:jc w:val="both"/>
      </w:pPr>
      <w:r>
        <w:rPr>
          <w:rFonts w:ascii="仿宋_GB2312" w:hAnsi="仿宋_GB2312" w:eastAsia="仿宋_GB2312" w:cs="仿宋_GB2312"/>
          <w:sz w:val="32"/>
        </w:rPr>
        <w:t>（三）用于扶贫和其他公益事业的社会捐助或者专项基金的财产。</w:t>
      </w:r>
    </w:p>
    <w:p>
      <w:pPr>
        <w:spacing w:line="240" w:lineRule="auto"/>
        <w:ind w:firstLine="640"/>
        <w:jc w:val="both"/>
      </w:pPr>
      <w:r>
        <w:rPr>
          <w:rFonts w:ascii="仿宋_GB2312" w:hAnsi="仿宋_GB2312" w:eastAsia="仿宋_GB2312" w:cs="仿宋_GB2312"/>
          <w:sz w:val="32"/>
        </w:rPr>
        <w:t>在国家机关、国有公司、企业、集体企业和人民团体管理、使用或者运输中的私人财产，以公共财产论。</w:t>
      </w:r>
    </w:p>
    <w:p>
      <w:pPr>
        <w:spacing w:line="240" w:lineRule="auto"/>
        <w:ind w:firstLine="640"/>
        <w:jc w:val="both"/>
      </w:pPr>
      <w:r>
        <w:rPr>
          <w:rFonts w:ascii="黑体" w:hAnsi="黑体" w:eastAsia="黑体" w:cs="黑体"/>
          <w:sz w:val="32"/>
        </w:rPr>
        <w:t>第九十二条</w:t>
      </w:r>
      <w:r>
        <w:rPr>
          <w:rFonts w:ascii="仿宋_GB2312" w:hAnsi="仿宋_GB2312" w:eastAsia="仿宋_GB2312" w:cs="仿宋_GB2312"/>
          <w:sz w:val="32"/>
        </w:rPr>
        <w:t>　本法所称公民私人所有的财产，是指下列财产：</w:t>
      </w:r>
    </w:p>
    <w:p>
      <w:pPr>
        <w:spacing w:line="240" w:lineRule="auto"/>
        <w:ind w:firstLine="640"/>
        <w:jc w:val="both"/>
      </w:pPr>
      <w:r>
        <w:rPr>
          <w:rFonts w:ascii="仿宋_GB2312" w:hAnsi="仿宋_GB2312" w:eastAsia="仿宋_GB2312" w:cs="仿宋_GB2312"/>
          <w:sz w:val="32"/>
        </w:rPr>
        <w:t>（一）公民的合法收入、储蓄、房屋和其他生活资料；</w:t>
      </w:r>
    </w:p>
    <w:p>
      <w:pPr>
        <w:spacing w:line="240" w:lineRule="auto"/>
        <w:ind w:firstLine="640"/>
        <w:jc w:val="both"/>
      </w:pPr>
      <w:r>
        <w:rPr>
          <w:rFonts w:ascii="仿宋_GB2312" w:hAnsi="仿宋_GB2312" w:eastAsia="仿宋_GB2312" w:cs="仿宋_GB2312"/>
          <w:sz w:val="32"/>
        </w:rPr>
        <w:t>（二）依法归个人、家庭所有的生产资料；</w:t>
      </w:r>
    </w:p>
    <w:p>
      <w:pPr>
        <w:spacing w:line="240" w:lineRule="auto"/>
        <w:ind w:firstLine="640"/>
        <w:jc w:val="both"/>
      </w:pPr>
      <w:r>
        <w:rPr>
          <w:rFonts w:ascii="仿宋_GB2312" w:hAnsi="仿宋_GB2312" w:eastAsia="仿宋_GB2312" w:cs="仿宋_GB2312"/>
          <w:sz w:val="32"/>
        </w:rPr>
        <w:t>（三）个体户和私营企业的合法财产；</w:t>
      </w:r>
    </w:p>
    <w:p>
      <w:pPr>
        <w:spacing w:line="240" w:lineRule="auto"/>
        <w:ind w:firstLine="640"/>
        <w:jc w:val="both"/>
      </w:pPr>
      <w:r>
        <w:rPr>
          <w:rFonts w:ascii="仿宋_GB2312" w:hAnsi="仿宋_GB2312" w:eastAsia="仿宋_GB2312" w:cs="仿宋_GB2312"/>
          <w:sz w:val="32"/>
        </w:rPr>
        <w:t>（四）依法归个人所有的股份、股票、债券和其他财产。</w:t>
      </w:r>
    </w:p>
    <w:p>
      <w:pPr>
        <w:spacing w:line="240" w:lineRule="auto"/>
        <w:ind w:firstLine="640"/>
        <w:jc w:val="both"/>
      </w:pPr>
      <w:r>
        <w:rPr>
          <w:rFonts w:ascii="黑体" w:hAnsi="黑体" w:eastAsia="黑体" w:cs="黑体"/>
          <w:sz w:val="32"/>
        </w:rPr>
        <w:t>第九十三条</w:t>
      </w:r>
      <w:r>
        <w:rPr>
          <w:rFonts w:ascii="仿宋_GB2312" w:hAnsi="仿宋_GB2312" w:eastAsia="仿宋_GB2312" w:cs="仿宋_GB2312"/>
          <w:sz w:val="32"/>
        </w:rPr>
        <w:t>　本法所称国家工作人员，是指国家机关中从事公务的人员。</w:t>
      </w:r>
    </w:p>
    <w:p>
      <w:pPr>
        <w:spacing w:line="240" w:lineRule="auto"/>
        <w:ind w:firstLine="640"/>
        <w:jc w:val="both"/>
      </w:pPr>
      <w:r>
        <w:rPr>
          <w:rFonts w:ascii="仿宋_GB2312" w:hAnsi="仿宋_GB2312" w:eastAsia="仿宋_GB2312" w:cs="仿宋_GB2312"/>
          <w:sz w:val="32"/>
        </w:rPr>
        <w:t>国有公司、企业、事业单位、人民团体中从事公务的人员和国家机关、国有公司、企业、事业单位委派到非国有公司、企业、事业单位、社会团体从事公务的人员，以及其他依照法律从事公务的人员，以国家工作人员论。</w:t>
      </w:r>
    </w:p>
    <w:p>
      <w:pPr>
        <w:spacing w:line="240" w:lineRule="auto"/>
        <w:ind w:firstLine="640"/>
        <w:jc w:val="both"/>
      </w:pPr>
      <w:r>
        <w:rPr>
          <w:rFonts w:ascii="黑体" w:hAnsi="黑体" w:eastAsia="黑体" w:cs="黑体"/>
          <w:sz w:val="32"/>
        </w:rPr>
        <w:t>第九十四条</w:t>
      </w:r>
      <w:r>
        <w:rPr>
          <w:rFonts w:ascii="仿宋_GB2312" w:hAnsi="仿宋_GB2312" w:eastAsia="仿宋_GB2312" w:cs="仿宋_GB2312"/>
          <w:sz w:val="32"/>
        </w:rPr>
        <w:t>　本法所称司法工作人员，是指有侦查、检察、审判、监管职责的工作人员。</w:t>
      </w:r>
    </w:p>
    <w:p>
      <w:pPr>
        <w:spacing w:line="240" w:lineRule="auto"/>
        <w:ind w:firstLine="640"/>
        <w:jc w:val="both"/>
      </w:pPr>
      <w:r>
        <w:rPr>
          <w:rFonts w:ascii="黑体" w:hAnsi="黑体" w:eastAsia="黑体" w:cs="黑体"/>
          <w:sz w:val="32"/>
        </w:rPr>
        <w:t>第九十五条</w:t>
      </w:r>
      <w:r>
        <w:rPr>
          <w:rFonts w:ascii="仿宋_GB2312" w:hAnsi="仿宋_GB2312" w:eastAsia="仿宋_GB2312" w:cs="仿宋_GB2312"/>
          <w:sz w:val="32"/>
        </w:rPr>
        <w:t>　本法所称重伤，是指有下列情形之一的伤害：</w:t>
      </w:r>
    </w:p>
    <w:p>
      <w:pPr>
        <w:spacing w:line="240" w:lineRule="auto"/>
        <w:ind w:firstLine="640"/>
        <w:jc w:val="both"/>
      </w:pPr>
      <w:r>
        <w:rPr>
          <w:rFonts w:ascii="仿宋_GB2312" w:hAnsi="仿宋_GB2312" w:eastAsia="仿宋_GB2312" w:cs="仿宋_GB2312"/>
          <w:sz w:val="32"/>
        </w:rPr>
        <w:t>（一）使人肢体残废或者毁人容貌的；</w:t>
      </w:r>
    </w:p>
    <w:p>
      <w:pPr>
        <w:spacing w:line="240" w:lineRule="auto"/>
        <w:ind w:firstLine="640"/>
        <w:jc w:val="both"/>
      </w:pPr>
      <w:r>
        <w:rPr>
          <w:rFonts w:ascii="仿宋_GB2312" w:hAnsi="仿宋_GB2312" w:eastAsia="仿宋_GB2312" w:cs="仿宋_GB2312"/>
          <w:sz w:val="32"/>
        </w:rPr>
        <w:t>（二）使人丧失听觉、视觉或者其他器官机能的；</w:t>
      </w:r>
    </w:p>
    <w:p>
      <w:pPr>
        <w:spacing w:line="240" w:lineRule="auto"/>
        <w:ind w:firstLine="640"/>
        <w:jc w:val="both"/>
      </w:pPr>
      <w:r>
        <w:rPr>
          <w:rFonts w:ascii="仿宋_GB2312" w:hAnsi="仿宋_GB2312" w:eastAsia="仿宋_GB2312" w:cs="仿宋_GB2312"/>
          <w:sz w:val="32"/>
        </w:rPr>
        <w:t>（三）其他对于人身健康有重大伤害的。</w:t>
      </w:r>
    </w:p>
    <w:p>
      <w:pPr>
        <w:spacing w:line="240" w:lineRule="auto"/>
        <w:ind w:firstLine="640"/>
        <w:jc w:val="both"/>
      </w:pPr>
      <w:r>
        <w:rPr>
          <w:rFonts w:ascii="黑体" w:hAnsi="黑体" w:eastAsia="黑体" w:cs="黑体"/>
          <w:sz w:val="32"/>
        </w:rPr>
        <w:t>第九十六条</w:t>
      </w:r>
      <w:r>
        <w:rPr>
          <w:rFonts w:ascii="仿宋_GB2312" w:hAnsi="仿宋_GB2312" w:eastAsia="仿宋_GB2312" w:cs="仿宋_GB2312"/>
          <w:sz w:val="32"/>
        </w:rPr>
        <w:t>　本法所称违反国家规定，是指违反全国人民代表大会及其常务委员会制定的法律和决定，国务院制定的行政法规、规定的行政措施、发布的决定和命令。</w:t>
      </w:r>
    </w:p>
    <w:p>
      <w:pPr>
        <w:spacing w:line="240" w:lineRule="auto"/>
        <w:ind w:firstLine="640"/>
        <w:jc w:val="both"/>
      </w:pPr>
      <w:r>
        <w:rPr>
          <w:rFonts w:ascii="黑体" w:hAnsi="黑体" w:eastAsia="黑体" w:cs="黑体"/>
          <w:sz w:val="32"/>
        </w:rPr>
        <w:t>第九十七条</w:t>
      </w:r>
      <w:r>
        <w:rPr>
          <w:rFonts w:ascii="仿宋_GB2312" w:hAnsi="仿宋_GB2312" w:eastAsia="仿宋_GB2312" w:cs="仿宋_GB2312"/>
          <w:sz w:val="32"/>
        </w:rPr>
        <w:t>　本法所称首要分子，是指在犯罪集团或者聚众犯罪中起组织、策划、指挥作用的犯罪分子。</w:t>
      </w:r>
    </w:p>
    <w:p>
      <w:pPr>
        <w:spacing w:line="240" w:lineRule="auto"/>
        <w:ind w:firstLine="640"/>
        <w:jc w:val="both"/>
      </w:pPr>
      <w:r>
        <w:rPr>
          <w:rFonts w:ascii="黑体" w:hAnsi="黑体" w:eastAsia="黑体" w:cs="黑体"/>
          <w:sz w:val="32"/>
        </w:rPr>
        <w:t>第九十八条</w:t>
      </w:r>
      <w:r>
        <w:rPr>
          <w:rFonts w:ascii="仿宋_GB2312" w:hAnsi="仿宋_GB2312" w:eastAsia="仿宋_GB2312" w:cs="仿宋_GB2312"/>
          <w:sz w:val="32"/>
        </w:rPr>
        <w:t>　本法所称告诉才处理，是指被害人告诉才处理。如果被害人因受强制、威吓无法告诉的，人民检察院和被害人的近亲属也可以告诉。</w:t>
      </w:r>
    </w:p>
    <w:p>
      <w:pPr>
        <w:spacing w:line="240" w:lineRule="auto"/>
        <w:ind w:firstLine="640"/>
        <w:jc w:val="both"/>
      </w:pPr>
      <w:r>
        <w:rPr>
          <w:rFonts w:ascii="黑体" w:hAnsi="黑体" w:eastAsia="黑体" w:cs="黑体"/>
          <w:sz w:val="32"/>
        </w:rPr>
        <w:t>第九十九条</w:t>
      </w:r>
      <w:r>
        <w:rPr>
          <w:rFonts w:ascii="仿宋_GB2312" w:hAnsi="仿宋_GB2312" w:eastAsia="仿宋_GB2312" w:cs="仿宋_GB2312"/>
          <w:sz w:val="32"/>
        </w:rPr>
        <w:t>　本法所称以上、以下、以内，包括本数。</w:t>
      </w:r>
    </w:p>
    <w:p>
      <w:pPr>
        <w:spacing w:line="240" w:lineRule="auto"/>
        <w:ind w:firstLine="640"/>
        <w:jc w:val="both"/>
      </w:pPr>
      <w:r>
        <w:rPr>
          <w:rFonts w:ascii="黑体" w:hAnsi="黑体" w:eastAsia="黑体" w:cs="黑体"/>
          <w:sz w:val="32"/>
        </w:rPr>
        <w:t>第一百条</w:t>
      </w:r>
      <w:r>
        <w:rPr>
          <w:rFonts w:ascii="仿宋_GB2312" w:hAnsi="仿宋_GB2312" w:eastAsia="仿宋_GB2312" w:cs="仿宋_GB2312"/>
          <w:sz w:val="32"/>
        </w:rPr>
        <w:t>　依法受过刑事处罚的人，在入伍、就业的时候，应当如实向有关单位报告自己曾受过刑事处罚，不得隐瞒。</w:t>
      </w:r>
    </w:p>
    <w:p>
      <w:pPr>
        <w:spacing w:line="240" w:lineRule="auto"/>
        <w:ind w:firstLine="640"/>
        <w:jc w:val="both"/>
      </w:pPr>
      <w:r>
        <w:rPr>
          <w:rFonts w:ascii="仿宋_GB2312" w:hAnsi="仿宋_GB2312" w:eastAsia="仿宋_GB2312" w:cs="仿宋_GB2312"/>
          <w:sz w:val="32"/>
        </w:rPr>
        <w:t>犯罪的时候不满十八周岁被判处五年有期徒刑以下刑罚的人，免除前款规定的报告义务。</w:t>
      </w:r>
    </w:p>
    <w:p>
      <w:pPr>
        <w:spacing w:line="240" w:lineRule="auto"/>
        <w:ind w:firstLine="640"/>
        <w:jc w:val="both"/>
      </w:pPr>
      <w:r>
        <w:rPr>
          <w:rFonts w:ascii="黑体" w:hAnsi="黑体" w:eastAsia="黑体" w:cs="黑体"/>
          <w:sz w:val="32"/>
        </w:rPr>
        <w:t>第一百零一条</w:t>
      </w:r>
      <w:r>
        <w:rPr>
          <w:rFonts w:ascii="仿宋_GB2312" w:hAnsi="仿宋_GB2312" w:eastAsia="仿宋_GB2312" w:cs="仿宋_GB2312"/>
          <w:sz w:val="32"/>
        </w:rPr>
        <w:t>　本法总则适用于其他有刑罚规定的法律，但是其他法律有特别规定的除外。</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第二编　分则</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第一章　危害国家安全罪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第一百零二条</w:t>
      </w:r>
      <w:r>
        <w:rPr>
          <w:rFonts w:ascii="仿宋_GB2312" w:hAnsi="仿宋_GB2312" w:eastAsia="仿宋_GB2312" w:cs="仿宋_GB2312"/>
          <w:sz w:val="32"/>
        </w:rPr>
        <w:t>　勾结外国，危害中华人民共和国的主权、领土完整和安全的，处无期徒刑或者十年以上有期徒刑。</w:t>
      </w:r>
    </w:p>
    <w:p>
      <w:pPr>
        <w:spacing w:line="240" w:lineRule="auto"/>
        <w:ind w:firstLine="640"/>
        <w:jc w:val="both"/>
      </w:pPr>
      <w:r>
        <w:rPr>
          <w:rFonts w:ascii="仿宋_GB2312" w:hAnsi="仿宋_GB2312" w:eastAsia="仿宋_GB2312" w:cs="仿宋_GB2312"/>
          <w:sz w:val="32"/>
        </w:rPr>
        <w:t>与境外机构、组织、个人相勾结，犯前款罪的，依照前款的规定处罚。</w:t>
      </w:r>
    </w:p>
    <w:p>
      <w:pPr>
        <w:spacing w:line="240" w:lineRule="auto"/>
        <w:ind w:firstLine="640"/>
        <w:jc w:val="both"/>
      </w:pPr>
      <w:r>
        <w:rPr>
          <w:rFonts w:ascii="黑体" w:hAnsi="黑体" w:eastAsia="黑体" w:cs="黑体"/>
          <w:sz w:val="32"/>
        </w:rPr>
        <w:t>第一百零三条</w:t>
      </w:r>
      <w:r>
        <w:rPr>
          <w:rFonts w:ascii="仿宋_GB2312" w:hAnsi="仿宋_GB2312" w:eastAsia="仿宋_GB2312" w:cs="仿宋_GB2312"/>
          <w:sz w:val="32"/>
        </w:rPr>
        <w:t>　组织、策划、实施分裂国家、破坏国家统一的，对首要分子或者罪行重大的，处无期徒刑或者十年以上有期徒刑；对积极参加的，处三年以上十年以下有期徒刑；对其他参加的，处三年以下有期徒刑、拘役、管制或者剥夺政治权利。</w:t>
      </w:r>
    </w:p>
    <w:p>
      <w:pPr>
        <w:spacing w:line="240" w:lineRule="auto"/>
        <w:ind w:firstLine="640"/>
        <w:jc w:val="both"/>
      </w:pPr>
      <w:r>
        <w:rPr>
          <w:rFonts w:ascii="仿宋_GB2312" w:hAnsi="仿宋_GB2312" w:eastAsia="仿宋_GB2312" w:cs="仿宋_GB2312"/>
          <w:sz w:val="32"/>
        </w:rPr>
        <w:t>煽动分裂国家、破坏国家统一的，处五年以下有期徒刑、拘役、管制或者剥夺政治权利；首要分子或者罪行重大的，处五年以上有期徒刑。</w:t>
      </w:r>
    </w:p>
    <w:p>
      <w:pPr>
        <w:spacing w:line="240" w:lineRule="auto"/>
        <w:ind w:firstLine="640"/>
        <w:jc w:val="both"/>
      </w:pPr>
      <w:r>
        <w:rPr>
          <w:rFonts w:ascii="黑体" w:hAnsi="黑体" w:eastAsia="黑体" w:cs="黑体"/>
          <w:sz w:val="32"/>
        </w:rPr>
        <w:t>第一百零四条</w:t>
      </w:r>
      <w:r>
        <w:rPr>
          <w:rFonts w:ascii="仿宋_GB2312" w:hAnsi="仿宋_GB2312" w:eastAsia="仿宋_GB2312" w:cs="仿宋_GB2312"/>
          <w:sz w:val="32"/>
        </w:rPr>
        <w:t>　组织、策划、实施武装叛乱或者武装暴乱的，对首要分子或者罪行重大的，处无期徒刑或者十年以上有期徒刑；对积极参加的，处三年以上十年以下有期徒刑；对其他参加的，处三年以下有期徒刑、拘役、管制或者剥夺政治权利。</w:t>
      </w:r>
    </w:p>
    <w:p>
      <w:pPr>
        <w:spacing w:line="240" w:lineRule="auto"/>
        <w:ind w:firstLine="640"/>
        <w:jc w:val="both"/>
      </w:pPr>
      <w:r>
        <w:rPr>
          <w:rFonts w:ascii="仿宋_GB2312" w:hAnsi="仿宋_GB2312" w:eastAsia="仿宋_GB2312" w:cs="仿宋_GB2312"/>
          <w:sz w:val="32"/>
        </w:rPr>
        <w:t>策动、胁迫、勾引、收买国家机关工作人员、武装部队人员、人民警察、民兵进行武装叛乱或者武装暴乱的，依照前款的规定从重处罚。</w:t>
      </w:r>
    </w:p>
    <w:p>
      <w:pPr>
        <w:spacing w:line="240" w:lineRule="auto"/>
        <w:ind w:firstLine="640"/>
        <w:jc w:val="both"/>
      </w:pPr>
      <w:r>
        <w:rPr>
          <w:rFonts w:ascii="黑体" w:hAnsi="黑体" w:eastAsia="黑体" w:cs="黑体"/>
          <w:sz w:val="32"/>
        </w:rPr>
        <w:t>第一百零五条</w:t>
      </w:r>
      <w:r>
        <w:rPr>
          <w:rFonts w:ascii="仿宋_GB2312" w:hAnsi="仿宋_GB2312" w:eastAsia="仿宋_GB2312" w:cs="仿宋_GB2312"/>
          <w:sz w:val="32"/>
        </w:rPr>
        <w:t>　组织、策划、实施颠覆国家政权、推翻社会主义制度的，对首要分子或者罪行重大的，处无期徒刑或者十年以上有期徒刑；对积极参加的，处三年以上十年以下有期徒刑；对其他参加的，处三年以下有期徒刑、拘役、管制或者剥夺政治权利。</w:t>
      </w:r>
    </w:p>
    <w:p>
      <w:pPr>
        <w:spacing w:line="240" w:lineRule="auto"/>
        <w:ind w:firstLine="640"/>
        <w:jc w:val="both"/>
      </w:pPr>
      <w:r>
        <w:rPr>
          <w:rFonts w:ascii="仿宋_GB2312" w:hAnsi="仿宋_GB2312" w:eastAsia="仿宋_GB2312" w:cs="仿宋_GB2312"/>
          <w:sz w:val="32"/>
        </w:rPr>
        <w:t>以造谣、诽谤或者其他方式煽动颠覆国家政权、推翻社会主义制度的，处五年以下有期徒刑、拘役、管制或者剥夺政治权利；首要分子或者罪行重大的，处五年以上有期徒刑。</w:t>
      </w:r>
    </w:p>
    <w:p>
      <w:pPr>
        <w:spacing w:line="240" w:lineRule="auto"/>
        <w:ind w:firstLine="640"/>
        <w:jc w:val="both"/>
      </w:pPr>
      <w:r>
        <w:rPr>
          <w:rFonts w:ascii="黑体" w:hAnsi="黑体" w:eastAsia="黑体" w:cs="黑体"/>
          <w:sz w:val="32"/>
        </w:rPr>
        <w:t>第一百零六条</w:t>
      </w:r>
      <w:r>
        <w:rPr>
          <w:rFonts w:ascii="仿宋_GB2312" w:hAnsi="仿宋_GB2312" w:eastAsia="仿宋_GB2312" w:cs="仿宋_GB2312"/>
          <w:sz w:val="32"/>
        </w:rPr>
        <w:t>　与境外机构、组织、个人相勾结，实施本章第一百零三条、第一百零四条、第一百零五条规定之罪的，依照各该条的规定从重处罚。</w:t>
      </w:r>
    </w:p>
    <w:p>
      <w:pPr>
        <w:spacing w:line="240" w:lineRule="auto"/>
        <w:ind w:firstLine="640"/>
        <w:jc w:val="both"/>
      </w:pPr>
      <w:r>
        <w:rPr>
          <w:rFonts w:ascii="黑体" w:hAnsi="黑体" w:eastAsia="黑体" w:cs="黑体"/>
          <w:sz w:val="32"/>
        </w:rPr>
        <w:t>第一百零七条</w:t>
      </w:r>
      <w:r>
        <w:rPr>
          <w:rFonts w:ascii="仿宋_GB2312" w:hAnsi="仿宋_GB2312" w:eastAsia="仿宋_GB2312" w:cs="仿宋_GB2312"/>
          <w:sz w:val="32"/>
        </w:rPr>
        <w:t>　境内外机构、组织或者个人资助实施本章第一百零二条、第一百零三条、第一百零四条、第一百零五条规定之罪的，对直接责任人员，处五年以下有期徒刑、拘役、管制或者剥夺政治权利；情节严重的，处五年以上有期徒刑。</w:t>
      </w:r>
    </w:p>
    <w:p>
      <w:pPr>
        <w:spacing w:line="240" w:lineRule="auto"/>
        <w:ind w:firstLine="640"/>
        <w:jc w:val="both"/>
      </w:pPr>
      <w:r>
        <w:rPr>
          <w:rFonts w:ascii="黑体" w:hAnsi="黑体" w:eastAsia="黑体" w:cs="黑体"/>
          <w:sz w:val="32"/>
        </w:rPr>
        <w:t>第一百零八条</w:t>
      </w:r>
      <w:r>
        <w:rPr>
          <w:rFonts w:ascii="仿宋_GB2312" w:hAnsi="仿宋_GB2312" w:eastAsia="仿宋_GB2312" w:cs="仿宋_GB2312"/>
          <w:sz w:val="32"/>
        </w:rPr>
        <w:t>　投敌叛变的，处三年以上十年以下有期徒刑；情节严重或者带领武装部队人员、人民警察、民兵投敌叛变的，处十年以上有期徒刑或者无期徒刑。</w:t>
      </w:r>
    </w:p>
    <w:p>
      <w:pPr>
        <w:spacing w:line="240" w:lineRule="auto"/>
        <w:ind w:firstLine="640"/>
        <w:jc w:val="both"/>
      </w:pPr>
      <w:r>
        <w:rPr>
          <w:rFonts w:ascii="黑体" w:hAnsi="黑体" w:eastAsia="黑体" w:cs="黑体"/>
          <w:sz w:val="32"/>
        </w:rPr>
        <w:t>第一百零九条</w:t>
      </w:r>
      <w:r>
        <w:rPr>
          <w:rFonts w:ascii="仿宋_GB2312" w:hAnsi="仿宋_GB2312" w:eastAsia="仿宋_GB2312" w:cs="仿宋_GB2312"/>
          <w:sz w:val="32"/>
        </w:rPr>
        <w:t>　国家机关工作人员在履行公务期间，擅离岗位，叛逃境外或者在境外叛逃的，处五年以下有期徒刑、拘役、管制或者剥夺政治权利；情节严重的，处五年以上十年以下有期徒刑。</w:t>
      </w:r>
    </w:p>
    <w:p>
      <w:pPr>
        <w:spacing w:line="240" w:lineRule="auto"/>
        <w:ind w:firstLine="640"/>
        <w:jc w:val="both"/>
      </w:pPr>
      <w:r>
        <w:rPr>
          <w:rFonts w:ascii="仿宋_GB2312" w:hAnsi="仿宋_GB2312" w:eastAsia="仿宋_GB2312" w:cs="仿宋_GB2312"/>
          <w:sz w:val="32"/>
        </w:rPr>
        <w:t>掌握国家秘密的国家工作人员叛逃境外或者在境外叛逃的，依照前款的规定从重处罚。</w:t>
      </w:r>
    </w:p>
    <w:p>
      <w:pPr>
        <w:spacing w:line="240" w:lineRule="auto"/>
        <w:ind w:firstLine="640"/>
        <w:jc w:val="both"/>
      </w:pPr>
      <w:r>
        <w:rPr>
          <w:rFonts w:ascii="黑体" w:hAnsi="黑体" w:eastAsia="黑体" w:cs="黑体"/>
          <w:sz w:val="32"/>
        </w:rPr>
        <w:t>第一百一十条</w:t>
      </w:r>
      <w:r>
        <w:rPr>
          <w:rFonts w:ascii="仿宋_GB2312" w:hAnsi="仿宋_GB2312" w:eastAsia="仿宋_GB2312" w:cs="仿宋_GB2312"/>
          <w:sz w:val="32"/>
        </w:rPr>
        <w:t>　有下列间谍行为之一，危害国家安全的，处十年以上有期徒刑或者无期徒刑；情节较轻的，处三年以上十年以下有期徒刑：</w:t>
      </w:r>
    </w:p>
    <w:p>
      <w:pPr>
        <w:spacing w:line="240" w:lineRule="auto"/>
        <w:ind w:firstLine="640"/>
        <w:jc w:val="both"/>
      </w:pPr>
      <w:r>
        <w:rPr>
          <w:rFonts w:ascii="仿宋_GB2312" w:hAnsi="仿宋_GB2312" w:eastAsia="仿宋_GB2312" w:cs="仿宋_GB2312"/>
          <w:sz w:val="32"/>
        </w:rPr>
        <w:t>（一）参加间谍组织或者接受间谍组织及其代理人的任务的；</w:t>
      </w:r>
    </w:p>
    <w:p>
      <w:pPr>
        <w:spacing w:line="240" w:lineRule="auto"/>
        <w:ind w:firstLine="640"/>
        <w:jc w:val="both"/>
      </w:pPr>
      <w:r>
        <w:rPr>
          <w:rFonts w:ascii="仿宋_GB2312" w:hAnsi="仿宋_GB2312" w:eastAsia="仿宋_GB2312" w:cs="仿宋_GB2312"/>
          <w:sz w:val="32"/>
        </w:rPr>
        <w:t>（二）为敌人指示轰击目标的。</w:t>
      </w:r>
    </w:p>
    <w:p>
      <w:pPr>
        <w:spacing w:line="240" w:lineRule="auto"/>
        <w:ind w:firstLine="640"/>
        <w:jc w:val="both"/>
      </w:pPr>
      <w:r>
        <w:rPr>
          <w:rFonts w:ascii="黑体" w:hAnsi="黑体" w:eastAsia="黑体" w:cs="黑体"/>
          <w:sz w:val="32"/>
        </w:rPr>
        <w:t>第一百一十一条</w:t>
      </w:r>
      <w:r>
        <w:rPr>
          <w:rFonts w:ascii="仿宋_GB2312" w:hAnsi="仿宋_GB2312" w:eastAsia="仿宋_GB2312" w:cs="仿宋_GB2312"/>
          <w:sz w:val="32"/>
        </w:rPr>
        <w:t>　为境外的机构、组织、人员窃取、刺探、收买、非法提供国家秘密或者情报的，处五年以上十年以下有期徒刑；情节特别严重的，处十年以上有期徒刑或者无期徒刑；情节较轻的，处五年以下有期徒刑、拘役、管制或者剥夺政治权利。</w:t>
      </w:r>
    </w:p>
    <w:p>
      <w:pPr>
        <w:spacing w:line="240" w:lineRule="auto"/>
        <w:ind w:firstLine="640"/>
        <w:jc w:val="both"/>
      </w:pPr>
      <w:r>
        <w:rPr>
          <w:rFonts w:ascii="黑体" w:hAnsi="黑体" w:eastAsia="黑体" w:cs="黑体"/>
          <w:sz w:val="32"/>
        </w:rPr>
        <w:t>第一百一十二条</w:t>
      </w:r>
      <w:r>
        <w:rPr>
          <w:rFonts w:ascii="仿宋_GB2312" w:hAnsi="仿宋_GB2312" w:eastAsia="仿宋_GB2312" w:cs="仿宋_GB2312"/>
          <w:sz w:val="32"/>
        </w:rPr>
        <w:t>　战时供给敌人武器装备、军用物资资敌的，处十年以上有期徒刑或者无期徒刑；情节较轻的，处三年以上十年以下有期徒刑。</w:t>
      </w:r>
    </w:p>
    <w:p>
      <w:pPr>
        <w:spacing w:line="240" w:lineRule="auto"/>
        <w:ind w:firstLine="640"/>
        <w:jc w:val="both"/>
      </w:pPr>
      <w:r>
        <w:rPr>
          <w:rFonts w:ascii="黑体" w:hAnsi="黑体" w:eastAsia="黑体" w:cs="黑体"/>
          <w:sz w:val="32"/>
        </w:rPr>
        <w:t>第一百一十三条</w:t>
      </w:r>
      <w:r>
        <w:rPr>
          <w:rFonts w:ascii="仿宋_GB2312" w:hAnsi="仿宋_GB2312" w:eastAsia="仿宋_GB2312" w:cs="仿宋_GB2312"/>
          <w:sz w:val="32"/>
        </w:rPr>
        <w:t>　本章上述危害国家安全罪行中，除第一百零三条第二款、第一百零五条、第一百零七条、第一百零九条外，对国家和人民危害特别严重、情节特别恶劣的，可以判处死刑。</w:t>
      </w:r>
    </w:p>
    <w:p>
      <w:pPr>
        <w:spacing w:line="240" w:lineRule="auto"/>
        <w:ind w:firstLine="640"/>
        <w:jc w:val="both"/>
      </w:pPr>
      <w:r>
        <w:rPr>
          <w:rFonts w:ascii="仿宋_GB2312" w:hAnsi="仿宋_GB2312" w:eastAsia="仿宋_GB2312" w:cs="仿宋_GB2312"/>
          <w:sz w:val="32"/>
        </w:rPr>
        <w:t>犯本章之罪的，可以并处没收财产。</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第二章　危害公共安全罪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第一百一十四条</w:t>
      </w:r>
      <w:r>
        <w:rPr>
          <w:rFonts w:ascii="仿宋_GB2312" w:hAnsi="仿宋_GB2312" w:eastAsia="仿宋_GB2312" w:cs="仿宋_GB2312"/>
          <w:sz w:val="32"/>
        </w:rPr>
        <w:t>　放火、决水、爆炸以及投放毒害性、放射性、传染病病原体等物质或者以其他危险方法危害公共安全，尚未造成严重后果的，处三年以上十年以下有期徒刑。</w:t>
      </w:r>
    </w:p>
    <w:p>
      <w:pPr>
        <w:spacing w:line="240" w:lineRule="auto"/>
        <w:ind w:firstLine="640"/>
        <w:jc w:val="both"/>
      </w:pPr>
      <w:r>
        <w:rPr>
          <w:rFonts w:ascii="黑体" w:hAnsi="黑体" w:eastAsia="黑体" w:cs="黑体"/>
          <w:sz w:val="32"/>
        </w:rPr>
        <w:t>第一百一十五条</w:t>
      </w:r>
      <w:r>
        <w:rPr>
          <w:rFonts w:ascii="仿宋_GB2312" w:hAnsi="仿宋_GB2312" w:eastAsia="仿宋_GB2312" w:cs="仿宋_GB2312"/>
          <w:sz w:val="32"/>
        </w:rPr>
        <w:t>　放火、决水、爆炸以及投放毒害性、放射性、传染病病原体等物质或者以其他危险方法致人重伤、死亡或者使公私财产遭受重大损失的，处十年以上有期徒刑、无期徒刑或者死刑。</w:t>
      </w:r>
    </w:p>
    <w:p>
      <w:pPr>
        <w:spacing w:line="240" w:lineRule="auto"/>
        <w:ind w:firstLine="640"/>
        <w:jc w:val="both"/>
      </w:pPr>
      <w:r>
        <w:rPr>
          <w:rFonts w:ascii="仿宋_GB2312" w:hAnsi="仿宋_GB2312" w:eastAsia="仿宋_GB2312" w:cs="仿宋_GB2312"/>
          <w:sz w:val="32"/>
        </w:rPr>
        <w:t>过失犯前款罪的，处三年以上七年以下有期徒刑；情节较轻的，处三年以下有期徒刑或者拘役。</w:t>
      </w:r>
    </w:p>
    <w:p>
      <w:pPr>
        <w:spacing w:line="240" w:lineRule="auto"/>
        <w:ind w:firstLine="640"/>
        <w:jc w:val="both"/>
      </w:pPr>
      <w:r>
        <w:rPr>
          <w:rFonts w:ascii="黑体" w:hAnsi="黑体" w:eastAsia="黑体" w:cs="黑体"/>
          <w:sz w:val="32"/>
        </w:rPr>
        <w:t>第一百一十六条</w:t>
      </w:r>
      <w:r>
        <w:rPr>
          <w:rFonts w:ascii="仿宋_GB2312" w:hAnsi="仿宋_GB2312" w:eastAsia="仿宋_GB2312" w:cs="仿宋_GB2312"/>
          <w:sz w:val="32"/>
        </w:rPr>
        <w:t>　破坏火车、汽车、电车、船只、航空器，足以使火车、汽车、电车、船只、航空器发生倾覆、毁坏危险，尚未造成严重后果的，处三年以上十年以下有期徒刑。</w:t>
      </w:r>
    </w:p>
    <w:p>
      <w:pPr>
        <w:spacing w:line="240" w:lineRule="auto"/>
        <w:ind w:firstLine="640"/>
        <w:jc w:val="both"/>
      </w:pPr>
      <w:r>
        <w:rPr>
          <w:rFonts w:ascii="黑体" w:hAnsi="黑体" w:eastAsia="黑体" w:cs="黑体"/>
          <w:sz w:val="32"/>
        </w:rPr>
        <w:t>第一百一十七条</w:t>
      </w:r>
      <w:r>
        <w:rPr>
          <w:rFonts w:ascii="仿宋_GB2312" w:hAnsi="仿宋_GB2312" w:eastAsia="仿宋_GB2312" w:cs="仿宋_GB2312"/>
          <w:sz w:val="32"/>
        </w:rPr>
        <w:t>　破坏轨道、桥梁、隧道、公路、机场、航道、灯塔、标志或者进行其他破坏活动，足以使火车、汽车、电车、船只、航空器发生倾覆、毁坏危险，尚未造成严重后果的，处三年以上十年以下有期徒刑。</w:t>
      </w:r>
    </w:p>
    <w:p>
      <w:pPr>
        <w:spacing w:line="240" w:lineRule="auto"/>
        <w:ind w:firstLine="640"/>
        <w:jc w:val="both"/>
      </w:pPr>
      <w:r>
        <w:rPr>
          <w:rFonts w:ascii="黑体" w:hAnsi="黑体" w:eastAsia="黑体" w:cs="黑体"/>
          <w:sz w:val="32"/>
        </w:rPr>
        <w:t>第一百一十八条</w:t>
      </w:r>
      <w:r>
        <w:rPr>
          <w:rFonts w:ascii="仿宋_GB2312" w:hAnsi="仿宋_GB2312" w:eastAsia="仿宋_GB2312" w:cs="仿宋_GB2312"/>
          <w:sz w:val="32"/>
        </w:rPr>
        <w:t>　破坏电力、燃气或者其他易燃易爆设备，危害公共安全，尚未造成严重后果的，处三年以上十年以下有期徒刑。</w:t>
      </w:r>
    </w:p>
    <w:p>
      <w:pPr>
        <w:spacing w:line="240" w:lineRule="auto"/>
        <w:ind w:firstLine="640"/>
        <w:jc w:val="both"/>
      </w:pPr>
      <w:r>
        <w:rPr>
          <w:rFonts w:ascii="黑体" w:hAnsi="黑体" w:eastAsia="黑体" w:cs="黑体"/>
          <w:sz w:val="32"/>
        </w:rPr>
        <w:t>第一百一十九条</w:t>
      </w:r>
      <w:r>
        <w:rPr>
          <w:rFonts w:ascii="仿宋_GB2312" w:hAnsi="仿宋_GB2312" w:eastAsia="仿宋_GB2312" w:cs="仿宋_GB2312"/>
          <w:sz w:val="32"/>
        </w:rPr>
        <w:t>　破坏交通工具、交通设施、电力设备、燃气设备、易燃易爆设备，造成严重后果的，处十年以上有期徒刑、无期徒刑或者死刑。</w:t>
      </w:r>
    </w:p>
    <w:p>
      <w:pPr>
        <w:spacing w:line="240" w:lineRule="auto"/>
        <w:ind w:firstLine="640"/>
        <w:jc w:val="both"/>
      </w:pPr>
      <w:r>
        <w:rPr>
          <w:rFonts w:ascii="仿宋_GB2312" w:hAnsi="仿宋_GB2312" w:eastAsia="仿宋_GB2312" w:cs="仿宋_GB2312"/>
          <w:sz w:val="32"/>
        </w:rPr>
        <w:t>过失犯前款罪的，处三年以上七年以下有期徒刑；情节较轻的，处三年以下有期徒刑或者拘役。</w:t>
      </w:r>
    </w:p>
    <w:p>
      <w:pPr>
        <w:spacing w:line="240" w:lineRule="auto"/>
        <w:ind w:firstLine="640"/>
        <w:jc w:val="both"/>
      </w:pPr>
      <w:r>
        <w:rPr>
          <w:rFonts w:ascii="黑体" w:hAnsi="黑体" w:eastAsia="黑体" w:cs="黑体"/>
          <w:sz w:val="32"/>
        </w:rPr>
        <w:t>第一百二十条</w:t>
      </w:r>
      <w:r>
        <w:rPr>
          <w:rFonts w:ascii="仿宋_GB2312" w:hAnsi="仿宋_GB2312" w:eastAsia="仿宋_GB2312" w:cs="仿宋_GB2312"/>
          <w:sz w:val="32"/>
        </w:rPr>
        <w:t>　组织、领导恐怖活动组织的，处十年以上有期徒刑或者无期徒刑，并处没收财产；积极参加的，处三年以上十年以下有期徒刑，并处罚金；其他参加的，处三年以下有期徒刑、拘役、管制或者剥夺政治权利，可以并处罚金。</w:t>
      </w:r>
    </w:p>
    <w:p>
      <w:pPr>
        <w:spacing w:line="240" w:lineRule="auto"/>
        <w:ind w:firstLine="640"/>
        <w:jc w:val="both"/>
      </w:pPr>
      <w:r>
        <w:rPr>
          <w:rFonts w:ascii="仿宋_GB2312" w:hAnsi="仿宋_GB2312" w:eastAsia="仿宋_GB2312" w:cs="仿宋_GB2312"/>
          <w:sz w:val="32"/>
        </w:rPr>
        <w:t>犯前款罪并实施杀人、爆炸、绑架等犯罪的，依照数罪并罚的规定处罚。</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条之一　</w:t>
      </w:r>
      <w:r>
        <w:rPr>
          <w:rFonts w:ascii="仿宋_GB2312" w:hAnsi="仿宋_GB2312" w:eastAsia="仿宋_GB2312" w:cs="仿宋_GB2312"/>
          <w:sz w:val="32"/>
        </w:rPr>
        <w:t>资助恐怖活动组织、实施恐怖活动的个人的，或者资助恐怖活动培训的，处五年以下有期徒刑、拘役、管制或者剥夺政治权利，并处罚金；情节严重的，处五年以上有期徒刑，并处罚金或者没收财产。</w:t>
      </w:r>
    </w:p>
    <w:p>
      <w:pPr>
        <w:spacing w:line="240" w:lineRule="auto"/>
        <w:ind w:firstLine="640"/>
        <w:jc w:val="both"/>
      </w:pPr>
      <w:r>
        <w:rPr>
          <w:rFonts w:ascii="仿宋_GB2312" w:hAnsi="仿宋_GB2312" w:eastAsia="仿宋_GB2312" w:cs="仿宋_GB2312"/>
          <w:sz w:val="32"/>
        </w:rPr>
        <w:t>为恐怖活动组织、实施恐怖活动或者恐怖活动培训招募、运送人员的，依照前款的规定处罚。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条之二　</w:t>
      </w:r>
      <w:r>
        <w:rPr>
          <w:rFonts w:ascii="仿宋_GB2312" w:hAnsi="仿宋_GB2312" w:eastAsia="仿宋_GB2312" w:cs="仿宋_GB2312"/>
          <w:sz w:val="32"/>
        </w:rPr>
        <w:t>有下列情形之一的，处五年以下有期徒刑、拘役、管制或者剥夺政治权利，并处罚金；情节严重的，处五年以上有期徒刑，并处罚金或者没收财产：</w:t>
      </w:r>
    </w:p>
    <w:p>
      <w:pPr>
        <w:spacing w:line="240" w:lineRule="auto"/>
        <w:ind w:firstLine="640"/>
        <w:jc w:val="both"/>
      </w:pPr>
      <w:r>
        <w:rPr>
          <w:rFonts w:ascii="仿宋_GB2312" w:hAnsi="仿宋_GB2312" w:eastAsia="仿宋_GB2312" w:cs="仿宋_GB2312"/>
          <w:sz w:val="32"/>
        </w:rPr>
        <w:t>（一）为实施恐怖活动准备凶器、危险物品或者其他工具的；</w:t>
      </w:r>
    </w:p>
    <w:p>
      <w:pPr>
        <w:spacing w:line="240" w:lineRule="auto"/>
        <w:ind w:firstLine="640"/>
        <w:jc w:val="both"/>
      </w:pPr>
      <w:r>
        <w:rPr>
          <w:rFonts w:ascii="仿宋_GB2312" w:hAnsi="仿宋_GB2312" w:eastAsia="仿宋_GB2312" w:cs="仿宋_GB2312"/>
          <w:sz w:val="32"/>
        </w:rPr>
        <w:t>（二）组织恐怖活动培训或者积极参加恐怖活动培训的；</w:t>
      </w:r>
    </w:p>
    <w:p>
      <w:pPr>
        <w:spacing w:line="240" w:lineRule="auto"/>
        <w:ind w:firstLine="640"/>
        <w:jc w:val="both"/>
      </w:pPr>
      <w:r>
        <w:rPr>
          <w:rFonts w:ascii="仿宋_GB2312" w:hAnsi="仿宋_GB2312" w:eastAsia="仿宋_GB2312" w:cs="仿宋_GB2312"/>
          <w:sz w:val="32"/>
        </w:rPr>
        <w:t>（三）为实施恐怖活动与境外恐怖活动组织或者人员联络的；</w:t>
      </w:r>
    </w:p>
    <w:p>
      <w:pPr>
        <w:spacing w:line="240" w:lineRule="auto"/>
        <w:ind w:firstLine="640"/>
        <w:jc w:val="both"/>
      </w:pPr>
      <w:r>
        <w:rPr>
          <w:rFonts w:ascii="仿宋_GB2312" w:hAnsi="仿宋_GB2312" w:eastAsia="仿宋_GB2312" w:cs="仿宋_GB2312"/>
          <w:sz w:val="32"/>
        </w:rPr>
        <w:t>（四）为实施恐怖活动进行策划或者其他准备的。</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条之三　</w:t>
      </w:r>
      <w:r>
        <w:rPr>
          <w:rFonts w:ascii="仿宋_GB2312" w:hAnsi="仿宋_GB2312" w:eastAsia="仿宋_GB2312" w:cs="仿宋_GB2312"/>
          <w:sz w:val="32"/>
        </w:rPr>
        <w:t>以制作、散发宣扬恐怖主义、极端主义的图书、音频视频资料或者其他物品，或者通过讲授、发布信息等方式宣扬恐怖主义、极端主义的，或者煽动实施恐怖活动的，处五年以下有期徒刑、拘役、管制或者剥夺政治权利，并处罚金；情节严重的，处五年以上有期徒刑，并处罚金或者没收财产。</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条之四　</w:t>
      </w:r>
      <w:r>
        <w:rPr>
          <w:rFonts w:ascii="仿宋_GB2312" w:hAnsi="仿宋_GB2312" w:eastAsia="仿宋_GB2312" w:cs="仿宋_GB2312"/>
          <w:sz w:val="32"/>
        </w:rPr>
        <w:t>利用极端主义煽动、胁迫群众破坏国家法律确立的婚姻、司法、教育、社会管理等制度实施的，处三年以下有期徒刑、拘役或者管制，并处罚金；情节严重的，处三年以上七年以下有期徒刑，并处罚金；情节特别严重的，处七年以上有期徒刑，并处罚金或者没收财产。</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条之五　</w:t>
      </w:r>
      <w:r>
        <w:rPr>
          <w:rFonts w:ascii="仿宋_GB2312" w:hAnsi="仿宋_GB2312" w:eastAsia="仿宋_GB2312" w:cs="仿宋_GB2312"/>
          <w:sz w:val="32"/>
        </w:rPr>
        <w:t>以暴力、胁迫等方式强制他人在公共场所穿着、佩戴宣扬恐怖主义、极端主义服饰、标志的，处三年以下有期徒刑、拘役或者管制，并处罚金。</w:t>
      </w:r>
    </w:p>
    <w:p>
      <w:pPr>
        <w:spacing w:line="240" w:lineRule="auto"/>
        <w:ind w:firstLine="640"/>
        <w:jc w:val="both"/>
      </w:pPr>
      <w:r>
        <w:rPr>
          <w:rFonts w:ascii="黑体" w:hAnsi="黑体" w:eastAsia="黑体" w:cs="黑体"/>
          <w:sz w:val="32"/>
        </w:rPr>
        <w:t>第一百二十</w:t>
      </w:r>
      <w:r>
        <w:rPr>
          <w:rFonts w:hint="eastAsia" w:ascii="黑体" w:hAnsi="黑体" w:eastAsia="黑体" w:cs="黑体"/>
          <w:sz w:val="32"/>
          <w:lang w:eastAsia="zh-CN"/>
        </w:rPr>
        <w:t>条之六　</w:t>
      </w:r>
      <w:r>
        <w:rPr>
          <w:rFonts w:ascii="仿宋_GB2312" w:hAnsi="仿宋_GB2312" w:eastAsia="仿宋_GB2312" w:cs="仿宋_GB2312"/>
          <w:sz w:val="32"/>
        </w:rPr>
        <w:t>明知是宣扬恐怖主义、极端主义的图书、音频视频资料或者其他物品而非法持有，情节严重的，处三年以下有期徒刑、拘役或者管制，并处或者单处罚金。</w:t>
      </w:r>
    </w:p>
    <w:p>
      <w:pPr>
        <w:spacing w:line="240" w:lineRule="auto"/>
        <w:ind w:firstLine="640"/>
        <w:jc w:val="both"/>
      </w:pPr>
      <w:r>
        <w:rPr>
          <w:rFonts w:ascii="黑体" w:hAnsi="黑体" w:eastAsia="黑体" w:cs="黑体"/>
          <w:sz w:val="32"/>
        </w:rPr>
        <w:t>第一百二十一条</w:t>
      </w:r>
      <w:r>
        <w:rPr>
          <w:rFonts w:ascii="仿宋_GB2312" w:hAnsi="仿宋_GB2312" w:eastAsia="仿宋_GB2312" w:cs="仿宋_GB2312"/>
          <w:sz w:val="32"/>
        </w:rPr>
        <w:t>　以暴力、胁迫或者其他方法劫持航空器的，处十年以上有期徒刑或者无期徒刑；致人重伤、死亡或者使航空器遭受严重破坏的，处死刑。</w:t>
      </w:r>
    </w:p>
    <w:p>
      <w:pPr>
        <w:spacing w:line="240" w:lineRule="auto"/>
        <w:ind w:firstLine="640"/>
        <w:jc w:val="both"/>
      </w:pPr>
      <w:r>
        <w:rPr>
          <w:rFonts w:ascii="黑体" w:hAnsi="黑体" w:eastAsia="黑体" w:cs="黑体"/>
          <w:sz w:val="32"/>
        </w:rPr>
        <w:t>第一百二十二条</w:t>
      </w:r>
      <w:r>
        <w:rPr>
          <w:rFonts w:ascii="仿宋_GB2312" w:hAnsi="仿宋_GB2312" w:eastAsia="仿宋_GB2312" w:cs="仿宋_GB2312"/>
          <w:sz w:val="32"/>
        </w:rPr>
        <w:t>　以暴力、胁迫或者其他方法劫持船只、汽车的，处五年以上十年以下有期徒刑；造成严重后果的，处十年以上有期徒刑或者无期徒刑。</w:t>
      </w:r>
    </w:p>
    <w:p>
      <w:pPr>
        <w:spacing w:line="240" w:lineRule="auto"/>
        <w:ind w:firstLine="640"/>
        <w:jc w:val="both"/>
      </w:pPr>
      <w:r>
        <w:rPr>
          <w:rFonts w:ascii="黑体" w:hAnsi="黑体" w:eastAsia="黑体" w:cs="黑体"/>
          <w:sz w:val="32"/>
        </w:rPr>
        <w:t>第一百二十三条</w:t>
      </w:r>
      <w:r>
        <w:rPr>
          <w:rFonts w:ascii="仿宋_GB2312" w:hAnsi="仿宋_GB2312" w:eastAsia="仿宋_GB2312" w:cs="仿宋_GB2312"/>
          <w:sz w:val="32"/>
        </w:rPr>
        <w:t>　对飞行中的航空器上的人员使用暴力，危及飞行安全，尚未造成严重后果的，处五年以下有期徒刑或者拘役；造成严重后果的，处五年以上有期徒刑。</w:t>
      </w:r>
    </w:p>
    <w:p>
      <w:pPr>
        <w:spacing w:line="240" w:lineRule="auto"/>
        <w:ind w:firstLine="640"/>
        <w:jc w:val="both"/>
      </w:pPr>
      <w:r>
        <w:rPr>
          <w:rFonts w:ascii="黑体" w:hAnsi="黑体" w:eastAsia="黑体" w:cs="黑体"/>
          <w:sz w:val="32"/>
        </w:rPr>
        <w:t>第一百二十四条</w:t>
      </w:r>
      <w:r>
        <w:rPr>
          <w:rFonts w:ascii="仿宋_GB2312" w:hAnsi="仿宋_GB2312" w:eastAsia="仿宋_GB2312" w:cs="仿宋_GB2312"/>
          <w:sz w:val="32"/>
        </w:rPr>
        <w:t>　破坏广播电视设施、公用电信设施，危害公共安全的，处三年以上七年以下有期徒刑；造成严重后果的，处七年以上有期徒刑。</w:t>
      </w:r>
    </w:p>
    <w:p>
      <w:pPr>
        <w:spacing w:line="240" w:lineRule="auto"/>
        <w:ind w:firstLine="640"/>
        <w:jc w:val="both"/>
      </w:pPr>
      <w:r>
        <w:rPr>
          <w:rFonts w:ascii="仿宋_GB2312" w:hAnsi="仿宋_GB2312" w:eastAsia="仿宋_GB2312" w:cs="仿宋_GB2312"/>
          <w:sz w:val="32"/>
        </w:rPr>
        <w:t>过失犯前款罪的，处三年以上七年以下有期徒刑；情节较轻的，处三年以下有期徒刑或者拘役。</w:t>
      </w:r>
    </w:p>
    <w:p>
      <w:pPr>
        <w:spacing w:line="240" w:lineRule="auto"/>
        <w:ind w:firstLine="640"/>
        <w:jc w:val="both"/>
      </w:pPr>
      <w:r>
        <w:rPr>
          <w:rFonts w:ascii="黑体" w:hAnsi="黑体" w:eastAsia="黑体" w:cs="黑体"/>
          <w:sz w:val="32"/>
        </w:rPr>
        <w:t>第一百二十五条</w:t>
      </w:r>
      <w:r>
        <w:rPr>
          <w:rFonts w:ascii="仿宋_GB2312" w:hAnsi="仿宋_GB2312" w:eastAsia="仿宋_GB2312" w:cs="仿宋_GB2312"/>
          <w:sz w:val="32"/>
        </w:rPr>
        <w:t>　非法制造、买卖、运输、邮寄、储存枪支、弹药、爆炸物的，处三年以上十年以下有期徒刑；情节严重的，处十年以上有期徒刑、无期徒刑或者死刑。</w:t>
      </w:r>
    </w:p>
    <w:p>
      <w:pPr>
        <w:spacing w:line="240" w:lineRule="auto"/>
        <w:ind w:firstLine="640"/>
        <w:jc w:val="both"/>
      </w:pPr>
      <w:r>
        <w:rPr>
          <w:rFonts w:ascii="仿宋_GB2312" w:hAnsi="仿宋_GB2312" w:eastAsia="仿宋_GB2312" w:cs="仿宋_GB2312"/>
          <w:sz w:val="32"/>
        </w:rPr>
        <w:t>非法制造、买卖、运输、储存毒害性、放射性、传染病病原体等物质，危害公共安全的，依照前款的规定处罚。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第一百二十六条</w:t>
      </w:r>
      <w:r>
        <w:rPr>
          <w:rFonts w:ascii="仿宋_GB2312" w:hAnsi="仿宋_GB2312" w:eastAsia="仿宋_GB2312" w:cs="仿宋_GB2312"/>
          <w:sz w:val="32"/>
        </w:rPr>
        <w:t>　依法被指定、确定的枪支制造企业、销售企业，违反枪支管理规定，有下列行为之一的，对单位判处罚金，并对其直接负责的主管人员和其他直接责任人员，处五年以下有期徒刑；情节严重的，处五年以上十年以下有期徒刑；情节特别严重的，处十年以上有期徒刑或者无期徒刑：</w:t>
      </w:r>
    </w:p>
    <w:p>
      <w:pPr>
        <w:spacing w:line="240" w:lineRule="auto"/>
        <w:ind w:firstLine="640"/>
        <w:jc w:val="both"/>
      </w:pPr>
      <w:r>
        <w:rPr>
          <w:rFonts w:ascii="仿宋_GB2312" w:hAnsi="仿宋_GB2312" w:eastAsia="仿宋_GB2312" w:cs="仿宋_GB2312"/>
          <w:sz w:val="32"/>
        </w:rPr>
        <w:t>（一）以非法销售为目的，超过限额或者不按照规定的品种制造、配售枪支的；</w:t>
      </w:r>
    </w:p>
    <w:p>
      <w:pPr>
        <w:spacing w:line="240" w:lineRule="auto"/>
        <w:ind w:firstLine="640"/>
        <w:jc w:val="both"/>
      </w:pPr>
      <w:r>
        <w:rPr>
          <w:rFonts w:ascii="仿宋_GB2312" w:hAnsi="仿宋_GB2312" w:eastAsia="仿宋_GB2312" w:cs="仿宋_GB2312"/>
          <w:sz w:val="32"/>
        </w:rPr>
        <w:t>（二）以非法销售为目的，制造无号、重号、假号的枪支的；</w:t>
      </w:r>
    </w:p>
    <w:p>
      <w:pPr>
        <w:spacing w:line="240" w:lineRule="auto"/>
        <w:ind w:firstLine="640"/>
        <w:jc w:val="both"/>
      </w:pPr>
      <w:r>
        <w:rPr>
          <w:rFonts w:ascii="仿宋_GB2312" w:hAnsi="仿宋_GB2312" w:eastAsia="仿宋_GB2312" w:cs="仿宋_GB2312"/>
          <w:sz w:val="32"/>
        </w:rPr>
        <w:t>（三）非法销售枪支或者在境内销售为出口制造的枪支的。</w:t>
      </w:r>
    </w:p>
    <w:p>
      <w:pPr>
        <w:spacing w:line="240" w:lineRule="auto"/>
        <w:ind w:firstLine="640"/>
        <w:jc w:val="both"/>
      </w:pPr>
      <w:r>
        <w:rPr>
          <w:rFonts w:ascii="黑体" w:hAnsi="黑体" w:eastAsia="黑体" w:cs="黑体"/>
          <w:sz w:val="32"/>
        </w:rPr>
        <w:t>第一百二十七条</w:t>
      </w:r>
      <w:r>
        <w:rPr>
          <w:rFonts w:ascii="仿宋_GB2312" w:hAnsi="仿宋_GB2312" w:eastAsia="仿宋_GB2312" w:cs="仿宋_GB2312"/>
          <w:sz w:val="32"/>
        </w:rPr>
        <w:t>　盗窃、抢夺枪支、弹药、爆炸物的，或者盗窃、抢夺毒害性、放射性、传染病病原体等物质，危害公共安全的，处三年以上十年以下有期徒刑；情节严重的，处十年以上有期徒刑、无期徒刑或者死刑。</w:t>
      </w:r>
    </w:p>
    <w:p>
      <w:pPr>
        <w:spacing w:line="240" w:lineRule="auto"/>
        <w:ind w:firstLine="640"/>
        <w:jc w:val="both"/>
      </w:pPr>
      <w:r>
        <w:rPr>
          <w:rFonts w:ascii="仿宋_GB2312" w:hAnsi="仿宋_GB2312" w:eastAsia="仿宋_GB2312" w:cs="仿宋_GB2312"/>
          <w:sz w:val="32"/>
        </w:rPr>
        <w:t>抢劫枪支、弹药、爆炸物的，或者抢劫毒害性、放射性、传染病病原体等物质，危害公共安全的，或者盗窃、抢夺国家机关、军警人员、民兵的枪支、弹药、爆炸物的，处十年以上有期徒刑、无期徒刑或者死刑。</w:t>
      </w:r>
    </w:p>
    <w:p>
      <w:pPr>
        <w:spacing w:line="240" w:lineRule="auto"/>
        <w:ind w:firstLine="640"/>
        <w:jc w:val="both"/>
      </w:pPr>
      <w:r>
        <w:rPr>
          <w:rFonts w:ascii="黑体" w:hAnsi="黑体" w:eastAsia="黑体" w:cs="黑体"/>
          <w:sz w:val="32"/>
        </w:rPr>
        <w:t>第一百二十八条</w:t>
      </w:r>
      <w:r>
        <w:rPr>
          <w:rFonts w:ascii="仿宋_GB2312" w:hAnsi="仿宋_GB2312" w:eastAsia="仿宋_GB2312" w:cs="仿宋_GB2312"/>
          <w:sz w:val="32"/>
        </w:rPr>
        <w:t>　违反枪支管理规定，非法持有、私藏枪支、弹药的，处三年以下有期徒刑、拘役或者管制；情节严重的，处三年以上七年以下有期徒刑。</w:t>
      </w:r>
    </w:p>
    <w:p>
      <w:pPr>
        <w:spacing w:line="240" w:lineRule="auto"/>
        <w:ind w:firstLine="640"/>
        <w:jc w:val="both"/>
      </w:pPr>
      <w:r>
        <w:rPr>
          <w:rFonts w:ascii="仿宋_GB2312" w:hAnsi="仿宋_GB2312" w:eastAsia="仿宋_GB2312" w:cs="仿宋_GB2312"/>
          <w:sz w:val="32"/>
        </w:rPr>
        <w:t>依法配备公务用枪的人员，非法出租、出借枪支的，依照前款的规定处罚。</w:t>
      </w:r>
    </w:p>
    <w:p>
      <w:pPr>
        <w:spacing w:line="240" w:lineRule="auto"/>
        <w:ind w:firstLine="640"/>
        <w:jc w:val="both"/>
      </w:pPr>
      <w:r>
        <w:rPr>
          <w:rFonts w:ascii="仿宋_GB2312" w:hAnsi="仿宋_GB2312" w:eastAsia="仿宋_GB2312" w:cs="仿宋_GB2312"/>
          <w:sz w:val="32"/>
        </w:rPr>
        <w:t>依法配置枪支的人员，非法出租、出借枪支，造成严重后果的，依照第一款的规定处罚。</w:t>
      </w:r>
    </w:p>
    <w:p>
      <w:pPr>
        <w:spacing w:line="240" w:lineRule="auto"/>
        <w:ind w:firstLine="640"/>
        <w:jc w:val="both"/>
      </w:pPr>
      <w:r>
        <w:rPr>
          <w:rFonts w:ascii="仿宋_GB2312" w:hAnsi="仿宋_GB2312" w:eastAsia="仿宋_GB2312" w:cs="仿宋_GB2312"/>
          <w:sz w:val="32"/>
        </w:rPr>
        <w:t>单位犯第二款、第三款罪的，对单位判处罚金，并对其直接负责的主管人员和其他直接责任人员，依照第一款的规定处罚。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第一百二十九条</w:t>
      </w:r>
      <w:r>
        <w:rPr>
          <w:rFonts w:ascii="仿宋_GB2312" w:hAnsi="仿宋_GB2312" w:eastAsia="仿宋_GB2312" w:cs="仿宋_GB2312"/>
          <w:sz w:val="32"/>
        </w:rPr>
        <w:t>　依法配备公务用枪的人员，丢失枪支不及时报告，造成严重后果的，处三年以下有期徒刑或者拘役。</w:t>
      </w:r>
    </w:p>
    <w:p>
      <w:pPr>
        <w:spacing w:line="240" w:lineRule="auto"/>
        <w:ind w:firstLine="640"/>
        <w:jc w:val="both"/>
      </w:pPr>
      <w:r>
        <w:rPr>
          <w:rFonts w:ascii="黑体" w:hAnsi="黑体" w:eastAsia="黑体" w:cs="黑体"/>
          <w:sz w:val="32"/>
        </w:rPr>
        <w:t>第一百三十条</w:t>
      </w:r>
      <w:r>
        <w:rPr>
          <w:rFonts w:ascii="仿宋_GB2312" w:hAnsi="仿宋_GB2312" w:eastAsia="仿宋_GB2312" w:cs="仿宋_GB2312"/>
          <w:sz w:val="32"/>
        </w:rPr>
        <w:t>　非法携带枪支、弹药、管制刀具或者爆炸性、易燃性、放射性、毒害性、腐蚀性物品，进入公共场所或者公共交通工具，危及公共安全，情节严重的，处三年以下有期徒刑、拘役或者管制。</w:t>
      </w:r>
    </w:p>
    <w:p>
      <w:pPr>
        <w:spacing w:line="240" w:lineRule="auto"/>
        <w:ind w:firstLine="640"/>
        <w:jc w:val="both"/>
      </w:pPr>
      <w:r>
        <w:rPr>
          <w:rFonts w:ascii="黑体" w:hAnsi="黑体" w:eastAsia="黑体" w:cs="黑体"/>
          <w:sz w:val="32"/>
        </w:rPr>
        <w:t>第一百三十一条</w:t>
      </w:r>
      <w:r>
        <w:rPr>
          <w:rFonts w:ascii="仿宋_GB2312" w:hAnsi="仿宋_GB2312" w:eastAsia="仿宋_GB2312" w:cs="仿宋_GB2312"/>
          <w:sz w:val="32"/>
        </w:rPr>
        <w:t>　航空人员违反规章制度，致使发生重大飞行事故，造成严重后果的，处三年以下有期徒刑或者拘役；造成飞机坠毁或者人员死亡的，处三年以上七年以下有期徒刑。</w:t>
      </w:r>
    </w:p>
    <w:p>
      <w:pPr>
        <w:spacing w:line="240" w:lineRule="auto"/>
        <w:ind w:firstLine="640"/>
        <w:jc w:val="both"/>
      </w:pPr>
      <w:r>
        <w:rPr>
          <w:rFonts w:ascii="黑体" w:hAnsi="黑体" w:eastAsia="黑体" w:cs="黑体"/>
          <w:sz w:val="32"/>
        </w:rPr>
        <w:t>第一百三十二条</w:t>
      </w:r>
      <w:r>
        <w:rPr>
          <w:rFonts w:ascii="仿宋_GB2312" w:hAnsi="仿宋_GB2312" w:eastAsia="仿宋_GB2312" w:cs="仿宋_GB2312"/>
          <w:sz w:val="32"/>
        </w:rPr>
        <w:t>　铁路职工违反规章制度，致使发生铁路运营安全事故，造成严重后果的，处三年以下有期徒刑或者拘役；造成特别严重后果的，处三年以上七年以下有期徒刑。</w:t>
      </w:r>
    </w:p>
    <w:p>
      <w:pPr>
        <w:spacing w:line="240" w:lineRule="auto"/>
        <w:ind w:firstLine="640"/>
        <w:jc w:val="both"/>
      </w:pPr>
      <w:r>
        <w:rPr>
          <w:rFonts w:ascii="黑体" w:hAnsi="黑体" w:eastAsia="黑体" w:cs="黑体"/>
          <w:sz w:val="32"/>
        </w:rPr>
        <w:t>第一百三十三条</w:t>
      </w:r>
      <w:r>
        <w:rPr>
          <w:rFonts w:ascii="仿宋_GB2312" w:hAnsi="仿宋_GB2312" w:eastAsia="仿宋_GB2312" w:cs="仿宋_GB2312"/>
          <w:sz w:val="32"/>
        </w:rPr>
        <w:t>　违反交通运输管理法规，因而发生重大事故，致人重伤、死亡或者使公私财产遭受重大损失的，处三年以下有期徒刑或者拘役；交通运输肇事后逃逸或者有其他特别恶劣情节的，处三年以上七年以下有期徒刑；因逃逸致人死亡的，处七年以上有期徒刑。</w:t>
      </w:r>
    </w:p>
    <w:p>
      <w:pPr>
        <w:spacing w:line="240" w:lineRule="auto"/>
        <w:ind w:firstLine="640"/>
        <w:jc w:val="both"/>
      </w:pPr>
      <w:r>
        <w:rPr>
          <w:rFonts w:ascii="黑体" w:hAnsi="黑体" w:eastAsia="黑体" w:cs="黑体"/>
          <w:sz w:val="32"/>
        </w:rPr>
        <w:t>第一百三十三</w:t>
      </w:r>
      <w:r>
        <w:rPr>
          <w:rFonts w:hint="eastAsia" w:ascii="黑体" w:hAnsi="黑体" w:eastAsia="黑体" w:cs="黑体"/>
          <w:sz w:val="32"/>
          <w:lang w:eastAsia="zh-CN"/>
        </w:rPr>
        <w:t>条之一　</w:t>
      </w:r>
      <w:r>
        <w:rPr>
          <w:rFonts w:ascii="仿宋_GB2312" w:hAnsi="仿宋_GB2312" w:eastAsia="仿宋_GB2312" w:cs="仿宋_GB2312"/>
          <w:sz w:val="32"/>
        </w:rPr>
        <w:t>在道路上驾驶机动车，有下列情形之一的，处拘役，并处罚金：</w:t>
      </w:r>
    </w:p>
    <w:p>
      <w:pPr>
        <w:spacing w:line="240" w:lineRule="auto"/>
        <w:ind w:firstLine="640"/>
        <w:jc w:val="both"/>
      </w:pPr>
      <w:r>
        <w:rPr>
          <w:rFonts w:ascii="仿宋_GB2312" w:hAnsi="仿宋_GB2312" w:eastAsia="仿宋_GB2312" w:cs="仿宋_GB2312"/>
          <w:sz w:val="32"/>
        </w:rPr>
        <w:t>（一）追逐竞驶，情节恶劣的；</w:t>
      </w:r>
    </w:p>
    <w:p>
      <w:pPr>
        <w:spacing w:line="240" w:lineRule="auto"/>
        <w:ind w:firstLine="640"/>
        <w:jc w:val="both"/>
      </w:pPr>
      <w:r>
        <w:rPr>
          <w:rFonts w:ascii="仿宋_GB2312" w:hAnsi="仿宋_GB2312" w:eastAsia="仿宋_GB2312" w:cs="仿宋_GB2312"/>
          <w:sz w:val="32"/>
        </w:rPr>
        <w:t>（二）醉酒驾驶机动车的；</w:t>
      </w:r>
    </w:p>
    <w:p>
      <w:pPr>
        <w:spacing w:line="240" w:lineRule="auto"/>
        <w:ind w:firstLine="640"/>
        <w:jc w:val="both"/>
      </w:pPr>
      <w:r>
        <w:rPr>
          <w:rFonts w:ascii="仿宋_GB2312" w:hAnsi="仿宋_GB2312" w:eastAsia="仿宋_GB2312" w:cs="仿宋_GB2312"/>
          <w:sz w:val="32"/>
        </w:rPr>
        <w:t>（三）从事校车业务或者旅客运输，严重超过额定乘员载客，或者严重超过规定时速行驶的；</w:t>
      </w:r>
    </w:p>
    <w:p>
      <w:pPr>
        <w:spacing w:line="240" w:lineRule="auto"/>
        <w:ind w:firstLine="640"/>
        <w:jc w:val="both"/>
      </w:pPr>
      <w:r>
        <w:rPr>
          <w:rFonts w:ascii="仿宋_GB2312" w:hAnsi="仿宋_GB2312" w:eastAsia="仿宋_GB2312" w:cs="仿宋_GB2312"/>
          <w:sz w:val="32"/>
        </w:rPr>
        <w:t>（四）违反危险化学品安全管理规定运输危险化学品，危及公共安全的。</w:t>
      </w:r>
    </w:p>
    <w:p>
      <w:pPr>
        <w:spacing w:line="240" w:lineRule="auto"/>
        <w:ind w:firstLine="640"/>
        <w:jc w:val="both"/>
      </w:pPr>
      <w:r>
        <w:rPr>
          <w:rFonts w:ascii="仿宋_GB2312" w:hAnsi="仿宋_GB2312" w:eastAsia="仿宋_GB2312" w:cs="仿宋_GB2312"/>
          <w:sz w:val="32"/>
        </w:rPr>
        <w:t>机动车所有人、管理人对前款第三项、第四项行为负有直接责任的，依照前款的规定处罚。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第一百三十三</w:t>
      </w:r>
      <w:r>
        <w:rPr>
          <w:rFonts w:hint="eastAsia" w:ascii="黑体" w:hAnsi="黑体" w:eastAsia="黑体" w:cs="黑体"/>
          <w:sz w:val="32"/>
          <w:lang w:eastAsia="zh-CN"/>
        </w:rPr>
        <w:t>条之二　</w:t>
      </w:r>
      <w:r>
        <w:rPr>
          <w:rFonts w:ascii="仿宋_GB2312" w:hAnsi="仿宋_GB2312" w:eastAsia="仿宋_GB2312" w:cs="仿宋_GB2312"/>
          <w:sz w:val="32"/>
        </w:rPr>
        <w:t>对行驶中的公共交通工具的驾驶人员使用暴力或者抢控驾驶操纵装置，干扰公共交通工具正常行驶，危及公共安全的，处一年以下有期徒刑、拘役或者管制，并处或者单处罚金。</w:t>
      </w:r>
    </w:p>
    <w:p>
      <w:pPr>
        <w:spacing w:line="240" w:lineRule="auto"/>
        <w:ind w:firstLine="640"/>
        <w:jc w:val="both"/>
      </w:pPr>
      <w:r>
        <w:rPr>
          <w:rFonts w:ascii="仿宋_GB2312" w:hAnsi="仿宋_GB2312" w:eastAsia="仿宋_GB2312" w:cs="仿宋_GB2312"/>
          <w:sz w:val="32"/>
        </w:rPr>
        <w:t>前款规定的驾驶人员在行驶的公共交通工具上擅离职守，与他人互殴或者殴打他人，危及公共安全的，依照前款的规定处罚。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第一百三十四条</w:t>
      </w:r>
      <w:r>
        <w:rPr>
          <w:rFonts w:ascii="仿宋_GB2312" w:hAnsi="仿宋_GB2312" w:eastAsia="仿宋_GB2312" w:cs="仿宋_GB2312"/>
          <w:sz w:val="32"/>
        </w:rPr>
        <w:t>　在生产、作业中违反有关安全管理的规定，因而发生重大伤亡事故或者造成其他严重后果的，处三年以下有期徒刑或者拘役；情节特别恶劣的，处三年以上七年以下有期徒刑。</w:t>
      </w:r>
    </w:p>
    <w:p>
      <w:pPr>
        <w:spacing w:line="240" w:lineRule="auto"/>
        <w:ind w:firstLine="640"/>
        <w:jc w:val="both"/>
      </w:pPr>
      <w:r>
        <w:rPr>
          <w:rFonts w:ascii="仿宋_GB2312" w:hAnsi="仿宋_GB2312" w:eastAsia="仿宋_GB2312" w:cs="仿宋_GB2312"/>
          <w:sz w:val="32"/>
        </w:rPr>
        <w:t>强令他人违章冒险作业，或者明知存在重大事故隐患而不排除，仍冒险组织作业，因而发生重大伤亡事故或者造成其他严重后果的，处五年以下有期徒刑或者拘役；情节特别恶劣的，处五年以上有期徒刑。</w:t>
      </w:r>
    </w:p>
    <w:p>
      <w:pPr>
        <w:spacing w:line="240" w:lineRule="auto"/>
        <w:ind w:firstLine="640"/>
        <w:jc w:val="both"/>
      </w:pPr>
      <w:r>
        <w:rPr>
          <w:rFonts w:ascii="黑体" w:hAnsi="黑体" w:eastAsia="黑体" w:cs="黑体"/>
          <w:sz w:val="32"/>
        </w:rPr>
        <w:t>第一百三十四</w:t>
      </w:r>
      <w:r>
        <w:rPr>
          <w:rFonts w:hint="eastAsia" w:ascii="黑体" w:hAnsi="黑体" w:eastAsia="黑体" w:cs="黑体"/>
          <w:sz w:val="32"/>
          <w:lang w:eastAsia="zh-CN"/>
        </w:rPr>
        <w:t>条之一　</w:t>
      </w:r>
      <w:r>
        <w:rPr>
          <w:rFonts w:ascii="仿宋_GB2312" w:hAnsi="仿宋_GB2312" w:eastAsia="仿宋_GB2312" w:cs="仿宋_GB2312"/>
          <w:sz w:val="32"/>
        </w:rPr>
        <w:t>在生产、作业中违反有关安全管理的规定，有下列情形之一，具有发生重大伤亡事故或者其他严重后果的现实危险的，处一年以下有期徒刑、拘役或者管制：</w:t>
      </w:r>
    </w:p>
    <w:p>
      <w:pPr>
        <w:spacing w:line="240" w:lineRule="auto"/>
        <w:ind w:firstLine="640"/>
        <w:jc w:val="both"/>
      </w:pPr>
      <w:r>
        <w:rPr>
          <w:rFonts w:ascii="仿宋_GB2312" w:hAnsi="仿宋_GB2312" w:eastAsia="仿宋_GB2312" w:cs="仿宋_GB2312"/>
          <w:sz w:val="32"/>
        </w:rPr>
        <w:t>（一）关闭、破坏直接关系生产安全的监控、报警、防护、救生设备、设施，或者篡改、隐瞒、销毁其相关数据、信息的；</w:t>
      </w:r>
    </w:p>
    <w:p>
      <w:pPr>
        <w:spacing w:line="240" w:lineRule="auto"/>
        <w:ind w:firstLine="640"/>
        <w:jc w:val="both"/>
      </w:pPr>
      <w:r>
        <w:rPr>
          <w:rFonts w:ascii="仿宋_GB2312" w:hAnsi="仿宋_GB2312" w:eastAsia="仿宋_GB2312" w:cs="仿宋_GB2312"/>
          <w:sz w:val="32"/>
        </w:rPr>
        <w:t>（二）因存在重大事故隐患被依法责令停产停业、停止施工、停止使用有关设备、设施、场所或者立即采取排除危险的整改措施，而拒不执行的；</w:t>
      </w:r>
    </w:p>
    <w:p>
      <w:pPr>
        <w:spacing w:line="240" w:lineRule="auto"/>
        <w:ind w:firstLine="640"/>
        <w:jc w:val="both"/>
      </w:pPr>
      <w:r>
        <w:rPr>
          <w:rFonts w:ascii="仿宋_GB2312" w:hAnsi="仿宋_GB2312" w:eastAsia="仿宋_GB2312" w:cs="仿宋_GB2312"/>
          <w:sz w:val="32"/>
        </w:rPr>
        <w:t>（三）涉及安全生产的事项未经依法批准或者许可，擅自从事矿山开采、金属冶炼、建筑施工，以及危险物品生产、经营、储存等高度危险的生产作业活动的。</w:t>
      </w:r>
    </w:p>
    <w:p>
      <w:pPr>
        <w:spacing w:line="240" w:lineRule="auto"/>
        <w:ind w:firstLine="640"/>
        <w:jc w:val="both"/>
      </w:pPr>
      <w:r>
        <w:rPr>
          <w:rFonts w:ascii="黑体" w:hAnsi="黑体" w:eastAsia="黑体" w:cs="黑体"/>
          <w:sz w:val="32"/>
        </w:rPr>
        <w:t>第一百三十五条</w:t>
      </w:r>
      <w:r>
        <w:rPr>
          <w:rFonts w:ascii="仿宋_GB2312" w:hAnsi="仿宋_GB2312" w:eastAsia="仿宋_GB2312" w:cs="仿宋_GB2312"/>
          <w:sz w:val="32"/>
        </w:rPr>
        <w:t>　安全生产设施或者安全生产条件不符合国家规定，因而发生重大伤亡事故或者造成其他严重后果的，对直接负责的主管人员和其他直接责任人员，处三年以下有期徒刑或者拘役；情节特别恶劣的，处三年以上七年以下有期徒刑。</w:t>
      </w:r>
    </w:p>
    <w:p>
      <w:pPr>
        <w:spacing w:line="240" w:lineRule="auto"/>
        <w:ind w:firstLine="640"/>
        <w:jc w:val="both"/>
      </w:pPr>
      <w:r>
        <w:rPr>
          <w:rFonts w:ascii="黑体" w:hAnsi="黑体" w:eastAsia="黑体" w:cs="黑体"/>
          <w:sz w:val="32"/>
        </w:rPr>
        <w:t>第一百三十五</w:t>
      </w:r>
      <w:r>
        <w:rPr>
          <w:rFonts w:hint="eastAsia" w:ascii="黑体" w:hAnsi="黑体" w:eastAsia="黑体" w:cs="黑体"/>
          <w:sz w:val="32"/>
          <w:lang w:eastAsia="zh-CN"/>
        </w:rPr>
        <w:t>条之一　</w:t>
      </w:r>
      <w:r>
        <w:rPr>
          <w:rFonts w:ascii="仿宋_GB2312" w:hAnsi="仿宋_GB2312" w:eastAsia="仿宋_GB2312" w:cs="仿宋_GB2312"/>
          <w:sz w:val="32"/>
        </w:rPr>
        <w:t>举办大型群众性活动违反安全管理规定，因而发生重大伤亡事故或者造成其他严重后果的，对直接负责的主管人员和其他直接责任人员，处三年以下有期徒刑或者拘役；情节特别恶劣的，处三年以上七年以下有期徒刑。</w:t>
      </w:r>
    </w:p>
    <w:p>
      <w:pPr>
        <w:spacing w:line="240" w:lineRule="auto"/>
        <w:ind w:firstLine="640"/>
        <w:jc w:val="both"/>
      </w:pPr>
      <w:r>
        <w:rPr>
          <w:rFonts w:ascii="黑体" w:hAnsi="黑体" w:eastAsia="黑体" w:cs="黑体"/>
          <w:sz w:val="32"/>
        </w:rPr>
        <w:t>第一百三十六条</w:t>
      </w:r>
      <w:r>
        <w:rPr>
          <w:rFonts w:ascii="仿宋_GB2312" w:hAnsi="仿宋_GB2312" w:eastAsia="仿宋_GB2312" w:cs="仿宋_GB2312"/>
          <w:sz w:val="32"/>
        </w:rPr>
        <w:t>　违反爆炸性、易燃性、放射性、毒害性、腐蚀性物品的管理规定，在生产、储存、运输、使用中发生重大事故，造成严重后果的，处三年以下有期徒刑或者拘役；后果特别严重的，处三年以上七年以下有期徒刑。</w:t>
      </w:r>
    </w:p>
    <w:p>
      <w:pPr>
        <w:spacing w:line="240" w:lineRule="auto"/>
        <w:ind w:firstLine="640"/>
        <w:jc w:val="both"/>
      </w:pPr>
      <w:r>
        <w:rPr>
          <w:rFonts w:ascii="黑体" w:hAnsi="黑体" w:eastAsia="黑体" w:cs="黑体"/>
          <w:sz w:val="32"/>
        </w:rPr>
        <w:t>第一百三十七条</w:t>
      </w:r>
      <w:r>
        <w:rPr>
          <w:rFonts w:ascii="仿宋_GB2312" w:hAnsi="仿宋_GB2312" w:eastAsia="仿宋_GB2312" w:cs="仿宋_GB2312"/>
          <w:sz w:val="32"/>
        </w:rPr>
        <w:t>　建设单位、设计单位、施工单位、工程监理单位违反国家规定，降低工程质量标准，造成重大安全事故的，对直接责任人员，处五年以下有期徒刑或者拘役，并处罚金；后果特别严重的，处五年以上十年以下有期徒刑，并处罚金。</w:t>
      </w:r>
    </w:p>
    <w:p>
      <w:pPr>
        <w:spacing w:line="240" w:lineRule="auto"/>
        <w:ind w:firstLine="640"/>
        <w:jc w:val="both"/>
      </w:pPr>
      <w:r>
        <w:rPr>
          <w:rFonts w:ascii="黑体" w:hAnsi="黑体" w:eastAsia="黑体" w:cs="黑体"/>
          <w:sz w:val="32"/>
        </w:rPr>
        <w:t>第一百三十八条</w:t>
      </w:r>
      <w:r>
        <w:rPr>
          <w:rFonts w:ascii="仿宋_GB2312" w:hAnsi="仿宋_GB2312" w:eastAsia="仿宋_GB2312" w:cs="仿宋_GB2312"/>
          <w:sz w:val="32"/>
        </w:rPr>
        <w:t>　明知校舍或者教育教学设施有危险，而不采取措施或者不及时报告，致使发生重大伤亡事故的，对直接责任人员，处三年以下有期徒刑或者拘役；后果特别严重的，处三年以上七年以下有期徒刑。</w:t>
      </w:r>
    </w:p>
    <w:p>
      <w:pPr>
        <w:spacing w:line="240" w:lineRule="auto"/>
        <w:ind w:firstLine="640"/>
        <w:jc w:val="both"/>
      </w:pPr>
      <w:r>
        <w:rPr>
          <w:rFonts w:ascii="黑体" w:hAnsi="黑体" w:eastAsia="黑体" w:cs="黑体"/>
          <w:sz w:val="32"/>
        </w:rPr>
        <w:t>第一百三十九条</w:t>
      </w:r>
      <w:r>
        <w:rPr>
          <w:rFonts w:ascii="仿宋_GB2312" w:hAnsi="仿宋_GB2312" w:eastAsia="仿宋_GB2312" w:cs="仿宋_GB2312"/>
          <w:sz w:val="32"/>
        </w:rPr>
        <w:t>　违反消防管理法规，经消防监督机构通知采取改正措施而拒绝执行，造成严重后果的，对直接责任人员，处三年以下有期徒刑或者拘役；后果特别严重的，处三年以上七年以下有期徒刑。</w:t>
      </w:r>
    </w:p>
    <w:p>
      <w:pPr>
        <w:spacing w:line="240" w:lineRule="auto"/>
        <w:ind w:firstLine="640"/>
        <w:jc w:val="both"/>
      </w:pPr>
      <w:r>
        <w:rPr>
          <w:rFonts w:ascii="黑体" w:hAnsi="黑体" w:eastAsia="黑体" w:cs="黑体"/>
          <w:sz w:val="32"/>
        </w:rPr>
        <w:t>第一百三十九</w:t>
      </w:r>
      <w:r>
        <w:rPr>
          <w:rFonts w:hint="eastAsia" w:ascii="黑体" w:hAnsi="黑体" w:eastAsia="黑体" w:cs="黑体"/>
          <w:sz w:val="32"/>
          <w:lang w:eastAsia="zh-CN"/>
        </w:rPr>
        <w:t>条之一　</w:t>
      </w:r>
      <w:r>
        <w:rPr>
          <w:rFonts w:ascii="仿宋_GB2312" w:hAnsi="仿宋_GB2312" w:eastAsia="仿宋_GB2312" w:cs="仿宋_GB2312"/>
          <w:sz w:val="32"/>
        </w:rPr>
        <w:t>在安全事故发生后，负有报告职责的人员不报或者谎报事故情况，贻误事故抢救，情节严重的，处三年以下有期徒刑或者拘役；情节特别严重的，处三年以上七年以下有期徒刑。</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第三章　破坏社会主义市场经济秩序罪</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生产、销售伪劣商品罪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第一百四十条</w:t>
      </w:r>
      <w:r>
        <w:rPr>
          <w:rFonts w:ascii="仿宋_GB2312" w:hAnsi="仿宋_GB2312" w:eastAsia="仿宋_GB2312" w:cs="仿宋_GB2312"/>
          <w:sz w:val="32"/>
        </w:rPr>
        <w:t>　生产者、销售者在产品中掺杂、掺假，以假充真，以次充好或者以不合格产品冒充合格产品，销售金额五万元以上不满二十万元的，处二年以下有期徒刑或者拘役，并处或者单处销售金额百分之五十以上二倍以下罚金；销售金额二十万元以上不满五十万元的，处二年以上七年以下有期徒刑，并处销售金额百分之五十以上二倍以下罚金；销售金额五十万元以上不满二百万元的，处七年以上有期徒刑，并处销售金额百分之五十以上二倍以下罚金；销售金额二百万元以上的，处十五年有期徒刑或者无期徒刑，并处销售金额百分之五十以上二倍以下罚金或者没收财产。</w:t>
      </w:r>
    </w:p>
    <w:p>
      <w:pPr>
        <w:spacing w:line="240" w:lineRule="auto"/>
        <w:ind w:firstLine="640"/>
        <w:jc w:val="both"/>
      </w:pPr>
      <w:r>
        <w:rPr>
          <w:rFonts w:ascii="黑体" w:hAnsi="黑体" w:eastAsia="黑体" w:cs="黑体"/>
          <w:sz w:val="32"/>
        </w:rPr>
        <w:t>第一百四十一条</w:t>
      </w:r>
      <w:r>
        <w:rPr>
          <w:rFonts w:ascii="仿宋_GB2312" w:hAnsi="仿宋_GB2312" w:eastAsia="仿宋_GB2312" w:cs="仿宋_GB2312"/>
          <w:sz w:val="32"/>
        </w:rPr>
        <w:t>　生产、销售假药的，处三年以下有期徒刑或者拘役，并处罚金；对人体健康造成严重危害或者有其他严重情节的，处三年以上十年以下有期徒刑，并处罚金；致人死亡或者有其他特别严重情节的，处十年以上有期徒刑、无期徒刑或者死刑，并处罚金或者没收财产。</w:t>
      </w:r>
    </w:p>
    <w:p>
      <w:pPr>
        <w:spacing w:line="240" w:lineRule="auto"/>
        <w:ind w:firstLine="640"/>
        <w:jc w:val="both"/>
      </w:pPr>
      <w:r>
        <w:rPr>
          <w:rFonts w:ascii="仿宋_GB2312" w:hAnsi="仿宋_GB2312" w:eastAsia="仿宋_GB2312" w:cs="仿宋_GB2312"/>
          <w:sz w:val="32"/>
        </w:rPr>
        <w:t>药品使用单位的人员明知是假药而提供给他人使用的，依照前款的规定处罚。</w:t>
      </w:r>
    </w:p>
    <w:p>
      <w:pPr>
        <w:spacing w:line="240" w:lineRule="auto"/>
        <w:ind w:firstLine="640"/>
        <w:jc w:val="both"/>
      </w:pPr>
      <w:r>
        <w:rPr>
          <w:rFonts w:ascii="黑体" w:hAnsi="黑体" w:eastAsia="黑体" w:cs="黑体"/>
          <w:sz w:val="32"/>
        </w:rPr>
        <w:t>第一百四十二条</w:t>
      </w:r>
      <w:r>
        <w:rPr>
          <w:rFonts w:ascii="仿宋_GB2312" w:hAnsi="仿宋_GB2312" w:eastAsia="仿宋_GB2312" w:cs="仿宋_GB2312"/>
          <w:sz w:val="32"/>
        </w:rPr>
        <w:t>　生产、销售劣药，对人体健康造成严重危害的，处三年以上十年以下有期徒刑，并处罚金；后果特别严重的，处十年以上有期徒刑或者无期徒刑，并处罚金或者没收财产。</w:t>
      </w:r>
    </w:p>
    <w:p>
      <w:pPr>
        <w:spacing w:line="240" w:lineRule="auto"/>
        <w:ind w:firstLine="640"/>
        <w:jc w:val="both"/>
      </w:pPr>
      <w:r>
        <w:rPr>
          <w:rFonts w:ascii="仿宋_GB2312" w:hAnsi="仿宋_GB2312" w:eastAsia="仿宋_GB2312" w:cs="仿宋_GB2312"/>
          <w:sz w:val="32"/>
        </w:rPr>
        <w:t>药品使用单位的人员明知是劣药而提供给他人使用的，依照前款的规定处罚。</w:t>
      </w:r>
    </w:p>
    <w:p>
      <w:pPr>
        <w:spacing w:line="240" w:lineRule="auto"/>
        <w:ind w:firstLine="640"/>
        <w:jc w:val="both"/>
      </w:pPr>
      <w:r>
        <w:rPr>
          <w:rFonts w:ascii="黑体" w:hAnsi="黑体" w:eastAsia="黑体" w:cs="黑体"/>
          <w:sz w:val="32"/>
        </w:rPr>
        <w:t>第一百四十二</w:t>
      </w:r>
      <w:r>
        <w:rPr>
          <w:rFonts w:hint="eastAsia" w:ascii="黑体" w:hAnsi="黑体" w:eastAsia="黑体" w:cs="黑体"/>
          <w:sz w:val="32"/>
          <w:lang w:eastAsia="zh-CN"/>
        </w:rPr>
        <w:t>条之一　</w:t>
      </w:r>
      <w:r>
        <w:rPr>
          <w:rFonts w:ascii="仿宋_GB2312" w:hAnsi="仿宋_GB2312" w:eastAsia="仿宋_GB2312" w:cs="仿宋_GB2312"/>
          <w:sz w:val="32"/>
        </w:rPr>
        <w:t>违反药品管理法规，有下列情形之一，足以严重危害人体健康的，处三年以下有期徒刑或者拘役，并处或者单处罚金；对人体健康造成严重危害或者有其他严重情节的，处三年以上七年以下有期徒刑，并处罚金：</w:t>
      </w:r>
    </w:p>
    <w:p>
      <w:pPr>
        <w:spacing w:line="240" w:lineRule="auto"/>
        <w:ind w:firstLine="640"/>
        <w:jc w:val="both"/>
      </w:pPr>
      <w:r>
        <w:rPr>
          <w:rFonts w:ascii="仿宋_GB2312" w:hAnsi="仿宋_GB2312" w:eastAsia="仿宋_GB2312" w:cs="仿宋_GB2312"/>
          <w:sz w:val="32"/>
        </w:rPr>
        <w:t>（一）生产、销售国务院药品监督管理部门禁止使用的药品的；</w:t>
      </w:r>
    </w:p>
    <w:p>
      <w:pPr>
        <w:spacing w:line="240" w:lineRule="auto"/>
        <w:ind w:firstLine="640"/>
        <w:jc w:val="both"/>
      </w:pPr>
      <w:r>
        <w:rPr>
          <w:rFonts w:ascii="仿宋_GB2312" w:hAnsi="仿宋_GB2312" w:eastAsia="仿宋_GB2312" w:cs="仿宋_GB2312"/>
          <w:sz w:val="32"/>
        </w:rPr>
        <w:t>（二）未取得药品相关批准证明文件生产、进口药品或者明知是上述药品而销售的；</w:t>
      </w:r>
    </w:p>
    <w:p>
      <w:pPr>
        <w:spacing w:line="240" w:lineRule="auto"/>
        <w:ind w:firstLine="640"/>
        <w:jc w:val="both"/>
      </w:pPr>
      <w:r>
        <w:rPr>
          <w:rFonts w:ascii="仿宋_GB2312" w:hAnsi="仿宋_GB2312" w:eastAsia="仿宋_GB2312" w:cs="仿宋_GB2312"/>
          <w:sz w:val="32"/>
        </w:rPr>
        <w:t>（三）药品申请注册中提供虚假的证明、数据、资料、样品或者采取其他欺骗手段的；</w:t>
      </w:r>
    </w:p>
    <w:p>
      <w:pPr>
        <w:spacing w:line="240" w:lineRule="auto"/>
        <w:ind w:firstLine="640"/>
        <w:jc w:val="both"/>
      </w:pPr>
      <w:r>
        <w:rPr>
          <w:rFonts w:ascii="仿宋_GB2312" w:hAnsi="仿宋_GB2312" w:eastAsia="仿宋_GB2312" w:cs="仿宋_GB2312"/>
          <w:sz w:val="32"/>
        </w:rPr>
        <w:t>（四）编造生产、检验记录的。</w:t>
      </w:r>
    </w:p>
    <w:p>
      <w:pPr>
        <w:spacing w:line="240" w:lineRule="auto"/>
        <w:ind w:firstLine="640"/>
        <w:jc w:val="both"/>
      </w:pPr>
      <w:r>
        <w:rPr>
          <w:rFonts w:ascii="仿宋_GB2312" w:hAnsi="仿宋_GB2312" w:eastAsia="仿宋_GB2312" w:cs="仿宋_GB2312"/>
          <w:sz w:val="32"/>
        </w:rPr>
        <w:t>有前款行为，同时又构成本法第一百四十一条、第一百四十二条规定之罪或者其他犯罪的，依照处罚较重的规定定罪处罚。</w:t>
      </w:r>
    </w:p>
    <w:p>
      <w:pPr>
        <w:spacing w:line="240" w:lineRule="auto"/>
        <w:ind w:firstLine="640"/>
        <w:jc w:val="both"/>
      </w:pPr>
      <w:r>
        <w:rPr>
          <w:rFonts w:ascii="黑体" w:hAnsi="黑体" w:eastAsia="黑体" w:cs="黑体"/>
          <w:sz w:val="32"/>
        </w:rPr>
        <w:t>第一百四十三条</w:t>
      </w:r>
      <w:r>
        <w:rPr>
          <w:rFonts w:ascii="仿宋_GB2312" w:hAnsi="仿宋_GB2312" w:eastAsia="仿宋_GB2312" w:cs="仿宋_GB2312"/>
          <w:sz w:val="32"/>
        </w:rPr>
        <w:t>　生产、销售不符合食品安全标准的食品，足以造成严重食物中毒事故或者其他严重食源性疾病的，处三年以下有期徒刑或者拘役，并处罚金；对人体健康造成严重危害或者有其他严重情节的，处三年以上七年以下有期徒刑，并处罚金；后果特别严重的，处七年以上有期徒刑或者无期徒刑，并处罚金或者没收财产。</w:t>
      </w:r>
    </w:p>
    <w:p>
      <w:pPr>
        <w:spacing w:line="240" w:lineRule="auto"/>
        <w:ind w:firstLine="640"/>
        <w:jc w:val="both"/>
      </w:pPr>
      <w:r>
        <w:rPr>
          <w:rFonts w:ascii="黑体" w:hAnsi="黑体" w:eastAsia="黑体" w:cs="黑体"/>
          <w:sz w:val="32"/>
        </w:rPr>
        <w:t>第一百四十四条</w:t>
      </w:r>
      <w:r>
        <w:rPr>
          <w:rFonts w:ascii="仿宋_GB2312" w:hAnsi="仿宋_GB2312" w:eastAsia="仿宋_GB2312" w:cs="仿宋_GB2312"/>
          <w:sz w:val="32"/>
        </w:rPr>
        <w:t>　在生产、销售的食品中掺入有毒、有害的非食品原料的，或者销售明知掺有有毒、有害的非食品原料的食品的，处五年以下有期徒刑，并处罚金；对人体健康造成严重危害或者有其他严重情节的，处五年以上十年以下有期徒刑，并处罚金；致人死亡或者有其他特别严重情节的，依照本法第一百四十一条的规定处罚。</w:t>
      </w:r>
    </w:p>
    <w:p>
      <w:pPr>
        <w:spacing w:line="240" w:lineRule="auto"/>
        <w:ind w:firstLine="640"/>
        <w:jc w:val="both"/>
      </w:pPr>
      <w:r>
        <w:rPr>
          <w:rFonts w:ascii="黑体" w:hAnsi="黑体" w:eastAsia="黑体" w:cs="黑体"/>
          <w:sz w:val="32"/>
        </w:rPr>
        <w:t>第一百四十五条</w:t>
      </w:r>
      <w:r>
        <w:rPr>
          <w:rFonts w:ascii="仿宋_GB2312" w:hAnsi="仿宋_GB2312" w:eastAsia="仿宋_GB2312" w:cs="仿宋_GB2312"/>
          <w:sz w:val="32"/>
        </w:rPr>
        <w:t>　生产不符合保障人体健康的国家标准、行业标准的医疗器械、医用卫生材料，或者销售明知是不符合保障人体健康的国家标准、行业标准的医疗器械、医用卫生材料，足以严重危害人体健康的，处三年以下有期徒刑或者拘役，并处销售金额百分之五十以上二倍以下罚金；对人体健康造成严重危害的，处三年以上十年以下有期徒刑，并处销售金额百分之五十以上二倍以下罚金；后果特别严重的，处十年以上有期徒刑或者无期徒刑，并处销售金额百分之五十以上二倍以下罚金或者没收财产。</w:t>
      </w:r>
    </w:p>
    <w:p>
      <w:pPr>
        <w:spacing w:line="240" w:lineRule="auto"/>
        <w:ind w:firstLine="640"/>
        <w:jc w:val="both"/>
      </w:pPr>
      <w:r>
        <w:rPr>
          <w:rFonts w:ascii="黑体" w:hAnsi="黑体" w:eastAsia="黑体" w:cs="黑体"/>
          <w:sz w:val="32"/>
        </w:rPr>
        <w:t>第一百四十六条</w:t>
      </w:r>
      <w:r>
        <w:rPr>
          <w:rFonts w:ascii="仿宋_GB2312" w:hAnsi="仿宋_GB2312" w:eastAsia="仿宋_GB2312" w:cs="仿宋_GB2312"/>
          <w:sz w:val="32"/>
        </w:rPr>
        <w:t>　生产不符合保障人身、财产安全的国家标准、行业标准的电器、压力容器、易燃易爆产品或者其他不符合保障人身、财产安全的国家标准、行业标准的产品，或者销售明知是以上不符合保障人身、财产安全的国家标准、行业标准的产品，造成严重后果的，处五年以下有期徒刑，并处销售金额百分之五十以上二倍以下罚金；后果特别严重的，处五年以上有期徒刑，并处销售金额百分之五十以上二倍以下罚金。</w:t>
      </w:r>
    </w:p>
    <w:p>
      <w:pPr>
        <w:spacing w:line="240" w:lineRule="auto"/>
        <w:ind w:firstLine="640"/>
        <w:jc w:val="both"/>
      </w:pPr>
      <w:r>
        <w:rPr>
          <w:rFonts w:ascii="黑体" w:hAnsi="黑体" w:eastAsia="黑体" w:cs="黑体"/>
          <w:sz w:val="32"/>
        </w:rPr>
        <w:t>第一百四十七条</w:t>
      </w:r>
      <w:r>
        <w:rPr>
          <w:rFonts w:ascii="仿宋_GB2312" w:hAnsi="仿宋_GB2312" w:eastAsia="仿宋_GB2312" w:cs="仿宋_GB2312"/>
          <w:sz w:val="32"/>
        </w:rPr>
        <w:t>　生产假农药、假兽药、假化肥，销售明知是假的或者失去使用效能的农药、兽药、化肥、种子，或者生产者、销售者以不合格的农药、兽药、化肥、种子冒充合格的农药、兽药、化肥、种子，使生产遭受较大损失的，处三年以下有期徒刑或者拘役，并处或者单处销售金额百分之五十以上二倍以下罚金；使生产遭受重大损失的，处三年以上七年以下有期徒刑，并处销售金额百分之五十以上二倍以下罚金；使生产遭受特别重大损失的，处七年以上有期徒刑或者无期徒刑，并处销售金额百分之五十以上二倍以下罚金或者没收财产。</w:t>
      </w:r>
    </w:p>
    <w:p>
      <w:pPr>
        <w:spacing w:line="240" w:lineRule="auto"/>
        <w:ind w:firstLine="640"/>
        <w:jc w:val="both"/>
      </w:pPr>
      <w:r>
        <w:rPr>
          <w:rFonts w:ascii="黑体" w:hAnsi="黑体" w:eastAsia="黑体" w:cs="黑体"/>
          <w:sz w:val="32"/>
        </w:rPr>
        <w:t>第一百四十八条</w:t>
      </w:r>
      <w:r>
        <w:rPr>
          <w:rFonts w:ascii="仿宋_GB2312" w:hAnsi="仿宋_GB2312" w:eastAsia="仿宋_GB2312" w:cs="仿宋_GB2312"/>
          <w:sz w:val="32"/>
        </w:rPr>
        <w:t>　生产不符合卫生标准的化妆品，或者销售明知是不符合卫生标准的化妆品，造成严重后果的，处三年以下有期徒刑或者拘役，并处或者单处销售金额百分之五十以上二倍以下罚金。</w:t>
      </w:r>
    </w:p>
    <w:p>
      <w:pPr>
        <w:spacing w:line="240" w:lineRule="auto"/>
        <w:ind w:firstLine="640"/>
        <w:jc w:val="both"/>
      </w:pPr>
      <w:r>
        <w:rPr>
          <w:rFonts w:ascii="黑体" w:hAnsi="黑体" w:eastAsia="黑体" w:cs="黑体"/>
          <w:sz w:val="32"/>
        </w:rPr>
        <w:t>第一百四十九条</w:t>
      </w:r>
      <w:r>
        <w:rPr>
          <w:rFonts w:ascii="仿宋_GB2312" w:hAnsi="仿宋_GB2312" w:eastAsia="仿宋_GB2312" w:cs="仿宋_GB2312"/>
          <w:sz w:val="32"/>
        </w:rPr>
        <w:t>　生产、销售本节第一百四十一条至第一百四十八条所列产品，不构成各该条规定的犯罪，但是销售金额在五万元以上的，依照本节第一百四十条的规定定罪处罚。</w:t>
      </w:r>
    </w:p>
    <w:p>
      <w:pPr>
        <w:spacing w:line="240" w:lineRule="auto"/>
        <w:ind w:firstLine="640"/>
        <w:jc w:val="both"/>
      </w:pPr>
      <w:r>
        <w:rPr>
          <w:rFonts w:ascii="仿宋_GB2312" w:hAnsi="仿宋_GB2312" w:eastAsia="仿宋_GB2312" w:cs="仿宋_GB2312"/>
          <w:sz w:val="32"/>
        </w:rPr>
        <w:t>生产、销售本节第一百四十一条至第一百四十八条所列产品，构成各该条规定的犯罪，同时又构成本节第一百四十条规定之罪的，依照处罚较重的规定定罪处罚。</w:t>
      </w:r>
    </w:p>
    <w:p>
      <w:pPr>
        <w:spacing w:line="240" w:lineRule="auto"/>
        <w:ind w:firstLine="640"/>
        <w:jc w:val="both"/>
      </w:pPr>
      <w:r>
        <w:rPr>
          <w:rFonts w:ascii="黑体" w:hAnsi="黑体" w:eastAsia="黑体" w:cs="黑体"/>
          <w:sz w:val="32"/>
        </w:rPr>
        <w:t>第一百五十条</w:t>
      </w:r>
      <w:r>
        <w:rPr>
          <w:rFonts w:ascii="仿宋_GB2312" w:hAnsi="仿宋_GB2312" w:eastAsia="仿宋_GB2312" w:cs="仿宋_GB2312"/>
          <w:sz w:val="32"/>
        </w:rPr>
        <w:t>　单位犯本节第一百四十条至第一百四十八条规定之罪的，对单位判处罚金，并对其直接负责的主管人员和其他直接责任人员，依照各该条的规定处罚。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走私罪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第一百五十一条</w:t>
      </w:r>
      <w:r>
        <w:rPr>
          <w:rFonts w:ascii="仿宋_GB2312" w:hAnsi="仿宋_GB2312" w:eastAsia="仿宋_GB2312" w:cs="仿宋_GB2312"/>
          <w:sz w:val="32"/>
        </w:rPr>
        <w:t>　走私武器、弹药、核材料或者伪造的货币的，处七年以上有期徒刑，并处罚金或者没收财产；情节特别严重的，处无期徒刑，并处没收财产；情节较轻的，处三年以上七年以下有期徒刑，并处罚金。</w:t>
      </w:r>
    </w:p>
    <w:p>
      <w:pPr>
        <w:spacing w:line="240" w:lineRule="auto"/>
        <w:ind w:firstLine="640"/>
        <w:jc w:val="both"/>
      </w:pPr>
      <w:r>
        <w:rPr>
          <w:rFonts w:ascii="仿宋_GB2312" w:hAnsi="仿宋_GB2312" w:eastAsia="仿宋_GB2312" w:cs="仿宋_GB2312"/>
          <w:sz w:val="32"/>
        </w:rPr>
        <w:t>走私国家禁止出口的文物、黄金、白银和其他贵重金属或者国家禁止进出口的珍贵动物及其制品的，处五年以上十年以下有期徒刑，并处罚金；情节特别严重的，处十年以上有期徒刑或者无期徒刑，并处没收财产；情节较轻的，处五年以下有期徒刑，并处罚金。</w:t>
      </w:r>
    </w:p>
    <w:p>
      <w:pPr>
        <w:spacing w:line="240" w:lineRule="auto"/>
        <w:ind w:firstLine="640"/>
        <w:jc w:val="both"/>
      </w:pPr>
      <w:r>
        <w:rPr>
          <w:rFonts w:ascii="仿宋_GB2312" w:hAnsi="仿宋_GB2312" w:eastAsia="仿宋_GB2312" w:cs="仿宋_GB2312"/>
          <w:sz w:val="32"/>
        </w:rPr>
        <w:t>走私珍稀植物及其制品等国家禁止进出口的其他货物、物品的，处五年以下有期徒刑或者拘役，并处或者单处罚金；情节严重的，处五年以上有期徒刑，并处罚金。</w:t>
      </w:r>
    </w:p>
    <w:p>
      <w:pPr>
        <w:spacing w:line="240" w:lineRule="auto"/>
        <w:ind w:firstLine="640"/>
        <w:jc w:val="both"/>
      </w:pPr>
      <w:r>
        <w:rPr>
          <w:rFonts w:ascii="仿宋_GB2312" w:hAnsi="仿宋_GB2312" w:eastAsia="仿宋_GB2312" w:cs="仿宋_GB2312"/>
          <w:sz w:val="32"/>
        </w:rPr>
        <w:t>单位犯本条规定之罪的，对单位判处罚金，并对其直接负责的主管人员和其他直接责任人员，依照本条各款的规定处罚。</w:t>
      </w:r>
    </w:p>
    <w:p>
      <w:pPr>
        <w:spacing w:line="240" w:lineRule="auto"/>
        <w:ind w:firstLine="640"/>
        <w:jc w:val="both"/>
      </w:pPr>
      <w:r>
        <w:rPr>
          <w:rFonts w:ascii="黑体" w:hAnsi="黑体" w:eastAsia="黑体" w:cs="黑体"/>
          <w:sz w:val="32"/>
        </w:rPr>
        <w:t>第一百五十二条</w:t>
      </w:r>
      <w:r>
        <w:rPr>
          <w:rFonts w:ascii="仿宋_GB2312" w:hAnsi="仿宋_GB2312" w:eastAsia="仿宋_GB2312" w:cs="仿宋_GB2312"/>
          <w:sz w:val="32"/>
        </w:rPr>
        <w:t>　以牟利或者传播为目的，走私淫秽的影片、录像带、录音带、图片、书刊或者其他淫秽物品的，处三年以上十年以下有期徒刑，并处罚金；情节严重的，处十年以上有期徒刑或者无期徒刑，并处罚金或者没收财产；情节较轻的，处三年以下有期徒刑、拘役或者管制，并处罚金。</w:t>
      </w:r>
    </w:p>
    <w:p>
      <w:pPr>
        <w:spacing w:line="240" w:lineRule="auto"/>
        <w:ind w:firstLine="640"/>
        <w:jc w:val="both"/>
      </w:pPr>
      <w:r>
        <w:rPr>
          <w:rFonts w:ascii="仿宋_GB2312" w:hAnsi="仿宋_GB2312" w:eastAsia="仿宋_GB2312" w:cs="仿宋_GB2312"/>
          <w:sz w:val="32"/>
        </w:rPr>
        <w:t>逃避海关监管将境外固体废物、液态废物和气态废物运输进境，情节严重的，处五年以下有期徒刑，并处或者单处罚金；情节特别严重的，处五年以上有期徒刑，并处罚金。</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黑体" w:hAnsi="黑体" w:eastAsia="黑体" w:cs="黑体"/>
          <w:sz w:val="32"/>
        </w:rPr>
        <w:t>第一百五十三条</w:t>
      </w:r>
      <w:r>
        <w:rPr>
          <w:rFonts w:ascii="仿宋_GB2312" w:hAnsi="仿宋_GB2312" w:eastAsia="仿宋_GB2312" w:cs="仿宋_GB2312"/>
          <w:sz w:val="32"/>
        </w:rPr>
        <w:t>　走私本法第一百五十一条、第一百五十二条、第三百四十七条规定以外的货物、物品的，根据情节轻重，分别依照下列规定处罚：</w:t>
      </w:r>
    </w:p>
    <w:p>
      <w:pPr>
        <w:spacing w:line="240" w:lineRule="auto"/>
        <w:ind w:firstLine="640"/>
        <w:jc w:val="both"/>
      </w:pPr>
      <w:r>
        <w:rPr>
          <w:rFonts w:ascii="仿宋_GB2312" w:hAnsi="仿宋_GB2312" w:eastAsia="仿宋_GB2312" w:cs="仿宋_GB2312"/>
          <w:sz w:val="32"/>
        </w:rPr>
        <w:t>（一）走私货物、物品偷逃应缴税额较大或者一年内曾因走私被给予二次行政处罚后又走私的，处三年以下有期徒刑或者拘役，并处偷逃应缴税额一倍以上五倍以下罚金。</w:t>
      </w:r>
    </w:p>
    <w:p>
      <w:pPr>
        <w:spacing w:line="240" w:lineRule="auto"/>
        <w:ind w:firstLine="640"/>
        <w:jc w:val="both"/>
      </w:pPr>
      <w:r>
        <w:rPr>
          <w:rFonts w:ascii="仿宋_GB2312" w:hAnsi="仿宋_GB2312" w:eastAsia="仿宋_GB2312" w:cs="仿宋_GB2312"/>
          <w:sz w:val="32"/>
        </w:rPr>
        <w:t>（二）走私货物、物品偷逃应缴税额巨大或者有其他严重情节的，处三年以上十年以下有期徒刑，并处偷逃应缴税额一倍以上五倍以下罚金。</w:t>
      </w:r>
    </w:p>
    <w:p>
      <w:pPr>
        <w:spacing w:line="240" w:lineRule="auto"/>
        <w:ind w:firstLine="640"/>
        <w:jc w:val="both"/>
      </w:pPr>
      <w:r>
        <w:rPr>
          <w:rFonts w:ascii="仿宋_GB2312" w:hAnsi="仿宋_GB2312" w:eastAsia="仿宋_GB2312" w:cs="仿宋_GB2312"/>
          <w:sz w:val="32"/>
        </w:rPr>
        <w:t>（三）走私货物、物品偷逃应缴税额特别巨大或者有其他特别严重情节的，处十年以上有期徒刑或者无期徒刑，并处偷逃应缴税额一倍以上五倍以下罚金或者没收财产。</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单位犯前款罪的，对单位判处罚金，并对其直接负责的主管人员和其他直接责任人员，处三年以下有期徒刑或者拘役；情节严重的，处三年以上十年以下有期徒刑；情节特别严重的，处十年以上有期徒刑。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对多次走私未经处理的，按照累计走私货物、物品的偷逃应缴税额处罚。</w:t>
      </w:r>
    </w:p>
    <w:p>
      <w:pPr>
        <w:spacing w:line="240" w:lineRule="auto"/>
        <w:ind w:firstLine="640"/>
        <w:jc w:val="both"/>
      </w:pPr>
      <w:r>
        <w:rPr>
          <w:rFonts w:ascii="黑体" w:hAnsi="黑体" w:eastAsia="黑体" w:cs="黑体"/>
          <w:sz w:val="32"/>
        </w:rPr>
        <w:t>第一百五十四条</w:t>
      </w:r>
      <w:r>
        <w:rPr>
          <w:rFonts w:ascii="仿宋_GB2312" w:hAnsi="仿宋_GB2312" w:eastAsia="仿宋_GB2312" w:cs="仿宋_GB2312"/>
          <w:sz w:val="32"/>
        </w:rPr>
        <w:t>　下列走私行为，根据本节规定构成犯罪的，依照本法第一百五十三条的规定定罪处罚：</w:t>
      </w:r>
    </w:p>
    <w:p>
      <w:pPr>
        <w:spacing w:line="240" w:lineRule="auto"/>
        <w:ind w:firstLine="640"/>
        <w:jc w:val="both"/>
      </w:pPr>
      <w:r>
        <w:rPr>
          <w:rFonts w:ascii="仿宋_GB2312" w:hAnsi="仿宋_GB2312" w:eastAsia="仿宋_GB2312" w:cs="仿宋_GB2312"/>
          <w:sz w:val="32"/>
        </w:rPr>
        <w:t>（一）未经海关许可并且未补缴应缴税额，擅自将批准进口的来料加工、来件装配、补偿贸易的原材料、零件、制成品、设备等保税货物，在境内销售牟利的；</w:t>
      </w:r>
    </w:p>
    <w:p>
      <w:pPr>
        <w:spacing w:line="240" w:lineRule="auto"/>
        <w:ind w:firstLine="640"/>
        <w:jc w:val="both"/>
      </w:pPr>
      <w:r>
        <w:rPr>
          <w:rFonts w:ascii="仿宋_GB2312" w:hAnsi="仿宋_GB2312" w:eastAsia="仿宋_GB2312" w:cs="仿宋_GB2312"/>
          <w:sz w:val="32"/>
        </w:rPr>
        <w:t>（二）未经海关许可并且未补缴应缴税额，擅自将特定减税、免税进口的货物、物品，在境内销售牟利的。</w:t>
      </w:r>
    </w:p>
    <w:p>
      <w:pPr>
        <w:spacing w:line="240" w:lineRule="auto"/>
        <w:ind w:firstLine="640"/>
        <w:jc w:val="both"/>
      </w:pPr>
      <w:r>
        <w:rPr>
          <w:rFonts w:ascii="黑体" w:hAnsi="黑体" w:eastAsia="黑体" w:cs="黑体"/>
          <w:sz w:val="32"/>
        </w:rPr>
        <w:t>第一百五十五条</w:t>
      </w:r>
      <w:r>
        <w:rPr>
          <w:rFonts w:ascii="仿宋_GB2312" w:hAnsi="仿宋_GB2312" w:eastAsia="仿宋_GB2312" w:cs="仿宋_GB2312"/>
          <w:sz w:val="32"/>
        </w:rPr>
        <w:t>　下列行为，以走私罪论处，依照本节的有关规定处罚：</w:t>
      </w:r>
    </w:p>
    <w:p>
      <w:pPr>
        <w:spacing w:line="240" w:lineRule="auto"/>
        <w:ind w:firstLine="640"/>
        <w:jc w:val="both"/>
      </w:pPr>
      <w:r>
        <w:rPr>
          <w:rFonts w:ascii="仿宋_GB2312" w:hAnsi="仿宋_GB2312" w:eastAsia="仿宋_GB2312" w:cs="仿宋_GB2312"/>
          <w:sz w:val="32"/>
        </w:rPr>
        <w:t>（一）直接向走私人非法收购国家禁止进口物品的，或者直接向走私人非法收购走私进口的其他货物、物品，数额较大的；</w:t>
      </w:r>
    </w:p>
    <w:p>
      <w:pPr>
        <w:spacing w:line="240" w:lineRule="auto"/>
        <w:ind w:firstLine="640"/>
        <w:jc w:val="both"/>
      </w:pPr>
      <w:r>
        <w:rPr>
          <w:rFonts w:ascii="仿宋_GB2312" w:hAnsi="仿宋_GB2312" w:eastAsia="仿宋_GB2312" w:cs="仿宋_GB2312"/>
          <w:sz w:val="32"/>
        </w:rPr>
        <w:t>（二）在内海、领海、界河、界湖运输、收购、贩卖国家禁止进出口物品的，或者运输、收购、贩卖国家限制进出口货物、物品，数额较大，没有合法证明的。</w:t>
      </w:r>
    </w:p>
    <w:p>
      <w:pPr>
        <w:spacing w:line="240" w:lineRule="auto"/>
        <w:ind w:firstLine="640"/>
        <w:jc w:val="both"/>
      </w:pPr>
      <w:r>
        <w:rPr>
          <w:rFonts w:ascii="黑体" w:hAnsi="黑体" w:eastAsia="黑体" w:cs="黑体"/>
          <w:sz w:val="32"/>
        </w:rPr>
        <w:t>第一百五十六条</w:t>
      </w:r>
      <w:r>
        <w:rPr>
          <w:rFonts w:ascii="仿宋_GB2312" w:hAnsi="仿宋_GB2312" w:eastAsia="仿宋_GB2312" w:cs="仿宋_GB2312"/>
          <w:sz w:val="32"/>
        </w:rPr>
        <w:t>　与走私罪犯通谋，为其提供贷款、资金、</w:t>
      </w:r>
      <w:r>
        <w:rPr>
          <w:rFonts w:hint="eastAsia" w:ascii="仿宋_GB2312" w:hAnsi="仿宋_GB2312" w:cs="仿宋_GB2312"/>
          <w:sz w:val="32"/>
          <w:lang w:eastAsia="zh-CN"/>
        </w:rPr>
        <w:t>账</w:t>
      </w:r>
      <w:r>
        <w:rPr>
          <w:rFonts w:ascii="仿宋_GB2312" w:hAnsi="仿宋_GB2312" w:eastAsia="仿宋_GB2312" w:cs="仿宋_GB2312"/>
          <w:sz w:val="32"/>
        </w:rPr>
        <w:t>号、发票、证明，或者为其提供运输、保管、邮寄或者其他方便的，以走私罪的共犯论处。</w:t>
      </w:r>
    </w:p>
    <w:p>
      <w:pPr>
        <w:spacing w:line="240" w:lineRule="auto"/>
        <w:ind w:firstLine="640"/>
        <w:jc w:val="both"/>
      </w:pPr>
      <w:r>
        <w:rPr>
          <w:rFonts w:ascii="黑体" w:hAnsi="黑体" w:eastAsia="黑体" w:cs="黑体"/>
          <w:sz w:val="32"/>
        </w:rPr>
        <w:t>第一百五十七条</w:t>
      </w:r>
      <w:r>
        <w:rPr>
          <w:rFonts w:ascii="仿宋_GB2312" w:hAnsi="仿宋_GB2312" w:eastAsia="仿宋_GB2312" w:cs="仿宋_GB2312"/>
          <w:sz w:val="32"/>
        </w:rPr>
        <w:t>　武装掩护走私的，依照本法第一百五十一条第一款的规定从重处罚。</w:t>
      </w:r>
    </w:p>
    <w:p>
      <w:pPr>
        <w:spacing w:line="240" w:lineRule="auto"/>
        <w:ind w:firstLine="640"/>
        <w:jc w:val="both"/>
      </w:pPr>
      <w:r>
        <w:rPr>
          <w:rFonts w:ascii="仿宋_GB2312" w:hAnsi="仿宋_GB2312" w:eastAsia="仿宋_GB2312" w:cs="仿宋_GB2312"/>
          <w:sz w:val="32"/>
        </w:rPr>
        <w:t>以暴力、威胁方法抗拒缉私的，以走私罪和本法第二百七十七条规定的阻碍国家机关工作人员依法执行职务罪，依照数罪并罚的规定处罚。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妨害对公司、企业的管理秩序罪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第一百五十八条</w:t>
      </w:r>
      <w:r>
        <w:rPr>
          <w:rFonts w:ascii="仿宋_GB2312" w:hAnsi="仿宋_GB2312" w:eastAsia="仿宋_GB2312" w:cs="仿宋_GB2312"/>
          <w:sz w:val="32"/>
        </w:rPr>
        <w:t>　申请公司登记使用虚假证明文件或者采取其他欺诈手段虚报注册资本，欺骗公司登记主管部门，取得公司登记，虚报注册资本数额巨大、后果严重或者有其他严重情节的，处三年以下有期徒刑或者拘役，并处或者单处虚报注册资本金额百分之一以上百分之五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w:t>
      </w:r>
    </w:p>
    <w:p>
      <w:pPr>
        <w:spacing w:line="240" w:lineRule="auto"/>
        <w:ind w:firstLine="640"/>
        <w:jc w:val="both"/>
      </w:pPr>
      <w:r>
        <w:rPr>
          <w:rFonts w:ascii="黑体" w:hAnsi="黑体" w:eastAsia="黑体" w:cs="黑体"/>
          <w:sz w:val="32"/>
        </w:rPr>
        <w:t>第一百五十九条</w:t>
      </w:r>
      <w:r>
        <w:rPr>
          <w:rFonts w:ascii="仿宋_GB2312" w:hAnsi="仿宋_GB2312" w:eastAsia="仿宋_GB2312" w:cs="仿宋_GB2312"/>
          <w:sz w:val="32"/>
        </w:rPr>
        <w:t>　公司发起人、股东违反公司法的规定未交付货币、实物或者未转移财产权，虚假出资，或者在公司成立后又抽逃其出资，数额巨大、后果严重或者有其他严重情节的，处五年以下有期徒刑或者拘役，并处或者单处虚假出资金额或者抽逃出资金额百分之二以上百分之十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第一百六十条</w:t>
      </w:r>
      <w:r>
        <w:rPr>
          <w:rFonts w:ascii="仿宋_GB2312" w:hAnsi="仿宋_GB2312" w:eastAsia="仿宋_GB2312" w:cs="仿宋_GB2312"/>
          <w:sz w:val="32"/>
        </w:rPr>
        <w:t>　在招股说明书、认股书、公司、企业债券募集办法等发行文件中隐瞒重要事实或者编造重大虚假内容，发行股票或者公司、企业债券、存托凭证或者国务院依法认定的其他证券，数额巨大、后果严重或者有其他严重情节的，处五年以下有期徒刑或者拘役，并处或者单处罚金；数额特别巨大、后果特别严重或者有其他特别严重情节的，处五年以上有期徒刑，并处罚金。</w:t>
      </w:r>
    </w:p>
    <w:p>
      <w:pPr>
        <w:spacing w:line="240" w:lineRule="auto"/>
        <w:ind w:firstLine="640"/>
        <w:jc w:val="both"/>
      </w:pPr>
      <w:r>
        <w:rPr>
          <w:rFonts w:ascii="仿宋_GB2312" w:hAnsi="仿宋_GB2312" w:eastAsia="仿宋_GB2312" w:cs="仿宋_GB2312"/>
          <w:sz w:val="32"/>
        </w:rPr>
        <w:t>控股股东、实际控制人组织、指使实施前款行为的，处五年以下有期徒刑或者拘役，并处或者单处非法募集资金金额百分之二十以上一倍以下罚金；数额特别巨大、后果特别严重或者有其他特别严重情节的，处五年以上有期徒刑，并处非法募集资金金额百分之二十以上一倍以下罚金。</w:t>
      </w:r>
    </w:p>
    <w:p>
      <w:pPr>
        <w:spacing w:line="240" w:lineRule="auto"/>
        <w:ind w:firstLine="640"/>
        <w:jc w:val="both"/>
      </w:pPr>
      <w:r>
        <w:rPr>
          <w:rFonts w:ascii="仿宋_GB2312" w:hAnsi="仿宋_GB2312" w:eastAsia="仿宋_GB2312" w:cs="仿宋_GB2312"/>
          <w:sz w:val="32"/>
        </w:rPr>
        <w:t>单位犯前两款罪的，对单位判处非法募集资金金额百分之二十以上一倍以下罚金，并对其直接负责的主管人员和其他直接责任人员，依照第一款的规定处罚。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第一百六十一条</w:t>
      </w:r>
      <w:r>
        <w:rPr>
          <w:rFonts w:ascii="仿宋_GB2312" w:hAnsi="仿宋_GB2312" w:eastAsia="仿宋_GB2312" w:cs="仿宋_GB2312"/>
          <w:sz w:val="32"/>
        </w:rPr>
        <w:t>　依法负有信息披露义务的公司、企业向股东和社会公众提供虚假的或者隐瞒重要事实的财务会计报告，或者对依法应当披露的其他重要信息不按照规定披露，严重损害股东或者其他人利益，或者有其他严重情节的，对其直接负责的主管人员和其他直接责任人员，处五年以下有期徒刑或者拘役，并处或者单处罚金；情节特别严重的，处五年以上十年以下有期徒刑，并处罚金。</w:t>
      </w:r>
    </w:p>
    <w:p>
      <w:pPr>
        <w:spacing w:line="240" w:lineRule="auto"/>
        <w:ind w:firstLine="640"/>
        <w:jc w:val="both"/>
      </w:pPr>
      <w:r>
        <w:rPr>
          <w:rFonts w:ascii="仿宋_GB2312" w:hAnsi="仿宋_GB2312" w:eastAsia="仿宋_GB2312" w:cs="仿宋_GB2312"/>
          <w:sz w:val="32"/>
        </w:rPr>
        <w:t>前款规定的公司、企业的控股股东、实际控制人实施或者组织、指使实施前款行为的，或者隐瞒相关事项导致前款规定的情形发生的，依照前款的规定处罚。</w:t>
      </w:r>
    </w:p>
    <w:p>
      <w:pPr>
        <w:spacing w:line="240" w:lineRule="auto"/>
        <w:ind w:firstLine="640"/>
        <w:jc w:val="both"/>
      </w:pPr>
      <w:r>
        <w:rPr>
          <w:rFonts w:ascii="仿宋_GB2312" w:hAnsi="仿宋_GB2312" w:eastAsia="仿宋_GB2312" w:cs="仿宋_GB2312"/>
          <w:sz w:val="32"/>
        </w:rPr>
        <w:t>犯前款罪的控股股东、实际控制人是单位的，对单位判处罚金，并对其直接负责的主管人员和其他直接责任人员，依照第一款的规定处罚。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第一百六十二条</w:t>
      </w:r>
      <w:r>
        <w:rPr>
          <w:rFonts w:ascii="仿宋_GB2312" w:hAnsi="仿宋_GB2312" w:eastAsia="仿宋_GB2312" w:cs="仿宋_GB2312"/>
          <w:sz w:val="32"/>
        </w:rPr>
        <w:t>　公司、企业进行清算时，隐匿财产，对资产负债表或者财产清单作虚伪记载或者在未清偿债务前分配公司、企业财产，严重损害债权人或者其他人利益的，对其直接负责的主管人员和其他直接责任人员，处五年以下有期徒刑或者拘役，并处或者单处二万元以上二十万元以下罚金。</w:t>
      </w:r>
    </w:p>
    <w:p>
      <w:pPr>
        <w:spacing w:line="240" w:lineRule="auto"/>
        <w:ind w:firstLine="640"/>
        <w:jc w:val="both"/>
      </w:pPr>
      <w:r>
        <w:rPr>
          <w:rFonts w:ascii="黑体" w:hAnsi="黑体" w:eastAsia="黑体" w:cs="黑体"/>
          <w:sz w:val="32"/>
        </w:rPr>
        <w:t>第一百六十二</w:t>
      </w:r>
      <w:r>
        <w:rPr>
          <w:rFonts w:hint="eastAsia" w:ascii="黑体" w:hAnsi="黑体" w:eastAsia="黑体" w:cs="黑体"/>
          <w:sz w:val="32"/>
          <w:lang w:eastAsia="zh-CN"/>
        </w:rPr>
        <w:t>条之一　</w:t>
      </w:r>
      <w:r>
        <w:rPr>
          <w:rFonts w:ascii="仿宋_GB2312" w:hAnsi="仿宋_GB2312" w:eastAsia="仿宋_GB2312" w:cs="仿宋_GB2312"/>
          <w:sz w:val="32"/>
        </w:rPr>
        <w:t>隐匿或者故意销毁依法应当保存的会计凭证、会计帐簿、财务会计报告，情节严重的，处五年以下有期徒刑或者拘役，并处或者单处二万元以上二十万元以下罚金。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第一百六十二</w:t>
      </w:r>
      <w:r>
        <w:rPr>
          <w:rFonts w:hint="eastAsia" w:ascii="黑体" w:hAnsi="黑体" w:eastAsia="黑体" w:cs="黑体"/>
          <w:sz w:val="32"/>
          <w:lang w:eastAsia="zh-CN"/>
        </w:rPr>
        <w:t>条之二　</w:t>
      </w:r>
      <w:r>
        <w:rPr>
          <w:rFonts w:ascii="仿宋_GB2312" w:hAnsi="仿宋_GB2312" w:eastAsia="仿宋_GB2312" w:cs="仿宋_GB2312"/>
          <w:sz w:val="32"/>
        </w:rPr>
        <w:t>公司、企业通过隐匿财产、承担虚构的债务或者以其他方法转移、处分财产，实施虚假破产，严重损害债权人或者其他人利益的，对其直接负责的主管人员和其他直接责任人员，处五年以下有期徒刑或者拘役，并处或者单处二万元以上二十万元以下罚金。</w:t>
      </w:r>
    </w:p>
    <w:p>
      <w:pPr>
        <w:spacing w:line="240" w:lineRule="auto"/>
        <w:ind w:firstLine="640"/>
        <w:jc w:val="both"/>
      </w:pPr>
      <w:r>
        <w:rPr>
          <w:rFonts w:ascii="黑体" w:hAnsi="黑体" w:eastAsia="黑体" w:cs="黑体"/>
          <w:sz w:val="32"/>
        </w:rPr>
        <w:t>第一百六十三条</w:t>
      </w:r>
      <w:r>
        <w:rPr>
          <w:rFonts w:ascii="仿宋_GB2312" w:hAnsi="仿宋_GB2312" w:eastAsia="仿宋_GB2312" w:cs="仿宋_GB2312"/>
          <w:sz w:val="32"/>
        </w:rPr>
        <w:t>　公司、企业或者其他单位的工作人员，利用职务上的便利，索取他人财物或者非法收受他人财物，为他人谋取利益，数额较大的，处三年以下有期徒刑或者拘役，并处罚金；数额巨大或者有其他严重情节的，处三年以上十年以下有期徒刑，并处罚金；数额特别巨大或者有其他特别严重情节的，处十年以上有期徒刑或者无期徒刑，并处罚金。</w:t>
      </w:r>
    </w:p>
    <w:p>
      <w:pPr>
        <w:spacing w:line="240" w:lineRule="auto"/>
        <w:ind w:firstLine="640"/>
        <w:jc w:val="both"/>
      </w:pPr>
      <w:r>
        <w:rPr>
          <w:rFonts w:ascii="仿宋_GB2312" w:hAnsi="仿宋_GB2312" w:eastAsia="仿宋_GB2312" w:cs="仿宋_GB2312"/>
          <w:sz w:val="32"/>
        </w:rPr>
        <w:t>公司、企业或者其他单位的工作人员在经济往来中，利用职务上的便利，违反国家规定，收受各种名义的回扣、手续费，归个人所有的，依照前款的规定处罚。</w:t>
      </w:r>
    </w:p>
    <w:p>
      <w:pPr>
        <w:spacing w:line="240" w:lineRule="auto"/>
        <w:ind w:firstLine="640"/>
        <w:jc w:val="both"/>
      </w:pPr>
      <w:r>
        <w:rPr>
          <w:rFonts w:ascii="仿宋_GB2312" w:hAnsi="仿宋_GB2312" w:eastAsia="仿宋_GB2312" w:cs="仿宋_GB2312"/>
          <w:sz w:val="32"/>
        </w:rPr>
        <w:t>国有公司、企业或者其他国有单位中从事公务的人员和国有公司、企业或者其他国有单位委派到非国有公司、企业以及其他单位从事公务的人员有前两款行为的，依照本法第三百八十五条、第三百八十六条的规定定罪处罚。</w:t>
      </w:r>
    </w:p>
    <w:p>
      <w:pPr>
        <w:spacing w:line="240" w:lineRule="auto"/>
        <w:ind w:firstLine="640"/>
        <w:jc w:val="both"/>
      </w:pPr>
      <w:r>
        <w:rPr>
          <w:rFonts w:ascii="黑体" w:hAnsi="黑体" w:eastAsia="黑体" w:cs="黑体"/>
          <w:sz w:val="32"/>
        </w:rPr>
        <w:t>第一百六十四条</w:t>
      </w:r>
      <w:r>
        <w:rPr>
          <w:rFonts w:ascii="仿宋_GB2312" w:hAnsi="仿宋_GB2312" w:eastAsia="仿宋_GB2312" w:cs="仿宋_GB2312"/>
          <w:sz w:val="32"/>
        </w:rPr>
        <w:t>　为谋取不正当利益，给予公司、企业或者其他单位的工作人员以财物，数额较大的，处三年以下有期徒刑或者拘役，并处罚金；数额巨大的，处三年以上十年以下有期徒刑，并处罚金。</w:t>
      </w:r>
    </w:p>
    <w:p>
      <w:pPr>
        <w:spacing w:line="240" w:lineRule="auto"/>
        <w:ind w:firstLine="640"/>
        <w:jc w:val="both"/>
      </w:pPr>
      <w:r>
        <w:rPr>
          <w:rFonts w:ascii="仿宋_GB2312" w:hAnsi="仿宋_GB2312" w:eastAsia="仿宋_GB2312" w:cs="仿宋_GB2312"/>
          <w:sz w:val="32"/>
        </w:rPr>
        <w:t>为谋取不正当商业利益，给予外国公职人员或者国际公共组织官员以财物的，依照前款的规定处罚。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仿宋_GB2312" w:hAnsi="仿宋_GB2312" w:eastAsia="仿宋_GB2312" w:cs="仿宋_GB2312"/>
          <w:sz w:val="32"/>
        </w:rPr>
        <w:t>行贿人在被追诉前主动交待行贿行为的，可以减轻处罚或者免除处罚。</w:t>
      </w:r>
    </w:p>
    <w:p>
      <w:pPr>
        <w:spacing w:line="240" w:lineRule="auto"/>
        <w:ind w:firstLine="640"/>
        <w:jc w:val="both"/>
      </w:pPr>
      <w:r>
        <w:rPr>
          <w:rFonts w:ascii="黑体" w:hAnsi="黑体" w:eastAsia="黑体" w:cs="黑体"/>
          <w:sz w:val="32"/>
        </w:rPr>
        <w:t>第一百六十五条</w:t>
      </w:r>
      <w:r>
        <w:rPr>
          <w:rFonts w:ascii="仿宋_GB2312" w:hAnsi="仿宋_GB2312" w:eastAsia="仿宋_GB2312" w:cs="仿宋_GB2312"/>
          <w:sz w:val="32"/>
        </w:rPr>
        <w:t>　国有公司、企业的董事、经理利用职务便利，自己经营或者为他人经营与其所任职公司、企业同类的营业，获取非法利益，数额巨大的，处三年以下有期徒刑或者拘役，并处或者单处罚金；数额特别巨大的，处三年以上七年以下有期徒刑，并处罚金。</w:t>
      </w:r>
    </w:p>
    <w:p>
      <w:pPr>
        <w:spacing w:line="240" w:lineRule="auto"/>
        <w:ind w:firstLine="640"/>
        <w:jc w:val="both"/>
      </w:pPr>
      <w:r>
        <w:rPr>
          <w:rFonts w:ascii="黑体" w:hAnsi="黑体" w:eastAsia="黑体" w:cs="黑体"/>
          <w:sz w:val="32"/>
        </w:rPr>
        <w:t>第一百六十六条</w:t>
      </w:r>
      <w:r>
        <w:rPr>
          <w:rFonts w:ascii="仿宋_GB2312" w:hAnsi="仿宋_GB2312" w:eastAsia="仿宋_GB2312" w:cs="仿宋_GB2312"/>
          <w:sz w:val="32"/>
        </w:rPr>
        <w:t>　国有公司、企业、事业单位的工作人员，利用职务便利，有下列情形之一，使国家利益遭受重大损失的，处三年以下有期徒刑或者拘役，并处或者单处罚金；致使国家利益遭受特别重大损失的，处三年以上七年以下有期徒刑，并处罚金：</w:t>
      </w:r>
    </w:p>
    <w:p>
      <w:pPr>
        <w:spacing w:line="240" w:lineRule="auto"/>
        <w:ind w:firstLine="640"/>
        <w:jc w:val="both"/>
      </w:pPr>
      <w:r>
        <w:rPr>
          <w:rFonts w:ascii="仿宋_GB2312" w:hAnsi="仿宋_GB2312" w:eastAsia="仿宋_GB2312" w:cs="仿宋_GB2312"/>
          <w:sz w:val="32"/>
        </w:rPr>
        <w:t>（一）将本单位的盈利业务交由自己的亲友进行经营的；</w:t>
      </w:r>
    </w:p>
    <w:p>
      <w:pPr>
        <w:spacing w:line="240" w:lineRule="auto"/>
        <w:ind w:firstLine="640"/>
        <w:jc w:val="both"/>
      </w:pPr>
      <w:r>
        <w:rPr>
          <w:rFonts w:ascii="仿宋_GB2312" w:hAnsi="仿宋_GB2312" w:eastAsia="仿宋_GB2312" w:cs="仿宋_GB2312"/>
          <w:sz w:val="32"/>
        </w:rPr>
        <w:t>（二）以明显高于市场的价格向自己的亲友经营管理的单位采购商品或者以明显低于市场的价格向自己的亲友经营管理的单位销售商品的；</w:t>
      </w:r>
    </w:p>
    <w:p>
      <w:pPr>
        <w:spacing w:line="240" w:lineRule="auto"/>
        <w:ind w:firstLine="640"/>
        <w:jc w:val="both"/>
      </w:pPr>
      <w:r>
        <w:rPr>
          <w:rFonts w:ascii="仿宋_GB2312" w:hAnsi="仿宋_GB2312" w:eastAsia="仿宋_GB2312" w:cs="仿宋_GB2312"/>
          <w:sz w:val="32"/>
        </w:rPr>
        <w:t>（三）向自己的亲友经营管理的单位采购不合格商品的。</w:t>
      </w:r>
    </w:p>
    <w:p>
      <w:pPr>
        <w:spacing w:line="240" w:lineRule="auto"/>
        <w:ind w:firstLine="640"/>
        <w:jc w:val="both"/>
      </w:pPr>
      <w:r>
        <w:rPr>
          <w:rFonts w:ascii="黑体" w:hAnsi="黑体" w:eastAsia="黑体" w:cs="黑体"/>
          <w:sz w:val="32"/>
        </w:rPr>
        <w:t>第一百六十七条</w:t>
      </w:r>
      <w:r>
        <w:rPr>
          <w:rFonts w:ascii="仿宋_GB2312" w:hAnsi="仿宋_GB2312" w:eastAsia="仿宋_GB2312" w:cs="仿宋_GB2312"/>
          <w:sz w:val="32"/>
        </w:rPr>
        <w:t>　国有公司、企业、事业单位直接负责的主管人员，在签订、履行合同过程中，因严重不负责任被诈骗，致使国家利益遭受重大损失的，处三年以下有期徒刑或者拘役；致使国家利益遭受特别重大损失的，处三年以上七年以下有期徒刑。</w:t>
      </w:r>
    </w:p>
    <w:p>
      <w:pPr>
        <w:spacing w:line="240" w:lineRule="auto"/>
        <w:ind w:firstLine="640"/>
        <w:jc w:val="both"/>
      </w:pPr>
      <w:r>
        <w:rPr>
          <w:rFonts w:ascii="黑体" w:hAnsi="黑体" w:eastAsia="黑体" w:cs="黑体"/>
          <w:sz w:val="32"/>
        </w:rPr>
        <w:t>第一百六十八条</w:t>
      </w:r>
      <w:r>
        <w:rPr>
          <w:rFonts w:ascii="仿宋_GB2312" w:hAnsi="仿宋_GB2312" w:eastAsia="仿宋_GB2312" w:cs="仿宋_GB2312"/>
          <w:sz w:val="32"/>
        </w:rPr>
        <w:t>　 国有公司、企业的工作人员，由于严重不负责任或者滥用职权，造成国有公司、企业破产或者严重损失，致使国家利益遭受重大损失的，处三年以下有期徒刑或者拘役；致使国家利益遭受特别重大损失的，处三年以上七年以下有期徒刑。</w:t>
      </w:r>
    </w:p>
    <w:p>
      <w:pPr>
        <w:spacing w:line="240" w:lineRule="auto"/>
        <w:ind w:firstLine="640"/>
        <w:jc w:val="both"/>
      </w:pPr>
      <w:r>
        <w:rPr>
          <w:rFonts w:ascii="仿宋_GB2312" w:hAnsi="仿宋_GB2312" w:eastAsia="仿宋_GB2312" w:cs="仿宋_GB2312"/>
          <w:sz w:val="32"/>
        </w:rPr>
        <w:t>国有事业单位的工作人员有前款行为，致使国家利益遭受重大损失的，依照前款的规定处罚。</w:t>
      </w:r>
    </w:p>
    <w:p>
      <w:pPr>
        <w:spacing w:line="240" w:lineRule="auto"/>
        <w:ind w:firstLine="640"/>
        <w:jc w:val="both"/>
      </w:pPr>
      <w:r>
        <w:rPr>
          <w:rFonts w:ascii="仿宋_GB2312" w:hAnsi="仿宋_GB2312" w:eastAsia="仿宋_GB2312" w:cs="仿宋_GB2312"/>
          <w:sz w:val="32"/>
        </w:rPr>
        <w:t>国有公司、企业、事业单位的工作人员，徇私舞弊，犯前两款罪的，依照第一款的规定从重处罚。</w:t>
      </w:r>
    </w:p>
    <w:p>
      <w:pPr>
        <w:spacing w:line="240" w:lineRule="auto"/>
        <w:ind w:firstLine="640"/>
        <w:jc w:val="both"/>
      </w:pPr>
      <w:r>
        <w:rPr>
          <w:rFonts w:ascii="黑体" w:hAnsi="黑体" w:eastAsia="黑体" w:cs="黑体"/>
          <w:sz w:val="32"/>
        </w:rPr>
        <w:t>第一百六十九条</w:t>
      </w:r>
      <w:r>
        <w:rPr>
          <w:rFonts w:ascii="仿宋_GB2312" w:hAnsi="仿宋_GB2312" w:eastAsia="仿宋_GB2312" w:cs="仿宋_GB2312"/>
          <w:sz w:val="32"/>
        </w:rPr>
        <w:t>　国有公司、企业或者其上级主管部门直接负责的主管人员，徇私舞弊，将国有资产低价折股或者低价出售，致使国家利益遭受重大损失的，处三年以下有期徒刑或者拘役；致使国家利益遭受特别重大损失的，处三年以上七年以下有期徒刑。</w:t>
      </w:r>
    </w:p>
    <w:p>
      <w:pPr>
        <w:spacing w:line="240" w:lineRule="auto"/>
        <w:ind w:firstLine="640"/>
        <w:jc w:val="both"/>
      </w:pPr>
      <w:r>
        <w:rPr>
          <w:rFonts w:ascii="黑体" w:hAnsi="黑体" w:eastAsia="黑体" w:cs="黑体"/>
          <w:sz w:val="32"/>
        </w:rPr>
        <w:t>第一百六十九</w:t>
      </w:r>
      <w:r>
        <w:rPr>
          <w:rFonts w:hint="eastAsia" w:ascii="黑体" w:hAnsi="黑体" w:eastAsia="黑体" w:cs="黑体"/>
          <w:sz w:val="32"/>
          <w:lang w:eastAsia="zh-CN"/>
        </w:rPr>
        <w:t>条之一　</w:t>
      </w:r>
      <w:r>
        <w:rPr>
          <w:rFonts w:ascii="仿宋_GB2312" w:hAnsi="仿宋_GB2312" w:eastAsia="仿宋_GB2312" w:cs="仿宋_GB2312"/>
          <w:sz w:val="32"/>
        </w:rPr>
        <w:t>上市公司的董事、监事、高级管理人员违背对公司的忠实义务，利用职务便利，操纵上市公司从事下列行为之一，致使上市公司利益遭受重大损失的，处三年以下有期徒刑或者拘役，并处或者单处罚金；致使上市公司利益遭受特别重大损失的，处三年以上七年以下有期徒刑，并处罚金：</w:t>
      </w:r>
    </w:p>
    <w:p>
      <w:pPr>
        <w:spacing w:line="240" w:lineRule="auto"/>
        <w:ind w:firstLine="640"/>
        <w:jc w:val="both"/>
      </w:pPr>
      <w:r>
        <w:rPr>
          <w:rFonts w:ascii="仿宋_GB2312" w:hAnsi="仿宋_GB2312" w:eastAsia="仿宋_GB2312" w:cs="仿宋_GB2312"/>
          <w:sz w:val="32"/>
        </w:rPr>
        <w:t>（一）无偿向其他单位或者个人提供资金、商品、服务或者其他资产的；</w:t>
      </w:r>
    </w:p>
    <w:p>
      <w:pPr>
        <w:spacing w:line="240" w:lineRule="auto"/>
        <w:ind w:firstLine="640"/>
        <w:jc w:val="both"/>
      </w:pPr>
      <w:r>
        <w:rPr>
          <w:rFonts w:ascii="仿宋_GB2312" w:hAnsi="仿宋_GB2312" w:eastAsia="仿宋_GB2312" w:cs="仿宋_GB2312"/>
          <w:sz w:val="32"/>
        </w:rPr>
        <w:t>（二）以明显不公平的条件，提供或者接受资金、商品、服务或者其他资产的；</w:t>
      </w:r>
    </w:p>
    <w:p>
      <w:pPr>
        <w:spacing w:line="240" w:lineRule="auto"/>
        <w:ind w:firstLine="640"/>
        <w:jc w:val="both"/>
      </w:pPr>
      <w:r>
        <w:rPr>
          <w:rFonts w:ascii="仿宋_GB2312" w:hAnsi="仿宋_GB2312" w:eastAsia="仿宋_GB2312" w:cs="仿宋_GB2312"/>
          <w:sz w:val="32"/>
        </w:rPr>
        <w:t>（三）向明显不具有清偿能力的单位或者个人提供资金、商品、服务或者其他资产的；</w:t>
      </w:r>
    </w:p>
    <w:p>
      <w:pPr>
        <w:spacing w:line="240" w:lineRule="auto"/>
        <w:ind w:firstLine="640"/>
        <w:jc w:val="both"/>
      </w:pPr>
      <w:r>
        <w:rPr>
          <w:rFonts w:ascii="仿宋_GB2312" w:hAnsi="仿宋_GB2312" w:eastAsia="仿宋_GB2312" w:cs="仿宋_GB2312"/>
          <w:sz w:val="32"/>
        </w:rPr>
        <w:t>（四）为明显不具有清偿能力的单位或者个人提供担保，或者无正当理由为其他单位或者个人提供担保的；</w:t>
      </w:r>
    </w:p>
    <w:p>
      <w:pPr>
        <w:spacing w:line="240" w:lineRule="auto"/>
        <w:ind w:firstLine="640"/>
        <w:jc w:val="both"/>
      </w:pPr>
      <w:r>
        <w:rPr>
          <w:rFonts w:ascii="仿宋_GB2312" w:hAnsi="仿宋_GB2312" w:eastAsia="仿宋_GB2312" w:cs="仿宋_GB2312"/>
          <w:sz w:val="32"/>
        </w:rPr>
        <w:t>（五）无正当理由放弃债权、承担债务的；</w:t>
      </w:r>
    </w:p>
    <w:p>
      <w:pPr>
        <w:spacing w:line="240" w:lineRule="auto"/>
        <w:ind w:firstLine="640"/>
        <w:jc w:val="both"/>
      </w:pPr>
      <w:r>
        <w:rPr>
          <w:rFonts w:ascii="仿宋_GB2312" w:hAnsi="仿宋_GB2312" w:eastAsia="仿宋_GB2312" w:cs="仿宋_GB2312"/>
          <w:sz w:val="32"/>
        </w:rPr>
        <w:t>（六）采用其他方式损害上市公司利益的。</w:t>
      </w:r>
    </w:p>
    <w:p>
      <w:pPr>
        <w:spacing w:line="240" w:lineRule="auto"/>
        <w:ind w:firstLine="640"/>
        <w:jc w:val="both"/>
      </w:pPr>
      <w:r>
        <w:rPr>
          <w:rFonts w:ascii="仿宋_GB2312" w:hAnsi="仿宋_GB2312" w:eastAsia="仿宋_GB2312" w:cs="仿宋_GB2312"/>
          <w:sz w:val="32"/>
        </w:rPr>
        <w:t>上市公司的控股股东或者实际控制人，指使上市公司董事、监事、高级管理人员实施前款行为的，依照前款的规定处罚。</w:t>
      </w:r>
    </w:p>
    <w:p>
      <w:pPr>
        <w:spacing w:line="240" w:lineRule="auto"/>
        <w:ind w:firstLine="640"/>
        <w:jc w:val="both"/>
      </w:pPr>
      <w:r>
        <w:rPr>
          <w:rFonts w:ascii="仿宋_GB2312" w:hAnsi="仿宋_GB2312" w:eastAsia="仿宋_GB2312" w:cs="仿宋_GB2312"/>
          <w:sz w:val="32"/>
        </w:rPr>
        <w:t>犯前款罪的上市公司的控股股东或者实际控制人是单位的，对单位判处罚金，并对其直接负责的主管人员和其他直接责任人员，依照第一款的规定处罚。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破坏金融管理秩序罪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第一百七十条</w:t>
      </w:r>
      <w:r>
        <w:rPr>
          <w:rFonts w:ascii="仿宋_GB2312" w:hAnsi="仿宋_GB2312" w:eastAsia="仿宋_GB2312" w:cs="仿宋_GB2312"/>
          <w:sz w:val="32"/>
        </w:rPr>
        <w:t>　伪造货币的，处三年以上十年以下有期徒刑，并处罚金；有下列情形之一的，处十年以上有期徒刑或者无期徒刑，并处罚金或者没收财产：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（一）伪造货币集团的首要分子；</w:t>
      </w:r>
    </w:p>
    <w:p>
      <w:pPr>
        <w:spacing w:line="240" w:lineRule="auto"/>
        <w:ind w:firstLine="640"/>
        <w:jc w:val="both"/>
      </w:pPr>
      <w:r>
        <w:rPr>
          <w:rFonts w:ascii="仿宋_GB2312" w:hAnsi="仿宋_GB2312" w:eastAsia="仿宋_GB2312" w:cs="仿宋_GB2312"/>
          <w:sz w:val="32"/>
        </w:rPr>
        <w:t>（二）伪造货币数额特别巨大的；</w:t>
      </w:r>
    </w:p>
    <w:p>
      <w:pPr>
        <w:spacing w:line="240" w:lineRule="auto"/>
        <w:ind w:firstLine="640"/>
        <w:jc w:val="both"/>
      </w:pPr>
      <w:r>
        <w:rPr>
          <w:rFonts w:ascii="仿宋_GB2312" w:hAnsi="仿宋_GB2312" w:eastAsia="仿宋_GB2312" w:cs="仿宋_GB2312"/>
          <w:sz w:val="32"/>
        </w:rPr>
        <w:t>（三）有其他特别严重情节的。</w:t>
      </w:r>
    </w:p>
    <w:p>
      <w:pPr>
        <w:spacing w:line="240" w:lineRule="auto"/>
        <w:ind w:firstLine="640"/>
        <w:jc w:val="both"/>
      </w:pPr>
      <w:r>
        <w:rPr>
          <w:rFonts w:ascii="黑体" w:hAnsi="黑体" w:eastAsia="黑体" w:cs="黑体"/>
          <w:sz w:val="32"/>
        </w:rPr>
        <w:t>第一百七十一条</w:t>
      </w:r>
      <w:r>
        <w:rPr>
          <w:rFonts w:ascii="仿宋_GB2312" w:hAnsi="仿宋_GB2312" w:eastAsia="仿宋_GB2312" w:cs="仿宋_GB2312"/>
          <w:sz w:val="32"/>
        </w:rPr>
        <w:t>　出售、购买伪造的货币或者明知是伪造的货币而运输，数额较大的，处三年以下有期徒刑或者拘役，并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银行或者其他金融机构的工作人员购买伪造的货币或者利用职务上的便利，以伪造的货币换取货币的，处三年以上十年以下有期徒刑，并处二万元以上二十万元以下罚金；数额巨大或者有其他严重情节的，处十年以上有期徒刑或者无期徒刑，并处二万元以上二十万元以下罚金或者没收财产；情节较轻的，处三年以下有期徒刑或者拘役，并处或者单处一万元以上十万元以下罚金。</w:t>
      </w:r>
    </w:p>
    <w:p>
      <w:pPr>
        <w:spacing w:line="240" w:lineRule="auto"/>
        <w:ind w:firstLine="640"/>
        <w:jc w:val="both"/>
      </w:pPr>
      <w:r>
        <w:rPr>
          <w:rFonts w:ascii="仿宋_GB2312" w:hAnsi="仿宋_GB2312" w:eastAsia="仿宋_GB2312" w:cs="仿宋_GB2312"/>
          <w:sz w:val="32"/>
        </w:rPr>
        <w:t>伪造货币并出售或者运输伪造的货币的，依照本法第一百七十条的规定定罪从重处罚。</w:t>
      </w:r>
    </w:p>
    <w:p>
      <w:pPr>
        <w:spacing w:line="240" w:lineRule="auto"/>
        <w:ind w:firstLine="640"/>
        <w:jc w:val="both"/>
      </w:pPr>
      <w:r>
        <w:rPr>
          <w:rFonts w:ascii="黑体" w:hAnsi="黑体" w:eastAsia="黑体" w:cs="黑体"/>
          <w:sz w:val="32"/>
        </w:rPr>
        <w:t>第一百七十二条</w:t>
      </w:r>
      <w:r>
        <w:rPr>
          <w:rFonts w:ascii="仿宋_GB2312" w:hAnsi="仿宋_GB2312" w:eastAsia="仿宋_GB2312" w:cs="仿宋_GB2312"/>
          <w:sz w:val="32"/>
        </w:rPr>
        <w:t>　明知是伪造的货币而持有、使用，数额较大的，处三年以下有期徒刑或者拘役，并处或者单处一万元以上十万元以下罚金；数额巨大的，处三年以上十年以下有期徒刑，并处二万元以上二十万元以下罚金；数额特别巨大的，处十年以上有期徒刑，并处五万元以上五十万元以下罚金或者没收财产。</w:t>
      </w:r>
    </w:p>
    <w:p>
      <w:pPr>
        <w:spacing w:line="240" w:lineRule="auto"/>
        <w:ind w:firstLine="640"/>
        <w:jc w:val="both"/>
      </w:pPr>
      <w:r>
        <w:rPr>
          <w:rFonts w:ascii="黑体" w:hAnsi="黑体" w:eastAsia="黑体" w:cs="黑体"/>
          <w:sz w:val="32"/>
        </w:rPr>
        <w:t>第一百七十三条</w:t>
      </w:r>
      <w:r>
        <w:rPr>
          <w:rFonts w:ascii="仿宋_GB2312" w:hAnsi="仿宋_GB2312" w:eastAsia="仿宋_GB2312" w:cs="仿宋_GB2312"/>
          <w:sz w:val="32"/>
        </w:rPr>
        <w:t>　变造货币，数额较大的，处三年以下有期徒刑或者拘役，并处或者单处一万元以上十万元以下罚金；数额巨大的，处三年以上十年以下有期徒刑，并处二万元以上二十万元以下罚金。</w:t>
      </w:r>
    </w:p>
    <w:p>
      <w:pPr>
        <w:spacing w:line="240" w:lineRule="auto"/>
        <w:ind w:firstLine="640"/>
        <w:jc w:val="both"/>
      </w:pPr>
      <w:r>
        <w:rPr>
          <w:rFonts w:ascii="黑体" w:hAnsi="黑体" w:eastAsia="黑体" w:cs="黑体"/>
          <w:sz w:val="32"/>
        </w:rPr>
        <w:t>第一百七十四条</w:t>
      </w:r>
      <w:r>
        <w:rPr>
          <w:rFonts w:ascii="仿宋_GB2312" w:hAnsi="仿宋_GB2312" w:eastAsia="仿宋_GB2312" w:cs="仿宋_GB2312"/>
          <w:sz w:val="32"/>
        </w:rPr>
        <w:t>　未经国家有关主管部门批准，擅自设立商业银行、证券交易所、期货交易所、证券公司、期货经纪公司、保险公司或者其他金融机构的，处三年以下有期徒刑或者拘役，并处或者单处二万元以上二十万元以下罚金；情节严重的，处三年以上十年以下有期徒刑，并处五万元以上五十万元以下罚金。</w:t>
      </w:r>
    </w:p>
    <w:p>
      <w:pPr>
        <w:spacing w:line="240" w:lineRule="auto"/>
        <w:ind w:firstLine="640"/>
        <w:jc w:val="both"/>
      </w:pPr>
      <w:r>
        <w:rPr>
          <w:rFonts w:ascii="仿宋_GB2312" w:hAnsi="仿宋_GB2312" w:eastAsia="仿宋_GB2312" w:cs="仿宋_GB2312"/>
          <w:sz w:val="32"/>
        </w:rPr>
        <w:t>伪造、变造、转让商业银行、证券交易所、期货交易所、证券公司、期货经纪公司、保险公司或者其他金融机构的经营许可证或者批准文件的，依照前款的规定处罚。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第一百七十五条</w:t>
      </w:r>
      <w:r>
        <w:rPr>
          <w:rFonts w:ascii="仿宋_GB2312" w:hAnsi="仿宋_GB2312" w:eastAsia="仿宋_GB2312" w:cs="仿宋_GB2312"/>
          <w:sz w:val="32"/>
        </w:rPr>
        <w:t>　以转贷牟利为目的，套取金融机构信贷资金高利转贷他人，违法所得数额较大的，处三年以下有期徒刑或者拘役，并处违法所得一倍以上五倍以下罚金；数额巨大的，处三年以上七年以下有期徒刑，并处违法所得一倍以上五倍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w:t>
      </w:r>
    </w:p>
    <w:p>
      <w:pPr>
        <w:spacing w:line="240" w:lineRule="auto"/>
        <w:ind w:firstLine="640"/>
        <w:jc w:val="both"/>
      </w:pPr>
      <w:r>
        <w:rPr>
          <w:rFonts w:ascii="黑体" w:hAnsi="黑体" w:eastAsia="黑体" w:cs="黑体"/>
          <w:sz w:val="32"/>
        </w:rPr>
        <w:t>第一百七十五</w:t>
      </w:r>
      <w:r>
        <w:rPr>
          <w:rFonts w:hint="eastAsia" w:ascii="黑体" w:hAnsi="黑体" w:eastAsia="黑体" w:cs="黑体"/>
          <w:sz w:val="32"/>
          <w:lang w:eastAsia="zh-CN"/>
        </w:rPr>
        <w:t>条之一　</w:t>
      </w:r>
      <w:r>
        <w:rPr>
          <w:rFonts w:ascii="仿宋_GB2312" w:hAnsi="仿宋_GB2312" w:eastAsia="仿宋_GB2312" w:cs="仿宋_GB2312"/>
          <w:sz w:val="32"/>
        </w:rPr>
        <w:t>以欺骗手段取得银行或者其他金融机构贷款、票据承兑、信用证、保函等，给银行或者其他金融机构造成重大损失的，处三年以下有期徒刑或者拘役，并处或者单处罚金；给银行或者其他金融机构造成特别重大损失或者有其他特别严重情节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第一百七十六条</w:t>
      </w:r>
      <w:r>
        <w:rPr>
          <w:rFonts w:ascii="仿宋_GB2312" w:hAnsi="仿宋_GB2312" w:eastAsia="仿宋_GB2312" w:cs="仿宋_GB2312"/>
          <w:sz w:val="32"/>
        </w:rPr>
        <w:t>　非法吸收公众存款或者变相吸收公众存款，扰乱金融秩序的，处三年以下有期徒刑或者拘役，并处或者单处罚金；数额巨大或者有其他严重情节的，处三年以上十年以下有期徒刑，并处罚金；数额特别巨大或者有其他特别严重情节的，处十年以上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有前两款行为，在提起公诉前积极退赃退赔，减少损害结果发生的，可以从轻或者减轻处罚。</w:t>
      </w:r>
    </w:p>
    <w:p>
      <w:pPr>
        <w:spacing w:line="240" w:lineRule="auto"/>
        <w:ind w:firstLine="640"/>
        <w:jc w:val="both"/>
      </w:pPr>
      <w:r>
        <w:rPr>
          <w:rFonts w:ascii="黑体" w:hAnsi="黑体" w:eastAsia="黑体" w:cs="黑体"/>
          <w:sz w:val="32"/>
        </w:rPr>
        <w:t>第一百七十七条</w:t>
      </w:r>
      <w:r>
        <w:rPr>
          <w:rFonts w:ascii="仿宋_GB2312" w:hAnsi="仿宋_GB2312" w:eastAsia="仿宋_GB2312" w:cs="仿宋_GB2312"/>
          <w:sz w:val="32"/>
        </w:rPr>
        <w:t>　有下列情形之一，伪造、变造金融票证的，处五年以下有期徒刑或者拘役，并处或者单处二万元以上二十万元以下罚金；情节严重的，处五年以上十年以下有期徒刑，并处五万元以上五十万元以下罚金；情节特别严重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（一）伪造、变造汇票、本票、支票的；</w:t>
      </w:r>
    </w:p>
    <w:p>
      <w:pPr>
        <w:spacing w:line="240" w:lineRule="auto"/>
        <w:ind w:firstLine="640"/>
        <w:jc w:val="both"/>
      </w:pPr>
      <w:r>
        <w:rPr>
          <w:rFonts w:ascii="仿宋_GB2312" w:hAnsi="仿宋_GB2312" w:eastAsia="仿宋_GB2312" w:cs="仿宋_GB2312"/>
          <w:sz w:val="32"/>
        </w:rPr>
        <w:t>（二）伪造、变造委托收款凭证、汇款凭证、银行存单等其他银行结算凭证的；</w:t>
      </w:r>
    </w:p>
    <w:p>
      <w:pPr>
        <w:spacing w:line="240" w:lineRule="auto"/>
        <w:ind w:firstLine="640"/>
        <w:jc w:val="both"/>
      </w:pPr>
      <w:r>
        <w:rPr>
          <w:rFonts w:ascii="仿宋_GB2312" w:hAnsi="仿宋_GB2312" w:eastAsia="仿宋_GB2312" w:cs="仿宋_GB2312"/>
          <w:sz w:val="32"/>
        </w:rPr>
        <w:t>（三）伪造、变造信用证或者附随的单据、文件的；</w:t>
      </w:r>
    </w:p>
    <w:p>
      <w:pPr>
        <w:spacing w:line="240" w:lineRule="auto"/>
        <w:ind w:firstLine="640"/>
        <w:jc w:val="both"/>
      </w:pPr>
      <w:r>
        <w:rPr>
          <w:rFonts w:ascii="仿宋_GB2312" w:hAnsi="仿宋_GB2312" w:eastAsia="仿宋_GB2312" w:cs="仿宋_GB2312"/>
          <w:sz w:val="32"/>
        </w:rPr>
        <w:t>（四）伪造信用卡的。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第一百七十七</w:t>
      </w:r>
      <w:r>
        <w:rPr>
          <w:rFonts w:hint="eastAsia" w:ascii="黑体" w:hAnsi="黑体" w:eastAsia="黑体" w:cs="黑体"/>
          <w:sz w:val="32"/>
          <w:lang w:eastAsia="zh-CN"/>
        </w:rPr>
        <w:t>条之一　</w:t>
      </w:r>
      <w:r>
        <w:rPr>
          <w:rFonts w:ascii="仿宋_GB2312" w:hAnsi="仿宋_GB2312" w:eastAsia="仿宋_GB2312" w:cs="仿宋_GB2312"/>
          <w:sz w:val="32"/>
        </w:rPr>
        <w:t>有下列情形之一，妨害信用卡管理的，处三年以下有期徒刑或者拘役，并处或者单处一万元以上十万元以下罚金；数量巨大或者有其他严重情节的，处三年以上十年以下有期徒刑，并处二万元以上二十万元以下罚金：</w:t>
      </w:r>
    </w:p>
    <w:p>
      <w:pPr>
        <w:spacing w:line="240" w:lineRule="auto"/>
        <w:ind w:firstLine="640"/>
        <w:jc w:val="both"/>
      </w:pPr>
      <w:r>
        <w:rPr>
          <w:rFonts w:ascii="仿宋_GB2312" w:hAnsi="仿宋_GB2312" w:eastAsia="仿宋_GB2312" w:cs="仿宋_GB2312"/>
          <w:sz w:val="32"/>
        </w:rPr>
        <w:t>（一）明知是伪造的信用卡而持有、运输的，或者明知是伪造的空白信用卡而持有、运输，数量较大的；</w:t>
      </w:r>
    </w:p>
    <w:p>
      <w:pPr>
        <w:spacing w:line="240" w:lineRule="auto"/>
        <w:ind w:firstLine="640"/>
        <w:jc w:val="both"/>
      </w:pPr>
      <w:r>
        <w:rPr>
          <w:rFonts w:ascii="仿宋_GB2312" w:hAnsi="仿宋_GB2312" w:eastAsia="仿宋_GB2312" w:cs="仿宋_GB2312"/>
          <w:sz w:val="32"/>
        </w:rPr>
        <w:t>（二）非法持有他人信用卡，数量较大的；</w:t>
      </w:r>
    </w:p>
    <w:p>
      <w:pPr>
        <w:spacing w:line="240" w:lineRule="auto"/>
        <w:ind w:firstLine="640"/>
        <w:jc w:val="both"/>
      </w:pPr>
      <w:r>
        <w:rPr>
          <w:rFonts w:ascii="仿宋_GB2312" w:hAnsi="仿宋_GB2312" w:eastAsia="仿宋_GB2312" w:cs="仿宋_GB2312"/>
          <w:sz w:val="32"/>
        </w:rPr>
        <w:t>（三）使用虚假的身份证明骗领信用卡的；</w:t>
      </w:r>
    </w:p>
    <w:p>
      <w:pPr>
        <w:spacing w:line="240" w:lineRule="auto"/>
        <w:ind w:firstLine="640"/>
        <w:jc w:val="both"/>
      </w:pPr>
      <w:r>
        <w:rPr>
          <w:rFonts w:ascii="仿宋_GB2312" w:hAnsi="仿宋_GB2312" w:eastAsia="仿宋_GB2312" w:cs="仿宋_GB2312"/>
          <w:sz w:val="32"/>
        </w:rPr>
        <w:t>（四）出售、购买、为他人提供伪造的信用卡或者以虚假的身份证明骗领的信用卡的。</w:t>
      </w:r>
    </w:p>
    <w:p>
      <w:pPr>
        <w:spacing w:line="240" w:lineRule="auto"/>
        <w:ind w:firstLine="640"/>
        <w:jc w:val="both"/>
      </w:pPr>
      <w:r>
        <w:rPr>
          <w:rFonts w:ascii="仿宋_GB2312" w:hAnsi="仿宋_GB2312" w:eastAsia="仿宋_GB2312" w:cs="仿宋_GB2312"/>
          <w:sz w:val="32"/>
        </w:rPr>
        <w:t>窃取、收买或者非法提供他人信用卡信息资料的，依照前款规定处罚。</w:t>
      </w:r>
    </w:p>
    <w:p>
      <w:pPr>
        <w:spacing w:line="240" w:lineRule="auto"/>
        <w:ind w:firstLine="640"/>
        <w:jc w:val="both"/>
      </w:pPr>
      <w:r>
        <w:rPr>
          <w:rFonts w:ascii="仿宋_GB2312" w:hAnsi="仿宋_GB2312" w:eastAsia="仿宋_GB2312" w:cs="仿宋_GB2312"/>
          <w:sz w:val="32"/>
        </w:rPr>
        <w:t>银行或者其他金融机构的工作人员利用职务上的便利，犯第二款罪的，从重处罚。</w:t>
      </w:r>
    </w:p>
    <w:p>
      <w:pPr>
        <w:spacing w:line="240" w:lineRule="auto"/>
        <w:ind w:firstLine="640"/>
        <w:jc w:val="both"/>
      </w:pPr>
      <w:r>
        <w:rPr>
          <w:rFonts w:ascii="黑体" w:hAnsi="黑体" w:eastAsia="黑体" w:cs="黑体"/>
          <w:sz w:val="32"/>
        </w:rPr>
        <w:t>第一百七十八条</w:t>
      </w:r>
      <w:r>
        <w:rPr>
          <w:rFonts w:ascii="仿宋_GB2312" w:hAnsi="仿宋_GB2312" w:eastAsia="仿宋_GB2312" w:cs="仿宋_GB2312"/>
          <w:sz w:val="32"/>
        </w:rPr>
        <w:t>　伪造、变造国库券或者国家发行的其他有价证券，数额较大的，处三年以下有期徒刑或者拘役，并处或者单处二万元以上二十万元以下罚金；数额巨大的，处三年以上十年以下有期徒刑，并处五万元以上五十万元以下罚金；数额特别巨大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伪造、变造股票或者公司、企业债券，数额较大的，处三年以下有期徒刑或者拘役，并处或者单处一万元以上十万元以下罚金；数额巨大的，处三年以上十年以下有期徒刑，并处二万元以上二十万元以下罚金。</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黑体" w:hAnsi="黑体" w:eastAsia="黑体" w:cs="黑体"/>
          <w:sz w:val="32"/>
        </w:rPr>
        <w:t>第一百七十九条</w:t>
      </w:r>
      <w:r>
        <w:rPr>
          <w:rFonts w:ascii="仿宋_GB2312" w:hAnsi="仿宋_GB2312" w:eastAsia="仿宋_GB2312" w:cs="仿宋_GB2312"/>
          <w:sz w:val="32"/>
        </w:rPr>
        <w:t>　未经国家有关主管部门批准，擅自发行股票或者公司、企业债券，数额巨大、后果严重或者有其他严重情节的，处五年以下有期徒刑或者拘役，并处或者单处非法募集资金金额百分之一以上百分之五以下罚金。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第一百八十条</w:t>
      </w:r>
      <w:r>
        <w:rPr>
          <w:rFonts w:ascii="仿宋_GB2312" w:hAnsi="仿宋_GB2312" w:eastAsia="仿宋_GB2312" w:cs="仿宋_GB2312"/>
          <w:sz w:val="32"/>
        </w:rPr>
        <w:t>　证券、期货交易内幕信息的知情人员或者非法获取证券、期货交易内幕信息的人员，在涉及证券的发行，证券、期货交易或者其他对证券、期货交易价格有重大影响的信息尚未公开前，买入或者卖出该证券，或者从事与该内幕信息有关的期货交易，或者泄露该信息，或者明示、暗示他人从事上述交易活动，情节严重的，处五年以下有期徒刑或者拘役，并处或者单处违法所得一倍以上五倍以下罚金；情节特别严重的，处五年以上十年以下有期徒刑，并处违法所得一倍以上五倍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单位犯前款罪的，对单位判处罚金，并对其直接负责的主管人员和其他直接责任人员，处五年以下有期徒刑或者拘役。</w:t>
      </w:r>
    </w:p>
    <w:p>
      <w:pPr>
        <w:spacing w:line="240" w:lineRule="auto"/>
        <w:ind w:firstLine="640"/>
        <w:jc w:val="both"/>
      </w:pPr>
      <w:r>
        <w:rPr>
          <w:rFonts w:ascii="仿宋_GB2312" w:hAnsi="仿宋_GB2312" w:eastAsia="仿宋_GB2312" w:cs="仿宋_GB2312"/>
          <w:sz w:val="32"/>
        </w:rPr>
        <w:t>内幕信息、知情人员的范围，依照法律、行政法规的规定确定。</w:t>
      </w:r>
    </w:p>
    <w:p>
      <w:pPr>
        <w:spacing w:line="240" w:lineRule="auto"/>
        <w:ind w:firstLine="640"/>
        <w:jc w:val="both"/>
      </w:pPr>
      <w:r>
        <w:rPr>
          <w:rFonts w:ascii="仿宋_GB2312" w:hAnsi="仿宋_GB2312" w:eastAsia="仿宋_GB2312" w:cs="仿宋_GB2312"/>
          <w:sz w:val="32"/>
        </w:rPr>
        <w:t>证券交易所、期货交易所、证券公司、期货经纪公司、基金管理公司、商业银行、保险公司等金融机构的从业人员以及有关监管部门或者行业协会的工作人员，利用因职务便利获取的内幕信息以外的其他未公开的信息，违反规定，从事与该信息相关的证券、期货交易活动，或者明示、暗示他人从事相关交易活动，情节严重的，依照第一款的规定处罚。</w:t>
      </w:r>
    </w:p>
    <w:p>
      <w:pPr>
        <w:spacing w:line="240" w:lineRule="auto"/>
        <w:ind w:firstLine="640"/>
        <w:jc w:val="both"/>
      </w:pPr>
      <w:r>
        <w:rPr>
          <w:rFonts w:ascii="黑体" w:hAnsi="黑体" w:eastAsia="黑体" w:cs="黑体"/>
          <w:sz w:val="32"/>
        </w:rPr>
        <w:t>第一百八十一条</w:t>
      </w:r>
      <w:r>
        <w:rPr>
          <w:rFonts w:ascii="仿宋_GB2312" w:hAnsi="仿宋_GB2312" w:eastAsia="仿宋_GB2312" w:cs="仿宋_GB2312"/>
          <w:sz w:val="32"/>
        </w:rPr>
        <w:t>　编造并且传播影响证券、期货交易的虚假信息，扰乱证券、期货交易市场，造成严重后果的，处五年以下有期徒刑或者拘役，并处或者单处一万元以上十万元以下罚金。</w:t>
      </w:r>
    </w:p>
    <w:p>
      <w:pPr>
        <w:spacing w:line="240" w:lineRule="auto"/>
        <w:ind w:firstLine="640"/>
        <w:jc w:val="both"/>
      </w:pPr>
      <w:r>
        <w:rPr>
          <w:rFonts w:ascii="仿宋_GB2312" w:hAnsi="仿宋_GB2312" w:eastAsia="仿宋_GB2312" w:cs="仿宋_GB2312"/>
          <w:sz w:val="32"/>
        </w:rPr>
        <w:t>证券交易所、期货交易所、证券公司、期货经纪公司的从业人员，证券业协会、期货业协会或者证券期货监督管理部门的工作人员，故意提供虚假信息或者伪造、变造、销毁交易记录，诱骗投资者买卖证券、期货合约，造成严重后果的，处五年以下有期徒刑或者拘役，并处或者单处一万元以上十万元以下罚金；情节特别恶劣的，处五年以上十年以下有期徒刑，并处二万元以上二十万元以下罚金。</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第一百八十二条</w:t>
      </w:r>
      <w:r>
        <w:rPr>
          <w:rFonts w:ascii="仿宋_GB2312" w:hAnsi="仿宋_GB2312" w:eastAsia="仿宋_GB2312" w:cs="仿宋_GB2312"/>
          <w:sz w:val="32"/>
        </w:rPr>
        <w:t>　有下列情形之一，操纵证券、期货市场，影响证券、期货交易价格或者证券、期货交易量，情节严重的，处五年以下有期徒刑或者拘役，并处或者单处罚金；情节特别严重的，处五年以上十年以下有期徒刑，并处罚金：</w:t>
      </w:r>
    </w:p>
    <w:p>
      <w:pPr>
        <w:spacing w:line="240" w:lineRule="auto"/>
        <w:ind w:firstLine="640"/>
        <w:jc w:val="both"/>
      </w:pPr>
      <w:r>
        <w:rPr>
          <w:rFonts w:ascii="仿宋_GB2312" w:hAnsi="仿宋_GB2312" w:eastAsia="仿宋_GB2312" w:cs="仿宋_GB2312"/>
          <w:sz w:val="32"/>
        </w:rPr>
        <w:t>（一）单独或者合谋，集中资金优势、持股或者持仓优势或者利用信息优势联合或者连续买卖的；</w:t>
      </w:r>
    </w:p>
    <w:p>
      <w:pPr>
        <w:spacing w:line="240" w:lineRule="auto"/>
        <w:ind w:firstLine="640"/>
        <w:jc w:val="both"/>
      </w:pPr>
      <w:r>
        <w:rPr>
          <w:rFonts w:ascii="仿宋_GB2312" w:hAnsi="仿宋_GB2312" w:eastAsia="仿宋_GB2312" w:cs="仿宋_GB2312"/>
          <w:sz w:val="32"/>
        </w:rPr>
        <w:t>（二）与他人串通，以事先约定的时间、价格和方式相互进行证券、期货交易的；</w:t>
      </w:r>
    </w:p>
    <w:p>
      <w:pPr>
        <w:spacing w:line="240" w:lineRule="auto"/>
        <w:ind w:firstLine="640"/>
        <w:jc w:val="both"/>
      </w:pPr>
      <w:r>
        <w:rPr>
          <w:rFonts w:ascii="仿宋_GB2312" w:hAnsi="仿宋_GB2312" w:eastAsia="仿宋_GB2312" w:cs="仿宋_GB2312"/>
          <w:sz w:val="32"/>
        </w:rPr>
        <w:t>（三）在自己实际控制的帐户之间进行证券交易，或者以自己为交易对象，自买自卖期货合约的；</w:t>
      </w:r>
    </w:p>
    <w:p>
      <w:pPr>
        <w:spacing w:line="240" w:lineRule="auto"/>
        <w:ind w:firstLine="640"/>
        <w:jc w:val="both"/>
      </w:pPr>
      <w:r>
        <w:rPr>
          <w:rFonts w:ascii="仿宋_GB2312" w:hAnsi="仿宋_GB2312" w:eastAsia="仿宋_GB2312" w:cs="仿宋_GB2312"/>
          <w:sz w:val="32"/>
        </w:rPr>
        <w:t>（四）不以成交为目的，频繁或者大量申报买入、卖出证券、期货合约并撤销申报的；</w:t>
      </w:r>
    </w:p>
    <w:p>
      <w:pPr>
        <w:spacing w:line="240" w:lineRule="auto"/>
        <w:ind w:firstLine="640"/>
        <w:jc w:val="both"/>
      </w:pPr>
      <w:r>
        <w:rPr>
          <w:rFonts w:ascii="仿宋_GB2312" w:hAnsi="仿宋_GB2312" w:eastAsia="仿宋_GB2312" w:cs="仿宋_GB2312"/>
          <w:sz w:val="32"/>
        </w:rPr>
        <w:t>（五）利用虚假或者不确定的重大信息，诱导投资者进行证券、期货交易的；</w:t>
      </w:r>
    </w:p>
    <w:p>
      <w:pPr>
        <w:spacing w:line="240" w:lineRule="auto"/>
        <w:ind w:firstLine="640"/>
        <w:jc w:val="both"/>
      </w:pPr>
      <w:r>
        <w:rPr>
          <w:rFonts w:ascii="仿宋_GB2312" w:hAnsi="仿宋_GB2312" w:eastAsia="仿宋_GB2312" w:cs="仿宋_GB2312"/>
          <w:sz w:val="32"/>
        </w:rPr>
        <w:t>（六）对证券、证券发行人、期货交易标的公开作出评价、预测或者投资建议，同时进行反向证券交易或者相关期货交易的；</w:t>
      </w:r>
    </w:p>
    <w:p>
      <w:pPr>
        <w:spacing w:line="240" w:lineRule="auto"/>
        <w:ind w:firstLine="640"/>
        <w:jc w:val="both"/>
      </w:pPr>
      <w:r>
        <w:rPr>
          <w:rFonts w:ascii="仿宋_GB2312" w:hAnsi="仿宋_GB2312" w:eastAsia="仿宋_GB2312" w:cs="仿宋_GB2312"/>
          <w:sz w:val="32"/>
        </w:rPr>
        <w:t>（七）以其他方法操纵证券、期货市场的。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第一百八十三条</w:t>
      </w:r>
      <w:r>
        <w:rPr>
          <w:rFonts w:ascii="仿宋_GB2312" w:hAnsi="仿宋_GB2312" w:eastAsia="仿宋_GB2312" w:cs="仿宋_GB2312"/>
          <w:sz w:val="32"/>
        </w:rPr>
        <w:t>　保险公司的工作人员利用职务上的便利，故意编造未曾发生的保险事故进行虚假理赔，骗取保险金归自己所有的，依照本法第二百七十一条的规定定罪处罚。</w:t>
      </w:r>
    </w:p>
    <w:p>
      <w:pPr>
        <w:spacing w:line="240" w:lineRule="auto"/>
        <w:ind w:firstLine="640"/>
        <w:jc w:val="both"/>
      </w:pPr>
      <w:r>
        <w:rPr>
          <w:rFonts w:ascii="仿宋_GB2312" w:hAnsi="仿宋_GB2312" w:eastAsia="仿宋_GB2312" w:cs="仿宋_GB2312"/>
          <w:sz w:val="32"/>
        </w:rPr>
        <w:t>国有保险公司工作人员和国有保险公司委派到非国有保险公司从事公务的人员有前款行为的，依照本法第三百八十二条、第三百八十三条的规定定罪处罚。</w:t>
      </w:r>
    </w:p>
    <w:p>
      <w:pPr>
        <w:spacing w:line="240" w:lineRule="auto"/>
        <w:ind w:firstLine="640"/>
        <w:jc w:val="both"/>
      </w:pPr>
      <w:r>
        <w:rPr>
          <w:rFonts w:ascii="黑体" w:hAnsi="黑体" w:eastAsia="黑体" w:cs="黑体"/>
          <w:sz w:val="32"/>
        </w:rPr>
        <w:t>第一百八十四条</w:t>
      </w:r>
      <w:r>
        <w:rPr>
          <w:rFonts w:ascii="仿宋_GB2312" w:hAnsi="仿宋_GB2312" w:eastAsia="仿宋_GB2312" w:cs="仿宋_GB2312"/>
          <w:sz w:val="32"/>
        </w:rPr>
        <w:t>　银行或者其他金融机构的工作人员在金融业务活动中索取他人财物或者非法收受他人财物，为他人谋取利益的，或者违反国家规定，收受各种名义的回扣、手续费，归个人所有的，依照本法第一百六十三条的规定定罪处罚。</w:t>
      </w:r>
    </w:p>
    <w:p>
      <w:pPr>
        <w:spacing w:line="240" w:lineRule="auto"/>
        <w:ind w:firstLine="640"/>
        <w:jc w:val="both"/>
      </w:pPr>
      <w:r>
        <w:rPr>
          <w:rFonts w:ascii="仿宋_GB2312" w:hAnsi="仿宋_GB2312" w:eastAsia="仿宋_GB2312" w:cs="仿宋_GB2312"/>
          <w:sz w:val="32"/>
        </w:rPr>
        <w:t>国有金融机构工作人员和国有金融机构委派到非国有金融机构从事公务的人员有前款行为的，依照本法第三百八十五条、第三百八十六条的规定定罪处罚。</w:t>
      </w:r>
    </w:p>
    <w:p>
      <w:pPr>
        <w:spacing w:line="240" w:lineRule="auto"/>
        <w:ind w:firstLine="640"/>
        <w:jc w:val="both"/>
      </w:pPr>
      <w:r>
        <w:rPr>
          <w:rFonts w:ascii="黑体" w:hAnsi="黑体" w:eastAsia="黑体" w:cs="黑体"/>
          <w:sz w:val="32"/>
        </w:rPr>
        <w:t>第一百八十五条</w:t>
      </w:r>
      <w:r>
        <w:rPr>
          <w:rFonts w:ascii="仿宋_GB2312" w:hAnsi="仿宋_GB2312" w:eastAsia="仿宋_GB2312" w:cs="仿宋_GB2312"/>
          <w:sz w:val="32"/>
        </w:rPr>
        <w:t>　商业银行、证券交易所、期货交易所、证券公司、期货经纪公司、保险公司或者其他金融机构的工作人员利用职务上的便利，挪用本单位或者客户资金的，依照本法第二百七十二条的规定定罪处罚。</w:t>
      </w:r>
    </w:p>
    <w:p>
      <w:pPr>
        <w:spacing w:line="240" w:lineRule="auto"/>
        <w:ind w:firstLine="640"/>
        <w:jc w:val="both"/>
      </w:pPr>
      <w:r>
        <w:rPr>
          <w:rFonts w:ascii="仿宋_GB2312" w:hAnsi="仿宋_GB2312" w:eastAsia="仿宋_GB2312" w:cs="仿宋_GB2312"/>
          <w:sz w:val="32"/>
        </w:rPr>
        <w:t>国有商业银行、证券交易所、期货交易所、证券公司、期货经纪公司、保险公司或者其他国有金融机构的工作人员和国有商业银行、证券交易所、期货交易所、证券公司、期货经纪公司、保险公司或者其他国有金融机构委派到前款规定中的非国有机构从事公务的人员有前款行为的，依照本法第三百八十四条的规定定罪处罚。</w:t>
      </w:r>
    </w:p>
    <w:p>
      <w:pPr>
        <w:spacing w:line="240" w:lineRule="auto"/>
        <w:ind w:firstLine="640"/>
        <w:jc w:val="both"/>
      </w:pPr>
      <w:r>
        <w:rPr>
          <w:rFonts w:ascii="黑体" w:hAnsi="黑体" w:eastAsia="黑体" w:cs="黑体"/>
          <w:sz w:val="32"/>
        </w:rPr>
        <w:t>第一百八十五</w:t>
      </w:r>
      <w:r>
        <w:rPr>
          <w:rFonts w:hint="eastAsia" w:ascii="黑体" w:hAnsi="黑体" w:eastAsia="黑体" w:cs="黑体"/>
          <w:sz w:val="32"/>
          <w:lang w:eastAsia="zh-CN"/>
        </w:rPr>
        <w:t>条之一　</w:t>
      </w:r>
      <w:r>
        <w:rPr>
          <w:rFonts w:ascii="仿宋_GB2312" w:hAnsi="仿宋_GB2312" w:eastAsia="仿宋_GB2312" w:cs="仿宋_GB2312"/>
          <w:sz w:val="32"/>
        </w:rPr>
        <w:t>商业银行、证券交易所、期货交易所、证券公司、期货经纪公司、保险公司或者其他金融机构，违背受托义务，擅自运用客户资金或者其他委托、信托的财产，情节严重的，对单位判处罚金，并对其直接负责的主管人员和其他直接责任人员，处三年以下有期徒刑或者拘役，并处三万元以上三十万元以下罚金；情节特别严重的，处三年以上十年以下有期徒刑，并处五万元以上五十万元以下罚金。</w:t>
      </w:r>
    </w:p>
    <w:p>
      <w:pPr>
        <w:spacing w:line="240" w:lineRule="auto"/>
        <w:ind w:firstLine="640"/>
        <w:jc w:val="both"/>
      </w:pPr>
      <w:r>
        <w:rPr>
          <w:rFonts w:ascii="仿宋_GB2312" w:hAnsi="仿宋_GB2312" w:eastAsia="仿宋_GB2312" w:cs="仿宋_GB2312"/>
          <w:sz w:val="32"/>
        </w:rPr>
        <w:t>社会保障基金管理机构、住房公积金管理机构等公众资金管理机构，以及保险公司、保险资产管理公司、证券投资基金管理公司，违反国家规定运用资金的，对其直接负责的主管人员和其他直接责任人员，依照前款的规定处罚。</w:t>
      </w:r>
    </w:p>
    <w:p>
      <w:pPr>
        <w:spacing w:line="240" w:lineRule="auto"/>
        <w:ind w:firstLine="640"/>
        <w:jc w:val="both"/>
      </w:pPr>
      <w:r>
        <w:rPr>
          <w:rFonts w:ascii="黑体" w:hAnsi="黑体" w:eastAsia="黑体" w:cs="黑体"/>
          <w:sz w:val="32"/>
        </w:rPr>
        <w:t>第一百八十六条</w:t>
      </w:r>
      <w:r>
        <w:rPr>
          <w:rFonts w:ascii="仿宋_GB2312" w:hAnsi="仿宋_GB2312" w:eastAsia="仿宋_GB2312" w:cs="仿宋_GB2312"/>
          <w:sz w:val="32"/>
        </w:rPr>
        <w:t>　银行或者其他金融机构的工作人员违反国家规定发放贷款，数额巨大或者造成重大损失的，处五年以下有期徒刑或者拘役，并处一万元以上十万元以下罚金；数额特别巨大或者造成特别重大损失的，处五年以上有期徒刑，并处二万元以上二十万元以下罚金。</w:t>
      </w:r>
    </w:p>
    <w:p>
      <w:pPr>
        <w:spacing w:line="240" w:lineRule="auto"/>
        <w:ind w:firstLine="640"/>
        <w:jc w:val="both"/>
      </w:pPr>
      <w:r>
        <w:rPr>
          <w:rFonts w:ascii="仿宋_GB2312" w:hAnsi="仿宋_GB2312" w:eastAsia="仿宋_GB2312" w:cs="仿宋_GB2312"/>
          <w:sz w:val="32"/>
        </w:rPr>
        <w:t>银行或者其他金融机构的工作人员违反国家规定，向关系人发放贷款的，依照前款的规定从重处罚。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仿宋_GB2312" w:hAnsi="仿宋_GB2312" w:eastAsia="仿宋_GB2312" w:cs="仿宋_GB2312"/>
          <w:sz w:val="32"/>
        </w:rPr>
        <w:t>关系人的范围，依照《中华人民共和国商业银行法》和有关金融法规确定。</w:t>
      </w:r>
    </w:p>
    <w:p>
      <w:pPr>
        <w:spacing w:line="240" w:lineRule="auto"/>
        <w:ind w:firstLine="640"/>
        <w:jc w:val="both"/>
      </w:pPr>
      <w:r>
        <w:rPr>
          <w:rFonts w:ascii="黑体" w:hAnsi="黑体" w:eastAsia="黑体" w:cs="黑体"/>
          <w:sz w:val="32"/>
        </w:rPr>
        <w:t>第一百八十七条</w:t>
      </w:r>
      <w:r>
        <w:rPr>
          <w:rFonts w:ascii="仿宋_GB2312" w:hAnsi="仿宋_GB2312" w:eastAsia="仿宋_GB2312" w:cs="仿宋_GB2312"/>
          <w:sz w:val="32"/>
        </w:rPr>
        <w:t>　银行或者其他金融机构的工作人员吸收客户资金不入帐，数额巨大或者造成重大损失的，处五年以下有期徒刑或者拘役，并处二万元以上二十万元以下罚金；数额特别巨大或者造成特别重大损失的，处五年以上有期徒刑，并处五万元以上五十万元以下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第一百八十八条</w:t>
      </w:r>
      <w:r>
        <w:rPr>
          <w:rFonts w:ascii="仿宋_GB2312" w:hAnsi="仿宋_GB2312" w:eastAsia="仿宋_GB2312" w:cs="仿宋_GB2312"/>
          <w:sz w:val="32"/>
        </w:rPr>
        <w:t>　银行或者其他金融机构的工作人员违反规定，为他人出具信用证或者其他保函、票据、存单、资信证明，情节严重的，处五年以下有期徒刑或者拘役；情节特别严重的，处五年以上有期徒刑。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第一百八十九条</w:t>
      </w:r>
      <w:r>
        <w:rPr>
          <w:rFonts w:ascii="仿宋_GB2312" w:hAnsi="仿宋_GB2312" w:eastAsia="仿宋_GB2312" w:cs="仿宋_GB2312"/>
          <w:sz w:val="32"/>
        </w:rPr>
        <w:t>　银行或者其他金融机构的工作人员在票据业务中，对违反票据法规定的票据予以承兑、付款或者保证，造成重大损失的，处五年以下有期徒刑或者拘役；造成特别重大损失的，处五年以上有期徒刑。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第一百九十条</w:t>
      </w:r>
      <w:r>
        <w:rPr>
          <w:rFonts w:ascii="仿宋_GB2312" w:hAnsi="仿宋_GB2312" w:eastAsia="仿宋_GB2312" w:cs="仿宋_GB2312"/>
          <w:sz w:val="32"/>
        </w:rPr>
        <w:t>　公司、企业或者其他单位，违反国家规定，擅自将外汇存放境外，或者将境内的外汇非法转移到境外，数额较大的，对单位判处逃汇数额百分之五以上百分之三十以下罚金，并对其直接负责的主管人员和其他直接责任人员，处五年以下有期徒刑或者拘役；数额巨大或者有其他严重情节的，对单位判处逃汇数额百分之五以上百分之三十以下罚金，并对其直接负责的主管人员和其他直接责任人员，处五年以上有期徒刑。</w:t>
      </w:r>
    </w:p>
    <w:p>
      <w:pPr>
        <w:spacing w:line="240" w:lineRule="auto"/>
        <w:ind w:firstLine="640"/>
        <w:jc w:val="both"/>
      </w:pPr>
      <w:r>
        <w:rPr>
          <w:rFonts w:ascii="黑体" w:hAnsi="黑体" w:eastAsia="黑体" w:cs="黑体"/>
          <w:sz w:val="32"/>
        </w:rPr>
        <w:t>第一百九十一条</w:t>
      </w:r>
      <w:r>
        <w:rPr>
          <w:rFonts w:ascii="仿宋_GB2312" w:hAnsi="仿宋_GB2312" w:eastAsia="仿宋_GB2312" w:cs="仿宋_GB2312"/>
          <w:sz w:val="32"/>
        </w:rPr>
        <w:t>　为掩饰、隐瞒毒品犯罪、黑社会性质的组织犯罪、恐怖活动犯罪、走私犯罪、贪污贿赂犯罪、破坏金融管理秩序犯罪、金融诈骗犯罪的所得及其产生的收益的来源和性质，有下列行为之一的，没收实施以上犯罪的所得及其产生的收益，处五年以下有期徒刑或者拘役，并处或者单处罚金；情节严重的，处五年以上十年以下有期徒刑，并处罚金：</w:t>
      </w:r>
    </w:p>
    <w:p>
      <w:pPr>
        <w:spacing w:line="240" w:lineRule="auto"/>
        <w:ind w:firstLine="640"/>
        <w:jc w:val="both"/>
      </w:pPr>
      <w:r>
        <w:rPr>
          <w:rFonts w:ascii="仿宋_GB2312" w:hAnsi="仿宋_GB2312" w:eastAsia="仿宋_GB2312" w:cs="仿宋_GB2312"/>
          <w:sz w:val="32"/>
        </w:rPr>
        <w:t>（一）提供资金帐户的；</w:t>
      </w:r>
    </w:p>
    <w:p>
      <w:pPr>
        <w:spacing w:line="240" w:lineRule="auto"/>
        <w:ind w:firstLine="640"/>
        <w:jc w:val="both"/>
      </w:pPr>
      <w:r>
        <w:rPr>
          <w:rFonts w:ascii="仿宋_GB2312" w:hAnsi="仿宋_GB2312" w:eastAsia="仿宋_GB2312" w:cs="仿宋_GB2312"/>
          <w:sz w:val="32"/>
        </w:rPr>
        <w:t>（二）将财产转换为现金、金融票据、有价证券的；</w:t>
      </w:r>
    </w:p>
    <w:p>
      <w:pPr>
        <w:spacing w:line="240" w:lineRule="auto"/>
        <w:ind w:firstLine="640"/>
        <w:jc w:val="both"/>
      </w:pPr>
      <w:r>
        <w:rPr>
          <w:rFonts w:ascii="仿宋_GB2312" w:hAnsi="仿宋_GB2312" w:eastAsia="仿宋_GB2312" w:cs="仿宋_GB2312"/>
          <w:sz w:val="32"/>
        </w:rPr>
        <w:t>（三）通过转帐或者其他支付结算方式转移资金的；</w:t>
      </w:r>
    </w:p>
    <w:p>
      <w:pPr>
        <w:spacing w:line="240" w:lineRule="auto"/>
        <w:ind w:firstLine="640"/>
        <w:jc w:val="both"/>
      </w:pPr>
      <w:r>
        <w:rPr>
          <w:rFonts w:ascii="仿宋_GB2312" w:hAnsi="仿宋_GB2312" w:eastAsia="仿宋_GB2312" w:cs="仿宋_GB2312"/>
          <w:sz w:val="32"/>
        </w:rPr>
        <w:t>（四）跨境转移资产的；</w:t>
      </w:r>
    </w:p>
    <w:p>
      <w:pPr>
        <w:spacing w:line="240" w:lineRule="auto"/>
        <w:ind w:firstLine="640"/>
        <w:jc w:val="both"/>
      </w:pPr>
      <w:r>
        <w:rPr>
          <w:rFonts w:ascii="仿宋_GB2312" w:hAnsi="仿宋_GB2312" w:eastAsia="仿宋_GB2312" w:cs="仿宋_GB2312"/>
          <w:sz w:val="32"/>
        </w:rPr>
        <w:t>（五）以其他方法掩饰、隐瞒犯罪所得及其收益的来源和性质的。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金融诈骗罪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第一百九十二条</w:t>
      </w:r>
      <w:r>
        <w:rPr>
          <w:rFonts w:ascii="仿宋_GB2312" w:hAnsi="仿宋_GB2312" w:eastAsia="仿宋_GB2312" w:cs="仿宋_GB2312"/>
          <w:sz w:val="32"/>
        </w:rPr>
        <w:t>　以非法占有为目的，使用诈骗方法非法集资，数额较大的，处三年以上七年以下有期徒刑，并处罚金；数额巨大或者有其他严重情节的，处七年以上有期徒刑或者无期徒刑，并处罚金或者没收财产。</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第一百九十三条</w:t>
      </w:r>
      <w:r>
        <w:rPr>
          <w:rFonts w:ascii="仿宋_GB2312" w:hAnsi="仿宋_GB2312" w:eastAsia="仿宋_GB2312" w:cs="仿宋_GB2312"/>
          <w:sz w:val="32"/>
        </w:rPr>
        <w:t>　有下列情形之一，以非法占有为目的，诈骗银行或者其他金融机构的贷款，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（一）编造引进资金、项目等虚假理由的；</w:t>
      </w:r>
    </w:p>
    <w:p>
      <w:pPr>
        <w:spacing w:line="240" w:lineRule="auto"/>
        <w:ind w:firstLine="640"/>
        <w:jc w:val="both"/>
      </w:pPr>
      <w:r>
        <w:rPr>
          <w:rFonts w:ascii="仿宋_GB2312" w:hAnsi="仿宋_GB2312" w:eastAsia="仿宋_GB2312" w:cs="仿宋_GB2312"/>
          <w:sz w:val="32"/>
        </w:rPr>
        <w:t>（二）使用虚假的经济合同的；</w:t>
      </w:r>
    </w:p>
    <w:p>
      <w:pPr>
        <w:spacing w:line="240" w:lineRule="auto"/>
        <w:ind w:firstLine="640"/>
        <w:jc w:val="both"/>
      </w:pPr>
      <w:r>
        <w:rPr>
          <w:rFonts w:ascii="仿宋_GB2312" w:hAnsi="仿宋_GB2312" w:eastAsia="仿宋_GB2312" w:cs="仿宋_GB2312"/>
          <w:sz w:val="32"/>
        </w:rPr>
        <w:t>（三）使用虚假的证明文件的；</w:t>
      </w:r>
    </w:p>
    <w:p>
      <w:pPr>
        <w:spacing w:line="240" w:lineRule="auto"/>
        <w:ind w:firstLine="640"/>
        <w:jc w:val="both"/>
      </w:pPr>
      <w:r>
        <w:rPr>
          <w:rFonts w:ascii="仿宋_GB2312" w:hAnsi="仿宋_GB2312" w:eastAsia="仿宋_GB2312" w:cs="仿宋_GB2312"/>
          <w:sz w:val="32"/>
        </w:rPr>
        <w:t>（四）使用虚假的产权证明作担保或者超出抵押物价值重复担保的；</w:t>
      </w:r>
    </w:p>
    <w:p>
      <w:pPr>
        <w:spacing w:line="240" w:lineRule="auto"/>
        <w:ind w:firstLine="640"/>
        <w:jc w:val="both"/>
      </w:pPr>
      <w:r>
        <w:rPr>
          <w:rFonts w:ascii="仿宋_GB2312" w:hAnsi="仿宋_GB2312" w:eastAsia="仿宋_GB2312" w:cs="仿宋_GB2312"/>
          <w:sz w:val="32"/>
        </w:rPr>
        <w:t>（五）以其他方法诈骗贷款的。</w:t>
      </w:r>
    </w:p>
    <w:p>
      <w:pPr>
        <w:spacing w:line="240" w:lineRule="auto"/>
        <w:ind w:firstLine="640"/>
        <w:jc w:val="both"/>
      </w:pPr>
      <w:r>
        <w:rPr>
          <w:rFonts w:ascii="黑体" w:hAnsi="黑体" w:eastAsia="黑体" w:cs="黑体"/>
          <w:sz w:val="32"/>
        </w:rPr>
        <w:t>第一百九十四条</w:t>
      </w:r>
      <w:r>
        <w:rPr>
          <w:rFonts w:ascii="仿宋_GB2312" w:hAnsi="仿宋_GB2312" w:eastAsia="仿宋_GB2312" w:cs="仿宋_GB2312"/>
          <w:sz w:val="32"/>
        </w:rPr>
        <w:t>　有下列情形之一，进行金融票据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（一）明知是伪造、变造的汇票、本票、支票而使用的；</w:t>
      </w:r>
    </w:p>
    <w:p>
      <w:pPr>
        <w:spacing w:line="240" w:lineRule="auto"/>
        <w:ind w:firstLine="640"/>
        <w:jc w:val="both"/>
      </w:pPr>
      <w:r>
        <w:rPr>
          <w:rFonts w:ascii="仿宋_GB2312" w:hAnsi="仿宋_GB2312" w:eastAsia="仿宋_GB2312" w:cs="仿宋_GB2312"/>
          <w:sz w:val="32"/>
        </w:rPr>
        <w:t>（二）明知是作废的汇票、本票、支票而使用的；</w:t>
      </w:r>
    </w:p>
    <w:p>
      <w:pPr>
        <w:spacing w:line="240" w:lineRule="auto"/>
        <w:ind w:firstLine="640"/>
        <w:jc w:val="both"/>
      </w:pPr>
      <w:r>
        <w:rPr>
          <w:rFonts w:ascii="仿宋_GB2312" w:hAnsi="仿宋_GB2312" w:eastAsia="仿宋_GB2312" w:cs="仿宋_GB2312"/>
          <w:sz w:val="32"/>
        </w:rPr>
        <w:t>（三）冒用他人的汇票、本票、支票的；</w:t>
      </w:r>
    </w:p>
    <w:p>
      <w:pPr>
        <w:spacing w:line="240" w:lineRule="auto"/>
        <w:ind w:firstLine="640"/>
        <w:jc w:val="both"/>
      </w:pPr>
      <w:r>
        <w:rPr>
          <w:rFonts w:ascii="仿宋_GB2312" w:hAnsi="仿宋_GB2312" w:eastAsia="仿宋_GB2312" w:cs="仿宋_GB2312"/>
          <w:sz w:val="32"/>
        </w:rPr>
        <w:t>（四）签发空头支票或者与其预留印鉴不符的支票，骗取财物的；</w:t>
      </w:r>
    </w:p>
    <w:p>
      <w:pPr>
        <w:spacing w:line="240" w:lineRule="auto"/>
        <w:ind w:firstLine="640"/>
        <w:jc w:val="both"/>
      </w:pPr>
      <w:r>
        <w:rPr>
          <w:rFonts w:ascii="仿宋_GB2312" w:hAnsi="仿宋_GB2312" w:eastAsia="仿宋_GB2312" w:cs="仿宋_GB2312"/>
          <w:sz w:val="32"/>
        </w:rPr>
        <w:t>（五）汇票、本票的出票人签发无资金保证的汇票、本票或者在出票时作虚假记载，骗取财物的。</w:t>
      </w:r>
    </w:p>
    <w:p>
      <w:pPr>
        <w:spacing w:line="240" w:lineRule="auto"/>
        <w:ind w:firstLine="640"/>
        <w:jc w:val="both"/>
      </w:pPr>
      <w:r>
        <w:rPr>
          <w:rFonts w:ascii="仿宋_GB2312" w:hAnsi="仿宋_GB2312" w:eastAsia="仿宋_GB2312" w:cs="仿宋_GB2312"/>
          <w:sz w:val="32"/>
        </w:rPr>
        <w:t>使用伪造、变造的委托收款凭证、汇款凭证、银行存单等其他银行结算凭证的，依照前款的规定处罚。</w:t>
      </w:r>
    </w:p>
    <w:p>
      <w:pPr>
        <w:spacing w:line="240" w:lineRule="auto"/>
        <w:ind w:firstLine="640"/>
        <w:jc w:val="both"/>
      </w:pPr>
      <w:r>
        <w:rPr>
          <w:rFonts w:ascii="黑体" w:hAnsi="黑体" w:eastAsia="黑体" w:cs="黑体"/>
          <w:sz w:val="32"/>
        </w:rPr>
        <w:t>第一百九十五条</w:t>
      </w:r>
      <w:r>
        <w:rPr>
          <w:rFonts w:ascii="仿宋_GB2312" w:hAnsi="仿宋_GB2312" w:eastAsia="仿宋_GB2312" w:cs="仿宋_GB2312"/>
          <w:sz w:val="32"/>
        </w:rPr>
        <w:t>　有下列情形之一，进行信用证诈骗活动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（一）使用伪造、变造的信用证或者附随的单据、文件的；</w:t>
      </w:r>
    </w:p>
    <w:p>
      <w:pPr>
        <w:spacing w:line="240" w:lineRule="auto"/>
        <w:ind w:firstLine="640"/>
        <w:jc w:val="both"/>
      </w:pPr>
      <w:r>
        <w:rPr>
          <w:rFonts w:ascii="仿宋_GB2312" w:hAnsi="仿宋_GB2312" w:eastAsia="仿宋_GB2312" w:cs="仿宋_GB2312"/>
          <w:sz w:val="32"/>
        </w:rPr>
        <w:t>（二）使用作废的信用证的；</w:t>
      </w:r>
    </w:p>
    <w:p>
      <w:pPr>
        <w:spacing w:line="240" w:lineRule="auto"/>
        <w:ind w:firstLine="640"/>
        <w:jc w:val="both"/>
      </w:pPr>
      <w:r>
        <w:rPr>
          <w:rFonts w:ascii="仿宋_GB2312" w:hAnsi="仿宋_GB2312" w:eastAsia="仿宋_GB2312" w:cs="仿宋_GB2312"/>
          <w:sz w:val="32"/>
        </w:rPr>
        <w:t>（三）骗取信用证的；</w:t>
      </w:r>
    </w:p>
    <w:p>
      <w:pPr>
        <w:spacing w:line="240" w:lineRule="auto"/>
        <w:ind w:firstLine="640"/>
        <w:jc w:val="both"/>
      </w:pPr>
      <w:r>
        <w:rPr>
          <w:rFonts w:ascii="仿宋_GB2312" w:hAnsi="仿宋_GB2312" w:eastAsia="仿宋_GB2312" w:cs="仿宋_GB2312"/>
          <w:sz w:val="32"/>
        </w:rPr>
        <w:t>（四）以其他方法进行信用证诈骗活动的。</w:t>
      </w:r>
    </w:p>
    <w:p>
      <w:pPr>
        <w:spacing w:line="240" w:lineRule="auto"/>
        <w:ind w:firstLine="640"/>
        <w:jc w:val="both"/>
      </w:pPr>
      <w:r>
        <w:rPr>
          <w:rFonts w:ascii="黑体" w:hAnsi="黑体" w:eastAsia="黑体" w:cs="黑体"/>
          <w:sz w:val="32"/>
        </w:rPr>
        <w:t>第一百九十六条</w:t>
      </w:r>
      <w:r>
        <w:rPr>
          <w:rFonts w:ascii="仿宋_GB2312" w:hAnsi="仿宋_GB2312" w:eastAsia="仿宋_GB2312" w:cs="仿宋_GB2312"/>
          <w:sz w:val="32"/>
        </w:rPr>
        <w:t>　有下列情形之一，进行信用卡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（一）使用伪造的信用卡，或者使用以虚假的身份证明骗领的信用卡的；</w:t>
      </w:r>
    </w:p>
    <w:p>
      <w:pPr>
        <w:spacing w:line="240" w:lineRule="auto"/>
        <w:ind w:firstLine="640"/>
        <w:jc w:val="both"/>
      </w:pPr>
      <w:r>
        <w:rPr>
          <w:rFonts w:ascii="仿宋_GB2312" w:hAnsi="仿宋_GB2312" w:eastAsia="仿宋_GB2312" w:cs="仿宋_GB2312"/>
          <w:sz w:val="32"/>
        </w:rPr>
        <w:t>（二）使用作废的信用卡的；</w:t>
      </w:r>
    </w:p>
    <w:p>
      <w:pPr>
        <w:spacing w:line="240" w:lineRule="auto"/>
        <w:ind w:firstLine="640"/>
        <w:jc w:val="both"/>
      </w:pPr>
      <w:r>
        <w:rPr>
          <w:rFonts w:ascii="仿宋_GB2312" w:hAnsi="仿宋_GB2312" w:eastAsia="仿宋_GB2312" w:cs="仿宋_GB2312"/>
          <w:sz w:val="32"/>
        </w:rPr>
        <w:t>（三）冒用他人信用卡的；</w:t>
      </w:r>
    </w:p>
    <w:p>
      <w:pPr>
        <w:spacing w:line="240" w:lineRule="auto"/>
        <w:ind w:firstLine="640"/>
        <w:jc w:val="both"/>
      </w:pPr>
      <w:r>
        <w:rPr>
          <w:rFonts w:ascii="仿宋_GB2312" w:hAnsi="仿宋_GB2312" w:eastAsia="仿宋_GB2312" w:cs="仿宋_GB2312"/>
          <w:sz w:val="32"/>
        </w:rPr>
        <w:t>（四）恶意透支的。</w:t>
      </w:r>
    </w:p>
    <w:p>
      <w:pPr>
        <w:spacing w:line="240" w:lineRule="auto"/>
        <w:ind w:firstLine="640"/>
        <w:jc w:val="both"/>
      </w:pPr>
      <w:r>
        <w:rPr>
          <w:rFonts w:ascii="仿宋_GB2312" w:hAnsi="仿宋_GB2312" w:eastAsia="仿宋_GB2312" w:cs="仿宋_GB2312"/>
          <w:sz w:val="32"/>
        </w:rPr>
        <w:t>前款所称恶意透支，是指持卡人以非法占有为目的，超过规定限额或者规定期限透支，并且经发卡银行催收后仍不归还的行为。</w:t>
      </w:r>
    </w:p>
    <w:p>
      <w:pPr>
        <w:spacing w:line="240" w:lineRule="auto"/>
        <w:ind w:firstLine="640"/>
        <w:jc w:val="both"/>
      </w:pPr>
      <w:r>
        <w:rPr>
          <w:rFonts w:ascii="仿宋_GB2312" w:hAnsi="仿宋_GB2312" w:eastAsia="仿宋_GB2312" w:cs="仿宋_GB2312"/>
          <w:sz w:val="32"/>
        </w:rPr>
        <w:t>盗窃信用卡并使用的，依照本法第二百六十四条的规定定罪处罚。</w:t>
      </w:r>
    </w:p>
    <w:p>
      <w:pPr>
        <w:spacing w:line="240" w:lineRule="auto"/>
        <w:ind w:firstLine="640"/>
        <w:jc w:val="both"/>
      </w:pPr>
      <w:r>
        <w:rPr>
          <w:rFonts w:ascii="黑体" w:hAnsi="黑体" w:eastAsia="黑体" w:cs="黑体"/>
          <w:sz w:val="32"/>
        </w:rPr>
        <w:t>第一百九十七条</w:t>
      </w:r>
      <w:r>
        <w:rPr>
          <w:rFonts w:ascii="仿宋_GB2312" w:hAnsi="仿宋_GB2312" w:eastAsia="仿宋_GB2312" w:cs="仿宋_GB2312"/>
          <w:sz w:val="32"/>
        </w:rPr>
        <w:t>　使用伪造、变造的国库券或者国家发行的其他有价证券，进行诈骗活动，数额较大的，处五年以下有期徒刑或者拘役，并处二万元以上二十万元以下罚金；数额巨大或者有其他严重情节的，处五年以上十年以下有期徒刑，并处五万元以上五十万元以下罚金；数额特别巨大或者有其他特别严重情节的，处十年以上有期徒刑或者无期徒刑，并处五万元以上五十万元以下罚金或者没收财产。</w:t>
      </w:r>
    </w:p>
    <w:p>
      <w:pPr>
        <w:spacing w:line="240" w:lineRule="auto"/>
        <w:ind w:firstLine="640"/>
        <w:jc w:val="both"/>
      </w:pPr>
      <w:r>
        <w:rPr>
          <w:rFonts w:ascii="黑体" w:hAnsi="黑体" w:eastAsia="黑体" w:cs="黑体"/>
          <w:sz w:val="32"/>
        </w:rPr>
        <w:t>第一百九十八条</w:t>
      </w:r>
      <w:r>
        <w:rPr>
          <w:rFonts w:ascii="仿宋_GB2312" w:hAnsi="仿宋_GB2312" w:eastAsia="仿宋_GB2312" w:cs="仿宋_GB2312"/>
          <w:sz w:val="32"/>
        </w:rPr>
        <w:t>　有下列情形之一，进行保险诈骗活动，数额较大的，处五年以下有期徒刑或者拘役，并处一万元以上十万元以下罚金；数额巨大或者有其他严重情节的，处五年以上十年以下有期徒刑，并处二万元以上二十万元以下罚金；数额特别巨大或者有其他特别严重情节的，处十年以上有期徒刑，并处二万元以上二十万元以下罚金或者没收财产：</w:t>
      </w:r>
    </w:p>
    <w:p>
      <w:pPr>
        <w:spacing w:line="240" w:lineRule="auto"/>
        <w:ind w:firstLine="640"/>
        <w:jc w:val="both"/>
      </w:pPr>
      <w:r>
        <w:rPr>
          <w:rFonts w:ascii="仿宋_GB2312" w:hAnsi="仿宋_GB2312" w:eastAsia="仿宋_GB2312" w:cs="仿宋_GB2312"/>
          <w:sz w:val="32"/>
        </w:rPr>
        <w:t>（一）投保人故意虚构保险标的，骗取保险金的；</w:t>
      </w:r>
    </w:p>
    <w:p>
      <w:pPr>
        <w:spacing w:line="240" w:lineRule="auto"/>
        <w:ind w:firstLine="640"/>
        <w:jc w:val="both"/>
      </w:pPr>
      <w:r>
        <w:rPr>
          <w:rFonts w:ascii="仿宋_GB2312" w:hAnsi="仿宋_GB2312" w:eastAsia="仿宋_GB2312" w:cs="仿宋_GB2312"/>
          <w:sz w:val="32"/>
        </w:rPr>
        <w:t>（二）投保人、被保险人或者受益人对发生的保险事故编造虚假的原因或者夸大损失的程度，骗取保险金的；</w:t>
      </w:r>
    </w:p>
    <w:p>
      <w:pPr>
        <w:spacing w:line="240" w:lineRule="auto"/>
        <w:ind w:firstLine="640"/>
        <w:jc w:val="both"/>
      </w:pPr>
      <w:r>
        <w:rPr>
          <w:rFonts w:ascii="仿宋_GB2312" w:hAnsi="仿宋_GB2312" w:eastAsia="仿宋_GB2312" w:cs="仿宋_GB2312"/>
          <w:sz w:val="32"/>
        </w:rPr>
        <w:t>（三）投保人、被保险人或者受益人编造未曾发生的保险事故，骗取保险金的；</w:t>
      </w:r>
    </w:p>
    <w:p>
      <w:pPr>
        <w:spacing w:line="240" w:lineRule="auto"/>
        <w:ind w:firstLine="640"/>
        <w:jc w:val="both"/>
      </w:pPr>
      <w:r>
        <w:rPr>
          <w:rFonts w:ascii="仿宋_GB2312" w:hAnsi="仿宋_GB2312" w:eastAsia="仿宋_GB2312" w:cs="仿宋_GB2312"/>
          <w:sz w:val="32"/>
        </w:rPr>
        <w:t>（四）投保人、被保险人故意造成财产损失的保险事故，骗取保险金的；</w:t>
      </w:r>
    </w:p>
    <w:p>
      <w:pPr>
        <w:spacing w:line="240" w:lineRule="auto"/>
        <w:ind w:firstLine="640"/>
        <w:jc w:val="both"/>
      </w:pPr>
      <w:r>
        <w:rPr>
          <w:rFonts w:ascii="仿宋_GB2312" w:hAnsi="仿宋_GB2312" w:eastAsia="仿宋_GB2312" w:cs="仿宋_GB2312"/>
          <w:sz w:val="32"/>
        </w:rPr>
        <w:t>（五）投保人、受益人故意造成被保险人死亡、伤残或者疾病，骗取保险金的。</w:t>
      </w:r>
    </w:p>
    <w:p>
      <w:pPr>
        <w:spacing w:line="240" w:lineRule="auto"/>
        <w:ind w:firstLine="640"/>
        <w:jc w:val="both"/>
      </w:pPr>
      <w:r>
        <w:rPr>
          <w:rFonts w:ascii="仿宋_GB2312" w:hAnsi="仿宋_GB2312" w:eastAsia="仿宋_GB2312" w:cs="仿宋_GB2312"/>
          <w:sz w:val="32"/>
        </w:rPr>
        <w:t>有前款第四项、第五项所列行为，同时构成其他犯罪的，依照数罪并罚的规定处罚。</w:t>
      </w:r>
    </w:p>
    <w:p>
      <w:pPr>
        <w:spacing w:line="240" w:lineRule="auto"/>
        <w:ind w:firstLine="640"/>
        <w:jc w:val="both"/>
      </w:pPr>
      <w:r>
        <w:rPr>
          <w:rFonts w:ascii="仿宋_GB2312" w:hAnsi="仿宋_GB2312" w:eastAsia="仿宋_GB2312" w:cs="仿宋_GB2312"/>
          <w:sz w:val="32"/>
        </w:rPr>
        <w:t>单位犯第一款罪的，对单位判处罚金，并对其直接负责的主管人员和其他直接责任人员，处五年以下有期徒刑或者拘役；数额巨大或者有其他严重情节的，处五年以上十年以下有期徒刑；数额特别巨大或者有其他特别严重情节的，处十年以上有期徒刑。</w:t>
      </w:r>
    </w:p>
    <w:p>
      <w:pPr>
        <w:spacing w:line="240" w:lineRule="auto"/>
        <w:ind w:firstLine="640"/>
        <w:jc w:val="both"/>
      </w:pPr>
      <w:r>
        <w:rPr>
          <w:rFonts w:ascii="仿宋_GB2312" w:hAnsi="仿宋_GB2312" w:eastAsia="仿宋_GB2312" w:cs="仿宋_GB2312"/>
          <w:sz w:val="32"/>
        </w:rPr>
        <w:t>保险事故的鉴定人、证明人、财产评估人故意提供虚假的证明文件，为他人诈骗提供条件的，以保险诈骗的共犯论处。</w:t>
      </w:r>
    </w:p>
    <w:p>
      <w:pPr>
        <w:spacing w:line="240" w:lineRule="auto"/>
        <w:ind w:firstLine="640"/>
        <w:jc w:val="both"/>
      </w:pPr>
      <w:r>
        <w:rPr>
          <w:rFonts w:ascii="黑体" w:hAnsi="黑体" w:eastAsia="黑体" w:cs="黑体"/>
          <w:sz w:val="32"/>
        </w:rPr>
        <w:t>第一百九十九条</w:t>
      </w:r>
      <w:r>
        <w:rPr>
          <w:rFonts w:ascii="仿宋_GB2312" w:hAnsi="仿宋_GB2312" w:eastAsia="仿宋_GB2312" w:cs="仿宋_GB2312"/>
          <w:sz w:val="32"/>
        </w:rPr>
        <w:t>　（删去）</w:t>
      </w:r>
    </w:p>
    <w:p>
      <w:pPr>
        <w:spacing w:line="240" w:lineRule="auto"/>
        <w:ind w:firstLine="640"/>
        <w:jc w:val="both"/>
      </w:pPr>
      <w:r>
        <w:rPr>
          <w:rFonts w:ascii="黑体" w:hAnsi="黑体" w:eastAsia="黑体" w:cs="黑体"/>
          <w:sz w:val="32"/>
        </w:rPr>
        <w:t>第二百条</w:t>
      </w:r>
      <w:r>
        <w:rPr>
          <w:rFonts w:ascii="仿宋_GB2312" w:hAnsi="仿宋_GB2312" w:eastAsia="仿宋_GB2312" w:cs="仿宋_GB2312"/>
          <w:sz w:val="32"/>
        </w:rPr>
        <w:t>　单位犯本节第一百九十四条、第一百九十五条规定之罪的，对单位判处罚金，并对其直接负责的主管人员和其他直接责任人员，处五年以下有期徒刑或者拘役，可以并处罚金；数额巨大或者有其他严重情节的，处五年以上十年以下有期徒刑，并处罚金；数额特别巨大或者有其他特别严重情节的，处十年以上有期徒刑或者无期徒刑，并处罚金。</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危害税收征管罪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第二百零一条</w:t>
      </w:r>
      <w:r>
        <w:rPr>
          <w:rFonts w:ascii="仿宋_GB2312" w:hAnsi="仿宋_GB2312" w:eastAsia="仿宋_GB2312" w:cs="仿宋_GB2312"/>
          <w:sz w:val="32"/>
        </w:rPr>
        <w:t>　纳税人采取欺骗、隐瞒手段进行虚假纳税申报或者不申报，逃避缴纳税款数额较大并且占应纳税额百分之十以上的，处三年以下有期徒刑或者拘役，并处罚金；数额巨大并且占应纳税额百分之三十以上的，处三年以上七年以下有期徒刑，并处罚金。</w:t>
      </w:r>
    </w:p>
    <w:p>
      <w:pPr>
        <w:spacing w:line="240" w:lineRule="auto"/>
        <w:ind w:firstLine="640"/>
        <w:jc w:val="both"/>
      </w:pPr>
      <w:r>
        <w:rPr>
          <w:rFonts w:ascii="仿宋_GB2312" w:hAnsi="仿宋_GB2312" w:eastAsia="仿宋_GB2312" w:cs="仿宋_GB2312"/>
          <w:sz w:val="32"/>
        </w:rPr>
        <w:t>扣缴义务人采取前款所列手段，不缴或者少缴已扣、已收税款，数额较大的，依照前款的规定处罚。</w:t>
      </w:r>
    </w:p>
    <w:p>
      <w:pPr>
        <w:spacing w:line="240" w:lineRule="auto"/>
        <w:ind w:firstLine="640"/>
        <w:jc w:val="both"/>
      </w:pPr>
      <w:r>
        <w:rPr>
          <w:rFonts w:ascii="仿宋_GB2312" w:hAnsi="仿宋_GB2312" w:eastAsia="仿宋_GB2312" w:cs="仿宋_GB2312"/>
          <w:sz w:val="32"/>
        </w:rPr>
        <w:t>对多次实施前两款行为，未经处理的，按照累计数额计算。</w:t>
      </w:r>
    </w:p>
    <w:p>
      <w:pPr>
        <w:spacing w:line="240" w:lineRule="auto"/>
        <w:ind w:firstLine="640"/>
        <w:jc w:val="both"/>
      </w:pPr>
      <w:r>
        <w:rPr>
          <w:rFonts w:ascii="仿宋_GB2312" w:hAnsi="仿宋_GB2312" w:eastAsia="仿宋_GB2312" w:cs="仿宋_GB2312"/>
          <w:sz w:val="32"/>
        </w:rPr>
        <w:t>有第一款行为，经税务机关依法下达追缴通知后，补缴应纳税款，缴纳滞纳金，已受行政处罚的，不予追究刑事责任；但是，五年内因逃避缴纳税款受过刑事处罚或者被税务机关给予二次以上行政处罚的除外。</w:t>
      </w:r>
    </w:p>
    <w:p>
      <w:pPr>
        <w:spacing w:line="240" w:lineRule="auto"/>
        <w:ind w:firstLine="640"/>
        <w:jc w:val="both"/>
      </w:pPr>
      <w:r>
        <w:rPr>
          <w:rFonts w:ascii="黑体" w:hAnsi="黑体" w:eastAsia="黑体" w:cs="黑体"/>
          <w:sz w:val="32"/>
        </w:rPr>
        <w:t>第二百零二条</w:t>
      </w:r>
      <w:r>
        <w:rPr>
          <w:rFonts w:ascii="仿宋_GB2312" w:hAnsi="仿宋_GB2312" w:eastAsia="仿宋_GB2312" w:cs="仿宋_GB2312"/>
          <w:sz w:val="32"/>
        </w:rPr>
        <w:t>　以暴力、威胁方法拒不缴纳税款的，处三年以下有期徒刑或者拘役，并处拒缴税款一倍以上五倍以下罚金；情节严重的，处三年以上七年以下有期徒刑，并处拒缴税款一倍以上五倍以下罚金。</w:t>
      </w:r>
    </w:p>
    <w:p>
      <w:pPr>
        <w:spacing w:line="240" w:lineRule="auto"/>
        <w:ind w:firstLine="640"/>
        <w:jc w:val="both"/>
      </w:pPr>
      <w:r>
        <w:rPr>
          <w:rFonts w:ascii="黑体" w:hAnsi="黑体" w:eastAsia="黑体" w:cs="黑体"/>
          <w:sz w:val="32"/>
        </w:rPr>
        <w:t>第二百零三条</w:t>
      </w:r>
      <w:r>
        <w:rPr>
          <w:rFonts w:ascii="仿宋_GB2312" w:hAnsi="仿宋_GB2312" w:eastAsia="仿宋_GB2312" w:cs="仿宋_GB2312"/>
          <w:sz w:val="32"/>
        </w:rPr>
        <w:t>　纳税人欠缴应纳税款，采取转移或者隐匿财产的手段，致使税务机关无法追缴欠缴的税款，数额在一万元以上不满十万元的，处三年以下有期徒刑或者拘役，并处或者单处欠缴税款一倍以上五倍以下罚金；数额在十万元以上的，处三年以上七年以下有期徒刑，并处欠缴税款一倍以上五倍以下罚金。</w:t>
      </w:r>
    </w:p>
    <w:p>
      <w:pPr>
        <w:spacing w:line="240" w:lineRule="auto"/>
        <w:ind w:firstLine="640"/>
        <w:jc w:val="both"/>
      </w:pPr>
      <w:r>
        <w:rPr>
          <w:rFonts w:ascii="黑体" w:hAnsi="黑体" w:eastAsia="黑体" w:cs="黑体"/>
          <w:sz w:val="32"/>
        </w:rPr>
        <w:t>第二百零四条</w:t>
      </w:r>
      <w:r>
        <w:rPr>
          <w:rFonts w:ascii="仿宋_GB2312" w:hAnsi="仿宋_GB2312" w:eastAsia="仿宋_GB2312" w:cs="仿宋_GB2312"/>
          <w:sz w:val="32"/>
        </w:rPr>
        <w:t>　以假报出口或者其他欺骗手段，骗取国家出口退税款，数额较大的，处五年以下有期徒刑或者拘役，并处骗取税款一倍以上五倍以下罚金；数额巨大或者有其他严重情节的，处五年以上十年以下有期徒刑，并处骗取税款一倍以上五倍以下罚金；数额特别巨大或者有其他特别严重情节的，处十年以上有期徒刑或者无期徒刑，并处骗取税款一倍以上五倍以下罚金或者没收财产。</w:t>
      </w:r>
    </w:p>
    <w:p>
      <w:pPr>
        <w:spacing w:line="240" w:lineRule="auto"/>
        <w:ind w:firstLine="640"/>
        <w:jc w:val="both"/>
      </w:pPr>
      <w:r>
        <w:rPr>
          <w:rFonts w:ascii="仿宋_GB2312" w:hAnsi="仿宋_GB2312" w:eastAsia="仿宋_GB2312" w:cs="仿宋_GB2312"/>
          <w:sz w:val="32"/>
        </w:rPr>
        <w:t>纳税人缴纳税款后，采取前款规定的欺骗方法，骗取所缴纳的税款的，依照本法第二百零一条的规定定罪处罚；骗取税款超过所缴纳的税款部分，依照前款的规定处罚。</w:t>
      </w:r>
    </w:p>
    <w:p>
      <w:pPr>
        <w:spacing w:line="240" w:lineRule="auto"/>
        <w:ind w:firstLine="640"/>
        <w:jc w:val="both"/>
      </w:pPr>
      <w:r>
        <w:rPr>
          <w:rFonts w:ascii="黑体" w:hAnsi="黑体" w:eastAsia="黑体" w:cs="黑体"/>
          <w:sz w:val="32"/>
        </w:rPr>
        <w:t>第二百零五条</w:t>
      </w:r>
      <w:r>
        <w:rPr>
          <w:rFonts w:ascii="仿宋_GB2312" w:hAnsi="仿宋_GB2312" w:eastAsia="仿宋_GB2312" w:cs="仿宋_GB2312"/>
          <w:sz w:val="32"/>
        </w:rPr>
        <w:t>　虚开增值税专用发票或者虚开用于骗取出口退税、抵扣税款的其他发票的，处三年以下有期徒刑或者拘役，并处二万元以上二十万元以下罚金；虚开的税款数额较大或者有其他严重情节的，处三年以上十年以下有期徒刑，并处五万元以上五十万元以下罚金；虚开的税款数额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单位犯本条规定之罪的，对单位判处罚金，并对其直接负责的主管人员和其他直接责任人员，处三年以下有期徒刑或者拘役；虚开的税款数额较大或者有其他严重情节的，处三年以上十年以下有期徒刑；虚开的税款数额巨大或者有其他特别严重情节的，处十年以上有期徒刑或者无期徒刑。</w:t>
      </w:r>
    </w:p>
    <w:p>
      <w:pPr>
        <w:spacing w:line="240" w:lineRule="auto"/>
        <w:ind w:firstLine="640"/>
        <w:jc w:val="both"/>
      </w:pPr>
      <w:r>
        <w:rPr>
          <w:rFonts w:ascii="仿宋_GB2312" w:hAnsi="仿宋_GB2312" w:eastAsia="仿宋_GB2312" w:cs="仿宋_GB2312"/>
          <w:sz w:val="32"/>
        </w:rPr>
        <w:t>虚开增值税专用发票或者虚开用于骗取出口退税、抵扣税款的其他发票，是指有为他人虚开、为自己虚开、让他人为自己虚开、介绍他人虚开行为之一的。</w:t>
      </w:r>
    </w:p>
    <w:p>
      <w:pPr>
        <w:spacing w:line="240" w:lineRule="auto"/>
        <w:ind w:firstLine="640"/>
        <w:jc w:val="both"/>
      </w:pPr>
      <w:r>
        <w:rPr>
          <w:rFonts w:ascii="黑体" w:hAnsi="黑体" w:eastAsia="黑体" w:cs="黑体"/>
          <w:sz w:val="32"/>
        </w:rPr>
        <w:t>第二百零五</w:t>
      </w:r>
      <w:r>
        <w:rPr>
          <w:rFonts w:hint="eastAsia" w:ascii="黑体" w:hAnsi="黑体" w:eastAsia="黑体" w:cs="黑体"/>
          <w:sz w:val="32"/>
          <w:lang w:eastAsia="zh-CN"/>
        </w:rPr>
        <w:t>条之一　</w:t>
      </w:r>
      <w:r>
        <w:rPr>
          <w:rFonts w:ascii="仿宋_GB2312" w:hAnsi="仿宋_GB2312" w:eastAsia="仿宋_GB2312" w:cs="仿宋_GB2312"/>
          <w:sz w:val="32"/>
        </w:rPr>
        <w:t>虚开本法第二百零五条规定以外的其他发票，情节严重的，处二年以下有期徒刑、拘役或者管制，并处罚金；情节特别严重的，处二年以上七年以下有期徒刑，并处罚金。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第二百零六条</w:t>
      </w:r>
      <w:r>
        <w:rPr>
          <w:rFonts w:ascii="仿宋_GB2312" w:hAnsi="仿宋_GB2312" w:eastAsia="仿宋_GB2312" w:cs="仿宋_GB2312"/>
          <w:sz w:val="32"/>
        </w:rPr>
        <w:t>　伪造或者出售伪造的增值税专用发票的，处三年以下有期徒刑、拘役或者管制，并处二万元以上二十万元以下罚金；数量较大或者有其他严重情节的，处三年以上十年以下有期徒刑，并处五万元以上五十万元以下罚金；数量巨大或者有其他特别严重情节的，处十年以上有期徒刑或者无期徒刑，并处五万元以上五十万元以下罚金或者没收财产。</w:t>
      </w:r>
    </w:p>
    <w:p>
      <w:pPr>
        <w:spacing w:line="240" w:lineRule="auto"/>
        <w:ind w:firstLine="640"/>
        <w:jc w:val="both"/>
      </w:pPr>
      <w:r>
        <w:rPr>
          <w:rFonts w:ascii="仿宋_GB2312" w:hAnsi="仿宋_GB2312" w:eastAsia="仿宋_GB2312" w:cs="仿宋_GB2312"/>
          <w:sz w:val="32"/>
        </w:rPr>
        <w:t>单位犯本条规定之罪的，对单位判处罚金，并对其直接负责的主管人员和其他直接责任人员，处三年以下有期徒刑、拘役或者管制；数量较大或者有其他严重情节的，处三年以上十年以下有期徒刑；数量巨大或者有其他特别严重情节的，处十年以上有期徒刑或者无期徒刑。</w:t>
      </w:r>
    </w:p>
    <w:p>
      <w:pPr>
        <w:spacing w:line="240" w:lineRule="auto"/>
        <w:ind w:firstLine="640"/>
        <w:jc w:val="both"/>
      </w:pPr>
      <w:r>
        <w:rPr>
          <w:rFonts w:ascii="黑体" w:hAnsi="黑体" w:eastAsia="黑体" w:cs="黑体"/>
          <w:sz w:val="32"/>
        </w:rPr>
        <w:t>第二百零七条</w:t>
      </w:r>
      <w:r>
        <w:rPr>
          <w:rFonts w:ascii="仿宋_GB2312" w:hAnsi="仿宋_GB2312" w:eastAsia="仿宋_GB2312" w:cs="仿宋_GB2312"/>
          <w:sz w:val="32"/>
        </w:rPr>
        <w:t>　非法出售增值税专用发票的，处三年以下有期徒刑、拘役或者管制，并处二万元以上二十万元以下罚金；数量较大的，处三年以上十年以下有期徒刑，并处五万元以上五十万元以下罚金；数量巨大的，处十年以上有期徒刑或者无期徒刑，并处五万元以上五十万元以下罚金或者没收财产。</w:t>
      </w:r>
    </w:p>
    <w:p>
      <w:pPr>
        <w:spacing w:line="240" w:lineRule="auto"/>
        <w:ind w:firstLine="640"/>
        <w:jc w:val="both"/>
      </w:pPr>
      <w:r>
        <w:rPr>
          <w:rFonts w:ascii="黑体" w:hAnsi="黑体" w:eastAsia="黑体" w:cs="黑体"/>
          <w:sz w:val="32"/>
        </w:rPr>
        <w:t>第二百零八条</w:t>
      </w:r>
      <w:r>
        <w:rPr>
          <w:rFonts w:ascii="仿宋_GB2312" w:hAnsi="仿宋_GB2312" w:eastAsia="仿宋_GB2312" w:cs="仿宋_GB2312"/>
          <w:sz w:val="32"/>
        </w:rPr>
        <w:t>　非法购买增值税专用发票或者购买伪造的增值税专用发票的，处五年以下有期徒刑或者拘役，并处或者单处二万元以上二十万元以下罚金。</w:t>
      </w:r>
    </w:p>
    <w:p>
      <w:pPr>
        <w:spacing w:line="240" w:lineRule="auto"/>
        <w:ind w:firstLine="640"/>
        <w:jc w:val="both"/>
      </w:pPr>
      <w:r>
        <w:rPr>
          <w:rFonts w:ascii="仿宋_GB2312" w:hAnsi="仿宋_GB2312" w:eastAsia="仿宋_GB2312" w:cs="仿宋_GB2312"/>
          <w:sz w:val="32"/>
        </w:rPr>
        <w:t>非法购买增值税专用发票或者购买伪造的增值税专用发票又虚开或者出售的，分别依照本法第二百零五条、第二百零六条、第二百零七条的规定定罪处罚。</w:t>
      </w:r>
    </w:p>
    <w:p>
      <w:pPr>
        <w:spacing w:line="240" w:lineRule="auto"/>
        <w:ind w:firstLine="640"/>
        <w:jc w:val="both"/>
      </w:pPr>
      <w:r>
        <w:rPr>
          <w:rFonts w:ascii="黑体" w:hAnsi="黑体" w:eastAsia="黑体" w:cs="黑体"/>
          <w:sz w:val="32"/>
        </w:rPr>
        <w:t>第二百零九条</w:t>
      </w:r>
      <w:r>
        <w:rPr>
          <w:rFonts w:ascii="仿宋_GB2312" w:hAnsi="仿宋_GB2312" w:eastAsia="仿宋_GB2312" w:cs="仿宋_GB2312"/>
          <w:sz w:val="32"/>
        </w:rPr>
        <w:t>　伪造、擅自制造或者出售伪造、擅自制造的可以用于骗取出口退税、抵扣税款的其他发票的，处三年以下有期徒刑、拘役或者管制，并处二万元以上二十万元以下罚金；数量巨大的，处三年以上七年以下有期徒刑，并处五万元以上五十万元以下罚金；数量特别巨大的，处七年以上有期徒刑，并处五万元以上五十万元以下罚金或者没收财产。</w:t>
      </w:r>
    </w:p>
    <w:p>
      <w:pPr>
        <w:spacing w:line="240" w:lineRule="auto"/>
        <w:ind w:firstLine="640"/>
        <w:jc w:val="both"/>
      </w:pPr>
      <w:r>
        <w:rPr>
          <w:rFonts w:ascii="仿宋_GB2312" w:hAnsi="仿宋_GB2312" w:eastAsia="仿宋_GB2312" w:cs="仿宋_GB2312"/>
          <w:sz w:val="32"/>
        </w:rPr>
        <w:t>伪造、擅自制造或者出售伪造、擅自制造的前款规定以外的其他发票的，处二年以下有期徒刑、拘役或者管制，并处或者单处一万元以上五万元以下罚金；情节严重的，处二年以上七年以下有期徒刑，并处五万元以上五十万元以下罚金。</w:t>
      </w:r>
    </w:p>
    <w:p>
      <w:pPr>
        <w:spacing w:line="240" w:lineRule="auto"/>
        <w:ind w:firstLine="640"/>
        <w:jc w:val="both"/>
      </w:pPr>
      <w:r>
        <w:rPr>
          <w:rFonts w:ascii="仿宋_GB2312" w:hAnsi="仿宋_GB2312" w:eastAsia="仿宋_GB2312" w:cs="仿宋_GB2312"/>
          <w:sz w:val="32"/>
        </w:rPr>
        <w:t>非法出售可以用于骗取出口退税、抵扣税款的其他发票的，依照第一款的规定处罚。</w:t>
      </w:r>
    </w:p>
    <w:p>
      <w:pPr>
        <w:spacing w:line="240" w:lineRule="auto"/>
        <w:ind w:firstLine="640"/>
        <w:jc w:val="both"/>
      </w:pPr>
      <w:r>
        <w:rPr>
          <w:rFonts w:ascii="仿宋_GB2312" w:hAnsi="仿宋_GB2312" w:eastAsia="仿宋_GB2312" w:cs="仿宋_GB2312"/>
          <w:sz w:val="32"/>
        </w:rPr>
        <w:t>非法出售第三款规定以外的其他发票的，依照第二款的规定处罚。</w:t>
      </w:r>
    </w:p>
    <w:p>
      <w:pPr>
        <w:spacing w:line="240" w:lineRule="auto"/>
        <w:ind w:firstLine="640"/>
        <w:jc w:val="both"/>
      </w:pPr>
      <w:r>
        <w:rPr>
          <w:rFonts w:ascii="黑体" w:hAnsi="黑体" w:eastAsia="黑体" w:cs="黑体"/>
          <w:sz w:val="32"/>
        </w:rPr>
        <w:t>第二百一十条</w:t>
      </w:r>
      <w:r>
        <w:rPr>
          <w:rFonts w:ascii="仿宋_GB2312" w:hAnsi="仿宋_GB2312" w:eastAsia="仿宋_GB2312" w:cs="仿宋_GB2312"/>
          <w:sz w:val="32"/>
        </w:rPr>
        <w:t>　盗窃增值税专用发票或者可以用于骗取出口退税、抵扣税款的其他发票的，依照本法第二百六十四条的规定定罪处罚。</w:t>
      </w:r>
    </w:p>
    <w:p>
      <w:pPr>
        <w:spacing w:line="240" w:lineRule="auto"/>
        <w:ind w:firstLine="640"/>
        <w:jc w:val="both"/>
      </w:pPr>
      <w:r>
        <w:rPr>
          <w:rFonts w:ascii="仿宋_GB2312" w:hAnsi="仿宋_GB2312" w:eastAsia="仿宋_GB2312" w:cs="仿宋_GB2312"/>
          <w:sz w:val="32"/>
        </w:rPr>
        <w:t>使用欺骗手段骗取增值税专用发票或者可以用于骗取出口退税、抵扣税款的其他发票的，依照本法第二百六十六条的规定定罪处罚。</w:t>
      </w:r>
    </w:p>
    <w:p>
      <w:pPr>
        <w:spacing w:line="240" w:lineRule="auto"/>
        <w:ind w:firstLine="640"/>
        <w:jc w:val="both"/>
      </w:pPr>
      <w:r>
        <w:rPr>
          <w:rFonts w:ascii="黑体" w:hAnsi="黑体" w:eastAsia="黑体" w:cs="黑体"/>
          <w:sz w:val="32"/>
        </w:rPr>
        <w:t>第二百一十</w:t>
      </w:r>
      <w:r>
        <w:rPr>
          <w:rFonts w:hint="eastAsia" w:ascii="黑体" w:hAnsi="黑体" w:eastAsia="黑体" w:cs="黑体"/>
          <w:sz w:val="32"/>
          <w:lang w:eastAsia="zh-CN"/>
        </w:rPr>
        <w:t>条之一　</w:t>
      </w:r>
      <w:r>
        <w:rPr>
          <w:rFonts w:ascii="仿宋_GB2312" w:hAnsi="仿宋_GB2312" w:eastAsia="仿宋_GB2312" w:cs="仿宋_GB2312"/>
          <w:sz w:val="32"/>
        </w:rPr>
        <w:t>明知是伪造的发票而持有，数量较大的，处二年以下有期徒刑、拘役或者管制，并处罚金；数量巨大的，处二年以上七年以下有期徒刑，并处罚金。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第二百一十一条</w:t>
      </w:r>
      <w:r>
        <w:rPr>
          <w:rFonts w:ascii="仿宋_GB2312" w:hAnsi="仿宋_GB2312" w:eastAsia="仿宋_GB2312" w:cs="仿宋_GB2312"/>
          <w:sz w:val="32"/>
        </w:rPr>
        <w:t>　单位犯本节第二百零一条、第二百零三条、第二百零四条、第二百零七条、第二百零八条、第二百零九条规定之罪的，对单位判处罚金，并对其直接负责的主管人员和其他直接责任人员，依照各该条的规定处罚。</w:t>
      </w:r>
    </w:p>
    <w:p>
      <w:pPr>
        <w:spacing w:line="240" w:lineRule="auto"/>
        <w:ind w:firstLine="640"/>
        <w:jc w:val="both"/>
      </w:pPr>
      <w:r>
        <w:rPr>
          <w:rFonts w:ascii="黑体" w:hAnsi="黑体" w:eastAsia="黑体" w:cs="黑体"/>
          <w:sz w:val="32"/>
        </w:rPr>
        <w:t>第二百一十二条</w:t>
      </w:r>
      <w:r>
        <w:rPr>
          <w:rFonts w:ascii="仿宋_GB2312" w:hAnsi="仿宋_GB2312" w:eastAsia="仿宋_GB2312" w:cs="仿宋_GB2312"/>
          <w:sz w:val="32"/>
        </w:rPr>
        <w:t>　犯本节第二百零一条至第二百零五条规定之罪，被判处罚金、没收财产的，在执行前，应当先由税务机关追缴税款和所骗取的出口退税款。</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侵犯知识产权罪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第二百一十三条</w:t>
      </w:r>
      <w:r>
        <w:rPr>
          <w:rFonts w:ascii="仿宋_GB2312" w:hAnsi="仿宋_GB2312" w:eastAsia="仿宋_GB2312" w:cs="仿宋_GB2312"/>
          <w:sz w:val="32"/>
        </w:rPr>
        <w:t>　未经注册商标所有人许可，在同一种商品、服务上使用与其注册商标相同的商标，情节严重的，处三年以下有期徒刑，并处或者单处罚金；情节特别严重的，处三年以上十年以下有期徒刑，并处罚金。</w:t>
      </w:r>
    </w:p>
    <w:p>
      <w:pPr>
        <w:spacing w:line="240" w:lineRule="auto"/>
        <w:ind w:firstLine="640"/>
        <w:jc w:val="both"/>
      </w:pPr>
      <w:r>
        <w:rPr>
          <w:rFonts w:ascii="黑体" w:hAnsi="黑体" w:eastAsia="黑体" w:cs="黑体"/>
          <w:sz w:val="32"/>
        </w:rPr>
        <w:t>第二百一十四条</w:t>
      </w:r>
      <w:r>
        <w:rPr>
          <w:rFonts w:ascii="仿宋_GB2312" w:hAnsi="仿宋_GB2312" w:eastAsia="仿宋_GB2312" w:cs="仿宋_GB2312"/>
          <w:sz w:val="32"/>
        </w:rPr>
        <w:t>　销售明知是假冒注册商标的商品，违法所得数额较大或者有其他严重情节的，处三年以下有期徒刑，并处或者单处罚金；违法所得数额巨大或者有其他特别严重情节的，处三年以上十年以下有期徒刑，并处罚金。</w:t>
      </w:r>
    </w:p>
    <w:p>
      <w:pPr>
        <w:spacing w:line="240" w:lineRule="auto"/>
        <w:ind w:firstLine="640"/>
        <w:jc w:val="both"/>
      </w:pPr>
      <w:r>
        <w:rPr>
          <w:rFonts w:ascii="黑体" w:hAnsi="黑体" w:eastAsia="黑体" w:cs="黑体"/>
          <w:sz w:val="32"/>
        </w:rPr>
        <w:t>第二百一十五条</w:t>
      </w:r>
      <w:r>
        <w:rPr>
          <w:rFonts w:ascii="仿宋_GB2312" w:hAnsi="仿宋_GB2312" w:eastAsia="仿宋_GB2312" w:cs="仿宋_GB2312"/>
          <w:sz w:val="32"/>
        </w:rPr>
        <w:t>　伪造、擅自制造他人注册商标标识或者销售伪造、擅自制造的注册商标标识，情节严重的，处三年以下有期徒刑，并处或者单处罚金；情节特别严重的，处三年以上十年以下有期徒刑，并处罚金。</w:t>
      </w:r>
    </w:p>
    <w:p>
      <w:pPr>
        <w:spacing w:line="240" w:lineRule="auto"/>
        <w:ind w:firstLine="640"/>
        <w:jc w:val="both"/>
      </w:pPr>
      <w:r>
        <w:rPr>
          <w:rFonts w:ascii="黑体" w:hAnsi="黑体" w:eastAsia="黑体" w:cs="黑体"/>
          <w:sz w:val="32"/>
        </w:rPr>
        <w:t>第二百一十六条</w:t>
      </w:r>
      <w:r>
        <w:rPr>
          <w:rFonts w:ascii="仿宋_GB2312" w:hAnsi="仿宋_GB2312" w:eastAsia="仿宋_GB2312" w:cs="仿宋_GB2312"/>
          <w:sz w:val="32"/>
        </w:rPr>
        <w:t>　假冒他人专利，情节严重的，处三年以下有期徒刑或者拘役，并处或者单处罚金。</w:t>
      </w:r>
    </w:p>
    <w:p>
      <w:pPr>
        <w:spacing w:line="240" w:lineRule="auto"/>
        <w:ind w:firstLine="640"/>
        <w:jc w:val="both"/>
      </w:pPr>
      <w:r>
        <w:rPr>
          <w:rFonts w:ascii="黑体" w:hAnsi="黑体" w:eastAsia="黑体" w:cs="黑体"/>
          <w:sz w:val="32"/>
        </w:rPr>
        <w:t>第二百一十七条</w:t>
      </w:r>
      <w:r>
        <w:rPr>
          <w:rFonts w:ascii="仿宋_GB2312" w:hAnsi="仿宋_GB2312" w:eastAsia="仿宋_GB2312" w:cs="仿宋_GB2312"/>
          <w:sz w:val="32"/>
        </w:rPr>
        <w:t>　以营利为目的，有下列侵犯著作权或者与著作权有关的权利的情形之一，违法所得数额较大或者有其他严重情节的，处三年以下有期徒刑，并处或者单处罚金；违法所得数额巨大或者有其他特别严重情节的，处三年以上十年以下有期徒刑，并处罚金：</w:t>
      </w:r>
    </w:p>
    <w:p>
      <w:pPr>
        <w:spacing w:line="240" w:lineRule="auto"/>
        <w:ind w:firstLine="640"/>
        <w:jc w:val="both"/>
      </w:pPr>
      <w:r>
        <w:rPr>
          <w:rFonts w:ascii="仿宋_GB2312" w:hAnsi="仿宋_GB2312" w:eastAsia="仿宋_GB2312" w:cs="仿宋_GB2312"/>
          <w:sz w:val="32"/>
        </w:rPr>
        <w:t>（一）未经著作权人许可，复制发行、通过信息网络向公众传播其文字作品、音乐、美术、视听作品、计算机软件及法律、行政法规规定的其他作品的；</w:t>
      </w:r>
    </w:p>
    <w:p>
      <w:pPr>
        <w:spacing w:line="240" w:lineRule="auto"/>
        <w:ind w:firstLine="640"/>
        <w:jc w:val="both"/>
      </w:pPr>
      <w:r>
        <w:rPr>
          <w:rFonts w:ascii="仿宋_GB2312" w:hAnsi="仿宋_GB2312" w:eastAsia="仿宋_GB2312" w:cs="仿宋_GB2312"/>
          <w:sz w:val="32"/>
        </w:rPr>
        <w:t>（二）出版他人享有专有出版权的图书的；</w:t>
      </w:r>
    </w:p>
    <w:p>
      <w:pPr>
        <w:spacing w:line="240" w:lineRule="auto"/>
        <w:ind w:firstLine="640"/>
        <w:jc w:val="both"/>
      </w:pPr>
      <w:r>
        <w:rPr>
          <w:rFonts w:ascii="仿宋_GB2312" w:hAnsi="仿宋_GB2312" w:eastAsia="仿宋_GB2312" w:cs="仿宋_GB2312"/>
          <w:sz w:val="32"/>
        </w:rPr>
        <w:t>（三）未经录音录像制作者许可，复制发行、通过信息网络向公众传播其制作的录音录像的；</w:t>
      </w:r>
    </w:p>
    <w:p>
      <w:pPr>
        <w:spacing w:line="240" w:lineRule="auto"/>
        <w:ind w:firstLine="640"/>
        <w:jc w:val="both"/>
      </w:pPr>
      <w:r>
        <w:rPr>
          <w:rFonts w:ascii="仿宋_GB2312" w:hAnsi="仿宋_GB2312" w:eastAsia="仿宋_GB2312" w:cs="仿宋_GB2312"/>
          <w:sz w:val="32"/>
        </w:rPr>
        <w:t>（四）未经表演者许可，复制发行录有其表演的录音录像制品，或者通过信息网络向公众传播其表演的；</w:t>
      </w:r>
    </w:p>
    <w:p>
      <w:pPr>
        <w:spacing w:line="240" w:lineRule="auto"/>
        <w:ind w:firstLine="640"/>
        <w:jc w:val="both"/>
      </w:pPr>
      <w:r>
        <w:rPr>
          <w:rFonts w:ascii="仿宋_GB2312" w:hAnsi="仿宋_GB2312" w:eastAsia="仿宋_GB2312" w:cs="仿宋_GB2312"/>
          <w:sz w:val="32"/>
        </w:rPr>
        <w:t>（五）制作、出售假冒他人署名的美术作品的；</w:t>
      </w:r>
    </w:p>
    <w:p>
      <w:pPr>
        <w:spacing w:line="240" w:lineRule="auto"/>
        <w:ind w:firstLine="640"/>
        <w:jc w:val="both"/>
      </w:pPr>
      <w:r>
        <w:rPr>
          <w:rFonts w:ascii="仿宋_GB2312" w:hAnsi="仿宋_GB2312" w:eastAsia="仿宋_GB2312" w:cs="仿宋_GB2312"/>
          <w:sz w:val="32"/>
        </w:rPr>
        <w:t>（六）未经著作权人或者与著作权有关的权利人许可，故意避开或者破坏权利人为其作品、录音录像制品等采取的保护著作权或者与著作权有关的权利的技术措施的。</w:t>
      </w:r>
    </w:p>
    <w:p>
      <w:pPr>
        <w:spacing w:line="240" w:lineRule="auto"/>
        <w:ind w:firstLine="640"/>
        <w:jc w:val="both"/>
      </w:pPr>
      <w:r>
        <w:rPr>
          <w:rFonts w:ascii="黑体" w:hAnsi="黑体" w:eastAsia="黑体" w:cs="黑体"/>
          <w:sz w:val="32"/>
        </w:rPr>
        <w:t>第二百一十八条</w:t>
      </w:r>
      <w:r>
        <w:rPr>
          <w:rFonts w:ascii="仿宋_GB2312" w:hAnsi="仿宋_GB2312" w:eastAsia="仿宋_GB2312" w:cs="仿宋_GB2312"/>
          <w:sz w:val="32"/>
        </w:rPr>
        <w:t>　以营利为目的，销售明知是本法第二百一十七条规定的侵权复制品，违法所得数额巨大或者有其他严重情节的，处五年以下有期徒刑，并处或者单处罚金。</w:t>
      </w:r>
    </w:p>
    <w:p>
      <w:pPr>
        <w:spacing w:line="240" w:lineRule="auto"/>
        <w:ind w:firstLine="640"/>
        <w:jc w:val="both"/>
      </w:pPr>
      <w:r>
        <w:rPr>
          <w:rFonts w:ascii="黑体" w:hAnsi="黑体" w:eastAsia="黑体" w:cs="黑体"/>
          <w:sz w:val="32"/>
        </w:rPr>
        <w:t>第二百一十九条</w:t>
      </w:r>
      <w:r>
        <w:rPr>
          <w:rFonts w:ascii="仿宋_GB2312" w:hAnsi="仿宋_GB2312" w:eastAsia="仿宋_GB2312" w:cs="仿宋_GB2312"/>
          <w:sz w:val="32"/>
        </w:rPr>
        <w:t>　有下列侵犯商业秘密行为之一，情节严重的，处三年以下有期徒刑，并处或者单处罚金；情节特别严重的，处三年以上十年以下有期徒刑，并处罚金：</w:t>
      </w:r>
    </w:p>
    <w:p>
      <w:pPr>
        <w:spacing w:line="240" w:lineRule="auto"/>
        <w:ind w:firstLine="640"/>
        <w:jc w:val="both"/>
      </w:pPr>
      <w:r>
        <w:rPr>
          <w:rFonts w:ascii="仿宋_GB2312" w:hAnsi="仿宋_GB2312" w:eastAsia="仿宋_GB2312" w:cs="仿宋_GB2312"/>
          <w:sz w:val="32"/>
        </w:rPr>
        <w:t>（一）以盗窃、贿赂、欺诈、胁迫、电子侵入或者其他不正当手段获取权利人的商业秘密的；</w:t>
      </w:r>
    </w:p>
    <w:p>
      <w:pPr>
        <w:spacing w:line="240" w:lineRule="auto"/>
        <w:ind w:firstLine="640"/>
        <w:jc w:val="both"/>
      </w:pPr>
      <w:r>
        <w:rPr>
          <w:rFonts w:ascii="仿宋_GB2312" w:hAnsi="仿宋_GB2312" w:eastAsia="仿宋_GB2312" w:cs="仿宋_GB2312"/>
          <w:sz w:val="32"/>
        </w:rPr>
        <w:t>（二）披露、使用或者允许他人使用以前项手段获取的权利人的商业秘密的；</w:t>
      </w:r>
    </w:p>
    <w:p>
      <w:pPr>
        <w:spacing w:line="240" w:lineRule="auto"/>
        <w:ind w:firstLine="640"/>
        <w:jc w:val="both"/>
      </w:pPr>
      <w:r>
        <w:rPr>
          <w:rFonts w:ascii="仿宋_GB2312" w:hAnsi="仿宋_GB2312" w:eastAsia="仿宋_GB2312" w:cs="仿宋_GB2312"/>
          <w:sz w:val="32"/>
        </w:rPr>
        <w:t>（三）违反保密义务或者违反权利人有关保守商业秘密的要求，披露、使用或者允许他人使用其所掌握的商业秘密的。</w:t>
      </w:r>
    </w:p>
    <w:p>
      <w:pPr>
        <w:spacing w:line="240" w:lineRule="auto"/>
        <w:ind w:firstLine="640"/>
        <w:jc w:val="both"/>
      </w:pPr>
      <w:r>
        <w:rPr>
          <w:rFonts w:ascii="仿宋_GB2312" w:hAnsi="仿宋_GB2312" w:eastAsia="仿宋_GB2312" w:cs="仿宋_GB2312"/>
          <w:sz w:val="32"/>
        </w:rPr>
        <w:t>明知前款所列行为，获取、披露、使用或者允许他人使用该商业秘密的，以侵犯商业秘密论。</w:t>
      </w:r>
    </w:p>
    <w:p>
      <w:pPr>
        <w:spacing w:line="240" w:lineRule="auto"/>
        <w:ind w:firstLine="640"/>
        <w:jc w:val="both"/>
      </w:pPr>
      <w:r>
        <w:rPr>
          <w:rFonts w:ascii="仿宋_GB2312" w:hAnsi="仿宋_GB2312" w:eastAsia="仿宋_GB2312" w:cs="仿宋_GB2312"/>
          <w:sz w:val="32"/>
        </w:rPr>
        <w:t>本条所称权利人，是指商业秘密的所有人和经商业秘密所有人许可的商业秘密使用人。</w:t>
      </w:r>
    </w:p>
    <w:p>
      <w:pPr>
        <w:spacing w:line="240" w:lineRule="auto"/>
        <w:ind w:firstLine="640"/>
        <w:jc w:val="both"/>
      </w:pPr>
      <w:r>
        <w:rPr>
          <w:rFonts w:ascii="黑体" w:hAnsi="黑体" w:eastAsia="黑体" w:cs="黑体"/>
          <w:sz w:val="32"/>
        </w:rPr>
        <w:t>第二百一十九</w:t>
      </w:r>
      <w:r>
        <w:rPr>
          <w:rFonts w:hint="eastAsia" w:ascii="黑体" w:hAnsi="黑体" w:eastAsia="黑体" w:cs="黑体"/>
          <w:sz w:val="32"/>
          <w:lang w:eastAsia="zh-CN"/>
        </w:rPr>
        <w:t>条之一　</w:t>
      </w:r>
      <w:r>
        <w:rPr>
          <w:rFonts w:ascii="仿宋_GB2312" w:hAnsi="仿宋_GB2312" w:eastAsia="仿宋_GB2312" w:cs="仿宋_GB2312"/>
          <w:sz w:val="32"/>
        </w:rPr>
        <w:t>为境外的机构、组织、人员窃取、刺探、收买、非法提供商业秘密的，处五年以下有期徒刑，并处或者单处罚金；情节严重的，处五年以上有期徒刑，并处罚金。</w:t>
      </w:r>
    </w:p>
    <w:p>
      <w:pPr>
        <w:spacing w:line="240" w:lineRule="auto"/>
        <w:ind w:firstLine="640"/>
        <w:jc w:val="both"/>
      </w:pPr>
      <w:r>
        <w:rPr>
          <w:rFonts w:ascii="黑体" w:hAnsi="黑体" w:eastAsia="黑体" w:cs="黑体"/>
          <w:sz w:val="32"/>
        </w:rPr>
        <w:t>第二百二十条</w:t>
      </w:r>
      <w:r>
        <w:rPr>
          <w:rFonts w:ascii="仿宋_GB2312" w:hAnsi="仿宋_GB2312" w:eastAsia="仿宋_GB2312" w:cs="仿宋_GB2312"/>
          <w:sz w:val="32"/>
        </w:rPr>
        <w:t>　单位犯本节第二百一十三条至第二百一十九条之一规定之罪的，对单位判处罚金，并对其直接负责的主管人员和其他直接责任人员，依照本节各该条的规定处罚。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扰乱市场秩序罪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第二百二十一条</w:t>
      </w:r>
      <w:r>
        <w:rPr>
          <w:rFonts w:ascii="仿宋_GB2312" w:hAnsi="仿宋_GB2312" w:eastAsia="仿宋_GB2312" w:cs="仿宋_GB2312"/>
          <w:sz w:val="32"/>
        </w:rPr>
        <w:t>　捏造并散布虚伪事实，损害他人的商业信誉、商品声誉，给他人造成重大损失或者有其他严重情节的，处二年以下有期徒刑或者拘役，并处或者单处罚金。</w:t>
      </w:r>
    </w:p>
    <w:p>
      <w:pPr>
        <w:spacing w:line="240" w:lineRule="auto"/>
        <w:ind w:firstLine="640"/>
        <w:jc w:val="both"/>
      </w:pPr>
      <w:r>
        <w:rPr>
          <w:rFonts w:ascii="黑体" w:hAnsi="黑体" w:eastAsia="黑体" w:cs="黑体"/>
          <w:sz w:val="32"/>
        </w:rPr>
        <w:t>第二百二十二条</w:t>
      </w:r>
      <w:r>
        <w:rPr>
          <w:rFonts w:ascii="仿宋_GB2312" w:hAnsi="仿宋_GB2312" w:eastAsia="仿宋_GB2312" w:cs="仿宋_GB2312"/>
          <w:sz w:val="32"/>
        </w:rPr>
        <w:t>　广告主、广告经营者、广告发布者违反国家规定，利用广告对商品或者服务作虚假宣传，情节严重的，处二年以下有期徒刑或者拘役，并处或者单处罚金。</w:t>
      </w:r>
    </w:p>
    <w:p>
      <w:pPr>
        <w:spacing w:line="240" w:lineRule="auto"/>
        <w:ind w:firstLine="640"/>
        <w:jc w:val="both"/>
      </w:pPr>
      <w:r>
        <w:rPr>
          <w:rFonts w:ascii="黑体" w:hAnsi="黑体" w:eastAsia="黑体" w:cs="黑体"/>
          <w:sz w:val="32"/>
        </w:rPr>
        <w:t>第二百二十三条</w:t>
      </w:r>
      <w:r>
        <w:rPr>
          <w:rFonts w:ascii="仿宋_GB2312" w:hAnsi="仿宋_GB2312" w:eastAsia="仿宋_GB2312" w:cs="仿宋_GB2312"/>
          <w:sz w:val="32"/>
        </w:rPr>
        <w:t>　投标人相互串通投标报价，损害招标人或者其他投标人利益，情节严重的，处三年以下有期徒刑或者拘役，并处或者单处罚金。</w:t>
      </w:r>
    </w:p>
    <w:p>
      <w:pPr>
        <w:spacing w:line="240" w:lineRule="auto"/>
        <w:ind w:firstLine="640"/>
        <w:jc w:val="both"/>
      </w:pPr>
      <w:r>
        <w:rPr>
          <w:rFonts w:ascii="仿宋_GB2312" w:hAnsi="仿宋_GB2312" w:eastAsia="仿宋_GB2312" w:cs="仿宋_GB2312"/>
          <w:sz w:val="32"/>
        </w:rPr>
        <w:t>投标人与招标人串通投标，损害国家、集体、公民的合法利益的，依照前款的规定处罚。</w:t>
      </w:r>
    </w:p>
    <w:p>
      <w:pPr>
        <w:spacing w:line="240" w:lineRule="auto"/>
        <w:ind w:firstLine="640"/>
        <w:jc w:val="both"/>
      </w:pPr>
      <w:r>
        <w:rPr>
          <w:rFonts w:ascii="黑体" w:hAnsi="黑体" w:eastAsia="黑体" w:cs="黑体"/>
          <w:sz w:val="32"/>
        </w:rPr>
        <w:t>第二百二十四条</w:t>
      </w:r>
      <w:r>
        <w:rPr>
          <w:rFonts w:ascii="仿宋_GB2312" w:hAnsi="仿宋_GB2312" w:eastAsia="仿宋_GB2312" w:cs="仿宋_GB2312"/>
          <w:sz w:val="32"/>
        </w:rPr>
        <w:t>　有下列情形之一，以非法占有为目的，在签订、履行合同过程中，骗取对方当事人财物，数额较大的，处三年以下有期徒刑或者拘役，并处或者单处罚金；数额巨大或者有其他严重情节的，处三年以上十年以下有期徒刑，并处罚金；数额特别巨大或者有其他特别严重情节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（一）以虚构的单位或者冒用他人名义签订合同的；</w:t>
      </w:r>
    </w:p>
    <w:p>
      <w:pPr>
        <w:spacing w:line="240" w:lineRule="auto"/>
        <w:ind w:firstLine="640"/>
        <w:jc w:val="both"/>
      </w:pPr>
      <w:r>
        <w:rPr>
          <w:rFonts w:ascii="仿宋_GB2312" w:hAnsi="仿宋_GB2312" w:eastAsia="仿宋_GB2312" w:cs="仿宋_GB2312"/>
          <w:sz w:val="32"/>
        </w:rPr>
        <w:t>（二）以伪造、变造、作废的票据或者其他虚假的产权证明作担保的；</w:t>
      </w:r>
    </w:p>
    <w:p>
      <w:pPr>
        <w:spacing w:line="240" w:lineRule="auto"/>
        <w:ind w:firstLine="640"/>
        <w:jc w:val="both"/>
      </w:pPr>
      <w:r>
        <w:rPr>
          <w:rFonts w:ascii="仿宋_GB2312" w:hAnsi="仿宋_GB2312" w:eastAsia="仿宋_GB2312" w:cs="仿宋_GB2312"/>
          <w:sz w:val="32"/>
        </w:rPr>
        <w:t>（三）没有实际履行能力，以先履行小额合同或者部分履行合同的方法，诱骗对方当事人继续签订和履行合同的；</w:t>
      </w:r>
    </w:p>
    <w:p>
      <w:pPr>
        <w:spacing w:line="240" w:lineRule="auto"/>
        <w:ind w:firstLine="640"/>
        <w:jc w:val="both"/>
      </w:pPr>
      <w:r>
        <w:rPr>
          <w:rFonts w:ascii="仿宋_GB2312" w:hAnsi="仿宋_GB2312" w:eastAsia="仿宋_GB2312" w:cs="仿宋_GB2312"/>
          <w:sz w:val="32"/>
        </w:rPr>
        <w:t>（四）收受对方当事人给付的货物、货款、预付款或者担保财产后逃匿的；</w:t>
      </w:r>
    </w:p>
    <w:p>
      <w:pPr>
        <w:spacing w:line="240" w:lineRule="auto"/>
        <w:ind w:firstLine="640"/>
        <w:jc w:val="both"/>
      </w:pPr>
      <w:r>
        <w:rPr>
          <w:rFonts w:ascii="仿宋_GB2312" w:hAnsi="仿宋_GB2312" w:eastAsia="仿宋_GB2312" w:cs="仿宋_GB2312"/>
          <w:sz w:val="32"/>
        </w:rPr>
        <w:t>（五）以其他方法骗取对方当事人财物的。</w:t>
      </w:r>
    </w:p>
    <w:p>
      <w:pPr>
        <w:spacing w:line="240" w:lineRule="auto"/>
        <w:ind w:firstLine="640"/>
        <w:jc w:val="both"/>
      </w:pPr>
      <w:r>
        <w:rPr>
          <w:rFonts w:ascii="黑体" w:hAnsi="黑体" w:eastAsia="黑体" w:cs="黑体"/>
          <w:sz w:val="32"/>
        </w:rPr>
        <w:t>第二百二十四</w:t>
      </w:r>
      <w:r>
        <w:rPr>
          <w:rFonts w:hint="eastAsia" w:ascii="黑体" w:hAnsi="黑体" w:eastAsia="黑体" w:cs="黑体"/>
          <w:sz w:val="32"/>
          <w:lang w:eastAsia="zh-CN"/>
        </w:rPr>
        <w:t>条之一　</w:t>
      </w:r>
      <w:r>
        <w:rPr>
          <w:rFonts w:ascii="仿宋_GB2312" w:hAnsi="仿宋_GB2312" w:eastAsia="仿宋_GB2312" w:cs="仿宋_GB2312"/>
          <w:sz w:val="32"/>
        </w:rPr>
        <w:t>组织、领导以推销商品、提供服务等经营活动为名，要求参加者以缴纳费用或者购买商品、服务等方式获得加入资格，并按照一定顺序组成层级，直接或者间接以发展人员的数量作为计酬或者返利依据，引诱、胁迫参加者继续发展他人参加，骗取财物，扰乱经济社会秩序的传销活动的，处五年以下有期徒刑或者拘役，并处罚金；情节严重的，处五年以上有期徒刑，并处罚金。</w:t>
      </w:r>
    </w:p>
    <w:p>
      <w:pPr>
        <w:spacing w:line="240" w:lineRule="auto"/>
        <w:ind w:firstLine="640"/>
        <w:jc w:val="both"/>
      </w:pPr>
      <w:r>
        <w:rPr>
          <w:rFonts w:ascii="黑体" w:hAnsi="黑体" w:eastAsia="黑体" w:cs="黑体"/>
          <w:sz w:val="32"/>
        </w:rPr>
        <w:t>第二百二十五条</w:t>
      </w:r>
      <w:r>
        <w:rPr>
          <w:rFonts w:ascii="仿宋_GB2312" w:hAnsi="仿宋_GB2312" w:eastAsia="仿宋_GB2312" w:cs="仿宋_GB2312"/>
          <w:sz w:val="32"/>
        </w:rPr>
        <w:t>　违反国家规定，有下列非法经营行为之一，扰乱市场秩序，情节严重的，处五年以下有期徒刑或者拘役，并处或者单处违法所得一倍以上五倍以下罚金；情节特别严重的，处五年以上有期徒刑，并处违法所得一倍以上五倍以下罚金或者没收财产：</w:t>
      </w:r>
    </w:p>
    <w:p>
      <w:pPr>
        <w:spacing w:line="240" w:lineRule="auto"/>
        <w:ind w:firstLine="640"/>
        <w:jc w:val="both"/>
      </w:pPr>
      <w:r>
        <w:rPr>
          <w:rFonts w:ascii="仿宋_GB2312" w:hAnsi="仿宋_GB2312" w:eastAsia="仿宋_GB2312" w:cs="仿宋_GB2312"/>
          <w:sz w:val="32"/>
        </w:rPr>
        <w:t>（一）未经许可经营法律、行政法规规定的专营、专卖物品或者其他限制买卖的物品的；</w:t>
      </w:r>
    </w:p>
    <w:p>
      <w:pPr>
        <w:spacing w:line="240" w:lineRule="auto"/>
        <w:ind w:firstLine="640"/>
        <w:jc w:val="both"/>
      </w:pPr>
      <w:r>
        <w:rPr>
          <w:rFonts w:ascii="仿宋_GB2312" w:hAnsi="仿宋_GB2312" w:eastAsia="仿宋_GB2312" w:cs="仿宋_GB2312"/>
          <w:sz w:val="32"/>
        </w:rPr>
        <w:t>（二）买卖进出口许可证、进出口原产地证明以及其他法律、行政法规规定的经营许可证或者批准文件的；</w:t>
      </w:r>
    </w:p>
    <w:p>
      <w:pPr>
        <w:spacing w:line="240" w:lineRule="auto"/>
        <w:ind w:firstLine="640"/>
        <w:jc w:val="both"/>
      </w:pPr>
      <w:r>
        <w:rPr>
          <w:rFonts w:ascii="仿宋_GB2312" w:hAnsi="仿宋_GB2312" w:eastAsia="仿宋_GB2312" w:cs="仿宋_GB2312"/>
          <w:sz w:val="32"/>
        </w:rPr>
        <w:t>（三）未经国家有关主管部门批准非法经营证券、期货、保险业务的，或者非法从事资金支付结算业务的；</w:t>
      </w:r>
    </w:p>
    <w:p>
      <w:pPr>
        <w:spacing w:line="240" w:lineRule="auto"/>
        <w:ind w:firstLine="640"/>
        <w:jc w:val="both"/>
      </w:pPr>
      <w:r>
        <w:rPr>
          <w:rFonts w:ascii="仿宋_GB2312" w:hAnsi="仿宋_GB2312" w:eastAsia="仿宋_GB2312" w:cs="仿宋_GB2312"/>
          <w:sz w:val="32"/>
        </w:rPr>
        <w:t>（四）其他严重扰乱市场秩序的非法经营行为。</w:t>
      </w:r>
    </w:p>
    <w:p>
      <w:pPr>
        <w:spacing w:line="240" w:lineRule="auto"/>
        <w:ind w:firstLine="640"/>
        <w:jc w:val="both"/>
      </w:pPr>
      <w:r>
        <w:rPr>
          <w:rFonts w:ascii="黑体" w:hAnsi="黑体" w:eastAsia="黑体" w:cs="黑体"/>
          <w:sz w:val="32"/>
        </w:rPr>
        <w:t>第二百二十六条</w:t>
      </w:r>
      <w:r>
        <w:rPr>
          <w:rFonts w:ascii="仿宋_GB2312" w:hAnsi="仿宋_GB2312" w:eastAsia="仿宋_GB2312" w:cs="仿宋_GB2312"/>
          <w:sz w:val="32"/>
        </w:rPr>
        <w:t>　以暴力、威胁手段，实施下列行为之一，情节严重的，处三年以下有期徒刑或者拘役，并处或者单处罚金；情节特别严重的，处三年以上七年以下有期徒刑，并处罚金：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（一）强买强卖商品的；</w:t>
      </w:r>
    </w:p>
    <w:p>
      <w:pPr>
        <w:spacing w:line="240" w:lineRule="auto"/>
        <w:ind w:firstLine="640"/>
        <w:jc w:val="both"/>
      </w:pPr>
      <w:r>
        <w:rPr>
          <w:rFonts w:ascii="仿宋_GB2312" w:hAnsi="仿宋_GB2312" w:eastAsia="仿宋_GB2312" w:cs="仿宋_GB2312"/>
          <w:sz w:val="32"/>
        </w:rPr>
        <w:t>（二）强迫他人提供或者接受服务的；</w:t>
      </w:r>
    </w:p>
    <w:p>
      <w:pPr>
        <w:spacing w:line="240" w:lineRule="auto"/>
        <w:ind w:firstLine="640"/>
        <w:jc w:val="both"/>
      </w:pPr>
      <w:r>
        <w:rPr>
          <w:rFonts w:ascii="仿宋_GB2312" w:hAnsi="仿宋_GB2312" w:eastAsia="仿宋_GB2312" w:cs="仿宋_GB2312"/>
          <w:sz w:val="32"/>
        </w:rPr>
        <w:t>（三）强迫他人参与或者退出投标、拍卖的；</w:t>
      </w:r>
    </w:p>
    <w:p>
      <w:pPr>
        <w:spacing w:line="240" w:lineRule="auto"/>
        <w:ind w:firstLine="640"/>
        <w:jc w:val="both"/>
      </w:pPr>
      <w:r>
        <w:rPr>
          <w:rFonts w:ascii="仿宋_GB2312" w:hAnsi="仿宋_GB2312" w:eastAsia="仿宋_GB2312" w:cs="仿宋_GB2312"/>
          <w:sz w:val="32"/>
        </w:rPr>
        <w:t>（四）强迫他人转让或者收购公司、企业的股份、债券或者其他资产的；</w:t>
      </w:r>
    </w:p>
    <w:p>
      <w:pPr>
        <w:spacing w:line="240" w:lineRule="auto"/>
        <w:ind w:firstLine="640"/>
        <w:jc w:val="both"/>
      </w:pPr>
      <w:r>
        <w:rPr>
          <w:rFonts w:ascii="仿宋_GB2312" w:hAnsi="仿宋_GB2312" w:eastAsia="仿宋_GB2312" w:cs="仿宋_GB2312"/>
          <w:sz w:val="32"/>
        </w:rPr>
        <w:t>（五）强迫他人参与或者退出特定的经营活动的。</w:t>
      </w:r>
    </w:p>
    <w:p>
      <w:pPr>
        <w:spacing w:line="240" w:lineRule="auto"/>
        <w:ind w:firstLine="640"/>
        <w:jc w:val="both"/>
      </w:pPr>
      <w:r>
        <w:rPr>
          <w:rFonts w:ascii="黑体" w:hAnsi="黑体" w:eastAsia="黑体" w:cs="黑体"/>
          <w:sz w:val="32"/>
        </w:rPr>
        <w:t>第二百二十七条</w:t>
      </w:r>
      <w:r>
        <w:rPr>
          <w:rFonts w:ascii="仿宋_GB2312" w:hAnsi="仿宋_GB2312" w:eastAsia="仿宋_GB2312" w:cs="仿宋_GB2312"/>
          <w:sz w:val="32"/>
        </w:rPr>
        <w:t>　伪造或者倒卖伪造的车票、船票、邮票或者其他有价票证，数额较大的，处二年以下有期徒刑、拘役或者管制，并处或者单处票证价额一倍以上五倍以下罚金；数额巨大的，处二年以上七年以下有期徒刑，并处票证价额一倍以上五倍以下罚金。</w:t>
      </w:r>
    </w:p>
    <w:p>
      <w:pPr>
        <w:spacing w:line="240" w:lineRule="auto"/>
        <w:ind w:firstLine="640"/>
        <w:jc w:val="both"/>
      </w:pPr>
      <w:r>
        <w:rPr>
          <w:rFonts w:ascii="仿宋_GB2312" w:hAnsi="仿宋_GB2312" w:eastAsia="仿宋_GB2312" w:cs="仿宋_GB2312"/>
          <w:sz w:val="32"/>
        </w:rPr>
        <w:t>倒卖车票、船票，情节严重的，处三年以下有期徒刑、拘役或者管制，并处或者单处票证价额一倍以上五倍以下罚金。</w:t>
      </w:r>
    </w:p>
    <w:p>
      <w:pPr>
        <w:spacing w:line="240" w:lineRule="auto"/>
        <w:ind w:firstLine="640"/>
        <w:jc w:val="both"/>
      </w:pPr>
      <w:r>
        <w:rPr>
          <w:rFonts w:ascii="黑体" w:hAnsi="黑体" w:eastAsia="黑体" w:cs="黑体"/>
          <w:sz w:val="32"/>
        </w:rPr>
        <w:t>第二百二十八条</w:t>
      </w:r>
      <w:r>
        <w:rPr>
          <w:rFonts w:ascii="仿宋_GB2312" w:hAnsi="仿宋_GB2312" w:eastAsia="仿宋_GB2312" w:cs="仿宋_GB2312"/>
          <w:sz w:val="32"/>
        </w:rPr>
        <w:t>　以牟利为目的，违反土地管理法规，非法转让、倒卖土地使用权，情节严重的，处三年以下有期徒刑或者拘役，并处或者单处非法转让、倒卖土地使用权价额百分之五以上百分之二十以下罚金；情节特别严重的，处三年以上七年以下有期徒刑，并处非法转让、倒卖土地使用权价额百分之五以上百分之二十以下罚金。</w:t>
      </w:r>
    </w:p>
    <w:p>
      <w:pPr>
        <w:spacing w:line="240" w:lineRule="auto"/>
        <w:ind w:firstLine="640"/>
        <w:jc w:val="both"/>
      </w:pPr>
      <w:r>
        <w:rPr>
          <w:rFonts w:ascii="黑体" w:hAnsi="黑体" w:eastAsia="黑体" w:cs="黑体"/>
          <w:sz w:val="32"/>
        </w:rPr>
        <w:t>第二百二十九条</w:t>
      </w:r>
      <w:r>
        <w:rPr>
          <w:rFonts w:ascii="仿宋_GB2312" w:hAnsi="仿宋_GB2312" w:eastAsia="仿宋_GB2312" w:cs="仿宋_GB2312"/>
          <w:sz w:val="32"/>
        </w:rPr>
        <w:t>　承担资产评估、验资、验证、会计、审计、法律服务、保荐、安全评价、环境影响评价、环境监测等职责的中介组织的人员故意提供虚假证明文件，情节严重的，处五年以下有期徒刑或者拘役，并处罚金；有下列情形之一的，处五年以上十年以下有期徒刑，并处罚金：</w:t>
      </w:r>
    </w:p>
    <w:p>
      <w:pPr>
        <w:spacing w:line="240" w:lineRule="auto"/>
        <w:ind w:firstLine="640"/>
        <w:jc w:val="both"/>
      </w:pPr>
      <w:r>
        <w:rPr>
          <w:rFonts w:ascii="仿宋_GB2312" w:hAnsi="仿宋_GB2312" w:eastAsia="仿宋_GB2312" w:cs="仿宋_GB2312"/>
          <w:sz w:val="32"/>
        </w:rPr>
        <w:t>（一）提供与证券发行相关的虚假的资产评估、会计、审计、法律服务、保荐等证明文件，情节特别严重的；</w:t>
      </w:r>
    </w:p>
    <w:p>
      <w:pPr>
        <w:spacing w:line="240" w:lineRule="auto"/>
        <w:ind w:firstLine="640"/>
        <w:jc w:val="both"/>
      </w:pPr>
      <w:r>
        <w:rPr>
          <w:rFonts w:ascii="仿宋_GB2312" w:hAnsi="仿宋_GB2312" w:eastAsia="仿宋_GB2312" w:cs="仿宋_GB2312"/>
          <w:sz w:val="32"/>
        </w:rPr>
        <w:t>（二）提供与重大资产交易相关的虚假的资产评估、会计、审计等证明文件，情节特别严重的；</w:t>
      </w:r>
    </w:p>
    <w:p>
      <w:pPr>
        <w:spacing w:line="240" w:lineRule="auto"/>
        <w:ind w:firstLine="640"/>
        <w:jc w:val="both"/>
      </w:pPr>
      <w:r>
        <w:rPr>
          <w:rFonts w:ascii="仿宋_GB2312" w:hAnsi="仿宋_GB2312" w:eastAsia="仿宋_GB2312" w:cs="仿宋_GB2312"/>
          <w:sz w:val="32"/>
        </w:rPr>
        <w:t>（三）在涉及公共安全的重大工程、项目中提供虚假的安全评价、环境影响评价等证明文件，致使公共财产、国家和人民利益遭受特别重大损失的。</w:t>
      </w:r>
    </w:p>
    <w:p>
      <w:pPr>
        <w:spacing w:line="240" w:lineRule="auto"/>
        <w:ind w:firstLine="640"/>
        <w:jc w:val="both"/>
      </w:pPr>
      <w:r>
        <w:rPr>
          <w:rFonts w:ascii="仿宋_GB2312" w:hAnsi="仿宋_GB2312" w:eastAsia="仿宋_GB2312" w:cs="仿宋_GB2312"/>
          <w:sz w:val="32"/>
        </w:rPr>
        <w:t>有前款行为，同时索取他人财物或者非法收受他人财物构成犯罪的，依照处罚较重的规定定罪处罚。</w:t>
      </w:r>
    </w:p>
    <w:p>
      <w:pPr>
        <w:spacing w:line="240" w:lineRule="auto"/>
        <w:ind w:firstLine="640"/>
        <w:jc w:val="both"/>
      </w:pPr>
      <w:r>
        <w:rPr>
          <w:rFonts w:ascii="仿宋_GB2312" w:hAnsi="仿宋_GB2312" w:eastAsia="仿宋_GB2312" w:cs="仿宋_GB2312"/>
          <w:sz w:val="32"/>
        </w:rPr>
        <w:t>第一款规定的人员，严重不负责任，出具的证明文件有重大失实，造成严重后果的，处三年以下有期徒刑或者拘役，并处或者单处罚金。</w:t>
      </w:r>
    </w:p>
    <w:p>
      <w:pPr>
        <w:spacing w:line="240" w:lineRule="auto"/>
        <w:ind w:firstLine="640"/>
        <w:jc w:val="both"/>
      </w:pPr>
      <w:r>
        <w:rPr>
          <w:rFonts w:ascii="黑体" w:hAnsi="黑体" w:eastAsia="黑体" w:cs="黑体"/>
          <w:sz w:val="32"/>
        </w:rPr>
        <w:t>第二百三十条</w:t>
      </w:r>
      <w:r>
        <w:rPr>
          <w:rFonts w:ascii="仿宋_GB2312" w:hAnsi="仿宋_GB2312" w:eastAsia="仿宋_GB2312" w:cs="仿宋_GB2312"/>
          <w:sz w:val="32"/>
        </w:rPr>
        <w:t>　违反进出口商品检验法的规定，逃避商品检验，将必须经商检机构检验的进口商品未报经检验而擅自销售、使用，或者将必须经商检机构检验的出口商品未报经检验合格而擅自出口，情节严重的，处三年以下有期徒刑或者拘役，并处或者单处罚金。</w:t>
      </w:r>
    </w:p>
    <w:p>
      <w:pPr>
        <w:spacing w:line="240" w:lineRule="auto"/>
        <w:ind w:firstLine="640"/>
        <w:jc w:val="both"/>
      </w:pPr>
      <w:r>
        <w:rPr>
          <w:rFonts w:ascii="黑体" w:hAnsi="黑体" w:eastAsia="黑体" w:cs="黑体"/>
          <w:sz w:val="32"/>
        </w:rPr>
        <w:t>第二百三十一条</w:t>
      </w:r>
      <w:r>
        <w:rPr>
          <w:rFonts w:ascii="仿宋_GB2312" w:hAnsi="仿宋_GB2312" w:eastAsia="仿宋_GB2312" w:cs="仿宋_GB2312"/>
          <w:sz w:val="32"/>
        </w:rPr>
        <w:t>　单位犯本节第二百二十一条至第二百三十条规定之罪的，对单位判处罚金，并对其直接负责的主管人员和其他直接责任人员，依照本节各该条的规定处罚。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第四章　侵犯公民人身权利、民主权利罪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第二百三十二条</w:t>
      </w:r>
      <w:r>
        <w:rPr>
          <w:rFonts w:ascii="仿宋_GB2312" w:hAnsi="仿宋_GB2312" w:eastAsia="仿宋_GB2312" w:cs="仿宋_GB2312"/>
          <w:sz w:val="32"/>
        </w:rPr>
        <w:t>　故意杀人的，处死刑、无期徒刑或者十年以上有期徒刑；情节较轻的，处三年以上十年以下有期徒刑。</w:t>
      </w:r>
    </w:p>
    <w:p>
      <w:pPr>
        <w:spacing w:line="240" w:lineRule="auto"/>
        <w:ind w:firstLine="640"/>
        <w:jc w:val="both"/>
      </w:pPr>
      <w:r>
        <w:rPr>
          <w:rFonts w:ascii="黑体" w:hAnsi="黑体" w:eastAsia="黑体" w:cs="黑体"/>
          <w:sz w:val="32"/>
        </w:rPr>
        <w:t>第二百三十三条</w:t>
      </w:r>
      <w:r>
        <w:rPr>
          <w:rFonts w:ascii="仿宋_GB2312" w:hAnsi="仿宋_GB2312" w:eastAsia="仿宋_GB2312" w:cs="仿宋_GB2312"/>
          <w:sz w:val="32"/>
        </w:rPr>
        <w:t>　过失致人死亡的，处三年以上七年以下有期徒刑；情节较轻的，处三年以下有期徒刑。本法另有规定的，依照规定。</w:t>
      </w:r>
    </w:p>
    <w:p>
      <w:pPr>
        <w:spacing w:line="240" w:lineRule="auto"/>
        <w:ind w:firstLine="640"/>
        <w:jc w:val="both"/>
      </w:pPr>
      <w:r>
        <w:rPr>
          <w:rFonts w:ascii="黑体" w:hAnsi="黑体" w:eastAsia="黑体" w:cs="黑体"/>
          <w:sz w:val="32"/>
        </w:rPr>
        <w:t>第二百三十四条</w:t>
      </w:r>
      <w:r>
        <w:rPr>
          <w:rFonts w:ascii="仿宋_GB2312" w:hAnsi="仿宋_GB2312" w:eastAsia="仿宋_GB2312" w:cs="仿宋_GB2312"/>
          <w:sz w:val="32"/>
        </w:rPr>
        <w:t>　故意伤害他人身体的，处三年以下有期徒刑、拘役或者管制。</w:t>
      </w:r>
    </w:p>
    <w:p>
      <w:pPr>
        <w:spacing w:line="240" w:lineRule="auto"/>
        <w:ind w:firstLine="640"/>
        <w:jc w:val="both"/>
      </w:pPr>
      <w:r>
        <w:rPr>
          <w:rFonts w:ascii="仿宋_GB2312" w:hAnsi="仿宋_GB2312" w:eastAsia="仿宋_GB2312" w:cs="仿宋_GB2312"/>
          <w:sz w:val="32"/>
        </w:rPr>
        <w:t>犯前款罪，致人重伤的，处三年以上十年以下有期徒刑；致人死亡或者以特别残忍手段致人重伤造成严重残疾的，处十年以上有期徒刑、无期徒刑或者死刑。本法另有规定的，依照规定。</w:t>
      </w:r>
    </w:p>
    <w:p>
      <w:pPr>
        <w:spacing w:line="240" w:lineRule="auto"/>
        <w:ind w:firstLine="640"/>
        <w:jc w:val="both"/>
      </w:pPr>
      <w:r>
        <w:rPr>
          <w:rFonts w:ascii="黑体" w:hAnsi="黑体" w:eastAsia="黑体" w:cs="黑体"/>
          <w:sz w:val="32"/>
        </w:rPr>
        <w:t>第二百三十四</w:t>
      </w:r>
      <w:r>
        <w:rPr>
          <w:rFonts w:hint="eastAsia" w:ascii="黑体" w:hAnsi="黑体" w:eastAsia="黑体" w:cs="黑体"/>
          <w:sz w:val="32"/>
          <w:lang w:eastAsia="zh-CN"/>
        </w:rPr>
        <w:t>条之一　</w:t>
      </w:r>
      <w:r>
        <w:rPr>
          <w:rFonts w:ascii="仿宋_GB2312" w:hAnsi="仿宋_GB2312" w:eastAsia="仿宋_GB2312" w:cs="仿宋_GB2312"/>
          <w:sz w:val="32"/>
        </w:rPr>
        <w:t>组织他人出卖人体器官的，处五年以下有期徒刑，并处罚金；情节严重的，处五年以上有期徒刑，并处罚金或者没收财产。</w:t>
      </w:r>
    </w:p>
    <w:p>
      <w:pPr>
        <w:spacing w:line="240" w:lineRule="auto"/>
        <w:ind w:firstLine="640"/>
        <w:jc w:val="both"/>
      </w:pPr>
      <w:r>
        <w:rPr>
          <w:rFonts w:ascii="仿宋_GB2312" w:hAnsi="仿宋_GB2312" w:eastAsia="仿宋_GB2312" w:cs="仿宋_GB2312"/>
          <w:sz w:val="32"/>
        </w:rPr>
        <w:t>未经本人同意摘取其器官，或者摘取不满十八周岁的人的器官，或者强迫、欺骗他人捐献器官的，依照本法第二百三十四条、第二百三十二条的规定定罪处罚。</w:t>
      </w:r>
    </w:p>
    <w:p>
      <w:pPr>
        <w:spacing w:line="240" w:lineRule="auto"/>
        <w:ind w:firstLine="640"/>
        <w:jc w:val="both"/>
      </w:pPr>
      <w:r>
        <w:rPr>
          <w:rFonts w:ascii="仿宋_GB2312" w:hAnsi="仿宋_GB2312" w:eastAsia="仿宋_GB2312" w:cs="仿宋_GB2312"/>
          <w:sz w:val="32"/>
        </w:rPr>
        <w:t>违背本人生前意愿摘取其尸体器官，或者本人生前未表示同意，违反国家规定，违背其近亲属意愿摘取其尸体器官的，依照本法第三百零二条的规定定罪处罚。</w:t>
      </w:r>
    </w:p>
    <w:p>
      <w:pPr>
        <w:spacing w:line="240" w:lineRule="auto"/>
        <w:ind w:firstLine="640"/>
        <w:jc w:val="both"/>
      </w:pPr>
      <w:r>
        <w:rPr>
          <w:rFonts w:ascii="黑体" w:hAnsi="黑体" w:eastAsia="黑体" w:cs="黑体"/>
          <w:sz w:val="32"/>
        </w:rPr>
        <w:t>第二百三十五条</w:t>
      </w:r>
      <w:r>
        <w:rPr>
          <w:rFonts w:ascii="仿宋_GB2312" w:hAnsi="仿宋_GB2312" w:eastAsia="仿宋_GB2312" w:cs="仿宋_GB2312"/>
          <w:sz w:val="32"/>
        </w:rPr>
        <w:t>　过失伤害他人致人重伤的，处三年以下有期徒刑或者拘役。本法另有规定的，依照规定。</w:t>
      </w:r>
    </w:p>
    <w:p>
      <w:pPr>
        <w:spacing w:line="240" w:lineRule="auto"/>
        <w:ind w:firstLine="640"/>
        <w:jc w:val="both"/>
      </w:pPr>
      <w:r>
        <w:rPr>
          <w:rFonts w:ascii="黑体" w:hAnsi="黑体" w:eastAsia="黑体" w:cs="黑体"/>
          <w:sz w:val="32"/>
        </w:rPr>
        <w:t>第二百三十六条</w:t>
      </w:r>
      <w:r>
        <w:rPr>
          <w:rFonts w:ascii="仿宋_GB2312" w:hAnsi="仿宋_GB2312" w:eastAsia="仿宋_GB2312" w:cs="仿宋_GB2312"/>
          <w:sz w:val="32"/>
        </w:rPr>
        <w:t>　以暴力、胁迫或者其他手段强奸妇女的，处三年以上十年以下有期徒刑。</w:t>
      </w:r>
    </w:p>
    <w:p>
      <w:pPr>
        <w:spacing w:line="240" w:lineRule="auto"/>
        <w:ind w:firstLine="640"/>
        <w:jc w:val="both"/>
      </w:pPr>
      <w:r>
        <w:rPr>
          <w:rFonts w:ascii="仿宋_GB2312" w:hAnsi="仿宋_GB2312" w:eastAsia="仿宋_GB2312" w:cs="仿宋_GB2312"/>
          <w:sz w:val="32"/>
        </w:rPr>
        <w:t>奸淫不满十四周岁的幼女的，以强奸论，从重处罚。</w:t>
      </w:r>
    </w:p>
    <w:p>
      <w:pPr>
        <w:spacing w:line="240" w:lineRule="auto"/>
        <w:ind w:firstLine="640"/>
        <w:jc w:val="both"/>
      </w:pPr>
      <w:r>
        <w:rPr>
          <w:rFonts w:ascii="仿宋_GB2312" w:hAnsi="仿宋_GB2312" w:eastAsia="仿宋_GB2312" w:cs="仿宋_GB2312"/>
          <w:sz w:val="32"/>
        </w:rPr>
        <w:t>强奸妇女、奸淫幼女，有下列情形之一的，处十年以上有期徒刑、无期徒刑或者死刑：</w:t>
      </w:r>
    </w:p>
    <w:p>
      <w:pPr>
        <w:spacing w:line="240" w:lineRule="auto"/>
        <w:ind w:firstLine="640"/>
        <w:jc w:val="both"/>
      </w:pPr>
      <w:r>
        <w:rPr>
          <w:rFonts w:ascii="仿宋_GB2312" w:hAnsi="仿宋_GB2312" w:eastAsia="仿宋_GB2312" w:cs="仿宋_GB2312"/>
          <w:sz w:val="32"/>
        </w:rPr>
        <w:t>（一）强奸妇女、奸淫幼女情节恶劣的；</w:t>
      </w:r>
    </w:p>
    <w:p>
      <w:pPr>
        <w:spacing w:line="240" w:lineRule="auto"/>
        <w:ind w:firstLine="640"/>
        <w:jc w:val="both"/>
      </w:pPr>
      <w:r>
        <w:rPr>
          <w:rFonts w:ascii="仿宋_GB2312" w:hAnsi="仿宋_GB2312" w:eastAsia="仿宋_GB2312" w:cs="仿宋_GB2312"/>
          <w:sz w:val="32"/>
        </w:rPr>
        <w:t>（二）强奸妇女、奸淫幼女多人的；</w:t>
      </w:r>
    </w:p>
    <w:p>
      <w:pPr>
        <w:spacing w:line="240" w:lineRule="auto"/>
        <w:ind w:firstLine="640"/>
        <w:jc w:val="both"/>
      </w:pPr>
      <w:r>
        <w:rPr>
          <w:rFonts w:ascii="仿宋_GB2312" w:hAnsi="仿宋_GB2312" w:eastAsia="仿宋_GB2312" w:cs="仿宋_GB2312"/>
          <w:sz w:val="32"/>
        </w:rPr>
        <w:t>（三）在公共场所当众强奸妇女、奸淫幼女的；</w:t>
      </w:r>
    </w:p>
    <w:p>
      <w:pPr>
        <w:spacing w:line="240" w:lineRule="auto"/>
        <w:ind w:firstLine="640"/>
        <w:jc w:val="both"/>
      </w:pPr>
      <w:r>
        <w:rPr>
          <w:rFonts w:ascii="仿宋_GB2312" w:hAnsi="仿宋_GB2312" w:eastAsia="仿宋_GB2312" w:cs="仿宋_GB2312"/>
          <w:sz w:val="32"/>
        </w:rPr>
        <w:t>（四）二人以上轮奸的；</w:t>
      </w:r>
    </w:p>
    <w:p>
      <w:pPr>
        <w:spacing w:line="240" w:lineRule="auto"/>
        <w:ind w:firstLine="640"/>
        <w:jc w:val="both"/>
      </w:pPr>
      <w:r>
        <w:rPr>
          <w:rFonts w:ascii="仿宋_GB2312" w:hAnsi="仿宋_GB2312" w:eastAsia="仿宋_GB2312" w:cs="仿宋_GB2312"/>
          <w:sz w:val="32"/>
        </w:rPr>
        <w:t>（五）奸淫不满十周岁的幼女或者造成幼女伤害的；</w:t>
      </w:r>
    </w:p>
    <w:p>
      <w:pPr>
        <w:spacing w:line="240" w:lineRule="auto"/>
        <w:ind w:firstLine="640"/>
        <w:jc w:val="both"/>
      </w:pPr>
      <w:r>
        <w:rPr>
          <w:rFonts w:ascii="仿宋_GB2312" w:hAnsi="仿宋_GB2312" w:eastAsia="仿宋_GB2312" w:cs="仿宋_GB2312"/>
          <w:sz w:val="32"/>
        </w:rPr>
        <w:t>（六）致使被害人重伤、死亡或者造成其他严重后果的。</w:t>
      </w:r>
    </w:p>
    <w:p>
      <w:pPr>
        <w:spacing w:line="240" w:lineRule="auto"/>
        <w:ind w:firstLine="640"/>
        <w:jc w:val="both"/>
      </w:pPr>
      <w:r>
        <w:rPr>
          <w:rFonts w:ascii="黑体" w:hAnsi="黑体" w:eastAsia="黑体" w:cs="黑体"/>
          <w:sz w:val="32"/>
        </w:rPr>
        <w:t>第二百三十六</w:t>
      </w:r>
      <w:r>
        <w:rPr>
          <w:rFonts w:hint="eastAsia" w:ascii="黑体" w:hAnsi="黑体" w:eastAsia="黑体" w:cs="黑体"/>
          <w:sz w:val="32"/>
          <w:lang w:eastAsia="zh-CN"/>
        </w:rPr>
        <w:t>条之一　</w:t>
      </w:r>
      <w:r>
        <w:rPr>
          <w:rFonts w:ascii="仿宋_GB2312" w:hAnsi="仿宋_GB2312" w:eastAsia="仿宋_GB2312" w:cs="仿宋_GB2312"/>
          <w:sz w:val="32"/>
        </w:rPr>
        <w:t>对已满十四周岁不满十六周岁的未成年女性负有监护、收养、看护、教育、医疗等特殊职责的人员，与该未成年女性发生性关系的，处三年以下有期徒刑；情节恶劣的，处三年以上十年以下有期徒刑。</w:t>
      </w:r>
    </w:p>
    <w:p>
      <w:pPr>
        <w:spacing w:line="240" w:lineRule="auto"/>
        <w:ind w:firstLine="640"/>
        <w:jc w:val="both"/>
      </w:pPr>
      <w:r>
        <w:rPr>
          <w:rFonts w:ascii="仿宋_GB2312" w:hAnsi="仿宋_GB2312" w:eastAsia="仿宋_GB2312" w:cs="仿宋_GB2312"/>
          <w:sz w:val="32"/>
        </w:rPr>
        <w:t>有前款行为，同时又构成本法第二百三十六条规定之罪的，依照处罚较重的规定定罪处罚。</w:t>
      </w:r>
    </w:p>
    <w:p>
      <w:pPr>
        <w:spacing w:line="240" w:lineRule="auto"/>
        <w:ind w:firstLine="640"/>
        <w:jc w:val="both"/>
      </w:pPr>
      <w:r>
        <w:rPr>
          <w:rFonts w:ascii="黑体" w:hAnsi="黑体" w:eastAsia="黑体" w:cs="黑体"/>
          <w:sz w:val="32"/>
        </w:rPr>
        <w:t>第二百三十七条</w:t>
      </w:r>
      <w:r>
        <w:rPr>
          <w:rFonts w:ascii="仿宋_GB2312" w:hAnsi="仿宋_GB2312" w:eastAsia="仿宋_GB2312" w:cs="仿宋_GB2312"/>
          <w:sz w:val="32"/>
        </w:rPr>
        <w:t>　以暴力、胁迫或者其他方法强制猥亵他人或者侮辱妇女的，处五年以下有期徒刑或者拘役。</w:t>
      </w:r>
    </w:p>
    <w:p>
      <w:pPr>
        <w:spacing w:line="240" w:lineRule="auto"/>
        <w:ind w:firstLine="640"/>
        <w:jc w:val="both"/>
      </w:pPr>
      <w:r>
        <w:rPr>
          <w:rFonts w:ascii="仿宋_GB2312" w:hAnsi="仿宋_GB2312" w:eastAsia="仿宋_GB2312" w:cs="仿宋_GB2312"/>
          <w:sz w:val="32"/>
        </w:rPr>
        <w:t>聚众或者在公共场所当众犯前款罪的，或者有其他恶劣情节的，处五年以上有期徒刑。</w:t>
      </w:r>
    </w:p>
    <w:p>
      <w:pPr>
        <w:spacing w:line="240" w:lineRule="auto"/>
        <w:ind w:firstLine="640"/>
        <w:jc w:val="both"/>
      </w:pPr>
      <w:r>
        <w:rPr>
          <w:rFonts w:ascii="仿宋_GB2312" w:hAnsi="仿宋_GB2312" w:eastAsia="仿宋_GB2312" w:cs="仿宋_GB2312"/>
          <w:sz w:val="32"/>
        </w:rPr>
        <w:t>猥亵儿童的，处五年以下有期徒刑；有下列情形之一的，处五年以上有期徒刑：</w:t>
      </w:r>
    </w:p>
    <w:p>
      <w:pPr>
        <w:spacing w:line="240" w:lineRule="auto"/>
        <w:ind w:firstLine="640"/>
        <w:jc w:val="both"/>
      </w:pPr>
      <w:r>
        <w:rPr>
          <w:rFonts w:ascii="仿宋_GB2312" w:hAnsi="仿宋_GB2312" w:eastAsia="仿宋_GB2312" w:cs="仿宋_GB2312"/>
          <w:sz w:val="32"/>
        </w:rPr>
        <w:t>（一）猥亵儿童多人或者多次的；</w:t>
      </w:r>
    </w:p>
    <w:p>
      <w:pPr>
        <w:spacing w:line="240" w:lineRule="auto"/>
        <w:ind w:firstLine="640"/>
        <w:jc w:val="both"/>
      </w:pPr>
      <w:r>
        <w:rPr>
          <w:rFonts w:ascii="仿宋_GB2312" w:hAnsi="仿宋_GB2312" w:eastAsia="仿宋_GB2312" w:cs="仿宋_GB2312"/>
          <w:sz w:val="32"/>
        </w:rPr>
        <w:t>（二）聚众猥亵儿童的，或者在公共场所当众猥亵儿童，情节恶劣的；</w:t>
      </w:r>
    </w:p>
    <w:p>
      <w:pPr>
        <w:spacing w:line="240" w:lineRule="auto"/>
        <w:ind w:firstLine="640"/>
        <w:jc w:val="both"/>
      </w:pPr>
      <w:r>
        <w:rPr>
          <w:rFonts w:ascii="仿宋_GB2312" w:hAnsi="仿宋_GB2312" w:eastAsia="仿宋_GB2312" w:cs="仿宋_GB2312"/>
          <w:sz w:val="32"/>
        </w:rPr>
        <w:t>（三）造成儿童伤害或者其他严重后果的；</w:t>
      </w:r>
    </w:p>
    <w:p>
      <w:pPr>
        <w:spacing w:line="240" w:lineRule="auto"/>
        <w:ind w:firstLine="640"/>
        <w:jc w:val="both"/>
      </w:pPr>
      <w:r>
        <w:rPr>
          <w:rFonts w:ascii="仿宋_GB2312" w:hAnsi="仿宋_GB2312" w:eastAsia="仿宋_GB2312" w:cs="仿宋_GB2312"/>
          <w:sz w:val="32"/>
        </w:rPr>
        <w:t>（四）猥亵手段恶劣或者有其他恶劣情节的。</w:t>
      </w:r>
    </w:p>
    <w:p>
      <w:pPr>
        <w:spacing w:line="240" w:lineRule="auto"/>
        <w:ind w:firstLine="640"/>
        <w:jc w:val="both"/>
      </w:pPr>
      <w:r>
        <w:rPr>
          <w:rFonts w:ascii="黑体" w:hAnsi="黑体" w:eastAsia="黑体" w:cs="黑体"/>
          <w:sz w:val="32"/>
        </w:rPr>
        <w:t>第二百三十八条</w:t>
      </w:r>
      <w:r>
        <w:rPr>
          <w:rFonts w:ascii="仿宋_GB2312" w:hAnsi="仿宋_GB2312" w:eastAsia="仿宋_GB2312" w:cs="仿宋_GB2312"/>
          <w:sz w:val="32"/>
        </w:rPr>
        <w:t>　非法拘禁他人或者以其他方法非法剥夺他人人身自由的，处三年以下有期徒刑、拘役、管制或者剥夺政治权利。具有殴打、侮辱情节的，从重处罚。</w:t>
      </w:r>
    </w:p>
    <w:p>
      <w:pPr>
        <w:spacing w:line="240" w:lineRule="auto"/>
        <w:ind w:firstLine="640"/>
        <w:jc w:val="both"/>
      </w:pPr>
      <w:r>
        <w:rPr>
          <w:rFonts w:ascii="仿宋_GB2312" w:hAnsi="仿宋_GB2312" w:eastAsia="仿宋_GB2312" w:cs="仿宋_GB2312"/>
          <w:sz w:val="32"/>
        </w:rPr>
        <w:t>犯前款罪，致人重伤的，处三年以上十年以下有期徒刑；致人死亡的，处十年以上有期徒刑。使用暴力致人伤残、死亡的，依照本法第二百三十四条、第二百三十二条的规定定罪处罚。</w:t>
      </w:r>
    </w:p>
    <w:p>
      <w:pPr>
        <w:spacing w:line="240" w:lineRule="auto"/>
        <w:ind w:firstLine="640"/>
        <w:jc w:val="both"/>
      </w:pPr>
      <w:r>
        <w:rPr>
          <w:rFonts w:ascii="仿宋_GB2312" w:hAnsi="仿宋_GB2312" w:eastAsia="仿宋_GB2312" w:cs="仿宋_GB2312"/>
          <w:sz w:val="32"/>
        </w:rPr>
        <w:t>为索取债务非法扣押、拘禁他人的，依照前两款的规定处罚。</w:t>
      </w:r>
    </w:p>
    <w:p>
      <w:pPr>
        <w:spacing w:line="240" w:lineRule="auto"/>
        <w:ind w:firstLine="640"/>
        <w:jc w:val="both"/>
      </w:pPr>
      <w:r>
        <w:rPr>
          <w:rFonts w:ascii="仿宋_GB2312" w:hAnsi="仿宋_GB2312" w:eastAsia="仿宋_GB2312" w:cs="仿宋_GB2312"/>
          <w:sz w:val="32"/>
        </w:rPr>
        <w:t>国家机关工作人员利用职权犯前三款罪的，依照前三款的规定从重处罚。</w:t>
      </w:r>
    </w:p>
    <w:p>
      <w:pPr>
        <w:spacing w:line="240" w:lineRule="auto"/>
        <w:ind w:firstLine="640"/>
        <w:jc w:val="both"/>
      </w:pPr>
      <w:r>
        <w:rPr>
          <w:rFonts w:ascii="黑体" w:hAnsi="黑体" w:eastAsia="黑体" w:cs="黑体"/>
          <w:sz w:val="32"/>
        </w:rPr>
        <w:t>第二百三十九条</w:t>
      </w:r>
      <w:r>
        <w:rPr>
          <w:rFonts w:ascii="仿宋_GB2312" w:hAnsi="仿宋_GB2312" w:eastAsia="仿宋_GB2312" w:cs="仿宋_GB2312"/>
          <w:sz w:val="32"/>
        </w:rPr>
        <w:t>　以勒索财物为目的绑架他人的，或者绑架他人作为人质的，处十年以上有期徒刑或者无期徒刑，并处罚金或者没收财产；情节较轻的，处五年以上十年以下有期徒刑，并处罚金。</w:t>
      </w:r>
    </w:p>
    <w:p>
      <w:pPr>
        <w:spacing w:line="240" w:lineRule="auto"/>
        <w:ind w:firstLine="640"/>
        <w:jc w:val="both"/>
      </w:pPr>
      <w:r>
        <w:rPr>
          <w:rFonts w:ascii="仿宋_GB2312" w:hAnsi="仿宋_GB2312" w:eastAsia="仿宋_GB2312" w:cs="仿宋_GB2312"/>
          <w:sz w:val="32"/>
        </w:rPr>
        <w:t>犯前款罪，杀害被绑架人的，或者故意伤害被绑架人，致人重伤、死亡的，处无期徒刑或者死刑，并处没收财产。</w:t>
      </w:r>
    </w:p>
    <w:p>
      <w:pPr>
        <w:spacing w:line="240" w:lineRule="auto"/>
        <w:ind w:firstLine="640"/>
        <w:jc w:val="both"/>
      </w:pPr>
      <w:r>
        <w:rPr>
          <w:rFonts w:ascii="仿宋_GB2312" w:hAnsi="仿宋_GB2312" w:eastAsia="仿宋_GB2312" w:cs="仿宋_GB2312"/>
          <w:sz w:val="32"/>
        </w:rPr>
        <w:t>以勒索财物为目的偷盗婴幼儿的，依照前两款的规定处罚。</w:t>
      </w:r>
    </w:p>
    <w:p>
      <w:pPr>
        <w:spacing w:line="240" w:lineRule="auto"/>
        <w:ind w:firstLine="640"/>
        <w:jc w:val="both"/>
      </w:pPr>
      <w:r>
        <w:rPr>
          <w:rFonts w:ascii="黑体" w:hAnsi="黑体" w:eastAsia="黑体" w:cs="黑体"/>
          <w:sz w:val="32"/>
        </w:rPr>
        <w:t>第二百四十条</w:t>
      </w:r>
      <w:r>
        <w:rPr>
          <w:rFonts w:ascii="仿宋_GB2312" w:hAnsi="仿宋_GB2312" w:eastAsia="仿宋_GB2312" w:cs="仿宋_GB2312"/>
          <w:sz w:val="32"/>
        </w:rPr>
        <w:t>　拐卖妇女、儿童的，处五年以上十年以下有期徒刑，并处罚金；有下列情形之一的，处十年以上有期徒刑或者无期徒刑，并处罚金或者没收财产；情节特别严重的，处死刑，并处没收财产：</w:t>
      </w:r>
    </w:p>
    <w:p>
      <w:pPr>
        <w:spacing w:line="240" w:lineRule="auto"/>
        <w:ind w:firstLine="640"/>
        <w:jc w:val="both"/>
      </w:pPr>
      <w:r>
        <w:rPr>
          <w:rFonts w:ascii="仿宋_GB2312" w:hAnsi="仿宋_GB2312" w:eastAsia="仿宋_GB2312" w:cs="仿宋_GB2312"/>
          <w:sz w:val="32"/>
        </w:rPr>
        <w:t>（一）拐卖妇女、儿童集团的首要分子；</w:t>
      </w:r>
    </w:p>
    <w:p>
      <w:pPr>
        <w:spacing w:line="240" w:lineRule="auto"/>
        <w:ind w:firstLine="640"/>
        <w:jc w:val="both"/>
      </w:pPr>
      <w:r>
        <w:rPr>
          <w:rFonts w:ascii="仿宋_GB2312" w:hAnsi="仿宋_GB2312" w:eastAsia="仿宋_GB2312" w:cs="仿宋_GB2312"/>
          <w:sz w:val="32"/>
        </w:rPr>
        <w:t>（二）拐卖妇女、儿童三人以上的；</w:t>
      </w:r>
    </w:p>
    <w:p>
      <w:pPr>
        <w:spacing w:line="240" w:lineRule="auto"/>
        <w:ind w:firstLine="640"/>
        <w:jc w:val="both"/>
      </w:pPr>
      <w:r>
        <w:rPr>
          <w:rFonts w:ascii="仿宋_GB2312" w:hAnsi="仿宋_GB2312" w:eastAsia="仿宋_GB2312" w:cs="仿宋_GB2312"/>
          <w:sz w:val="32"/>
        </w:rPr>
        <w:t>（三）奸淫被拐卖的妇女的；</w:t>
      </w:r>
    </w:p>
    <w:p>
      <w:pPr>
        <w:spacing w:line="240" w:lineRule="auto"/>
        <w:ind w:firstLine="640"/>
        <w:jc w:val="both"/>
      </w:pPr>
      <w:r>
        <w:rPr>
          <w:rFonts w:ascii="仿宋_GB2312" w:hAnsi="仿宋_GB2312" w:eastAsia="仿宋_GB2312" w:cs="仿宋_GB2312"/>
          <w:sz w:val="32"/>
        </w:rPr>
        <w:t>（四）诱骗、强迫被拐卖的妇女卖淫或者将被拐卖的妇女卖给他人迫使其卖淫的；</w:t>
      </w:r>
    </w:p>
    <w:p>
      <w:pPr>
        <w:spacing w:line="240" w:lineRule="auto"/>
        <w:ind w:firstLine="640"/>
        <w:jc w:val="both"/>
      </w:pPr>
      <w:r>
        <w:rPr>
          <w:rFonts w:ascii="仿宋_GB2312" w:hAnsi="仿宋_GB2312" w:eastAsia="仿宋_GB2312" w:cs="仿宋_GB2312"/>
          <w:sz w:val="32"/>
        </w:rPr>
        <w:t>（五）以出卖为目的，使用暴力、胁迫或者麻醉方法绑架妇女、儿童的；</w:t>
      </w:r>
    </w:p>
    <w:p>
      <w:pPr>
        <w:spacing w:line="240" w:lineRule="auto"/>
        <w:ind w:firstLine="640"/>
        <w:jc w:val="both"/>
      </w:pPr>
      <w:r>
        <w:rPr>
          <w:rFonts w:ascii="仿宋_GB2312" w:hAnsi="仿宋_GB2312" w:eastAsia="仿宋_GB2312" w:cs="仿宋_GB2312"/>
          <w:sz w:val="32"/>
        </w:rPr>
        <w:t>（六）以出卖为目的，偷盗婴幼儿的；</w:t>
      </w:r>
    </w:p>
    <w:p>
      <w:pPr>
        <w:spacing w:line="240" w:lineRule="auto"/>
        <w:ind w:firstLine="640"/>
        <w:jc w:val="both"/>
      </w:pPr>
      <w:r>
        <w:rPr>
          <w:rFonts w:ascii="仿宋_GB2312" w:hAnsi="仿宋_GB2312" w:eastAsia="仿宋_GB2312" w:cs="仿宋_GB2312"/>
          <w:sz w:val="32"/>
        </w:rPr>
        <w:t>（七）造成被拐卖的妇女、儿童或者其亲属重伤、死亡或者其他严重后果的；</w:t>
      </w:r>
    </w:p>
    <w:p>
      <w:pPr>
        <w:spacing w:line="240" w:lineRule="auto"/>
        <w:ind w:firstLine="640"/>
        <w:jc w:val="both"/>
      </w:pPr>
      <w:r>
        <w:rPr>
          <w:rFonts w:ascii="仿宋_GB2312" w:hAnsi="仿宋_GB2312" w:eastAsia="仿宋_GB2312" w:cs="仿宋_GB2312"/>
          <w:sz w:val="32"/>
        </w:rPr>
        <w:t>（八）将妇女、儿童卖往境外的。</w:t>
      </w:r>
    </w:p>
    <w:p>
      <w:pPr>
        <w:spacing w:line="240" w:lineRule="auto"/>
        <w:ind w:firstLine="640"/>
        <w:jc w:val="both"/>
      </w:pPr>
      <w:r>
        <w:rPr>
          <w:rFonts w:ascii="仿宋_GB2312" w:hAnsi="仿宋_GB2312" w:eastAsia="仿宋_GB2312" w:cs="仿宋_GB2312"/>
          <w:sz w:val="32"/>
        </w:rPr>
        <w:t>拐卖妇女、儿童是指以出卖为目的，有拐骗、绑架、收买、贩卖、接送、中转妇女、儿童的行为之一的。</w:t>
      </w:r>
    </w:p>
    <w:p>
      <w:pPr>
        <w:spacing w:line="240" w:lineRule="auto"/>
        <w:ind w:firstLine="640"/>
        <w:jc w:val="both"/>
      </w:pPr>
      <w:r>
        <w:rPr>
          <w:rFonts w:ascii="黑体" w:hAnsi="黑体" w:eastAsia="黑体" w:cs="黑体"/>
          <w:sz w:val="32"/>
        </w:rPr>
        <w:t>第二百四十一条</w:t>
      </w:r>
      <w:r>
        <w:rPr>
          <w:rFonts w:ascii="仿宋_GB2312" w:hAnsi="仿宋_GB2312" w:eastAsia="仿宋_GB2312" w:cs="仿宋_GB2312"/>
          <w:sz w:val="32"/>
        </w:rPr>
        <w:t>　收买被拐卖的妇女、儿童的，处三年以下有期徒刑、拘役或者管制。</w:t>
      </w:r>
    </w:p>
    <w:p>
      <w:pPr>
        <w:spacing w:line="240" w:lineRule="auto"/>
        <w:ind w:firstLine="640"/>
        <w:jc w:val="both"/>
      </w:pPr>
      <w:r>
        <w:rPr>
          <w:rFonts w:ascii="仿宋_GB2312" w:hAnsi="仿宋_GB2312" w:eastAsia="仿宋_GB2312" w:cs="仿宋_GB2312"/>
          <w:sz w:val="32"/>
        </w:rPr>
        <w:t>收买被拐卖的妇女，强行与其发生性关系的，依照本法第二百三十六条的规定定罪处罚。</w:t>
      </w:r>
    </w:p>
    <w:p>
      <w:pPr>
        <w:spacing w:line="240" w:lineRule="auto"/>
        <w:ind w:firstLine="640"/>
        <w:jc w:val="both"/>
      </w:pPr>
      <w:r>
        <w:rPr>
          <w:rFonts w:ascii="仿宋_GB2312" w:hAnsi="仿宋_GB2312" w:eastAsia="仿宋_GB2312" w:cs="仿宋_GB2312"/>
          <w:sz w:val="32"/>
        </w:rPr>
        <w:t>收买被拐卖的妇女、儿童，非法剥夺、限制其人身自由或者有伤害、侮辱等犯罪行为的，依照本法的有关规定定罪处罚。</w:t>
      </w:r>
    </w:p>
    <w:p>
      <w:pPr>
        <w:spacing w:line="240" w:lineRule="auto"/>
        <w:ind w:firstLine="640"/>
        <w:jc w:val="both"/>
      </w:pPr>
      <w:r>
        <w:rPr>
          <w:rFonts w:ascii="仿宋_GB2312" w:hAnsi="仿宋_GB2312" w:eastAsia="仿宋_GB2312" w:cs="仿宋_GB2312"/>
          <w:sz w:val="32"/>
        </w:rPr>
        <w:t>收买被拐卖的妇女、儿童，并有第二款、第三款规定的犯罪行为的，依照数罪并罚的规定处罚。</w:t>
      </w:r>
    </w:p>
    <w:p>
      <w:pPr>
        <w:spacing w:line="240" w:lineRule="auto"/>
        <w:ind w:firstLine="640"/>
        <w:jc w:val="both"/>
      </w:pPr>
      <w:r>
        <w:rPr>
          <w:rFonts w:ascii="仿宋_GB2312" w:hAnsi="仿宋_GB2312" w:eastAsia="仿宋_GB2312" w:cs="仿宋_GB2312"/>
          <w:sz w:val="32"/>
        </w:rPr>
        <w:t>收买被拐卖的妇女、儿童又出卖的，依照本法第二百四十条的规定定罪处罚。</w:t>
      </w:r>
    </w:p>
    <w:p>
      <w:pPr>
        <w:spacing w:line="240" w:lineRule="auto"/>
        <w:ind w:firstLine="640"/>
        <w:jc w:val="both"/>
      </w:pPr>
      <w:r>
        <w:rPr>
          <w:rFonts w:ascii="仿宋_GB2312" w:hAnsi="仿宋_GB2312" w:eastAsia="仿宋_GB2312" w:cs="仿宋_GB2312"/>
          <w:sz w:val="32"/>
        </w:rPr>
        <w:t>收买被拐卖的妇女、儿童，对被买儿童没有虐待行为，不阻碍对其进行解救的，可以从轻处罚；按照被买妇女的意愿，不阻碍其返回原居住地的，可以从轻或者减轻处罚。</w:t>
      </w:r>
    </w:p>
    <w:p>
      <w:pPr>
        <w:spacing w:line="240" w:lineRule="auto"/>
        <w:ind w:firstLine="640"/>
        <w:jc w:val="both"/>
      </w:pPr>
      <w:r>
        <w:rPr>
          <w:rFonts w:ascii="黑体" w:hAnsi="黑体" w:eastAsia="黑体" w:cs="黑体"/>
          <w:sz w:val="32"/>
        </w:rPr>
        <w:t>第二百四十二条</w:t>
      </w:r>
      <w:r>
        <w:rPr>
          <w:rFonts w:ascii="仿宋_GB2312" w:hAnsi="仿宋_GB2312" w:eastAsia="仿宋_GB2312" w:cs="仿宋_GB2312"/>
          <w:sz w:val="32"/>
        </w:rPr>
        <w:t>　以暴力、威胁方法阻碍国家机关工作人员解救被收买的妇女、儿童的，依照本法第二百七十七条的规定定罪处罚。</w:t>
      </w:r>
    </w:p>
    <w:p>
      <w:pPr>
        <w:spacing w:line="240" w:lineRule="auto"/>
        <w:ind w:firstLine="640"/>
        <w:jc w:val="both"/>
      </w:pPr>
      <w:r>
        <w:rPr>
          <w:rFonts w:ascii="仿宋_GB2312" w:hAnsi="仿宋_GB2312" w:eastAsia="仿宋_GB2312" w:cs="仿宋_GB2312"/>
          <w:sz w:val="32"/>
        </w:rPr>
        <w:t>聚众阻碍国家机关工作人员解救被收买的妇女、儿童的首要分子，处五年以下有期徒刑或者拘役；其他参与者使用暴力、威胁方法的，依照前款的规定处罚。</w:t>
      </w:r>
    </w:p>
    <w:p>
      <w:pPr>
        <w:spacing w:line="240" w:lineRule="auto"/>
        <w:ind w:firstLine="640"/>
        <w:jc w:val="both"/>
      </w:pPr>
      <w:r>
        <w:rPr>
          <w:rFonts w:ascii="黑体" w:hAnsi="黑体" w:eastAsia="黑体" w:cs="黑体"/>
          <w:sz w:val="32"/>
        </w:rPr>
        <w:t>第二百四十三条</w:t>
      </w:r>
      <w:r>
        <w:rPr>
          <w:rFonts w:ascii="仿宋_GB2312" w:hAnsi="仿宋_GB2312" w:eastAsia="仿宋_GB2312" w:cs="仿宋_GB2312"/>
          <w:sz w:val="32"/>
        </w:rPr>
        <w:t>　捏造事实诬告陷害他人，意图使他人受刑事追究，情节严重的，处三年以下有期徒刑、拘役或者管制；造成严重后果的，处三年以上十年以下有期徒刑。</w:t>
      </w:r>
    </w:p>
    <w:p>
      <w:pPr>
        <w:spacing w:line="240" w:lineRule="auto"/>
        <w:ind w:firstLine="640"/>
        <w:jc w:val="both"/>
      </w:pPr>
      <w:r>
        <w:rPr>
          <w:rFonts w:ascii="仿宋_GB2312" w:hAnsi="仿宋_GB2312" w:eastAsia="仿宋_GB2312" w:cs="仿宋_GB2312"/>
          <w:sz w:val="32"/>
        </w:rPr>
        <w:t>国家机关工作人员犯前款罪的，从重处罚。</w:t>
      </w:r>
    </w:p>
    <w:p>
      <w:pPr>
        <w:spacing w:line="240" w:lineRule="auto"/>
        <w:ind w:firstLine="640"/>
        <w:jc w:val="both"/>
      </w:pPr>
      <w:r>
        <w:rPr>
          <w:rFonts w:ascii="仿宋_GB2312" w:hAnsi="仿宋_GB2312" w:eastAsia="仿宋_GB2312" w:cs="仿宋_GB2312"/>
          <w:sz w:val="32"/>
        </w:rPr>
        <w:t>不是有意诬陷，而是错告，或者检举失实的，不适用前两款的规定。</w:t>
      </w:r>
    </w:p>
    <w:p>
      <w:pPr>
        <w:spacing w:line="240" w:lineRule="auto"/>
        <w:ind w:firstLine="640"/>
        <w:jc w:val="both"/>
      </w:pPr>
      <w:r>
        <w:rPr>
          <w:rFonts w:ascii="黑体" w:hAnsi="黑体" w:eastAsia="黑体" w:cs="黑体"/>
          <w:sz w:val="32"/>
        </w:rPr>
        <w:t>第二百四十四条</w:t>
      </w:r>
      <w:r>
        <w:rPr>
          <w:rFonts w:ascii="仿宋_GB2312" w:hAnsi="仿宋_GB2312" w:eastAsia="仿宋_GB2312" w:cs="仿宋_GB2312"/>
          <w:sz w:val="32"/>
        </w:rPr>
        <w:t>　以暴力、威胁或者限制人身自由的方法强迫他人劳动的，处三年以下有期徒刑或者拘役，并处罚金；情节严重的，处三年以上十年以下有期徒刑，并处罚金。</w:t>
      </w:r>
    </w:p>
    <w:p>
      <w:pPr>
        <w:spacing w:line="240" w:lineRule="auto"/>
        <w:ind w:firstLine="640"/>
        <w:jc w:val="both"/>
      </w:pPr>
      <w:r>
        <w:rPr>
          <w:rFonts w:ascii="仿宋_GB2312" w:hAnsi="仿宋_GB2312" w:eastAsia="仿宋_GB2312" w:cs="仿宋_GB2312"/>
          <w:sz w:val="32"/>
        </w:rPr>
        <w:t>明知他人实施前款行为，为其招募、运送人员或者有其他协助强迫他人劳动行为的，依照前款的规定处罚。</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第二百四十四</w:t>
      </w:r>
      <w:r>
        <w:rPr>
          <w:rFonts w:hint="eastAsia" w:ascii="黑体" w:hAnsi="黑体" w:eastAsia="黑体" w:cs="黑体"/>
          <w:sz w:val="32"/>
          <w:lang w:eastAsia="zh-CN"/>
        </w:rPr>
        <w:t>条之一　</w:t>
      </w:r>
      <w:r>
        <w:rPr>
          <w:rFonts w:ascii="仿宋_GB2312" w:hAnsi="仿宋_GB2312" w:eastAsia="仿宋_GB2312" w:cs="仿宋_GB2312"/>
          <w:sz w:val="32"/>
        </w:rPr>
        <w:t>违反劳动管理法规，雇用未满十六周岁的未成年人从事超强度体力劳动的，或者从事高空、井下作业的，或者在爆炸性、易燃性、放射性、毒害性等危险环境下从事劳动，情节严重的，对直接责任人员，处三年以下有期徒刑或者拘役，并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有前款行为，造成事故，又构成其他犯罪的，依照数罪并罚的规定处罚。</w:t>
      </w:r>
    </w:p>
    <w:p>
      <w:pPr>
        <w:spacing w:line="240" w:lineRule="auto"/>
        <w:ind w:firstLine="640"/>
        <w:jc w:val="both"/>
      </w:pPr>
      <w:r>
        <w:rPr>
          <w:rFonts w:ascii="黑体" w:hAnsi="黑体" w:eastAsia="黑体" w:cs="黑体"/>
          <w:sz w:val="32"/>
        </w:rPr>
        <w:t>第二百四十五条</w:t>
      </w:r>
      <w:r>
        <w:rPr>
          <w:rFonts w:ascii="仿宋_GB2312" w:hAnsi="仿宋_GB2312" w:eastAsia="仿宋_GB2312" w:cs="仿宋_GB2312"/>
          <w:sz w:val="32"/>
        </w:rPr>
        <w:t>　非法搜查他人身体、住宅，或者非法侵入他人住宅的，处三年以下有期徒刑或者拘役。</w:t>
      </w:r>
    </w:p>
    <w:p>
      <w:pPr>
        <w:spacing w:line="240" w:lineRule="auto"/>
        <w:ind w:firstLine="640"/>
        <w:jc w:val="both"/>
      </w:pPr>
      <w:r>
        <w:rPr>
          <w:rFonts w:ascii="仿宋_GB2312" w:hAnsi="仿宋_GB2312" w:eastAsia="仿宋_GB2312" w:cs="仿宋_GB2312"/>
          <w:sz w:val="32"/>
        </w:rPr>
        <w:t>司法工作人员滥用职权，犯前款罪的，从重处罚。</w:t>
      </w:r>
    </w:p>
    <w:p>
      <w:pPr>
        <w:spacing w:line="240" w:lineRule="auto"/>
        <w:ind w:firstLine="640"/>
        <w:jc w:val="both"/>
      </w:pPr>
      <w:r>
        <w:rPr>
          <w:rFonts w:ascii="黑体" w:hAnsi="黑体" w:eastAsia="黑体" w:cs="黑体"/>
          <w:sz w:val="32"/>
        </w:rPr>
        <w:t>第二百四十六条</w:t>
      </w:r>
      <w:r>
        <w:rPr>
          <w:rFonts w:ascii="仿宋_GB2312" w:hAnsi="仿宋_GB2312" w:eastAsia="仿宋_GB2312" w:cs="仿宋_GB2312"/>
          <w:sz w:val="32"/>
        </w:rPr>
        <w:t>　以暴力或者其他方法公然侮辱他人或者捏造事实诽谤他人，情节严重的，处三年以下有期徒刑、拘役、管制或者剥夺政治权利。</w:t>
      </w:r>
    </w:p>
    <w:p>
      <w:pPr>
        <w:spacing w:line="240" w:lineRule="auto"/>
        <w:ind w:firstLine="640"/>
        <w:jc w:val="both"/>
      </w:pPr>
      <w:r>
        <w:rPr>
          <w:rFonts w:ascii="仿宋_GB2312" w:hAnsi="仿宋_GB2312" w:eastAsia="仿宋_GB2312" w:cs="仿宋_GB2312"/>
          <w:sz w:val="32"/>
        </w:rPr>
        <w:t>前款罪，告诉的才处理，但是严重危害社会秩序和国家利益的除外。</w:t>
      </w:r>
    </w:p>
    <w:p>
      <w:pPr>
        <w:spacing w:line="240" w:lineRule="auto"/>
        <w:ind w:firstLine="640"/>
        <w:jc w:val="both"/>
      </w:pPr>
      <w:r>
        <w:rPr>
          <w:rFonts w:ascii="仿宋_GB2312" w:hAnsi="仿宋_GB2312" w:eastAsia="仿宋_GB2312" w:cs="仿宋_GB2312"/>
          <w:sz w:val="32"/>
        </w:rPr>
        <w:t>通过信息网络实施第一款规定的行为，被害人向人民法院告诉，但提供证据确有困难的，人民法院可以要求公安机关提供协助。</w:t>
      </w:r>
    </w:p>
    <w:p>
      <w:pPr>
        <w:spacing w:line="240" w:lineRule="auto"/>
        <w:ind w:firstLine="640"/>
        <w:jc w:val="both"/>
      </w:pPr>
      <w:r>
        <w:rPr>
          <w:rFonts w:ascii="黑体" w:hAnsi="黑体" w:eastAsia="黑体" w:cs="黑体"/>
          <w:sz w:val="32"/>
        </w:rPr>
        <w:t>第二百四十七条</w:t>
      </w:r>
      <w:r>
        <w:rPr>
          <w:rFonts w:ascii="仿宋_GB2312" w:hAnsi="仿宋_GB2312" w:eastAsia="仿宋_GB2312" w:cs="仿宋_GB2312"/>
          <w:sz w:val="32"/>
        </w:rPr>
        <w:t>　司法工作人员对犯罪嫌疑人、被告人实行刑讯逼供或者使用暴力逼取证人证言的，处三年以下有期徒刑或者拘役。致人伤残、死亡的，依照本法第二百三十四条、第二百三十二条的规定定罪从重处罚。</w:t>
      </w:r>
    </w:p>
    <w:p>
      <w:pPr>
        <w:spacing w:line="240" w:lineRule="auto"/>
        <w:ind w:firstLine="640"/>
        <w:jc w:val="both"/>
      </w:pPr>
      <w:r>
        <w:rPr>
          <w:rFonts w:ascii="黑体" w:hAnsi="黑体" w:eastAsia="黑体" w:cs="黑体"/>
          <w:sz w:val="32"/>
        </w:rPr>
        <w:t>第二百四十八条</w:t>
      </w:r>
      <w:r>
        <w:rPr>
          <w:rFonts w:ascii="仿宋_GB2312" w:hAnsi="仿宋_GB2312" w:eastAsia="仿宋_GB2312" w:cs="仿宋_GB2312"/>
          <w:sz w:val="32"/>
        </w:rPr>
        <w:t>　监狱、拘留所、看守所等监管机构的监管人员对被监管人进行殴打或者体罚虐待，情节严重的，处三年以下有期徒刑或者拘役；情节特别严重的，处三年以上十年以下有期徒刑。致人伤残、死亡的，依照本法第二百三十四条、第二百三十二条的规定定罪从重处罚。</w:t>
      </w:r>
    </w:p>
    <w:p>
      <w:pPr>
        <w:spacing w:line="240" w:lineRule="auto"/>
        <w:ind w:firstLine="640"/>
        <w:jc w:val="both"/>
      </w:pPr>
      <w:r>
        <w:rPr>
          <w:rFonts w:ascii="仿宋_GB2312" w:hAnsi="仿宋_GB2312" w:eastAsia="仿宋_GB2312" w:cs="仿宋_GB2312"/>
          <w:sz w:val="32"/>
        </w:rPr>
        <w:t>监管人员指使被监管人殴打或者体罚虐待其他被监管人的，依照前款的规定处罚。</w:t>
      </w:r>
    </w:p>
    <w:p>
      <w:pPr>
        <w:spacing w:line="240" w:lineRule="auto"/>
        <w:ind w:firstLine="640"/>
        <w:jc w:val="both"/>
      </w:pPr>
      <w:r>
        <w:rPr>
          <w:rFonts w:ascii="黑体" w:hAnsi="黑体" w:eastAsia="黑体" w:cs="黑体"/>
          <w:sz w:val="32"/>
        </w:rPr>
        <w:t>第二百四十九条</w:t>
      </w:r>
      <w:r>
        <w:rPr>
          <w:rFonts w:ascii="仿宋_GB2312" w:hAnsi="仿宋_GB2312" w:eastAsia="仿宋_GB2312" w:cs="仿宋_GB2312"/>
          <w:sz w:val="32"/>
        </w:rPr>
        <w:t>　煽动民族仇恨、民族歧视，情节严重的，处三年以下有期徒刑、拘役、管制或者剥夺政治权利；情节特别严重的，处三年以上十年以下有期徒刑。</w:t>
      </w:r>
    </w:p>
    <w:p>
      <w:pPr>
        <w:spacing w:line="240" w:lineRule="auto"/>
        <w:ind w:firstLine="640"/>
        <w:jc w:val="both"/>
      </w:pPr>
      <w:r>
        <w:rPr>
          <w:rFonts w:ascii="黑体" w:hAnsi="黑体" w:eastAsia="黑体" w:cs="黑体"/>
          <w:sz w:val="32"/>
        </w:rPr>
        <w:t>第二百五十条</w:t>
      </w:r>
      <w:r>
        <w:rPr>
          <w:rFonts w:ascii="仿宋_GB2312" w:hAnsi="仿宋_GB2312" w:eastAsia="仿宋_GB2312" w:cs="仿宋_GB2312"/>
          <w:sz w:val="32"/>
        </w:rPr>
        <w:t>　在出版物中刊载歧视、侮辱少数民族的内容，情节恶劣，造成严重后果的，对直接责任人员，处三年以下有期徒刑、拘役或者管制。</w:t>
      </w:r>
    </w:p>
    <w:p>
      <w:pPr>
        <w:spacing w:line="240" w:lineRule="auto"/>
        <w:ind w:firstLine="640"/>
        <w:jc w:val="both"/>
      </w:pPr>
      <w:r>
        <w:rPr>
          <w:rFonts w:ascii="黑体" w:hAnsi="黑体" w:eastAsia="黑体" w:cs="黑体"/>
          <w:sz w:val="32"/>
        </w:rPr>
        <w:t>第二百五十一条</w:t>
      </w:r>
      <w:r>
        <w:rPr>
          <w:rFonts w:ascii="仿宋_GB2312" w:hAnsi="仿宋_GB2312" w:eastAsia="仿宋_GB2312" w:cs="仿宋_GB2312"/>
          <w:sz w:val="32"/>
        </w:rPr>
        <w:t>　国家机关工作人员非法剥夺公民的宗教信仰自由和侵犯少数民族风俗习惯，情节严重的，处二年以下有期徒刑或者拘役。</w:t>
      </w:r>
    </w:p>
    <w:p>
      <w:pPr>
        <w:spacing w:line="240" w:lineRule="auto"/>
        <w:ind w:firstLine="640"/>
        <w:jc w:val="both"/>
      </w:pPr>
      <w:r>
        <w:rPr>
          <w:rFonts w:ascii="黑体" w:hAnsi="黑体" w:eastAsia="黑体" w:cs="黑体"/>
          <w:sz w:val="32"/>
        </w:rPr>
        <w:t>第二百五十二条</w:t>
      </w:r>
      <w:r>
        <w:rPr>
          <w:rFonts w:ascii="仿宋_GB2312" w:hAnsi="仿宋_GB2312" w:eastAsia="仿宋_GB2312" w:cs="仿宋_GB2312"/>
          <w:sz w:val="32"/>
        </w:rPr>
        <w:t>　隐匿、毁弃或者非法开拆他人信件，侵犯公民通信自由权利，情节严重的，处一年以下有期徒刑或者拘役。</w:t>
      </w:r>
    </w:p>
    <w:p>
      <w:pPr>
        <w:spacing w:line="240" w:lineRule="auto"/>
        <w:ind w:firstLine="640"/>
        <w:jc w:val="both"/>
      </w:pPr>
      <w:r>
        <w:rPr>
          <w:rFonts w:ascii="黑体" w:hAnsi="黑体" w:eastAsia="黑体" w:cs="黑体"/>
          <w:sz w:val="32"/>
        </w:rPr>
        <w:t>第二百五十三条</w:t>
      </w:r>
      <w:r>
        <w:rPr>
          <w:rFonts w:ascii="仿宋_GB2312" w:hAnsi="仿宋_GB2312" w:eastAsia="仿宋_GB2312" w:cs="仿宋_GB2312"/>
          <w:sz w:val="32"/>
        </w:rPr>
        <w:t>　邮政工作人员私自开拆或者隐匿、毁弃邮件、电报的，处二年以下有期徒刑或者拘役。</w:t>
      </w:r>
    </w:p>
    <w:p>
      <w:pPr>
        <w:spacing w:line="240" w:lineRule="auto"/>
        <w:ind w:firstLine="640"/>
        <w:jc w:val="both"/>
      </w:pPr>
      <w:r>
        <w:rPr>
          <w:rFonts w:ascii="仿宋_GB2312" w:hAnsi="仿宋_GB2312" w:eastAsia="仿宋_GB2312" w:cs="仿宋_GB2312"/>
          <w:sz w:val="32"/>
        </w:rPr>
        <w:t>犯前款罪而窃取财物的，依照本法第二百六十四条的规定定罪从重处罚。</w:t>
      </w:r>
    </w:p>
    <w:p>
      <w:pPr>
        <w:spacing w:line="240" w:lineRule="auto"/>
        <w:ind w:firstLine="640"/>
        <w:jc w:val="both"/>
      </w:pPr>
      <w:r>
        <w:rPr>
          <w:rFonts w:ascii="黑体" w:hAnsi="黑体" w:eastAsia="黑体" w:cs="黑体"/>
          <w:sz w:val="32"/>
        </w:rPr>
        <w:t>第二百五十三</w:t>
      </w:r>
      <w:r>
        <w:rPr>
          <w:rFonts w:hint="eastAsia" w:ascii="黑体" w:hAnsi="黑体" w:eastAsia="黑体" w:cs="黑体"/>
          <w:sz w:val="32"/>
          <w:lang w:eastAsia="zh-CN"/>
        </w:rPr>
        <w:t>条之一　</w:t>
      </w:r>
      <w:r>
        <w:rPr>
          <w:rFonts w:ascii="仿宋_GB2312" w:hAnsi="仿宋_GB2312" w:eastAsia="仿宋_GB2312" w:cs="仿宋_GB2312"/>
          <w:sz w:val="32"/>
        </w:rPr>
        <w:t>违反国家有关规定，向他人出售或者提供公民个人信息，情节严重的，处三年以下有期徒刑或者拘役，并处或者单处罚金；情节特别严重的，处三年以上七年以下有期徒刑，并处罚金。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违反国家有关规定，将在履行职责或者提供服务过程中获得的公民个人信息，出售或者提供给他人的，依照前款的规定从重处罚。</w:t>
      </w:r>
    </w:p>
    <w:p>
      <w:pPr>
        <w:spacing w:line="240" w:lineRule="auto"/>
        <w:ind w:firstLine="640"/>
        <w:jc w:val="both"/>
      </w:pPr>
      <w:r>
        <w:rPr>
          <w:rFonts w:ascii="仿宋_GB2312" w:hAnsi="仿宋_GB2312" w:eastAsia="仿宋_GB2312" w:cs="仿宋_GB2312"/>
          <w:sz w:val="32"/>
        </w:rPr>
        <w:t>窃取或者以其他方法非法获取公民个人信息的，依照第一款的规定处罚。</w:t>
      </w:r>
    </w:p>
    <w:p>
      <w:pPr>
        <w:spacing w:line="240" w:lineRule="auto"/>
        <w:ind w:firstLine="640"/>
        <w:jc w:val="both"/>
      </w:pPr>
      <w:r>
        <w:rPr>
          <w:rFonts w:ascii="仿宋_GB2312" w:hAnsi="仿宋_GB2312" w:eastAsia="仿宋_GB2312" w:cs="仿宋_GB2312"/>
          <w:sz w:val="32"/>
        </w:rPr>
        <w:t>单位犯前三款罪的，对单位判处罚金，并对其直接负责的主管人员和其他直接责任人员，依照各该款的规定处罚。</w:t>
      </w:r>
    </w:p>
    <w:p>
      <w:pPr>
        <w:spacing w:line="240" w:lineRule="auto"/>
        <w:ind w:firstLine="640"/>
        <w:jc w:val="both"/>
      </w:pPr>
      <w:r>
        <w:rPr>
          <w:rFonts w:ascii="黑体" w:hAnsi="黑体" w:eastAsia="黑体" w:cs="黑体"/>
          <w:sz w:val="32"/>
        </w:rPr>
        <w:t>第二百五十四条</w:t>
      </w:r>
      <w:r>
        <w:rPr>
          <w:rFonts w:ascii="仿宋_GB2312" w:hAnsi="仿宋_GB2312" w:eastAsia="仿宋_GB2312" w:cs="仿宋_GB2312"/>
          <w:sz w:val="32"/>
        </w:rPr>
        <w:t>　国家机关工作人员滥用职权、假公济私，对控告人、申诉人、批评人、举报人实行报复陷害的，处二年以下有期徒刑或者拘役；情节严重的，处二年以上七年以下有期徒刑。</w:t>
      </w:r>
    </w:p>
    <w:p>
      <w:pPr>
        <w:spacing w:line="240" w:lineRule="auto"/>
        <w:ind w:firstLine="640"/>
        <w:jc w:val="both"/>
      </w:pPr>
      <w:r>
        <w:rPr>
          <w:rFonts w:ascii="黑体" w:hAnsi="黑体" w:eastAsia="黑体" w:cs="黑体"/>
          <w:sz w:val="32"/>
        </w:rPr>
        <w:t>第二百五十五条</w:t>
      </w:r>
      <w:r>
        <w:rPr>
          <w:rFonts w:ascii="仿宋_GB2312" w:hAnsi="仿宋_GB2312" w:eastAsia="仿宋_GB2312" w:cs="仿宋_GB2312"/>
          <w:sz w:val="32"/>
        </w:rPr>
        <w:t>　公司、企业、事业单位、机关、团体的领导人，对依法履行职责、抵制违反会计法、统计法行为的会计、统计人员实行打击报复，情节恶劣的，处三年以下有期徒刑或者拘役。</w:t>
      </w:r>
    </w:p>
    <w:p>
      <w:pPr>
        <w:spacing w:line="240" w:lineRule="auto"/>
        <w:ind w:firstLine="640"/>
        <w:jc w:val="both"/>
      </w:pPr>
      <w:r>
        <w:rPr>
          <w:rFonts w:ascii="黑体" w:hAnsi="黑体" w:eastAsia="黑体" w:cs="黑体"/>
          <w:sz w:val="32"/>
        </w:rPr>
        <w:t>第二百五十六条</w:t>
      </w:r>
      <w:r>
        <w:rPr>
          <w:rFonts w:ascii="仿宋_GB2312" w:hAnsi="仿宋_GB2312" w:eastAsia="仿宋_GB2312" w:cs="仿宋_GB2312"/>
          <w:sz w:val="32"/>
        </w:rPr>
        <w:t>　在选举各级人民代表大会代表和国家机关领导人员时，以暴力、威胁、欺骗、贿赂、伪造选举文件、虚报选举票数等手段破坏选举或者妨害选民和代表自由行使选举权和被选举权，情节严重的，处三年以下有期徒刑、拘役或者剥夺政治权利。</w:t>
      </w:r>
    </w:p>
    <w:p>
      <w:pPr>
        <w:spacing w:line="240" w:lineRule="auto"/>
        <w:ind w:firstLine="640"/>
        <w:jc w:val="both"/>
      </w:pPr>
      <w:r>
        <w:rPr>
          <w:rFonts w:ascii="黑体" w:hAnsi="黑体" w:eastAsia="黑体" w:cs="黑体"/>
          <w:sz w:val="32"/>
        </w:rPr>
        <w:t>第二百五十七条</w:t>
      </w:r>
      <w:r>
        <w:rPr>
          <w:rFonts w:ascii="仿宋_GB2312" w:hAnsi="仿宋_GB2312" w:eastAsia="仿宋_GB2312" w:cs="仿宋_GB2312"/>
          <w:sz w:val="32"/>
        </w:rPr>
        <w:t>　以暴力干涉他人婚姻自由的，处二年以下有期徒刑或者拘役。</w:t>
      </w:r>
    </w:p>
    <w:p>
      <w:pPr>
        <w:spacing w:line="240" w:lineRule="auto"/>
        <w:ind w:firstLine="640"/>
        <w:jc w:val="both"/>
      </w:pPr>
      <w:r>
        <w:rPr>
          <w:rFonts w:ascii="仿宋_GB2312" w:hAnsi="仿宋_GB2312" w:eastAsia="仿宋_GB2312" w:cs="仿宋_GB2312"/>
          <w:sz w:val="32"/>
        </w:rPr>
        <w:t>犯前款罪，致使被害人死亡的，处二年以上七年以下有期徒刑。</w:t>
      </w:r>
    </w:p>
    <w:p>
      <w:pPr>
        <w:spacing w:line="240" w:lineRule="auto"/>
        <w:ind w:firstLine="640"/>
        <w:jc w:val="both"/>
      </w:pPr>
      <w:r>
        <w:rPr>
          <w:rFonts w:ascii="仿宋_GB2312" w:hAnsi="仿宋_GB2312" w:eastAsia="仿宋_GB2312" w:cs="仿宋_GB2312"/>
          <w:sz w:val="32"/>
        </w:rPr>
        <w:t>第一款罪，告诉的才处理。</w:t>
      </w:r>
    </w:p>
    <w:p>
      <w:pPr>
        <w:spacing w:line="240" w:lineRule="auto"/>
        <w:ind w:firstLine="640"/>
        <w:jc w:val="both"/>
      </w:pPr>
      <w:r>
        <w:rPr>
          <w:rFonts w:ascii="黑体" w:hAnsi="黑体" w:eastAsia="黑体" w:cs="黑体"/>
          <w:sz w:val="32"/>
        </w:rPr>
        <w:t>第二百五十八条</w:t>
      </w:r>
      <w:r>
        <w:rPr>
          <w:rFonts w:ascii="仿宋_GB2312" w:hAnsi="仿宋_GB2312" w:eastAsia="仿宋_GB2312" w:cs="仿宋_GB2312"/>
          <w:sz w:val="32"/>
        </w:rPr>
        <w:t>　有配偶而重婚的，或者明知他人有配偶而与之结婚的，处二年以下有期徒刑或者拘役。</w:t>
      </w:r>
    </w:p>
    <w:p>
      <w:pPr>
        <w:spacing w:line="240" w:lineRule="auto"/>
        <w:ind w:firstLine="640"/>
        <w:jc w:val="both"/>
      </w:pPr>
      <w:r>
        <w:rPr>
          <w:rFonts w:ascii="黑体" w:hAnsi="黑体" w:eastAsia="黑体" w:cs="黑体"/>
          <w:sz w:val="32"/>
        </w:rPr>
        <w:t>第二百五十九条</w:t>
      </w:r>
      <w:r>
        <w:rPr>
          <w:rFonts w:ascii="仿宋_GB2312" w:hAnsi="仿宋_GB2312" w:eastAsia="仿宋_GB2312" w:cs="仿宋_GB2312"/>
          <w:sz w:val="32"/>
        </w:rPr>
        <w:t>　明知是现役军人的配偶而与之同居或者结婚的，处三年以下有期徒刑或者拘役。</w:t>
      </w:r>
    </w:p>
    <w:p>
      <w:pPr>
        <w:spacing w:line="240" w:lineRule="auto"/>
        <w:ind w:firstLine="640"/>
        <w:jc w:val="both"/>
      </w:pPr>
      <w:r>
        <w:rPr>
          <w:rFonts w:ascii="仿宋_GB2312" w:hAnsi="仿宋_GB2312" w:eastAsia="仿宋_GB2312" w:cs="仿宋_GB2312"/>
          <w:sz w:val="32"/>
        </w:rPr>
        <w:t>利用职权、从属关系，以胁迫手段奸淫现役军人的妻子的，依照本法第二百三十六条的规定定罪处罚。</w:t>
      </w:r>
    </w:p>
    <w:p>
      <w:pPr>
        <w:spacing w:line="240" w:lineRule="auto"/>
        <w:ind w:firstLine="640"/>
        <w:jc w:val="both"/>
      </w:pPr>
      <w:r>
        <w:rPr>
          <w:rFonts w:ascii="黑体" w:hAnsi="黑体" w:eastAsia="黑体" w:cs="黑体"/>
          <w:sz w:val="32"/>
        </w:rPr>
        <w:t>第二百六十条</w:t>
      </w:r>
      <w:r>
        <w:rPr>
          <w:rFonts w:ascii="仿宋_GB2312" w:hAnsi="仿宋_GB2312" w:eastAsia="仿宋_GB2312" w:cs="仿宋_GB2312"/>
          <w:sz w:val="32"/>
        </w:rPr>
        <w:t>　虐待家庭成员，情节恶劣的，处二年以下有期徒刑、拘役或者管制。</w:t>
      </w:r>
    </w:p>
    <w:p>
      <w:pPr>
        <w:spacing w:line="240" w:lineRule="auto"/>
        <w:ind w:firstLine="640"/>
        <w:jc w:val="both"/>
      </w:pPr>
      <w:r>
        <w:rPr>
          <w:rFonts w:ascii="仿宋_GB2312" w:hAnsi="仿宋_GB2312" w:eastAsia="仿宋_GB2312" w:cs="仿宋_GB2312"/>
          <w:sz w:val="32"/>
        </w:rPr>
        <w:t>犯前款罪，致使被害人重伤、死亡的，处二年以上七年以下有期徒刑。</w:t>
      </w:r>
    </w:p>
    <w:p>
      <w:pPr>
        <w:spacing w:line="240" w:lineRule="auto"/>
        <w:ind w:firstLine="640"/>
        <w:jc w:val="both"/>
      </w:pPr>
      <w:r>
        <w:rPr>
          <w:rFonts w:ascii="仿宋_GB2312" w:hAnsi="仿宋_GB2312" w:eastAsia="仿宋_GB2312" w:cs="仿宋_GB2312"/>
          <w:sz w:val="32"/>
        </w:rPr>
        <w:t>第一款罪，告诉的才处理，但被害人没有能力告诉，或者因受到强制、威吓无法告诉的除外。</w:t>
      </w:r>
    </w:p>
    <w:p>
      <w:pPr>
        <w:spacing w:line="240" w:lineRule="auto"/>
        <w:ind w:firstLine="640"/>
        <w:jc w:val="both"/>
      </w:pPr>
      <w:r>
        <w:rPr>
          <w:rFonts w:ascii="黑体" w:hAnsi="黑体" w:eastAsia="黑体" w:cs="黑体"/>
          <w:sz w:val="32"/>
        </w:rPr>
        <w:t>第二百六十</w:t>
      </w:r>
      <w:r>
        <w:rPr>
          <w:rFonts w:hint="eastAsia" w:ascii="黑体" w:hAnsi="黑体" w:eastAsia="黑体" w:cs="黑体"/>
          <w:sz w:val="32"/>
          <w:lang w:eastAsia="zh-CN"/>
        </w:rPr>
        <w:t>条之一　</w:t>
      </w:r>
      <w:r>
        <w:rPr>
          <w:rFonts w:ascii="仿宋_GB2312" w:hAnsi="仿宋_GB2312" w:eastAsia="仿宋_GB2312" w:cs="仿宋_GB2312"/>
          <w:sz w:val="32"/>
        </w:rPr>
        <w:t>对未成年人、老年人、患病的人、残疾人等负有监护、看护职责的人虐待被监护、看护的人，情节恶劣的，处三年以下有期徒刑或者拘役。</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有第一款行为，同时构成其他犯罪的，依照处罚较重的规定定罪处罚。</w:t>
      </w:r>
    </w:p>
    <w:p>
      <w:pPr>
        <w:spacing w:line="240" w:lineRule="auto"/>
        <w:ind w:firstLine="640"/>
        <w:jc w:val="both"/>
      </w:pPr>
      <w:r>
        <w:rPr>
          <w:rFonts w:ascii="黑体" w:hAnsi="黑体" w:eastAsia="黑体" w:cs="黑体"/>
          <w:sz w:val="32"/>
        </w:rPr>
        <w:t>第二百六十一条</w:t>
      </w:r>
      <w:r>
        <w:rPr>
          <w:rFonts w:ascii="仿宋_GB2312" w:hAnsi="仿宋_GB2312" w:eastAsia="仿宋_GB2312" w:cs="仿宋_GB2312"/>
          <w:sz w:val="32"/>
        </w:rPr>
        <w:t>　对于年老、年幼、患病或者其他没有独立生活能力的人，负有扶养义务而拒绝扶养，情节恶劣的，处五年以下有期徒刑、拘役或者管制。</w:t>
      </w:r>
    </w:p>
    <w:p>
      <w:pPr>
        <w:spacing w:line="240" w:lineRule="auto"/>
        <w:ind w:firstLine="640"/>
        <w:jc w:val="both"/>
      </w:pPr>
      <w:r>
        <w:rPr>
          <w:rFonts w:ascii="黑体" w:hAnsi="黑体" w:eastAsia="黑体" w:cs="黑体"/>
          <w:sz w:val="32"/>
        </w:rPr>
        <w:t>第二百六十二条</w:t>
      </w:r>
      <w:r>
        <w:rPr>
          <w:rFonts w:ascii="仿宋_GB2312" w:hAnsi="仿宋_GB2312" w:eastAsia="仿宋_GB2312" w:cs="仿宋_GB2312"/>
          <w:sz w:val="32"/>
        </w:rPr>
        <w:t>　拐骗不满十四周岁的未成年人，脱离家庭或者监护人的，处五年以下有期徒刑或者拘役。</w:t>
      </w:r>
    </w:p>
    <w:p>
      <w:pPr>
        <w:spacing w:line="240" w:lineRule="auto"/>
        <w:ind w:firstLine="640"/>
        <w:jc w:val="both"/>
      </w:pPr>
      <w:r>
        <w:rPr>
          <w:rFonts w:ascii="黑体" w:hAnsi="黑体" w:eastAsia="黑体" w:cs="黑体"/>
          <w:sz w:val="32"/>
        </w:rPr>
        <w:t>第二百六十二</w:t>
      </w:r>
      <w:r>
        <w:rPr>
          <w:rFonts w:hint="eastAsia" w:ascii="黑体" w:hAnsi="黑体" w:eastAsia="黑体" w:cs="黑体"/>
          <w:sz w:val="32"/>
          <w:lang w:eastAsia="zh-CN"/>
        </w:rPr>
        <w:t>条之一　</w:t>
      </w:r>
      <w:r>
        <w:rPr>
          <w:rFonts w:ascii="仿宋_GB2312" w:hAnsi="仿宋_GB2312" w:eastAsia="仿宋_GB2312" w:cs="仿宋_GB2312"/>
          <w:sz w:val="32"/>
        </w:rPr>
        <w:t>以暴力、胁迫手段组织残疾人或者不满十四周岁的未成年人乞讨的，处三年以下有期徒刑或者拘役，并处罚金；情节严重的，处三年以上七年以下有期徒刑，并处罚金。</w:t>
      </w:r>
    </w:p>
    <w:p>
      <w:pPr>
        <w:spacing w:line="240" w:lineRule="auto"/>
        <w:ind w:firstLine="640"/>
        <w:jc w:val="both"/>
      </w:pPr>
      <w:r>
        <w:rPr>
          <w:rFonts w:ascii="黑体" w:hAnsi="黑体" w:eastAsia="黑体" w:cs="黑体"/>
          <w:sz w:val="32"/>
        </w:rPr>
        <w:t>第二百六十二</w:t>
      </w:r>
      <w:r>
        <w:rPr>
          <w:rFonts w:hint="eastAsia" w:ascii="黑体" w:hAnsi="黑体" w:eastAsia="黑体" w:cs="黑体"/>
          <w:sz w:val="32"/>
          <w:lang w:eastAsia="zh-CN"/>
        </w:rPr>
        <w:t>条之二　</w:t>
      </w:r>
      <w:r>
        <w:rPr>
          <w:rFonts w:ascii="仿宋_GB2312" w:hAnsi="仿宋_GB2312" w:eastAsia="仿宋_GB2312" w:cs="仿宋_GB2312"/>
          <w:sz w:val="32"/>
        </w:rPr>
        <w:t>组织未成年人进行盗窃、诈骗、抢夺、敲诈勒索等违反治安管理活动的，处三年以下有期徒刑或者拘役，并处罚金；情节严重的，处三年以上七年以下有期徒刑，并处罚金。</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第五章　侵犯财产罪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第二百六十三条</w:t>
      </w:r>
      <w:r>
        <w:rPr>
          <w:rFonts w:ascii="仿宋_GB2312" w:hAnsi="仿宋_GB2312" w:eastAsia="仿宋_GB2312" w:cs="仿宋_GB2312"/>
          <w:sz w:val="32"/>
        </w:rPr>
        <w:t>　以暴力、胁迫或者其他方法抢劫公私财物的，处三年以上十年以下有期徒刑，并处罚金；有下列情形之一的，处十年以上有期徒刑、无期徒刑或者死刑，并处罚金或者没收财产：</w:t>
      </w:r>
    </w:p>
    <w:p>
      <w:pPr>
        <w:spacing w:line="240" w:lineRule="auto"/>
        <w:ind w:firstLine="640"/>
        <w:jc w:val="both"/>
      </w:pPr>
      <w:r>
        <w:rPr>
          <w:rFonts w:ascii="仿宋_GB2312" w:hAnsi="仿宋_GB2312" w:eastAsia="仿宋_GB2312" w:cs="仿宋_GB2312"/>
          <w:sz w:val="32"/>
        </w:rPr>
        <w:t>（一）入户抢劫的；</w:t>
      </w:r>
    </w:p>
    <w:p>
      <w:pPr>
        <w:spacing w:line="240" w:lineRule="auto"/>
        <w:ind w:firstLine="640"/>
        <w:jc w:val="both"/>
      </w:pPr>
      <w:r>
        <w:rPr>
          <w:rFonts w:ascii="仿宋_GB2312" w:hAnsi="仿宋_GB2312" w:eastAsia="仿宋_GB2312" w:cs="仿宋_GB2312"/>
          <w:sz w:val="32"/>
        </w:rPr>
        <w:t>（二）在公共交通工具上抢劫的；</w:t>
      </w:r>
    </w:p>
    <w:p>
      <w:pPr>
        <w:spacing w:line="240" w:lineRule="auto"/>
        <w:ind w:firstLine="640"/>
        <w:jc w:val="both"/>
      </w:pPr>
      <w:r>
        <w:rPr>
          <w:rFonts w:ascii="仿宋_GB2312" w:hAnsi="仿宋_GB2312" w:eastAsia="仿宋_GB2312" w:cs="仿宋_GB2312"/>
          <w:sz w:val="32"/>
        </w:rPr>
        <w:t>（三）抢劫银行或者其他金融机构的；</w:t>
      </w:r>
    </w:p>
    <w:p>
      <w:pPr>
        <w:spacing w:line="240" w:lineRule="auto"/>
        <w:ind w:firstLine="640"/>
        <w:jc w:val="both"/>
      </w:pPr>
      <w:r>
        <w:rPr>
          <w:rFonts w:ascii="仿宋_GB2312" w:hAnsi="仿宋_GB2312" w:eastAsia="仿宋_GB2312" w:cs="仿宋_GB2312"/>
          <w:sz w:val="32"/>
        </w:rPr>
        <w:t>（四）多次抢劫或者抢劫数额巨大的；</w:t>
      </w:r>
    </w:p>
    <w:p>
      <w:pPr>
        <w:spacing w:line="240" w:lineRule="auto"/>
        <w:ind w:firstLine="640"/>
        <w:jc w:val="both"/>
      </w:pPr>
      <w:r>
        <w:rPr>
          <w:rFonts w:ascii="仿宋_GB2312" w:hAnsi="仿宋_GB2312" w:eastAsia="仿宋_GB2312" w:cs="仿宋_GB2312"/>
          <w:sz w:val="32"/>
        </w:rPr>
        <w:t>（五）抢劫致人重伤、死亡的；</w:t>
      </w:r>
    </w:p>
    <w:p>
      <w:pPr>
        <w:spacing w:line="240" w:lineRule="auto"/>
        <w:ind w:firstLine="640"/>
        <w:jc w:val="both"/>
      </w:pPr>
      <w:r>
        <w:rPr>
          <w:rFonts w:ascii="仿宋_GB2312" w:hAnsi="仿宋_GB2312" w:eastAsia="仿宋_GB2312" w:cs="仿宋_GB2312"/>
          <w:sz w:val="32"/>
        </w:rPr>
        <w:t>（六）冒充军警人员抢劫的；</w:t>
      </w:r>
    </w:p>
    <w:p>
      <w:pPr>
        <w:spacing w:line="240" w:lineRule="auto"/>
        <w:ind w:firstLine="640"/>
        <w:jc w:val="both"/>
      </w:pPr>
      <w:r>
        <w:rPr>
          <w:rFonts w:ascii="仿宋_GB2312" w:hAnsi="仿宋_GB2312" w:eastAsia="仿宋_GB2312" w:cs="仿宋_GB2312"/>
          <w:sz w:val="32"/>
        </w:rPr>
        <w:t>（七）持枪抢劫的；</w:t>
      </w:r>
    </w:p>
    <w:p>
      <w:pPr>
        <w:spacing w:line="240" w:lineRule="auto"/>
        <w:ind w:firstLine="640"/>
        <w:jc w:val="both"/>
      </w:pPr>
      <w:r>
        <w:rPr>
          <w:rFonts w:ascii="仿宋_GB2312" w:hAnsi="仿宋_GB2312" w:eastAsia="仿宋_GB2312" w:cs="仿宋_GB2312"/>
          <w:sz w:val="32"/>
        </w:rPr>
        <w:t>（八）抢劫军用物资或者抢险、救灾、救济物资的。</w:t>
      </w:r>
    </w:p>
    <w:p>
      <w:pPr>
        <w:spacing w:line="240" w:lineRule="auto"/>
        <w:ind w:firstLine="640"/>
        <w:jc w:val="both"/>
      </w:pPr>
      <w:r>
        <w:rPr>
          <w:rFonts w:ascii="黑体" w:hAnsi="黑体" w:eastAsia="黑体" w:cs="黑体"/>
          <w:sz w:val="32"/>
        </w:rPr>
        <w:t>第二百六十四条</w:t>
      </w:r>
      <w:r>
        <w:rPr>
          <w:rFonts w:ascii="仿宋_GB2312" w:hAnsi="仿宋_GB2312" w:eastAsia="仿宋_GB2312" w:cs="仿宋_GB2312"/>
          <w:sz w:val="32"/>
        </w:rPr>
        <w:t>　盗窃公私财物，数额较大的，或者多次盗窃、入户盗窃、携带凶器盗窃、扒窃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pPr>
        <w:spacing w:line="240" w:lineRule="auto"/>
        <w:ind w:firstLine="640"/>
        <w:jc w:val="both"/>
      </w:pPr>
      <w:r>
        <w:rPr>
          <w:rFonts w:ascii="黑体" w:hAnsi="黑体" w:eastAsia="黑体" w:cs="黑体"/>
          <w:sz w:val="32"/>
        </w:rPr>
        <w:t>第二百六十五条</w:t>
      </w:r>
      <w:r>
        <w:rPr>
          <w:rFonts w:ascii="仿宋_GB2312" w:hAnsi="仿宋_GB2312" w:eastAsia="仿宋_GB2312" w:cs="仿宋_GB2312"/>
          <w:sz w:val="32"/>
        </w:rPr>
        <w:t>　以牟利为目的，盗接他人通信线路、复制他人电信码号或者明知是盗接、复制的电信设备、设施而使用的，依照本法第二百六十四条的规定定罪处罚。</w:t>
      </w:r>
    </w:p>
    <w:p>
      <w:pPr>
        <w:spacing w:line="240" w:lineRule="auto"/>
        <w:ind w:firstLine="640"/>
        <w:jc w:val="both"/>
      </w:pPr>
      <w:r>
        <w:rPr>
          <w:rFonts w:ascii="黑体" w:hAnsi="黑体" w:eastAsia="黑体" w:cs="黑体"/>
          <w:sz w:val="32"/>
        </w:rPr>
        <w:t>第二百六十六条</w:t>
      </w:r>
      <w:r>
        <w:rPr>
          <w:rFonts w:ascii="仿宋_GB2312" w:hAnsi="仿宋_GB2312" w:eastAsia="仿宋_GB2312" w:cs="仿宋_GB2312"/>
          <w:sz w:val="32"/>
        </w:rPr>
        <w:t>　诈骗公私财物，数额较大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本法另有规定的，依照规定。</w:t>
      </w:r>
    </w:p>
    <w:p>
      <w:pPr>
        <w:spacing w:line="240" w:lineRule="auto"/>
        <w:ind w:firstLine="640"/>
        <w:jc w:val="both"/>
      </w:pPr>
      <w:r>
        <w:rPr>
          <w:rFonts w:ascii="黑体" w:hAnsi="黑体" w:eastAsia="黑体" w:cs="黑体"/>
          <w:sz w:val="32"/>
        </w:rPr>
        <w:t>第二百六十七条</w:t>
      </w:r>
      <w:r>
        <w:rPr>
          <w:rFonts w:ascii="仿宋_GB2312" w:hAnsi="仿宋_GB2312" w:eastAsia="仿宋_GB2312" w:cs="仿宋_GB2312"/>
          <w:sz w:val="32"/>
        </w:rPr>
        <w:t>　抢夺公私财物，数额较大的，或者多次抢夺的，处三年以下有期徒刑、拘役或者管制，并处或者单处罚金；数额巨大或者有其他严重情节的，处三年以上十年以下有期徒刑，并处罚金；数额特别巨大或者有其他特别严重情节的，处十年以上有期徒刑或者无期徒刑，并处罚金或者没收财产。</w:t>
      </w:r>
    </w:p>
    <w:p>
      <w:pPr>
        <w:spacing w:line="240" w:lineRule="auto"/>
        <w:ind w:firstLine="640"/>
        <w:jc w:val="both"/>
      </w:pPr>
      <w:r>
        <w:rPr>
          <w:rFonts w:ascii="仿宋_GB2312" w:hAnsi="仿宋_GB2312" w:eastAsia="仿宋_GB2312" w:cs="仿宋_GB2312"/>
          <w:sz w:val="32"/>
        </w:rPr>
        <w:t>携带凶器抢夺的，依照本法第二百六十三条的规定定罪处罚。</w:t>
      </w:r>
    </w:p>
    <w:p>
      <w:pPr>
        <w:spacing w:line="240" w:lineRule="auto"/>
        <w:ind w:firstLine="640"/>
        <w:jc w:val="both"/>
      </w:pPr>
      <w:r>
        <w:rPr>
          <w:rFonts w:ascii="黑体" w:hAnsi="黑体" w:eastAsia="黑体" w:cs="黑体"/>
          <w:sz w:val="32"/>
        </w:rPr>
        <w:t>第二百六十八条</w:t>
      </w:r>
      <w:r>
        <w:rPr>
          <w:rFonts w:ascii="仿宋_GB2312" w:hAnsi="仿宋_GB2312" w:eastAsia="仿宋_GB2312" w:cs="仿宋_GB2312"/>
          <w:sz w:val="32"/>
        </w:rPr>
        <w:t>　聚众哄抢公私财物，数额较大或者有其他严重情节的，对首要分子和积极参加的，处三年以下有期徒刑、拘役或者管制，并处罚金；数额巨大或者有其他特别严重情节的，处三年以上十年以下有期徒刑，并处罚金。</w:t>
      </w:r>
    </w:p>
    <w:p>
      <w:pPr>
        <w:spacing w:line="240" w:lineRule="auto"/>
        <w:ind w:firstLine="640"/>
        <w:jc w:val="both"/>
      </w:pPr>
      <w:r>
        <w:rPr>
          <w:rFonts w:ascii="黑体" w:hAnsi="黑体" w:eastAsia="黑体" w:cs="黑体"/>
          <w:sz w:val="32"/>
        </w:rPr>
        <w:t>第二百六十九条</w:t>
      </w:r>
      <w:r>
        <w:rPr>
          <w:rFonts w:ascii="仿宋_GB2312" w:hAnsi="仿宋_GB2312" w:eastAsia="仿宋_GB2312" w:cs="仿宋_GB2312"/>
          <w:sz w:val="32"/>
        </w:rPr>
        <w:t>　犯盗窃、诈骗、抢夺罪，为窝藏赃物、抗拒抓捕或者毁灭罪证而当场使用暴力或者以暴力相威胁的，依照本法第二百六十三条的规定定罪处罚。</w:t>
      </w:r>
    </w:p>
    <w:p>
      <w:pPr>
        <w:spacing w:line="240" w:lineRule="auto"/>
        <w:ind w:firstLine="640"/>
        <w:jc w:val="both"/>
      </w:pPr>
      <w:r>
        <w:rPr>
          <w:rFonts w:ascii="黑体" w:hAnsi="黑体" w:eastAsia="黑体" w:cs="黑体"/>
          <w:sz w:val="32"/>
        </w:rPr>
        <w:t>第二百七十条</w:t>
      </w:r>
      <w:r>
        <w:rPr>
          <w:rFonts w:ascii="仿宋_GB2312" w:hAnsi="仿宋_GB2312" w:eastAsia="仿宋_GB2312" w:cs="仿宋_GB2312"/>
          <w:sz w:val="32"/>
        </w:rPr>
        <w:t>　将代为保管的他人财物非法占为己有，数额较大，拒不退还的，处二年以下有期徒刑、拘役或者罚金；数额巨大或者有其他严重情节的，处二年以上五年以下有期徒刑，并处罚金。</w:t>
      </w:r>
    </w:p>
    <w:p>
      <w:pPr>
        <w:spacing w:line="240" w:lineRule="auto"/>
        <w:ind w:firstLine="640"/>
        <w:jc w:val="both"/>
      </w:pPr>
      <w:r>
        <w:rPr>
          <w:rFonts w:ascii="仿宋_GB2312" w:hAnsi="仿宋_GB2312" w:eastAsia="仿宋_GB2312" w:cs="仿宋_GB2312"/>
          <w:sz w:val="32"/>
        </w:rPr>
        <w:t>将他人的遗忘物或者埋藏物非法占为己有，数额较大，拒不交出的，依照前款的规定处罚。</w:t>
      </w:r>
    </w:p>
    <w:p>
      <w:pPr>
        <w:spacing w:line="240" w:lineRule="auto"/>
        <w:ind w:firstLine="640"/>
        <w:jc w:val="both"/>
      </w:pPr>
      <w:r>
        <w:rPr>
          <w:rFonts w:ascii="仿宋_GB2312" w:hAnsi="仿宋_GB2312" w:eastAsia="仿宋_GB2312" w:cs="仿宋_GB2312"/>
          <w:sz w:val="32"/>
        </w:rPr>
        <w:t>本条罪，告诉的才处理。</w:t>
      </w:r>
    </w:p>
    <w:p>
      <w:pPr>
        <w:spacing w:line="240" w:lineRule="auto"/>
        <w:ind w:firstLine="640"/>
        <w:jc w:val="both"/>
      </w:pPr>
      <w:r>
        <w:rPr>
          <w:rFonts w:ascii="黑体" w:hAnsi="黑体" w:eastAsia="黑体" w:cs="黑体"/>
          <w:sz w:val="32"/>
        </w:rPr>
        <w:t>第二百七十一条</w:t>
      </w:r>
      <w:r>
        <w:rPr>
          <w:rFonts w:ascii="仿宋_GB2312" w:hAnsi="仿宋_GB2312" w:eastAsia="仿宋_GB2312" w:cs="仿宋_GB2312"/>
          <w:sz w:val="32"/>
        </w:rPr>
        <w:t>　公司、企业或者其他单位的工作人员，利用职务上的便利，将本单位财物非法占为己有，数额较大的，处三年以下有期徒刑或者拘役，并处罚金；数额巨大的，处三年以上十年以下有期徒刑，并处罚金；数额特别巨大的，处十年以上有期徒刑或者无期徒刑，并处罚金。</w:t>
      </w:r>
    </w:p>
    <w:p>
      <w:pPr>
        <w:spacing w:line="240" w:lineRule="auto"/>
        <w:ind w:firstLine="640"/>
        <w:jc w:val="both"/>
      </w:pPr>
      <w:r>
        <w:rPr>
          <w:rFonts w:ascii="仿宋_GB2312" w:hAnsi="仿宋_GB2312" w:eastAsia="仿宋_GB2312" w:cs="仿宋_GB2312"/>
          <w:sz w:val="32"/>
        </w:rPr>
        <w:t>国有公司、企业或者其他国有单位中从事公务的人员和国有公司、企业或者其他国有单位委派到非国有公司、企业以及其他单位从事公务的人员有前款行为的，依照本法第三百八十二条、第三百八十三条的规定定罪处罚。</w:t>
      </w:r>
    </w:p>
    <w:p>
      <w:pPr>
        <w:spacing w:line="240" w:lineRule="auto"/>
        <w:ind w:firstLine="640"/>
        <w:jc w:val="both"/>
      </w:pPr>
      <w:r>
        <w:rPr>
          <w:rFonts w:ascii="黑体" w:hAnsi="黑体" w:eastAsia="黑体" w:cs="黑体"/>
          <w:sz w:val="32"/>
        </w:rPr>
        <w:t>第二百七十二条</w:t>
      </w:r>
      <w:r>
        <w:rPr>
          <w:rFonts w:ascii="仿宋_GB2312" w:hAnsi="仿宋_GB2312" w:eastAsia="仿宋_GB2312" w:cs="仿宋_GB2312"/>
          <w:sz w:val="32"/>
        </w:rPr>
        <w:t>　公司、企业或者其他单位的工作人员，利用职务上的便利，挪用本单位资金归个人使用或者借贷给他人，数额较大、超过三个月未还的，或者虽未超过三个月，但数额较大、进行营利活动的，或者进行非法活动的，处三年以下有期徒刑或者拘役；挪用本单位资金数额巨大的，处三年以上七年以下有期徒刑；数额特别巨大的，处七年以上有期徒刑。</w:t>
      </w:r>
    </w:p>
    <w:p>
      <w:pPr>
        <w:spacing w:line="240" w:lineRule="auto"/>
        <w:ind w:firstLine="640"/>
        <w:jc w:val="both"/>
      </w:pPr>
      <w:r>
        <w:rPr>
          <w:rFonts w:ascii="仿宋_GB2312" w:hAnsi="仿宋_GB2312" w:eastAsia="仿宋_GB2312" w:cs="仿宋_GB2312"/>
          <w:sz w:val="32"/>
        </w:rPr>
        <w:t>国有公司、企业或者其他国有单位中从事公务的人员和国有公司、企业或者其他国有单位委派到非国有公司、企业以及其他单位从事公务的人员有前款行为的，依照本法第三百八十四条的规定定罪处罚。</w:t>
      </w:r>
    </w:p>
    <w:p>
      <w:pPr>
        <w:spacing w:line="240" w:lineRule="auto"/>
        <w:ind w:firstLine="640"/>
        <w:jc w:val="both"/>
      </w:pPr>
      <w:r>
        <w:rPr>
          <w:rFonts w:ascii="仿宋_GB2312" w:hAnsi="仿宋_GB2312" w:eastAsia="仿宋_GB2312" w:cs="仿宋_GB2312"/>
          <w:sz w:val="32"/>
        </w:rPr>
        <w:t>有第一款行为，在提起公诉前将挪用的资金退还的，可以从轻或者减轻处罚。其中，犯罪较轻的，可以减轻或者免除处罚。</w:t>
      </w:r>
    </w:p>
    <w:p>
      <w:pPr>
        <w:spacing w:line="240" w:lineRule="auto"/>
        <w:ind w:firstLine="640"/>
        <w:jc w:val="both"/>
      </w:pPr>
      <w:r>
        <w:rPr>
          <w:rFonts w:ascii="黑体" w:hAnsi="黑体" w:eastAsia="黑体" w:cs="黑体"/>
          <w:sz w:val="32"/>
        </w:rPr>
        <w:t>第二百七十三条</w:t>
      </w:r>
      <w:r>
        <w:rPr>
          <w:rFonts w:ascii="仿宋_GB2312" w:hAnsi="仿宋_GB2312" w:eastAsia="仿宋_GB2312" w:cs="仿宋_GB2312"/>
          <w:sz w:val="32"/>
        </w:rPr>
        <w:t>　挪用用于救灾、抢险、防汛、优抚、扶贫、移民、救济款物，情节严重，致使国家和人民群众利益遭受重大损害的，对直接责任人员，处三年以下有期徒刑或者拘役；情节特别严重的，处三年以上七年以下有期徒刑。</w:t>
      </w:r>
    </w:p>
    <w:p>
      <w:pPr>
        <w:spacing w:line="240" w:lineRule="auto"/>
        <w:ind w:firstLine="640"/>
        <w:jc w:val="both"/>
      </w:pPr>
      <w:r>
        <w:rPr>
          <w:rFonts w:ascii="黑体" w:hAnsi="黑体" w:eastAsia="黑体" w:cs="黑体"/>
          <w:sz w:val="32"/>
        </w:rPr>
        <w:t>第二百七十四条</w:t>
      </w:r>
      <w:r>
        <w:rPr>
          <w:rFonts w:ascii="仿宋_GB2312" w:hAnsi="仿宋_GB2312" w:eastAsia="仿宋_GB2312" w:cs="仿宋_GB2312"/>
          <w:sz w:val="32"/>
        </w:rPr>
        <w:t>　敲诈勒索公私财物，数额较大或者多次敲诈勒索的，处三年以下有期徒刑、拘役或者管制，并处或者单处罚金；数额巨大或者有其他严重情节的，处三年以上十年以下有期徒刑，并处罚金；数额特别巨大或者有其他特别严重情节的，处十年以上有期徒刑，并处罚金。</w:t>
      </w:r>
    </w:p>
    <w:p>
      <w:pPr>
        <w:spacing w:line="240" w:lineRule="auto"/>
        <w:ind w:firstLine="640"/>
        <w:jc w:val="both"/>
      </w:pPr>
      <w:r>
        <w:rPr>
          <w:rFonts w:ascii="黑体" w:hAnsi="黑体" w:eastAsia="黑体" w:cs="黑体"/>
          <w:sz w:val="32"/>
        </w:rPr>
        <w:t>第二百七十五条</w:t>
      </w:r>
      <w:r>
        <w:rPr>
          <w:rFonts w:ascii="仿宋_GB2312" w:hAnsi="仿宋_GB2312" w:eastAsia="仿宋_GB2312" w:cs="仿宋_GB2312"/>
          <w:sz w:val="32"/>
        </w:rPr>
        <w:t>　故意毁坏公私财物，数额较大或者有其他严重情节的，处三年以下有期徒刑、拘役或者罚金；数额巨大或者有其他特别严重情节的，处三年以上七年以下有期徒刑。</w:t>
      </w:r>
    </w:p>
    <w:p>
      <w:pPr>
        <w:spacing w:line="240" w:lineRule="auto"/>
        <w:ind w:firstLine="640"/>
        <w:jc w:val="both"/>
      </w:pPr>
      <w:r>
        <w:rPr>
          <w:rFonts w:ascii="黑体" w:hAnsi="黑体" w:eastAsia="黑体" w:cs="黑体"/>
          <w:sz w:val="32"/>
        </w:rPr>
        <w:t>第二百七十六条</w:t>
      </w:r>
      <w:r>
        <w:rPr>
          <w:rFonts w:ascii="仿宋_GB2312" w:hAnsi="仿宋_GB2312" w:eastAsia="仿宋_GB2312" w:cs="仿宋_GB2312"/>
          <w:sz w:val="32"/>
        </w:rPr>
        <w:t>　由于泄愤报复或者其他个人目的，毁坏机器设备、残害耕畜或者以其他方法破坏生产经营的，处三年以下有期徒刑、拘役或者管制；情节严重的，处三年以上七年以下有期徒刑。</w:t>
      </w:r>
    </w:p>
    <w:p>
      <w:pPr>
        <w:spacing w:line="240" w:lineRule="auto"/>
        <w:ind w:firstLine="640"/>
        <w:jc w:val="both"/>
      </w:pPr>
      <w:r>
        <w:rPr>
          <w:rFonts w:ascii="黑体" w:hAnsi="黑体" w:eastAsia="黑体" w:cs="黑体"/>
          <w:sz w:val="32"/>
        </w:rPr>
        <w:t>第二百七十六</w:t>
      </w:r>
      <w:r>
        <w:rPr>
          <w:rFonts w:hint="eastAsia" w:ascii="黑体" w:hAnsi="黑体" w:eastAsia="黑体" w:cs="黑体"/>
          <w:sz w:val="32"/>
          <w:lang w:eastAsia="zh-CN"/>
        </w:rPr>
        <w:t>条之一　</w:t>
      </w:r>
      <w:r>
        <w:rPr>
          <w:rFonts w:ascii="仿宋_GB2312" w:hAnsi="仿宋_GB2312" w:eastAsia="仿宋_GB2312" w:cs="仿宋_GB2312"/>
          <w:sz w:val="32"/>
        </w:rPr>
        <w:t>以转移财产、逃匿等方法逃避支付劳动者的劳动报酬或者有能力支付而不支付劳动者的劳动报酬，数额较大，经政府有关部门责令支付仍不支付的，处三年以下有期徒刑或者拘役，并处或者单处罚金；造成严重后果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有前两款行为，尚未造成严重后果，在提起公诉前支付劳动者的劳动报酬，并依法承担相应赔偿责任的，可以减轻或者免除处罚。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第六章　妨害社会管理秩序罪</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第一节　扰乱公共秩序罪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第二百七十七条</w:t>
      </w:r>
      <w:r>
        <w:rPr>
          <w:rFonts w:ascii="仿宋_GB2312" w:hAnsi="仿宋_GB2312" w:eastAsia="仿宋_GB2312" w:cs="仿宋_GB2312"/>
          <w:sz w:val="32"/>
        </w:rPr>
        <w:t>　以暴力、威胁方法阻碍国家机关工作人员依法执行职务的，处三年以下有期徒刑、拘役、管制或者罚金。</w:t>
      </w:r>
    </w:p>
    <w:p>
      <w:pPr>
        <w:spacing w:line="240" w:lineRule="auto"/>
        <w:ind w:firstLine="640"/>
        <w:jc w:val="both"/>
      </w:pPr>
      <w:r>
        <w:rPr>
          <w:rFonts w:ascii="仿宋_GB2312" w:hAnsi="仿宋_GB2312" w:eastAsia="仿宋_GB2312" w:cs="仿宋_GB2312"/>
          <w:sz w:val="32"/>
        </w:rPr>
        <w:t>以暴力、威胁方法阻碍全国人民代表大会和地方各级人民代表大会代表依法执行代表职务的，依照前款的规定处罚。</w:t>
      </w:r>
    </w:p>
    <w:p>
      <w:pPr>
        <w:spacing w:line="240" w:lineRule="auto"/>
        <w:ind w:firstLine="640"/>
        <w:jc w:val="both"/>
      </w:pPr>
      <w:r>
        <w:rPr>
          <w:rFonts w:ascii="仿宋_GB2312" w:hAnsi="仿宋_GB2312" w:eastAsia="仿宋_GB2312" w:cs="仿宋_GB2312"/>
          <w:sz w:val="32"/>
        </w:rPr>
        <w:t>在自然灾害和突发事件中，以暴力、威胁方法阻碍红十字会工作人员依法履行职责的，依照第一款的规定处罚。</w:t>
      </w:r>
    </w:p>
    <w:p>
      <w:pPr>
        <w:spacing w:line="240" w:lineRule="auto"/>
        <w:ind w:firstLine="640"/>
        <w:jc w:val="both"/>
      </w:pPr>
      <w:r>
        <w:rPr>
          <w:rFonts w:ascii="仿宋_GB2312" w:hAnsi="仿宋_GB2312" w:eastAsia="仿宋_GB2312" w:cs="仿宋_GB2312"/>
          <w:sz w:val="32"/>
        </w:rPr>
        <w:t>故意阻碍国家安全机关、公安机关依法执行国家安全工作任务，未使用暴力、威胁方法，造成严重后果的，依照第一款的规定处罚。</w:t>
      </w:r>
    </w:p>
    <w:p>
      <w:pPr>
        <w:spacing w:line="240" w:lineRule="auto"/>
        <w:ind w:firstLine="640"/>
        <w:jc w:val="both"/>
      </w:pPr>
      <w:r>
        <w:rPr>
          <w:rFonts w:ascii="仿宋_GB2312" w:hAnsi="仿宋_GB2312" w:eastAsia="仿宋_GB2312" w:cs="仿宋_GB2312"/>
          <w:sz w:val="32"/>
        </w:rPr>
        <w:t>暴力袭击正在依法执行职务的人民警察的，处三年以下有期徒刑、拘役或者管制；使用枪支、管制刀具，或者以驾驶机动车撞击等手段，严重危及其人身安全的，处三年以上七年以下有期徒刑。</w:t>
      </w:r>
    </w:p>
    <w:p>
      <w:pPr>
        <w:spacing w:line="240" w:lineRule="auto"/>
        <w:ind w:firstLine="640"/>
        <w:jc w:val="both"/>
      </w:pPr>
      <w:r>
        <w:rPr>
          <w:rFonts w:ascii="黑体" w:hAnsi="黑体" w:eastAsia="黑体" w:cs="黑体"/>
          <w:sz w:val="32"/>
        </w:rPr>
        <w:t>第二百七十八条</w:t>
      </w:r>
      <w:r>
        <w:rPr>
          <w:rFonts w:ascii="仿宋_GB2312" w:hAnsi="仿宋_GB2312" w:eastAsia="仿宋_GB2312" w:cs="仿宋_GB2312"/>
          <w:sz w:val="32"/>
        </w:rPr>
        <w:t>　煽动群众暴力抗拒国家法律、行政法规实施的，处三年以下有期徒刑、拘役、管制或者剥夺政治权利；造成严重后果的，处三年以上七年以下有期徒刑。</w:t>
      </w:r>
    </w:p>
    <w:p>
      <w:pPr>
        <w:spacing w:line="240" w:lineRule="auto"/>
        <w:ind w:firstLine="640"/>
        <w:jc w:val="both"/>
      </w:pPr>
      <w:r>
        <w:rPr>
          <w:rFonts w:ascii="黑体" w:hAnsi="黑体" w:eastAsia="黑体" w:cs="黑体"/>
          <w:sz w:val="32"/>
        </w:rPr>
        <w:t>第二百七十九条</w:t>
      </w:r>
      <w:r>
        <w:rPr>
          <w:rFonts w:ascii="仿宋_GB2312" w:hAnsi="仿宋_GB2312" w:eastAsia="仿宋_GB2312" w:cs="仿宋_GB2312"/>
          <w:sz w:val="32"/>
        </w:rPr>
        <w:t>　冒充国家机关工作人员招摇撞骗的，处三年以下有期徒刑、拘役、管制或者剥夺政治权利；情节严重的，处三年以上十年以下有期徒刑。</w:t>
      </w:r>
    </w:p>
    <w:p>
      <w:pPr>
        <w:spacing w:line="240" w:lineRule="auto"/>
        <w:ind w:firstLine="640"/>
        <w:jc w:val="both"/>
      </w:pPr>
      <w:r>
        <w:rPr>
          <w:rFonts w:ascii="仿宋_GB2312" w:hAnsi="仿宋_GB2312" w:eastAsia="仿宋_GB2312" w:cs="仿宋_GB2312"/>
          <w:sz w:val="32"/>
        </w:rPr>
        <w:t>冒充人民警察招摇撞骗的，依照前款的规定从重处罚。</w:t>
      </w:r>
    </w:p>
    <w:p>
      <w:pPr>
        <w:spacing w:line="240" w:lineRule="auto"/>
        <w:ind w:firstLine="640"/>
        <w:jc w:val="both"/>
      </w:pPr>
      <w:r>
        <w:rPr>
          <w:rFonts w:ascii="黑体" w:hAnsi="黑体" w:eastAsia="黑体" w:cs="黑体"/>
          <w:sz w:val="32"/>
        </w:rPr>
        <w:t>第二百八十条</w:t>
      </w:r>
      <w:r>
        <w:rPr>
          <w:rFonts w:ascii="仿宋_GB2312" w:hAnsi="仿宋_GB2312" w:eastAsia="仿宋_GB2312" w:cs="仿宋_GB2312"/>
          <w:sz w:val="32"/>
        </w:rPr>
        <w:t>　伪造、变造、买卖或者盗窃、抢夺、毁灭国家机关的公文、证件、印章的，处三年以下有期徒刑、拘役、管制或者剥夺政治权利，并处罚金；情节严重的，处三年以上十年以下有期徒刑，并处罚金。</w:t>
      </w:r>
    </w:p>
    <w:p>
      <w:pPr>
        <w:spacing w:line="240" w:lineRule="auto"/>
        <w:ind w:firstLine="640"/>
        <w:jc w:val="both"/>
      </w:pPr>
      <w:r>
        <w:rPr>
          <w:rFonts w:ascii="仿宋_GB2312" w:hAnsi="仿宋_GB2312" w:eastAsia="仿宋_GB2312" w:cs="仿宋_GB2312"/>
          <w:sz w:val="32"/>
        </w:rPr>
        <w:t>伪造公司、企业、事业单位、人民团体的印章的，处三年以下有期徒刑、拘役、管制或者剥夺政治权利，并处罚金。</w:t>
      </w:r>
    </w:p>
    <w:p>
      <w:pPr>
        <w:spacing w:line="240" w:lineRule="auto"/>
        <w:ind w:firstLine="640"/>
        <w:jc w:val="both"/>
      </w:pPr>
      <w:r>
        <w:rPr>
          <w:rFonts w:ascii="仿宋_GB2312" w:hAnsi="仿宋_GB2312" w:eastAsia="仿宋_GB2312" w:cs="仿宋_GB2312"/>
          <w:sz w:val="32"/>
        </w:rPr>
        <w:t>伪造、变造、买卖居民身份证、护照、社会保障卡、驾驶证等依法可以用于证明身份的证件的，处三年以下有期徒刑、拘役、管制或者剥夺政治权利，并处罚金；情节严重的，处三年以上七年以下有期徒刑，并处罚金。</w:t>
      </w:r>
    </w:p>
    <w:p>
      <w:pPr>
        <w:spacing w:line="240" w:lineRule="auto"/>
        <w:ind w:firstLine="640"/>
        <w:jc w:val="both"/>
      </w:pPr>
      <w:r>
        <w:rPr>
          <w:rFonts w:ascii="黑体" w:hAnsi="黑体" w:eastAsia="黑体" w:cs="黑体"/>
          <w:sz w:val="32"/>
        </w:rPr>
        <w:t>第二百八十</w:t>
      </w:r>
      <w:r>
        <w:rPr>
          <w:rFonts w:hint="eastAsia" w:ascii="黑体" w:hAnsi="黑体" w:eastAsia="黑体" w:cs="黑体"/>
          <w:sz w:val="32"/>
          <w:lang w:eastAsia="zh-CN"/>
        </w:rPr>
        <w:t>条之一　</w:t>
      </w:r>
      <w:r>
        <w:rPr>
          <w:rFonts w:ascii="仿宋_GB2312" w:hAnsi="仿宋_GB2312" w:eastAsia="仿宋_GB2312" w:cs="仿宋_GB2312"/>
          <w:sz w:val="32"/>
        </w:rPr>
        <w:t>在依照国家规定应当提供身份证明的活动中，使用伪造、变造的或者盗用他人的居民身份证、护照、社会保障卡、驾驶证等依法可以用于证明身份的证件，情节严重的，处拘役或者管制，并处或者单处罚金。</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第二百八十</w:t>
      </w:r>
      <w:r>
        <w:rPr>
          <w:rFonts w:hint="eastAsia" w:ascii="黑体" w:hAnsi="黑体" w:eastAsia="黑体" w:cs="黑体"/>
          <w:sz w:val="32"/>
          <w:lang w:eastAsia="zh-CN"/>
        </w:rPr>
        <w:t>条之二　</w:t>
      </w:r>
      <w:r>
        <w:rPr>
          <w:rFonts w:ascii="仿宋_GB2312" w:hAnsi="仿宋_GB2312" w:eastAsia="仿宋_GB2312" w:cs="仿宋_GB2312"/>
          <w:sz w:val="32"/>
        </w:rPr>
        <w:t>盗用、冒用他人身份，顶替他人取得的高等学历教育入学资格、公务员录用资格、就业安置待遇的，处三年以下有期徒刑、拘役或者管制，并处罚金。</w:t>
      </w:r>
    </w:p>
    <w:p>
      <w:pPr>
        <w:spacing w:line="240" w:lineRule="auto"/>
        <w:ind w:firstLine="640"/>
        <w:jc w:val="both"/>
      </w:pPr>
      <w:r>
        <w:rPr>
          <w:rFonts w:ascii="仿宋_GB2312" w:hAnsi="仿宋_GB2312" w:eastAsia="仿宋_GB2312" w:cs="仿宋_GB2312"/>
          <w:sz w:val="32"/>
        </w:rPr>
        <w:t>组织、指使他人实施前款行为的，依照前款的规定从重处罚。</w:t>
      </w:r>
    </w:p>
    <w:p>
      <w:pPr>
        <w:spacing w:line="240" w:lineRule="auto"/>
        <w:ind w:firstLine="640"/>
        <w:jc w:val="both"/>
      </w:pPr>
      <w:r>
        <w:rPr>
          <w:rFonts w:ascii="仿宋_GB2312" w:hAnsi="仿宋_GB2312" w:eastAsia="仿宋_GB2312" w:cs="仿宋_GB2312"/>
          <w:sz w:val="32"/>
        </w:rPr>
        <w:t>国家工作人员有前两款行为，又构成其他犯罪的，依照数罪并罚的规定处罚。</w:t>
      </w:r>
    </w:p>
    <w:p>
      <w:pPr>
        <w:spacing w:line="240" w:lineRule="auto"/>
        <w:ind w:firstLine="640"/>
        <w:jc w:val="both"/>
      </w:pPr>
      <w:r>
        <w:rPr>
          <w:rFonts w:ascii="黑体" w:hAnsi="黑体" w:eastAsia="黑体" w:cs="黑体"/>
          <w:sz w:val="32"/>
        </w:rPr>
        <w:t>第二百八十一条</w:t>
      </w:r>
      <w:r>
        <w:rPr>
          <w:rFonts w:ascii="仿宋_GB2312" w:hAnsi="仿宋_GB2312" w:eastAsia="仿宋_GB2312" w:cs="仿宋_GB2312"/>
          <w:sz w:val="32"/>
        </w:rPr>
        <w:t>　非法生产、买卖人民警察制式服装、车辆号牌等专用标志、警械，情节严重的，处三年以下有期徒刑、拘役或者管制，并处或者单处罚金。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第二百八十二条</w:t>
      </w:r>
      <w:r>
        <w:rPr>
          <w:rFonts w:ascii="仿宋_GB2312" w:hAnsi="仿宋_GB2312" w:eastAsia="仿宋_GB2312" w:cs="仿宋_GB2312"/>
          <w:sz w:val="32"/>
        </w:rPr>
        <w:t>　以窃取、刺探、收买方法，非法获取国家秘密的，处三年以下有期徒刑、拘役、管制或者剥夺政治权利；情节严重的，处三年以上七年以下有期徒刑。</w:t>
      </w:r>
    </w:p>
    <w:p>
      <w:pPr>
        <w:spacing w:line="240" w:lineRule="auto"/>
        <w:ind w:firstLine="640"/>
        <w:jc w:val="both"/>
      </w:pPr>
      <w:r>
        <w:rPr>
          <w:rFonts w:ascii="仿宋_GB2312" w:hAnsi="仿宋_GB2312" w:eastAsia="仿宋_GB2312" w:cs="仿宋_GB2312"/>
          <w:sz w:val="32"/>
        </w:rPr>
        <w:t>非法持有属于国家绝密、机密的文件、资料或者其他物品，拒不说明来源与用途的，处三年以下有期徒刑、拘役或者管制。</w:t>
      </w:r>
    </w:p>
    <w:p>
      <w:pPr>
        <w:spacing w:line="240" w:lineRule="auto"/>
        <w:ind w:firstLine="640"/>
        <w:jc w:val="both"/>
      </w:pPr>
      <w:r>
        <w:rPr>
          <w:rFonts w:ascii="黑体" w:hAnsi="黑体" w:eastAsia="黑体" w:cs="黑体"/>
          <w:sz w:val="32"/>
        </w:rPr>
        <w:t>第二百八十三条</w:t>
      </w:r>
      <w:r>
        <w:rPr>
          <w:rFonts w:ascii="仿宋_GB2312" w:hAnsi="仿宋_GB2312" w:eastAsia="仿宋_GB2312" w:cs="仿宋_GB2312"/>
          <w:sz w:val="32"/>
        </w:rPr>
        <w:t>　非法生产、销售专用间谍器材或者窃听、窃照专用器材的，处三年以下有期徒刑、拘役或者管制，并处或者单处罚金；情节严重的，处三年以上七年以下有期徒刑，并处罚金。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第二百八十四条</w:t>
      </w:r>
      <w:r>
        <w:rPr>
          <w:rFonts w:ascii="仿宋_GB2312" w:hAnsi="仿宋_GB2312" w:eastAsia="仿宋_GB2312" w:cs="仿宋_GB2312"/>
          <w:sz w:val="32"/>
        </w:rPr>
        <w:t>　非法使用窃听、窃照专用器材，造成严重后果的，处二年以下有期徒刑、拘役或者管制。</w:t>
      </w:r>
    </w:p>
    <w:p>
      <w:pPr>
        <w:spacing w:line="240" w:lineRule="auto"/>
        <w:ind w:firstLine="640"/>
        <w:jc w:val="both"/>
      </w:pPr>
      <w:r>
        <w:rPr>
          <w:rFonts w:ascii="黑体" w:hAnsi="黑体" w:eastAsia="黑体" w:cs="黑体"/>
          <w:sz w:val="32"/>
        </w:rPr>
        <w:t>第二百八十四</w:t>
      </w:r>
      <w:r>
        <w:rPr>
          <w:rFonts w:hint="eastAsia" w:ascii="黑体" w:hAnsi="黑体" w:eastAsia="黑体" w:cs="黑体"/>
          <w:sz w:val="32"/>
          <w:lang w:eastAsia="zh-CN"/>
        </w:rPr>
        <w:t>条之一　</w:t>
      </w:r>
      <w:r>
        <w:rPr>
          <w:rFonts w:ascii="仿宋_GB2312" w:hAnsi="仿宋_GB2312" w:eastAsia="仿宋_GB2312" w:cs="仿宋_GB2312"/>
          <w:sz w:val="32"/>
        </w:rPr>
        <w:t>在法律规定的国家考试中，组织作弊的，处三年以下有期徒刑或者拘役，并处或者单处罚金；情节严重的，处三年以上七年以下有期徒刑，并处罚金。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为他人实施前款犯罪提供作弊器材或者其他帮助的，依照前款的规定处罚。</w:t>
      </w:r>
    </w:p>
    <w:p>
      <w:pPr>
        <w:spacing w:line="240" w:lineRule="auto"/>
        <w:ind w:firstLine="640"/>
        <w:jc w:val="both"/>
      </w:pPr>
      <w:r>
        <w:rPr>
          <w:rFonts w:ascii="仿宋_GB2312" w:hAnsi="仿宋_GB2312" w:eastAsia="仿宋_GB2312" w:cs="仿宋_GB2312"/>
          <w:sz w:val="32"/>
        </w:rPr>
        <w:t>为实施考试作弊行为，向他人非法出售或者提供第一款规定的考试的试题、答案的，依照第一款的规定处罚。</w:t>
      </w:r>
    </w:p>
    <w:p>
      <w:pPr>
        <w:spacing w:line="240" w:lineRule="auto"/>
        <w:ind w:firstLine="640"/>
        <w:jc w:val="both"/>
      </w:pPr>
      <w:r>
        <w:rPr>
          <w:rFonts w:ascii="仿宋_GB2312" w:hAnsi="仿宋_GB2312" w:eastAsia="仿宋_GB2312" w:cs="仿宋_GB2312"/>
          <w:sz w:val="32"/>
        </w:rPr>
        <w:t>代替他人或者让他人代替自己参加第一款规定的考试的，处拘役或者管制，并处或者单处罚金。</w:t>
      </w:r>
    </w:p>
    <w:p>
      <w:pPr>
        <w:spacing w:line="240" w:lineRule="auto"/>
        <w:ind w:firstLine="640"/>
        <w:jc w:val="both"/>
      </w:pPr>
      <w:r>
        <w:rPr>
          <w:rFonts w:ascii="黑体" w:hAnsi="黑体" w:eastAsia="黑体" w:cs="黑体"/>
          <w:sz w:val="32"/>
        </w:rPr>
        <w:t>第二百八十五条</w:t>
      </w:r>
      <w:r>
        <w:rPr>
          <w:rFonts w:ascii="仿宋_GB2312" w:hAnsi="仿宋_GB2312" w:eastAsia="仿宋_GB2312" w:cs="仿宋_GB2312"/>
          <w:sz w:val="32"/>
        </w:rPr>
        <w:t>　违反国家规定，侵入国家事务、国防建设、尖端科学技术领域的计算机信息系统的，处三年以下有期徒刑或者拘役。</w:t>
      </w:r>
    </w:p>
    <w:p>
      <w:pPr>
        <w:spacing w:line="240" w:lineRule="auto"/>
        <w:ind w:firstLine="640"/>
        <w:jc w:val="both"/>
      </w:pPr>
      <w:r>
        <w:rPr>
          <w:rFonts w:ascii="仿宋_GB2312" w:hAnsi="仿宋_GB2312" w:eastAsia="仿宋_GB2312" w:cs="仿宋_GB2312"/>
          <w:sz w:val="32"/>
        </w:rPr>
        <w:t>违反国家规定，侵入前款规定以外的计算机信息系统或者采用其他技术手段，获取该计算机信息系统中存储、处理或者传输的数据，或者对该计算机信息系统实施非法控制，情节严重的，处三年以下有期徒刑或者拘役，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提供专门用于侵入、非法控制计算机信息系统的程序、工具，或者明知他人实施侵入、非法控制计算机信息系统的违法犯罪行为而为其提供程序、工具，情节严重的，依照前款的规定处罚。</w:t>
      </w:r>
    </w:p>
    <w:p>
      <w:pPr>
        <w:spacing w:line="240" w:lineRule="auto"/>
        <w:ind w:firstLine="640"/>
        <w:jc w:val="both"/>
      </w:pPr>
      <w:r>
        <w:rPr>
          <w:rFonts w:ascii="仿宋_GB2312" w:hAnsi="仿宋_GB2312" w:eastAsia="仿宋_GB2312" w:cs="仿宋_GB2312"/>
          <w:sz w:val="32"/>
        </w:rPr>
        <w:t>单位犯前三款罪的，对单位判处罚金，并对其直接负责的主管人员和其他直接责任人员，依照各该款的规定处罚。</w:t>
      </w:r>
    </w:p>
    <w:p>
      <w:pPr>
        <w:spacing w:line="240" w:lineRule="auto"/>
        <w:ind w:firstLine="640"/>
        <w:jc w:val="both"/>
      </w:pPr>
      <w:r>
        <w:rPr>
          <w:rFonts w:ascii="黑体" w:hAnsi="黑体" w:eastAsia="黑体" w:cs="黑体"/>
          <w:sz w:val="32"/>
        </w:rPr>
        <w:t>第二百八十六条</w:t>
      </w:r>
      <w:r>
        <w:rPr>
          <w:rFonts w:ascii="仿宋_GB2312" w:hAnsi="仿宋_GB2312" w:eastAsia="仿宋_GB2312" w:cs="仿宋_GB2312"/>
          <w:sz w:val="32"/>
        </w:rPr>
        <w:t>　违反国家规定，对计算机信息系统功能进行删除、修改、增加、干扰，造成计算机信息系统不能正常运行，后果严重的，处五年以下有期徒刑或者拘役；后果特别严重的，处五年以上有期徒刑。</w:t>
      </w:r>
    </w:p>
    <w:p>
      <w:pPr>
        <w:spacing w:line="240" w:lineRule="auto"/>
        <w:ind w:firstLine="640"/>
        <w:jc w:val="both"/>
      </w:pPr>
      <w:r>
        <w:rPr>
          <w:rFonts w:ascii="仿宋_GB2312" w:hAnsi="仿宋_GB2312" w:eastAsia="仿宋_GB2312" w:cs="仿宋_GB2312"/>
          <w:sz w:val="32"/>
        </w:rPr>
        <w:t>违反国家规定，对计算机信息系统中存储、处理或者传输的数据和应用程序进行删除、修改、增加的操作，后果严重的，依照前款的规定处罚。</w:t>
      </w:r>
    </w:p>
    <w:p>
      <w:pPr>
        <w:spacing w:line="240" w:lineRule="auto"/>
        <w:ind w:firstLine="640"/>
        <w:jc w:val="both"/>
      </w:pPr>
      <w:r>
        <w:rPr>
          <w:rFonts w:ascii="仿宋_GB2312" w:hAnsi="仿宋_GB2312" w:eastAsia="仿宋_GB2312" w:cs="仿宋_GB2312"/>
          <w:sz w:val="32"/>
        </w:rPr>
        <w:t>故意制作、传播计算机病毒等破坏性程序，影响计算机系统正常运行，后果严重的，依照第一款的规定处罚。</w:t>
      </w:r>
    </w:p>
    <w:p>
      <w:pPr>
        <w:spacing w:line="240" w:lineRule="auto"/>
        <w:ind w:firstLine="640"/>
        <w:jc w:val="both"/>
      </w:pPr>
      <w:r>
        <w:rPr>
          <w:rFonts w:ascii="仿宋_GB2312" w:hAnsi="仿宋_GB2312" w:eastAsia="仿宋_GB2312" w:cs="仿宋_GB2312"/>
          <w:sz w:val="32"/>
        </w:rPr>
        <w:t>单位犯前三款罪的，对单位判处罚金，并对其直接负责的主管人员和其他直接责任人员，依照第一款的规定处罚。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第二百八十六</w:t>
      </w:r>
      <w:r>
        <w:rPr>
          <w:rFonts w:hint="eastAsia" w:ascii="黑体" w:hAnsi="黑体" w:eastAsia="黑体" w:cs="黑体"/>
          <w:sz w:val="32"/>
          <w:lang w:eastAsia="zh-CN"/>
        </w:rPr>
        <w:t>条之一　</w:t>
      </w:r>
      <w:r>
        <w:rPr>
          <w:rFonts w:ascii="仿宋_GB2312" w:hAnsi="仿宋_GB2312" w:eastAsia="仿宋_GB2312" w:cs="仿宋_GB2312"/>
          <w:sz w:val="32"/>
        </w:rPr>
        <w:t>网络服务提供者不履行法律、行政法规规定的信息网络安全管理义务，经监管部门责令采取改正措施而拒不改正，有下列情形之一的，处三年以下有期徒刑、拘役或者管制，并处或者单处罚金：</w:t>
      </w:r>
    </w:p>
    <w:p>
      <w:pPr>
        <w:spacing w:line="240" w:lineRule="auto"/>
        <w:ind w:firstLine="640"/>
        <w:jc w:val="both"/>
      </w:pPr>
      <w:r>
        <w:rPr>
          <w:rFonts w:ascii="仿宋_GB2312" w:hAnsi="仿宋_GB2312" w:eastAsia="仿宋_GB2312" w:cs="仿宋_GB2312"/>
          <w:sz w:val="32"/>
        </w:rPr>
        <w:t>（一）致使违法信息大量传播的；</w:t>
      </w:r>
    </w:p>
    <w:p>
      <w:pPr>
        <w:spacing w:line="240" w:lineRule="auto"/>
        <w:ind w:firstLine="640"/>
        <w:jc w:val="both"/>
      </w:pPr>
      <w:r>
        <w:rPr>
          <w:rFonts w:ascii="仿宋_GB2312" w:hAnsi="仿宋_GB2312" w:eastAsia="仿宋_GB2312" w:cs="仿宋_GB2312"/>
          <w:sz w:val="32"/>
        </w:rPr>
        <w:t>（二）致使用户信息泄露，造成严重后果的；</w:t>
      </w:r>
    </w:p>
    <w:p>
      <w:pPr>
        <w:spacing w:line="240" w:lineRule="auto"/>
        <w:ind w:firstLine="640"/>
        <w:jc w:val="both"/>
      </w:pPr>
      <w:r>
        <w:rPr>
          <w:rFonts w:ascii="仿宋_GB2312" w:hAnsi="仿宋_GB2312" w:eastAsia="仿宋_GB2312" w:cs="仿宋_GB2312"/>
          <w:sz w:val="32"/>
        </w:rPr>
        <w:t>（三）致使刑事案件证据灭失，情节严重的；</w:t>
      </w:r>
    </w:p>
    <w:p>
      <w:pPr>
        <w:spacing w:line="240" w:lineRule="auto"/>
        <w:ind w:firstLine="640"/>
        <w:jc w:val="both"/>
      </w:pPr>
      <w:r>
        <w:rPr>
          <w:rFonts w:ascii="仿宋_GB2312" w:hAnsi="仿宋_GB2312" w:eastAsia="仿宋_GB2312" w:cs="仿宋_GB2312"/>
          <w:sz w:val="32"/>
        </w:rPr>
        <w:t>（四）有其他严重情节的。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第二百八十七条</w:t>
      </w:r>
      <w:r>
        <w:rPr>
          <w:rFonts w:ascii="仿宋_GB2312" w:hAnsi="仿宋_GB2312" w:eastAsia="仿宋_GB2312" w:cs="仿宋_GB2312"/>
          <w:sz w:val="32"/>
        </w:rPr>
        <w:t>　利用计算机实施金融诈骗、盗窃、贪污、挪用公款、窃取国家秘密或者其他犯罪的，依照本法有关规定定罪处罚。</w:t>
      </w:r>
    </w:p>
    <w:p>
      <w:pPr>
        <w:spacing w:line="240" w:lineRule="auto"/>
        <w:ind w:firstLine="640"/>
        <w:jc w:val="both"/>
      </w:pPr>
      <w:r>
        <w:rPr>
          <w:rFonts w:ascii="黑体" w:hAnsi="黑体" w:eastAsia="黑体" w:cs="黑体"/>
          <w:sz w:val="32"/>
        </w:rPr>
        <w:t>第二百八十七</w:t>
      </w:r>
      <w:r>
        <w:rPr>
          <w:rFonts w:hint="eastAsia" w:ascii="黑体" w:hAnsi="黑体" w:eastAsia="黑体" w:cs="黑体"/>
          <w:sz w:val="32"/>
          <w:lang w:eastAsia="zh-CN"/>
        </w:rPr>
        <w:t>条之一　</w:t>
      </w:r>
      <w:r>
        <w:rPr>
          <w:rFonts w:ascii="仿宋_GB2312" w:hAnsi="仿宋_GB2312" w:eastAsia="仿宋_GB2312" w:cs="仿宋_GB2312"/>
          <w:sz w:val="32"/>
        </w:rPr>
        <w:t>利用信息网络实施下列行为之一，情节严重的，处三年以下有期徒刑或者拘役，并处或者单处罚金：</w:t>
      </w:r>
    </w:p>
    <w:p>
      <w:pPr>
        <w:spacing w:line="240" w:lineRule="auto"/>
        <w:ind w:firstLine="640"/>
        <w:jc w:val="both"/>
      </w:pPr>
      <w:r>
        <w:rPr>
          <w:rFonts w:ascii="仿宋_GB2312" w:hAnsi="仿宋_GB2312" w:eastAsia="仿宋_GB2312" w:cs="仿宋_GB2312"/>
          <w:sz w:val="32"/>
        </w:rPr>
        <w:t>（一）设立用于实施诈骗、传授犯罪方法、制作或者销售违禁物品、管制物品等违法犯罪活动的网站、通讯群组的；</w:t>
      </w:r>
    </w:p>
    <w:p>
      <w:pPr>
        <w:spacing w:line="240" w:lineRule="auto"/>
        <w:ind w:firstLine="640"/>
        <w:jc w:val="both"/>
      </w:pPr>
      <w:r>
        <w:rPr>
          <w:rFonts w:ascii="仿宋_GB2312" w:hAnsi="仿宋_GB2312" w:eastAsia="仿宋_GB2312" w:cs="仿宋_GB2312"/>
          <w:sz w:val="32"/>
        </w:rPr>
        <w:t>（二）发布有关制作或者销售毒品、枪支、淫秽物品等违禁物品、管制物品或者其他违法犯罪信息的；</w:t>
      </w:r>
    </w:p>
    <w:p>
      <w:pPr>
        <w:spacing w:line="240" w:lineRule="auto"/>
        <w:ind w:firstLine="640"/>
        <w:jc w:val="both"/>
      </w:pPr>
      <w:r>
        <w:rPr>
          <w:rFonts w:ascii="仿宋_GB2312" w:hAnsi="仿宋_GB2312" w:eastAsia="仿宋_GB2312" w:cs="仿宋_GB2312"/>
          <w:sz w:val="32"/>
        </w:rPr>
        <w:t>（三）为实施诈骗等违法犯罪活动发布信息的。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单位犯前款罪的，对单位判处罚金，并对其直接负责的主管人员和其他直接责任人员，依照第一款的规定处罚。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第二百八十七</w:t>
      </w:r>
      <w:r>
        <w:rPr>
          <w:rFonts w:hint="eastAsia" w:ascii="黑体" w:hAnsi="黑体" w:eastAsia="黑体" w:cs="黑体"/>
          <w:sz w:val="32"/>
          <w:lang w:eastAsia="zh-CN"/>
        </w:rPr>
        <w:t>条之二　</w:t>
      </w:r>
      <w:r>
        <w:rPr>
          <w:rFonts w:ascii="仿宋_GB2312" w:hAnsi="仿宋_GB2312" w:eastAsia="仿宋_GB2312" w:cs="仿宋_GB2312"/>
          <w:sz w:val="32"/>
        </w:rPr>
        <w:t>明知他人利用信息网络实施犯罪，为其犯罪提供互联网接入、服务器托管、网络存储、通讯传输等技术支持，或者提供广告推广、支付结算等帮助，情节严重的，处三年以下有期徒刑或者拘役，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单位犯前款罪的，对单位判处罚金，并对其直接负责的主管人员和其他直接责任人员，依照第一款的规定处罚。</w:t>
      </w:r>
    </w:p>
    <w:p>
      <w:pPr>
        <w:spacing w:line="240" w:lineRule="auto"/>
        <w:ind w:firstLine="640"/>
        <w:jc w:val="both"/>
      </w:pPr>
      <w:r>
        <w:rPr>
          <w:rFonts w:ascii="仿宋_GB2312" w:hAnsi="仿宋_GB2312" w:eastAsia="仿宋_GB2312" w:cs="仿宋_GB2312"/>
          <w:sz w:val="32"/>
        </w:rPr>
        <w:t>有前两款行为，同时构成其他犯罪的，依照处罚较重的规定定罪处罚。</w:t>
      </w:r>
    </w:p>
    <w:p>
      <w:pPr>
        <w:spacing w:line="240" w:lineRule="auto"/>
        <w:ind w:firstLine="640"/>
        <w:jc w:val="both"/>
      </w:pPr>
      <w:r>
        <w:rPr>
          <w:rFonts w:ascii="黑体" w:hAnsi="黑体" w:eastAsia="黑体" w:cs="黑体"/>
          <w:sz w:val="32"/>
        </w:rPr>
        <w:t>第二百八十八条</w:t>
      </w:r>
      <w:r>
        <w:rPr>
          <w:rFonts w:ascii="仿宋_GB2312" w:hAnsi="仿宋_GB2312" w:eastAsia="仿宋_GB2312" w:cs="仿宋_GB2312"/>
          <w:sz w:val="32"/>
        </w:rPr>
        <w:t>　违反国家规定，擅自设置、使用无线电台（站），或者擅自使用无线电频率，干扰无线电通讯秩序，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第二百八十九条</w:t>
      </w:r>
      <w:r>
        <w:rPr>
          <w:rFonts w:ascii="仿宋_GB2312" w:hAnsi="仿宋_GB2312" w:eastAsia="仿宋_GB2312" w:cs="仿宋_GB2312"/>
          <w:sz w:val="32"/>
        </w:rPr>
        <w:t>　聚众“打砸抢”，致人伤残、死亡的，依照本法第二百三十四条、第二百三十二条的规定定罪处罚。毁坏或者抢走公私财物的，除判令退赔外，对首要分子，依照本法第二百六十三条的规定定罪处罚。</w:t>
      </w:r>
    </w:p>
    <w:p>
      <w:pPr>
        <w:spacing w:line="240" w:lineRule="auto"/>
        <w:ind w:firstLine="640"/>
        <w:jc w:val="both"/>
      </w:pPr>
      <w:r>
        <w:rPr>
          <w:rFonts w:ascii="黑体" w:hAnsi="黑体" w:eastAsia="黑体" w:cs="黑体"/>
          <w:sz w:val="32"/>
        </w:rPr>
        <w:t>第二百九十条</w:t>
      </w:r>
      <w:r>
        <w:rPr>
          <w:rFonts w:ascii="仿宋_GB2312" w:hAnsi="仿宋_GB2312" w:eastAsia="仿宋_GB2312" w:cs="仿宋_GB2312"/>
          <w:sz w:val="32"/>
        </w:rPr>
        <w:t>　聚众扰乱社会秩序，情节严重，致使工作、生产、营业和教学、科研、医疗无法进行，造成严重损失的，对首要分子，处三年以上七年以下有期徒刑；对其他积极参加的，处三年以下有期徒刑、拘役、管制或者剥夺政治权利。</w:t>
      </w:r>
    </w:p>
    <w:p>
      <w:pPr>
        <w:spacing w:line="240" w:lineRule="auto"/>
        <w:ind w:firstLine="640"/>
        <w:jc w:val="both"/>
      </w:pPr>
      <w:r>
        <w:rPr>
          <w:rFonts w:ascii="仿宋_GB2312" w:hAnsi="仿宋_GB2312" w:eastAsia="仿宋_GB2312" w:cs="仿宋_GB2312"/>
          <w:sz w:val="32"/>
        </w:rPr>
        <w:t>聚众冲击国家机关，致使国家机关工作无法进行，造成严重损失的，对首要分子，处五年以上十年以下有期徒刑；对其他积极参加的，处五年以下有期徒刑、拘役、管制或者剥夺政治权利。</w:t>
      </w:r>
    </w:p>
    <w:p>
      <w:pPr>
        <w:spacing w:line="240" w:lineRule="auto"/>
        <w:ind w:firstLine="640"/>
        <w:jc w:val="both"/>
      </w:pPr>
      <w:r>
        <w:rPr>
          <w:rFonts w:ascii="仿宋_GB2312" w:hAnsi="仿宋_GB2312" w:eastAsia="仿宋_GB2312" w:cs="仿宋_GB2312"/>
          <w:sz w:val="32"/>
        </w:rPr>
        <w:t>多次扰乱国家机关工作秩序，经行政处罚后仍不改正，造成严重后果的，处三年以下有期徒刑、拘役或者管制。</w:t>
      </w:r>
    </w:p>
    <w:p>
      <w:pPr>
        <w:spacing w:line="240" w:lineRule="auto"/>
        <w:ind w:firstLine="640"/>
        <w:jc w:val="both"/>
      </w:pPr>
      <w:r>
        <w:rPr>
          <w:rFonts w:ascii="仿宋_GB2312" w:hAnsi="仿宋_GB2312" w:eastAsia="仿宋_GB2312" w:cs="仿宋_GB2312"/>
          <w:sz w:val="32"/>
        </w:rPr>
        <w:t>多次组织、资助他人非法聚集，扰乱社会秩序，情节严重的，依照前款的规定处罚。</w:t>
      </w:r>
    </w:p>
    <w:p>
      <w:pPr>
        <w:spacing w:line="240" w:lineRule="auto"/>
        <w:ind w:firstLine="640"/>
        <w:jc w:val="both"/>
      </w:pPr>
      <w:r>
        <w:rPr>
          <w:rFonts w:ascii="黑体" w:hAnsi="黑体" w:eastAsia="黑体" w:cs="黑体"/>
          <w:sz w:val="32"/>
        </w:rPr>
        <w:t>第二百九十一条</w:t>
      </w:r>
      <w:r>
        <w:rPr>
          <w:rFonts w:ascii="仿宋_GB2312" w:hAnsi="仿宋_GB2312" w:eastAsia="仿宋_GB2312" w:cs="仿宋_GB2312"/>
          <w:sz w:val="32"/>
        </w:rPr>
        <w:t>　聚众扰乱车站、码头、民用航空站、商场、公园、影剧院、展览会、运动场或者其他公共场所秩序，聚众堵塞交通或者破坏交通秩序，抗拒、阻碍国家治安管理工作人员依法执行职务，情节严重的，对首要分子，处五年以下有期徒刑、拘役或者管制。</w:t>
      </w:r>
    </w:p>
    <w:p>
      <w:pPr>
        <w:spacing w:line="240" w:lineRule="auto"/>
        <w:ind w:firstLine="640"/>
        <w:jc w:val="both"/>
      </w:pPr>
      <w:r>
        <w:rPr>
          <w:rFonts w:ascii="黑体" w:hAnsi="黑体" w:eastAsia="黑体" w:cs="黑体"/>
          <w:sz w:val="32"/>
        </w:rPr>
        <w:t>第二百九十一</w:t>
      </w:r>
      <w:r>
        <w:rPr>
          <w:rFonts w:hint="eastAsia" w:ascii="黑体" w:hAnsi="黑体" w:eastAsia="黑体" w:cs="黑体"/>
          <w:sz w:val="32"/>
          <w:lang w:eastAsia="zh-CN"/>
        </w:rPr>
        <w:t>条之一　</w:t>
      </w:r>
      <w:r>
        <w:rPr>
          <w:rFonts w:ascii="仿宋_GB2312" w:hAnsi="仿宋_GB2312" w:eastAsia="仿宋_GB2312" w:cs="仿宋_GB2312"/>
          <w:sz w:val="32"/>
        </w:rPr>
        <w:t>投放虚假的爆炸性、毒害性、放射性、传染病病原体等物质，或者编造爆炸威胁、生化威胁、放射威胁等恐怖信息，或者明知是编造的恐怖信息而故意传播，严重扰乱社会秩序的，处五年以下有期徒刑、拘役或者管制；造成严重后果的，处五年以上有期徒刑。</w:t>
      </w:r>
    </w:p>
    <w:p>
      <w:pPr>
        <w:spacing w:line="240" w:lineRule="auto"/>
        <w:ind w:firstLine="640"/>
        <w:jc w:val="both"/>
      </w:pPr>
      <w:r>
        <w:rPr>
          <w:rFonts w:ascii="仿宋_GB2312" w:hAnsi="仿宋_GB2312" w:eastAsia="仿宋_GB2312" w:cs="仿宋_GB2312"/>
          <w:sz w:val="32"/>
        </w:rPr>
        <w:t>编造虚假的险情、疫情、灾情、警情，在信息网络或者其他媒体上传播，或者明知是上述虚假信息，故意在信息网络或者其他媒体上传播，严重扰乱社会秩序的，处三年以下有期徒刑、拘役或者管制；造成严重后果的，处三年以上七年以下有期徒刑。</w:t>
      </w:r>
    </w:p>
    <w:p>
      <w:pPr>
        <w:spacing w:line="240" w:lineRule="auto"/>
        <w:ind w:firstLine="640"/>
        <w:jc w:val="both"/>
      </w:pPr>
      <w:r>
        <w:rPr>
          <w:rFonts w:ascii="黑体" w:hAnsi="黑体" w:eastAsia="黑体" w:cs="黑体"/>
          <w:sz w:val="32"/>
        </w:rPr>
        <w:t>第二百九十一</w:t>
      </w:r>
      <w:r>
        <w:rPr>
          <w:rFonts w:hint="eastAsia" w:ascii="黑体" w:hAnsi="黑体" w:eastAsia="黑体" w:cs="黑体"/>
          <w:sz w:val="32"/>
          <w:lang w:eastAsia="zh-CN"/>
        </w:rPr>
        <w:t>条之二　</w:t>
      </w:r>
      <w:r>
        <w:rPr>
          <w:rFonts w:ascii="仿宋_GB2312" w:hAnsi="仿宋_GB2312" w:eastAsia="仿宋_GB2312" w:cs="仿宋_GB2312"/>
          <w:sz w:val="32"/>
        </w:rPr>
        <w:t>从建筑物或者其他高空抛掷物品，情节严重的，处一年以下有期徒刑、拘役或者管制，并处或者单处罚金。</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第二百九十二条</w:t>
      </w:r>
      <w:r>
        <w:rPr>
          <w:rFonts w:ascii="仿宋_GB2312" w:hAnsi="仿宋_GB2312" w:eastAsia="仿宋_GB2312" w:cs="仿宋_GB2312"/>
          <w:sz w:val="32"/>
        </w:rPr>
        <w:t>　聚众斗殴的，对首要分子和其他积极参加的，处三年以下有期徒刑、拘役或者管制；有下列情形之一的，对首要分子和其他积极参加的，处三年以上十年以下有期徒刑：</w:t>
      </w:r>
    </w:p>
    <w:p>
      <w:pPr>
        <w:spacing w:line="240" w:lineRule="auto"/>
        <w:ind w:firstLine="640"/>
        <w:jc w:val="both"/>
      </w:pPr>
      <w:r>
        <w:rPr>
          <w:rFonts w:ascii="仿宋_GB2312" w:hAnsi="仿宋_GB2312" w:eastAsia="仿宋_GB2312" w:cs="仿宋_GB2312"/>
          <w:sz w:val="32"/>
        </w:rPr>
        <w:t>（一）多次聚众斗殴的；</w:t>
      </w:r>
    </w:p>
    <w:p>
      <w:pPr>
        <w:spacing w:line="240" w:lineRule="auto"/>
        <w:ind w:firstLine="640"/>
        <w:jc w:val="both"/>
      </w:pPr>
      <w:r>
        <w:rPr>
          <w:rFonts w:ascii="仿宋_GB2312" w:hAnsi="仿宋_GB2312" w:eastAsia="仿宋_GB2312" w:cs="仿宋_GB2312"/>
          <w:sz w:val="32"/>
        </w:rPr>
        <w:t>（二）聚众斗殴人数多，规模大，社会影响恶劣的；</w:t>
      </w:r>
    </w:p>
    <w:p>
      <w:pPr>
        <w:spacing w:line="240" w:lineRule="auto"/>
        <w:ind w:firstLine="640"/>
        <w:jc w:val="both"/>
      </w:pPr>
      <w:r>
        <w:rPr>
          <w:rFonts w:ascii="仿宋_GB2312" w:hAnsi="仿宋_GB2312" w:eastAsia="仿宋_GB2312" w:cs="仿宋_GB2312"/>
          <w:sz w:val="32"/>
        </w:rPr>
        <w:t>（三）在公共场所或者交通要道聚众斗殴，造成社会秩序严重混乱的；</w:t>
      </w:r>
    </w:p>
    <w:p>
      <w:pPr>
        <w:spacing w:line="240" w:lineRule="auto"/>
        <w:ind w:firstLine="640"/>
        <w:jc w:val="both"/>
      </w:pPr>
      <w:r>
        <w:rPr>
          <w:rFonts w:ascii="仿宋_GB2312" w:hAnsi="仿宋_GB2312" w:eastAsia="仿宋_GB2312" w:cs="仿宋_GB2312"/>
          <w:sz w:val="32"/>
        </w:rPr>
        <w:t>（四）持械聚众斗殴的。</w:t>
      </w:r>
    </w:p>
    <w:p>
      <w:pPr>
        <w:spacing w:line="240" w:lineRule="auto"/>
        <w:ind w:firstLine="640"/>
        <w:jc w:val="both"/>
      </w:pPr>
      <w:r>
        <w:rPr>
          <w:rFonts w:ascii="仿宋_GB2312" w:hAnsi="仿宋_GB2312" w:eastAsia="仿宋_GB2312" w:cs="仿宋_GB2312"/>
          <w:sz w:val="32"/>
        </w:rPr>
        <w:t>聚众斗殴，致人重伤、死亡的，依照本法第二百三十四条、第二百三十二条的规定定罪处罚。</w:t>
      </w:r>
    </w:p>
    <w:p>
      <w:pPr>
        <w:spacing w:line="240" w:lineRule="auto"/>
        <w:ind w:firstLine="640"/>
        <w:jc w:val="both"/>
      </w:pPr>
      <w:r>
        <w:rPr>
          <w:rFonts w:ascii="黑体" w:hAnsi="黑体" w:eastAsia="黑体" w:cs="黑体"/>
          <w:sz w:val="32"/>
        </w:rPr>
        <w:t>第二百九十三条</w:t>
      </w:r>
      <w:r>
        <w:rPr>
          <w:rFonts w:ascii="仿宋_GB2312" w:hAnsi="仿宋_GB2312" w:eastAsia="仿宋_GB2312" w:cs="仿宋_GB2312"/>
          <w:sz w:val="32"/>
        </w:rPr>
        <w:t>　有下列寻衅滋事行为之一，破坏社会秩序的，处五年以下有期徒刑、拘役或者管制：</w:t>
      </w:r>
    </w:p>
    <w:p>
      <w:pPr>
        <w:spacing w:line="240" w:lineRule="auto"/>
        <w:ind w:firstLine="640"/>
        <w:jc w:val="both"/>
      </w:pPr>
      <w:r>
        <w:rPr>
          <w:rFonts w:ascii="仿宋_GB2312" w:hAnsi="仿宋_GB2312" w:eastAsia="仿宋_GB2312" w:cs="仿宋_GB2312"/>
          <w:sz w:val="32"/>
        </w:rPr>
        <w:t>（一）随意殴打他人，情节恶劣的；</w:t>
      </w:r>
    </w:p>
    <w:p>
      <w:pPr>
        <w:spacing w:line="240" w:lineRule="auto"/>
        <w:ind w:firstLine="640"/>
        <w:jc w:val="both"/>
      </w:pPr>
      <w:r>
        <w:rPr>
          <w:rFonts w:ascii="仿宋_GB2312" w:hAnsi="仿宋_GB2312" w:eastAsia="仿宋_GB2312" w:cs="仿宋_GB2312"/>
          <w:sz w:val="32"/>
        </w:rPr>
        <w:t>（二）追逐、拦截、辱骂、恐吓他人，情节恶劣的；</w:t>
      </w:r>
    </w:p>
    <w:p>
      <w:pPr>
        <w:spacing w:line="240" w:lineRule="auto"/>
        <w:ind w:firstLine="640"/>
        <w:jc w:val="both"/>
      </w:pPr>
      <w:r>
        <w:rPr>
          <w:rFonts w:ascii="仿宋_GB2312" w:hAnsi="仿宋_GB2312" w:eastAsia="仿宋_GB2312" w:cs="仿宋_GB2312"/>
          <w:sz w:val="32"/>
        </w:rPr>
        <w:t>（三）强拿硬要或者任意损毁、占用公私财物，情节严重的；</w:t>
      </w:r>
    </w:p>
    <w:p>
      <w:pPr>
        <w:spacing w:line="240" w:lineRule="auto"/>
        <w:ind w:firstLine="640"/>
        <w:jc w:val="both"/>
      </w:pPr>
      <w:r>
        <w:rPr>
          <w:rFonts w:ascii="仿宋_GB2312" w:hAnsi="仿宋_GB2312" w:eastAsia="仿宋_GB2312" w:cs="仿宋_GB2312"/>
          <w:sz w:val="32"/>
        </w:rPr>
        <w:t>（四）在公共场所起哄闹事，造成公共场所秩序严重混乱的。</w:t>
      </w:r>
    </w:p>
    <w:p>
      <w:pPr>
        <w:spacing w:line="240" w:lineRule="auto"/>
        <w:ind w:firstLine="640"/>
        <w:jc w:val="both"/>
      </w:pPr>
      <w:r>
        <w:rPr>
          <w:rFonts w:ascii="仿宋_GB2312" w:hAnsi="仿宋_GB2312" w:eastAsia="仿宋_GB2312" w:cs="仿宋_GB2312"/>
          <w:sz w:val="32"/>
        </w:rPr>
        <w:t>纠集他人多次实施前款行为，严重破坏社会秩序的，处五年以上十年以下有期徒刑，可以并处罚金。</w:t>
      </w:r>
    </w:p>
    <w:p>
      <w:pPr>
        <w:spacing w:line="240" w:lineRule="auto"/>
        <w:ind w:firstLine="640"/>
        <w:jc w:val="both"/>
      </w:pPr>
      <w:r>
        <w:rPr>
          <w:rFonts w:ascii="黑体" w:hAnsi="黑体" w:eastAsia="黑体" w:cs="黑体"/>
          <w:sz w:val="32"/>
        </w:rPr>
        <w:t>第二百九十三</w:t>
      </w:r>
      <w:r>
        <w:rPr>
          <w:rFonts w:hint="eastAsia" w:ascii="黑体" w:hAnsi="黑体" w:eastAsia="黑体" w:cs="黑体"/>
          <w:sz w:val="32"/>
          <w:lang w:eastAsia="zh-CN"/>
        </w:rPr>
        <w:t>条之一　</w:t>
      </w:r>
      <w:r>
        <w:rPr>
          <w:rFonts w:ascii="仿宋_GB2312" w:hAnsi="仿宋_GB2312" w:eastAsia="仿宋_GB2312" w:cs="仿宋_GB2312"/>
          <w:sz w:val="32"/>
        </w:rPr>
        <w:t>有下列情形之一，催收高利放贷等产生的非法债务，情节严重的，处三年以下有期徒刑、拘役或者管制，并处或者单处罚金：</w:t>
      </w:r>
    </w:p>
    <w:p>
      <w:pPr>
        <w:spacing w:line="240" w:lineRule="auto"/>
        <w:ind w:firstLine="640"/>
        <w:jc w:val="both"/>
      </w:pPr>
      <w:r>
        <w:rPr>
          <w:rFonts w:ascii="仿宋_GB2312" w:hAnsi="仿宋_GB2312" w:eastAsia="仿宋_GB2312" w:cs="仿宋_GB2312"/>
          <w:sz w:val="32"/>
        </w:rPr>
        <w:t>（一）使用暴力、胁迫方法的；</w:t>
      </w:r>
    </w:p>
    <w:p>
      <w:pPr>
        <w:spacing w:line="240" w:lineRule="auto"/>
        <w:ind w:firstLine="640"/>
        <w:jc w:val="both"/>
      </w:pPr>
      <w:r>
        <w:rPr>
          <w:rFonts w:ascii="仿宋_GB2312" w:hAnsi="仿宋_GB2312" w:eastAsia="仿宋_GB2312" w:cs="仿宋_GB2312"/>
          <w:sz w:val="32"/>
        </w:rPr>
        <w:t>（二）限制他人人身自由或者侵入他人住宅的；</w:t>
      </w:r>
    </w:p>
    <w:p>
      <w:pPr>
        <w:spacing w:line="240" w:lineRule="auto"/>
        <w:ind w:firstLine="640"/>
        <w:jc w:val="both"/>
      </w:pPr>
      <w:r>
        <w:rPr>
          <w:rFonts w:ascii="仿宋_GB2312" w:hAnsi="仿宋_GB2312" w:eastAsia="仿宋_GB2312" w:cs="仿宋_GB2312"/>
          <w:sz w:val="32"/>
        </w:rPr>
        <w:t>（三）恐吓、跟踪、骚扰他人的。</w:t>
      </w:r>
    </w:p>
    <w:p>
      <w:pPr>
        <w:spacing w:line="240" w:lineRule="auto"/>
        <w:ind w:firstLine="640"/>
        <w:jc w:val="both"/>
      </w:pPr>
      <w:r>
        <w:rPr>
          <w:rFonts w:ascii="黑体" w:hAnsi="黑体" w:eastAsia="黑体" w:cs="黑体"/>
          <w:sz w:val="32"/>
        </w:rPr>
        <w:t>第二百九十四条</w:t>
      </w:r>
      <w:r>
        <w:rPr>
          <w:rFonts w:ascii="仿宋_GB2312" w:hAnsi="仿宋_GB2312" w:eastAsia="仿宋_GB2312" w:cs="仿宋_GB2312"/>
          <w:sz w:val="32"/>
        </w:rPr>
        <w:t>　组织、领导黑社会性质的组织的，处七年以上有期徒刑，并处没收财产；积极参加的，处三年以上七年以下有期徒刑，可以并处罚金或者没收财产；其他参加的，处三年以下有期徒刑、拘役、管制或者剥夺政治权利，可以并处罚金。</w:t>
      </w:r>
    </w:p>
    <w:p>
      <w:pPr>
        <w:spacing w:line="240" w:lineRule="auto"/>
        <w:ind w:firstLine="640"/>
        <w:jc w:val="both"/>
      </w:pPr>
      <w:r>
        <w:rPr>
          <w:rFonts w:ascii="仿宋_GB2312" w:hAnsi="仿宋_GB2312" w:eastAsia="仿宋_GB2312" w:cs="仿宋_GB2312"/>
          <w:sz w:val="32"/>
        </w:rPr>
        <w:t>境外的黑社会组织的人员到中华人民共和国境内发展组织成员的，处三年以上十年以下有期徒刑。</w:t>
      </w:r>
    </w:p>
    <w:p>
      <w:pPr>
        <w:spacing w:line="240" w:lineRule="auto"/>
        <w:ind w:firstLine="640"/>
        <w:jc w:val="both"/>
      </w:pPr>
      <w:r>
        <w:rPr>
          <w:rFonts w:ascii="仿宋_GB2312" w:hAnsi="仿宋_GB2312" w:eastAsia="仿宋_GB2312" w:cs="仿宋_GB2312"/>
          <w:sz w:val="32"/>
        </w:rPr>
        <w:t>国家机关工作人员包庇黑社会性质的组织，或者纵容黑社会性质的组织进行违法犯罪活动的，处五年以下有期徒刑；情节严重的，处五年以上有期徒刑。</w:t>
      </w:r>
    </w:p>
    <w:p>
      <w:pPr>
        <w:spacing w:line="240" w:lineRule="auto"/>
        <w:ind w:firstLine="640"/>
        <w:jc w:val="both"/>
      </w:pPr>
      <w:r>
        <w:rPr>
          <w:rFonts w:ascii="仿宋_GB2312" w:hAnsi="仿宋_GB2312" w:eastAsia="仿宋_GB2312" w:cs="仿宋_GB2312"/>
          <w:sz w:val="32"/>
        </w:rPr>
        <w:t>犯前三款罪又有其他犯罪行为的，依照数罪并罚的规定处罚。</w:t>
      </w:r>
    </w:p>
    <w:p>
      <w:pPr>
        <w:spacing w:line="240" w:lineRule="auto"/>
        <w:ind w:firstLine="640"/>
        <w:jc w:val="both"/>
      </w:pPr>
      <w:r>
        <w:rPr>
          <w:rFonts w:ascii="仿宋_GB2312" w:hAnsi="仿宋_GB2312" w:eastAsia="仿宋_GB2312" w:cs="仿宋_GB2312"/>
          <w:sz w:val="32"/>
        </w:rPr>
        <w:t>黑社会性质的组织应当同时具备以下特征：</w:t>
      </w:r>
    </w:p>
    <w:p>
      <w:pPr>
        <w:spacing w:line="240" w:lineRule="auto"/>
        <w:ind w:firstLine="640"/>
        <w:jc w:val="both"/>
      </w:pPr>
      <w:r>
        <w:rPr>
          <w:rFonts w:ascii="仿宋_GB2312" w:hAnsi="仿宋_GB2312" w:eastAsia="仿宋_GB2312" w:cs="仿宋_GB2312"/>
          <w:sz w:val="32"/>
        </w:rPr>
        <w:t>（一）形成较稳定的犯罪组织，人数较多，有明确的组织者、领导者，骨干成员基本固定；</w:t>
      </w:r>
    </w:p>
    <w:p>
      <w:pPr>
        <w:spacing w:line="240" w:lineRule="auto"/>
        <w:ind w:firstLine="640"/>
        <w:jc w:val="both"/>
      </w:pPr>
      <w:r>
        <w:rPr>
          <w:rFonts w:ascii="仿宋_GB2312" w:hAnsi="仿宋_GB2312" w:eastAsia="仿宋_GB2312" w:cs="仿宋_GB2312"/>
          <w:sz w:val="32"/>
        </w:rPr>
        <w:t>（二）有组织地通过违法犯罪活动或者其他手段获取经济利益，具有一定的经济实力，以支持该组织的活动；</w:t>
      </w:r>
    </w:p>
    <w:p>
      <w:pPr>
        <w:spacing w:line="240" w:lineRule="auto"/>
        <w:ind w:firstLine="640"/>
        <w:jc w:val="both"/>
      </w:pPr>
      <w:r>
        <w:rPr>
          <w:rFonts w:ascii="仿宋_GB2312" w:hAnsi="仿宋_GB2312" w:eastAsia="仿宋_GB2312" w:cs="仿宋_GB2312"/>
          <w:sz w:val="32"/>
        </w:rPr>
        <w:t>（三）以暴力、威胁或者其他手段，有组织地多次进行违法犯罪活动，为非作恶，欺压、残害群众；</w:t>
      </w:r>
    </w:p>
    <w:p>
      <w:pPr>
        <w:spacing w:line="240" w:lineRule="auto"/>
        <w:ind w:firstLine="640"/>
        <w:jc w:val="both"/>
      </w:pPr>
      <w:r>
        <w:rPr>
          <w:rFonts w:ascii="仿宋_GB2312" w:hAnsi="仿宋_GB2312" w:eastAsia="仿宋_GB2312" w:cs="仿宋_GB2312"/>
          <w:sz w:val="32"/>
        </w:rPr>
        <w:t>（四）通过实施违法犯罪活动，或者利用国家工作人员的包庇或者纵容，称霸一方，在一定区域或者行业内，形成非法控制或者重大影响，严重破坏经济、社会生活秩序。</w:t>
      </w:r>
    </w:p>
    <w:p>
      <w:pPr>
        <w:spacing w:line="240" w:lineRule="auto"/>
        <w:ind w:firstLine="640"/>
        <w:jc w:val="both"/>
      </w:pPr>
      <w:r>
        <w:rPr>
          <w:rFonts w:ascii="黑体" w:hAnsi="黑体" w:eastAsia="黑体" w:cs="黑体"/>
          <w:sz w:val="32"/>
        </w:rPr>
        <w:t>第二百九十五条</w:t>
      </w:r>
      <w:r>
        <w:rPr>
          <w:rFonts w:ascii="仿宋_GB2312" w:hAnsi="仿宋_GB2312" w:eastAsia="仿宋_GB2312" w:cs="仿宋_GB2312"/>
          <w:sz w:val="32"/>
        </w:rPr>
        <w:t>　传授犯罪方法的，处五年以下有期徒刑、拘役或者管制；情节严重的，处五年以上十年以下有期徒刑；情节特别严重的，处十年以上有期徒刑或者无期徒刑。</w:t>
      </w:r>
    </w:p>
    <w:p>
      <w:pPr>
        <w:spacing w:line="240" w:lineRule="auto"/>
        <w:ind w:firstLine="640"/>
        <w:jc w:val="both"/>
      </w:pPr>
      <w:r>
        <w:rPr>
          <w:rFonts w:ascii="黑体" w:hAnsi="黑体" w:eastAsia="黑体" w:cs="黑体"/>
          <w:sz w:val="32"/>
        </w:rPr>
        <w:t>第二百九十六条</w:t>
      </w:r>
      <w:r>
        <w:rPr>
          <w:rFonts w:ascii="仿宋_GB2312" w:hAnsi="仿宋_GB2312" w:eastAsia="仿宋_GB2312" w:cs="仿宋_GB2312"/>
          <w:sz w:val="32"/>
        </w:rPr>
        <w:t>　举行集会、游行、示威，未依照法律规定申请或者申请未获许可，或者未按照主管机关许可的起止时间、地点、路线进行，又拒不服从解散命令，严重破坏社会秩序的，对集会、游行、示威的负责人和直接责任人员，处五年以下有期徒刑、拘役、管制或者剥夺政治权利。</w:t>
      </w:r>
    </w:p>
    <w:p>
      <w:pPr>
        <w:spacing w:line="240" w:lineRule="auto"/>
        <w:ind w:firstLine="640"/>
        <w:jc w:val="both"/>
      </w:pPr>
      <w:r>
        <w:rPr>
          <w:rFonts w:ascii="黑体" w:hAnsi="黑体" w:eastAsia="黑体" w:cs="黑体"/>
          <w:sz w:val="32"/>
        </w:rPr>
        <w:t>第二百九十七条</w:t>
      </w:r>
      <w:r>
        <w:rPr>
          <w:rFonts w:ascii="仿宋_GB2312" w:hAnsi="仿宋_GB2312" w:eastAsia="仿宋_GB2312" w:cs="仿宋_GB2312"/>
          <w:sz w:val="32"/>
        </w:rPr>
        <w:t>　违反法律规定，携带武器、管制刀具或者爆炸物参加集会、游行、示威的，处三年以下有期徒刑、拘役、管制或者剥夺政治权利。</w:t>
      </w:r>
    </w:p>
    <w:p>
      <w:pPr>
        <w:spacing w:line="240" w:lineRule="auto"/>
        <w:ind w:firstLine="640"/>
        <w:jc w:val="both"/>
      </w:pPr>
      <w:r>
        <w:rPr>
          <w:rFonts w:ascii="黑体" w:hAnsi="黑体" w:eastAsia="黑体" w:cs="黑体"/>
          <w:sz w:val="32"/>
        </w:rPr>
        <w:t>第二百九十八条</w:t>
      </w:r>
      <w:r>
        <w:rPr>
          <w:rFonts w:ascii="仿宋_GB2312" w:hAnsi="仿宋_GB2312" w:eastAsia="仿宋_GB2312" w:cs="仿宋_GB2312"/>
          <w:sz w:val="32"/>
        </w:rPr>
        <w:t>　扰乱、冲击或者以其他方法破坏依法举行的集会、游行、示威，造成公共秩序混乱的，处五年以下有期徒刑、拘役、管制或者剥夺政治权利。</w:t>
      </w:r>
    </w:p>
    <w:p>
      <w:pPr>
        <w:spacing w:line="240" w:lineRule="auto"/>
        <w:ind w:firstLine="640"/>
        <w:jc w:val="both"/>
      </w:pPr>
      <w:r>
        <w:rPr>
          <w:rFonts w:ascii="黑体" w:hAnsi="黑体" w:eastAsia="黑体" w:cs="黑体"/>
          <w:sz w:val="32"/>
        </w:rPr>
        <w:t>第二百九十九条</w:t>
      </w:r>
      <w:r>
        <w:rPr>
          <w:rFonts w:ascii="仿宋_GB2312" w:hAnsi="仿宋_GB2312" w:eastAsia="仿宋_GB2312" w:cs="仿宋_GB2312"/>
          <w:sz w:val="32"/>
        </w:rPr>
        <w:t>　在公共场合，故意以焚烧、毁损、涂划、玷污、践踏等方式侮辱中华人民共和国国旗、国徽的，处三年以下有期徒刑、拘役、管制或者剥夺政治权利。</w:t>
      </w:r>
    </w:p>
    <w:p>
      <w:pPr>
        <w:spacing w:line="240" w:lineRule="auto"/>
        <w:ind w:firstLine="640"/>
        <w:jc w:val="both"/>
      </w:pPr>
      <w:r>
        <w:rPr>
          <w:rFonts w:ascii="仿宋_GB2312" w:hAnsi="仿宋_GB2312" w:eastAsia="仿宋_GB2312" w:cs="仿宋_GB2312"/>
          <w:sz w:val="32"/>
        </w:rPr>
        <w:t>在公共场合，故意篡改中华人民共和国国歌歌词、曲谱，以歪曲、贬损方式奏唱国歌，或者以其他方式侮辱国歌，情节严重的，依照前款的规定处罚。</w:t>
      </w:r>
    </w:p>
    <w:p>
      <w:pPr>
        <w:spacing w:line="240" w:lineRule="auto"/>
        <w:ind w:firstLine="640"/>
        <w:jc w:val="both"/>
      </w:pPr>
      <w:r>
        <w:rPr>
          <w:rFonts w:ascii="黑体" w:hAnsi="黑体" w:eastAsia="黑体" w:cs="黑体"/>
          <w:sz w:val="32"/>
        </w:rPr>
        <w:t>第二百九十九</w:t>
      </w:r>
      <w:r>
        <w:rPr>
          <w:rFonts w:hint="eastAsia" w:ascii="黑体" w:hAnsi="黑体" w:eastAsia="黑体" w:cs="黑体"/>
          <w:sz w:val="32"/>
          <w:lang w:eastAsia="zh-CN"/>
        </w:rPr>
        <w:t>条之一　</w:t>
      </w:r>
      <w:r>
        <w:rPr>
          <w:rFonts w:ascii="仿宋_GB2312" w:hAnsi="仿宋_GB2312" w:eastAsia="仿宋_GB2312" w:cs="仿宋_GB2312"/>
          <w:sz w:val="32"/>
        </w:rPr>
        <w:t>侮辱、诽谤或者以其他方式侵害英雄烈士的名誉、荣誉，损害社会公共利益，情节严重的，处三年以下有期徒刑、拘役、管制或者剥夺政治权利。</w:t>
      </w:r>
    </w:p>
    <w:p>
      <w:pPr>
        <w:spacing w:line="240" w:lineRule="auto"/>
        <w:ind w:firstLine="640"/>
        <w:jc w:val="both"/>
      </w:pPr>
      <w:r>
        <w:rPr>
          <w:rFonts w:ascii="黑体" w:hAnsi="黑体" w:eastAsia="黑体" w:cs="黑体"/>
          <w:sz w:val="32"/>
        </w:rPr>
        <w:t>第三百条</w:t>
      </w:r>
      <w:r>
        <w:rPr>
          <w:rFonts w:ascii="仿宋_GB2312" w:hAnsi="仿宋_GB2312" w:eastAsia="仿宋_GB2312" w:cs="仿宋_GB2312"/>
          <w:sz w:val="32"/>
        </w:rPr>
        <w:t>　组织、利用会道门、邪教组织或者利用迷信破坏国家法律、行政法规实施的，处三年以上七年以下有期徒刑，并处罚金；情节特别严重的，处七年以上有期徒刑或者无期徒刑，并处罚金或者没收财产；情节较轻的，处三年以下有期徒刑、拘役、管制或者剥夺政治权利，并处或者单处罚金。</w:t>
      </w:r>
    </w:p>
    <w:p>
      <w:pPr>
        <w:spacing w:line="240" w:lineRule="auto"/>
        <w:ind w:firstLine="640"/>
        <w:jc w:val="both"/>
      </w:pPr>
      <w:r>
        <w:rPr>
          <w:rFonts w:ascii="仿宋_GB2312" w:hAnsi="仿宋_GB2312" w:eastAsia="仿宋_GB2312" w:cs="仿宋_GB2312"/>
          <w:sz w:val="32"/>
        </w:rPr>
        <w:t>组织、利用会道门、邪教组织或者利用迷信蒙骗他人，致人重伤、死亡的，依照前款的规定处罚。</w:t>
      </w:r>
    </w:p>
    <w:p>
      <w:pPr>
        <w:spacing w:line="240" w:lineRule="auto"/>
        <w:ind w:firstLine="640"/>
        <w:jc w:val="both"/>
      </w:pPr>
      <w:r>
        <w:rPr>
          <w:rFonts w:ascii="仿宋_GB2312" w:hAnsi="仿宋_GB2312" w:eastAsia="仿宋_GB2312" w:cs="仿宋_GB2312"/>
          <w:sz w:val="32"/>
        </w:rPr>
        <w:t>犯第一款罪又有奸淫妇女、诈骗财物等犯罪行为的，依照数罪并罚的规定处罚。</w:t>
      </w:r>
    </w:p>
    <w:p>
      <w:pPr>
        <w:spacing w:line="240" w:lineRule="auto"/>
        <w:ind w:firstLine="640"/>
        <w:jc w:val="both"/>
      </w:pPr>
      <w:r>
        <w:rPr>
          <w:rFonts w:ascii="黑体" w:hAnsi="黑体" w:eastAsia="黑体" w:cs="黑体"/>
          <w:sz w:val="32"/>
        </w:rPr>
        <w:t>第三百零一条</w:t>
      </w:r>
      <w:r>
        <w:rPr>
          <w:rFonts w:ascii="仿宋_GB2312" w:hAnsi="仿宋_GB2312" w:eastAsia="仿宋_GB2312" w:cs="仿宋_GB2312"/>
          <w:sz w:val="32"/>
        </w:rPr>
        <w:t>　聚众进行淫乱活动的，对首要分子或者多次参加的，处五年以下有期徒刑、拘役或者管制。</w:t>
      </w:r>
    </w:p>
    <w:p>
      <w:pPr>
        <w:spacing w:line="240" w:lineRule="auto"/>
        <w:ind w:firstLine="640"/>
        <w:jc w:val="both"/>
      </w:pPr>
      <w:r>
        <w:rPr>
          <w:rFonts w:ascii="仿宋_GB2312" w:hAnsi="仿宋_GB2312" w:eastAsia="仿宋_GB2312" w:cs="仿宋_GB2312"/>
          <w:sz w:val="32"/>
        </w:rPr>
        <w:t>引诱未成年人参加聚众淫乱活动的，依照前款的规定从重处罚。</w:t>
      </w:r>
    </w:p>
    <w:p>
      <w:pPr>
        <w:spacing w:line="240" w:lineRule="auto"/>
        <w:ind w:firstLine="640"/>
        <w:jc w:val="both"/>
      </w:pPr>
      <w:r>
        <w:rPr>
          <w:rFonts w:ascii="黑体" w:hAnsi="黑体" w:eastAsia="黑体" w:cs="黑体"/>
          <w:sz w:val="32"/>
        </w:rPr>
        <w:t>第三百零二条</w:t>
      </w:r>
      <w:r>
        <w:rPr>
          <w:rFonts w:ascii="仿宋_GB2312" w:hAnsi="仿宋_GB2312" w:eastAsia="仿宋_GB2312" w:cs="仿宋_GB2312"/>
          <w:sz w:val="32"/>
        </w:rPr>
        <w:t>　盗窃、侮辱、故意毁坏尸体、尸骨、骨灰的，处三年以下有期徒刑、拘役或者管制。</w:t>
      </w:r>
    </w:p>
    <w:p>
      <w:pPr>
        <w:spacing w:line="240" w:lineRule="auto"/>
        <w:ind w:firstLine="640"/>
        <w:jc w:val="both"/>
      </w:pPr>
      <w:r>
        <w:rPr>
          <w:rFonts w:ascii="黑体" w:hAnsi="黑体" w:eastAsia="黑体" w:cs="黑体"/>
          <w:sz w:val="32"/>
        </w:rPr>
        <w:t>第三百零三条</w:t>
      </w:r>
      <w:r>
        <w:rPr>
          <w:rFonts w:ascii="仿宋_GB2312" w:hAnsi="仿宋_GB2312" w:eastAsia="仿宋_GB2312" w:cs="仿宋_GB2312"/>
          <w:sz w:val="32"/>
        </w:rPr>
        <w:t>　以营利为目的，聚众赌博或者以赌博为业的，处三年以下有期徒刑、拘役或者管制，并处罚金。</w:t>
      </w:r>
    </w:p>
    <w:p>
      <w:pPr>
        <w:spacing w:line="240" w:lineRule="auto"/>
        <w:ind w:firstLine="640"/>
        <w:jc w:val="both"/>
      </w:pPr>
      <w:r>
        <w:rPr>
          <w:rFonts w:ascii="仿宋_GB2312" w:hAnsi="仿宋_GB2312" w:eastAsia="仿宋_GB2312" w:cs="仿宋_GB2312"/>
          <w:sz w:val="32"/>
        </w:rPr>
        <w:t>开设赌场的，处五年以下有期徒刑、拘役或者管制，并处罚金；情节严重的，处五年以上十年以下有期徒刑，并处罚金。</w:t>
      </w:r>
    </w:p>
    <w:p>
      <w:pPr>
        <w:spacing w:line="240" w:lineRule="auto"/>
        <w:ind w:firstLine="640"/>
        <w:jc w:val="both"/>
      </w:pPr>
      <w:r>
        <w:rPr>
          <w:rFonts w:ascii="仿宋_GB2312" w:hAnsi="仿宋_GB2312" w:eastAsia="仿宋_GB2312" w:cs="仿宋_GB2312"/>
          <w:sz w:val="32"/>
        </w:rPr>
        <w:t>组织中华人民共和国公民参与国（境）外赌博，数额巨大或者有其他严重情节的，依照前款的规定处罚。</w:t>
      </w:r>
    </w:p>
    <w:p>
      <w:pPr>
        <w:spacing w:line="240" w:lineRule="auto"/>
        <w:ind w:firstLine="640"/>
        <w:jc w:val="both"/>
      </w:pPr>
      <w:r>
        <w:rPr>
          <w:rFonts w:ascii="黑体" w:hAnsi="黑体" w:eastAsia="黑体" w:cs="黑体"/>
          <w:sz w:val="32"/>
        </w:rPr>
        <w:t>第三百零四条</w:t>
      </w:r>
      <w:r>
        <w:rPr>
          <w:rFonts w:ascii="仿宋_GB2312" w:hAnsi="仿宋_GB2312" w:eastAsia="仿宋_GB2312" w:cs="仿宋_GB2312"/>
          <w:sz w:val="32"/>
        </w:rPr>
        <w:t>　邮政工作人员严重不负责任，故意延误投递邮件，致使公共财产、国家和人民利益遭受重大损失的，处二年以下有期徒刑或者拘役。</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第二节　妨害司法罪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第三百零五条</w:t>
      </w:r>
      <w:r>
        <w:rPr>
          <w:rFonts w:ascii="仿宋_GB2312" w:hAnsi="仿宋_GB2312" w:eastAsia="仿宋_GB2312" w:cs="仿宋_GB2312"/>
          <w:sz w:val="32"/>
        </w:rPr>
        <w:t>　在刑事诉讼中，证人、鉴定人、记录人、翻译人对与案件有重要关系的情节，故意作虚假证明、鉴定、记录、翻译，意图陷害他人或者隐匿罪证的，处三年以下有期徒刑或者拘役；情节严重的，处三年以上七年以下有期徒刑。</w:t>
      </w:r>
    </w:p>
    <w:p>
      <w:pPr>
        <w:spacing w:line="240" w:lineRule="auto"/>
        <w:ind w:firstLine="640"/>
        <w:jc w:val="both"/>
      </w:pPr>
      <w:r>
        <w:rPr>
          <w:rFonts w:ascii="黑体" w:hAnsi="黑体" w:eastAsia="黑体" w:cs="黑体"/>
          <w:sz w:val="32"/>
        </w:rPr>
        <w:t>第三百零六条</w:t>
      </w:r>
      <w:r>
        <w:rPr>
          <w:rFonts w:ascii="仿宋_GB2312" w:hAnsi="仿宋_GB2312" w:eastAsia="仿宋_GB2312" w:cs="仿宋_GB2312"/>
          <w:sz w:val="32"/>
        </w:rPr>
        <w:t>　在刑事诉讼中，辩护人、诉讼代理人毁灭、伪造证据，帮助当事人毁灭、伪造证据，威胁、引诱证人违背事实改变证言或者作伪证的，处三年以下有期徒刑或者拘役；情节严重的，处三年以上七年以下有期徒刑。</w:t>
      </w:r>
    </w:p>
    <w:p>
      <w:pPr>
        <w:spacing w:line="240" w:lineRule="auto"/>
        <w:ind w:firstLine="640"/>
        <w:jc w:val="both"/>
      </w:pPr>
      <w:r>
        <w:rPr>
          <w:rFonts w:ascii="仿宋_GB2312" w:hAnsi="仿宋_GB2312" w:eastAsia="仿宋_GB2312" w:cs="仿宋_GB2312"/>
          <w:sz w:val="32"/>
        </w:rPr>
        <w:t>辩护人、诉讼代理人提供、出示、引用的证人证言或者其他证据失实，不是有意伪造的，不属于伪造证据。</w:t>
      </w:r>
    </w:p>
    <w:p>
      <w:pPr>
        <w:spacing w:line="240" w:lineRule="auto"/>
        <w:ind w:firstLine="640"/>
        <w:jc w:val="both"/>
      </w:pPr>
      <w:r>
        <w:rPr>
          <w:rFonts w:ascii="黑体" w:hAnsi="黑体" w:eastAsia="黑体" w:cs="黑体"/>
          <w:sz w:val="32"/>
        </w:rPr>
        <w:t>第三百零七条</w:t>
      </w:r>
      <w:r>
        <w:rPr>
          <w:rFonts w:ascii="仿宋_GB2312" w:hAnsi="仿宋_GB2312" w:eastAsia="仿宋_GB2312" w:cs="仿宋_GB2312"/>
          <w:sz w:val="32"/>
        </w:rPr>
        <w:t>　以暴力、威胁、贿买等方法阻止证人作证或者指使他人作伪证的，处三年以下有期徒刑或者拘役；情节严重的，处三年以上七年以下有期徒刑。</w:t>
      </w:r>
    </w:p>
    <w:p>
      <w:pPr>
        <w:spacing w:line="240" w:lineRule="auto"/>
        <w:ind w:firstLine="640"/>
        <w:jc w:val="both"/>
      </w:pPr>
      <w:r>
        <w:rPr>
          <w:rFonts w:ascii="仿宋_GB2312" w:hAnsi="仿宋_GB2312" w:eastAsia="仿宋_GB2312" w:cs="仿宋_GB2312"/>
          <w:sz w:val="32"/>
        </w:rPr>
        <w:t>帮助当事人毁灭、伪造证据，情节严重的，处三年以下有期徒刑或者拘役。</w:t>
      </w:r>
    </w:p>
    <w:p>
      <w:pPr>
        <w:spacing w:line="240" w:lineRule="auto"/>
        <w:ind w:firstLine="640"/>
        <w:jc w:val="both"/>
      </w:pPr>
      <w:r>
        <w:rPr>
          <w:rFonts w:ascii="仿宋_GB2312" w:hAnsi="仿宋_GB2312" w:eastAsia="仿宋_GB2312" w:cs="仿宋_GB2312"/>
          <w:sz w:val="32"/>
        </w:rPr>
        <w:t>司法工作人员犯前两款罪的，从重处罚。</w:t>
      </w:r>
    </w:p>
    <w:p>
      <w:pPr>
        <w:spacing w:line="240" w:lineRule="auto"/>
        <w:ind w:firstLine="640"/>
        <w:jc w:val="both"/>
      </w:pPr>
      <w:r>
        <w:rPr>
          <w:rFonts w:ascii="黑体" w:hAnsi="黑体" w:eastAsia="黑体" w:cs="黑体"/>
          <w:sz w:val="32"/>
        </w:rPr>
        <w:t>第三百零七</w:t>
      </w:r>
      <w:r>
        <w:rPr>
          <w:rFonts w:hint="eastAsia" w:ascii="黑体" w:hAnsi="黑体" w:eastAsia="黑体" w:cs="黑体"/>
          <w:sz w:val="32"/>
          <w:lang w:eastAsia="zh-CN"/>
        </w:rPr>
        <w:t>条之一　</w:t>
      </w:r>
      <w:r>
        <w:rPr>
          <w:rFonts w:ascii="仿宋_GB2312" w:hAnsi="仿宋_GB2312" w:eastAsia="仿宋_GB2312" w:cs="仿宋_GB2312"/>
          <w:sz w:val="32"/>
        </w:rPr>
        <w:t>以捏造的事实提起民事诉讼，妨害司法秩序或者严重侵害他人合法权益的，处三年以下有期徒刑、拘役或者管制，并处或者单处罚金；情节严重的，处三年以上七年以下有期徒刑，并处罚金。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有第一款行为，非法占有他人财产或者逃避合法债务，又构成其他犯罪的，依照处罚较重的规定定罪从重处罚。</w:t>
      </w:r>
    </w:p>
    <w:p>
      <w:pPr>
        <w:spacing w:line="240" w:lineRule="auto"/>
        <w:ind w:firstLine="640"/>
        <w:jc w:val="both"/>
      </w:pPr>
      <w:r>
        <w:rPr>
          <w:rFonts w:ascii="仿宋_GB2312" w:hAnsi="仿宋_GB2312" w:eastAsia="仿宋_GB2312" w:cs="仿宋_GB2312"/>
          <w:sz w:val="32"/>
        </w:rPr>
        <w:t>司法工作人员利用职权，与他人共同实施前三款行为的，从重处罚；同时构成其他犯罪的，依照处罚较重的规定定罪从重处罚。</w:t>
      </w:r>
    </w:p>
    <w:p>
      <w:pPr>
        <w:spacing w:line="240" w:lineRule="auto"/>
        <w:ind w:firstLine="640"/>
        <w:jc w:val="both"/>
      </w:pPr>
      <w:r>
        <w:rPr>
          <w:rFonts w:ascii="黑体" w:hAnsi="黑体" w:eastAsia="黑体" w:cs="黑体"/>
          <w:sz w:val="32"/>
        </w:rPr>
        <w:t>第三百零八条</w:t>
      </w:r>
      <w:r>
        <w:rPr>
          <w:rFonts w:ascii="仿宋_GB2312" w:hAnsi="仿宋_GB2312" w:eastAsia="仿宋_GB2312" w:cs="仿宋_GB2312"/>
          <w:sz w:val="32"/>
        </w:rPr>
        <w:t>　对证人进行打击报复的，处三年以下有期徒刑或者拘役；情节严重的，处三年以上七年以下有期徒刑。</w:t>
      </w:r>
    </w:p>
    <w:p>
      <w:pPr>
        <w:spacing w:line="240" w:lineRule="auto"/>
        <w:ind w:firstLine="640"/>
        <w:jc w:val="both"/>
      </w:pPr>
      <w:r>
        <w:rPr>
          <w:rFonts w:ascii="黑体" w:hAnsi="黑体" w:eastAsia="黑体" w:cs="黑体"/>
          <w:sz w:val="32"/>
        </w:rPr>
        <w:t>第三百零八</w:t>
      </w:r>
      <w:r>
        <w:rPr>
          <w:rFonts w:hint="eastAsia" w:ascii="黑体" w:hAnsi="黑体" w:eastAsia="黑体" w:cs="黑体"/>
          <w:sz w:val="32"/>
          <w:lang w:eastAsia="zh-CN"/>
        </w:rPr>
        <w:t>条之一　</w:t>
      </w:r>
      <w:r>
        <w:rPr>
          <w:rFonts w:ascii="仿宋_GB2312" w:hAnsi="仿宋_GB2312" w:eastAsia="仿宋_GB2312" w:cs="仿宋_GB2312"/>
          <w:sz w:val="32"/>
        </w:rPr>
        <w:t>司法工作人员、辩护人、诉讼代理人或者其他诉讼参与人，泄露依法不公开审理的案件中不应当公开的信息，造成信息公开传播或者其他严重后果的，处三年以下有期徒刑、拘役或者管制，并处或者单处罚金。</w:t>
      </w:r>
    </w:p>
    <w:p>
      <w:pPr>
        <w:spacing w:line="240" w:lineRule="auto"/>
        <w:ind w:firstLine="640"/>
        <w:jc w:val="both"/>
      </w:pPr>
      <w:r>
        <w:rPr>
          <w:rFonts w:ascii="仿宋_GB2312" w:hAnsi="仿宋_GB2312" w:eastAsia="仿宋_GB2312" w:cs="仿宋_GB2312"/>
          <w:sz w:val="32"/>
        </w:rPr>
        <w:t>有前款行为，泄露国家秘密的，依照本法第三百九十八条的规定定罪处罚。</w:t>
      </w:r>
    </w:p>
    <w:p>
      <w:pPr>
        <w:spacing w:line="240" w:lineRule="auto"/>
        <w:ind w:firstLine="640"/>
        <w:jc w:val="both"/>
      </w:pPr>
      <w:r>
        <w:rPr>
          <w:rFonts w:ascii="仿宋_GB2312" w:hAnsi="仿宋_GB2312" w:eastAsia="仿宋_GB2312" w:cs="仿宋_GB2312"/>
          <w:sz w:val="32"/>
        </w:rPr>
        <w:t>公开披露、报道第一款规定的案件信息，情节严重的，依照第一款的规定处罚。</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第三百零九条</w:t>
      </w:r>
      <w:r>
        <w:rPr>
          <w:rFonts w:ascii="仿宋_GB2312" w:hAnsi="仿宋_GB2312" w:eastAsia="仿宋_GB2312" w:cs="仿宋_GB2312"/>
          <w:sz w:val="32"/>
        </w:rPr>
        <w:t>　有下列扰乱法庭秩序情形之一的，处三年以下有期徒刑、拘役、管制或者罚金：</w:t>
      </w:r>
    </w:p>
    <w:p>
      <w:pPr>
        <w:spacing w:line="240" w:lineRule="auto"/>
        <w:ind w:firstLine="640"/>
        <w:jc w:val="both"/>
      </w:pPr>
      <w:r>
        <w:rPr>
          <w:rFonts w:ascii="仿宋_GB2312" w:hAnsi="仿宋_GB2312" w:eastAsia="仿宋_GB2312" w:cs="仿宋_GB2312"/>
          <w:sz w:val="32"/>
        </w:rPr>
        <w:t>（一）聚众哄闹、冲击法庭的；</w:t>
      </w:r>
    </w:p>
    <w:p>
      <w:pPr>
        <w:spacing w:line="240" w:lineRule="auto"/>
        <w:ind w:firstLine="640"/>
        <w:jc w:val="both"/>
      </w:pPr>
      <w:r>
        <w:rPr>
          <w:rFonts w:ascii="仿宋_GB2312" w:hAnsi="仿宋_GB2312" w:eastAsia="仿宋_GB2312" w:cs="仿宋_GB2312"/>
          <w:sz w:val="32"/>
        </w:rPr>
        <w:t>（二）殴打司法工作人员或者诉讼参与人的；</w:t>
      </w:r>
    </w:p>
    <w:p>
      <w:pPr>
        <w:spacing w:line="240" w:lineRule="auto"/>
        <w:ind w:firstLine="640"/>
        <w:jc w:val="both"/>
      </w:pPr>
      <w:r>
        <w:rPr>
          <w:rFonts w:ascii="仿宋_GB2312" w:hAnsi="仿宋_GB2312" w:eastAsia="仿宋_GB2312" w:cs="仿宋_GB2312"/>
          <w:sz w:val="32"/>
        </w:rPr>
        <w:t>（三）侮辱、诽谤、威胁司法工作人员或者诉讼参与人，不听法庭制止，严重扰乱法庭秩序的；</w:t>
      </w:r>
    </w:p>
    <w:p>
      <w:pPr>
        <w:spacing w:line="240" w:lineRule="auto"/>
        <w:ind w:firstLine="640"/>
        <w:jc w:val="both"/>
      </w:pPr>
      <w:r>
        <w:rPr>
          <w:rFonts w:ascii="仿宋_GB2312" w:hAnsi="仿宋_GB2312" w:eastAsia="仿宋_GB2312" w:cs="仿宋_GB2312"/>
          <w:sz w:val="32"/>
        </w:rPr>
        <w:t>（四）有毁坏法庭设施，抢夺、损毁诉讼文书、证据等扰乱法庭秩序行为，情节严重的。</w:t>
      </w:r>
    </w:p>
    <w:p>
      <w:pPr>
        <w:spacing w:line="240" w:lineRule="auto"/>
        <w:ind w:firstLine="640"/>
        <w:jc w:val="both"/>
      </w:pPr>
      <w:r>
        <w:rPr>
          <w:rFonts w:ascii="黑体" w:hAnsi="黑体" w:eastAsia="黑体" w:cs="黑体"/>
          <w:sz w:val="32"/>
        </w:rPr>
        <w:t>第三百一十条</w:t>
      </w:r>
      <w:r>
        <w:rPr>
          <w:rFonts w:ascii="仿宋_GB2312" w:hAnsi="仿宋_GB2312" w:eastAsia="仿宋_GB2312" w:cs="仿宋_GB2312"/>
          <w:sz w:val="32"/>
        </w:rPr>
        <w:t>　明知是犯罪的人而为其提供隐藏处所、财物，帮助其逃匿或者作假证明包庇的，处三年以下有期徒刑、拘役或者管制；情节严重的，处三年以上十年以下有期徒刑。</w:t>
      </w:r>
    </w:p>
    <w:p>
      <w:pPr>
        <w:spacing w:line="240" w:lineRule="auto"/>
        <w:ind w:firstLine="640"/>
        <w:jc w:val="both"/>
      </w:pPr>
      <w:r>
        <w:rPr>
          <w:rFonts w:ascii="仿宋_GB2312" w:hAnsi="仿宋_GB2312" w:eastAsia="仿宋_GB2312" w:cs="仿宋_GB2312"/>
          <w:sz w:val="32"/>
        </w:rPr>
        <w:t>犯前款罪，事前通谋的，以共同犯罪论处。</w:t>
      </w:r>
    </w:p>
    <w:p>
      <w:pPr>
        <w:spacing w:line="240" w:lineRule="auto"/>
        <w:ind w:firstLine="640"/>
        <w:jc w:val="both"/>
      </w:pPr>
      <w:r>
        <w:rPr>
          <w:rFonts w:ascii="黑体" w:hAnsi="黑体" w:eastAsia="黑体" w:cs="黑体"/>
          <w:sz w:val="32"/>
        </w:rPr>
        <w:t>第三百一十一条</w:t>
      </w:r>
      <w:r>
        <w:rPr>
          <w:rFonts w:ascii="仿宋_GB2312" w:hAnsi="仿宋_GB2312" w:eastAsia="仿宋_GB2312" w:cs="仿宋_GB2312"/>
          <w:sz w:val="32"/>
        </w:rPr>
        <w:t>　明知他人有间谍犯罪或者恐怖主义、极端主义犯罪行为，在司法机关向其调查有关情况、收集有关证据时，拒绝提供，情节严重的，处三年以下有期徒刑、拘役或者管制。</w:t>
      </w:r>
    </w:p>
    <w:p>
      <w:pPr>
        <w:spacing w:line="240" w:lineRule="auto"/>
        <w:ind w:firstLine="640"/>
        <w:jc w:val="both"/>
      </w:pPr>
      <w:r>
        <w:rPr>
          <w:rFonts w:ascii="黑体" w:hAnsi="黑体" w:eastAsia="黑体" w:cs="黑体"/>
          <w:sz w:val="32"/>
        </w:rPr>
        <w:t>第三百一十二条</w:t>
      </w:r>
      <w:r>
        <w:rPr>
          <w:rFonts w:ascii="仿宋_GB2312" w:hAnsi="仿宋_GB2312" w:eastAsia="仿宋_GB2312" w:cs="仿宋_GB2312"/>
          <w:sz w:val="32"/>
        </w:rPr>
        <w:t>　明知是犯罪所得及其产生的收益而予以窝藏、转移、收购、代为销售或者以其他方法掩饰、隐瞒的，处三年以下有期徒刑、拘役或者管制，并处或者单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第三百一十三条</w:t>
      </w:r>
      <w:r>
        <w:rPr>
          <w:rFonts w:ascii="仿宋_GB2312" w:hAnsi="仿宋_GB2312" w:eastAsia="仿宋_GB2312" w:cs="仿宋_GB2312"/>
          <w:sz w:val="32"/>
        </w:rPr>
        <w:t>　对人民法院的判决、裁定有能力执行而拒不执行，情节严重的，处三年以下有期徒刑、拘役或者罚金；情节特别严重的，处三年以上七年以下有期徒刑，并处罚金。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第三百一十四条</w:t>
      </w:r>
      <w:r>
        <w:rPr>
          <w:rFonts w:ascii="仿宋_GB2312" w:hAnsi="仿宋_GB2312" w:eastAsia="仿宋_GB2312" w:cs="仿宋_GB2312"/>
          <w:sz w:val="32"/>
        </w:rPr>
        <w:t>　隐藏、转移、变卖、故意毁损已被司法机关查封、扣押、冻结的财产，情节严重的，处三年以下有期徒刑、拘役或者罚金。</w:t>
      </w:r>
    </w:p>
    <w:p>
      <w:pPr>
        <w:spacing w:line="240" w:lineRule="auto"/>
        <w:ind w:firstLine="640"/>
        <w:jc w:val="both"/>
      </w:pPr>
      <w:r>
        <w:rPr>
          <w:rFonts w:ascii="黑体" w:hAnsi="黑体" w:eastAsia="黑体" w:cs="黑体"/>
          <w:sz w:val="32"/>
        </w:rPr>
        <w:t>第三百一十五条</w:t>
      </w:r>
      <w:r>
        <w:rPr>
          <w:rFonts w:ascii="仿宋_GB2312" w:hAnsi="仿宋_GB2312" w:eastAsia="仿宋_GB2312" w:cs="仿宋_GB2312"/>
          <w:sz w:val="32"/>
        </w:rPr>
        <w:t>　依法被关押的罪犯，有下列破坏监管秩序行为之一，情节严重的，处三年以下有期徒刑：</w:t>
      </w:r>
    </w:p>
    <w:p>
      <w:pPr>
        <w:spacing w:line="240" w:lineRule="auto"/>
        <w:ind w:firstLine="640"/>
        <w:jc w:val="both"/>
      </w:pPr>
      <w:r>
        <w:rPr>
          <w:rFonts w:ascii="仿宋_GB2312" w:hAnsi="仿宋_GB2312" w:eastAsia="仿宋_GB2312" w:cs="仿宋_GB2312"/>
          <w:sz w:val="32"/>
        </w:rPr>
        <w:t>（一）殴打监管人员的；</w:t>
      </w:r>
    </w:p>
    <w:p>
      <w:pPr>
        <w:spacing w:line="240" w:lineRule="auto"/>
        <w:ind w:firstLine="640"/>
        <w:jc w:val="both"/>
      </w:pPr>
      <w:r>
        <w:rPr>
          <w:rFonts w:ascii="仿宋_GB2312" w:hAnsi="仿宋_GB2312" w:eastAsia="仿宋_GB2312" w:cs="仿宋_GB2312"/>
          <w:sz w:val="32"/>
        </w:rPr>
        <w:t>（二）组织其他被监管人破坏监管秩序的；</w:t>
      </w:r>
    </w:p>
    <w:p>
      <w:pPr>
        <w:spacing w:line="240" w:lineRule="auto"/>
        <w:ind w:firstLine="640"/>
        <w:jc w:val="both"/>
      </w:pPr>
      <w:r>
        <w:rPr>
          <w:rFonts w:ascii="仿宋_GB2312" w:hAnsi="仿宋_GB2312" w:eastAsia="仿宋_GB2312" w:cs="仿宋_GB2312"/>
          <w:sz w:val="32"/>
        </w:rPr>
        <w:t>（三）聚众闹事，扰乱正常监管秩序的；</w:t>
      </w:r>
    </w:p>
    <w:p>
      <w:pPr>
        <w:spacing w:line="240" w:lineRule="auto"/>
        <w:ind w:firstLine="640"/>
        <w:jc w:val="both"/>
      </w:pPr>
      <w:r>
        <w:rPr>
          <w:rFonts w:ascii="仿宋_GB2312" w:hAnsi="仿宋_GB2312" w:eastAsia="仿宋_GB2312" w:cs="仿宋_GB2312"/>
          <w:sz w:val="32"/>
        </w:rPr>
        <w:t>（四）殴打、体罚或者指使他人殴打、体罚其他被监管人的。</w:t>
      </w:r>
    </w:p>
    <w:p>
      <w:pPr>
        <w:spacing w:line="240" w:lineRule="auto"/>
        <w:ind w:firstLine="640"/>
        <w:jc w:val="both"/>
      </w:pPr>
      <w:r>
        <w:rPr>
          <w:rFonts w:ascii="黑体" w:hAnsi="黑体" w:eastAsia="黑体" w:cs="黑体"/>
          <w:sz w:val="32"/>
        </w:rPr>
        <w:t>第三百一十六条</w:t>
      </w:r>
      <w:r>
        <w:rPr>
          <w:rFonts w:ascii="仿宋_GB2312" w:hAnsi="仿宋_GB2312" w:eastAsia="仿宋_GB2312" w:cs="仿宋_GB2312"/>
          <w:sz w:val="32"/>
        </w:rPr>
        <w:t>　依法被关押的罪犯、被告人、犯罪嫌疑人脱逃的，处五年以下有期徒刑或者拘役。</w:t>
      </w:r>
    </w:p>
    <w:p>
      <w:pPr>
        <w:spacing w:line="240" w:lineRule="auto"/>
        <w:ind w:firstLine="640"/>
        <w:jc w:val="both"/>
      </w:pPr>
      <w:r>
        <w:rPr>
          <w:rFonts w:ascii="仿宋_GB2312" w:hAnsi="仿宋_GB2312" w:eastAsia="仿宋_GB2312" w:cs="仿宋_GB2312"/>
          <w:sz w:val="32"/>
        </w:rPr>
        <w:t>劫夺押解途中的罪犯、被告人、犯罪嫌疑人的，处三年以上七年以下有期徒刑；情节严重的，处七年以上有期徒刑。</w:t>
      </w:r>
    </w:p>
    <w:p>
      <w:pPr>
        <w:spacing w:line="240" w:lineRule="auto"/>
        <w:ind w:firstLine="640"/>
        <w:jc w:val="both"/>
      </w:pPr>
      <w:r>
        <w:rPr>
          <w:rFonts w:ascii="黑体" w:hAnsi="黑体" w:eastAsia="黑体" w:cs="黑体"/>
          <w:sz w:val="32"/>
        </w:rPr>
        <w:t>第三百一十七条</w:t>
      </w:r>
      <w:r>
        <w:rPr>
          <w:rFonts w:ascii="仿宋_GB2312" w:hAnsi="仿宋_GB2312" w:eastAsia="仿宋_GB2312" w:cs="仿宋_GB2312"/>
          <w:sz w:val="32"/>
        </w:rPr>
        <w:t>　组织越狱的首要分子和积极参加的，处五年以上有期徒刑；其他参加的，处五年以下有期徒刑或者拘役。</w:t>
      </w:r>
    </w:p>
    <w:p>
      <w:pPr>
        <w:spacing w:line="240" w:lineRule="auto"/>
        <w:ind w:firstLine="640"/>
        <w:jc w:val="both"/>
      </w:pPr>
      <w:r>
        <w:rPr>
          <w:rFonts w:ascii="仿宋_GB2312" w:hAnsi="仿宋_GB2312" w:eastAsia="仿宋_GB2312" w:cs="仿宋_GB2312"/>
          <w:sz w:val="32"/>
        </w:rPr>
        <w:t>暴动越狱或者聚众持械劫狱的首要分子和积极参加的，处十年以上有期徒刑或者无期徒刑；情节特别严重的，处死刑；其他参加的，处三年以上十年以下有期徒刑。</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第三节　妨害国（边）境管理罪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第三百一十八条</w:t>
      </w:r>
      <w:r>
        <w:rPr>
          <w:rFonts w:ascii="仿宋_GB2312" w:hAnsi="仿宋_GB2312" w:eastAsia="仿宋_GB2312" w:cs="仿宋_GB2312"/>
          <w:sz w:val="32"/>
        </w:rPr>
        <w:t>　组织他人偷越国（边）境的，处二年以上七年以下有期徒刑，并处罚金；有下列情形之一的，处七年以上有期徒刑或者无期徒刑，并处罚金或者没收财产：</w:t>
      </w:r>
    </w:p>
    <w:p>
      <w:pPr>
        <w:spacing w:line="240" w:lineRule="auto"/>
        <w:ind w:firstLine="640"/>
        <w:jc w:val="both"/>
      </w:pPr>
      <w:r>
        <w:rPr>
          <w:rFonts w:ascii="仿宋_GB2312" w:hAnsi="仿宋_GB2312" w:eastAsia="仿宋_GB2312" w:cs="仿宋_GB2312"/>
          <w:sz w:val="32"/>
        </w:rPr>
        <w:t>（一）组织他人偷越国（边）境集团的首要分子；</w:t>
      </w:r>
    </w:p>
    <w:p>
      <w:pPr>
        <w:spacing w:line="240" w:lineRule="auto"/>
        <w:ind w:firstLine="640"/>
        <w:jc w:val="both"/>
      </w:pPr>
      <w:r>
        <w:rPr>
          <w:rFonts w:ascii="仿宋_GB2312" w:hAnsi="仿宋_GB2312" w:eastAsia="仿宋_GB2312" w:cs="仿宋_GB2312"/>
          <w:sz w:val="32"/>
        </w:rPr>
        <w:t>（二）多次组织他人偷越国（边）境或者组织他人偷越国（边）境人数众多的；</w:t>
      </w:r>
    </w:p>
    <w:p>
      <w:pPr>
        <w:spacing w:line="240" w:lineRule="auto"/>
        <w:ind w:firstLine="640"/>
        <w:jc w:val="both"/>
      </w:pPr>
      <w:r>
        <w:rPr>
          <w:rFonts w:ascii="仿宋_GB2312" w:hAnsi="仿宋_GB2312" w:eastAsia="仿宋_GB2312" w:cs="仿宋_GB2312"/>
          <w:sz w:val="32"/>
        </w:rPr>
        <w:t>（三）造成被组织人重伤、死亡的；</w:t>
      </w:r>
    </w:p>
    <w:p>
      <w:pPr>
        <w:spacing w:line="240" w:lineRule="auto"/>
        <w:ind w:firstLine="640"/>
        <w:jc w:val="both"/>
      </w:pPr>
      <w:r>
        <w:rPr>
          <w:rFonts w:ascii="仿宋_GB2312" w:hAnsi="仿宋_GB2312" w:eastAsia="仿宋_GB2312" w:cs="仿宋_GB2312"/>
          <w:sz w:val="32"/>
        </w:rPr>
        <w:t>（四）剥夺或者限制被组织人人身自由的；</w:t>
      </w:r>
    </w:p>
    <w:p>
      <w:pPr>
        <w:spacing w:line="240" w:lineRule="auto"/>
        <w:ind w:firstLine="640"/>
        <w:jc w:val="both"/>
      </w:pPr>
      <w:r>
        <w:rPr>
          <w:rFonts w:ascii="仿宋_GB2312" w:hAnsi="仿宋_GB2312" w:eastAsia="仿宋_GB2312" w:cs="仿宋_GB2312"/>
          <w:sz w:val="32"/>
        </w:rPr>
        <w:t>（五）以暴力、威胁方法抗拒检查的；</w:t>
      </w:r>
    </w:p>
    <w:p>
      <w:pPr>
        <w:spacing w:line="240" w:lineRule="auto"/>
        <w:ind w:firstLine="640"/>
        <w:jc w:val="both"/>
      </w:pPr>
      <w:r>
        <w:rPr>
          <w:rFonts w:ascii="仿宋_GB2312" w:hAnsi="仿宋_GB2312" w:eastAsia="仿宋_GB2312" w:cs="仿宋_GB2312"/>
          <w:sz w:val="32"/>
        </w:rPr>
        <w:t>（六）违法所得数额巨大的；</w:t>
      </w:r>
    </w:p>
    <w:p>
      <w:pPr>
        <w:spacing w:line="240" w:lineRule="auto"/>
        <w:ind w:firstLine="640"/>
        <w:jc w:val="both"/>
      </w:pPr>
      <w:r>
        <w:rPr>
          <w:rFonts w:ascii="仿宋_GB2312" w:hAnsi="仿宋_GB2312" w:eastAsia="仿宋_GB2312" w:cs="仿宋_GB2312"/>
          <w:sz w:val="32"/>
        </w:rPr>
        <w:t>（七）有其他特别严重情节的。</w:t>
      </w:r>
    </w:p>
    <w:p>
      <w:pPr>
        <w:spacing w:line="240" w:lineRule="auto"/>
        <w:ind w:firstLine="640"/>
        <w:jc w:val="both"/>
      </w:pPr>
      <w:r>
        <w:rPr>
          <w:rFonts w:ascii="仿宋_GB2312" w:hAnsi="仿宋_GB2312" w:eastAsia="仿宋_GB2312" w:cs="仿宋_GB2312"/>
          <w:sz w:val="32"/>
        </w:rPr>
        <w:t>犯前款罪，对被组织人有杀害、伤害、强奸、拐卖等犯罪行为，或者对检查人员有杀害、伤害等犯罪行为的，依照数罪并罚的规定处罚。</w:t>
      </w:r>
    </w:p>
    <w:p>
      <w:pPr>
        <w:spacing w:line="240" w:lineRule="auto"/>
        <w:ind w:firstLine="640"/>
        <w:jc w:val="both"/>
      </w:pPr>
      <w:r>
        <w:rPr>
          <w:rFonts w:ascii="黑体" w:hAnsi="黑体" w:eastAsia="黑体" w:cs="黑体"/>
          <w:sz w:val="32"/>
        </w:rPr>
        <w:t>第三百一十九条</w:t>
      </w:r>
      <w:r>
        <w:rPr>
          <w:rFonts w:ascii="仿宋_GB2312" w:hAnsi="仿宋_GB2312" w:eastAsia="仿宋_GB2312" w:cs="仿宋_GB2312"/>
          <w:sz w:val="32"/>
        </w:rPr>
        <w:t>　以劳务输出、经贸往来或者其他名义，弄虚作假，骗取护照、签证等出境证件，为组织他人偷越国（边）境使用的，处三年以下有期徒刑，并处罚金；情节严重的，处三年以上十年以下有期徒刑，并处罚金。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第三百二十条</w:t>
      </w:r>
      <w:r>
        <w:rPr>
          <w:rFonts w:ascii="仿宋_GB2312" w:hAnsi="仿宋_GB2312" w:eastAsia="仿宋_GB2312" w:cs="仿宋_GB2312"/>
          <w:sz w:val="32"/>
        </w:rPr>
        <w:t>　为他人提供伪造、变造的护照、签证等出入境证件，或者出售护照、签证等出入境证件的，处五年以下有期徒刑，并处罚金；情节严重的，处五年以上有期徒刑，并处罚金。</w:t>
      </w:r>
    </w:p>
    <w:p>
      <w:pPr>
        <w:spacing w:line="240" w:lineRule="auto"/>
        <w:ind w:firstLine="640"/>
        <w:jc w:val="both"/>
      </w:pPr>
      <w:r>
        <w:rPr>
          <w:rFonts w:ascii="黑体" w:hAnsi="黑体" w:eastAsia="黑体" w:cs="黑体"/>
          <w:sz w:val="32"/>
        </w:rPr>
        <w:t>第三百二十一条</w:t>
      </w:r>
      <w:r>
        <w:rPr>
          <w:rFonts w:ascii="仿宋_GB2312" w:hAnsi="仿宋_GB2312" w:eastAsia="仿宋_GB2312" w:cs="仿宋_GB2312"/>
          <w:sz w:val="32"/>
        </w:rPr>
        <w:t>　运送他人偷越国（边）境的，处五年以下有期徒刑、拘役或者管制，并处罚金；有下列情形之一的，处五年以上十年以下有期徒刑，并处罚金：</w:t>
      </w:r>
    </w:p>
    <w:p>
      <w:pPr>
        <w:spacing w:line="240" w:lineRule="auto"/>
        <w:ind w:firstLine="640"/>
        <w:jc w:val="both"/>
      </w:pPr>
      <w:r>
        <w:rPr>
          <w:rFonts w:ascii="仿宋_GB2312" w:hAnsi="仿宋_GB2312" w:eastAsia="仿宋_GB2312" w:cs="仿宋_GB2312"/>
          <w:sz w:val="32"/>
        </w:rPr>
        <w:t>（一）多次实施运送行为或者运送人数众多的；</w:t>
      </w:r>
    </w:p>
    <w:p>
      <w:pPr>
        <w:spacing w:line="240" w:lineRule="auto"/>
        <w:ind w:firstLine="640"/>
        <w:jc w:val="both"/>
      </w:pPr>
      <w:r>
        <w:rPr>
          <w:rFonts w:ascii="仿宋_GB2312" w:hAnsi="仿宋_GB2312" w:eastAsia="仿宋_GB2312" w:cs="仿宋_GB2312"/>
          <w:sz w:val="32"/>
        </w:rPr>
        <w:t>（二）所使用的船只、车辆等交通工具不具备必要的安全条件，足以造成严重后果的；</w:t>
      </w:r>
    </w:p>
    <w:p>
      <w:pPr>
        <w:spacing w:line="240" w:lineRule="auto"/>
        <w:ind w:firstLine="640"/>
        <w:jc w:val="both"/>
      </w:pPr>
      <w:r>
        <w:rPr>
          <w:rFonts w:ascii="仿宋_GB2312" w:hAnsi="仿宋_GB2312" w:eastAsia="仿宋_GB2312" w:cs="仿宋_GB2312"/>
          <w:sz w:val="32"/>
        </w:rPr>
        <w:t>（三）违法所得数额巨大的；</w:t>
      </w:r>
    </w:p>
    <w:p>
      <w:pPr>
        <w:spacing w:line="240" w:lineRule="auto"/>
        <w:ind w:firstLine="640"/>
        <w:jc w:val="both"/>
      </w:pPr>
      <w:r>
        <w:rPr>
          <w:rFonts w:ascii="仿宋_GB2312" w:hAnsi="仿宋_GB2312" w:eastAsia="仿宋_GB2312" w:cs="仿宋_GB2312"/>
          <w:sz w:val="32"/>
        </w:rPr>
        <w:t>（四）有其他特别严重情节的。</w:t>
      </w:r>
    </w:p>
    <w:p>
      <w:pPr>
        <w:spacing w:line="240" w:lineRule="auto"/>
        <w:ind w:firstLine="640"/>
        <w:jc w:val="both"/>
      </w:pPr>
      <w:r>
        <w:rPr>
          <w:rFonts w:ascii="仿宋_GB2312" w:hAnsi="仿宋_GB2312" w:eastAsia="仿宋_GB2312" w:cs="仿宋_GB2312"/>
          <w:sz w:val="32"/>
        </w:rPr>
        <w:t>在运送他人偷越国（边）境中造成被运送人重伤、死亡，或者以暴力、威胁方法抗拒检查的，处七年以上有期徒刑，并处罚金。</w:t>
      </w:r>
    </w:p>
    <w:p>
      <w:pPr>
        <w:spacing w:line="240" w:lineRule="auto"/>
        <w:ind w:firstLine="640"/>
        <w:jc w:val="both"/>
      </w:pPr>
      <w:r>
        <w:rPr>
          <w:rFonts w:ascii="仿宋_GB2312" w:hAnsi="仿宋_GB2312" w:eastAsia="仿宋_GB2312" w:cs="仿宋_GB2312"/>
          <w:sz w:val="32"/>
        </w:rPr>
        <w:t>犯前两款罪，对被运送人有杀害、伤害、强奸、拐卖等犯罪行为，或者对检查人员有杀害、伤害等犯罪行为的，依照数罪并罚的规定处罚。</w:t>
      </w:r>
    </w:p>
    <w:p>
      <w:pPr>
        <w:spacing w:line="240" w:lineRule="auto"/>
        <w:ind w:firstLine="640"/>
        <w:jc w:val="both"/>
      </w:pPr>
      <w:r>
        <w:rPr>
          <w:rFonts w:ascii="黑体" w:hAnsi="黑体" w:eastAsia="黑体" w:cs="黑体"/>
          <w:sz w:val="32"/>
        </w:rPr>
        <w:t>第三百二十二条</w:t>
      </w:r>
      <w:r>
        <w:rPr>
          <w:rFonts w:ascii="仿宋_GB2312" w:hAnsi="仿宋_GB2312" w:eastAsia="仿宋_GB2312" w:cs="仿宋_GB2312"/>
          <w:sz w:val="32"/>
        </w:rPr>
        <w:t>　违反国（边）境管理法规，偷越国（边）境，情节严重的，处一年以下有期徒刑、拘役或者管制，并处罚金；为参加恐怖活动组织、接受恐怖活动培训或者实施恐怖活动，偷越国（边）境的，处一年以上三年以下有期徒刑，并处罚金。</w:t>
      </w:r>
    </w:p>
    <w:p>
      <w:pPr>
        <w:spacing w:line="240" w:lineRule="auto"/>
        <w:ind w:firstLine="640"/>
        <w:jc w:val="both"/>
      </w:pPr>
      <w:r>
        <w:rPr>
          <w:rFonts w:ascii="黑体" w:hAnsi="黑体" w:eastAsia="黑体" w:cs="黑体"/>
          <w:sz w:val="32"/>
        </w:rPr>
        <w:t>第三百二十三条</w:t>
      </w:r>
      <w:r>
        <w:rPr>
          <w:rFonts w:ascii="仿宋_GB2312" w:hAnsi="仿宋_GB2312" w:eastAsia="仿宋_GB2312" w:cs="仿宋_GB2312"/>
          <w:sz w:val="32"/>
        </w:rPr>
        <w:t>　故意破坏国家边境的界碑、界桩或者永久性测量标志的，处三年以下有期徒刑或者拘役。</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第四节　妨害文物管理罪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第三百二十四条</w:t>
      </w:r>
      <w:r>
        <w:rPr>
          <w:rFonts w:ascii="仿宋_GB2312" w:hAnsi="仿宋_GB2312" w:eastAsia="仿宋_GB2312" w:cs="仿宋_GB2312"/>
          <w:sz w:val="32"/>
        </w:rPr>
        <w:t>　故意损毁国家保护的珍贵文物或者被确定为全国重点文物保护单位、省级文物保护单位的文物的，处三年以下有期徒刑或者拘役，并处或者单处罚金；情节严重的，处三年以上十年以下有期徒刑，并处罚金。</w:t>
      </w:r>
    </w:p>
    <w:p>
      <w:pPr>
        <w:spacing w:line="240" w:lineRule="auto"/>
        <w:ind w:firstLine="640"/>
        <w:jc w:val="both"/>
      </w:pPr>
      <w:r>
        <w:rPr>
          <w:rFonts w:ascii="仿宋_GB2312" w:hAnsi="仿宋_GB2312" w:eastAsia="仿宋_GB2312" w:cs="仿宋_GB2312"/>
          <w:sz w:val="32"/>
        </w:rPr>
        <w:t>故意损毁国家保护的名胜古迹，情节严重的，处五年以下有期徒刑或者拘役，并处或者单处罚金。</w:t>
      </w:r>
    </w:p>
    <w:p>
      <w:pPr>
        <w:spacing w:line="240" w:lineRule="auto"/>
        <w:ind w:firstLine="640"/>
        <w:jc w:val="both"/>
      </w:pPr>
      <w:r>
        <w:rPr>
          <w:rFonts w:ascii="仿宋_GB2312" w:hAnsi="仿宋_GB2312" w:eastAsia="仿宋_GB2312" w:cs="仿宋_GB2312"/>
          <w:sz w:val="32"/>
        </w:rPr>
        <w:t>过失损毁国家保护的珍贵文物或者被确定为全国重点文物保护单位、省级文物保护单位的文物，造成严重后果的，处三年以下有期徒刑或者拘役。</w:t>
      </w:r>
    </w:p>
    <w:p>
      <w:pPr>
        <w:spacing w:line="240" w:lineRule="auto"/>
        <w:ind w:firstLine="640"/>
        <w:jc w:val="both"/>
      </w:pPr>
      <w:r>
        <w:rPr>
          <w:rFonts w:ascii="黑体" w:hAnsi="黑体" w:eastAsia="黑体" w:cs="黑体"/>
          <w:sz w:val="32"/>
        </w:rPr>
        <w:t>第三百二十五条</w:t>
      </w:r>
      <w:r>
        <w:rPr>
          <w:rFonts w:ascii="仿宋_GB2312" w:hAnsi="仿宋_GB2312" w:eastAsia="仿宋_GB2312" w:cs="仿宋_GB2312"/>
          <w:sz w:val="32"/>
        </w:rPr>
        <w:t>　违反文物保护法规，将收藏的国家禁止出口的珍贵文物私自出售或者私自赠送给外国人的，处五年以下有期徒刑或者拘役，可以并处罚金。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第三百二十六条</w:t>
      </w:r>
      <w:r>
        <w:rPr>
          <w:rFonts w:ascii="仿宋_GB2312" w:hAnsi="仿宋_GB2312" w:eastAsia="仿宋_GB2312" w:cs="仿宋_GB2312"/>
          <w:sz w:val="32"/>
        </w:rPr>
        <w:t>　以牟利为目的，倒卖国家禁止经营的文物，情节严重的，处五年以下有期徒刑或者拘役，并处罚金；情节特别严重的，处五年以上十年以下有期徒刑，并处罚金。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第三百二十七条</w:t>
      </w:r>
      <w:r>
        <w:rPr>
          <w:rFonts w:ascii="仿宋_GB2312" w:hAnsi="仿宋_GB2312" w:eastAsia="仿宋_GB2312" w:cs="仿宋_GB2312"/>
          <w:sz w:val="32"/>
        </w:rPr>
        <w:t>　违反文物保护法规，国有博物馆、图书馆等单位将国家保护的文物藏品出售或者私自送给非国有单位或者个人的，对单位判处罚金，并对其直接负责的主管人员和其他直接责任人员，处三年以下有期徒刑或者拘役。</w:t>
      </w:r>
    </w:p>
    <w:p>
      <w:pPr>
        <w:spacing w:line="240" w:lineRule="auto"/>
        <w:ind w:firstLine="640"/>
        <w:jc w:val="both"/>
      </w:pPr>
      <w:r>
        <w:rPr>
          <w:rFonts w:ascii="黑体" w:hAnsi="黑体" w:eastAsia="黑体" w:cs="黑体"/>
          <w:sz w:val="32"/>
        </w:rPr>
        <w:t>第三百二十八条</w:t>
      </w:r>
      <w:r>
        <w:rPr>
          <w:rFonts w:ascii="仿宋_GB2312" w:hAnsi="仿宋_GB2312" w:eastAsia="仿宋_GB2312" w:cs="仿宋_GB2312"/>
          <w:sz w:val="32"/>
        </w:rPr>
        <w:t>　盗掘具有历史、艺术、科学价值的古文化遗址、古墓葬的，处三年以上十年以下有期徒刑，并处罚金；情节较轻的，处三年以下有期徒刑、拘役或者管制，并处罚金；有下列情形之一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（一）盗掘确定为全国重点文物保护单位和省级文物保护单位的古文化遗址、古墓葬的；</w:t>
      </w:r>
    </w:p>
    <w:p>
      <w:pPr>
        <w:spacing w:line="240" w:lineRule="auto"/>
        <w:ind w:firstLine="640"/>
        <w:jc w:val="both"/>
      </w:pPr>
      <w:r>
        <w:rPr>
          <w:rFonts w:ascii="仿宋_GB2312" w:hAnsi="仿宋_GB2312" w:eastAsia="仿宋_GB2312" w:cs="仿宋_GB2312"/>
          <w:sz w:val="32"/>
        </w:rPr>
        <w:t>（二）盗掘古文化遗址、古墓葬集团的首要分子；</w:t>
      </w:r>
    </w:p>
    <w:p>
      <w:pPr>
        <w:spacing w:line="240" w:lineRule="auto"/>
        <w:ind w:firstLine="640"/>
        <w:jc w:val="both"/>
      </w:pPr>
      <w:r>
        <w:rPr>
          <w:rFonts w:ascii="仿宋_GB2312" w:hAnsi="仿宋_GB2312" w:eastAsia="仿宋_GB2312" w:cs="仿宋_GB2312"/>
          <w:sz w:val="32"/>
        </w:rPr>
        <w:t>（三）多次盗掘古文化遗址、古墓葬的；</w:t>
      </w:r>
    </w:p>
    <w:p>
      <w:pPr>
        <w:spacing w:line="240" w:lineRule="auto"/>
        <w:ind w:firstLine="640"/>
        <w:jc w:val="both"/>
      </w:pPr>
      <w:r>
        <w:rPr>
          <w:rFonts w:ascii="仿宋_GB2312" w:hAnsi="仿宋_GB2312" w:eastAsia="仿宋_GB2312" w:cs="仿宋_GB2312"/>
          <w:sz w:val="32"/>
        </w:rPr>
        <w:t>（四）盗掘古文化遗址、古墓葬，并盗窃珍贵文物或者造成珍贵文物严重破坏的。</w:t>
      </w:r>
    </w:p>
    <w:p>
      <w:pPr>
        <w:spacing w:line="240" w:lineRule="auto"/>
        <w:ind w:firstLine="640"/>
        <w:jc w:val="both"/>
      </w:pPr>
      <w:r>
        <w:rPr>
          <w:rFonts w:ascii="仿宋_GB2312" w:hAnsi="仿宋_GB2312" w:eastAsia="仿宋_GB2312" w:cs="仿宋_GB2312"/>
          <w:sz w:val="32"/>
        </w:rPr>
        <w:t>盗掘国家保护的具有科学价值的古人类化石和古脊椎动物化石的，依照前款的规定处罚。</w:t>
      </w:r>
    </w:p>
    <w:p>
      <w:pPr>
        <w:spacing w:line="240" w:lineRule="auto"/>
        <w:ind w:firstLine="640"/>
        <w:jc w:val="both"/>
      </w:pPr>
      <w:r>
        <w:rPr>
          <w:rFonts w:ascii="黑体" w:hAnsi="黑体" w:eastAsia="黑体" w:cs="黑体"/>
          <w:sz w:val="32"/>
        </w:rPr>
        <w:t>第三百二十九条</w:t>
      </w:r>
      <w:r>
        <w:rPr>
          <w:rFonts w:ascii="仿宋_GB2312" w:hAnsi="仿宋_GB2312" w:eastAsia="仿宋_GB2312" w:cs="仿宋_GB2312"/>
          <w:sz w:val="32"/>
        </w:rPr>
        <w:t>　抢夺、窃取国家所有的档案的，处五年以下有期徒刑或者拘役。</w:t>
      </w:r>
    </w:p>
    <w:p>
      <w:pPr>
        <w:spacing w:line="240" w:lineRule="auto"/>
        <w:ind w:firstLine="640"/>
        <w:jc w:val="both"/>
      </w:pPr>
      <w:r>
        <w:rPr>
          <w:rFonts w:ascii="仿宋_GB2312" w:hAnsi="仿宋_GB2312" w:eastAsia="仿宋_GB2312" w:cs="仿宋_GB2312"/>
          <w:sz w:val="32"/>
        </w:rPr>
        <w:t>违反档案法的规定，擅自出卖、转让国家所有的档案，情节严重的，处三年以下有期徒刑或者拘役。</w:t>
      </w:r>
    </w:p>
    <w:p>
      <w:pPr>
        <w:spacing w:line="240" w:lineRule="auto"/>
        <w:ind w:firstLine="640"/>
        <w:jc w:val="both"/>
      </w:pPr>
      <w:r>
        <w:rPr>
          <w:rFonts w:ascii="仿宋_GB2312" w:hAnsi="仿宋_GB2312" w:eastAsia="仿宋_GB2312" w:cs="仿宋_GB2312"/>
          <w:sz w:val="32"/>
        </w:rPr>
        <w:t>有前两款行为，同时又构成本法规定的其他犯罪的，依照处罚较重的规定定罪处罚。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第五节　危害公共卫生罪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第三百三十条</w:t>
      </w:r>
      <w:r>
        <w:rPr>
          <w:rFonts w:ascii="仿宋_GB2312" w:hAnsi="仿宋_GB2312" w:eastAsia="仿宋_GB2312" w:cs="仿宋_GB2312"/>
          <w:sz w:val="32"/>
        </w:rPr>
        <w:t>　违反传染病防治法的规定，有下列情形之一，引起甲类传染病以及依法确定采取甲类传染病预防、控制措施的传染病传播或者有传播严重危险的，处三年以下有期徒刑或者拘役；后果特别严重的，处三年以上七年以下有期徒刑：</w:t>
      </w:r>
    </w:p>
    <w:p>
      <w:pPr>
        <w:spacing w:line="240" w:lineRule="auto"/>
        <w:ind w:firstLine="640"/>
        <w:jc w:val="both"/>
      </w:pPr>
      <w:r>
        <w:rPr>
          <w:rFonts w:ascii="仿宋_GB2312" w:hAnsi="仿宋_GB2312" w:eastAsia="仿宋_GB2312" w:cs="仿宋_GB2312"/>
          <w:sz w:val="32"/>
        </w:rPr>
        <w:t>（一）供水单位供应的饮用水不符合国家规定的卫生标准的；</w:t>
      </w:r>
    </w:p>
    <w:p>
      <w:pPr>
        <w:spacing w:line="240" w:lineRule="auto"/>
        <w:ind w:firstLine="640"/>
        <w:jc w:val="both"/>
      </w:pPr>
      <w:r>
        <w:rPr>
          <w:rFonts w:ascii="仿宋_GB2312" w:hAnsi="仿宋_GB2312" w:eastAsia="仿宋_GB2312" w:cs="仿宋_GB2312"/>
          <w:sz w:val="32"/>
        </w:rPr>
        <w:t>（二）拒绝按照疾病预防控制机构提出的卫生要求，对传染病病原体污染的污水、污物、场所和物品进行消毒处理的；</w:t>
      </w:r>
    </w:p>
    <w:p>
      <w:pPr>
        <w:spacing w:line="240" w:lineRule="auto"/>
        <w:ind w:firstLine="640"/>
        <w:jc w:val="both"/>
      </w:pPr>
      <w:r>
        <w:rPr>
          <w:rFonts w:ascii="仿宋_GB2312" w:hAnsi="仿宋_GB2312" w:eastAsia="仿宋_GB2312" w:cs="仿宋_GB2312"/>
          <w:sz w:val="32"/>
        </w:rPr>
        <w:t>（三）准许或者纵容传染病病人、病原携带者和疑似传染病病人从事国务院卫生行政部门规定禁止从事的易使该传染病扩散的工作的；</w:t>
      </w:r>
    </w:p>
    <w:p>
      <w:pPr>
        <w:spacing w:line="240" w:lineRule="auto"/>
        <w:ind w:firstLine="640"/>
        <w:jc w:val="both"/>
      </w:pPr>
      <w:r>
        <w:rPr>
          <w:rFonts w:ascii="仿宋_GB2312" w:hAnsi="仿宋_GB2312" w:eastAsia="仿宋_GB2312" w:cs="仿宋_GB2312"/>
          <w:sz w:val="32"/>
        </w:rPr>
        <w:t>（四）出售、运输疫区中被传染病病原体污染或者可能被传染病病原体污染的物品，未进行消毒处理的；</w:t>
      </w:r>
    </w:p>
    <w:p>
      <w:pPr>
        <w:spacing w:line="240" w:lineRule="auto"/>
        <w:ind w:firstLine="640"/>
        <w:jc w:val="both"/>
      </w:pPr>
      <w:r>
        <w:rPr>
          <w:rFonts w:ascii="仿宋_GB2312" w:hAnsi="仿宋_GB2312" w:eastAsia="仿宋_GB2312" w:cs="仿宋_GB2312"/>
          <w:sz w:val="32"/>
        </w:rPr>
        <w:t>（五）拒绝执行县级以上人民政府、疾病预防控制机构依照传染病防治法提出的预防、控制措施的。</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仿宋_GB2312" w:hAnsi="仿宋_GB2312" w:eastAsia="仿宋_GB2312" w:cs="仿宋_GB2312"/>
          <w:sz w:val="32"/>
        </w:rPr>
        <w:t>甲类传染病的范围，依照《中华人民共和国传染病防治法》和国务院有关规定确定。</w:t>
      </w:r>
    </w:p>
    <w:p>
      <w:pPr>
        <w:spacing w:line="240" w:lineRule="auto"/>
        <w:ind w:firstLine="640"/>
        <w:jc w:val="both"/>
      </w:pPr>
      <w:r>
        <w:rPr>
          <w:rFonts w:ascii="黑体" w:hAnsi="黑体" w:eastAsia="黑体" w:cs="黑体"/>
          <w:sz w:val="32"/>
        </w:rPr>
        <w:t>第三百三十一条</w:t>
      </w:r>
      <w:r>
        <w:rPr>
          <w:rFonts w:ascii="仿宋_GB2312" w:hAnsi="仿宋_GB2312" w:eastAsia="仿宋_GB2312" w:cs="仿宋_GB2312"/>
          <w:sz w:val="32"/>
        </w:rPr>
        <w:t>　从事实验、保藏、携带、运输传染病菌种、毒种的人员，违反国务院卫生行政部门的有关规定，造成传染病菌种、毒种扩散，后果严重的，处三年以下有期徒刑或者拘役；后果特别严重的，处三年以上七年以下有期徒刑。</w:t>
      </w:r>
    </w:p>
    <w:p>
      <w:pPr>
        <w:spacing w:line="240" w:lineRule="auto"/>
        <w:ind w:firstLine="640"/>
        <w:jc w:val="both"/>
      </w:pPr>
      <w:r>
        <w:rPr>
          <w:rFonts w:ascii="黑体" w:hAnsi="黑体" w:eastAsia="黑体" w:cs="黑体"/>
          <w:sz w:val="32"/>
        </w:rPr>
        <w:t>第三百三十二条</w:t>
      </w:r>
      <w:r>
        <w:rPr>
          <w:rFonts w:ascii="仿宋_GB2312" w:hAnsi="仿宋_GB2312" w:eastAsia="仿宋_GB2312" w:cs="仿宋_GB2312"/>
          <w:sz w:val="32"/>
        </w:rPr>
        <w:t>　违反国境卫生检疫规定，引起检疫传染病传播或者有传播严重危险的，处三年以下有期徒刑或者拘役，并处或者单处罚金。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第三百三十三条</w:t>
      </w:r>
      <w:r>
        <w:rPr>
          <w:rFonts w:ascii="仿宋_GB2312" w:hAnsi="仿宋_GB2312" w:eastAsia="仿宋_GB2312" w:cs="仿宋_GB2312"/>
          <w:sz w:val="32"/>
        </w:rPr>
        <w:t>　非法组织他人出卖血液的，处五年以下有期徒刑，并处罚金；以暴力、威胁方法强迫他人出卖血液的，处五年以上十年以下有期徒刑，并处罚金。</w:t>
      </w:r>
    </w:p>
    <w:p>
      <w:pPr>
        <w:spacing w:line="240" w:lineRule="auto"/>
        <w:ind w:firstLine="640"/>
        <w:jc w:val="both"/>
      </w:pPr>
      <w:r>
        <w:rPr>
          <w:rFonts w:ascii="仿宋_GB2312" w:hAnsi="仿宋_GB2312" w:eastAsia="仿宋_GB2312" w:cs="仿宋_GB2312"/>
          <w:sz w:val="32"/>
        </w:rPr>
        <w:t>有前款行为，对他人造成伤害的，依照本法第二百三十四条的规定定罪处罚。</w:t>
      </w:r>
    </w:p>
    <w:p>
      <w:pPr>
        <w:spacing w:line="240" w:lineRule="auto"/>
        <w:ind w:firstLine="640"/>
        <w:jc w:val="both"/>
      </w:pPr>
      <w:r>
        <w:rPr>
          <w:rFonts w:ascii="黑体" w:hAnsi="黑体" w:eastAsia="黑体" w:cs="黑体"/>
          <w:sz w:val="32"/>
        </w:rPr>
        <w:t>第三百三十四条</w:t>
      </w:r>
      <w:r>
        <w:rPr>
          <w:rFonts w:ascii="仿宋_GB2312" w:hAnsi="仿宋_GB2312" w:eastAsia="仿宋_GB2312" w:cs="仿宋_GB2312"/>
          <w:sz w:val="32"/>
        </w:rPr>
        <w:t>　非法采集、供应血液或者制作、供应血液制品，不符合国家规定的标准，足以危害人体健康的，处五年以下有期徒刑或者拘役，并处罚金；对人体健康造成严重危害的，处五年以上十年以下有期徒刑，并处罚金；造成特别严重后果的，处十年以上有期徒刑或者无期徒刑，并处罚金或者没收财产。</w:t>
      </w:r>
    </w:p>
    <w:p>
      <w:pPr>
        <w:spacing w:line="240" w:lineRule="auto"/>
        <w:ind w:firstLine="640"/>
        <w:jc w:val="both"/>
      </w:pPr>
      <w:r>
        <w:rPr>
          <w:rFonts w:ascii="仿宋_GB2312" w:hAnsi="仿宋_GB2312" w:eastAsia="仿宋_GB2312" w:cs="仿宋_GB2312"/>
          <w:sz w:val="32"/>
        </w:rPr>
        <w:t>经国家主管部门批准采集、供应血液或者制作、供应血液制品的部门，不依照规定进行检测或者违背其他操作规定，造成危害他人身体健康后果的，对单位判处罚金，并对其直接负责的主管人员和其他直接责任人员，处五年以下有期徒刑或者拘役。</w:t>
      </w:r>
    </w:p>
    <w:p>
      <w:pPr>
        <w:spacing w:line="240" w:lineRule="auto"/>
        <w:ind w:firstLine="640"/>
        <w:jc w:val="both"/>
      </w:pPr>
      <w:r>
        <w:rPr>
          <w:rFonts w:ascii="黑体" w:hAnsi="黑体" w:eastAsia="黑体" w:cs="黑体"/>
          <w:sz w:val="32"/>
        </w:rPr>
        <w:t>第三百三十四</w:t>
      </w:r>
      <w:r>
        <w:rPr>
          <w:rFonts w:hint="eastAsia" w:ascii="黑体" w:hAnsi="黑体" w:eastAsia="黑体" w:cs="黑体"/>
          <w:sz w:val="32"/>
          <w:lang w:eastAsia="zh-CN"/>
        </w:rPr>
        <w:t>条之一　</w:t>
      </w:r>
      <w:r>
        <w:rPr>
          <w:rFonts w:ascii="仿宋_GB2312" w:hAnsi="仿宋_GB2312" w:eastAsia="仿宋_GB2312" w:cs="仿宋_GB2312"/>
          <w:sz w:val="32"/>
        </w:rPr>
        <w:t>违反国家有关规定，非法采集我国人类遗传资源或者非法运送、邮寄、携带我国人类遗传资源材料出境，危害公众健康或者社会公共利益，情节严重的，处三年以下有期徒刑、拘役或者管制，并处或者单处罚金；情节特别严重的，处三年以上七年以下有期徒刑，并处罚金。</w:t>
      </w:r>
    </w:p>
    <w:p>
      <w:pPr>
        <w:spacing w:line="240" w:lineRule="auto"/>
        <w:ind w:firstLine="640"/>
        <w:jc w:val="both"/>
      </w:pPr>
      <w:r>
        <w:rPr>
          <w:rFonts w:ascii="黑体" w:hAnsi="黑体" w:eastAsia="黑体" w:cs="黑体"/>
          <w:sz w:val="32"/>
        </w:rPr>
        <w:t>第三百三十五条</w:t>
      </w:r>
      <w:r>
        <w:rPr>
          <w:rFonts w:ascii="仿宋_GB2312" w:hAnsi="仿宋_GB2312" w:eastAsia="仿宋_GB2312" w:cs="仿宋_GB2312"/>
          <w:sz w:val="32"/>
        </w:rPr>
        <w:t>　医务人员由于严重不负责任，造成就诊人死亡或者严重损害就诊人身体健康的，处三年以下有期徒刑或者拘役。</w:t>
      </w:r>
    </w:p>
    <w:p>
      <w:pPr>
        <w:spacing w:line="240" w:lineRule="auto"/>
        <w:ind w:firstLine="640"/>
        <w:jc w:val="both"/>
      </w:pPr>
      <w:r>
        <w:rPr>
          <w:rFonts w:ascii="黑体" w:hAnsi="黑体" w:eastAsia="黑体" w:cs="黑体"/>
          <w:sz w:val="32"/>
        </w:rPr>
        <w:t>第三百三十六条</w:t>
      </w:r>
      <w:r>
        <w:rPr>
          <w:rFonts w:ascii="仿宋_GB2312" w:hAnsi="仿宋_GB2312" w:eastAsia="仿宋_GB2312" w:cs="仿宋_GB2312"/>
          <w:sz w:val="32"/>
        </w:rPr>
        <w:t>　未取得医生执业资格的人非法行医，情节严重的，处三年以下有期徒刑、拘役或者管制，并处或者单处罚金；严重损害就诊人身体健康的，处三年以上十年以下有期徒刑，并处罚金；造成就诊人死亡的，处十年以上有期徒刑，并处罚金。</w:t>
      </w:r>
    </w:p>
    <w:p>
      <w:pPr>
        <w:spacing w:line="240" w:lineRule="auto"/>
        <w:ind w:firstLine="640"/>
        <w:jc w:val="both"/>
      </w:pPr>
      <w:r>
        <w:rPr>
          <w:rFonts w:ascii="仿宋_GB2312" w:hAnsi="仿宋_GB2312" w:eastAsia="仿宋_GB2312" w:cs="仿宋_GB2312"/>
          <w:sz w:val="32"/>
        </w:rPr>
        <w:t>未取得医生执业资格的人擅自为他人进行节育复通手术、假节育手术、终止妊娠手术或者摘取宫内节育器，情节严重的，处三年以下有期徒刑、拘役或者管制，并处或者单处罚金；严重损害就诊人身体健康的，处三年以上十年以下有期徒刑，并处罚金；造成就诊人死亡的，处十年以上有期徒刑，并处罚金。</w:t>
      </w:r>
    </w:p>
    <w:p>
      <w:pPr>
        <w:spacing w:line="240" w:lineRule="auto"/>
        <w:ind w:firstLine="640"/>
        <w:jc w:val="both"/>
      </w:pPr>
      <w:r>
        <w:rPr>
          <w:rFonts w:ascii="黑体" w:hAnsi="黑体" w:eastAsia="黑体" w:cs="黑体"/>
          <w:sz w:val="32"/>
        </w:rPr>
        <w:t>第三百三十六</w:t>
      </w:r>
      <w:r>
        <w:rPr>
          <w:rFonts w:hint="eastAsia" w:ascii="黑体" w:hAnsi="黑体" w:eastAsia="黑体" w:cs="黑体"/>
          <w:sz w:val="32"/>
          <w:lang w:eastAsia="zh-CN"/>
        </w:rPr>
        <w:t>条之一　</w:t>
      </w:r>
      <w:r>
        <w:rPr>
          <w:rFonts w:ascii="仿宋_GB2312" w:hAnsi="仿宋_GB2312" w:eastAsia="仿宋_GB2312" w:cs="仿宋_GB2312"/>
          <w:sz w:val="32"/>
        </w:rPr>
        <w:t>将基因编辑、克隆的人类胚胎植入人体或者动物体内，或者将基因编辑、克隆的动物胚胎植入人体内，情节严重的，处三年以下有期徒刑或者拘役，并处罚金；情节特别严重的，处三年以上七年以下有期徒刑，并处罚金。</w:t>
      </w:r>
    </w:p>
    <w:p>
      <w:pPr>
        <w:spacing w:line="240" w:lineRule="auto"/>
        <w:ind w:firstLine="640"/>
        <w:jc w:val="both"/>
      </w:pPr>
      <w:r>
        <w:rPr>
          <w:rFonts w:ascii="黑体" w:hAnsi="黑体" w:eastAsia="黑体" w:cs="黑体"/>
          <w:sz w:val="32"/>
        </w:rPr>
        <w:t>第三百三十七条</w:t>
      </w:r>
      <w:r>
        <w:rPr>
          <w:rFonts w:ascii="仿宋_GB2312" w:hAnsi="仿宋_GB2312" w:eastAsia="仿宋_GB2312" w:cs="仿宋_GB2312"/>
          <w:sz w:val="32"/>
        </w:rPr>
        <w:t>　违反有关动植物防疫、检疫的国家规定，引起重大动植物疫情的，或者有引起重大动植物疫情危险，情节严重的，处三年以下有期徒刑或者拘役，并处或者单处罚金。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第六节　破坏环境资源保护罪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第三百三十八条</w:t>
      </w:r>
      <w:r>
        <w:rPr>
          <w:rFonts w:ascii="仿宋_GB2312" w:hAnsi="仿宋_GB2312" w:eastAsia="仿宋_GB2312" w:cs="仿宋_GB2312"/>
          <w:sz w:val="32"/>
        </w:rPr>
        <w:t>　违反国家规定，排放、倾倒或者处置有放射性的废物、含传染病病原体的废物、有毒物质或者其他有害物质，严重污染环境的，处三年以下有期徒刑或者拘役，并处或者单处罚金；情节严重的，处三年以上七年以下有期徒刑，并处罚金；有下列情形之一的，处七年以上有期徒刑，并处罚金：</w:t>
      </w:r>
    </w:p>
    <w:p>
      <w:pPr>
        <w:spacing w:line="240" w:lineRule="auto"/>
        <w:ind w:firstLine="640"/>
        <w:jc w:val="both"/>
      </w:pPr>
      <w:r>
        <w:rPr>
          <w:rFonts w:ascii="仿宋_GB2312" w:hAnsi="仿宋_GB2312" w:eastAsia="仿宋_GB2312" w:cs="仿宋_GB2312"/>
          <w:sz w:val="32"/>
        </w:rPr>
        <w:t>（一）在饮用水水源保护区、自然保护地核心保护区等依法确定的重点保护区域排放、倾倒、处置有放射性的废物、含传染病病原体的废物、有毒物质，情节特别严重的；</w:t>
      </w:r>
    </w:p>
    <w:p>
      <w:pPr>
        <w:spacing w:line="240" w:lineRule="auto"/>
        <w:ind w:firstLine="640"/>
        <w:jc w:val="both"/>
      </w:pPr>
      <w:r>
        <w:rPr>
          <w:rFonts w:ascii="仿宋_GB2312" w:hAnsi="仿宋_GB2312" w:eastAsia="仿宋_GB2312" w:cs="仿宋_GB2312"/>
          <w:sz w:val="32"/>
        </w:rPr>
        <w:t>（二）向国家确定的重要江河、湖泊水域排放、倾倒、处置有放射性的废物、含传染病病原体的废物、有毒物质，情节特别严重的；</w:t>
      </w:r>
    </w:p>
    <w:p>
      <w:pPr>
        <w:spacing w:line="240" w:lineRule="auto"/>
        <w:ind w:firstLine="640"/>
        <w:jc w:val="both"/>
      </w:pPr>
      <w:r>
        <w:rPr>
          <w:rFonts w:ascii="仿宋_GB2312" w:hAnsi="仿宋_GB2312" w:eastAsia="仿宋_GB2312" w:cs="仿宋_GB2312"/>
          <w:sz w:val="32"/>
        </w:rPr>
        <w:t>（三）致使大量永久基本农田基本功能丧失或者遭受永久性破坏的；</w:t>
      </w:r>
    </w:p>
    <w:p>
      <w:pPr>
        <w:spacing w:line="240" w:lineRule="auto"/>
        <w:ind w:firstLine="640"/>
        <w:jc w:val="both"/>
      </w:pPr>
      <w:r>
        <w:rPr>
          <w:rFonts w:ascii="仿宋_GB2312" w:hAnsi="仿宋_GB2312" w:eastAsia="仿宋_GB2312" w:cs="仿宋_GB2312"/>
          <w:sz w:val="32"/>
        </w:rPr>
        <w:t>（四）致使多人重伤、严重疾病，或者致人严重残疾、死亡的。</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第三百三十九条</w:t>
      </w:r>
      <w:r>
        <w:rPr>
          <w:rFonts w:ascii="仿宋_GB2312" w:hAnsi="仿宋_GB2312" w:eastAsia="仿宋_GB2312" w:cs="仿宋_GB2312"/>
          <w:sz w:val="32"/>
        </w:rPr>
        <w:t>　违反国家规定，将境外的固体废物进境倾倒、堆放、处置的，处五年以下有期徒刑或者拘役，并处罚金；造成重大环境污染事故，致使公私财产遭受重大损失或者严重危害人体健康的，处五年以上十年以下有期徒刑，并处罚金；后果特别严重的，处十年以上有期徒刑，并处罚金。</w:t>
      </w:r>
    </w:p>
    <w:p>
      <w:pPr>
        <w:spacing w:line="240" w:lineRule="auto"/>
        <w:ind w:firstLine="640"/>
        <w:jc w:val="both"/>
      </w:pPr>
      <w:r>
        <w:rPr>
          <w:rFonts w:ascii="仿宋_GB2312" w:hAnsi="仿宋_GB2312" w:eastAsia="仿宋_GB2312" w:cs="仿宋_GB2312"/>
          <w:sz w:val="32"/>
        </w:rPr>
        <w:t>未经国务院有关主管部门许可，擅自进口固体废物用作原料，造成重大环境污染事故，致使公私财产遭受重大损失或者严重危害人体健康的，处五年以下有期徒刑或者拘役，并处罚金；后果特别严重的，处五年以上十年以下有期徒刑，并处罚金。</w:t>
      </w:r>
    </w:p>
    <w:p>
      <w:pPr>
        <w:spacing w:line="240" w:lineRule="auto"/>
        <w:ind w:firstLine="640"/>
        <w:jc w:val="both"/>
      </w:pPr>
      <w:r>
        <w:rPr>
          <w:rFonts w:ascii="仿宋_GB2312" w:hAnsi="仿宋_GB2312" w:eastAsia="仿宋_GB2312" w:cs="仿宋_GB2312"/>
          <w:sz w:val="32"/>
        </w:rPr>
        <w:t>以原料利用为名，进口不能用作原料的固体废物、液态废物和气态废物的，依照本法第一百五十二条第二款、第三款的规定定罪处罚。</w:t>
      </w:r>
    </w:p>
    <w:p>
      <w:pPr>
        <w:spacing w:line="240" w:lineRule="auto"/>
        <w:ind w:firstLine="640"/>
        <w:jc w:val="both"/>
      </w:pPr>
      <w:r>
        <w:rPr>
          <w:rFonts w:ascii="黑体" w:hAnsi="黑体" w:eastAsia="黑体" w:cs="黑体"/>
          <w:sz w:val="32"/>
        </w:rPr>
        <w:t>第三百四十条</w:t>
      </w:r>
      <w:r>
        <w:rPr>
          <w:rFonts w:ascii="仿宋_GB2312" w:hAnsi="仿宋_GB2312" w:eastAsia="仿宋_GB2312" w:cs="仿宋_GB2312"/>
          <w:sz w:val="32"/>
        </w:rPr>
        <w:t>　违反保护水产资源法规，在禁渔区、禁渔期或者使用禁用的工具、方法捕捞水产品，情节严重的，处三年以下有期徒刑、拘役、管制或者罚金。</w:t>
      </w:r>
    </w:p>
    <w:p>
      <w:pPr>
        <w:spacing w:line="240" w:lineRule="auto"/>
        <w:ind w:firstLine="640"/>
        <w:jc w:val="both"/>
      </w:pPr>
      <w:r>
        <w:rPr>
          <w:rFonts w:ascii="黑体" w:hAnsi="黑体" w:eastAsia="黑体" w:cs="黑体"/>
          <w:sz w:val="32"/>
        </w:rPr>
        <w:t>第三百四十一条</w:t>
      </w:r>
      <w:r>
        <w:rPr>
          <w:rFonts w:ascii="仿宋_GB2312" w:hAnsi="仿宋_GB2312" w:eastAsia="仿宋_GB2312" w:cs="仿宋_GB2312"/>
          <w:sz w:val="32"/>
        </w:rPr>
        <w:t>　非法猎捕、杀害国家重点保护的珍贵、濒危野生动物的，或者非法收购、运输、出售国家重点保护的珍贵、濒危野生动物及其制品的，处五年以下有期徒刑或者拘役，并处罚金；情节严重的，处五年以上十年以下有期徒刑，并处罚金；情节特别严重的，处十年以上有期徒刑，并处罚金或者没收财产。</w:t>
      </w:r>
    </w:p>
    <w:p>
      <w:pPr>
        <w:spacing w:line="240" w:lineRule="auto"/>
        <w:ind w:firstLine="640"/>
        <w:jc w:val="both"/>
      </w:pPr>
      <w:r>
        <w:rPr>
          <w:rFonts w:ascii="仿宋_GB2312" w:hAnsi="仿宋_GB2312" w:eastAsia="仿宋_GB2312" w:cs="仿宋_GB2312"/>
          <w:sz w:val="32"/>
        </w:rPr>
        <w:t>违反狩猎法规，在禁猎区、禁猎期或者使用禁用的工具、方法进行狩猎，破坏野生动物资源，情节严重的，处三年以下有期徒刑、拘役、管制或者罚金。</w:t>
      </w:r>
    </w:p>
    <w:p>
      <w:pPr>
        <w:spacing w:line="240" w:lineRule="auto"/>
        <w:ind w:firstLine="640"/>
        <w:jc w:val="both"/>
      </w:pPr>
      <w:r>
        <w:rPr>
          <w:rFonts w:ascii="仿宋_GB2312" w:hAnsi="仿宋_GB2312" w:eastAsia="仿宋_GB2312" w:cs="仿宋_GB2312"/>
          <w:sz w:val="32"/>
        </w:rPr>
        <w:t>违反野生动物保护管理法规，以食用为目的非法猎捕、收购、运输、出售第一款规定以外的在野外环境自然生长繁殖的陆生野生动物，情节严重的，依照前款的规定处罚。</w:t>
      </w:r>
    </w:p>
    <w:p>
      <w:pPr>
        <w:spacing w:line="240" w:lineRule="auto"/>
        <w:ind w:firstLine="640"/>
        <w:jc w:val="both"/>
      </w:pPr>
      <w:r>
        <w:rPr>
          <w:rFonts w:ascii="黑体" w:hAnsi="黑体" w:eastAsia="黑体" w:cs="黑体"/>
          <w:sz w:val="32"/>
        </w:rPr>
        <w:t>第三百四十二条</w:t>
      </w:r>
      <w:r>
        <w:rPr>
          <w:rFonts w:ascii="仿宋_GB2312" w:hAnsi="仿宋_GB2312" w:eastAsia="仿宋_GB2312" w:cs="仿宋_GB2312"/>
          <w:sz w:val="32"/>
        </w:rPr>
        <w:t>　违反土地管理法规，非法占用耕地、林地等农用地，改变被占用土地用途，数量较大，造成耕地、林地等农用地大量毁坏的，处五年以下有期徒刑或者拘役，并处或者单处罚金。</w:t>
      </w:r>
    </w:p>
    <w:p>
      <w:pPr>
        <w:spacing w:line="240" w:lineRule="auto"/>
        <w:ind w:firstLine="640"/>
        <w:jc w:val="both"/>
      </w:pPr>
      <w:r>
        <w:rPr>
          <w:rFonts w:ascii="黑体" w:hAnsi="黑体" w:eastAsia="黑体" w:cs="黑体"/>
          <w:sz w:val="32"/>
        </w:rPr>
        <w:t>第三百四十二</w:t>
      </w:r>
      <w:r>
        <w:rPr>
          <w:rFonts w:hint="eastAsia" w:ascii="黑体" w:hAnsi="黑体" w:eastAsia="黑体" w:cs="黑体"/>
          <w:sz w:val="32"/>
          <w:lang w:eastAsia="zh-CN"/>
        </w:rPr>
        <w:t>条之一　</w:t>
      </w:r>
      <w:r>
        <w:rPr>
          <w:rFonts w:ascii="仿宋_GB2312" w:hAnsi="仿宋_GB2312" w:eastAsia="仿宋_GB2312" w:cs="仿宋_GB2312"/>
          <w:sz w:val="32"/>
        </w:rPr>
        <w:t>违反自然保护地管理法规，在国家公园、国家级自然保护区进行开垦、开发活动或者修建建筑物，造成严重后果或者有其他恶劣情节的，处五年以下有期徒刑或者拘役，并处或者单处罚金。</w:t>
      </w:r>
    </w:p>
    <w:p>
      <w:pPr>
        <w:spacing w:line="240" w:lineRule="auto"/>
        <w:ind w:firstLine="640"/>
        <w:jc w:val="both"/>
      </w:pPr>
      <w:r>
        <w:rPr>
          <w:rFonts w:ascii="仿宋_GB2312" w:hAnsi="仿宋_GB2312" w:eastAsia="仿宋_GB2312" w:cs="仿宋_GB2312"/>
          <w:sz w:val="32"/>
        </w:rPr>
        <w:t>有前款行为，同时构成其他犯罪的，依照处罚较重的规定定罪处罚。</w:t>
      </w:r>
    </w:p>
    <w:p>
      <w:pPr>
        <w:spacing w:line="240" w:lineRule="auto"/>
        <w:ind w:firstLine="640"/>
        <w:jc w:val="both"/>
      </w:pPr>
      <w:r>
        <w:rPr>
          <w:rFonts w:ascii="黑体" w:hAnsi="黑体" w:eastAsia="黑体" w:cs="黑体"/>
          <w:sz w:val="32"/>
        </w:rPr>
        <w:t>第三百四十三条</w:t>
      </w:r>
      <w:r>
        <w:rPr>
          <w:rFonts w:ascii="仿宋_GB2312" w:hAnsi="仿宋_GB2312" w:eastAsia="仿宋_GB2312" w:cs="仿宋_GB2312"/>
          <w:sz w:val="32"/>
        </w:rPr>
        <w:t>　违反矿产资源法的规定，未取得采矿许可证擅自采矿，擅自进入国家规划矿区、对国民经济具有重要价值的矿区和他人矿区范围采矿，或者擅自开采国家规定实行保护性开采的特定矿种，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违反矿产资源法的规定，采取破坏性的开采方法开采矿产资源，造成矿产资源严重破坏的，处五年以下有期徒刑或者拘役，并处罚金。</w:t>
      </w:r>
    </w:p>
    <w:p>
      <w:pPr>
        <w:spacing w:line="240" w:lineRule="auto"/>
        <w:ind w:firstLine="640"/>
        <w:jc w:val="both"/>
      </w:pPr>
      <w:r>
        <w:rPr>
          <w:rFonts w:ascii="黑体" w:hAnsi="黑体" w:eastAsia="黑体" w:cs="黑体"/>
          <w:sz w:val="32"/>
        </w:rPr>
        <w:t>第三百四十四条</w:t>
      </w:r>
      <w:r>
        <w:rPr>
          <w:rFonts w:ascii="仿宋_GB2312" w:hAnsi="仿宋_GB2312" w:eastAsia="仿宋_GB2312" w:cs="仿宋_GB2312"/>
          <w:sz w:val="32"/>
        </w:rPr>
        <w:t>　违反国家规定，非法采伐、毁坏珍贵树木或者国家重点保护的其他植物的，或者非法收购、运输、加工、出售珍贵树木或者国家重点保护的其他植物及其制品的，处三年以下有期徒刑、拘役或者管制，并处罚金；情节严重的，处三年以上七年以下有期徒刑，并处罚金。</w:t>
      </w:r>
    </w:p>
    <w:p>
      <w:pPr>
        <w:spacing w:line="240" w:lineRule="auto"/>
        <w:ind w:firstLine="640"/>
        <w:jc w:val="both"/>
      </w:pPr>
      <w:r>
        <w:rPr>
          <w:rFonts w:ascii="黑体" w:hAnsi="黑体" w:eastAsia="黑体" w:cs="黑体"/>
          <w:sz w:val="32"/>
        </w:rPr>
        <w:t>第三百四十四</w:t>
      </w:r>
      <w:r>
        <w:rPr>
          <w:rFonts w:hint="eastAsia" w:ascii="黑体" w:hAnsi="黑体" w:eastAsia="黑体" w:cs="黑体"/>
          <w:sz w:val="32"/>
          <w:lang w:eastAsia="zh-CN"/>
        </w:rPr>
        <w:t>条之一　</w:t>
      </w:r>
      <w:r>
        <w:rPr>
          <w:rFonts w:ascii="仿宋_GB2312" w:hAnsi="仿宋_GB2312" w:eastAsia="仿宋_GB2312" w:cs="仿宋_GB2312"/>
          <w:sz w:val="32"/>
        </w:rPr>
        <w:t>违反国家规定，非法引进、释放或者丢弃外来入侵物种，情节严重的，处三年以下有期徒刑或者拘役，并处或者单处罚金。</w:t>
      </w:r>
    </w:p>
    <w:p>
      <w:pPr>
        <w:spacing w:line="240" w:lineRule="auto"/>
        <w:ind w:firstLine="640"/>
        <w:jc w:val="both"/>
      </w:pPr>
      <w:r>
        <w:rPr>
          <w:rFonts w:ascii="黑体" w:hAnsi="黑体" w:eastAsia="黑体" w:cs="黑体"/>
          <w:sz w:val="32"/>
        </w:rPr>
        <w:t>第三百四十五条</w:t>
      </w:r>
      <w:r>
        <w:rPr>
          <w:rFonts w:ascii="仿宋_GB2312" w:hAnsi="仿宋_GB2312" w:eastAsia="仿宋_GB2312" w:cs="仿宋_GB2312"/>
          <w:sz w:val="32"/>
        </w:rPr>
        <w:t>　盗伐森林或者其他林木，数量较大的，处三年以下有期徒刑、拘役或者管制，并处或者单处罚金；数量巨大的，处三年以上七年以下有期徒刑，并处罚金；数量特别巨大的，处七年以上有期徒刑，并处罚金。</w:t>
      </w:r>
    </w:p>
    <w:p>
      <w:pPr>
        <w:spacing w:line="240" w:lineRule="auto"/>
        <w:ind w:firstLine="640"/>
        <w:jc w:val="both"/>
      </w:pPr>
      <w:r>
        <w:rPr>
          <w:rFonts w:ascii="仿宋_GB2312" w:hAnsi="仿宋_GB2312" w:eastAsia="仿宋_GB2312" w:cs="仿宋_GB2312"/>
          <w:sz w:val="32"/>
        </w:rPr>
        <w:t>违反森林法的规定，滥伐森林或者其他林木，数量较大的，处三年以下有期徒刑、拘役或者管制，并处或者单处罚金；数量巨大的，处三年以上七年以下有期徒刑，并处罚金。</w:t>
      </w:r>
    </w:p>
    <w:p>
      <w:pPr>
        <w:spacing w:line="240" w:lineRule="auto"/>
        <w:ind w:firstLine="640"/>
        <w:jc w:val="both"/>
      </w:pPr>
      <w:r>
        <w:rPr>
          <w:rFonts w:ascii="仿宋_GB2312" w:hAnsi="仿宋_GB2312" w:eastAsia="仿宋_GB2312" w:cs="仿宋_GB2312"/>
          <w:sz w:val="32"/>
        </w:rPr>
        <w:t>非法收购、运输明知是盗伐、滥伐的林木，情节严重的，处三年以下有期徒刑、拘役或者管制，并处或者单处罚金；情节特别严重的，处三年以上七年以下有期徒刑，并处罚金。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盗伐、滥伐国家级自然保护区内的森林或者其他林木的，从重处罚。</w:t>
      </w:r>
    </w:p>
    <w:p>
      <w:pPr>
        <w:spacing w:line="240" w:lineRule="auto"/>
        <w:ind w:firstLine="640"/>
        <w:jc w:val="both"/>
      </w:pPr>
      <w:r>
        <w:rPr>
          <w:rFonts w:ascii="黑体" w:hAnsi="黑体" w:eastAsia="黑体" w:cs="黑体"/>
          <w:sz w:val="32"/>
        </w:rPr>
        <w:t>第三百四十六条</w:t>
      </w:r>
      <w:r>
        <w:rPr>
          <w:rFonts w:ascii="仿宋_GB2312" w:hAnsi="仿宋_GB2312" w:eastAsia="仿宋_GB2312" w:cs="仿宋_GB2312"/>
          <w:sz w:val="32"/>
        </w:rPr>
        <w:t>　单位犯本节第三百三十八条至第三百四十五条规定之罪的，对单位判处罚金，并对其直接负责的主管人员和其他直接责任人员，依照本节各该条的规定处罚。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第七节　走私、贩卖、运输、制造毒品罪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第三百四十七条</w:t>
      </w:r>
      <w:r>
        <w:rPr>
          <w:rFonts w:ascii="仿宋_GB2312" w:hAnsi="仿宋_GB2312" w:eastAsia="仿宋_GB2312" w:cs="仿宋_GB2312"/>
          <w:sz w:val="32"/>
        </w:rPr>
        <w:t>　走私、贩卖、运输、制造毒品，无论数量多少，都应当追究刑事责任，予以刑事处罚。</w:t>
      </w:r>
    </w:p>
    <w:p>
      <w:pPr>
        <w:spacing w:line="240" w:lineRule="auto"/>
        <w:ind w:firstLine="640"/>
        <w:jc w:val="both"/>
      </w:pPr>
      <w:r>
        <w:rPr>
          <w:rFonts w:ascii="仿宋_GB2312" w:hAnsi="仿宋_GB2312" w:eastAsia="仿宋_GB2312" w:cs="仿宋_GB2312"/>
          <w:sz w:val="32"/>
        </w:rPr>
        <w:t>走私、贩卖、运输、制造毒品，有下列情形之一的，处十五年有期徒刑、无期徒刑或者死刑，并处没收财产：</w:t>
      </w:r>
    </w:p>
    <w:p>
      <w:pPr>
        <w:spacing w:line="240" w:lineRule="auto"/>
        <w:ind w:firstLine="640"/>
        <w:jc w:val="both"/>
      </w:pPr>
      <w:r>
        <w:rPr>
          <w:rFonts w:ascii="仿宋_GB2312" w:hAnsi="仿宋_GB2312" w:eastAsia="仿宋_GB2312" w:cs="仿宋_GB2312"/>
          <w:sz w:val="32"/>
        </w:rPr>
        <w:t>（一）走私、贩卖、运输、制造鸦片一千克以上、海洛因或者甲基苯丙胺五十克以上或者其他毒品数量大的；</w:t>
      </w:r>
    </w:p>
    <w:p>
      <w:pPr>
        <w:spacing w:line="240" w:lineRule="auto"/>
        <w:ind w:firstLine="640"/>
        <w:jc w:val="both"/>
      </w:pPr>
      <w:r>
        <w:rPr>
          <w:rFonts w:ascii="仿宋_GB2312" w:hAnsi="仿宋_GB2312" w:eastAsia="仿宋_GB2312" w:cs="仿宋_GB2312"/>
          <w:sz w:val="32"/>
        </w:rPr>
        <w:t>（二）走私、贩卖、运输、制造毒品集团的首要分子；</w:t>
      </w:r>
    </w:p>
    <w:p>
      <w:pPr>
        <w:spacing w:line="240" w:lineRule="auto"/>
        <w:ind w:firstLine="640"/>
        <w:jc w:val="both"/>
      </w:pPr>
      <w:r>
        <w:rPr>
          <w:rFonts w:ascii="仿宋_GB2312" w:hAnsi="仿宋_GB2312" w:eastAsia="仿宋_GB2312" w:cs="仿宋_GB2312"/>
          <w:sz w:val="32"/>
        </w:rPr>
        <w:t>（三）武装掩护走私、贩卖、运输、制造毒品的；</w:t>
      </w:r>
    </w:p>
    <w:p>
      <w:pPr>
        <w:spacing w:line="240" w:lineRule="auto"/>
        <w:ind w:firstLine="640"/>
        <w:jc w:val="both"/>
      </w:pPr>
      <w:r>
        <w:rPr>
          <w:rFonts w:ascii="仿宋_GB2312" w:hAnsi="仿宋_GB2312" w:eastAsia="仿宋_GB2312" w:cs="仿宋_GB2312"/>
          <w:sz w:val="32"/>
        </w:rPr>
        <w:t>（四）以暴力抗拒检查、拘留、逮捕，情节严重的；</w:t>
      </w:r>
    </w:p>
    <w:p>
      <w:pPr>
        <w:spacing w:line="240" w:lineRule="auto"/>
        <w:ind w:firstLine="640"/>
        <w:jc w:val="both"/>
      </w:pPr>
      <w:r>
        <w:rPr>
          <w:rFonts w:ascii="仿宋_GB2312" w:hAnsi="仿宋_GB2312" w:eastAsia="仿宋_GB2312" w:cs="仿宋_GB2312"/>
          <w:sz w:val="32"/>
        </w:rPr>
        <w:t>（五）参与有组织的国际贩毒活动的。</w:t>
      </w:r>
    </w:p>
    <w:p>
      <w:pPr>
        <w:spacing w:line="240" w:lineRule="auto"/>
        <w:ind w:firstLine="640"/>
        <w:jc w:val="both"/>
      </w:pPr>
      <w:r>
        <w:rPr>
          <w:rFonts w:ascii="仿宋_GB2312" w:hAnsi="仿宋_GB2312" w:eastAsia="仿宋_GB2312" w:cs="仿宋_GB2312"/>
          <w:sz w:val="32"/>
        </w:rPr>
        <w:t>走私、贩卖、运输、制造鸦片二百克以上不满一千克、海洛因或者甲基苯丙胺十克以上不满五十克或者其他毒品数量较大的，处七年以上有期徒刑，并处罚金。</w:t>
      </w:r>
    </w:p>
    <w:p>
      <w:pPr>
        <w:spacing w:line="240" w:lineRule="auto"/>
        <w:ind w:firstLine="640"/>
        <w:jc w:val="both"/>
      </w:pPr>
      <w:r>
        <w:rPr>
          <w:rFonts w:ascii="仿宋_GB2312" w:hAnsi="仿宋_GB2312" w:eastAsia="仿宋_GB2312" w:cs="仿宋_GB2312"/>
          <w:sz w:val="32"/>
        </w:rPr>
        <w:t>走私、贩卖、运输、制造鸦片不满二百克、海洛因或者甲基苯丙胺不满十克或者其他少量毒品的，处三年以下有期徒刑、拘役或者管制，并处罚金；情节严重的，处三年以上七年以下有期徒刑，并处罚金。</w:t>
      </w:r>
    </w:p>
    <w:p>
      <w:pPr>
        <w:spacing w:line="240" w:lineRule="auto"/>
        <w:ind w:firstLine="640"/>
        <w:jc w:val="both"/>
      </w:pPr>
      <w:r>
        <w:rPr>
          <w:rFonts w:ascii="仿宋_GB2312" w:hAnsi="仿宋_GB2312" w:eastAsia="仿宋_GB2312" w:cs="仿宋_GB2312"/>
          <w:sz w:val="32"/>
        </w:rPr>
        <w:t>单位犯第二款、第三款、第四款罪的，对单位判处罚金，并对其直接负责的主管人员和其他直接责任人员，依照各该款的规定处罚。</w:t>
      </w:r>
    </w:p>
    <w:p>
      <w:pPr>
        <w:spacing w:line="240" w:lineRule="auto"/>
        <w:ind w:firstLine="640"/>
        <w:jc w:val="both"/>
      </w:pPr>
      <w:r>
        <w:rPr>
          <w:rFonts w:ascii="仿宋_GB2312" w:hAnsi="仿宋_GB2312" w:eastAsia="仿宋_GB2312" w:cs="仿宋_GB2312"/>
          <w:sz w:val="32"/>
        </w:rPr>
        <w:t>利用、教唆未成年人走私、贩卖、运输、制造毒品，或者向未成年人出售毒品的，从重处罚。</w:t>
      </w:r>
    </w:p>
    <w:p>
      <w:pPr>
        <w:spacing w:line="240" w:lineRule="auto"/>
        <w:ind w:firstLine="640"/>
        <w:jc w:val="both"/>
      </w:pPr>
      <w:r>
        <w:rPr>
          <w:rFonts w:ascii="仿宋_GB2312" w:hAnsi="仿宋_GB2312" w:eastAsia="仿宋_GB2312" w:cs="仿宋_GB2312"/>
          <w:sz w:val="32"/>
        </w:rPr>
        <w:t>对多次走私、贩卖、运输、制造毒品，未经处理的，毒品数量累计计算。</w:t>
      </w:r>
    </w:p>
    <w:p>
      <w:pPr>
        <w:spacing w:line="240" w:lineRule="auto"/>
        <w:ind w:firstLine="640"/>
        <w:jc w:val="both"/>
      </w:pPr>
      <w:r>
        <w:rPr>
          <w:rFonts w:ascii="黑体" w:hAnsi="黑体" w:eastAsia="黑体" w:cs="黑体"/>
          <w:sz w:val="32"/>
        </w:rPr>
        <w:t>第三百四十八条</w:t>
      </w:r>
      <w:r>
        <w:rPr>
          <w:rFonts w:ascii="仿宋_GB2312" w:hAnsi="仿宋_GB2312" w:eastAsia="仿宋_GB2312" w:cs="仿宋_GB2312"/>
          <w:sz w:val="32"/>
        </w:rPr>
        <w:t>　非法持有鸦片一千克以上、海洛因或者甲基苯丙胺五十克以上或者其他毒品数量大的，处七年以上有期徒刑或者无期徒刑，并处罚金；非法持有鸦片二百克以上不满一千克、海洛因或者甲基苯丙胺十克以上不满五十克或者其他毒品数量较大的，处三年以下有期徒刑、拘役或者管制，并处罚金；情节严重的，处三年以上七年以下有期徒刑，并处罚金。</w:t>
      </w:r>
    </w:p>
    <w:p>
      <w:pPr>
        <w:spacing w:line="240" w:lineRule="auto"/>
        <w:ind w:firstLine="640"/>
        <w:jc w:val="both"/>
      </w:pPr>
      <w:r>
        <w:rPr>
          <w:rFonts w:ascii="黑体" w:hAnsi="黑体" w:eastAsia="黑体" w:cs="黑体"/>
          <w:sz w:val="32"/>
        </w:rPr>
        <w:t>第三百四十九条</w:t>
      </w:r>
      <w:r>
        <w:rPr>
          <w:rFonts w:ascii="仿宋_GB2312" w:hAnsi="仿宋_GB2312" w:eastAsia="仿宋_GB2312" w:cs="仿宋_GB2312"/>
          <w:sz w:val="32"/>
        </w:rPr>
        <w:t>　包庇走私、贩卖、运输、制造毒品的犯罪分子的，为犯罪分子窝藏、转移、隐瞒毒品或者犯罪所得的财物的，处三年以下有期徒刑、拘役或者管制；情节严重的，处三年以上十年以下有期徒刑。</w:t>
      </w:r>
    </w:p>
    <w:p>
      <w:pPr>
        <w:spacing w:line="240" w:lineRule="auto"/>
        <w:ind w:firstLine="640"/>
        <w:jc w:val="both"/>
      </w:pPr>
      <w:r>
        <w:rPr>
          <w:rFonts w:ascii="仿宋_GB2312" w:hAnsi="仿宋_GB2312" w:eastAsia="仿宋_GB2312" w:cs="仿宋_GB2312"/>
          <w:sz w:val="32"/>
        </w:rPr>
        <w:t>缉毒人员或者其他国家机关工作人员掩护、包庇走私、贩卖、运输、制造毒品的犯罪分子的，依照前款的规定从重处罚。</w:t>
      </w:r>
    </w:p>
    <w:p>
      <w:pPr>
        <w:spacing w:line="240" w:lineRule="auto"/>
        <w:ind w:firstLine="640"/>
        <w:jc w:val="both"/>
      </w:pPr>
      <w:r>
        <w:rPr>
          <w:rFonts w:ascii="仿宋_GB2312" w:hAnsi="仿宋_GB2312" w:eastAsia="仿宋_GB2312" w:cs="仿宋_GB2312"/>
          <w:sz w:val="32"/>
        </w:rPr>
        <w:t>犯前两款罪，事先通谋的，以走私、贩卖、运输、制造毒品罪的共犯论处。</w:t>
      </w:r>
    </w:p>
    <w:p>
      <w:pPr>
        <w:spacing w:line="240" w:lineRule="auto"/>
        <w:ind w:firstLine="640"/>
        <w:jc w:val="both"/>
      </w:pPr>
      <w:r>
        <w:rPr>
          <w:rFonts w:ascii="黑体" w:hAnsi="黑体" w:eastAsia="黑体" w:cs="黑体"/>
          <w:sz w:val="32"/>
        </w:rPr>
        <w:t>第三百五十条</w:t>
      </w:r>
      <w:r>
        <w:rPr>
          <w:rFonts w:ascii="仿宋_GB2312" w:hAnsi="仿宋_GB2312" w:eastAsia="仿宋_GB2312" w:cs="仿宋_GB2312"/>
          <w:sz w:val="32"/>
        </w:rPr>
        <w:t>　违反国家规定，非法生产、买卖、运输醋酸酐、乙醚、三氯甲烷或者其他用于制造毒品的原料、配剂，或者携带上述物品进出境，情节较重的，处三年以下有期徒刑、拘役或者管制，并处罚金；情节严重的，处三年以上七年以下有期徒刑，并处罚金；情节特别严重的，处七年以上有期徒刑，并处罚金或者没收财产。</w:t>
      </w:r>
    </w:p>
    <w:p>
      <w:pPr>
        <w:spacing w:line="240" w:lineRule="auto"/>
        <w:ind w:firstLine="640"/>
        <w:jc w:val="both"/>
      </w:pPr>
      <w:r>
        <w:rPr>
          <w:rFonts w:ascii="仿宋_GB2312" w:hAnsi="仿宋_GB2312" w:eastAsia="仿宋_GB2312" w:cs="仿宋_GB2312"/>
          <w:sz w:val="32"/>
        </w:rPr>
        <w:t>明知他人制造毒品而为其生产、买卖、运输前款规定的物品的，以制造毒品罪的共犯论处。</w:t>
      </w:r>
    </w:p>
    <w:p>
      <w:pPr>
        <w:spacing w:line="240" w:lineRule="auto"/>
        <w:ind w:firstLine="640"/>
        <w:jc w:val="both"/>
      </w:pPr>
      <w:r>
        <w:rPr>
          <w:rFonts w:ascii="仿宋_GB2312" w:hAnsi="仿宋_GB2312" w:eastAsia="仿宋_GB2312" w:cs="仿宋_GB2312"/>
          <w:sz w:val="32"/>
        </w:rPr>
        <w:t>单位犯前两款罪的，对单位判处罚金，并对其直接负责的主管人员和其他直接责任人员，依照前两款的规定处罚。</w:t>
      </w:r>
    </w:p>
    <w:p>
      <w:pPr>
        <w:spacing w:line="240" w:lineRule="auto"/>
        <w:ind w:firstLine="640"/>
        <w:jc w:val="both"/>
      </w:pPr>
      <w:r>
        <w:rPr>
          <w:rFonts w:ascii="黑体" w:hAnsi="黑体" w:eastAsia="黑体" w:cs="黑体"/>
          <w:sz w:val="32"/>
        </w:rPr>
        <w:t>第三百五十一条</w:t>
      </w:r>
      <w:r>
        <w:rPr>
          <w:rFonts w:ascii="仿宋_GB2312" w:hAnsi="仿宋_GB2312" w:eastAsia="仿宋_GB2312" w:cs="仿宋_GB2312"/>
          <w:sz w:val="32"/>
        </w:rPr>
        <w:t>　非法种植罂粟、大麻等毒品原植物的，一律强制铲除。有下列情形之一的，处五年以下有期徒刑、拘役或者管制，并处罚金：</w:t>
      </w:r>
    </w:p>
    <w:p>
      <w:pPr>
        <w:spacing w:line="240" w:lineRule="auto"/>
        <w:ind w:firstLine="640"/>
        <w:jc w:val="both"/>
      </w:pPr>
      <w:r>
        <w:rPr>
          <w:rFonts w:ascii="仿宋_GB2312" w:hAnsi="仿宋_GB2312" w:eastAsia="仿宋_GB2312" w:cs="仿宋_GB2312"/>
          <w:sz w:val="32"/>
        </w:rPr>
        <w:t>（一）种植罂粟五百株以上不满三千株或者其他毒品原植物数量较大的；</w:t>
      </w:r>
    </w:p>
    <w:p>
      <w:pPr>
        <w:spacing w:line="240" w:lineRule="auto"/>
        <w:ind w:firstLine="640"/>
        <w:jc w:val="both"/>
      </w:pPr>
      <w:r>
        <w:rPr>
          <w:rFonts w:ascii="仿宋_GB2312" w:hAnsi="仿宋_GB2312" w:eastAsia="仿宋_GB2312" w:cs="仿宋_GB2312"/>
          <w:sz w:val="32"/>
        </w:rPr>
        <w:t>（二）经公安机关处理后又种植的；</w:t>
      </w:r>
    </w:p>
    <w:p>
      <w:pPr>
        <w:spacing w:line="240" w:lineRule="auto"/>
        <w:ind w:firstLine="640"/>
        <w:jc w:val="both"/>
      </w:pPr>
      <w:r>
        <w:rPr>
          <w:rFonts w:ascii="仿宋_GB2312" w:hAnsi="仿宋_GB2312" w:eastAsia="仿宋_GB2312" w:cs="仿宋_GB2312"/>
          <w:sz w:val="32"/>
        </w:rPr>
        <w:t>（三）抗拒铲除的。</w:t>
      </w:r>
    </w:p>
    <w:p>
      <w:pPr>
        <w:spacing w:line="240" w:lineRule="auto"/>
        <w:ind w:firstLine="640"/>
        <w:jc w:val="both"/>
      </w:pPr>
      <w:r>
        <w:rPr>
          <w:rFonts w:ascii="仿宋_GB2312" w:hAnsi="仿宋_GB2312" w:eastAsia="仿宋_GB2312" w:cs="仿宋_GB2312"/>
          <w:sz w:val="32"/>
        </w:rPr>
        <w:t>非法种植罂粟三千株以上或者其他毒品原植物数量大的，处五年以上有期徒刑，并处罚金或者没收财产。</w:t>
      </w:r>
    </w:p>
    <w:p>
      <w:pPr>
        <w:spacing w:line="240" w:lineRule="auto"/>
        <w:ind w:firstLine="640"/>
        <w:jc w:val="both"/>
      </w:pPr>
      <w:r>
        <w:rPr>
          <w:rFonts w:ascii="仿宋_GB2312" w:hAnsi="仿宋_GB2312" w:eastAsia="仿宋_GB2312" w:cs="仿宋_GB2312"/>
          <w:sz w:val="32"/>
        </w:rPr>
        <w:t>非法种植罂粟或者其他毒品原植物，在收获前自动铲除的，可以免除处罚。</w:t>
      </w:r>
    </w:p>
    <w:p>
      <w:pPr>
        <w:spacing w:line="240" w:lineRule="auto"/>
        <w:ind w:firstLine="640"/>
        <w:jc w:val="both"/>
      </w:pPr>
      <w:r>
        <w:rPr>
          <w:rFonts w:ascii="黑体" w:hAnsi="黑体" w:eastAsia="黑体" w:cs="黑体"/>
          <w:sz w:val="32"/>
        </w:rPr>
        <w:t>第三百五十二条</w:t>
      </w:r>
      <w:r>
        <w:rPr>
          <w:rFonts w:ascii="仿宋_GB2312" w:hAnsi="仿宋_GB2312" w:eastAsia="仿宋_GB2312" w:cs="仿宋_GB2312"/>
          <w:sz w:val="32"/>
        </w:rPr>
        <w:t>　非法买卖、运输、携带、持有未经灭活的罂粟等毒品原植物种子或者幼苗，数量较大的，处三年以下有期徒刑、拘役或者管制，并处或者单处罚金。</w:t>
      </w:r>
    </w:p>
    <w:p>
      <w:pPr>
        <w:spacing w:line="240" w:lineRule="auto"/>
        <w:ind w:firstLine="640"/>
        <w:jc w:val="both"/>
      </w:pPr>
      <w:r>
        <w:rPr>
          <w:rFonts w:ascii="黑体" w:hAnsi="黑体" w:eastAsia="黑体" w:cs="黑体"/>
          <w:sz w:val="32"/>
        </w:rPr>
        <w:t>第三百五十三条</w:t>
      </w:r>
      <w:r>
        <w:rPr>
          <w:rFonts w:ascii="仿宋_GB2312" w:hAnsi="仿宋_GB2312" w:eastAsia="仿宋_GB2312" w:cs="仿宋_GB2312"/>
          <w:sz w:val="32"/>
        </w:rPr>
        <w:t>　引诱、教唆、欺骗他人吸食、注射毒品的，处三年以下有期徒刑、拘役或者管制，并处罚金；情节严重的，处三年以上七年以下有期徒刑，并处罚金。</w:t>
      </w:r>
    </w:p>
    <w:p>
      <w:pPr>
        <w:spacing w:line="240" w:lineRule="auto"/>
        <w:ind w:firstLine="640"/>
        <w:jc w:val="both"/>
      </w:pPr>
      <w:r>
        <w:rPr>
          <w:rFonts w:ascii="仿宋_GB2312" w:hAnsi="仿宋_GB2312" w:eastAsia="仿宋_GB2312" w:cs="仿宋_GB2312"/>
          <w:sz w:val="32"/>
        </w:rPr>
        <w:t>强迫他人吸食、注射毒品的，处三年以上十年以下有期徒刑，并处罚金。</w:t>
      </w:r>
    </w:p>
    <w:p>
      <w:pPr>
        <w:spacing w:line="240" w:lineRule="auto"/>
        <w:ind w:firstLine="640"/>
        <w:jc w:val="both"/>
      </w:pPr>
      <w:r>
        <w:rPr>
          <w:rFonts w:ascii="仿宋_GB2312" w:hAnsi="仿宋_GB2312" w:eastAsia="仿宋_GB2312" w:cs="仿宋_GB2312"/>
          <w:sz w:val="32"/>
        </w:rPr>
        <w:t>引诱、教唆、欺骗或者强迫未成年人吸食、注射毒品的，从重处罚。</w:t>
      </w:r>
    </w:p>
    <w:p>
      <w:pPr>
        <w:spacing w:line="240" w:lineRule="auto"/>
        <w:ind w:firstLine="640"/>
        <w:jc w:val="both"/>
      </w:pPr>
      <w:r>
        <w:rPr>
          <w:rFonts w:ascii="黑体" w:hAnsi="黑体" w:eastAsia="黑体" w:cs="黑体"/>
          <w:sz w:val="32"/>
        </w:rPr>
        <w:t>第三百五十四条</w:t>
      </w:r>
      <w:r>
        <w:rPr>
          <w:rFonts w:ascii="仿宋_GB2312" w:hAnsi="仿宋_GB2312" w:eastAsia="仿宋_GB2312" w:cs="仿宋_GB2312"/>
          <w:sz w:val="32"/>
        </w:rPr>
        <w:t>　容留他人吸食、注射毒品的，处三年以下有期徒刑、拘役或者管制，并处罚金。</w:t>
      </w:r>
    </w:p>
    <w:p>
      <w:pPr>
        <w:spacing w:line="240" w:lineRule="auto"/>
        <w:ind w:firstLine="640"/>
        <w:jc w:val="both"/>
      </w:pPr>
      <w:r>
        <w:rPr>
          <w:rFonts w:ascii="黑体" w:hAnsi="黑体" w:eastAsia="黑体" w:cs="黑体"/>
          <w:sz w:val="32"/>
        </w:rPr>
        <w:t>第三百五十五条</w:t>
      </w:r>
      <w:r>
        <w:rPr>
          <w:rFonts w:ascii="仿宋_GB2312" w:hAnsi="仿宋_GB2312" w:eastAsia="仿宋_GB2312" w:cs="仿宋_GB2312"/>
          <w:sz w:val="32"/>
        </w:rPr>
        <w:t>　依法从事生产、运输、管理、使用国家管制的麻醉药品、精神药品的人员，违反国家规定，向吸食、注射毒品的人提供国家规定管制的能够使人形成瘾癖的麻醉药品、精神药品的，处三年以下有期徒刑或者拘役，并处罚金；情节严重的，处三年以上七年以下有期徒刑，并处罚金。向走私、贩卖毒品的犯罪分子或者以牟利为目的，向吸食、注射毒品的人提供国家规定管制的能够使人形成瘾癖的麻醉药品、精神药品的，依照本法第三百四十七条的规定定罪处罚。</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第三百五十五</w:t>
      </w:r>
      <w:r>
        <w:rPr>
          <w:rFonts w:hint="eastAsia" w:ascii="黑体" w:hAnsi="黑体" w:eastAsia="黑体" w:cs="黑体"/>
          <w:sz w:val="32"/>
          <w:lang w:eastAsia="zh-CN"/>
        </w:rPr>
        <w:t>条之一　</w:t>
      </w:r>
      <w:r>
        <w:rPr>
          <w:rFonts w:ascii="仿宋_GB2312" w:hAnsi="仿宋_GB2312" w:eastAsia="仿宋_GB2312" w:cs="仿宋_GB2312"/>
          <w:sz w:val="32"/>
        </w:rPr>
        <w:t>引诱、教唆、欺骗运动员使用兴奋剂参加国内、国际重大体育竞赛，或者明知运动员参加上述竞赛而向其提供兴奋剂，情节严重的，处三年以下有期徒刑或者拘役，并处罚金。</w:t>
      </w:r>
    </w:p>
    <w:p>
      <w:pPr>
        <w:spacing w:line="240" w:lineRule="auto"/>
        <w:ind w:firstLine="640"/>
        <w:jc w:val="both"/>
      </w:pPr>
      <w:r>
        <w:rPr>
          <w:rFonts w:ascii="仿宋_GB2312" w:hAnsi="仿宋_GB2312" w:eastAsia="仿宋_GB2312" w:cs="仿宋_GB2312"/>
          <w:sz w:val="32"/>
        </w:rPr>
        <w:t>组织、强迫运动员使用兴奋剂参加国内、国际重大体育竞赛的，依照前款的规定从重处罚。</w:t>
      </w:r>
    </w:p>
    <w:p>
      <w:pPr>
        <w:spacing w:line="240" w:lineRule="auto"/>
        <w:ind w:firstLine="640"/>
        <w:jc w:val="both"/>
      </w:pPr>
      <w:r>
        <w:rPr>
          <w:rFonts w:ascii="黑体" w:hAnsi="黑体" w:eastAsia="黑体" w:cs="黑体"/>
          <w:sz w:val="32"/>
        </w:rPr>
        <w:t>第三百五十六条</w:t>
      </w:r>
      <w:r>
        <w:rPr>
          <w:rFonts w:ascii="仿宋_GB2312" w:hAnsi="仿宋_GB2312" w:eastAsia="仿宋_GB2312" w:cs="仿宋_GB2312"/>
          <w:sz w:val="32"/>
        </w:rPr>
        <w:t>　因走私、贩卖、运输、制造、非法持有毒品罪被判过刑，又犯本节规定之罪的，从重处罚。</w:t>
      </w:r>
    </w:p>
    <w:p>
      <w:pPr>
        <w:spacing w:line="240" w:lineRule="auto"/>
        <w:ind w:firstLine="640"/>
        <w:jc w:val="both"/>
      </w:pPr>
      <w:r>
        <w:rPr>
          <w:rFonts w:ascii="黑体" w:hAnsi="黑体" w:eastAsia="黑体" w:cs="黑体"/>
          <w:sz w:val="32"/>
        </w:rPr>
        <w:t>第三百五十七条</w:t>
      </w:r>
      <w:r>
        <w:rPr>
          <w:rFonts w:ascii="仿宋_GB2312" w:hAnsi="仿宋_GB2312" w:eastAsia="仿宋_GB2312" w:cs="仿宋_GB2312"/>
          <w:sz w:val="32"/>
        </w:rPr>
        <w:t>　本法所称的毒品，是指鸦片、海洛因、甲基苯丙胺（冰毒）、吗啡、大麻、可卡因以及国家规定管制的其他能够使人形成瘾癖的麻醉药品和精神药品。</w:t>
      </w:r>
    </w:p>
    <w:p>
      <w:pPr>
        <w:spacing w:line="240" w:lineRule="auto"/>
        <w:ind w:firstLine="640"/>
        <w:jc w:val="both"/>
      </w:pPr>
      <w:r>
        <w:rPr>
          <w:rFonts w:ascii="仿宋_GB2312" w:hAnsi="仿宋_GB2312" w:eastAsia="仿宋_GB2312" w:cs="仿宋_GB2312"/>
          <w:sz w:val="32"/>
        </w:rPr>
        <w:t>毒品的数量以查证属实的走私、贩卖、运输、制造、非法持有毒品的数量计算，不以纯度折算。</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第八节　组织、强迫、引诱、容留、介绍卖淫罪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第三百五十八条</w:t>
      </w:r>
      <w:r>
        <w:rPr>
          <w:rFonts w:ascii="仿宋_GB2312" w:hAnsi="仿宋_GB2312" w:eastAsia="仿宋_GB2312" w:cs="仿宋_GB2312"/>
          <w:sz w:val="32"/>
        </w:rPr>
        <w:t>　组织、强迫他人卖淫的，处五年以上十年以下有期徒刑，并处罚金；情节严重的，处十年以上有期徒刑或者无期徒刑，并处罚金或者没收财产。</w:t>
      </w:r>
    </w:p>
    <w:p>
      <w:pPr>
        <w:spacing w:line="240" w:lineRule="auto"/>
        <w:ind w:firstLine="640"/>
        <w:jc w:val="both"/>
      </w:pPr>
      <w:r>
        <w:rPr>
          <w:rFonts w:ascii="仿宋_GB2312" w:hAnsi="仿宋_GB2312" w:eastAsia="仿宋_GB2312" w:cs="仿宋_GB2312"/>
          <w:sz w:val="32"/>
        </w:rPr>
        <w:t>组织、强迫未成年人卖淫的，依照前款的规定从重处罚。</w:t>
      </w:r>
    </w:p>
    <w:p>
      <w:pPr>
        <w:spacing w:line="240" w:lineRule="auto"/>
        <w:ind w:firstLine="640"/>
        <w:jc w:val="both"/>
      </w:pPr>
      <w:r>
        <w:rPr>
          <w:rFonts w:ascii="仿宋_GB2312" w:hAnsi="仿宋_GB2312" w:eastAsia="仿宋_GB2312" w:cs="仿宋_GB2312"/>
          <w:sz w:val="32"/>
        </w:rPr>
        <w:t>犯前两款罪，并有杀害、伤害、强奸、绑架等犯罪行为的，依照数罪并罚的规定处罚。</w:t>
      </w:r>
    </w:p>
    <w:p>
      <w:pPr>
        <w:spacing w:line="240" w:lineRule="auto"/>
        <w:ind w:firstLine="640"/>
        <w:jc w:val="both"/>
      </w:pPr>
      <w:r>
        <w:rPr>
          <w:rFonts w:ascii="仿宋_GB2312" w:hAnsi="仿宋_GB2312" w:eastAsia="仿宋_GB2312" w:cs="仿宋_GB2312"/>
          <w:sz w:val="32"/>
        </w:rPr>
        <w:t>为组织卖淫的人招募、运送人员或者有其他协助组织他人卖淫行为的，处五年以下有期徒刑，并处罚金；情节严重的，处五年以上十年以下有期徒刑，并处罚金。</w:t>
      </w:r>
    </w:p>
    <w:p>
      <w:pPr>
        <w:spacing w:line="240" w:lineRule="auto"/>
        <w:ind w:firstLine="640"/>
        <w:jc w:val="both"/>
      </w:pPr>
      <w:r>
        <w:rPr>
          <w:rFonts w:ascii="黑体" w:hAnsi="黑体" w:eastAsia="黑体" w:cs="黑体"/>
          <w:sz w:val="32"/>
        </w:rPr>
        <w:t>第三百五十九条</w:t>
      </w:r>
      <w:r>
        <w:rPr>
          <w:rFonts w:ascii="仿宋_GB2312" w:hAnsi="仿宋_GB2312" w:eastAsia="仿宋_GB2312" w:cs="仿宋_GB2312"/>
          <w:sz w:val="32"/>
        </w:rPr>
        <w:t>　引诱、容留、介绍他人卖淫的，处五年以下有期徒刑、拘役或者管制，并处罚金；情节严重的，处五年以上有期徒刑，并处罚金。</w:t>
      </w:r>
    </w:p>
    <w:p>
      <w:pPr>
        <w:spacing w:line="240" w:lineRule="auto"/>
        <w:ind w:firstLine="640"/>
        <w:jc w:val="both"/>
      </w:pPr>
      <w:r>
        <w:rPr>
          <w:rFonts w:ascii="仿宋_GB2312" w:hAnsi="仿宋_GB2312" w:eastAsia="仿宋_GB2312" w:cs="仿宋_GB2312"/>
          <w:sz w:val="32"/>
        </w:rPr>
        <w:t>引诱不满十四周岁的幼女卖淫的，处五年以上有期徒刑，并处罚金。</w:t>
      </w:r>
    </w:p>
    <w:p>
      <w:pPr>
        <w:spacing w:line="240" w:lineRule="auto"/>
        <w:ind w:firstLine="640"/>
        <w:jc w:val="both"/>
      </w:pPr>
      <w:r>
        <w:rPr>
          <w:rFonts w:ascii="黑体" w:hAnsi="黑体" w:eastAsia="黑体" w:cs="黑体"/>
          <w:sz w:val="32"/>
        </w:rPr>
        <w:t>第三百六十条</w:t>
      </w:r>
      <w:r>
        <w:rPr>
          <w:rFonts w:ascii="仿宋_GB2312" w:hAnsi="仿宋_GB2312" w:eastAsia="仿宋_GB2312" w:cs="仿宋_GB2312"/>
          <w:sz w:val="32"/>
        </w:rPr>
        <w:t>　明知自己患有梅毒、淋病等严重性病卖淫、嫖娼的，处五年以下有期徒刑、拘役或者管制，并处罚金。</w:t>
      </w:r>
    </w:p>
    <w:p>
      <w:pPr>
        <w:spacing w:line="240" w:lineRule="auto"/>
        <w:ind w:firstLine="640"/>
        <w:jc w:val="both"/>
      </w:pPr>
      <w:r>
        <w:rPr>
          <w:rFonts w:ascii="黑体" w:hAnsi="黑体" w:eastAsia="黑体" w:cs="黑体"/>
          <w:sz w:val="32"/>
        </w:rPr>
        <w:t>第三百六十一条</w:t>
      </w:r>
      <w:r>
        <w:rPr>
          <w:rFonts w:ascii="仿宋_GB2312" w:hAnsi="仿宋_GB2312" w:eastAsia="仿宋_GB2312" w:cs="仿宋_GB2312"/>
          <w:sz w:val="32"/>
        </w:rPr>
        <w:t>　旅馆业、饮食服务业、文化娱乐业、出租汽车业等单位的人员，利用本单位的条件，组织、强迫、引诱、容留、介绍他人卖淫的，依照本法第三百五十八条、第三百五十九条的规定定罪处罚。</w:t>
      </w:r>
    </w:p>
    <w:p>
      <w:pPr>
        <w:spacing w:line="240" w:lineRule="auto"/>
        <w:ind w:firstLine="640"/>
        <w:jc w:val="both"/>
      </w:pPr>
      <w:r>
        <w:rPr>
          <w:rFonts w:ascii="仿宋_GB2312" w:hAnsi="仿宋_GB2312" w:eastAsia="仿宋_GB2312" w:cs="仿宋_GB2312"/>
          <w:sz w:val="32"/>
        </w:rPr>
        <w:t>前款所列单位的主要负责人，犯前款罪的，从重处罚。</w:t>
      </w:r>
    </w:p>
    <w:p>
      <w:pPr>
        <w:spacing w:line="240" w:lineRule="auto"/>
        <w:ind w:firstLine="640"/>
        <w:jc w:val="both"/>
      </w:pPr>
      <w:r>
        <w:rPr>
          <w:rFonts w:ascii="黑体" w:hAnsi="黑体" w:eastAsia="黑体" w:cs="黑体"/>
          <w:sz w:val="32"/>
        </w:rPr>
        <w:t>第三百六十二条</w:t>
      </w:r>
      <w:r>
        <w:rPr>
          <w:rFonts w:ascii="仿宋_GB2312" w:hAnsi="仿宋_GB2312" w:eastAsia="仿宋_GB2312" w:cs="仿宋_GB2312"/>
          <w:sz w:val="32"/>
        </w:rPr>
        <w:t>　旅馆业、饮食服务业、文化娱乐业、出租汽车业等单位的人员，在公安机关查处卖淫、嫖娼活动时，为违法犯罪分子通风报信，情节严重的，依照本法第三百一十条的规定定罪处罚。</w:t>
      </w:r>
    </w:p>
    <w:p>
      <w:pPr>
        <w:spacing w:line="240" w:lineRule="auto"/>
        <w:ind w:firstLine="0"/>
        <w:jc w:val="center"/>
        <w:rPr>
          <w:rFonts w:hint="eastAsia" w:ascii="宋体" w:hAnsi="宋体" w:eastAsia="宋体" w:cs="宋体"/>
          <w:sz w:val="32"/>
          <w:lang w:eastAsia="zh-CN"/>
        </w:rPr>
      </w:pPr>
    </w:p>
    <w:p>
      <w:pPr>
        <w:spacing w:line="240" w:lineRule="auto"/>
        <w:ind w:firstLine="0"/>
        <w:jc w:val="center"/>
      </w:pPr>
      <w:r>
        <w:rPr>
          <w:rFonts w:ascii="宋体" w:hAnsi="宋体" w:eastAsia="宋体" w:cs="宋体"/>
          <w:sz w:val="32"/>
        </w:rPr>
        <w:t>第九节　制作、贩卖、传播淫秽物品罪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第三百六十三条</w:t>
      </w:r>
      <w:r>
        <w:rPr>
          <w:rFonts w:ascii="仿宋_GB2312" w:hAnsi="仿宋_GB2312" w:eastAsia="仿宋_GB2312" w:cs="仿宋_GB2312"/>
          <w:sz w:val="32"/>
        </w:rPr>
        <w:t>　以牟利为目的，制作、复制、出版、贩卖、传播淫秽物品的，处三年以下有期徒刑、拘役或者管制，并处罚金；情节严重的，处三年以上十年以下有期徒刑，并处罚金；情节特别严重的，处十年以上有期徒刑或者无期徒刑，并处罚金或者没收财产。</w:t>
      </w:r>
    </w:p>
    <w:p>
      <w:pPr>
        <w:spacing w:line="240" w:lineRule="auto"/>
        <w:ind w:firstLine="640"/>
        <w:jc w:val="both"/>
      </w:pPr>
      <w:r>
        <w:rPr>
          <w:rFonts w:ascii="仿宋_GB2312" w:hAnsi="仿宋_GB2312" w:eastAsia="仿宋_GB2312" w:cs="仿宋_GB2312"/>
          <w:sz w:val="32"/>
        </w:rPr>
        <w:t>为他人提供书号，出版淫秽书刊的，处三年以下有期徒刑、拘役或者管制，并处或者单处罚金；明知他人用于出版淫秽书刊而提供书号的，依照前款的规定处罚。</w:t>
      </w:r>
    </w:p>
    <w:p>
      <w:pPr>
        <w:spacing w:line="240" w:lineRule="auto"/>
        <w:ind w:firstLine="640"/>
        <w:jc w:val="both"/>
      </w:pPr>
      <w:r>
        <w:rPr>
          <w:rFonts w:ascii="黑体" w:hAnsi="黑体" w:eastAsia="黑体" w:cs="黑体"/>
          <w:sz w:val="32"/>
        </w:rPr>
        <w:t>第三百六十四条</w:t>
      </w:r>
      <w:r>
        <w:rPr>
          <w:rFonts w:ascii="仿宋_GB2312" w:hAnsi="仿宋_GB2312" w:eastAsia="仿宋_GB2312" w:cs="仿宋_GB2312"/>
          <w:sz w:val="32"/>
        </w:rPr>
        <w:t>　传播淫秽的书刊、影片、音像、图片或者其他淫秽物品，情节严重的，处二年以下有期徒刑、拘役或者管制。</w:t>
      </w:r>
    </w:p>
    <w:p>
      <w:pPr>
        <w:spacing w:line="240" w:lineRule="auto"/>
        <w:ind w:firstLine="640"/>
        <w:jc w:val="both"/>
      </w:pPr>
      <w:r>
        <w:rPr>
          <w:rFonts w:ascii="仿宋_GB2312" w:hAnsi="仿宋_GB2312" w:eastAsia="仿宋_GB2312" w:cs="仿宋_GB2312"/>
          <w:sz w:val="32"/>
        </w:rPr>
        <w:t>组织播放淫秽的电影、录像等音像制品的，处三年以下有期徒刑、拘役或者管制，并处罚金；情节严重的，处三年以上十年以下有期徒刑，并处罚金。</w:t>
      </w:r>
    </w:p>
    <w:p>
      <w:pPr>
        <w:spacing w:line="240" w:lineRule="auto"/>
        <w:ind w:firstLine="640"/>
        <w:jc w:val="both"/>
      </w:pPr>
      <w:r>
        <w:rPr>
          <w:rFonts w:ascii="仿宋_GB2312" w:hAnsi="仿宋_GB2312" w:eastAsia="仿宋_GB2312" w:cs="仿宋_GB2312"/>
          <w:sz w:val="32"/>
        </w:rPr>
        <w:t>制作、复制淫秽的电影、录像等音像制品组织播放的，依照第二款的规定从重处罚。</w:t>
      </w:r>
    </w:p>
    <w:p>
      <w:pPr>
        <w:spacing w:line="240" w:lineRule="auto"/>
        <w:ind w:firstLine="640"/>
        <w:jc w:val="both"/>
      </w:pPr>
      <w:r>
        <w:rPr>
          <w:rFonts w:ascii="仿宋_GB2312" w:hAnsi="仿宋_GB2312" w:eastAsia="仿宋_GB2312" w:cs="仿宋_GB2312"/>
          <w:sz w:val="32"/>
        </w:rPr>
        <w:t>向不满十八周岁的未成年人传播淫秽物品的，从重处罚。</w:t>
      </w:r>
    </w:p>
    <w:p>
      <w:pPr>
        <w:spacing w:line="240" w:lineRule="auto"/>
        <w:ind w:firstLine="640"/>
        <w:jc w:val="both"/>
      </w:pPr>
      <w:r>
        <w:rPr>
          <w:rFonts w:ascii="黑体" w:hAnsi="黑体" w:eastAsia="黑体" w:cs="黑体"/>
          <w:sz w:val="32"/>
        </w:rPr>
        <w:t>第三百六十五条</w:t>
      </w:r>
      <w:r>
        <w:rPr>
          <w:rFonts w:ascii="仿宋_GB2312" w:hAnsi="仿宋_GB2312" w:eastAsia="仿宋_GB2312" w:cs="仿宋_GB2312"/>
          <w:sz w:val="32"/>
        </w:rPr>
        <w:t>　组织进行淫秽表演的，处三年以下有期徒刑、拘役或者管制，并处罚金；情节严重的，处三年以上十年以下有期徒刑，并处罚金。</w:t>
      </w:r>
    </w:p>
    <w:p>
      <w:pPr>
        <w:spacing w:line="240" w:lineRule="auto"/>
        <w:ind w:firstLine="640"/>
        <w:jc w:val="both"/>
      </w:pPr>
      <w:r>
        <w:rPr>
          <w:rFonts w:ascii="黑体" w:hAnsi="黑体" w:eastAsia="黑体" w:cs="黑体"/>
          <w:sz w:val="32"/>
        </w:rPr>
        <w:t>第三百六十六条</w:t>
      </w:r>
      <w:r>
        <w:rPr>
          <w:rFonts w:ascii="仿宋_GB2312" w:hAnsi="仿宋_GB2312" w:eastAsia="仿宋_GB2312" w:cs="仿宋_GB2312"/>
          <w:sz w:val="32"/>
        </w:rPr>
        <w:t>　单位犯本节第三百六十三条、第三百六十四条、第三百六十五条规定之罪的，对单位判处罚金，并对其直接负责的主管人员和其他直接责任人员，依照各该条的规定处罚。</w:t>
      </w:r>
    </w:p>
    <w:p>
      <w:pPr>
        <w:spacing w:line="240" w:lineRule="auto"/>
        <w:ind w:firstLine="640"/>
        <w:jc w:val="both"/>
      </w:pPr>
      <w:r>
        <w:rPr>
          <w:rFonts w:ascii="黑体" w:hAnsi="黑体" w:eastAsia="黑体" w:cs="黑体"/>
          <w:sz w:val="32"/>
        </w:rPr>
        <w:t>第三百六十七条</w:t>
      </w:r>
      <w:r>
        <w:rPr>
          <w:rFonts w:ascii="仿宋_GB2312" w:hAnsi="仿宋_GB2312" w:eastAsia="仿宋_GB2312" w:cs="仿宋_GB2312"/>
          <w:sz w:val="32"/>
        </w:rPr>
        <w:t>　本法所称淫秽物品，是指具体描绘性行为或者露骨宣扬色情的诲淫性的书刊、影片、录像带、录音带、图片及其他淫秽物品。</w:t>
      </w:r>
    </w:p>
    <w:p>
      <w:pPr>
        <w:spacing w:line="240" w:lineRule="auto"/>
        <w:ind w:firstLine="640"/>
        <w:jc w:val="both"/>
      </w:pPr>
      <w:r>
        <w:rPr>
          <w:rFonts w:ascii="仿宋_GB2312" w:hAnsi="仿宋_GB2312" w:eastAsia="仿宋_GB2312" w:cs="仿宋_GB2312"/>
          <w:sz w:val="32"/>
        </w:rPr>
        <w:t>有关人体生理、医学知识的科学著作不是淫秽物品。</w:t>
      </w:r>
    </w:p>
    <w:p>
      <w:pPr>
        <w:spacing w:line="240" w:lineRule="auto"/>
        <w:ind w:firstLine="640"/>
        <w:jc w:val="both"/>
      </w:pPr>
      <w:r>
        <w:rPr>
          <w:rFonts w:ascii="仿宋_GB2312" w:hAnsi="仿宋_GB2312" w:eastAsia="仿宋_GB2312" w:cs="仿宋_GB2312"/>
          <w:sz w:val="32"/>
        </w:rPr>
        <w:t>包含有色情内容的有艺术价值的文学、艺术作品不视为淫秽物品。</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第七章　危害国防利益罪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第三百六十八条</w:t>
      </w:r>
      <w:r>
        <w:rPr>
          <w:rFonts w:ascii="仿宋_GB2312" w:hAnsi="仿宋_GB2312" w:eastAsia="仿宋_GB2312" w:cs="仿宋_GB2312"/>
          <w:sz w:val="32"/>
        </w:rPr>
        <w:t>　以暴力、威胁方法阻碍军人依法执行职务的，处三年以下有期徒刑、拘役、管制或者罚金。</w:t>
      </w:r>
    </w:p>
    <w:p>
      <w:pPr>
        <w:spacing w:line="240" w:lineRule="auto"/>
        <w:ind w:firstLine="640"/>
        <w:jc w:val="both"/>
      </w:pPr>
      <w:r>
        <w:rPr>
          <w:rFonts w:ascii="仿宋_GB2312" w:hAnsi="仿宋_GB2312" w:eastAsia="仿宋_GB2312" w:cs="仿宋_GB2312"/>
          <w:sz w:val="32"/>
        </w:rPr>
        <w:t>故意阻碍武装部队军事行动，造成严重后果的，处五年以下有期徒刑或者拘役。</w:t>
      </w:r>
    </w:p>
    <w:p>
      <w:pPr>
        <w:spacing w:line="240" w:lineRule="auto"/>
        <w:ind w:firstLine="640"/>
        <w:jc w:val="both"/>
      </w:pPr>
      <w:r>
        <w:rPr>
          <w:rFonts w:ascii="黑体" w:hAnsi="黑体" w:eastAsia="黑体" w:cs="黑体"/>
          <w:sz w:val="32"/>
        </w:rPr>
        <w:t>第三百六十九条</w:t>
      </w:r>
      <w:r>
        <w:rPr>
          <w:rFonts w:ascii="仿宋_GB2312" w:hAnsi="仿宋_GB2312" w:eastAsia="仿宋_GB2312" w:cs="仿宋_GB2312"/>
          <w:sz w:val="32"/>
        </w:rPr>
        <w:t>　破坏武器装备、军事设施、军事通信的，处三年以下有期徒刑、拘役或者管制；破坏重要武器装备、军事设施、军事通信的，处三年以上十年以下有期徒刑；情节特别严重的，处十年以上有期徒刑、无期徒刑或者死刑。</w:t>
      </w:r>
    </w:p>
    <w:p>
      <w:pPr>
        <w:spacing w:line="240" w:lineRule="auto"/>
        <w:ind w:firstLine="640"/>
        <w:jc w:val="both"/>
      </w:pPr>
      <w:r>
        <w:rPr>
          <w:rFonts w:ascii="仿宋_GB2312" w:hAnsi="仿宋_GB2312" w:eastAsia="仿宋_GB2312" w:cs="仿宋_GB2312"/>
          <w:sz w:val="32"/>
        </w:rPr>
        <w:t>过失犯前款罪，造成严重后果的，处三年以下有期徒刑或者拘役；造成特别严重后果的，处三年以上七年以下有期徒刑。</w:t>
      </w:r>
    </w:p>
    <w:p>
      <w:pPr>
        <w:spacing w:line="240" w:lineRule="auto"/>
        <w:ind w:firstLine="640"/>
        <w:jc w:val="both"/>
      </w:pPr>
      <w:r>
        <w:rPr>
          <w:rFonts w:ascii="仿宋_GB2312" w:hAnsi="仿宋_GB2312" w:eastAsia="仿宋_GB2312" w:cs="仿宋_GB2312"/>
          <w:sz w:val="32"/>
        </w:rPr>
        <w:t>战时犯前两款罪的，从重处罚。</w:t>
      </w:r>
    </w:p>
    <w:p>
      <w:pPr>
        <w:spacing w:line="240" w:lineRule="auto"/>
        <w:ind w:firstLine="640"/>
        <w:jc w:val="both"/>
      </w:pPr>
      <w:r>
        <w:rPr>
          <w:rFonts w:ascii="黑体" w:hAnsi="黑体" w:eastAsia="黑体" w:cs="黑体"/>
          <w:sz w:val="32"/>
        </w:rPr>
        <w:t>第三百七十条</w:t>
      </w:r>
      <w:r>
        <w:rPr>
          <w:rFonts w:ascii="仿宋_GB2312" w:hAnsi="仿宋_GB2312" w:eastAsia="仿宋_GB2312" w:cs="仿宋_GB2312"/>
          <w:sz w:val="32"/>
        </w:rPr>
        <w:t>　明知是不合格的武器装备、军事设施而提供给武装部队的，处五年以下有期徒刑或者拘役；情节严重的，处五年以上十年以下有期徒刑；情节特别严重的，处十年以上有期徒刑、无期徒刑或者死刑。</w:t>
      </w:r>
    </w:p>
    <w:p>
      <w:pPr>
        <w:spacing w:line="240" w:lineRule="auto"/>
        <w:ind w:firstLine="640"/>
        <w:jc w:val="both"/>
      </w:pPr>
      <w:r>
        <w:rPr>
          <w:rFonts w:ascii="仿宋_GB2312" w:hAnsi="仿宋_GB2312" w:eastAsia="仿宋_GB2312" w:cs="仿宋_GB2312"/>
          <w:sz w:val="32"/>
        </w:rPr>
        <w:t>过失犯前款罪，造成严重后果的，处三年以下有期徒刑或者拘役；造成特别严重后果的，处三年以上七年以下有期徒刑。</w:t>
      </w:r>
    </w:p>
    <w:p>
      <w:pPr>
        <w:spacing w:line="240" w:lineRule="auto"/>
        <w:ind w:firstLine="640"/>
        <w:jc w:val="both"/>
      </w:pPr>
      <w:r>
        <w:rPr>
          <w:rFonts w:ascii="仿宋_GB2312" w:hAnsi="仿宋_GB2312" w:eastAsia="仿宋_GB2312" w:cs="仿宋_GB2312"/>
          <w:sz w:val="32"/>
        </w:rPr>
        <w:t>单位犯第一款罪的，对单位判处罚金，并对其直接负责的主管人员和其他直接责任人员，依照第一款的规定处罚。</w:t>
      </w:r>
    </w:p>
    <w:p>
      <w:pPr>
        <w:spacing w:line="240" w:lineRule="auto"/>
        <w:ind w:firstLine="640"/>
        <w:jc w:val="both"/>
      </w:pPr>
      <w:r>
        <w:rPr>
          <w:rFonts w:ascii="黑体" w:hAnsi="黑体" w:eastAsia="黑体" w:cs="黑体"/>
          <w:sz w:val="32"/>
        </w:rPr>
        <w:t>第三百七十一条</w:t>
      </w:r>
      <w:r>
        <w:rPr>
          <w:rFonts w:ascii="仿宋_GB2312" w:hAnsi="仿宋_GB2312" w:eastAsia="仿宋_GB2312" w:cs="仿宋_GB2312"/>
          <w:sz w:val="32"/>
        </w:rPr>
        <w:t>　聚众冲击军事禁区，严重扰乱军事禁区秩序的，对首要分子，处五年以上十年以下有期徒刑；对其他积极参加的，处五年以下有期徒刑、拘役、管制或者剥夺政治权利。</w:t>
      </w:r>
    </w:p>
    <w:p>
      <w:pPr>
        <w:spacing w:line="240" w:lineRule="auto"/>
        <w:ind w:firstLine="640"/>
        <w:jc w:val="both"/>
      </w:pPr>
      <w:r>
        <w:rPr>
          <w:rFonts w:ascii="仿宋_GB2312" w:hAnsi="仿宋_GB2312" w:eastAsia="仿宋_GB2312" w:cs="仿宋_GB2312"/>
          <w:sz w:val="32"/>
        </w:rPr>
        <w:t>聚众扰乱军事管理区秩序，情节严重，致使军事管理区工作无法进行，造成严重损失的，对首要分子，处三年以上七年以下有期徒刑；对其他积极参加的，处三年以下有期徒刑、拘役、管制或者剥夺政治权利。</w:t>
      </w:r>
    </w:p>
    <w:p>
      <w:pPr>
        <w:spacing w:line="240" w:lineRule="auto"/>
        <w:ind w:firstLine="640"/>
        <w:jc w:val="both"/>
      </w:pPr>
      <w:r>
        <w:rPr>
          <w:rFonts w:ascii="黑体" w:hAnsi="黑体" w:eastAsia="黑体" w:cs="黑体"/>
          <w:sz w:val="32"/>
        </w:rPr>
        <w:t>第三百七十二条</w:t>
      </w:r>
      <w:r>
        <w:rPr>
          <w:rFonts w:ascii="仿宋_GB2312" w:hAnsi="仿宋_GB2312" w:eastAsia="仿宋_GB2312" w:cs="仿宋_GB2312"/>
          <w:sz w:val="32"/>
        </w:rPr>
        <w:t>　冒充军人招摇撞骗的，处三年以下有期徒刑、拘役、管制或者剥夺政治权利；情节严重的，处三年以上十年以下有期徒刑。</w:t>
      </w:r>
    </w:p>
    <w:p>
      <w:pPr>
        <w:spacing w:line="240" w:lineRule="auto"/>
        <w:ind w:firstLine="640"/>
        <w:jc w:val="both"/>
      </w:pPr>
      <w:r>
        <w:rPr>
          <w:rFonts w:ascii="黑体" w:hAnsi="黑体" w:eastAsia="黑体" w:cs="黑体"/>
          <w:sz w:val="32"/>
        </w:rPr>
        <w:t>第三百七十三条</w:t>
      </w:r>
      <w:r>
        <w:rPr>
          <w:rFonts w:ascii="仿宋_GB2312" w:hAnsi="仿宋_GB2312" w:eastAsia="仿宋_GB2312" w:cs="仿宋_GB2312"/>
          <w:sz w:val="32"/>
        </w:rPr>
        <w:t>　煽动军人逃离部队或者明知是逃离部队的军人而雇用，情节严重的，处三年以下有期徒刑、拘役或者管制。</w:t>
      </w:r>
    </w:p>
    <w:p>
      <w:pPr>
        <w:spacing w:line="240" w:lineRule="auto"/>
        <w:ind w:firstLine="640"/>
        <w:jc w:val="both"/>
      </w:pPr>
      <w:r>
        <w:rPr>
          <w:rFonts w:ascii="黑体" w:hAnsi="黑体" w:eastAsia="黑体" w:cs="黑体"/>
          <w:sz w:val="32"/>
        </w:rPr>
        <w:t>第三百七十四条</w:t>
      </w:r>
      <w:r>
        <w:rPr>
          <w:rFonts w:ascii="仿宋_GB2312" w:hAnsi="仿宋_GB2312" w:eastAsia="仿宋_GB2312" w:cs="仿宋_GB2312"/>
          <w:sz w:val="32"/>
        </w:rPr>
        <w:t>　在征兵工作中徇私舞弊，接送不合格兵员，情节严重的，处三年以下有期徒刑或者拘役；造成特别严重后果的，处三年以上七年以下有期徒刑。</w:t>
      </w:r>
    </w:p>
    <w:p>
      <w:pPr>
        <w:spacing w:line="240" w:lineRule="auto"/>
        <w:ind w:firstLine="640"/>
        <w:jc w:val="both"/>
      </w:pPr>
      <w:r>
        <w:rPr>
          <w:rFonts w:ascii="黑体" w:hAnsi="黑体" w:eastAsia="黑体" w:cs="黑体"/>
          <w:sz w:val="32"/>
        </w:rPr>
        <w:t>第三百七十五条</w:t>
      </w:r>
      <w:r>
        <w:rPr>
          <w:rFonts w:ascii="仿宋_GB2312" w:hAnsi="仿宋_GB2312" w:eastAsia="仿宋_GB2312" w:cs="仿宋_GB2312"/>
          <w:sz w:val="32"/>
        </w:rPr>
        <w:t>　伪造、变造、买卖或者盗窃、抢夺武装部队公文、证件、印章的，处三年以下有期徒刑、拘役、管制或者剥夺政治权利；情节严重的，处三年以上十年以下有期徒刑。</w:t>
      </w:r>
    </w:p>
    <w:p>
      <w:pPr>
        <w:spacing w:line="240" w:lineRule="auto"/>
        <w:ind w:firstLine="640"/>
        <w:jc w:val="both"/>
      </w:pPr>
      <w:r>
        <w:rPr>
          <w:rFonts w:ascii="仿宋_GB2312" w:hAnsi="仿宋_GB2312" w:eastAsia="仿宋_GB2312" w:cs="仿宋_GB2312"/>
          <w:sz w:val="32"/>
        </w:rPr>
        <w:t>非法生产、买卖武装部队制式服装，情节严重的，处三年以下有期徒刑、拘役或者管制，并处或者单处罚金。</w:t>
      </w:r>
    </w:p>
    <w:p>
      <w:pPr>
        <w:spacing w:line="240" w:lineRule="auto"/>
        <w:ind w:firstLine="640"/>
        <w:jc w:val="both"/>
      </w:pPr>
      <w:r>
        <w:rPr>
          <w:rFonts w:ascii="仿宋_GB2312" w:hAnsi="仿宋_GB2312" w:eastAsia="仿宋_GB2312" w:cs="仿宋_GB2312"/>
          <w:sz w:val="32"/>
        </w:rPr>
        <w:t>伪造、盗窃、买卖或者非法提供、使用武装部队车辆号牌等专用标志，情节严重的，处三年以下有期徒刑、拘役或者管制，并处或者单处罚金；情节特别严重的，处三年以上七年以下有期徒刑，并处罚金。</w:t>
      </w:r>
    </w:p>
    <w:p>
      <w:pPr>
        <w:spacing w:line="240" w:lineRule="auto"/>
        <w:ind w:firstLine="640"/>
        <w:jc w:val="both"/>
      </w:pPr>
      <w:r>
        <w:rPr>
          <w:rFonts w:ascii="仿宋_GB2312" w:hAnsi="仿宋_GB2312" w:eastAsia="仿宋_GB2312" w:cs="仿宋_GB2312"/>
          <w:sz w:val="32"/>
        </w:rPr>
        <w:t>单位犯第二款、第三款罪的，对单位判处罚金，并对其直接负责的主管人员和其他直接责任人员，依照各该款的规定处罚。</w:t>
      </w:r>
    </w:p>
    <w:p>
      <w:pPr>
        <w:spacing w:line="240" w:lineRule="auto"/>
        <w:ind w:firstLine="640"/>
        <w:jc w:val="both"/>
      </w:pPr>
      <w:r>
        <w:rPr>
          <w:rFonts w:ascii="黑体" w:hAnsi="黑体" w:eastAsia="黑体" w:cs="黑体"/>
          <w:sz w:val="32"/>
        </w:rPr>
        <w:t>第三百七十六条</w:t>
      </w:r>
      <w:r>
        <w:rPr>
          <w:rFonts w:ascii="仿宋_GB2312" w:hAnsi="仿宋_GB2312" w:eastAsia="仿宋_GB2312" w:cs="仿宋_GB2312"/>
          <w:sz w:val="32"/>
        </w:rPr>
        <w:t>　预备役人员战时拒绝、逃避征召或者军事训练，情节严重的，处三年以下有期徒刑或者拘役。</w:t>
      </w:r>
    </w:p>
    <w:p>
      <w:pPr>
        <w:spacing w:line="240" w:lineRule="auto"/>
        <w:ind w:firstLine="640"/>
        <w:jc w:val="both"/>
      </w:pPr>
      <w:r>
        <w:rPr>
          <w:rFonts w:ascii="仿宋_GB2312" w:hAnsi="仿宋_GB2312" w:eastAsia="仿宋_GB2312" w:cs="仿宋_GB2312"/>
          <w:sz w:val="32"/>
        </w:rPr>
        <w:t>公民战时拒绝、逃避服役，情节严重的，处二年以下有期徒刑或者拘役。</w:t>
      </w:r>
    </w:p>
    <w:p>
      <w:pPr>
        <w:spacing w:line="240" w:lineRule="auto"/>
        <w:ind w:firstLine="640"/>
        <w:jc w:val="both"/>
      </w:pPr>
      <w:r>
        <w:rPr>
          <w:rFonts w:ascii="黑体" w:hAnsi="黑体" w:eastAsia="黑体" w:cs="黑体"/>
          <w:sz w:val="32"/>
        </w:rPr>
        <w:t>第三百七十七条</w:t>
      </w:r>
      <w:r>
        <w:rPr>
          <w:rFonts w:ascii="仿宋_GB2312" w:hAnsi="仿宋_GB2312" w:eastAsia="仿宋_GB2312" w:cs="仿宋_GB2312"/>
          <w:sz w:val="32"/>
        </w:rPr>
        <w:t>　战时故意向武装部队提供虚假敌情，造成严重后果的，处三年以上十年以下有期徒刑；造成特别严重后果的，处十年以上有期徒刑或者无期徒刑。</w:t>
      </w:r>
    </w:p>
    <w:p>
      <w:pPr>
        <w:spacing w:line="240" w:lineRule="auto"/>
        <w:ind w:firstLine="640"/>
        <w:jc w:val="both"/>
      </w:pPr>
      <w:r>
        <w:rPr>
          <w:rFonts w:ascii="黑体" w:hAnsi="黑体" w:eastAsia="黑体" w:cs="黑体"/>
          <w:sz w:val="32"/>
        </w:rPr>
        <w:t>第三百七十八条</w:t>
      </w:r>
      <w:r>
        <w:rPr>
          <w:rFonts w:ascii="仿宋_GB2312" w:hAnsi="仿宋_GB2312" w:eastAsia="仿宋_GB2312" w:cs="仿宋_GB2312"/>
          <w:sz w:val="32"/>
        </w:rPr>
        <w:t>　战时造谣惑众，扰乱军心的，处三年以下有期徒刑、拘役或者管制；情节严重的，处三年以上十年以下有期徒刑。</w:t>
      </w:r>
    </w:p>
    <w:p>
      <w:pPr>
        <w:spacing w:line="240" w:lineRule="auto"/>
        <w:ind w:firstLine="640"/>
        <w:jc w:val="both"/>
      </w:pPr>
      <w:r>
        <w:rPr>
          <w:rFonts w:ascii="黑体" w:hAnsi="黑体" w:eastAsia="黑体" w:cs="黑体"/>
          <w:sz w:val="32"/>
        </w:rPr>
        <w:t>第三百七十九条</w:t>
      </w:r>
      <w:r>
        <w:rPr>
          <w:rFonts w:ascii="仿宋_GB2312" w:hAnsi="仿宋_GB2312" w:eastAsia="仿宋_GB2312" w:cs="仿宋_GB2312"/>
          <w:sz w:val="32"/>
        </w:rPr>
        <w:t>　战时明知是逃离部队的军人而为其提供隐蔽处所、财物，情节严重的，处三年以下有期徒刑或者拘役。</w:t>
      </w:r>
    </w:p>
    <w:p>
      <w:pPr>
        <w:spacing w:line="240" w:lineRule="auto"/>
        <w:ind w:firstLine="640"/>
        <w:jc w:val="both"/>
      </w:pPr>
      <w:r>
        <w:rPr>
          <w:rFonts w:ascii="黑体" w:hAnsi="黑体" w:eastAsia="黑体" w:cs="黑体"/>
          <w:sz w:val="32"/>
        </w:rPr>
        <w:t>第三百八十条</w:t>
      </w:r>
      <w:r>
        <w:rPr>
          <w:rFonts w:ascii="仿宋_GB2312" w:hAnsi="仿宋_GB2312" w:eastAsia="仿宋_GB2312" w:cs="仿宋_GB2312"/>
          <w:sz w:val="32"/>
        </w:rPr>
        <w:t>　战时拒绝或者故意延误军事订货，情节严重的，对单位判处罚金，并对其直接负责的主管人员和其他直接责任人员，处五年以下有期徒刑或者拘役；造成严重后果的，处五年以上有期徒刑。</w:t>
      </w:r>
    </w:p>
    <w:p>
      <w:pPr>
        <w:spacing w:line="240" w:lineRule="auto"/>
        <w:ind w:firstLine="640"/>
        <w:jc w:val="both"/>
      </w:pPr>
      <w:r>
        <w:rPr>
          <w:rFonts w:ascii="黑体" w:hAnsi="黑体" w:eastAsia="黑体" w:cs="黑体"/>
          <w:sz w:val="32"/>
        </w:rPr>
        <w:t>第三百八十一条</w:t>
      </w:r>
      <w:r>
        <w:rPr>
          <w:rFonts w:ascii="仿宋_GB2312" w:hAnsi="仿宋_GB2312" w:eastAsia="仿宋_GB2312" w:cs="仿宋_GB2312"/>
          <w:sz w:val="32"/>
        </w:rPr>
        <w:t>　战时拒绝军事征收、征用，情节严重的，处三年以下有期徒刑或者拘役。</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第八章　贪污贿赂罪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第三百八十二条</w:t>
      </w:r>
      <w:r>
        <w:rPr>
          <w:rFonts w:ascii="仿宋_GB2312" w:hAnsi="仿宋_GB2312" w:eastAsia="仿宋_GB2312" w:cs="仿宋_GB2312"/>
          <w:sz w:val="32"/>
        </w:rPr>
        <w:t>　国家工作人员利用职务上的便利，侵吞、窃取、骗取或者以其他手段非法占有公共财物的，是贪污罪。</w:t>
      </w:r>
    </w:p>
    <w:p>
      <w:pPr>
        <w:spacing w:line="240" w:lineRule="auto"/>
        <w:ind w:firstLine="640"/>
        <w:jc w:val="both"/>
      </w:pPr>
      <w:r>
        <w:rPr>
          <w:rFonts w:ascii="仿宋_GB2312" w:hAnsi="仿宋_GB2312" w:eastAsia="仿宋_GB2312" w:cs="仿宋_GB2312"/>
          <w:sz w:val="32"/>
        </w:rPr>
        <w:t>受国家机关、国有公司、企业、事业单位、人民团体委托管理、经营国有财产的人员，利用职务上的便利，侵吞、窃取、骗取或者以其他手段非法占有国有财物的，以贪污论。</w:t>
      </w:r>
    </w:p>
    <w:p>
      <w:pPr>
        <w:spacing w:line="240" w:lineRule="auto"/>
        <w:ind w:firstLine="640"/>
        <w:jc w:val="both"/>
      </w:pPr>
      <w:r>
        <w:rPr>
          <w:rFonts w:ascii="仿宋_GB2312" w:hAnsi="仿宋_GB2312" w:eastAsia="仿宋_GB2312" w:cs="仿宋_GB2312"/>
          <w:sz w:val="32"/>
        </w:rPr>
        <w:t>与前两款所列人员勾结，伙同贪污的，以共犯论处。</w:t>
      </w:r>
    </w:p>
    <w:p>
      <w:pPr>
        <w:spacing w:line="240" w:lineRule="auto"/>
        <w:ind w:firstLine="640"/>
        <w:jc w:val="both"/>
      </w:pPr>
      <w:r>
        <w:rPr>
          <w:rFonts w:ascii="黑体" w:hAnsi="黑体" w:eastAsia="黑体" w:cs="黑体"/>
          <w:sz w:val="32"/>
        </w:rPr>
        <w:t>第三百八十三条</w:t>
      </w:r>
      <w:r>
        <w:rPr>
          <w:rFonts w:ascii="仿宋_GB2312" w:hAnsi="仿宋_GB2312" w:eastAsia="仿宋_GB2312" w:cs="仿宋_GB2312"/>
          <w:sz w:val="32"/>
        </w:rPr>
        <w:t>　对犯贪污罪的，根据情节轻重，分别依照下列规定处罚：</w:t>
      </w:r>
    </w:p>
    <w:p>
      <w:pPr>
        <w:spacing w:line="240" w:lineRule="auto"/>
        <w:ind w:firstLine="640"/>
        <w:jc w:val="both"/>
      </w:pPr>
      <w:r>
        <w:rPr>
          <w:rFonts w:ascii="仿宋_GB2312" w:hAnsi="仿宋_GB2312" w:eastAsia="仿宋_GB2312" w:cs="仿宋_GB2312"/>
          <w:sz w:val="32"/>
        </w:rPr>
        <w:t>（一）贪污数额较大或者有其他较重情节的，处三年以下有期徒刑或者拘役，并处罚金。</w:t>
      </w:r>
    </w:p>
    <w:p>
      <w:pPr>
        <w:spacing w:line="240" w:lineRule="auto"/>
        <w:ind w:firstLine="640"/>
        <w:jc w:val="both"/>
      </w:pPr>
      <w:r>
        <w:rPr>
          <w:rFonts w:ascii="仿宋_GB2312" w:hAnsi="仿宋_GB2312" w:eastAsia="仿宋_GB2312" w:cs="仿宋_GB2312"/>
          <w:sz w:val="32"/>
        </w:rPr>
        <w:t>（二）贪污数额巨大或者有其他严重情节的，处三年以上十年以下有期徒刑，并处罚金或者没收财产。</w:t>
      </w:r>
    </w:p>
    <w:p>
      <w:pPr>
        <w:spacing w:line="240" w:lineRule="auto"/>
        <w:ind w:firstLine="640"/>
        <w:jc w:val="both"/>
      </w:pPr>
      <w:r>
        <w:rPr>
          <w:rFonts w:ascii="仿宋_GB2312" w:hAnsi="仿宋_GB2312" w:eastAsia="仿宋_GB2312" w:cs="仿宋_GB2312"/>
          <w:sz w:val="32"/>
        </w:rPr>
        <w:t>（三）贪污数额特别巨大或者有其他特别严重情节的，处十年以上有期徒刑或者无期徒刑，并处罚金或者没收财产；数额特别巨大，并使国家和人民利益遭受特别重大损失的，处无期徒刑或者死刑，并处没收财产。</w:t>
      </w:r>
    </w:p>
    <w:p>
      <w:pPr>
        <w:spacing w:line="240" w:lineRule="auto"/>
        <w:ind w:firstLine="640"/>
        <w:jc w:val="both"/>
      </w:pPr>
      <w:r>
        <w:rPr>
          <w:rFonts w:ascii="仿宋_GB2312" w:hAnsi="仿宋_GB2312" w:eastAsia="仿宋_GB2312" w:cs="仿宋_GB2312"/>
          <w:sz w:val="32"/>
        </w:rPr>
        <w:t>对多次贪污未经处理的，按照累计贪污数额处罚。</w:t>
      </w:r>
    </w:p>
    <w:p>
      <w:pPr>
        <w:spacing w:line="240" w:lineRule="auto"/>
        <w:ind w:firstLine="640"/>
        <w:jc w:val="both"/>
      </w:pPr>
      <w:r>
        <w:rPr>
          <w:rFonts w:ascii="仿宋_GB2312" w:hAnsi="仿宋_GB2312" w:eastAsia="仿宋_GB2312" w:cs="仿宋_GB2312"/>
          <w:sz w:val="32"/>
        </w:rPr>
        <w:t>犯第一款罪，在提起公诉前如实供述自己罪行、真诚悔罪、积极退赃，避免、减少损害结果的发生，有第一项规定情形的，可以从轻、减轻或者免除处罚；有第二项、第三项规定情形的，可以从轻处罚。</w:t>
      </w:r>
    </w:p>
    <w:p>
      <w:pPr>
        <w:spacing w:line="240" w:lineRule="auto"/>
        <w:ind w:firstLine="640"/>
        <w:jc w:val="both"/>
      </w:pPr>
      <w:r>
        <w:rPr>
          <w:rFonts w:ascii="仿宋_GB2312" w:hAnsi="仿宋_GB2312" w:eastAsia="仿宋_GB2312" w:cs="仿宋_GB2312"/>
          <w:sz w:val="32"/>
        </w:rPr>
        <w:t>犯第一款罪，有第三项规定情形被判处死刑缓期执行的，人民法院根据犯罪情节等情况可以同时决定在其死刑缓期执行二年期满依法减为无期徒刑后，终身监禁，不得减刑、假释。</w:t>
      </w:r>
    </w:p>
    <w:p>
      <w:pPr>
        <w:spacing w:line="240" w:lineRule="auto"/>
        <w:ind w:firstLine="640"/>
        <w:jc w:val="both"/>
      </w:pPr>
      <w:r>
        <w:rPr>
          <w:rFonts w:ascii="黑体" w:hAnsi="黑体" w:eastAsia="黑体" w:cs="黑体"/>
          <w:sz w:val="32"/>
        </w:rPr>
        <w:t>第三百八十四条</w:t>
      </w:r>
      <w:r>
        <w:rPr>
          <w:rFonts w:ascii="仿宋_GB2312" w:hAnsi="仿宋_GB2312" w:eastAsia="仿宋_GB2312" w:cs="仿宋_GB2312"/>
          <w:sz w:val="32"/>
        </w:rPr>
        <w:t>　国家工作人员利用职务上的便利，挪用公款归个人使用，进行非法活动的，或者挪用公款数额较大、进行营利活动的，或者挪用公款数额较大、超过三个月未还的，是挪用公款罪，处五年以下有期徒刑或者拘役；情节严重的，处五年以上有期徒刑。挪用公款数额巨大不退还的，处十年以上有期徒刑或者无期徒刑。</w:t>
      </w:r>
    </w:p>
    <w:p>
      <w:pPr>
        <w:spacing w:line="240" w:lineRule="auto"/>
        <w:ind w:firstLine="640"/>
        <w:jc w:val="both"/>
      </w:pPr>
      <w:r>
        <w:rPr>
          <w:rFonts w:ascii="仿宋_GB2312" w:hAnsi="仿宋_GB2312" w:eastAsia="仿宋_GB2312" w:cs="仿宋_GB2312"/>
          <w:sz w:val="32"/>
        </w:rPr>
        <w:t>挪用用于救灾、抢险、防汛、优抚、扶贫、移民、救济款物归个人使用的，从重处罚。</w:t>
      </w:r>
    </w:p>
    <w:p>
      <w:pPr>
        <w:spacing w:line="240" w:lineRule="auto"/>
        <w:ind w:firstLine="640"/>
        <w:jc w:val="both"/>
      </w:pPr>
      <w:r>
        <w:rPr>
          <w:rFonts w:ascii="黑体" w:hAnsi="黑体" w:eastAsia="黑体" w:cs="黑体"/>
          <w:sz w:val="32"/>
        </w:rPr>
        <w:t>第三百八十五条</w:t>
      </w:r>
      <w:r>
        <w:rPr>
          <w:rFonts w:ascii="仿宋_GB2312" w:hAnsi="仿宋_GB2312" w:eastAsia="仿宋_GB2312" w:cs="仿宋_GB2312"/>
          <w:sz w:val="32"/>
        </w:rPr>
        <w:t>　国家工作人员利用职务上的便利，索取他人财物的，或者非法收受他人财物，为他人谋取利益的，是受贿罪。</w:t>
      </w:r>
    </w:p>
    <w:p>
      <w:pPr>
        <w:spacing w:line="240" w:lineRule="auto"/>
        <w:ind w:firstLine="640"/>
        <w:jc w:val="both"/>
      </w:pPr>
      <w:r>
        <w:rPr>
          <w:rFonts w:ascii="仿宋_GB2312" w:hAnsi="仿宋_GB2312" w:eastAsia="仿宋_GB2312" w:cs="仿宋_GB2312"/>
          <w:sz w:val="32"/>
        </w:rPr>
        <w:t>国家工作人员在经济往来中，违反国家规定，收受各种名义的回扣、手续费，归个人所有的，以受贿论处。</w:t>
      </w:r>
    </w:p>
    <w:p>
      <w:pPr>
        <w:spacing w:line="240" w:lineRule="auto"/>
        <w:ind w:firstLine="640"/>
        <w:jc w:val="both"/>
      </w:pPr>
      <w:r>
        <w:rPr>
          <w:rFonts w:ascii="黑体" w:hAnsi="黑体" w:eastAsia="黑体" w:cs="黑体"/>
          <w:sz w:val="32"/>
        </w:rPr>
        <w:t>第三百八十六条</w:t>
      </w:r>
      <w:r>
        <w:rPr>
          <w:rFonts w:ascii="仿宋_GB2312" w:hAnsi="仿宋_GB2312" w:eastAsia="仿宋_GB2312" w:cs="仿宋_GB2312"/>
          <w:sz w:val="32"/>
        </w:rPr>
        <w:t>　对犯受贿罪的，根据受贿所得数额及情节，依照本法第三百八十三条的规定处罚。索贿的从重处罚。</w:t>
      </w:r>
    </w:p>
    <w:p>
      <w:pPr>
        <w:spacing w:line="240" w:lineRule="auto"/>
        <w:ind w:firstLine="640"/>
        <w:jc w:val="both"/>
      </w:pPr>
      <w:r>
        <w:rPr>
          <w:rFonts w:ascii="黑体" w:hAnsi="黑体" w:eastAsia="黑体" w:cs="黑体"/>
          <w:sz w:val="32"/>
        </w:rPr>
        <w:t>第三百八十七条</w:t>
      </w:r>
      <w:r>
        <w:rPr>
          <w:rFonts w:ascii="仿宋_GB2312" w:hAnsi="仿宋_GB2312" w:eastAsia="仿宋_GB2312" w:cs="仿宋_GB2312"/>
          <w:sz w:val="32"/>
        </w:rPr>
        <w:t>　国家机关、国有公司、企业、事业单位、人民团体，索取、非法收受他人财物，为他人谋取利益，情节严重的，对单位判处罚金，并对其直接负责的主管人员和其他直接责任人员，处五年以下有期徒刑或者拘役。</w:t>
      </w:r>
    </w:p>
    <w:p>
      <w:pPr>
        <w:spacing w:line="240" w:lineRule="auto"/>
        <w:ind w:firstLine="640"/>
        <w:jc w:val="both"/>
      </w:pPr>
      <w:r>
        <w:rPr>
          <w:rFonts w:ascii="仿宋_GB2312" w:hAnsi="仿宋_GB2312" w:eastAsia="仿宋_GB2312" w:cs="仿宋_GB2312"/>
          <w:sz w:val="32"/>
        </w:rPr>
        <w:t>前款所列单位，在经济往来中，在帐外暗中收受各种名义的回扣、手续费的，以受贿论，依照前款的规定处罚。</w:t>
      </w:r>
    </w:p>
    <w:p>
      <w:pPr>
        <w:spacing w:line="240" w:lineRule="auto"/>
        <w:ind w:firstLine="640"/>
        <w:jc w:val="both"/>
      </w:pPr>
      <w:r>
        <w:rPr>
          <w:rFonts w:ascii="黑体" w:hAnsi="黑体" w:eastAsia="黑体" w:cs="黑体"/>
          <w:sz w:val="32"/>
        </w:rPr>
        <w:t>第三百八十八条</w:t>
      </w:r>
      <w:r>
        <w:rPr>
          <w:rFonts w:ascii="仿宋_GB2312" w:hAnsi="仿宋_GB2312" w:eastAsia="仿宋_GB2312" w:cs="仿宋_GB2312"/>
          <w:sz w:val="32"/>
        </w:rPr>
        <w:t>　国家工作人员利用本人职权或者地位形成的便利条件，通过其他国家工作人员职务上的行为，为请托人谋取不正当利益，索取请托人财物或者收受请托人财物的，以受贿论处。</w:t>
      </w:r>
    </w:p>
    <w:p>
      <w:pPr>
        <w:spacing w:line="240" w:lineRule="auto"/>
        <w:ind w:firstLine="640"/>
        <w:jc w:val="both"/>
      </w:pPr>
      <w:r>
        <w:rPr>
          <w:rFonts w:ascii="黑体" w:hAnsi="黑体" w:eastAsia="黑体" w:cs="黑体"/>
          <w:sz w:val="32"/>
        </w:rPr>
        <w:t>第三百八十八</w:t>
      </w:r>
      <w:r>
        <w:rPr>
          <w:rFonts w:hint="eastAsia" w:ascii="黑体" w:hAnsi="黑体" w:eastAsia="黑体" w:cs="黑体"/>
          <w:sz w:val="32"/>
          <w:lang w:eastAsia="zh-CN"/>
        </w:rPr>
        <w:t>条之一　</w:t>
      </w:r>
      <w:r>
        <w:rPr>
          <w:rFonts w:ascii="仿宋_GB2312" w:hAnsi="仿宋_GB2312" w:eastAsia="仿宋_GB2312" w:cs="仿宋_GB2312"/>
          <w:sz w:val="32"/>
        </w:rPr>
        <w:t>国家工作人员的近亲属或者其他与该国家工作人员关系密切的人，通过该国家工作人员职务上的行为，或者利用该国家工作人员职权或者地位形成的便利条件，通过其他国家工作人员职务上的行为，为请托人谋取不正当利益，索取请托人财物或者收受请托人财物，数额较大或者有其他较重情节的，处三年以下有期徒刑或者拘役，并处罚金；数额巨大或者有其他严重情节的，处三年以上七年以下有期徒刑，并处罚金；数额特别巨大或者有其他特别严重情节的，处七年以上有期徒刑，并处罚金或者没收财产。</w:t>
      </w:r>
    </w:p>
    <w:p>
      <w:pPr>
        <w:spacing w:line="240" w:lineRule="auto"/>
        <w:ind w:firstLine="640"/>
        <w:jc w:val="both"/>
      </w:pPr>
      <w:r>
        <w:rPr>
          <w:rFonts w:ascii="仿宋_GB2312" w:hAnsi="仿宋_GB2312" w:eastAsia="仿宋_GB2312" w:cs="仿宋_GB2312"/>
          <w:sz w:val="32"/>
        </w:rPr>
        <w:t>离职的国家工作人员或者其近亲属以及其他与其关系密切的人，利用该离职的国家工作人员原职权或者地位形成的便利条件实施前款行为的，依照前款的规定定罪处罚。</w:t>
      </w:r>
    </w:p>
    <w:p>
      <w:pPr>
        <w:spacing w:line="240" w:lineRule="auto"/>
        <w:ind w:firstLine="640"/>
        <w:jc w:val="both"/>
      </w:pPr>
      <w:r>
        <w:rPr>
          <w:rFonts w:ascii="黑体" w:hAnsi="黑体" w:eastAsia="黑体" w:cs="黑体"/>
          <w:sz w:val="32"/>
        </w:rPr>
        <w:t>第三百八十九条</w:t>
      </w:r>
      <w:r>
        <w:rPr>
          <w:rFonts w:ascii="仿宋_GB2312" w:hAnsi="仿宋_GB2312" w:eastAsia="仿宋_GB2312" w:cs="仿宋_GB2312"/>
          <w:sz w:val="32"/>
        </w:rPr>
        <w:t>　为谋取不正当利益，给予国家工作人员以财物的，是行贿罪。</w:t>
      </w:r>
    </w:p>
    <w:p>
      <w:pPr>
        <w:spacing w:line="240" w:lineRule="auto"/>
        <w:ind w:firstLine="640"/>
        <w:jc w:val="both"/>
      </w:pPr>
      <w:r>
        <w:rPr>
          <w:rFonts w:ascii="仿宋_GB2312" w:hAnsi="仿宋_GB2312" w:eastAsia="仿宋_GB2312" w:cs="仿宋_GB2312"/>
          <w:sz w:val="32"/>
        </w:rPr>
        <w:t>在经济往来中，违反国家规定，给予国家工作人员以财物，数额较大的，或者违反国家规定，给予国家工作人员以各种名义的回扣、手续费的，以行贿论处。</w:t>
      </w:r>
    </w:p>
    <w:p>
      <w:pPr>
        <w:spacing w:line="240" w:lineRule="auto"/>
        <w:ind w:firstLine="640"/>
        <w:jc w:val="both"/>
      </w:pPr>
      <w:r>
        <w:rPr>
          <w:rFonts w:ascii="仿宋_GB2312" w:hAnsi="仿宋_GB2312" w:eastAsia="仿宋_GB2312" w:cs="仿宋_GB2312"/>
          <w:sz w:val="32"/>
        </w:rPr>
        <w:t>因被勒索给予国家工作人员以财物，没有获得不正当利益的，不是行贿。</w:t>
      </w:r>
    </w:p>
    <w:p>
      <w:pPr>
        <w:spacing w:line="240" w:lineRule="auto"/>
        <w:ind w:firstLine="640"/>
        <w:jc w:val="both"/>
      </w:pPr>
      <w:r>
        <w:rPr>
          <w:rFonts w:ascii="黑体" w:hAnsi="黑体" w:eastAsia="黑体" w:cs="黑体"/>
          <w:sz w:val="32"/>
        </w:rPr>
        <w:t>第三百九十条</w:t>
      </w:r>
      <w:r>
        <w:rPr>
          <w:rFonts w:ascii="仿宋_GB2312" w:hAnsi="仿宋_GB2312" w:eastAsia="仿宋_GB2312" w:cs="仿宋_GB2312"/>
          <w:sz w:val="32"/>
        </w:rPr>
        <w:t>　对犯行贿罪的，处五年以下有期徒刑或者拘役，并处罚金；因行贿谋取不正当利益，情节严重的，或者使国家利益遭受重大损失的，处五年以上十年以下有期徒刑，并处罚金；情节特别严重的，或者使国家利益遭受特别重大损失的，处十年以上有期徒刑或者无期徒刑，并处罚金或者没收财产。</w:t>
      </w:r>
    </w:p>
    <w:p>
      <w:pPr>
        <w:spacing w:line="240" w:lineRule="auto"/>
        <w:ind w:firstLine="640"/>
        <w:jc w:val="both"/>
      </w:pPr>
      <w:r>
        <w:rPr>
          <w:rFonts w:ascii="仿宋_GB2312" w:hAnsi="仿宋_GB2312" w:eastAsia="仿宋_GB2312" w:cs="仿宋_GB2312"/>
          <w:sz w:val="32"/>
        </w:rPr>
        <w:t>行贿人在被追诉前主动交待行贿行为的，可以从轻或者减轻处罚。其中，犯罪较轻的，对侦破重大案件起关键作用的，或者有重大立功表现的，可以减轻或者免除处罚。</w:t>
      </w:r>
    </w:p>
    <w:p>
      <w:pPr>
        <w:spacing w:line="240" w:lineRule="auto"/>
        <w:ind w:firstLine="640"/>
        <w:jc w:val="both"/>
      </w:pPr>
      <w:r>
        <w:rPr>
          <w:rFonts w:ascii="黑体" w:hAnsi="黑体" w:eastAsia="黑体" w:cs="黑体"/>
          <w:sz w:val="32"/>
        </w:rPr>
        <w:t>第三百九十</w:t>
      </w:r>
      <w:r>
        <w:rPr>
          <w:rFonts w:hint="eastAsia" w:ascii="黑体" w:hAnsi="黑体" w:eastAsia="黑体" w:cs="黑体"/>
          <w:sz w:val="32"/>
          <w:lang w:eastAsia="zh-CN"/>
        </w:rPr>
        <w:t>条之一　</w:t>
      </w:r>
      <w:r>
        <w:rPr>
          <w:rFonts w:ascii="仿宋_GB2312" w:hAnsi="仿宋_GB2312" w:eastAsia="仿宋_GB2312" w:cs="仿宋_GB2312"/>
          <w:sz w:val="32"/>
        </w:rPr>
        <w:t>为谋取不正当利益，向国家工作人员的近亲属或者其他与该国家工作人员关系密切的人，或者向离职的国家工作人员或者其近亲属以及其他与其关系密切的人行贿的，处三年以下有期徒刑或者拘役，并处罚金；情节严重的，或者使国家利益遭受重大损失的，处三年以上七年以下有期徒刑，并处罚金；情节特别严重的，或者使国家利益遭受特别重大损失的，处七年以上十年以下有期徒刑，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单位犯前款罪的，对单位判处罚金，并对其直接负责的主管人员和其他直接责任人员，处三年以下有期徒刑或者拘役，并处罚金。</w:t>
      </w:r>
    </w:p>
    <w:p>
      <w:pPr>
        <w:spacing w:line="240" w:lineRule="auto"/>
        <w:ind w:firstLine="640"/>
        <w:jc w:val="both"/>
      </w:pPr>
      <w:r>
        <w:rPr>
          <w:rFonts w:ascii="黑体" w:hAnsi="黑体" w:eastAsia="黑体" w:cs="黑体"/>
          <w:sz w:val="32"/>
        </w:rPr>
        <w:t>第三百九十一条</w:t>
      </w:r>
      <w:r>
        <w:rPr>
          <w:rFonts w:ascii="仿宋_GB2312" w:hAnsi="仿宋_GB2312" w:eastAsia="仿宋_GB2312" w:cs="仿宋_GB2312"/>
          <w:sz w:val="32"/>
        </w:rPr>
        <w:t>　为谋取不正当利益，给予国家机关、国有公司、企业、事业单位、人民团体以财物的，或者在经济往来中，违反国家规定，给予各种名义的回扣、手续费的，处三年以下有期徒刑或者拘役，并处罚金。</w:t>
      </w:r>
    </w:p>
    <w:p>
      <w:pPr>
        <w:spacing w:line="240" w:lineRule="auto"/>
        <w:ind w:firstLine="640"/>
        <w:jc w:val="both"/>
      </w:pPr>
      <w:r>
        <w:rPr>
          <w:rFonts w:ascii="仿宋_GB2312" w:hAnsi="仿宋_GB2312" w:eastAsia="仿宋_GB2312" w:cs="仿宋_GB2312"/>
          <w:sz w:val="32"/>
        </w:rPr>
        <w:t>单位犯前款罪的，对单位判处罚金，并对其直接负责的主管人员和其他直接责任人员，依照前款的规定处罚。</w:t>
      </w:r>
    </w:p>
    <w:p>
      <w:pPr>
        <w:spacing w:line="240" w:lineRule="auto"/>
        <w:ind w:firstLine="640"/>
        <w:jc w:val="both"/>
      </w:pPr>
      <w:r>
        <w:rPr>
          <w:rFonts w:ascii="黑体" w:hAnsi="黑体" w:eastAsia="黑体" w:cs="黑体"/>
          <w:sz w:val="32"/>
        </w:rPr>
        <w:t>第三百九十二条</w:t>
      </w:r>
      <w:r>
        <w:rPr>
          <w:rFonts w:ascii="仿宋_GB2312" w:hAnsi="仿宋_GB2312" w:eastAsia="仿宋_GB2312" w:cs="仿宋_GB2312"/>
          <w:sz w:val="32"/>
        </w:rPr>
        <w:t>　向国家工作人员介绍贿赂，情节严重的，处三年以下有期徒刑或者拘役，并处罚金。</w:t>
      </w:r>
    </w:p>
    <w:p>
      <w:pPr>
        <w:spacing w:line="240" w:lineRule="auto"/>
        <w:ind w:firstLine="640"/>
        <w:jc w:val="both"/>
      </w:pPr>
      <w:r>
        <w:rPr>
          <w:rFonts w:ascii="仿宋_GB2312" w:hAnsi="仿宋_GB2312" w:eastAsia="仿宋_GB2312" w:cs="仿宋_GB2312"/>
          <w:sz w:val="32"/>
        </w:rPr>
        <w:t>介绍贿赂人在被追诉前主动交待介绍贿赂行为的，可以减轻处罚或者免除处罚。</w:t>
      </w:r>
    </w:p>
    <w:p>
      <w:pPr>
        <w:spacing w:line="240" w:lineRule="auto"/>
        <w:ind w:firstLine="640"/>
        <w:jc w:val="both"/>
      </w:pPr>
      <w:r>
        <w:rPr>
          <w:rFonts w:ascii="黑体" w:hAnsi="黑体" w:eastAsia="黑体" w:cs="黑体"/>
          <w:sz w:val="32"/>
        </w:rPr>
        <w:t>第三百九十三条</w:t>
      </w:r>
      <w:r>
        <w:rPr>
          <w:rFonts w:ascii="仿宋_GB2312" w:hAnsi="仿宋_GB2312" w:eastAsia="仿宋_GB2312" w:cs="仿宋_GB2312"/>
          <w:sz w:val="32"/>
        </w:rPr>
        <w:t>　单位为谋取不正当利益而行贿，或者违反国家规定，给予国家工作人员以回扣、手续费，情节严重的，对单位判处罚金，并对其直接负责的主管人员和其他直接责任人员，处五年以下有期徒刑或者拘役，并处罚金。因行贿取得的违法所得归个人所有的，依照本法第三百八十九条、第三百九十条的规定定罪处罚。</w:t>
      </w:r>
    </w:p>
    <w:p>
      <w:pPr>
        <w:spacing w:line="240" w:lineRule="auto"/>
        <w:ind w:firstLine="640"/>
        <w:jc w:val="both"/>
      </w:pPr>
      <w:r>
        <w:rPr>
          <w:rFonts w:ascii="黑体" w:hAnsi="黑体" w:eastAsia="黑体" w:cs="黑体"/>
          <w:sz w:val="32"/>
        </w:rPr>
        <w:t>第三百九十四条</w:t>
      </w:r>
      <w:r>
        <w:rPr>
          <w:rFonts w:ascii="仿宋_GB2312" w:hAnsi="仿宋_GB2312" w:eastAsia="仿宋_GB2312" w:cs="仿宋_GB2312"/>
          <w:sz w:val="32"/>
        </w:rPr>
        <w:t>　国家工作人员在国内公务活动或者对外交往中接受礼物，依照国家规定应当交公而不交公，数额较大的，依照本法第三百八十二条、第三百八十三条的规定定罪处罚。</w:t>
      </w:r>
    </w:p>
    <w:p>
      <w:pPr>
        <w:spacing w:line="240" w:lineRule="auto"/>
        <w:ind w:firstLine="640"/>
        <w:jc w:val="both"/>
      </w:pPr>
      <w:r>
        <w:rPr>
          <w:rFonts w:ascii="黑体" w:hAnsi="黑体" w:eastAsia="黑体" w:cs="黑体"/>
          <w:sz w:val="32"/>
        </w:rPr>
        <w:t>第三百九十五条</w:t>
      </w:r>
      <w:r>
        <w:rPr>
          <w:rFonts w:ascii="仿宋_GB2312" w:hAnsi="仿宋_GB2312" w:eastAsia="仿宋_GB2312" w:cs="仿宋_GB2312"/>
          <w:sz w:val="32"/>
        </w:rPr>
        <w:t>　国家工作人员的财产、支出明显超过合法收入，差额巨大的，可以责令该国家工作人员说明来源，不能说明来源的，差额部分以非法所得论，处五年以下有期徒刑或者拘役；差额特别巨大的，处五年以上十年以下有期徒刑。财产的差额部分予以追缴。</w:t>
      </w:r>
    </w:p>
    <w:p>
      <w:pPr>
        <w:spacing w:line="240" w:lineRule="auto"/>
        <w:ind w:firstLine="640"/>
        <w:jc w:val="both"/>
      </w:pPr>
      <w:r>
        <w:rPr>
          <w:rFonts w:ascii="仿宋_GB2312" w:hAnsi="仿宋_GB2312" w:eastAsia="仿宋_GB2312" w:cs="仿宋_GB2312"/>
          <w:sz w:val="32"/>
        </w:rPr>
        <w:t>国家工作人员在境外的存款，应当依照国家规定申报。数额较大、隐瞒不报的，处二年以下有期徒刑或者拘役；情节较轻的，由其所在单位或者上级主管机关酌情给予行政处分。</w:t>
      </w:r>
    </w:p>
    <w:p>
      <w:pPr>
        <w:spacing w:line="240" w:lineRule="auto"/>
        <w:ind w:firstLine="640"/>
        <w:jc w:val="both"/>
      </w:pPr>
      <w:r>
        <w:rPr>
          <w:rFonts w:ascii="黑体" w:hAnsi="黑体" w:eastAsia="黑体" w:cs="黑体"/>
          <w:sz w:val="32"/>
        </w:rPr>
        <w:t>第三百九十六条</w:t>
      </w:r>
      <w:r>
        <w:rPr>
          <w:rFonts w:ascii="仿宋_GB2312" w:hAnsi="仿宋_GB2312" w:eastAsia="仿宋_GB2312" w:cs="仿宋_GB2312"/>
          <w:sz w:val="32"/>
        </w:rPr>
        <w:t>　国家机关、国有公司、企业、事业单位、人民团体，违反国家规定，以单位名义将国有资产集体私分给个人，数额较大的，对其直接负责的主管人员和其他直接责任人员，处三年以下有期徒刑或者拘役，并处或者单处罚金；数额巨大的，处三年以上七年以下有期徒刑，并处罚金。</w:t>
      </w:r>
    </w:p>
    <w:p>
      <w:pPr>
        <w:spacing w:line="240" w:lineRule="auto"/>
        <w:ind w:firstLine="640"/>
        <w:jc w:val="both"/>
      </w:pPr>
      <w:r>
        <w:rPr>
          <w:rFonts w:ascii="仿宋_GB2312" w:hAnsi="仿宋_GB2312" w:eastAsia="仿宋_GB2312" w:cs="仿宋_GB2312"/>
          <w:sz w:val="32"/>
        </w:rPr>
        <w:t>司法机关、行政执法机关违反国家规定，将应当上缴国家的罚没财物，以单位名义集体私分给个人的，依照前款的规定处罚。</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第九章　渎职罪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第三百九十七条</w:t>
      </w:r>
      <w:r>
        <w:rPr>
          <w:rFonts w:ascii="仿宋_GB2312" w:hAnsi="仿宋_GB2312" w:eastAsia="仿宋_GB2312" w:cs="仿宋_GB2312"/>
          <w:sz w:val="32"/>
        </w:rPr>
        <w:t>　国家机关工作人员滥用职权或者玩忽职守，致使公共财产、国家和人民利益遭受重大损失的，处三年以下有期徒刑或者拘役；情节特别严重的，处三年以上七年以下有期徒刑。本法另有规定的，依照规定。</w:t>
      </w:r>
    </w:p>
    <w:p>
      <w:pPr>
        <w:spacing w:line="240" w:lineRule="auto"/>
        <w:ind w:firstLine="640"/>
        <w:jc w:val="both"/>
      </w:pPr>
      <w:r>
        <w:rPr>
          <w:rFonts w:ascii="仿宋_GB2312" w:hAnsi="仿宋_GB2312" w:eastAsia="仿宋_GB2312" w:cs="仿宋_GB2312"/>
          <w:sz w:val="32"/>
        </w:rPr>
        <w:t>国家机关工作人员徇私舞弊，犯前款罪的，处五年以下有期徒刑或者拘役；情节特别严重的，处五年以上十年以下有期徒刑。本法另有规定的，依照规定。</w:t>
      </w:r>
    </w:p>
    <w:p>
      <w:pPr>
        <w:spacing w:line="240" w:lineRule="auto"/>
        <w:ind w:firstLine="640"/>
        <w:jc w:val="both"/>
      </w:pPr>
      <w:r>
        <w:rPr>
          <w:rFonts w:ascii="黑体" w:hAnsi="黑体" w:eastAsia="黑体" w:cs="黑体"/>
          <w:sz w:val="32"/>
        </w:rPr>
        <w:t>第三百九十八条</w:t>
      </w:r>
      <w:r>
        <w:rPr>
          <w:rFonts w:ascii="仿宋_GB2312" w:hAnsi="仿宋_GB2312" w:eastAsia="仿宋_GB2312" w:cs="仿宋_GB2312"/>
          <w:sz w:val="32"/>
        </w:rPr>
        <w:t>　国家机关工作人员违反保守国家秘密法的规定，故意或者过失泄露国家秘密，情节严重的，处三年以下有期徒刑或者拘役；情节特别严重的，处三年以上七年以下有期徒刑。</w:t>
      </w:r>
    </w:p>
    <w:p>
      <w:pPr>
        <w:spacing w:line="240" w:lineRule="auto"/>
        <w:ind w:firstLine="640"/>
        <w:jc w:val="both"/>
      </w:pPr>
      <w:r>
        <w:rPr>
          <w:rFonts w:ascii="仿宋_GB2312" w:hAnsi="仿宋_GB2312" w:eastAsia="仿宋_GB2312" w:cs="仿宋_GB2312"/>
          <w:sz w:val="32"/>
        </w:rPr>
        <w:t>非国家机关工作人员犯前款罪的，依照前款的规定酌情处罚。</w:t>
      </w:r>
    </w:p>
    <w:p>
      <w:pPr>
        <w:spacing w:line="240" w:lineRule="auto"/>
        <w:ind w:firstLine="640"/>
        <w:jc w:val="both"/>
      </w:pPr>
      <w:r>
        <w:rPr>
          <w:rFonts w:ascii="黑体" w:hAnsi="黑体" w:eastAsia="黑体" w:cs="黑体"/>
          <w:sz w:val="32"/>
        </w:rPr>
        <w:t>第三百九十九条</w:t>
      </w:r>
      <w:r>
        <w:rPr>
          <w:rFonts w:ascii="仿宋_GB2312" w:hAnsi="仿宋_GB2312" w:eastAsia="仿宋_GB2312" w:cs="仿宋_GB2312"/>
          <w:sz w:val="32"/>
        </w:rPr>
        <w:t>　司法工作人员徇私枉法、徇情枉法，对明知是无罪的人而使他受追诉、对明知是有罪的人而故意包庇不使他受追诉，或者在刑事审判活动中故意违背事实和法律作枉法裁判的，处五年以下有期徒刑或者拘役；情节严重的，处五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在民事、行政审判活动中故意违背事实和法律作枉法裁判，情节严重的，处五年以下有期徒刑或者拘役；情节特别严重的，处五年以上十年以下有期徒刑。</w:t>
      </w:r>
    </w:p>
    <w:p>
      <w:pPr>
        <w:spacing w:line="240" w:lineRule="auto"/>
        <w:ind w:firstLine="640"/>
        <w:jc w:val="both"/>
      </w:pPr>
      <w:r>
        <w:rPr>
          <w:rFonts w:ascii="仿宋_GB2312" w:hAnsi="仿宋_GB2312" w:eastAsia="仿宋_GB2312" w:cs="仿宋_GB2312"/>
          <w:sz w:val="32"/>
        </w:rPr>
        <w:t>在执行判决、裁定活动中，严重不负责任或者滥用职权，不依法采取诉讼保全措施、不履行法定执行职责，或者违法采取诉讼保全措施、强制执行措施，致使当事人或者其他人的利益遭受重大损失的，处五年以下有期徒刑或者拘役；致使当事人或者其他人的利益遭受特别重大损失的，处五年以上十年以下有期徒刑。</w:t>
      </w:r>
    </w:p>
    <w:p>
      <w:pPr>
        <w:spacing w:line="240" w:lineRule="auto"/>
        <w:ind w:firstLine="640"/>
        <w:jc w:val="both"/>
      </w:pPr>
      <w:r>
        <w:rPr>
          <w:rFonts w:ascii="仿宋_GB2312" w:hAnsi="仿宋_GB2312" w:eastAsia="仿宋_GB2312" w:cs="仿宋_GB2312"/>
          <w:sz w:val="32"/>
        </w:rPr>
        <w:t>司法工作人员收受贿赂，有前三款行为的，同时又构成本法第三百八十五条规定之罪的，依照处罚较重的规定定罪处罚。</w:t>
      </w:r>
    </w:p>
    <w:p>
      <w:pPr>
        <w:spacing w:line="240" w:lineRule="auto"/>
        <w:ind w:firstLine="640"/>
        <w:jc w:val="both"/>
      </w:pPr>
      <w:r>
        <w:rPr>
          <w:rFonts w:ascii="黑体" w:hAnsi="黑体" w:eastAsia="黑体" w:cs="黑体"/>
          <w:sz w:val="32"/>
        </w:rPr>
        <w:t>第三百九十九</w:t>
      </w:r>
      <w:r>
        <w:rPr>
          <w:rFonts w:hint="eastAsia" w:ascii="黑体" w:hAnsi="黑体" w:eastAsia="黑体" w:cs="黑体"/>
          <w:sz w:val="32"/>
          <w:lang w:eastAsia="zh-CN"/>
        </w:rPr>
        <w:t>条之一　</w:t>
      </w:r>
      <w:r>
        <w:rPr>
          <w:rFonts w:ascii="仿宋_GB2312" w:hAnsi="仿宋_GB2312" w:eastAsia="仿宋_GB2312" w:cs="仿宋_GB2312"/>
          <w:sz w:val="32"/>
        </w:rPr>
        <w:t>依法承担仲裁职责的人员，在仲裁活动中故意违背事实和法律作枉法裁决，情节严重的，处三年以下有期徒刑或者拘役；情节特别严重的，处三年以上七年以下有期徒刑。</w:t>
      </w:r>
    </w:p>
    <w:p>
      <w:pPr>
        <w:spacing w:line="240" w:lineRule="auto"/>
        <w:ind w:firstLine="640"/>
        <w:jc w:val="both"/>
      </w:pPr>
      <w:r>
        <w:rPr>
          <w:rFonts w:ascii="黑体" w:hAnsi="黑体" w:eastAsia="黑体" w:cs="黑体"/>
          <w:sz w:val="32"/>
        </w:rPr>
        <w:t>第四百条</w:t>
      </w:r>
      <w:r>
        <w:rPr>
          <w:rFonts w:ascii="仿宋_GB2312" w:hAnsi="仿宋_GB2312" w:eastAsia="仿宋_GB2312" w:cs="仿宋_GB2312"/>
          <w:sz w:val="32"/>
        </w:rPr>
        <w:t>　司法工作人员私放在押的犯罪嫌疑人、被告人或者罪犯的，处五年以下有期徒刑或者拘役；情节严重的，处五年以上十年以下有期徒刑；情节特别严重的，处十年以上有期徒刑。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司法工作人员由于严重不负责任，致使在押的犯罪嫌疑人、被告人或者罪犯脱逃，造成严重后果的，处三年以下有期徒刑或者拘役；造成特别严重后果的，处三年以上十年以下有期徒刑。</w:t>
      </w:r>
    </w:p>
    <w:p>
      <w:pPr>
        <w:spacing w:line="240" w:lineRule="auto"/>
        <w:ind w:firstLine="640"/>
        <w:jc w:val="both"/>
      </w:pPr>
      <w:r>
        <w:rPr>
          <w:rFonts w:ascii="黑体" w:hAnsi="黑体" w:eastAsia="黑体" w:cs="黑体"/>
          <w:sz w:val="32"/>
        </w:rPr>
        <w:t>第四百零一条</w:t>
      </w:r>
      <w:r>
        <w:rPr>
          <w:rFonts w:ascii="仿宋_GB2312" w:hAnsi="仿宋_GB2312" w:eastAsia="仿宋_GB2312" w:cs="仿宋_GB2312"/>
          <w:sz w:val="32"/>
        </w:rPr>
        <w:t>　司法工作人员徇私舞弊，对不符合减刑、假释、暂予监外执行条件的罪犯，予以减刑、假释或者暂予监外执行的，处三年以下有期徒刑或者拘役；情节严重的，处三年以上七年以下有期徒刑。</w:t>
      </w:r>
    </w:p>
    <w:p>
      <w:pPr>
        <w:spacing w:line="240" w:lineRule="auto"/>
        <w:ind w:firstLine="640"/>
        <w:jc w:val="both"/>
      </w:pPr>
      <w:r>
        <w:rPr>
          <w:rFonts w:ascii="黑体" w:hAnsi="黑体" w:eastAsia="黑体" w:cs="黑体"/>
          <w:sz w:val="32"/>
        </w:rPr>
        <w:t>第四百零二条</w:t>
      </w:r>
      <w:r>
        <w:rPr>
          <w:rFonts w:ascii="仿宋_GB2312" w:hAnsi="仿宋_GB2312" w:eastAsia="仿宋_GB2312" w:cs="仿宋_GB2312"/>
          <w:sz w:val="32"/>
        </w:rPr>
        <w:t>　行政执法人员徇私舞弊，对依法应当移交司法机关追究刑事责任的不移交，情节严重的，处三年以下有期徒刑或者拘役；造成严重后果的，处三年以上七年以下有期徒刑。</w:t>
      </w:r>
    </w:p>
    <w:p>
      <w:pPr>
        <w:spacing w:line="240" w:lineRule="auto"/>
        <w:ind w:firstLine="640"/>
        <w:jc w:val="both"/>
      </w:pPr>
      <w:r>
        <w:rPr>
          <w:rFonts w:ascii="黑体" w:hAnsi="黑体" w:eastAsia="黑体" w:cs="黑体"/>
          <w:sz w:val="32"/>
        </w:rPr>
        <w:t>第四百零三条</w:t>
      </w:r>
      <w:r>
        <w:rPr>
          <w:rFonts w:ascii="仿宋_GB2312" w:hAnsi="仿宋_GB2312" w:eastAsia="仿宋_GB2312" w:cs="仿宋_GB2312"/>
          <w:sz w:val="32"/>
        </w:rPr>
        <w:t>　国家有关主管部门的国家机关工作人员，徇私舞弊，滥用职权，对不符合法律规定条件的公司设立、登记申请或者股票、债券发行、上市申请，予以批准或者登记，致使公共财产、国家和人民利益遭受重大损失的，处五年以下有期徒刑或者拘役。</w:t>
      </w:r>
    </w:p>
    <w:p>
      <w:pPr>
        <w:spacing w:line="240" w:lineRule="auto"/>
        <w:ind w:firstLine="640"/>
        <w:jc w:val="both"/>
      </w:pPr>
      <w:r>
        <w:rPr>
          <w:rFonts w:ascii="仿宋_GB2312" w:hAnsi="仿宋_GB2312" w:eastAsia="仿宋_GB2312" w:cs="仿宋_GB2312"/>
          <w:sz w:val="32"/>
        </w:rPr>
        <w:t>上级部门强令登记机关及其工作人员实施前款行为的，对其直接负责的主管人员，依照前款的规定处罚。</w:t>
      </w:r>
    </w:p>
    <w:p>
      <w:pPr>
        <w:spacing w:line="240" w:lineRule="auto"/>
        <w:ind w:firstLine="640"/>
        <w:jc w:val="both"/>
      </w:pPr>
      <w:r>
        <w:rPr>
          <w:rFonts w:ascii="黑体" w:hAnsi="黑体" w:eastAsia="黑体" w:cs="黑体"/>
          <w:sz w:val="32"/>
        </w:rPr>
        <w:t>第四百零四条</w:t>
      </w:r>
      <w:r>
        <w:rPr>
          <w:rFonts w:ascii="仿宋_GB2312" w:hAnsi="仿宋_GB2312" w:eastAsia="仿宋_GB2312" w:cs="仿宋_GB2312"/>
          <w:sz w:val="32"/>
        </w:rPr>
        <w:t>　税务机关的工作人员徇私舞弊，不征或者少征应征税款，致使国家税收遭受重大损失的，处五年以下有期徒刑或者拘役；造成特别重大损失的，处五年以上有期徒刑。</w:t>
      </w:r>
    </w:p>
    <w:p>
      <w:pPr>
        <w:spacing w:line="240" w:lineRule="auto"/>
        <w:ind w:firstLine="640"/>
        <w:jc w:val="both"/>
      </w:pPr>
      <w:r>
        <w:rPr>
          <w:rFonts w:ascii="黑体" w:hAnsi="黑体" w:eastAsia="黑体" w:cs="黑体"/>
          <w:sz w:val="32"/>
        </w:rPr>
        <w:t>第四百零五条</w:t>
      </w:r>
      <w:r>
        <w:rPr>
          <w:rFonts w:ascii="仿宋_GB2312" w:hAnsi="仿宋_GB2312" w:eastAsia="仿宋_GB2312" w:cs="仿宋_GB2312"/>
          <w:sz w:val="32"/>
        </w:rPr>
        <w:t>　税务机关的工作人员违反法律、行政法规的规定，在办理发售发票、抵扣税款、出口退税工作中，徇私舞弊，致使国家利益遭受重大损失的，处五年以下有期徒刑或者拘役；致使国家利益遭受特别重大损失的，处五年以上有期徒刑。</w:t>
      </w:r>
    </w:p>
    <w:p>
      <w:pPr>
        <w:spacing w:line="240" w:lineRule="auto"/>
        <w:ind w:firstLine="640"/>
        <w:jc w:val="both"/>
      </w:pPr>
      <w:r>
        <w:rPr>
          <w:rFonts w:ascii="仿宋_GB2312" w:hAnsi="仿宋_GB2312" w:eastAsia="仿宋_GB2312" w:cs="仿宋_GB2312"/>
          <w:sz w:val="32"/>
        </w:rPr>
        <w:t>其他国家机关工作人员违反国家规定，在提供出口货物报关单、出口收汇核销单等出口退税凭证的工作中，徇私舞弊，致使国家利益遭受重大损失的，依照前款的规定处罚。</w:t>
      </w:r>
    </w:p>
    <w:p>
      <w:pPr>
        <w:spacing w:line="240" w:lineRule="auto"/>
        <w:ind w:firstLine="640"/>
        <w:jc w:val="both"/>
      </w:pPr>
      <w:r>
        <w:rPr>
          <w:rFonts w:ascii="黑体" w:hAnsi="黑体" w:eastAsia="黑体" w:cs="黑体"/>
          <w:sz w:val="32"/>
        </w:rPr>
        <w:t>第四百零六条</w:t>
      </w:r>
      <w:r>
        <w:rPr>
          <w:rFonts w:ascii="仿宋_GB2312" w:hAnsi="仿宋_GB2312" w:eastAsia="仿宋_GB2312" w:cs="仿宋_GB2312"/>
          <w:sz w:val="32"/>
        </w:rPr>
        <w:t>　国家机关工作人员在签订、履行合同过程中，因严重不负责任被诈骗，致使国家利益遭受重大损失的，处三年以下有期徒刑或者拘役；致使国家利益遭受特别重大损失的，处三年以上七年以下有期徒刑。</w:t>
      </w:r>
    </w:p>
    <w:p>
      <w:pPr>
        <w:spacing w:line="240" w:lineRule="auto"/>
        <w:ind w:firstLine="640"/>
        <w:jc w:val="both"/>
      </w:pPr>
      <w:r>
        <w:rPr>
          <w:rFonts w:ascii="黑体" w:hAnsi="黑体" w:eastAsia="黑体" w:cs="黑体"/>
          <w:sz w:val="32"/>
        </w:rPr>
        <w:t>第四百零七条</w:t>
      </w:r>
      <w:r>
        <w:rPr>
          <w:rFonts w:ascii="仿宋_GB2312" w:hAnsi="仿宋_GB2312" w:eastAsia="仿宋_GB2312" w:cs="仿宋_GB2312"/>
          <w:sz w:val="32"/>
        </w:rPr>
        <w:t>　林业主管部门的工作人员违反森林法的规定，超过批准的年采伐限额发放林木采伐许可证或者违反规定滥发林木采伐许可证，情节严重，致使森林遭受严重破坏的，处三年以下有期徒刑或者拘役。</w:t>
      </w:r>
    </w:p>
    <w:p>
      <w:pPr>
        <w:spacing w:line="240" w:lineRule="auto"/>
        <w:ind w:firstLine="640"/>
        <w:jc w:val="both"/>
      </w:pPr>
      <w:r>
        <w:rPr>
          <w:rFonts w:ascii="黑体" w:hAnsi="黑体" w:eastAsia="黑体" w:cs="黑体"/>
          <w:sz w:val="32"/>
        </w:rPr>
        <w:t>第四百零八条</w:t>
      </w:r>
      <w:r>
        <w:rPr>
          <w:rFonts w:ascii="仿宋_GB2312" w:hAnsi="仿宋_GB2312" w:eastAsia="仿宋_GB2312" w:cs="仿宋_GB2312"/>
          <w:sz w:val="32"/>
        </w:rPr>
        <w:t>　负有环境保护监督管理职责的国家机关工作人员严重不负责任，导致发生重大环境污染事故，致使公私财产遭受重大损失或者造成人身伤亡的严重后果的，处三年以下有期徒刑或者拘役。</w:t>
      </w:r>
    </w:p>
    <w:p>
      <w:pPr>
        <w:spacing w:line="240" w:lineRule="auto"/>
        <w:ind w:firstLine="640"/>
        <w:jc w:val="both"/>
      </w:pPr>
      <w:r>
        <w:rPr>
          <w:rFonts w:ascii="黑体" w:hAnsi="黑体" w:eastAsia="黑体" w:cs="黑体"/>
          <w:sz w:val="32"/>
        </w:rPr>
        <w:t>第四百零八</w:t>
      </w:r>
      <w:r>
        <w:rPr>
          <w:rFonts w:hint="eastAsia" w:ascii="黑体" w:hAnsi="黑体" w:eastAsia="黑体" w:cs="黑体"/>
          <w:sz w:val="32"/>
          <w:lang w:eastAsia="zh-CN"/>
        </w:rPr>
        <w:t>条之一　</w:t>
      </w:r>
      <w:r>
        <w:rPr>
          <w:rFonts w:ascii="仿宋_GB2312" w:hAnsi="仿宋_GB2312" w:eastAsia="仿宋_GB2312" w:cs="仿宋_GB2312"/>
          <w:sz w:val="32"/>
        </w:rPr>
        <w:t>负有食品药品安全监督管理职责的国家机关工作人员，滥用职权或者玩忽职守，有下列情形之一，造成严重后果或者有其他严重情节的，处五年以下有期徒刑或者拘役；造成特别严重后果或者有其他特别严重情节的，处五年以上十年以下有期徒刑：</w:t>
      </w:r>
    </w:p>
    <w:p>
      <w:pPr>
        <w:spacing w:line="240" w:lineRule="auto"/>
        <w:ind w:firstLine="640"/>
        <w:jc w:val="both"/>
      </w:pPr>
      <w:r>
        <w:rPr>
          <w:rFonts w:ascii="仿宋_GB2312" w:hAnsi="仿宋_GB2312" w:eastAsia="仿宋_GB2312" w:cs="仿宋_GB2312"/>
          <w:sz w:val="32"/>
        </w:rPr>
        <w:t>（一）瞒报、谎报食品安全事故、药品安全事件的；</w:t>
      </w:r>
    </w:p>
    <w:p>
      <w:pPr>
        <w:spacing w:line="240" w:lineRule="auto"/>
        <w:ind w:firstLine="640"/>
        <w:jc w:val="both"/>
      </w:pPr>
      <w:r>
        <w:rPr>
          <w:rFonts w:ascii="仿宋_GB2312" w:hAnsi="仿宋_GB2312" w:eastAsia="仿宋_GB2312" w:cs="仿宋_GB2312"/>
          <w:sz w:val="32"/>
        </w:rPr>
        <w:t>（二）对发现的严重食品药品安全违法行为未按规定查处的；</w:t>
      </w:r>
    </w:p>
    <w:p>
      <w:pPr>
        <w:spacing w:line="240" w:lineRule="auto"/>
        <w:ind w:firstLine="640"/>
        <w:jc w:val="both"/>
      </w:pPr>
      <w:r>
        <w:rPr>
          <w:rFonts w:ascii="仿宋_GB2312" w:hAnsi="仿宋_GB2312" w:eastAsia="仿宋_GB2312" w:cs="仿宋_GB2312"/>
          <w:sz w:val="32"/>
        </w:rPr>
        <w:t>（三）在药品和特殊食品审批审评过程中，对不符合条件的申请准予许可的；</w:t>
      </w:r>
    </w:p>
    <w:p>
      <w:pPr>
        <w:spacing w:line="240" w:lineRule="auto"/>
        <w:ind w:firstLine="640"/>
        <w:jc w:val="both"/>
      </w:pPr>
      <w:r>
        <w:rPr>
          <w:rFonts w:ascii="仿宋_GB2312" w:hAnsi="仿宋_GB2312" w:eastAsia="仿宋_GB2312" w:cs="仿宋_GB2312"/>
          <w:sz w:val="32"/>
        </w:rPr>
        <w:t>（四）依法应当移交司法机关追究刑事责任不移交的；</w:t>
      </w:r>
    </w:p>
    <w:p>
      <w:pPr>
        <w:spacing w:line="240" w:lineRule="auto"/>
        <w:ind w:firstLine="640"/>
        <w:jc w:val="both"/>
      </w:pPr>
      <w:r>
        <w:rPr>
          <w:rFonts w:ascii="仿宋_GB2312" w:hAnsi="仿宋_GB2312" w:eastAsia="仿宋_GB2312" w:cs="仿宋_GB2312"/>
          <w:sz w:val="32"/>
        </w:rPr>
        <w:t>（五）有其他滥用职权或者玩忽职守行为的。</w:t>
      </w:r>
    </w:p>
    <w:p>
      <w:pPr>
        <w:spacing w:line="240" w:lineRule="auto"/>
        <w:ind w:firstLine="640"/>
        <w:jc w:val="both"/>
      </w:pPr>
      <w:r>
        <w:rPr>
          <w:rFonts w:ascii="仿宋_GB2312" w:hAnsi="仿宋_GB2312" w:eastAsia="仿宋_GB2312" w:cs="仿宋_GB2312"/>
          <w:sz w:val="32"/>
        </w:rPr>
        <w:t>徇私舞弊犯前款罪的，从重处罚。</w:t>
      </w:r>
    </w:p>
    <w:p>
      <w:pPr>
        <w:spacing w:line="240" w:lineRule="auto"/>
        <w:ind w:firstLine="640"/>
        <w:jc w:val="both"/>
      </w:pPr>
      <w:r>
        <w:rPr>
          <w:rFonts w:ascii="黑体" w:hAnsi="黑体" w:eastAsia="黑体" w:cs="黑体"/>
          <w:sz w:val="32"/>
        </w:rPr>
        <w:t>第四百零九条</w:t>
      </w:r>
      <w:r>
        <w:rPr>
          <w:rFonts w:ascii="仿宋_GB2312" w:hAnsi="仿宋_GB2312" w:eastAsia="仿宋_GB2312" w:cs="仿宋_GB2312"/>
          <w:sz w:val="32"/>
        </w:rPr>
        <w:t>　从事传染病防治的政府卫生行政部门的工作人员严重不负责任，导致传染病传播或者流行，情节严重的，处三年以下有期徒刑或者拘役。</w:t>
      </w:r>
    </w:p>
    <w:p>
      <w:pPr>
        <w:spacing w:line="240" w:lineRule="auto"/>
        <w:ind w:firstLine="640"/>
        <w:jc w:val="both"/>
      </w:pPr>
      <w:r>
        <w:rPr>
          <w:rFonts w:ascii="黑体" w:hAnsi="黑体" w:eastAsia="黑体" w:cs="黑体"/>
          <w:sz w:val="32"/>
        </w:rPr>
        <w:t>第四百一十条</w:t>
      </w:r>
      <w:r>
        <w:rPr>
          <w:rFonts w:ascii="仿宋_GB2312" w:hAnsi="仿宋_GB2312" w:eastAsia="仿宋_GB2312" w:cs="仿宋_GB2312"/>
          <w:sz w:val="32"/>
        </w:rPr>
        <w:t>　国家机关工作人员徇私舞弊，违反土地管理法规，滥用职权，非法批准征收、征用、占用土地，或者非法低价出让国有土地使用权，情节严重的，处三年以下有期徒刑或者拘役；致使国家或者集体利益遭受特别重大损失的，处三年以上七年以下有期徒刑。</w:t>
      </w:r>
    </w:p>
    <w:p>
      <w:pPr>
        <w:spacing w:line="240" w:lineRule="auto"/>
        <w:ind w:firstLine="640"/>
        <w:jc w:val="both"/>
      </w:pPr>
      <w:r>
        <w:rPr>
          <w:rFonts w:ascii="黑体" w:hAnsi="黑体" w:eastAsia="黑体" w:cs="黑体"/>
          <w:sz w:val="32"/>
        </w:rPr>
        <w:t>第四百一十一条</w:t>
      </w:r>
      <w:r>
        <w:rPr>
          <w:rFonts w:ascii="仿宋_GB2312" w:hAnsi="仿宋_GB2312" w:eastAsia="仿宋_GB2312" w:cs="仿宋_GB2312"/>
          <w:sz w:val="32"/>
        </w:rPr>
        <w:t>　海关工作人员徇私舞弊，放纵走私，情节严重的，处五年以下有期徒刑或者拘役；情节特别严重的，处五年以上有期徒刑。</w:t>
      </w:r>
    </w:p>
    <w:p>
      <w:pPr>
        <w:spacing w:line="240" w:lineRule="auto"/>
        <w:ind w:firstLine="640"/>
        <w:jc w:val="both"/>
      </w:pPr>
      <w:r>
        <w:rPr>
          <w:rFonts w:ascii="黑体" w:hAnsi="黑体" w:eastAsia="黑体" w:cs="黑体"/>
          <w:sz w:val="32"/>
        </w:rPr>
        <w:t>第四百一十二条</w:t>
      </w:r>
      <w:r>
        <w:rPr>
          <w:rFonts w:ascii="仿宋_GB2312" w:hAnsi="仿宋_GB2312" w:eastAsia="仿宋_GB2312" w:cs="仿宋_GB2312"/>
          <w:sz w:val="32"/>
        </w:rPr>
        <w:t>　国家商检部门、商检机构的工作人员徇私舞弊，伪造检验结果的，处五年以下有期徒刑或者拘役；造成严重后果的，处五年以上十年以下有期徒刑。</w:t>
      </w:r>
    </w:p>
    <w:p>
      <w:pPr>
        <w:spacing w:line="240" w:lineRule="auto"/>
        <w:ind w:firstLine="640"/>
        <w:jc w:val="both"/>
      </w:pPr>
      <w:r>
        <w:rPr>
          <w:rFonts w:ascii="仿宋_GB2312" w:hAnsi="仿宋_GB2312" w:eastAsia="仿宋_GB2312" w:cs="仿宋_GB2312"/>
          <w:sz w:val="32"/>
        </w:rPr>
        <w:t>前款所列人员严重不负责任，对应当检验的物品不检验，或者延误检验出证、错误出证，致使国家利益遭受重大损失的，处三年以下有期徒刑或者拘役。</w:t>
      </w:r>
    </w:p>
    <w:p>
      <w:pPr>
        <w:spacing w:line="240" w:lineRule="auto"/>
        <w:ind w:firstLine="640"/>
        <w:jc w:val="both"/>
      </w:pPr>
      <w:r>
        <w:rPr>
          <w:rFonts w:ascii="黑体" w:hAnsi="黑体" w:eastAsia="黑体" w:cs="黑体"/>
          <w:sz w:val="32"/>
        </w:rPr>
        <w:t>第四百一十三条</w:t>
      </w:r>
      <w:r>
        <w:rPr>
          <w:rFonts w:ascii="仿宋_GB2312" w:hAnsi="仿宋_GB2312" w:eastAsia="仿宋_GB2312" w:cs="仿宋_GB2312"/>
          <w:sz w:val="32"/>
        </w:rPr>
        <w:t>　动植物检疫机关的检疫人员徇私舞弊，伪造检疫结果的，处五年以下有期徒刑或者拘役；造成严重后果的，处五年以上十年以下有期徒刑。</w:t>
      </w:r>
    </w:p>
    <w:p>
      <w:pPr>
        <w:spacing w:line="240" w:lineRule="auto"/>
        <w:ind w:firstLine="640"/>
        <w:jc w:val="both"/>
      </w:pPr>
      <w:r>
        <w:rPr>
          <w:rFonts w:ascii="仿宋_GB2312" w:hAnsi="仿宋_GB2312" w:eastAsia="仿宋_GB2312" w:cs="仿宋_GB2312"/>
          <w:sz w:val="32"/>
        </w:rPr>
        <w:t>前款所列人员严重不负责任，对应当检疫的检疫物不检疫，或者延误检疫出证、错误出证，致使国家利益遭受重大损失的，处三年以下有期徒刑或者拘役。</w:t>
      </w:r>
    </w:p>
    <w:p>
      <w:pPr>
        <w:spacing w:line="240" w:lineRule="auto"/>
        <w:ind w:firstLine="640"/>
        <w:jc w:val="both"/>
      </w:pPr>
      <w:r>
        <w:rPr>
          <w:rFonts w:ascii="黑体" w:hAnsi="黑体" w:eastAsia="黑体" w:cs="黑体"/>
          <w:sz w:val="32"/>
        </w:rPr>
        <w:t>第四百一十四条</w:t>
      </w:r>
      <w:r>
        <w:rPr>
          <w:rFonts w:ascii="仿宋_GB2312" w:hAnsi="仿宋_GB2312" w:eastAsia="仿宋_GB2312" w:cs="仿宋_GB2312"/>
          <w:sz w:val="32"/>
        </w:rPr>
        <w:t>　对生产、销售伪劣商品犯罪行为负有追究责任的国家机关工作人员，徇私舞弊，不履行法律规定的追究职责，情节严重的，处五年以下有期徒刑或者拘役。</w:t>
      </w:r>
    </w:p>
    <w:p>
      <w:pPr>
        <w:spacing w:line="240" w:lineRule="auto"/>
        <w:ind w:firstLine="640"/>
        <w:jc w:val="both"/>
      </w:pPr>
      <w:r>
        <w:rPr>
          <w:rFonts w:ascii="黑体" w:hAnsi="黑体" w:eastAsia="黑体" w:cs="黑体"/>
          <w:sz w:val="32"/>
        </w:rPr>
        <w:t>第四百一十五条</w:t>
      </w:r>
      <w:r>
        <w:rPr>
          <w:rFonts w:ascii="仿宋_GB2312" w:hAnsi="仿宋_GB2312" w:eastAsia="仿宋_GB2312" w:cs="仿宋_GB2312"/>
          <w:sz w:val="32"/>
        </w:rPr>
        <w:t>　负责办理护照、签证以及其他出入境证件的国家机关工作人员，对明知是企图偷越国（边）境的人员，予以办理出入境证件的，或者边防、海关等国家机关工作人员，对明知是偷越国（边）境的人员，予以放行的，处三年以下有期徒刑或者拘役；情节严重的，处三年以上七年以下有期徒刑。</w:t>
      </w:r>
    </w:p>
    <w:p>
      <w:pPr>
        <w:spacing w:line="240" w:lineRule="auto"/>
        <w:ind w:firstLine="640"/>
        <w:jc w:val="both"/>
      </w:pPr>
      <w:r>
        <w:rPr>
          <w:rFonts w:ascii="黑体" w:hAnsi="黑体" w:eastAsia="黑体" w:cs="黑体"/>
          <w:sz w:val="32"/>
        </w:rPr>
        <w:t>第四百一十六条</w:t>
      </w:r>
      <w:r>
        <w:rPr>
          <w:rFonts w:ascii="仿宋_GB2312" w:hAnsi="仿宋_GB2312" w:eastAsia="仿宋_GB2312" w:cs="仿宋_GB2312"/>
          <w:sz w:val="32"/>
        </w:rPr>
        <w:t>　对被拐卖、绑架的妇女、儿童负有解救职责的国家机关工作人员，接到被拐卖、绑架的妇女、儿童及其家属的解救要求或者接到其他人的举报，而对被拐卖、绑架的妇女、儿童不进行解救，造成严重后果的，处五年以下有期徒刑或者拘役。</w:t>
      </w:r>
    </w:p>
    <w:p>
      <w:pPr>
        <w:spacing w:line="240" w:lineRule="auto"/>
        <w:ind w:firstLine="640"/>
        <w:jc w:val="both"/>
      </w:pPr>
      <w:r>
        <w:rPr>
          <w:rFonts w:ascii="仿宋_GB2312" w:hAnsi="仿宋_GB2312" w:eastAsia="仿宋_GB2312" w:cs="仿宋_GB2312"/>
          <w:sz w:val="32"/>
        </w:rPr>
        <w:t>负有解救职责的国家机关工作人员利用职务阻碍解救的，处二年以上七年以下有期徒刑；情节较轻的，处二年以下有期徒刑或者拘役。</w:t>
      </w:r>
    </w:p>
    <w:p>
      <w:pPr>
        <w:spacing w:line="240" w:lineRule="auto"/>
        <w:ind w:firstLine="640"/>
        <w:jc w:val="both"/>
      </w:pPr>
      <w:r>
        <w:rPr>
          <w:rFonts w:ascii="黑体" w:hAnsi="黑体" w:eastAsia="黑体" w:cs="黑体"/>
          <w:sz w:val="32"/>
        </w:rPr>
        <w:t>第四百一十七条</w:t>
      </w:r>
      <w:r>
        <w:rPr>
          <w:rFonts w:ascii="仿宋_GB2312" w:hAnsi="仿宋_GB2312" w:eastAsia="仿宋_GB2312" w:cs="仿宋_GB2312"/>
          <w:sz w:val="32"/>
        </w:rPr>
        <w:t>　有查禁犯罪活动职责的国家机关工作人员，向犯罪分子通风报信、提供便利，帮助犯罪分子逃避处罚的，处三年以下有期徒刑或者拘役；情节严重的，处三年以上十年以下有期徒刑。</w:t>
      </w:r>
    </w:p>
    <w:p>
      <w:pPr>
        <w:spacing w:line="240" w:lineRule="auto"/>
        <w:ind w:firstLine="640"/>
        <w:jc w:val="both"/>
      </w:pPr>
      <w:r>
        <w:rPr>
          <w:rFonts w:ascii="黑体" w:hAnsi="黑体" w:eastAsia="黑体" w:cs="黑体"/>
          <w:sz w:val="32"/>
        </w:rPr>
        <w:t>第四百一十八条</w:t>
      </w:r>
      <w:r>
        <w:rPr>
          <w:rFonts w:ascii="仿宋_GB2312" w:hAnsi="仿宋_GB2312" w:eastAsia="仿宋_GB2312" w:cs="仿宋_GB2312"/>
          <w:sz w:val="32"/>
        </w:rPr>
        <w:t>　国家机关工作人员在招收公务员、学生工作中徇私舞弊，情节严重的，处三年以下有期徒刑或者拘役。</w:t>
      </w:r>
    </w:p>
    <w:p>
      <w:pPr>
        <w:spacing w:line="240" w:lineRule="auto"/>
        <w:ind w:firstLine="640"/>
        <w:jc w:val="both"/>
      </w:pPr>
      <w:r>
        <w:rPr>
          <w:rFonts w:ascii="黑体" w:hAnsi="黑体" w:eastAsia="黑体" w:cs="黑体"/>
          <w:sz w:val="32"/>
        </w:rPr>
        <w:t>第四百一十九条</w:t>
      </w:r>
      <w:r>
        <w:rPr>
          <w:rFonts w:ascii="仿宋_GB2312" w:hAnsi="仿宋_GB2312" w:eastAsia="仿宋_GB2312" w:cs="仿宋_GB2312"/>
          <w:sz w:val="32"/>
        </w:rPr>
        <w:t>　国家机关工作人员严重不负责任，造成珍贵文物损毁或者流失，后果严重的，处三年以下有期徒刑或者拘役。</w:t>
      </w:r>
    </w:p>
    <w:p>
      <w:pPr>
        <w:spacing w:line="240" w:lineRule="auto"/>
        <w:ind w:firstLine="0"/>
        <w:jc w:val="center"/>
        <w:rPr>
          <w:rFonts w:hint="eastAsia" w:ascii="黑体" w:hAnsi="黑体" w:eastAsia="黑体" w:cs="黑体"/>
          <w:sz w:val="32"/>
          <w:lang w:eastAsia="zh-CN"/>
        </w:rPr>
      </w:pPr>
    </w:p>
    <w:p>
      <w:pPr>
        <w:spacing w:line="240" w:lineRule="auto"/>
        <w:ind w:firstLine="0"/>
        <w:jc w:val="center"/>
      </w:pPr>
      <w:r>
        <w:rPr>
          <w:rFonts w:ascii="黑体" w:hAnsi="黑体" w:eastAsia="黑体" w:cs="黑体"/>
          <w:sz w:val="32"/>
        </w:rPr>
        <w:t>第十章　军人违反职责罪</w:t>
      </w:r>
    </w:p>
    <w:p>
      <w:pPr>
        <w:spacing w:line="240" w:lineRule="auto"/>
        <w:ind w:firstLine="640"/>
        <w:jc w:val="both"/>
        <w:rPr>
          <w:rFonts w:hint="eastAsia" w:ascii="黑体" w:hAnsi="黑体" w:eastAsia="黑体" w:cs="黑体"/>
          <w:sz w:val="32"/>
          <w:lang w:eastAsia="zh-CN"/>
        </w:rPr>
      </w:pPr>
    </w:p>
    <w:p>
      <w:pPr>
        <w:spacing w:line="240" w:lineRule="auto"/>
        <w:ind w:firstLine="640"/>
        <w:jc w:val="both"/>
      </w:pPr>
      <w:r>
        <w:rPr>
          <w:rFonts w:ascii="黑体" w:hAnsi="黑体" w:eastAsia="黑体" w:cs="黑体"/>
          <w:sz w:val="32"/>
        </w:rPr>
        <w:t>第四百二十条</w:t>
      </w:r>
      <w:r>
        <w:rPr>
          <w:rFonts w:ascii="仿宋_GB2312" w:hAnsi="仿宋_GB2312" w:eastAsia="仿宋_GB2312" w:cs="仿宋_GB2312"/>
          <w:sz w:val="32"/>
        </w:rPr>
        <w:t>　军人违反职责，危害国家军事利益，依照法律应当受刑罚处罚的行为，是军人违反职责罪。</w:t>
      </w:r>
    </w:p>
    <w:p>
      <w:pPr>
        <w:spacing w:line="240" w:lineRule="auto"/>
        <w:ind w:firstLine="640"/>
        <w:jc w:val="both"/>
      </w:pPr>
      <w:r>
        <w:rPr>
          <w:rFonts w:ascii="黑体" w:hAnsi="黑体" w:eastAsia="黑体" w:cs="黑体"/>
          <w:sz w:val="32"/>
        </w:rPr>
        <w:t>第四百二十一条</w:t>
      </w:r>
      <w:r>
        <w:rPr>
          <w:rFonts w:ascii="仿宋_GB2312" w:hAnsi="仿宋_GB2312" w:eastAsia="仿宋_GB2312" w:cs="仿宋_GB2312"/>
          <w:sz w:val="32"/>
        </w:rPr>
        <w:t>　战时违抗命令，对作战造成危害的，处三年以上十年以下有期徒刑；致使战斗、战役遭受重大损失的，处十年以上有期徒刑、无期徒刑或者死刑。</w:t>
      </w:r>
    </w:p>
    <w:p>
      <w:pPr>
        <w:spacing w:line="240" w:lineRule="auto"/>
        <w:ind w:firstLine="640"/>
        <w:jc w:val="both"/>
      </w:pPr>
      <w:r>
        <w:rPr>
          <w:rFonts w:ascii="黑体" w:hAnsi="黑体" w:eastAsia="黑体" w:cs="黑体"/>
          <w:sz w:val="32"/>
        </w:rPr>
        <w:t>第四百二十二条</w:t>
      </w:r>
      <w:r>
        <w:rPr>
          <w:rFonts w:ascii="仿宋_GB2312" w:hAnsi="仿宋_GB2312" w:eastAsia="仿宋_GB2312" w:cs="仿宋_GB2312"/>
          <w:sz w:val="32"/>
        </w:rPr>
        <w:t>　故意隐瞒、谎报军情或者拒传、假传军令，对作战造成危害的，处三年以上十年以下有期徒刑；致使战斗、战役遭受重大损失的，处十年以上有期徒刑、无期徒刑或者死刑。</w:t>
      </w:r>
    </w:p>
    <w:p>
      <w:pPr>
        <w:spacing w:line="240" w:lineRule="auto"/>
        <w:ind w:firstLine="640"/>
        <w:jc w:val="both"/>
      </w:pPr>
      <w:r>
        <w:rPr>
          <w:rFonts w:ascii="黑体" w:hAnsi="黑体" w:eastAsia="黑体" w:cs="黑体"/>
          <w:sz w:val="32"/>
        </w:rPr>
        <w:t>第四百二十三条</w:t>
      </w:r>
      <w:r>
        <w:rPr>
          <w:rFonts w:ascii="仿宋_GB2312" w:hAnsi="仿宋_GB2312" w:eastAsia="仿宋_GB2312" w:cs="仿宋_GB2312"/>
          <w:sz w:val="32"/>
        </w:rPr>
        <w:t>　在战场上贪生怕死，自动放下武器投降敌人的，处三年以上十年以下有期徒刑；情节严重的，处十年以上有期徒刑或者无期徒刑。</w:t>
      </w:r>
    </w:p>
    <w:p>
      <w:pPr>
        <w:spacing w:line="240" w:lineRule="auto"/>
        <w:ind w:firstLine="640"/>
        <w:jc w:val="both"/>
      </w:pPr>
      <w:r>
        <w:rPr>
          <w:rFonts w:ascii="仿宋_GB2312" w:hAnsi="仿宋_GB2312" w:eastAsia="仿宋_GB2312" w:cs="仿宋_GB2312"/>
          <w:sz w:val="32"/>
        </w:rPr>
        <w:t>投降后为敌人效劳的，处十年以上有期徒刑、无期徒刑或者死刑。</w:t>
      </w:r>
    </w:p>
    <w:p>
      <w:pPr>
        <w:spacing w:line="240" w:lineRule="auto"/>
        <w:ind w:firstLine="640"/>
        <w:jc w:val="both"/>
      </w:pPr>
      <w:r>
        <w:rPr>
          <w:rFonts w:ascii="黑体" w:hAnsi="黑体" w:eastAsia="黑体" w:cs="黑体"/>
          <w:sz w:val="32"/>
        </w:rPr>
        <w:t>第四百二十四条</w:t>
      </w:r>
      <w:r>
        <w:rPr>
          <w:rFonts w:ascii="仿宋_GB2312" w:hAnsi="仿宋_GB2312" w:eastAsia="仿宋_GB2312" w:cs="仿宋_GB2312"/>
          <w:sz w:val="32"/>
        </w:rPr>
        <w:t>　战时临阵脱逃的，处三年以下有期徒刑；情节严重的，处三年以上十年以下有期徒刑；致使战斗、战役遭受重大损失的，处十年以上有期徒刑、无期徒刑或者死刑。</w:t>
      </w:r>
    </w:p>
    <w:p>
      <w:pPr>
        <w:spacing w:line="240" w:lineRule="auto"/>
        <w:ind w:firstLine="640"/>
        <w:jc w:val="both"/>
      </w:pPr>
      <w:r>
        <w:rPr>
          <w:rFonts w:ascii="黑体" w:hAnsi="黑体" w:eastAsia="黑体" w:cs="黑体"/>
          <w:sz w:val="32"/>
        </w:rPr>
        <w:t>第四百二十五条</w:t>
      </w:r>
      <w:r>
        <w:rPr>
          <w:rFonts w:ascii="仿宋_GB2312" w:hAnsi="仿宋_GB2312" w:eastAsia="仿宋_GB2312" w:cs="仿宋_GB2312"/>
          <w:sz w:val="32"/>
        </w:rPr>
        <w:t>　指挥人员和值班、值勤人员擅离职守或者玩忽职守，造成严重后果的，处三年以下有期徒刑或者拘役；造成特别严重后果的，处三年以上七年以下有期徒刑。</w:t>
      </w:r>
    </w:p>
    <w:p>
      <w:pPr>
        <w:spacing w:line="240" w:lineRule="auto"/>
        <w:ind w:firstLine="640"/>
        <w:jc w:val="both"/>
      </w:pPr>
      <w:r>
        <w:rPr>
          <w:rFonts w:ascii="仿宋_GB2312" w:hAnsi="仿宋_GB2312" w:eastAsia="仿宋_GB2312" w:cs="仿宋_GB2312"/>
          <w:sz w:val="32"/>
        </w:rPr>
        <w:t>战时犯前款罪的，处五年以上有期徒刑。</w:t>
      </w:r>
    </w:p>
    <w:p>
      <w:pPr>
        <w:spacing w:line="240" w:lineRule="auto"/>
        <w:ind w:firstLine="640"/>
        <w:jc w:val="both"/>
      </w:pPr>
      <w:r>
        <w:rPr>
          <w:rFonts w:ascii="黑体" w:hAnsi="黑体" w:eastAsia="黑体" w:cs="黑体"/>
          <w:sz w:val="32"/>
        </w:rPr>
        <w:t>第四百二十六条</w:t>
      </w:r>
      <w:r>
        <w:rPr>
          <w:rFonts w:ascii="仿宋_GB2312" w:hAnsi="仿宋_GB2312" w:eastAsia="仿宋_GB2312" w:cs="仿宋_GB2312"/>
          <w:sz w:val="32"/>
        </w:rPr>
        <w:t>　以暴力、威胁方法，阻碍指挥人员或者值班、值勤人员执行职务的，处五年以下有期徒刑或者拘役；情节严重的，处五年以上十年以下有期徒刑；情节特别严重的，处十年以上有期徒刑或者无期徒刑。战时从重处罚。</w:t>
      </w:r>
    </w:p>
    <w:p>
      <w:pPr>
        <w:spacing w:line="240" w:lineRule="auto"/>
        <w:ind w:firstLine="640"/>
        <w:jc w:val="both"/>
      </w:pPr>
      <w:r>
        <w:rPr>
          <w:rFonts w:ascii="黑体" w:hAnsi="黑体" w:eastAsia="黑体" w:cs="黑体"/>
          <w:sz w:val="32"/>
        </w:rPr>
        <w:t>第四百二十七条</w:t>
      </w:r>
      <w:r>
        <w:rPr>
          <w:rFonts w:ascii="仿宋_GB2312" w:hAnsi="仿宋_GB2312" w:eastAsia="仿宋_GB2312" w:cs="仿宋_GB2312"/>
          <w:sz w:val="32"/>
        </w:rPr>
        <w:t>　滥用职权，指使部属进行违反职责的活动，造成严重后果的，处五年以下有期徒刑或者拘役；情节特别严重的，处五年以上十年以下有期徒刑。</w:t>
      </w:r>
    </w:p>
    <w:p>
      <w:pPr>
        <w:spacing w:line="240" w:lineRule="auto"/>
        <w:ind w:firstLine="640"/>
        <w:jc w:val="both"/>
      </w:pPr>
      <w:r>
        <w:rPr>
          <w:rFonts w:ascii="黑体" w:hAnsi="黑体" w:eastAsia="黑体" w:cs="黑体"/>
          <w:sz w:val="32"/>
        </w:rPr>
        <w:t>第四百二十八条</w:t>
      </w:r>
      <w:r>
        <w:rPr>
          <w:rFonts w:ascii="仿宋_GB2312" w:hAnsi="仿宋_GB2312" w:eastAsia="仿宋_GB2312" w:cs="仿宋_GB2312"/>
          <w:sz w:val="32"/>
        </w:rPr>
        <w:t>　指挥人员违抗命令，临阵畏缩，作战消极，造成严重后果的，处五年以下有期徒刑；致使战斗、战役遭受重大损失或者有其他特别严重情节的，处五年以上有期徒刑。</w:t>
      </w:r>
    </w:p>
    <w:p>
      <w:pPr>
        <w:spacing w:line="240" w:lineRule="auto"/>
        <w:ind w:firstLine="640"/>
        <w:jc w:val="both"/>
      </w:pPr>
      <w:r>
        <w:rPr>
          <w:rFonts w:ascii="黑体" w:hAnsi="黑体" w:eastAsia="黑体" w:cs="黑体"/>
          <w:sz w:val="32"/>
        </w:rPr>
        <w:t>第四百二十九条</w:t>
      </w:r>
      <w:r>
        <w:rPr>
          <w:rFonts w:ascii="仿宋_GB2312" w:hAnsi="仿宋_GB2312" w:eastAsia="仿宋_GB2312" w:cs="仿宋_GB2312"/>
          <w:sz w:val="32"/>
        </w:rPr>
        <w:t>　在战场上明知友邻部队处境危急请求救援，能救援而不救援，致使友邻部队遭受重大损失的，对指挥人员，处五年以下有期徒刑。</w:t>
      </w:r>
    </w:p>
    <w:p>
      <w:pPr>
        <w:spacing w:line="240" w:lineRule="auto"/>
        <w:ind w:firstLine="640"/>
        <w:jc w:val="both"/>
      </w:pPr>
      <w:r>
        <w:rPr>
          <w:rFonts w:ascii="黑体" w:hAnsi="黑体" w:eastAsia="黑体" w:cs="黑体"/>
          <w:sz w:val="32"/>
        </w:rPr>
        <w:t>第四百三十条</w:t>
      </w:r>
      <w:r>
        <w:rPr>
          <w:rFonts w:ascii="仿宋_GB2312" w:hAnsi="仿宋_GB2312" w:eastAsia="仿宋_GB2312" w:cs="仿宋_GB2312"/>
          <w:sz w:val="32"/>
        </w:rPr>
        <w:t>　在履行公务期间，擅离岗位，叛逃境外或者在境外叛逃，危害国家军事利益的，处五年以下有期徒刑或者拘役；情节严重的，处五年以上有期徒刑。</w:t>
      </w:r>
    </w:p>
    <w:p>
      <w:pPr>
        <w:spacing w:line="240" w:lineRule="auto"/>
        <w:ind w:firstLine="640"/>
        <w:jc w:val="both"/>
      </w:pPr>
      <w:r>
        <w:rPr>
          <w:rFonts w:ascii="仿宋_GB2312" w:hAnsi="仿宋_GB2312" w:eastAsia="仿宋_GB2312" w:cs="仿宋_GB2312"/>
          <w:sz w:val="32"/>
        </w:rPr>
        <w:t>驾驶航空器、舰船叛逃的，或者有其他特别严重情节的，处十年以上有期徒刑、无期徒刑或者死刑。</w:t>
      </w:r>
    </w:p>
    <w:p>
      <w:pPr>
        <w:spacing w:line="240" w:lineRule="auto"/>
        <w:ind w:firstLine="640"/>
        <w:jc w:val="both"/>
      </w:pPr>
      <w:r>
        <w:rPr>
          <w:rFonts w:ascii="黑体" w:hAnsi="黑体" w:eastAsia="黑体" w:cs="黑体"/>
          <w:sz w:val="32"/>
        </w:rPr>
        <w:t>第四百三十一条</w:t>
      </w:r>
      <w:r>
        <w:rPr>
          <w:rFonts w:ascii="仿宋_GB2312" w:hAnsi="仿宋_GB2312" w:eastAsia="仿宋_GB2312" w:cs="仿宋_GB2312"/>
          <w:sz w:val="32"/>
        </w:rPr>
        <w:t>　以窃取、刺探、收买方法，非法获取军事秘密的，处五年以下有期徒刑；情节严重的，处五年以上十年以下有期徒刑；情节特别严重的，处十年以上有期徒刑。</w:t>
      </w:r>
    </w:p>
    <w:p>
      <w:pPr>
        <w:spacing w:line="240" w:lineRule="auto"/>
        <w:ind w:firstLine="640"/>
        <w:jc w:val="both"/>
      </w:pPr>
      <w:r>
        <w:rPr>
          <w:rFonts w:ascii="仿宋_GB2312" w:hAnsi="仿宋_GB2312" w:eastAsia="仿宋_GB2312" w:cs="仿宋_GB2312"/>
          <w:sz w:val="32"/>
        </w:rPr>
        <w:t>为境外的机构、组织、人员窃取、刺探、收买、非法提供军事秘密的，处五年以上十年以下有期徒刑；情节严重的，处十年以上有期徒刑、无期徒刑或者死刑。</w:t>
      </w:r>
    </w:p>
    <w:p>
      <w:pPr>
        <w:spacing w:line="240" w:lineRule="auto"/>
        <w:ind w:firstLine="640"/>
        <w:jc w:val="both"/>
      </w:pPr>
      <w:r>
        <w:rPr>
          <w:rFonts w:ascii="黑体" w:hAnsi="黑体" w:eastAsia="黑体" w:cs="黑体"/>
          <w:sz w:val="32"/>
        </w:rPr>
        <w:t>第四百三十二条</w:t>
      </w:r>
      <w:r>
        <w:rPr>
          <w:rFonts w:ascii="仿宋_GB2312" w:hAnsi="仿宋_GB2312" w:eastAsia="仿宋_GB2312" w:cs="仿宋_GB2312"/>
          <w:sz w:val="32"/>
        </w:rPr>
        <w:t>　违反保守国家秘密法规，故意或者过失泄露军事秘密，情节严重的，处五年以下有期徒刑或者拘役；情节特别严重的，处五年以上十年以下有期徒刑。</w:t>
      </w:r>
    </w:p>
    <w:p>
      <w:pPr>
        <w:spacing w:line="240" w:lineRule="auto"/>
        <w:ind w:firstLine="640"/>
        <w:jc w:val="both"/>
      </w:pPr>
      <w:r>
        <w:rPr>
          <w:rFonts w:ascii="仿宋_GB2312" w:hAnsi="仿宋_GB2312" w:eastAsia="仿宋_GB2312" w:cs="仿宋_GB2312"/>
          <w:sz w:val="32"/>
        </w:rPr>
        <w:t>战时犯前款罪的，处五年以上十年以下有期徒刑；情节特别严重的，处十年以上有期徒刑或者无期徒刑。</w:t>
      </w:r>
    </w:p>
    <w:p>
      <w:pPr>
        <w:spacing w:line="240" w:lineRule="auto"/>
        <w:ind w:firstLine="640"/>
        <w:jc w:val="both"/>
      </w:pPr>
      <w:r>
        <w:rPr>
          <w:rFonts w:ascii="黑体" w:hAnsi="黑体" w:eastAsia="黑体" w:cs="黑体"/>
          <w:sz w:val="32"/>
        </w:rPr>
        <w:t>第四百三十三条</w:t>
      </w:r>
      <w:r>
        <w:rPr>
          <w:rFonts w:ascii="仿宋_GB2312" w:hAnsi="仿宋_GB2312" w:eastAsia="仿宋_GB2312" w:cs="仿宋_GB2312"/>
          <w:sz w:val="32"/>
        </w:rPr>
        <w:t>　战时造谣惑众，动摇军心的，处三年以下有期徒刑；情节严重的，处三年以上十年以下有期徒刑；情节特别严重的，处十年以上有期徒刑或者无期徒刑。</w:t>
      </w:r>
    </w:p>
    <w:p>
      <w:pPr>
        <w:spacing w:line="240" w:lineRule="auto"/>
        <w:ind w:firstLine="640"/>
        <w:jc w:val="both"/>
      </w:pPr>
      <w:r>
        <w:rPr>
          <w:rFonts w:ascii="黑体" w:hAnsi="黑体" w:eastAsia="黑体" w:cs="黑体"/>
          <w:sz w:val="32"/>
        </w:rPr>
        <w:t>第四百三十四条</w:t>
      </w:r>
      <w:r>
        <w:rPr>
          <w:rFonts w:ascii="仿宋_GB2312" w:hAnsi="仿宋_GB2312" w:eastAsia="仿宋_GB2312" w:cs="仿宋_GB2312"/>
          <w:sz w:val="32"/>
        </w:rPr>
        <w:t>　战时自伤身体，逃避军事义务的，处三年以下有期徒刑；情节严重的，处三年以上七年以下有期徒刑。</w:t>
      </w:r>
    </w:p>
    <w:p>
      <w:pPr>
        <w:spacing w:line="240" w:lineRule="auto"/>
        <w:ind w:firstLine="640"/>
        <w:jc w:val="both"/>
      </w:pPr>
      <w:r>
        <w:rPr>
          <w:rFonts w:ascii="黑体" w:hAnsi="黑体" w:eastAsia="黑体" w:cs="黑体"/>
          <w:sz w:val="32"/>
        </w:rPr>
        <w:t>第四百三十五条</w:t>
      </w:r>
      <w:r>
        <w:rPr>
          <w:rFonts w:ascii="仿宋_GB2312" w:hAnsi="仿宋_GB2312" w:eastAsia="仿宋_GB2312" w:cs="仿宋_GB2312"/>
          <w:sz w:val="32"/>
        </w:rPr>
        <w:t>　违反兵役法规，逃离部队，情节严重的，处三年以下有期徒刑或者拘役。</w:t>
      </w:r>
    </w:p>
    <w:p>
      <w:pPr>
        <w:spacing w:line="240" w:lineRule="auto"/>
        <w:ind w:firstLine="640"/>
        <w:jc w:val="both"/>
      </w:pPr>
      <w:r>
        <w:rPr>
          <w:rFonts w:ascii="仿宋_GB2312" w:hAnsi="仿宋_GB2312" w:eastAsia="仿宋_GB2312" w:cs="仿宋_GB2312"/>
          <w:sz w:val="32"/>
        </w:rPr>
        <w:t>战时犯前款罪的，处三年以上七年以下有期徒刑。</w:t>
      </w:r>
    </w:p>
    <w:p>
      <w:pPr>
        <w:spacing w:line="240" w:lineRule="auto"/>
        <w:ind w:firstLine="640"/>
        <w:jc w:val="both"/>
      </w:pPr>
      <w:r>
        <w:rPr>
          <w:rFonts w:ascii="黑体" w:hAnsi="黑体" w:eastAsia="黑体" w:cs="黑体"/>
          <w:sz w:val="32"/>
        </w:rPr>
        <w:t>第四百三十六条</w:t>
      </w:r>
      <w:r>
        <w:rPr>
          <w:rFonts w:ascii="仿宋_GB2312" w:hAnsi="仿宋_GB2312" w:eastAsia="仿宋_GB2312" w:cs="仿宋_GB2312"/>
          <w:sz w:val="32"/>
        </w:rPr>
        <w:t>　违反武器装备使用规定，情节严重，因而发生责任事故，致人重伤、死亡或者造成其他严重后果的，处三年以下有期徒刑或者拘役；后果特别严重的，处三年以上七年以下有期徒刑。</w:t>
      </w:r>
    </w:p>
    <w:p>
      <w:pPr>
        <w:spacing w:line="240" w:lineRule="auto"/>
        <w:ind w:firstLine="640"/>
        <w:jc w:val="both"/>
      </w:pPr>
      <w:r>
        <w:rPr>
          <w:rFonts w:ascii="黑体" w:hAnsi="黑体" w:eastAsia="黑体" w:cs="黑体"/>
          <w:sz w:val="32"/>
        </w:rPr>
        <w:t>第四百三十七条</w:t>
      </w:r>
      <w:r>
        <w:rPr>
          <w:rFonts w:ascii="仿宋_GB2312" w:hAnsi="仿宋_GB2312" w:eastAsia="仿宋_GB2312" w:cs="仿宋_GB2312"/>
          <w:sz w:val="32"/>
        </w:rPr>
        <w:t>　违反武器装备管理规定，擅自改变武器装备的编配用途，造成严重后果的，处三年以下有期徒刑或者拘役；造成特别严重后果的，处三年以上七年以下有期徒刑。</w:t>
      </w:r>
    </w:p>
    <w:p>
      <w:pPr>
        <w:spacing w:line="240" w:lineRule="auto"/>
        <w:ind w:firstLine="640"/>
        <w:jc w:val="both"/>
      </w:pPr>
      <w:r>
        <w:rPr>
          <w:rFonts w:ascii="黑体" w:hAnsi="黑体" w:eastAsia="黑体" w:cs="黑体"/>
          <w:sz w:val="32"/>
        </w:rPr>
        <w:t>第四百三十八条</w:t>
      </w:r>
      <w:r>
        <w:rPr>
          <w:rFonts w:ascii="仿宋_GB2312" w:hAnsi="仿宋_GB2312" w:eastAsia="仿宋_GB2312" w:cs="仿宋_GB2312"/>
          <w:sz w:val="32"/>
        </w:rPr>
        <w:t>　盗窃、抢夺武器装备或者军用物资的，处五年以下有期徒刑或者拘役；情节严重的，处五年以上十年以下有期徒刑；情节特别严重的，处十年以上有期徒刑、无期徒刑或者死刑。</w:t>
      </w:r>
    </w:p>
    <w:p>
      <w:pPr>
        <w:spacing w:line="240" w:lineRule="auto"/>
        <w:ind w:firstLine="640"/>
        <w:jc w:val="both"/>
      </w:pPr>
      <w:r>
        <w:rPr>
          <w:rFonts w:ascii="仿宋_GB2312" w:hAnsi="仿宋_GB2312" w:eastAsia="仿宋_GB2312" w:cs="仿宋_GB2312"/>
          <w:sz w:val="32"/>
        </w:rPr>
        <w:t>盗窃、抢夺枪支、弹药、爆炸物的，依照本法第一百二十七条的规定处罚。</w:t>
      </w:r>
    </w:p>
    <w:p>
      <w:pPr>
        <w:spacing w:line="240" w:lineRule="auto"/>
        <w:ind w:firstLine="640"/>
        <w:jc w:val="both"/>
      </w:pPr>
      <w:r>
        <w:rPr>
          <w:rFonts w:ascii="黑体" w:hAnsi="黑体" w:eastAsia="黑体" w:cs="黑体"/>
          <w:sz w:val="32"/>
        </w:rPr>
        <w:t>第四百三十九条</w:t>
      </w:r>
      <w:r>
        <w:rPr>
          <w:rFonts w:ascii="仿宋_GB2312" w:hAnsi="仿宋_GB2312" w:eastAsia="仿宋_GB2312" w:cs="仿宋_GB2312"/>
          <w:sz w:val="32"/>
        </w:rPr>
        <w:t>　非法出卖、转让军队武器装备的，处三年以上十年以下有期徒刑；出卖、转让大量武器装备或者有其他特别严重情节的，处十年以上有期徒刑、无期徒刑或者死刑。</w:t>
      </w:r>
    </w:p>
    <w:p>
      <w:pPr>
        <w:spacing w:line="240" w:lineRule="auto"/>
        <w:ind w:firstLine="640"/>
        <w:jc w:val="both"/>
      </w:pPr>
      <w:r>
        <w:rPr>
          <w:rFonts w:ascii="黑体" w:hAnsi="黑体" w:eastAsia="黑体" w:cs="黑体"/>
          <w:sz w:val="32"/>
        </w:rPr>
        <w:t>第四百四十条</w:t>
      </w:r>
      <w:r>
        <w:rPr>
          <w:rFonts w:ascii="仿宋_GB2312" w:hAnsi="仿宋_GB2312" w:eastAsia="仿宋_GB2312" w:cs="仿宋_GB2312"/>
          <w:sz w:val="32"/>
        </w:rPr>
        <w:t>　违抗命令，遗弃武器装备的，处五年以下有期徒刑或者拘役；遗弃重要或者大量武器装备的，或者有其他严重情节的，处五年以上有期徒刑。</w:t>
      </w:r>
    </w:p>
    <w:p>
      <w:pPr>
        <w:spacing w:line="240" w:lineRule="auto"/>
        <w:ind w:firstLine="640"/>
        <w:jc w:val="both"/>
      </w:pPr>
      <w:r>
        <w:rPr>
          <w:rFonts w:ascii="黑体" w:hAnsi="黑体" w:eastAsia="黑体" w:cs="黑体"/>
          <w:sz w:val="32"/>
        </w:rPr>
        <w:t>第四百四十一条</w:t>
      </w:r>
      <w:r>
        <w:rPr>
          <w:rFonts w:ascii="仿宋_GB2312" w:hAnsi="仿宋_GB2312" w:eastAsia="仿宋_GB2312" w:cs="仿宋_GB2312"/>
          <w:sz w:val="32"/>
        </w:rPr>
        <w:t>　遗失武器装备，不及时报告或者有其他严重情节的，处三年以下有期徒刑或者拘役。</w:t>
      </w:r>
    </w:p>
    <w:p>
      <w:pPr>
        <w:spacing w:line="240" w:lineRule="auto"/>
        <w:ind w:firstLine="640"/>
        <w:jc w:val="both"/>
      </w:pPr>
      <w:r>
        <w:rPr>
          <w:rFonts w:ascii="黑体" w:hAnsi="黑体" w:eastAsia="黑体" w:cs="黑体"/>
          <w:sz w:val="32"/>
        </w:rPr>
        <w:t>第四百四十二条</w:t>
      </w:r>
      <w:r>
        <w:rPr>
          <w:rFonts w:ascii="仿宋_GB2312" w:hAnsi="仿宋_GB2312" w:eastAsia="仿宋_GB2312" w:cs="仿宋_GB2312"/>
          <w:sz w:val="32"/>
        </w:rPr>
        <w:t>　违反规定，擅自出卖、转让军队房地产，情节严重的，对直接责任人员，处三年以下有期徒刑或者拘役；情节特别严重的，处三年以上十年以下有期徒刑。</w:t>
      </w:r>
    </w:p>
    <w:p>
      <w:pPr>
        <w:spacing w:line="240" w:lineRule="auto"/>
        <w:ind w:firstLine="640"/>
        <w:jc w:val="both"/>
      </w:pPr>
      <w:r>
        <w:rPr>
          <w:rFonts w:ascii="黑体" w:hAnsi="黑体" w:eastAsia="黑体" w:cs="黑体"/>
          <w:sz w:val="32"/>
        </w:rPr>
        <w:t>第四百四十三条</w:t>
      </w:r>
      <w:r>
        <w:rPr>
          <w:rFonts w:ascii="仿宋_GB2312" w:hAnsi="仿宋_GB2312" w:eastAsia="仿宋_GB2312" w:cs="仿宋_GB2312"/>
          <w:sz w:val="32"/>
        </w:rPr>
        <w:t>　滥用职权，虐待部属，情节恶劣，致人重伤或者造成其他严重后果的，处五年以下有期徒刑或者拘役；致人死亡的，处五年以上有期徒刑。</w:t>
      </w:r>
    </w:p>
    <w:p>
      <w:pPr>
        <w:spacing w:line="240" w:lineRule="auto"/>
        <w:ind w:firstLine="640"/>
        <w:jc w:val="both"/>
      </w:pPr>
      <w:r>
        <w:rPr>
          <w:rFonts w:ascii="黑体" w:hAnsi="黑体" w:eastAsia="黑体" w:cs="黑体"/>
          <w:sz w:val="32"/>
        </w:rPr>
        <w:t>第四百四十四条</w:t>
      </w:r>
      <w:r>
        <w:rPr>
          <w:rFonts w:ascii="仿宋_GB2312" w:hAnsi="仿宋_GB2312" w:eastAsia="仿宋_GB2312" w:cs="仿宋_GB2312"/>
          <w:sz w:val="32"/>
        </w:rPr>
        <w:t>　在战场上故意遗弃伤病军人，情节恶劣的，对直接责任人员，处五年以下有期徒刑。</w:t>
      </w:r>
    </w:p>
    <w:p>
      <w:pPr>
        <w:spacing w:line="240" w:lineRule="auto"/>
        <w:ind w:firstLine="640"/>
        <w:jc w:val="both"/>
      </w:pPr>
      <w:r>
        <w:rPr>
          <w:rFonts w:ascii="黑体" w:hAnsi="黑体" w:eastAsia="黑体" w:cs="黑体"/>
          <w:sz w:val="32"/>
        </w:rPr>
        <w:t>第四百四十五条</w:t>
      </w:r>
      <w:r>
        <w:rPr>
          <w:rFonts w:ascii="仿宋_GB2312" w:hAnsi="仿宋_GB2312" w:eastAsia="仿宋_GB2312" w:cs="仿宋_GB2312"/>
          <w:sz w:val="32"/>
        </w:rPr>
        <w:t>　战时在救护治疗职位上，有条件救治而拒不救治危重伤病军人的，处五年以下有期徒刑或者拘役；造成伤病军人重残、死亡或者有其他严重情节的，处五年以上十年以下有期徒刑。</w:t>
      </w:r>
    </w:p>
    <w:p>
      <w:pPr>
        <w:spacing w:line="240" w:lineRule="auto"/>
        <w:ind w:firstLine="640"/>
        <w:jc w:val="both"/>
      </w:pPr>
      <w:r>
        <w:rPr>
          <w:rFonts w:ascii="黑体" w:hAnsi="黑体" w:eastAsia="黑体" w:cs="黑体"/>
          <w:sz w:val="32"/>
        </w:rPr>
        <w:t>第四百四十六条</w:t>
      </w:r>
      <w:r>
        <w:rPr>
          <w:rFonts w:ascii="仿宋_GB2312" w:hAnsi="仿宋_GB2312" w:eastAsia="仿宋_GB2312" w:cs="仿宋_GB2312"/>
          <w:sz w:val="32"/>
        </w:rPr>
        <w:t>　战时在军事行动地区，残害无辜居民或者掠夺无辜居民财物的，处五年以下有期徒刑；情节严重的，处五年以上十年以下有期徒刑；情节特别严重的，处十年以上有期徒刑、无期徒刑或者死刑。</w:t>
      </w:r>
    </w:p>
    <w:p>
      <w:pPr>
        <w:spacing w:line="240" w:lineRule="auto"/>
        <w:ind w:firstLine="640"/>
        <w:jc w:val="both"/>
      </w:pPr>
      <w:r>
        <w:rPr>
          <w:rFonts w:ascii="黑体" w:hAnsi="黑体" w:eastAsia="黑体" w:cs="黑体"/>
          <w:sz w:val="32"/>
        </w:rPr>
        <w:t>第四百四十七条</w:t>
      </w:r>
      <w:r>
        <w:rPr>
          <w:rFonts w:ascii="仿宋_GB2312" w:hAnsi="仿宋_GB2312" w:eastAsia="仿宋_GB2312" w:cs="仿宋_GB2312"/>
          <w:sz w:val="32"/>
        </w:rPr>
        <w:t>　私放俘虏的，处五年以下有期徒刑；私放重要俘虏、私放俘虏多人或者有其他严重情节的，处五年以上有期徒刑。</w:t>
      </w:r>
    </w:p>
    <w:p>
      <w:pPr>
        <w:spacing w:line="240" w:lineRule="auto"/>
        <w:ind w:firstLine="640"/>
        <w:jc w:val="both"/>
      </w:pPr>
      <w:r>
        <w:rPr>
          <w:rFonts w:ascii="黑体" w:hAnsi="黑体" w:eastAsia="黑体" w:cs="黑体"/>
          <w:sz w:val="32"/>
        </w:rPr>
        <w:t>第四百四十八条</w:t>
      </w:r>
      <w:r>
        <w:rPr>
          <w:rFonts w:ascii="仿宋_GB2312" w:hAnsi="仿宋_GB2312" w:eastAsia="仿宋_GB2312" w:cs="仿宋_GB2312"/>
          <w:sz w:val="32"/>
        </w:rPr>
        <w:t>　虐待俘虏，情节恶劣的，处三年以下有期徒刑。</w:t>
      </w:r>
    </w:p>
    <w:p>
      <w:pPr>
        <w:spacing w:line="240" w:lineRule="auto"/>
        <w:ind w:firstLine="640"/>
        <w:jc w:val="both"/>
      </w:pPr>
      <w:r>
        <w:rPr>
          <w:rFonts w:ascii="黑体" w:hAnsi="黑体" w:eastAsia="黑体" w:cs="黑体"/>
          <w:sz w:val="32"/>
        </w:rPr>
        <w:t>第四百四十九条</w:t>
      </w:r>
      <w:r>
        <w:rPr>
          <w:rFonts w:ascii="仿宋_GB2312" w:hAnsi="仿宋_GB2312" w:eastAsia="仿宋_GB2312" w:cs="仿宋_GB2312"/>
          <w:sz w:val="32"/>
        </w:rPr>
        <w:t>　在战时，对被判处三年以下有期徒刑没有现实危险宣告缓刑的犯罪军人，允许其戴罪立功，确有立功表现时，可以撤销原判刑罚，不以犯罪论处。</w:t>
      </w:r>
    </w:p>
    <w:p>
      <w:pPr>
        <w:spacing w:line="240" w:lineRule="auto"/>
        <w:ind w:firstLine="640"/>
        <w:jc w:val="both"/>
      </w:pPr>
      <w:r>
        <w:rPr>
          <w:rFonts w:ascii="黑体" w:hAnsi="黑体" w:eastAsia="黑体" w:cs="黑体"/>
          <w:sz w:val="32"/>
        </w:rPr>
        <w:t>第四百五十条</w:t>
      </w:r>
      <w:r>
        <w:rPr>
          <w:rFonts w:ascii="仿宋_GB2312" w:hAnsi="仿宋_GB2312" w:eastAsia="仿宋_GB2312" w:cs="仿宋_GB2312"/>
          <w:sz w:val="32"/>
        </w:rPr>
        <w:t>　本章适用于中国人民解放军的现役军官、文职干部、士兵及具有军籍的学员和中国人民武装警察部队的现役警官、文职干部、士兵及具有军籍的学员以及文职人员、执行军事任务的预备役人员和其他人员。</w:t>
      </w:r>
    </w:p>
    <w:p>
      <w:pPr>
        <w:spacing w:line="240" w:lineRule="auto"/>
        <w:ind w:firstLine="640"/>
        <w:jc w:val="both"/>
      </w:pPr>
      <w:r>
        <w:rPr>
          <w:rFonts w:ascii="黑体" w:hAnsi="黑体" w:eastAsia="黑体" w:cs="黑体"/>
          <w:sz w:val="32"/>
        </w:rPr>
        <w:t>第四百五十一条</w:t>
      </w:r>
      <w:r>
        <w:rPr>
          <w:rFonts w:ascii="仿宋_GB2312" w:hAnsi="仿宋_GB2312" w:eastAsia="仿宋_GB2312" w:cs="仿宋_GB2312"/>
          <w:sz w:val="32"/>
        </w:rPr>
        <w:t>　本章所称战时，是指国家宣布进入战争状态、部队受领作战任务或者遭敌突然袭击时。</w:t>
      </w:r>
    </w:p>
    <w:p>
      <w:pPr>
        <w:spacing w:line="240" w:lineRule="auto"/>
        <w:ind w:firstLine="640"/>
        <w:jc w:val="both"/>
        <w:rPr>
          <w:rFonts w:ascii="仿宋_GB2312" w:hAnsi="仿宋_GB2312" w:eastAsia="仿宋_GB2312" w:cs="仿宋_GB2312"/>
          <w:sz w:val="32"/>
        </w:rPr>
      </w:pPr>
      <w:r>
        <w:rPr>
          <w:rFonts w:ascii="仿宋_GB2312" w:hAnsi="仿宋_GB2312" w:eastAsia="仿宋_GB2312" w:cs="仿宋_GB2312"/>
          <w:sz w:val="32"/>
        </w:rPr>
        <w:t>部队执行戒严任务或者处置突发性暴力事件时，以战时论。</w:t>
      </w:r>
    </w:p>
    <w:p>
      <w:pPr>
        <w:spacing w:line="240" w:lineRule="auto"/>
        <w:ind w:firstLine="640"/>
        <w:jc w:val="both"/>
        <w:rPr>
          <w:rFonts w:ascii="仿宋_GB2312" w:hAnsi="仿宋_GB2312" w:eastAsia="仿宋_GB2312" w:cs="仿宋_GB2312"/>
          <w:sz w:val="32"/>
        </w:rPr>
      </w:pPr>
    </w:p>
    <w:p>
      <w:pPr>
        <w:spacing w:line="240" w:lineRule="auto"/>
        <w:ind w:firstLine="640"/>
        <w:jc w:val="center"/>
        <w:rPr>
          <w:rFonts w:ascii="仿宋_GB2312" w:hAnsi="仿宋_GB2312" w:eastAsia="仿宋_GB2312" w:cs="仿宋_GB2312"/>
          <w:sz w:val="32"/>
        </w:rPr>
      </w:pPr>
      <w:r>
        <w:rPr>
          <w:rFonts w:hint="eastAsia" w:ascii="黑体" w:hAnsi="黑体" w:eastAsia="黑体" w:cs="黑体"/>
          <w:sz w:val="32"/>
        </w:rPr>
        <w:t>附</w:t>
      </w:r>
      <w:r>
        <w:rPr>
          <w:rFonts w:hint="eastAsia" w:ascii="黑体" w:hAnsi="黑体" w:eastAsia="黑体" w:cs="黑体"/>
          <w:sz w:val="32"/>
          <w:lang w:eastAsia="zh-CN"/>
        </w:rPr>
        <w:t>　　</w:t>
      </w:r>
      <w:r>
        <w:rPr>
          <w:rFonts w:hint="eastAsia" w:ascii="黑体" w:hAnsi="黑体" w:eastAsia="黑体" w:cs="黑体"/>
          <w:sz w:val="32"/>
        </w:rPr>
        <w:t>则</w:t>
      </w:r>
    </w:p>
    <w:p>
      <w:pPr>
        <w:spacing w:line="240" w:lineRule="auto"/>
        <w:ind w:firstLine="640"/>
        <w:jc w:val="both"/>
        <w:rPr>
          <w:rFonts w:ascii="仿宋_GB2312" w:hAnsi="仿宋_GB2312" w:eastAsia="仿宋_GB2312" w:cs="仿宋_GB2312"/>
          <w:sz w:val="32"/>
        </w:rPr>
      </w:pPr>
    </w:p>
    <w:p>
      <w:pPr>
        <w:spacing w:line="240" w:lineRule="auto"/>
        <w:ind w:firstLine="640"/>
        <w:jc w:val="both"/>
      </w:pPr>
      <w:r>
        <w:rPr>
          <w:rFonts w:ascii="黑体" w:hAnsi="黑体" w:eastAsia="黑体" w:cs="黑体"/>
          <w:sz w:val="32"/>
        </w:rPr>
        <w:t>第四百五十二条</w:t>
      </w:r>
      <w:r>
        <w:rPr>
          <w:rFonts w:ascii="仿宋_GB2312" w:hAnsi="仿宋_GB2312" w:eastAsia="仿宋_GB2312" w:cs="仿宋_GB2312"/>
          <w:sz w:val="32"/>
        </w:rPr>
        <w:t>　本法自</w:t>
      </w:r>
      <w:r>
        <w:rPr>
          <w:rFonts w:hint="default" w:ascii="Times New Roman" w:hAnsi="Times New Roman" w:eastAsia="仿宋_GB2312" w:cs="Times New Roman"/>
          <w:sz w:val="32"/>
        </w:rPr>
        <w:t>1997</w:t>
      </w:r>
      <w:r>
        <w:rPr>
          <w:rFonts w:ascii="仿宋_GB2312" w:hAnsi="仿宋_GB2312" w:eastAsia="仿宋_GB2312" w:cs="仿宋_GB2312"/>
          <w:sz w:val="32"/>
        </w:rPr>
        <w:t>年</w:t>
      </w:r>
      <w:r>
        <w:rPr>
          <w:rFonts w:hint="default" w:ascii="Times New Roman" w:hAnsi="Times New Roman" w:eastAsia="仿宋_GB2312" w:cs="Times New Roman"/>
          <w:sz w:val="32"/>
        </w:rPr>
        <w:t>10</w:t>
      </w:r>
      <w:r>
        <w:rPr>
          <w:rFonts w:ascii="仿宋_GB2312" w:hAnsi="仿宋_GB2312" w:eastAsia="仿宋_GB2312" w:cs="仿宋_GB2312"/>
          <w:sz w:val="32"/>
        </w:rPr>
        <w:t>月</w:t>
      </w:r>
      <w:r>
        <w:rPr>
          <w:rFonts w:hint="default" w:ascii="Times New Roman" w:hAnsi="Times New Roman" w:eastAsia="仿宋_GB2312" w:cs="Times New Roman"/>
          <w:sz w:val="32"/>
        </w:rPr>
        <w:t>1</w:t>
      </w:r>
      <w:r>
        <w:rPr>
          <w:rFonts w:ascii="仿宋_GB2312" w:hAnsi="仿宋_GB2312" w:eastAsia="仿宋_GB2312" w:cs="仿宋_GB2312"/>
          <w:sz w:val="32"/>
        </w:rPr>
        <w:t>日起施行。</w:t>
      </w:r>
    </w:p>
    <w:p>
      <w:pPr>
        <w:spacing w:line="240" w:lineRule="auto"/>
        <w:ind w:firstLine="640"/>
        <w:jc w:val="both"/>
      </w:pPr>
      <w:r>
        <w:rPr>
          <w:rFonts w:ascii="仿宋_GB2312" w:hAnsi="仿宋_GB2312" w:eastAsia="仿宋_GB2312" w:cs="仿宋_GB2312"/>
          <w:sz w:val="32"/>
        </w:rPr>
        <w:t>列于本法附件一的全国人民代表大会常务委员会制定的条例、补充规定和决定，已纳入本法或者已不适用，自本法施行之日起，予以废止。</w:t>
      </w:r>
    </w:p>
    <w:p>
      <w:pPr>
        <w:spacing w:line="240" w:lineRule="auto"/>
        <w:ind w:firstLine="640"/>
        <w:jc w:val="both"/>
      </w:pPr>
      <w:r>
        <w:rPr>
          <w:rFonts w:ascii="仿宋_GB2312" w:hAnsi="仿宋_GB2312" w:eastAsia="仿宋_GB2312" w:cs="仿宋_GB2312"/>
          <w:sz w:val="32"/>
        </w:rPr>
        <w:t>列于本法附件二的全国人民代表大会常务委员会制定的补充规定和决定予以保留。其中，有关行政处罚和行政措施的规定继续有效；有关刑事责任的规定已纳入本法，自本法施行之日起，适用本法规定。</w:t>
      </w:r>
    </w:p>
    <w:p>
      <w:pPr>
        <w:spacing w:line="240" w:lineRule="auto"/>
        <w:ind w:firstLine="640"/>
        <w:jc w:val="both"/>
        <w:rPr>
          <w:rFonts w:hint="eastAsia" w:ascii="宋体" w:hAnsi="宋体" w:eastAsia="宋体" w:cs="宋体"/>
          <w:sz w:val="32"/>
        </w:rPr>
      </w:pPr>
    </w:p>
    <w:p>
      <w:pPr>
        <w:spacing w:line="240" w:lineRule="auto"/>
        <w:jc w:val="both"/>
        <w:rPr>
          <w:rFonts w:hint="eastAsia" w:ascii="黑体" w:hAnsi="黑体" w:eastAsia="黑体" w:cs="黑体"/>
        </w:rPr>
      </w:pPr>
      <w:r>
        <w:rPr>
          <w:rFonts w:hint="eastAsia" w:ascii="黑体" w:hAnsi="黑体" w:eastAsia="黑体" w:cs="黑体"/>
          <w:sz w:val="32"/>
        </w:rPr>
        <w:t>附件一</w:t>
      </w:r>
    </w:p>
    <w:p>
      <w:pPr>
        <w:spacing w:line="240" w:lineRule="auto"/>
        <w:ind w:firstLine="640"/>
        <w:jc w:val="both"/>
      </w:pPr>
      <w:r>
        <w:rPr>
          <w:rFonts w:hint="eastAsia" w:ascii="黑体" w:hAnsi="黑体" w:eastAsia="黑体" w:cs="黑体"/>
          <w:sz w:val="32"/>
        </w:rPr>
        <w:t>全国人民代表大会常务委员会制定的下列条例、补充规定和决定，已纳入本法或者已不适用，自本法施行之日起，予以废止：</w:t>
      </w:r>
    </w:p>
    <w:p>
      <w:pPr>
        <w:spacing w:line="240" w:lineRule="auto"/>
        <w:ind w:firstLine="640"/>
        <w:jc w:val="both"/>
      </w:pPr>
      <w:r>
        <w:rPr>
          <w:rFonts w:hint="default" w:ascii="Times New Roman" w:hAnsi="Times New Roman" w:eastAsia="仿宋_GB2312" w:cs="Times New Roman"/>
          <w:sz w:val="32"/>
        </w:rPr>
        <w:t>1</w:t>
      </w:r>
      <w:r>
        <w:rPr>
          <w:rFonts w:ascii="仿宋_GB2312" w:hAnsi="仿宋_GB2312" w:eastAsia="仿宋_GB2312" w:cs="仿宋_GB2312"/>
          <w:sz w:val="32"/>
        </w:rPr>
        <w:t>．中华人民共和国惩治军人违反职责罪暂行条例</w:t>
      </w:r>
    </w:p>
    <w:p>
      <w:pPr>
        <w:spacing w:line="240" w:lineRule="auto"/>
        <w:ind w:firstLine="640"/>
        <w:jc w:val="both"/>
      </w:pPr>
      <w:r>
        <w:rPr>
          <w:rFonts w:hint="default" w:ascii="Times New Roman" w:hAnsi="Times New Roman" w:eastAsia="仿宋_GB2312" w:cs="Times New Roman"/>
          <w:sz w:val="32"/>
        </w:rPr>
        <w:t>2</w:t>
      </w:r>
      <w:r>
        <w:rPr>
          <w:rFonts w:ascii="仿宋_GB2312" w:hAnsi="仿宋_GB2312" w:eastAsia="仿宋_GB2312" w:cs="仿宋_GB2312"/>
          <w:sz w:val="32"/>
        </w:rPr>
        <w:t>．关于严惩严重破坏经济的罪犯的决定</w:t>
      </w:r>
    </w:p>
    <w:p>
      <w:pPr>
        <w:spacing w:line="240" w:lineRule="auto"/>
        <w:ind w:firstLine="640"/>
        <w:jc w:val="both"/>
      </w:pPr>
      <w:r>
        <w:rPr>
          <w:rFonts w:hint="default" w:ascii="Times New Roman" w:hAnsi="Times New Roman" w:eastAsia="仿宋_GB2312" w:cs="Times New Roman"/>
          <w:sz w:val="32"/>
        </w:rPr>
        <w:t>3</w:t>
      </w:r>
      <w:r>
        <w:rPr>
          <w:rFonts w:ascii="仿宋_GB2312" w:hAnsi="仿宋_GB2312" w:eastAsia="仿宋_GB2312" w:cs="仿宋_GB2312"/>
          <w:sz w:val="32"/>
        </w:rPr>
        <w:t>．关于严惩严重危害社会治安的犯罪分子的决定</w:t>
      </w:r>
    </w:p>
    <w:p>
      <w:pPr>
        <w:spacing w:line="240" w:lineRule="auto"/>
        <w:ind w:firstLine="640"/>
        <w:jc w:val="both"/>
      </w:pPr>
      <w:r>
        <w:rPr>
          <w:rFonts w:hint="default" w:ascii="Times New Roman" w:hAnsi="Times New Roman" w:eastAsia="仿宋_GB2312" w:cs="Times New Roman"/>
          <w:sz w:val="32"/>
        </w:rPr>
        <w:t>4</w:t>
      </w:r>
      <w:r>
        <w:rPr>
          <w:rFonts w:ascii="仿宋_GB2312" w:hAnsi="仿宋_GB2312" w:eastAsia="仿宋_GB2312" w:cs="仿宋_GB2312"/>
          <w:sz w:val="32"/>
        </w:rPr>
        <w:t>．关于惩治走私罪的补充规定</w:t>
      </w:r>
    </w:p>
    <w:p>
      <w:pPr>
        <w:spacing w:line="240" w:lineRule="auto"/>
        <w:ind w:firstLine="640"/>
        <w:jc w:val="both"/>
      </w:pPr>
      <w:r>
        <w:rPr>
          <w:rFonts w:hint="default" w:ascii="Times New Roman" w:hAnsi="Times New Roman" w:eastAsia="仿宋_GB2312" w:cs="Times New Roman"/>
          <w:sz w:val="32"/>
        </w:rPr>
        <w:t>5</w:t>
      </w:r>
      <w:r>
        <w:rPr>
          <w:rFonts w:ascii="仿宋_GB2312" w:hAnsi="仿宋_GB2312" w:eastAsia="仿宋_GB2312" w:cs="仿宋_GB2312"/>
          <w:sz w:val="32"/>
        </w:rPr>
        <w:t>．关于惩治贪污罪贿赂罪的补充规定</w:t>
      </w:r>
    </w:p>
    <w:p>
      <w:pPr>
        <w:spacing w:line="240" w:lineRule="auto"/>
        <w:ind w:firstLine="640"/>
        <w:jc w:val="both"/>
      </w:pPr>
      <w:r>
        <w:rPr>
          <w:rFonts w:hint="default" w:ascii="Times New Roman" w:hAnsi="Times New Roman" w:eastAsia="仿宋_GB2312" w:cs="Times New Roman"/>
          <w:sz w:val="32"/>
        </w:rPr>
        <w:t>6</w:t>
      </w:r>
      <w:r>
        <w:rPr>
          <w:rFonts w:ascii="仿宋_GB2312" w:hAnsi="仿宋_GB2312" w:eastAsia="仿宋_GB2312" w:cs="仿宋_GB2312"/>
          <w:sz w:val="32"/>
        </w:rPr>
        <w:t>．关于惩治泄露国家秘密犯罪的补充规定</w:t>
      </w:r>
    </w:p>
    <w:p>
      <w:pPr>
        <w:spacing w:line="240" w:lineRule="auto"/>
        <w:ind w:firstLine="640"/>
        <w:jc w:val="both"/>
      </w:pPr>
      <w:r>
        <w:rPr>
          <w:rFonts w:hint="default" w:ascii="Times New Roman" w:hAnsi="Times New Roman" w:eastAsia="仿宋_GB2312" w:cs="Times New Roman"/>
          <w:sz w:val="32"/>
        </w:rPr>
        <w:t>7</w:t>
      </w:r>
      <w:r>
        <w:rPr>
          <w:rFonts w:ascii="仿宋_GB2312" w:hAnsi="仿宋_GB2312" w:eastAsia="仿宋_GB2312" w:cs="仿宋_GB2312"/>
          <w:sz w:val="32"/>
        </w:rPr>
        <w:t>．关于惩治捕杀国家重点保护的珍贵、濒危野生动物犯罪的补充规定</w:t>
      </w:r>
    </w:p>
    <w:p>
      <w:pPr>
        <w:spacing w:line="240" w:lineRule="auto"/>
        <w:ind w:firstLine="640"/>
        <w:jc w:val="both"/>
      </w:pPr>
      <w:r>
        <w:rPr>
          <w:rFonts w:hint="default" w:ascii="Times New Roman" w:hAnsi="Times New Roman" w:eastAsia="仿宋_GB2312" w:cs="Times New Roman"/>
          <w:sz w:val="32"/>
        </w:rPr>
        <w:t>8</w:t>
      </w:r>
      <w:r>
        <w:rPr>
          <w:rFonts w:ascii="仿宋_GB2312" w:hAnsi="仿宋_GB2312" w:eastAsia="仿宋_GB2312" w:cs="仿宋_GB2312"/>
          <w:sz w:val="32"/>
        </w:rPr>
        <w:t>．关于惩治侮辱中华人民共和国国旗国徽罪的决定</w:t>
      </w:r>
    </w:p>
    <w:p>
      <w:pPr>
        <w:spacing w:line="240" w:lineRule="auto"/>
        <w:ind w:firstLine="640"/>
        <w:jc w:val="both"/>
      </w:pPr>
      <w:r>
        <w:rPr>
          <w:rFonts w:hint="default" w:ascii="Times New Roman" w:hAnsi="Times New Roman" w:eastAsia="仿宋_GB2312" w:cs="Times New Roman"/>
          <w:sz w:val="32"/>
        </w:rPr>
        <w:t>9</w:t>
      </w:r>
      <w:r>
        <w:rPr>
          <w:rFonts w:ascii="仿宋_GB2312" w:hAnsi="仿宋_GB2312" w:eastAsia="仿宋_GB2312" w:cs="仿宋_GB2312"/>
          <w:sz w:val="32"/>
        </w:rPr>
        <w:t>．关于惩治盗掘古文化遗址古墓葬犯罪的补充规定</w:t>
      </w:r>
    </w:p>
    <w:p>
      <w:pPr>
        <w:spacing w:line="240" w:lineRule="auto"/>
        <w:ind w:firstLine="640"/>
        <w:jc w:val="both"/>
      </w:pPr>
      <w:r>
        <w:rPr>
          <w:rFonts w:hint="default" w:ascii="Times New Roman" w:hAnsi="Times New Roman" w:eastAsia="仿宋_GB2312" w:cs="Times New Roman"/>
          <w:sz w:val="32"/>
        </w:rPr>
        <w:t>10</w:t>
      </w:r>
      <w:r>
        <w:rPr>
          <w:rFonts w:ascii="仿宋_GB2312" w:hAnsi="仿宋_GB2312" w:eastAsia="仿宋_GB2312" w:cs="仿宋_GB2312"/>
          <w:sz w:val="32"/>
        </w:rPr>
        <w:t>．关于惩治劫持航空器犯罪分子的决定</w:t>
      </w:r>
    </w:p>
    <w:p>
      <w:pPr>
        <w:spacing w:line="240" w:lineRule="auto"/>
        <w:ind w:firstLine="640"/>
        <w:jc w:val="both"/>
      </w:pPr>
      <w:r>
        <w:rPr>
          <w:rFonts w:hint="default" w:ascii="Times New Roman" w:hAnsi="Times New Roman" w:eastAsia="仿宋_GB2312" w:cs="Times New Roman"/>
          <w:sz w:val="32"/>
        </w:rPr>
        <w:t>11</w:t>
      </w:r>
      <w:r>
        <w:rPr>
          <w:rFonts w:ascii="仿宋_GB2312" w:hAnsi="仿宋_GB2312" w:eastAsia="仿宋_GB2312" w:cs="仿宋_GB2312"/>
          <w:sz w:val="32"/>
        </w:rPr>
        <w:t>．关于惩治假冒注册商标犯罪的补充规定</w:t>
      </w:r>
    </w:p>
    <w:p>
      <w:pPr>
        <w:spacing w:line="240" w:lineRule="auto"/>
        <w:ind w:firstLine="640"/>
        <w:jc w:val="both"/>
      </w:pPr>
      <w:r>
        <w:rPr>
          <w:rFonts w:hint="default" w:ascii="Times New Roman" w:hAnsi="Times New Roman" w:eastAsia="仿宋_GB2312" w:cs="Times New Roman"/>
          <w:sz w:val="32"/>
        </w:rPr>
        <w:t>12</w:t>
      </w:r>
      <w:r>
        <w:rPr>
          <w:rFonts w:ascii="仿宋_GB2312" w:hAnsi="仿宋_GB2312" w:eastAsia="仿宋_GB2312" w:cs="仿宋_GB2312"/>
          <w:sz w:val="32"/>
        </w:rPr>
        <w:t>．关于惩治生产、销售伪劣商品犯罪的决定</w:t>
      </w:r>
    </w:p>
    <w:p>
      <w:pPr>
        <w:spacing w:line="240" w:lineRule="auto"/>
        <w:ind w:firstLine="640"/>
        <w:jc w:val="both"/>
      </w:pPr>
      <w:r>
        <w:rPr>
          <w:rFonts w:hint="default" w:ascii="Times New Roman" w:hAnsi="Times New Roman" w:eastAsia="仿宋_GB2312" w:cs="Times New Roman"/>
          <w:sz w:val="32"/>
        </w:rPr>
        <w:t>13</w:t>
      </w:r>
      <w:r>
        <w:rPr>
          <w:rFonts w:ascii="仿宋_GB2312" w:hAnsi="仿宋_GB2312" w:eastAsia="仿宋_GB2312" w:cs="仿宋_GB2312"/>
          <w:sz w:val="32"/>
        </w:rPr>
        <w:t>．关于惩治侵犯著作权的犯罪的决定</w:t>
      </w:r>
    </w:p>
    <w:p>
      <w:pPr>
        <w:spacing w:line="240" w:lineRule="auto"/>
        <w:ind w:firstLine="640"/>
        <w:jc w:val="both"/>
      </w:pPr>
      <w:r>
        <w:rPr>
          <w:rFonts w:hint="default" w:ascii="Times New Roman" w:hAnsi="Times New Roman" w:eastAsia="仿宋_GB2312" w:cs="Times New Roman"/>
          <w:sz w:val="32"/>
        </w:rPr>
        <w:t>14</w:t>
      </w:r>
      <w:r>
        <w:rPr>
          <w:rFonts w:ascii="仿宋_GB2312" w:hAnsi="仿宋_GB2312" w:eastAsia="仿宋_GB2312" w:cs="仿宋_GB2312"/>
          <w:sz w:val="32"/>
        </w:rPr>
        <w:t>．关于惩治违反公司法的犯罪的决定</w:t>
      </w:r>
    </w:p>
    <w:p>
      <w:pPr>
        <w:spacing w:line="240" w:lineRule="auto"/>
        <w:ind w:firstLine="640"/>
        <w:jc w:val="both"/>
        <w:rPr>
          <w:rFonts w:hint="eastAsia" w:ascii="仿宋_GB2312" w:hAnsi="仿宋_GB2312" w:eastAsia="仿宋_GB2312" w:cs="仿宋_GB2312"/>
          <w:sz w:val="32"/>
          <w:lang w:eastAsia="zh-CN"/>
        </w:rPr>
      </w:pPr>
      <w:r>
        <w:rPr>
          <w:rFonts w:hint="default" w:ascii="Times New Roman" w:hAnsi="Times New Roman" w:eastAsia="仿宋_GB2312" w:cs="Times New Roman"/>
          <w:sz w:val="32"/>
        </w:rPr>
        <w:t>15</w:t>
      </w:r>
      <w:r>
        <w:rPr>
          <w:rFonts w:ascii="仿宋_GB2312" w:hAnsi="仿宋_GB2312" w:eastAsia="仿宋_GB2312" w:cs="仿宋_GB2312"/>
          <w:sz w:val="32"/>
        </w:rPr>
        <w:t>．关于处理逃跑或者重新犯罪的劳改犯和劳教人员的决定</w:t>
      </w:r>
    </w:p>
    <w:p>
      <w:pPr>
        <w:spacing w:line="240" w:lineRule="auto"/>
        <w:jc w:val="both"/>
        <w:rPr>
          <w:rFonts w:hint="eastAsia" w:ascii="黑体" w:hAnsi="黑体" w:eastAsia="黑体" w:cs="黑体"/>
        </w:rPr>
      </w:pPr>
      <w:r>
        <w:rPr>
          <w:rFonts w:hint="eastAsia" w:ascii="黑体" w:hAnsi="黑体" w:eastAsia="黑体" w:cs="黑体"/>
          <w:sz w:val="32"/>
        </w:rPr>
        <w:t>附件二</w:t>
      </w:r>
    </w:p>
    <w:p>
      <w:pPr>
        <w:spacing w:line="240" w:lineRule="auto"/>
        <w:ind w:firstLine="640"/>
        <w:jc w:val="both"/>
      </w:pPr>
      <w:r>
        <w:rPr>
          <w:rFonts w:hint="eastAsia" w:ascii="黑体" w:hAnsi="黑体" w:eastAsia="黑体" w:cs="黑体"/>
          <w:sz w:val="32"/>
        </w:rPr>
        <w:t>全国人民代表大会常务委员会制定的下列补充规定和决定予以保留，其中，有关行政处罚和行政措施的规定继续有效；有关刑事责任的规定已纳入本法，自本法施行之日起，适用本法规定：</w:t>
      </w:r>
    </w:p>
    <w:p>
      <w:pPr>
        <w:spacing w:line="240" w:lineRule="auto"/>
        <w:ind w:firstLine="640"/>
        <w:jc w:val="both"/>
      </w:pPr>
      <w:r>
        <w:rPr>
          <w:rFonts w:hint="default" w:ascii="Times New Roman" w:hAnsi="Times New Roman" w:eastAsia="仿宋_GB2312" w:cs="Times New Roman"/>
          <w:sz w:val="32"/>
        </w:rPr>
        <w:t>1</w:t>
      </w:r>
      <w:r>
        <w:rPr>
          <w:rFonts w:ascii="仿宋_GB2312" w:hAnsi="仿宋_GB2312" w:eastAsia="仿宋_GB2312" w:cs="仿宋_GB2312"/>
          <w:sz w:val="32"/>
        </w:rPr>
        <w:t>．关于禁毒的决定</w:t>
      </w:r>
    </w:p>
    <w:p>
      <w:pPr>
        <w:spacing w:line="240" w:lineRule="auto"/>
        <w:ind w:firstLine="640"/>
        <w:jc w:val="both"/>
      </w:pPr>
      <w:r>
        <w:rPr>
          <w:rFonts w:hint="default" w:ascii="Times New Roman" w:hAnsi="Times New Roman" w:eastAsia="仿宋_GB2312" w:cs="Times New Roman"/>
          <w:sz w:val="32"/>
        </w:rPr>
        <w:t>2</w:t>
      </w:r>
      <w:r>
        <w:rPr>
          <w:rFonts w:ascii="仿宋_GB2312" w:hAnsi="仿宋_GB2312" w:eastAsia="仿宋_GB2312" w:cs="仿宋_GB2312"/>
          <w:sz w:val="32"/>
        </w:rPr>
        <w:t>．关于惩治走私、制作、贩卖、传播淫秽物品的犯罪分子的决定</w:t>
      </w:r>
    </w:p>
    <w:p>
      <w:pPr>
        <w:spacing w:line="240" w:lineRule="auto"/>
        <w:ind w:firstLine="640"/>
        <w:jc w:val="both"/>
      </w:pPr>
      <w:r>
        <w:rPr>
          <w:rFonts w:hint="default" w:ascii="Times New Roman" w:hAnsi="Times New Roman" w:eastAsia="仿宋_GB2312" w:cs="Times New Roman"/>
          <w:sz w:val="32"/>
        </w:rPr>
        <w:t>3</w:t>
      </w:r>
      <w:r>
        <w:rPr>
          <w:rFonts w:ascii="仿宋_GB2312" w:hAnsi="仿宋_GB2312" w:eastAsia="仿宋_GB2312" w:cs="仿宋_GB2312"/>
          <w:sz w:val="32"/>
        </w:rPr>
        <w:t>．关于严禁卖淫嫖娼的决定</w:t>
      </w:r>
    </w:p>
    <w:p>
      <w:pPr>
        <w:spacing w:line="240" w:lineRule="auto"/>
        <w:ind w:firstLine="640"/>
        <w:jc w:val="both"/>
      </w:pPr>
      <w:r>
        <w:rPr>
          <w:rFonts w:hint="default" w:ascii="Times New Roman" w:hAnsi="Times New Roman" w:eastAsia="仿宋_GB2312" w:cs="Times New Roman"/>
          <w:sz w:val="32"/>
        </w:rPr>
        <w:t>4</w:t>
      </w:r>
      <w:r>
        <w:rPr>
          <w:rFonts w:ascii="仿宋_GB2312" w:hAnsi="仿宋_GB2312" w:eastAsia="仿宋_GB2312" w:cs="仿宋_GB2312"/>
          <w:sz w:val="32"/>
        </w:rPr>
        <w:t>．关于严惩拐卖、绑架妇女、儿童的犯罪分子的决定</w:t>
      </w:r>
    </w:p>
    <w:p>
      <w:pPr>
        <w:spacing w:line="240" w:lineRule="auto"/>
        <w:ind w:firstLine="640"/>
        <w:jc w:val="both"/>
      </w:pPr>
      <w:r>
        <w:rPr>
          <w:rFonts w:hint="default" w:ascii="Times New Roman" w:hAnsi="Times New Roman" w:eastAsia="仿宋_GB2312" w:cs="Times New Roman"/>
          <w:sz w:val="32"/>
        </w:rPr>
        <w:t>5</w:t>
      </w:r>
      <w:r>
        <w:rPr>
          <w:rFonts w:ascii="仿宋_GB2312" w:hAnsi="仿宋_GB2312" w:eastAsia="仿宋_GB2312" w:cs="仿宋_GB2312"/>
          <w:sz w:val="32"/>
        </w:rPr>
        <w:t>．关于惩治偷税、抗税犯罪的补充规定</w:t>
      </w:r>
    </w:p>
    <w:p>
      <w:pPr>
        <w:spacing w:line="240" w:lineRule="auto"/>
        <w:ind w:firstLine="640"/>
        <w:jc w:val="both"/>
      </w:pPr>
      <w:r>
        <w:rPr>
          <w:rFonts w:hint="default" w:ascii="Times New Roman" w:hAnsi="Times New Roman" w:eastAsia="仿宋_GB2312" w:cs="Times New Roman"/>
          <w:sz w:val="32"/>
        </w:rPr>
        <w:t>6</w:t>
      </w:r>
      <w:r>
        <w:rPr>
          <w:rFonts w:ascii="仿宋_GB2312" w:hAnsi="仿宋_GB2312" w:eastAsia="仿宋_GB2312" w:cs="仿宋_GB2312"/>
          <w:sz w:val="32"/>
        </w:rPr>
        <w:t>．关于严惩组织、运送他人偷越国（边）境犯罪的补充规定</w:t>
      </w:r>
    </w:p>
    <w:p>
      <w:pPr>
        <w:spacing w:line="240" w:lineRule="auto"/>
        <w:ind w:firstLine="640"/>
        <w:jc w:val="both"/>
      </w:pPr>
      <w:r>
        <w:rPr>
          <w:rFonts w:hint="default" w:ascii="Times New Roman" w:hAnsi="Times New Roman" w:eastAsia="仿宋_GB2312" w:cs="Times New Roman"/>
          <w:sz w:val="32"/>
        </w:rPr>
        <w:t>7</w:t>
      </w:r>
      <w:r>
        <w:rPr>
          <w:rFonts w:ascii="仿宋_GB2312" w:hAnsi="仿宋_GB2312" w:eastAsia="仿宋_GB2312" w:cs="仿宋_GB2312"/>
          <w:sz w:val="32"/>
        </w:rPr>
        <w:t>．关于惩治破坏金融秩序犯罪的决定</w:t>
      </w:r>
    </w:p>
    <w:p>
      <w:pPr>
        <w:spacing w:line="240" w:lineRule="auto"/>
        <w:ind w:firstLine="640"/>
        <w:jc w:val="both"/>
      </w:pPr>
      <w:r>
        <w:rPr>
          <w:rFonts w:hint="default" w:ascii="Times New Roman" w:hAnsi="Times New Roman" w:eastAsia="仿宋_GB2312" w:cs="Times New Roman"/>
          <w:sz w:val="32"/>
        </w:rPr>
        <w:t>8</w:t>
      </w:r>
      <w:r>
        <w:rPr>
          <w:rFonts w:ascii="仿宋_GB2312" w:hAnsi="仿宋_GB2312" w:eastAsia="仿宋_GB2312" w:cs="仿宋_GB2312"/>
          <w:sz w:val="32"/>
        </w:rPr>
        <w:t>．关于惩治虚开、伪造和非法出售增值税专用发票犯罪的决定</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ordWrap/>
        <w:spacing w:line="560" w:lineRule="exact"/>
        <w:jc w:val="center"/>
        <w:textAlignment w:val="auto"/>
        <w:outlineLvl w:val="0"/>
        <w:rPr>
          <w:rFonts w:hint="eastAsia" w:ascii="Times New Roman" w:hAnsi="Times New Roman" w:eastAsia="宋体" w:cs="宋体"/>
          <w:sz w:val="44"/>
          <w:szCs w:val="44"/>
        </w:rPr>
      </w:pPr>
      <w:bookmarkStart w:id="219" w:name="_Toc4331"/>
      <w:r>
        <w:rPr>
          <w:rFonts w:hint="eastAsia" w:ascii="Times New Roman" w:hAnsi="Times New Roman" w:eastAsia="宋体" w:cs="宋体"/>
          <w:sz w:val="44"/>
          <w:szCs w:val="44"/>
        </w:rPr>
        <w:t>中华人民共和国刑事诉讼法</w:t>
      </w:r>
      <w:bookmarkEnd w:id="219"/>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（1979年7月1日第五届全国人民代表大会第二次会议通过　根据1996年3月17日第八届全国人民代表大会第四次会议《关于修改〈中华人民共和国刑事诉讼法〉的决定》第一次修正　根据2012年3月14日第十一届全国人民代表大会第五次会议《关于修改〈中华人民共和国刑事诉讼法〉的决定》第二次修正　根据2018年10月26日第十三届全国人民代表大会常务委员会第六次会议《关于修改〈中华人民共和国刑事诉讼法〉的决定》第三次修正）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目</w:t>
      </w:r>
      <w:r>
        <w:rPr>
          <w:rFonts w:hint="eastAsia" w:ascii="宋体" w:hAnsi="宋体" w:eastAsia="楷体_GB2312" w:cs="Arial"/>
          <w:kern w:val="0"/>
          <w:szCs w:val="32"/>
          <w:lang w:eastAsia="zh-CN"/>
        </w:rPr>
        <w:t>　　</w:t>
      </w:r>
      <w:r>
        <w:rPr>
          <w:rFonts w:hint="eastAsia" w:ascii="宋体" w:hAnsi="宋体" w:eastAsia="楷体_GB2312" w:cs="Arial"/>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任务和基本原则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回避</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第四章　辩护与代理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第六章　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第七章　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第八章　期间、送达</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第九章　其他规定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第二编　立案、侦查和提起公诉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立案</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侦查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第二节　讯问犯罪嫌疑人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第三节　询问证人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第四节　勘验、检查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第五节　搜查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第六节　查封、扣押物证、书证</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第七节　鉴定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第八节　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第九节　通缉</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第十节　侦查终结</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第十一节　人民检察院对直接受理的案件的侦查</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第三编　审判</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第一审程序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第一节　公诉案件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第二节　自诉案件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第三节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第四节　速裁程序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第四章　死刑复核程序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第五章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第四编　执行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第五编　特别程序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第一章　未成年人刑事案件诉讼程序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第二章　当事人和解的公诉案件诉讼程序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第三章　缺席审判程序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第四章　犯罪嫌疑人、被告人逃匿、死亡案件违法所得的没收程序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　　第五章　依法不负刑事责任的精神病人的强制医疗程序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Arial"/>
          <w:kern w:val="0"/>
          <w:szCs w:val="32"/>
        </w:rPr>
      </w:pPr>
      <w:r>
        <w:rPr>
          <w:rFonts w:hint="eastAsia" w:ascii="宋体" w:hAnsi="宋体" w:eastAsia="楷体_GB2312" w:cs="Arial"/>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任务和基本原则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第一条</w:t>
      </w:r>
      <w:r>
        <w:rPr>
          <w:rFonts w:hint="eastAsia" w:ascii="宋体" w:hAnsi="宋体" w:cs="Arial"/>
          <w:kern w:val="0"/>
          <w:szCs w:val="32"/>
        </w:rPr>
        <w:t>　为了保证刑法的正确实施，惩罚犯罪，保护人民，保障国家安全和社会公共安全，维护社会主义社会秩序，根据宪法，制定本法。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第二条</w:t>
      </w:r>
      <w:r>
        <w:rPr>
          <w:rFonts w:hint="eastAsia" w:ascii="宋体" w:hAnsi="宋体" w:cs="Arial"/>
          <w:kern w:val="0"/>
          <w:szCs w:val="32"/>
        </w:rPr>
        <w:t>　中华人民共和国刑事诉讼法的任务，是保证准确、及时地查明犯罪事实，正确应用法律，惩罚犯罪分子，保障无罪的人不受刑事追究，教育公民自觉遵守法律，积极同犯罪行为作斗争，维护社会主义法制，尊重和保障人权，保护公民的人身权利、财产权利、民主权利和其他权利，保障社会主义建设事业的顺利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第三条</w:t>
      </w:r>
      <w:r>
        <w:rPr>
          <w:rFonts w:hint="eastAsia" w:ascii="宋体" w:hAnsi="宋体" w:cs="Arial"/>
          <w:kern w:val="0"/>
          <w:szCs w:val="32"/>
        </w:rPr>
        <w:t>　对刑事案件的侦查、拘留、执行逮捕、预审，由公安机关负责。检察、批准逮捕、检察机关直接受理的案件的侦查、提起公诉，由人民检察院负责。审判由人民法院负责。除法律特别规定的以外，其他任何机关、团体和个人都无权行使这些权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人民法院、人民检察院和公安机关进行刑事诉讼，必须严格遵守本法和其他法律的有关规定。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第四条</w:t>
      </w:r>
      <w:r>
        <w:rPr>
          <w:rFonts w:hint="eastAsia" w:ascii="宋体" w:hAnsi="宋体" w:cs="Arial"/>
          <w:kern w:val="0"/>
          <w:szCs w:val="32"/>
        </w:rPr>
        <w:t>　国家安全机关依照法律规定，办理危害国家安全的刑事案件，行使与公安机关相同的职权。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第五条</w:t>
      </w:r>
      <w:r>
        <w:rPr>
          <w:rFonts w:hint="eastAsia" w:ascii="宋体" w:hAnsi="宋体" w:cs="Arial"/>
          <w:kern w:val="0"/>
          <w:szCs w:val="32"/>
        </w:rPr>
        <w:t>　人民法院依照法律规定独立行使审判权，人民检察院依照法律规定独立行使检察权，不受行政机关、社会团体和个人的干涉。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第六条</w:t>
      </w:r>
      <w:r>
        <w:rPr>
          <w:rFonts w:hint="eastAsia" w:ascii="宋体" w:hAnsi="宋体" w:cs="Arial"/>
          <w:kern w:val="0"/>
          <w:szCs w:val="32"/>
        </w:rPr>
        <w:t>　人民法院、人民检察院和公安机关进行刑事诉讼，必须依靠群众，必须以事实为根据，以法律为准绳。对于一切公民，在适用法律上一律平等，在法律面前，不允许有任何特权。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第七条</w:t>
      </w:r>
      <w:r>
        <w:rPr>
          <w:rFonts w:hint="eastAsia" w:ascii="宋体" w:hAnsi="宋体" w:cs="Arial"/>
          <w:kern w:val="0"/>
          <w:szCs w:val="32"/>
        </w:rPr>
        <w:t>　人民法院、人民检察院和公安机关进行刑事诉讼，应当分工负责，互相配合，互相制约，以保证准确有效地执行法律。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第八条</w:t>
      </w:r>
      <w:r>
        <w:rPr>
          <w:rFonts w:hint="eastAsia" w:ascii="宋体" w:hAnsi="宋体" w:cs="Arial"/>
          <w:kern w:val="0"/>
          <w:szCs w:val="32"/>
        </w:rPr>
        <w:t>　人民检察院依法对刑事诉讼实行法律监督。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第九条</w:t>
      </w:r>
      <w:r>
        <w:rPr>
          <w:rFonts w:hint="eastAsia" w:ascii="宋体" w:hAnsi="宋体" w:cs="Arial"/>
          <w:kern w:val="0"/>
          <w:szCs w:val="32"/>
        </w:rPr>
        <w:t>　各民族公民都有用本民族语言文字进行诉讼的权利。人民法院、人民检察院和公安机关对于不通晓当地通用的语言文字的诉讼参与人，应当为他们翻译。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在少数民族聚居或者多民族杂居的地区，应当用当地通用的语言进行审讯，用当地通用的文字发布判决书、布告和其他文件。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第十条</w:t>
      </w:r>
      <w:r>
        <w:rPr>
          <w:rFonts w:hint="eastAsia" w:ascii="宋体" w:hAnsi="宋体" w:cs="Arial"/>
          <w:kern w:val="0"/>
          <w:szCs w:val="32"/>
        </w:rPr>
        <w:t>　人民法院审判案件，实行两审终审制。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第十一条</w:t>
      </w:r>
      <w:r>
        <w:rPr>
          <w:rFonts w:hint="eastAsia" w:ascii="宋体" w:hAnsi="宋体" w:cs="Arial"/>
          <w:kern w:val="0"/>
          <w:szCs w:val="32"/>
        </w:rPr>
        <w:t>　人民法院审判案件，除本法另有规定的以外，一律公开进行。被告人有权获得辩护，人民法院有义务保证被告人获得辩护。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第十二条</w:t>
      </w:r>
      <w:r>
        <w:rPr>
          <w:rFonts w:hint="eastAsia" w:ascii="宋体" w:hAnsi="宋体" w:cs="Arial"/>
          <w:kern w:val="0"/>
          <w:szCs w:val="32"/>
        </w:rPr>
        <w:t>　未经人民法院依法判决，对任何人都不得确定有罪。</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第十三条</w:t>
      </w:r>
      <w:r>
        <w:rPr>
          <w:rFonts w:hint="eastAsia" w:ascii="宋体" w:hAnsi="宋体" w:cs="Arial"/>
          <w:kern w:val="0"/>
          <w:szCs w:val="32"/>
        </w:rPr>
        <w:t>　人民法院审判案件，依照本法实行人民陪审员陪审的制度。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第十四条</w:t>
      </w:r>
      <w:r>
        <w:rPr>
          <w:rFonts w:hint="eastAsia" w:ascii="宋体" w:hAnsi="宋体" w:cs="Arial"/>
          <w:kern w:val="0"/>
          <w:szCs w:val="32"/>
        </w:rPr>
        <w:t>　人民法院、人民检察院和公安机关应当保障犯罪嫌疑人、被告人和其他诉讼参与人依法享有的辩护权和其他诉讼权利。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诉讼参与人对于审判人员、检察人员和侦查人员侵犯公民诉讼权利和人身侮辱的行为，有权提出控告。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第十五条</w:t>
      </w:r>
      <w:r>
        <w:rPr>
          <w:rFonts w:hint="eastAsia" w:ascii="宋体" w:hAnsi="宋体" w:cs="Arial"/>
          <w:kern w:val="0"/>
          <w:szCs w:val="32"/>
        </w:rPr>
        <w:t>　犯罪嫌疑人、被告人自愿如实供述自己的罪行，承认指控的犯罪事实，愿意接受处罚的，可以依法从宽处理。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第十六条</w:t>
      </w:r>
      <w:r>
        <w:rPr>
          <w:rFonts w:hint="eastAsia" w:ascii="宋体" w:hAnsi="宋体" w:cs="Arial"/>
          <w:kern w:val="0"/>
          <w:szCs w:val="32"/>
        </w:rPr>
        <w:t>　有下列情形之一的，不追究刑事责任，已经追究的，应当撤销案件，或者不起诉，或者终止审理，或者宣告无罪：</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（一）情节显著轻微、危害不大，不认为是犯罪的；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（二）犯罪已过追诉时效期限的；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（三）经特赦令免除刑罚的；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（四）依照刑法告诉才处理的犯罪，没有告诉或者撤回告诉的；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（五）犯罪嫌疑人、被告人死亡的；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（六）其他法律规定免予追究刑事责任的。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第十七条</w:t>
      </w:r>
      <w:r>
        <w:rPr>
          <w:rFonts w:hint="eastAsia" w:ascii="宋体" w:hAnsi="宋体" w:cs="Arial"/>
          <w:kern w:val="0"/>
          <w:szCs w:val="32"/>
          <w:lang w:eastAsia="zh-CN"/>
        </w:rPr>
        <w:t>　</w:t>
      </w:r>
      <w:r>
        <w:rPr>
          <w:rFonts w:hint="eastAsia" w:ascii="宋体" w:hAnsi="宋体" w:cs="Arial"/>
          <w:kern w:val="0"/>
          <w:szCs w:val="32"/>
        </w:rPr>
        <w:t>对于外国人犯罪应当追究刑事责任的，适用本法的规定。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对于享有外交特权和豁免权的外国人犯罪应当追究刑事责任的，通过外交途径解决。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第十八条</w:t>
      </w:r>
      <w:r>
        <w:rPr>
          <w:rFonts w:hint="eastAsia" w:ascii="宋体" w:hAnsi="宋体" w:cs="Arial"/>
          <w:kern w:val="0"/>
          <w:szCs w:val="32"/>
          <w:lang w:eastAsia="zh-CN"/>
        </w:rPr>
        <w:t>　</w:t>
      </w:r>
      <w:r>
        <w:rPr>
          <w:rFonts w:hint="eastAsia" w:ascii="宋体" w:hAnsi="宋体" w:cs="Arial"/>
          <w:kern w:val="0"/>
          <w:szCs w:val="32"/>
        </w:rPr>
        <w:t>根据中华人民共和国缔结或者参加的国际条约，或者按照互惠原则，我国司法机关和外国司法机关可以相互请求刑事司法协助。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第十九条</w:t>
      </w:r>
      <w:r>
        <w:rPr>
          <w:rFonts w:hint="eastAsia" w:ascii="宋体" w:hAnsi="宋体" w:cs="Arial"/>
          <w:kern w:val="0"/>
          <w:szCs w:val="32"/>
        </w:rPr>
        <w:t>　刑事案件的侦查由公安机关进行，法律另有规定的除外。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对诉讼活动实行法律监督中发现的司法工作人员利用职权实施的非法拘禁、刑讯逼供、非法搜查等侵犯公民权利、损害司法公正的犯罪，可以由人民检察院立案侦查。对于公安机关管辖的国家机关工作人员利用职权实施的重大犯罪案件，需要由人民检察院直接受理的时候，经省级以上人民检察院决定，可以由人民检察院立案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自诉案件，由人民法院直接受理。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第二十条</w:t>
      </w:r>
      <w:r>
        <w:rPr>
          <w:rFonts w:hint="eastAsia" w:ascii="宋体" w:hAnsi="宋体" w:cs="Arial"/>
          <w:kern w:val="0"/>
          <w:szCs w:val="32"/>
        </w:rPr>
        <w:t>　基层人民</w:t>
      </w:r>
      <w:r>
        <w:rPr>
          <w:rFonts w:hint="eastAsia" w:ascii="宋体" w:hAnsi="宋体" w:eastAsia="仿宋_GB2312" w:cs="仿宋_GB2312"/>
          <w:kern w:val="0"/>
          <w:szCs w:val="32"/>
        </w:rPr>
        <w:t>法院管辖第一审普通刑事案件，但是依照本法由上级人民法院管辖的除外。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第二十一条</w:t>
      </w:r>
      <w:r>
        <w:rPr>
          <w:rFonts w:hint="eastAsia" w:ascii="宋体" w:hAnsi="宋体" w:cs="Arial"/>
          <w:kern w:val="0"/>
          <w:szCs w:val="32"/>
        </w:rPr>
        <w:t>　中级人民</w:t>
      </w:r>
      <w:r>
        <w:rPr>
          <w:rFonts w:hint="eastAsia" w:ascii="宋体" w:hAnsi="宋体" w:eastAsia="仿宋_GB2312" w:cs="仿宋_GB2312"/>
          <w:kern w:val="0"/>
          <w:szCs w:val="32"/>
        </w:rPr>
        <w:t>法院管辖下列第一审刑事案件：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（一）危害国家安全、恐怖活动案件；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（二）可能判处无期徒刑、死刑的案件。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第二十二条</w:t>
      </w:r>
      <w:r>
        <w:rPr>
          <w:rFonts w:hint="eastAsia" w:ascii="宋体" w:hAnsi="宋体" w:cs="Arial"/>
          <w:kern w:val="0"/>
          <w:szCs w:val="32"/>
        </w:rPr>
        <w:t>　高级人民法</w:t>
      </w:r>
      <w:r>
        <w:rPr>
          <w:rFonts w:hint="eastAsia" w:ascii="宋体" w:hAnsi="宋体" w:eastAsia="仿宋_GB2312" w:cs="仿宋_GB2312"/>
          <w:kern w:val="0"/>
          <w:szCs w:val="32"/>
        </w:rPr>
        <w:t>院管辖的第一审刑事案件，是全省（自治区、直辖市）性的重大刑事案件。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第二十三条</w:t>
      </w:r>
      <w:r>
        <w:rPr>
          <w:rFonts w:hint="eastAsia" w:ascii="宋体" w:hAnsi="宋体" w:cs="Arial"/>
          <w:kern w:val="0"/>
          <w:szCs w:val="32"/>
        </w:rPr>
        <w:t>　最高人民</w:t>
      </w:r>
      <w:r>
        <w:rPr>
          <w:rFonts w:hint="eastAsia" w:ascii="宋体" w:hAnsi="宋体" w:eastAsia="仿宋_GB2312" w:cs="仿宋_GB2312"/>
          <w:kern w:val="0"/>
          <w:szCs w:val="32"/>
        </w:rPr>
        <w:t>法院管辖的第一审刑事案件，是全国性的重大刑事案件。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第二十四条</w:t>
      </w:r>
      <w:r>
        <w:rPr>
          <w:rFonts w:hint="eastAsia" w:ascii="宋体" w:hAnsi="宋体" w:cs="Arial"/>
          <w:kern w:val="0"/>
          <w:szCs w:val="32"/>
        </w:rPr>
        <w:t>　上级人</w:t>
      </w:r>
      <w:r>
        <w:rPr>
          <w:rFonts w:hint="eastAsia" w:ascii="宋体" w:hAnsi="宋体" w:eastAsia="仿宋_GB2312" w:cs="仿宋_GB2312"/>
          <w:kern w:val="0"/>
          <w:szCs w:val="32"/>
        </w:rPr>
        <w:t>民法院在必要的时候，可以审判下级人民法院管辖的第一审刑事案件；下级人民法院认为案情重大、复杂需要由上级人民法院审判的第一审刑事案件，可以请求移送上一级人民法院审判。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第二十五条</w:t>
      </w:r>
      <w:r>
        <w:rPr>
          <w:rFonts w:hint="eastAsia" w:ascii="宋体" w:hAnsi="宋体" w:cs="Arial"/>
          <w:kern w:val="0"/>
          <w:szCs w:val="32"/>
        </w:rPr>
        <w:t>　刑事案件由犯罪地的人民法院管辖。如果由被告人居住地的人民法院审判更为适宜的，可以由被告人居住地的人民法院管辖。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第二十六条</w:t>
      </w:r>
      <w:r>
        <w:rPr>
          <w:rFonts w:hint="eastAsia" w:ascii="宋体" w:hAnsi="宋体" w:cs="Arial"/>
          <w:kern w:val="0"/>
          <w:szCs w:val="32"/>
        </w:rPr>
        <w:t>　几个同级人民法院都有权管辖的案件，由最初受理的人民法院审判。在必要的时候，可以移送主要犯罪地的人民法院审判。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第二十七条</w:t>
      </w:r>
      <w:r>
        <w:rPr>
          <w:rFonts w:hint="eastAsia" w:ascii="宋体" w:hAnsi="宋体" w:cs="Arial"/>
          <w:kern w:val="0"/>
          <w:szCs w:val="32"/>
        </w:rPr>
        <w:t>　上级人民法院可以指定下级人民法院审判管辖不明的案件，也可以指定下级人民法院将案件移送其他人民法院审判。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第二十八条</w:t>
      </w:r>
      <w:r>
        <w:rPr>
          <w:rFonts w:hint="eastAsia" w:ascii="宋体" w:hAnsi="宋体" w:cs="Arial"/>
          <w:kern w:val="0"/>
          <w:szCs w:val="32"/>
        </w:rPr>
        <w:t>　专门人民法院案件的管辖另行规定。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回避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第二十九条</w:t>
      </w:r>
      <w:r>
        <w:rPr>
          <w:rFonts w:hint="eastAsia" w:ascii="宋体" w:hAnsi="宋体" w:cs="Arial"/>
          <w:kern w:val="0"/>
          <w:szCs w:val="32"/>
        </w:rPr>
        <w:t>　审判人员、检察人员、侦查人员有下列情形之一的，应当自行回避，当事人及其法定代理人也有权要求他们回避：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（一）是本案的当事人或者是当事人的近亲属的；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（二）本人或者他的近亲属和本案有利害关系的；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（三）担任过本案的证人、鉴定人、辩护人、诉讼代理人的；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（四）与本案当事人有其他关系，可能影响公正处理案件的。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第三十条</w:t>
      </w:r>
      <w:r>
        <w:rPr>
          <w:rFonts w:hint="eastAsia" w:ascii="宋体" w:hAnsi="宋体" w:cs="Arial"/>
          <w:kern w:val="0"/>
          <w:szCs w:val="32"/>
        </w:rPr>
        <w:t>　审判人员、检察人员、侦查人员不得接受当事人及其委托的人的请客送礼，不得违反规定会见当事人及其委托的人。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审判人员、检察人员、侦查人员违反前款规定的，应当依法追究法律责任。当事人及其法定代理人有权要求他们回避。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第三十一条</w:t>
      </w:r>
      <w:r>
        <w:rPr>
          <w:rFonts w:hint="eastAsia" w:ascii="宋体" w:hAnsi="宋体" w:cs="Arial"/>
          <w:kern w:val="0"/>
          <w:szCs w:val="32"/>
        </w:rPr>
        <w:t>　审判人员、检察人员、侦查人员的回避，应当分别由院长、检察长、公安机关负责人决定；院长的回避，由本院审判委员会决定；检察长和公安机关负责人的回避，由同级人民检察院检察委员会决定。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对侦查人员的回避作出决定前，侦查人员不能停止对案件的侦查。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对驳回申请回避的决定，当事人及其法定代理人可以申请复议一次。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第三十二条</w:t>
      </w:r>
      <w:r>
        <w:rPr>
          <w:rFonts w:hint="eastAsia" w:ascii="宋体" w:hAnsi="宋体" w:cs="Arial"/>
          <w:kern w:val="0"/>
          <w:szCs w:val="32"/>
        </w:rPr>
        <w:t>　本章关于回避的规定适用于书记员、翻译人员和鉴定人。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辩护人、诉讼代理人可以依照本章的规定要求回避、申请复议。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辩护与代理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第三十三条</w:t>
      </w:r>
      <w:r>
        <w:rPr>
          <w:rFonts w:hint="eastAsia" w:ascii="宋体" w:hAnsi="宋体" w:cs="Arial"/>
          <w:kern w:val="0"/>
          <w:szCs w:val="32"/>
        </w:rPr>
        <w:t>　犯罪嫌疑人、被告人除自己行使辩护权以外，还可以委托一至二人作为辩护人。下列的人可以被委托为辩护人：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（一）律师；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（二）人民团体或者犯罪嫌疑人、被告人所在单位推荐的人；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（三）犯罪嫌疑人、被告人的监护人、亲友。</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正在被执行刑罚或者依法被剥夺、限制人身自由的人，不得担任辩护人。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被开除公职和被吊销律师、公证员执业证书的人，不得担任辩护人，但系犯罪嫌疑人、被告人的监护人、近亲属的除外。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第三十四条</w:t>
      </w:r>
      <w:r>
        <w:rPr>
          <w:rFonts w:hint="eastAsia" w:ascii="宋体" w:hAnsi="宋体" w:cs="Arial"/>
          <w:kern w:val="0"/>
          <w:szCs w:val="32"/>
        </w:rPr>
        <w:t>　犯罪嫌疑人</w:t>
      </w:r>
      <w:r>
        <w:rPr>
          <w:rFonts w:hint="eastAsia" w:ascii="宋体" w:hAnsi="宋体" w:eastAsia="仿宋_GB2312" w:cs="仿宋_GB2312"/>
          <w:kern w:val="0"/>
          <w:szCs w:val="32"/>
        </w:rPr>
        <w:t>自被侦查机关第一次讯问或者采取强制措施之日起，有权委托辩护人；在侦查期间，只能委托律师作为辩护人。被告人有权随时委托辩护人。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侦查机关在第一次讯问犯罪嫌疑人或者对犯罪嫌疑人采取强制措施的时候，应当告知犯罪嫌疑人有权委托辩护人。人民检察院自收到移送审查起诉的案件材料之日起三日以内，应当告知犯罪嫌疑人有权委托辩护人。人民法院自受理案件之日起三日以内，应当告知被告人有权委托辩护人。犯罪嫌疑人、被告人在押期间要求委托辩护人的，人民法院、人民检察院和公安机关应当及时转达其要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犯罪嫌疑人、被告人在押的，也可以由其监护人、近亲属代为委托辩护人。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辩护人接受犯罪嫌疑人、被告人委托后，应当及时告知办理案件的机关。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第三十五条</w:t>
      </w:r>
      <w:r>
        <w:rPr>
          <w:rFonts w:hint="eastAsia" w:ascii="宋体" w:hAnsi="宋体" w:cs="Arial"/>
          <w:kern w:val="0"/>
          <w:szCs w:val="32"/>
        </w:rPr>
        <w:t>　犯罪嫌疑人、被告人因经济困难或者其他原因没有委托辩护人的，本人及其近亲属可以向法律援助机构提出申请。对符合法律援助条件的，法律援助机构应当指派律师为其提供辩护。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犯罪嫌疑人、被告人是盲、聋、哑人，或者是尚未完全丧失辨认或者控制自己行为能力的精神病人，没有委托辩护人的，人民法院、人民检察院和公安机关应当通知法律援助机构指派律师为其提供辩护。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犯罪嫌疑人、被告人可能被判处无期徒刑、死刑，没有委托辩护人的，人民法院、人民检察院和公安机关应当通知法律援助机构指派律师为其提供辩护。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第三十六条</w:t>
      </w:r>
      <w:r>
        <w:rPr>
          <w:rFonts w:hint="eastAsia" w:ascii="宋体" w:hAnsi="宋体" w:cs="Arial"/>
          <w:kern w:val="0"/>
          <w:szCs w:val="32"/>
        </w:rPr>
        <w:t>　法律援助机构可以在人民法院、看守所等场所派驻值班律师。犯罪嫌疑人、被告人没有委托辩护人，法律援助机构没有指派律师为其提供辩护的，由值班律师为犯罪嫌疑人、被告人提供法律咨询、程序选择建议、申请变更强制措施、对案件处理提出意见等法律帮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人民法院、人民检察院、看守所应当告知犯罪嫌疑人、被告人有权约见值班律师，并为犯罪嫌疑人、被告人约见值班律师提供便利。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第三十七条</w:t>
      </w:r>
      <w:r>
        <w:rPr>
          <w:rFonts w:hint="eastAsia" w:ascii="宋体" w:hAnsi="宋体" w:cs="Arial"/>
          <w:kern w:val="0"/>
          <w:szCs w:val="32"/>
        </w:rPr>
        <w:t>　辩护人的责任是根据事实和法律，提出犯罪嫌疑人、被告人无罪、罪轻或者减轻、免除其刑事责任的材料和意见，维护犯罪嫌疑人、被告人的诉讼权利和其他合法权益。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第三十八条</w:t>
      </w:r>
      <w:r>
        <w:rPr>
          <w:rFonts w:hint="eastAsia" w:ascii="宋体" w:hAnsi="宋体" w:cs="Arial"/>
          <w:kern w:val="0"/>
          <w:szCs w:val="32"/>
        </w:rPr>
        <w:t>　辩护律师在侦查期间可以为犯罪嫌疑人提供法律帮助；代理申诉、控告；申请变更强制措施；向侦查机关了解犯罪嫌疑人涉嫌的罪名和案件有关情况，提出意见。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第三十九条</w:t>
      </w:r>
      <w:r>
        <w:rPr>
          <w:rFonts w:hint="eastAsia" w:ascii="宋体" w:hAnsi="宋体" w:cs="Arial"/>
          <w:kern w:val="0"/>
          <w:szCs w:val="32"/>
        </w:rPr>
        <w:t>　辩护律师可以同在押的犯罪嫌疑人、被告人会见和通信。其他辩护人经人民法院、人民检察院许可，也可以同在押的犯罪嫌疑人、被告人会见和通信。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辩护律师持律师执业证书、律师事务所证明和委托书或者法律援助公函要求会见在押的犯罪嫌疑人、被告人的，看守所应当及时安排会见，至迟不得超过四十八小时。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危害国家安全犯罪、恐怖活动犯罪案件，在侦查期间辩护律师会见在押的犯罪嫌疑人，应当经侦查机关许可。上述案件，侦查机关应当事先通知看守所。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辩护律师会见在押的犯罪嫌疑人、被告人，可以了解案件有关情况，提供法律咨询等；自案件移送审查起诉之日起，可以向犯罪嫌疑人、被告人核实有关证据。辩护律师会见犯罪嫌疑人、被告人时不被监听。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辩</w:t>
      </w:r>
      <w:r>
        <w:rPr>
          <w:rFonts w:hint="eastAsia" w:ascii="宋体" w:hAnsi="宋体" w:eastAsia="仿宋_GB2312" w:cs="仿宋_GB2312"/>
          <w:kern w:val="0"/>
          <w:szCs w:val="32"/>
        </w:rPr>
        <w:t>护律师同被监视居住的犯罪嫌疑人、被告人会见、通信，适用第一款、第三款、第四款的规定。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第四十条</w:t>
      </w:r>
      <w:r>
        <w:rPr>
          <w:rFonts w:hint="eastAsia" w:ascii="宋体" w:hAnsi="宋体" w:cs="Arial"/>
          <w:kern w:val="0"/>
          <w:szCs w:val="32"/>
        </w:rPr>
        <w:t>　辩护律师自人民检察院对案件审查起诉之日起，可以查阅、摘抄、复制本案的案卷材料。其他辩护人经人民法院、人民检察院许可，也可以查阅、摘抄、复制上述材料。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第四十一条</w:t>
      </w:r>
      <w:r>
        <w:rPr>
          <w:rFonts w:hint="eastAsia" w:ascii="宋体" w:hAnsi="宋体" w:cs="Arial"/>
          <w:kern w:val="0"/>
          <w:szCs w:val="32"/>
        </w:rPr>
        <w:t>　辩护人认为在侦查、审查起诉期间公安机关、人民检察院收集的证明犯罪嫌疑人、被告人无罪或者罪轻的证据材料未提交的，有权申请人民检察院、人民法院调取。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第四十二条</w:t>
      </w:r>
      <w:r>
        <w:rPr>
          <w:rFonts w:hint="eastAsia" w:ascii="宋体" w:hAnsi="宋体" w:cs="Arial"/>
          <w:kern w:val="0"/>
          <w:szCs w:val="32"/>
        </w:rPr>
        <w:t>　辩护人收集的有关犯罪嫌疑人不在犯罪现场、未达到刑事责任年龄、属于依法不负刑事责任的精神病人的证据，应当及时告知公安机关、人民检察院。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第四十三条</w:t>
      </w:r>
      <w:r>
        <w:rPr>
          <w:rFonts w:hint="eastAsia" w:ascii="宋体" w:hAnsi="宋体" w:cs="Arial"/>
          <w:kern w:val="0"/>
          <w:szCs w:val="32"/>
        </w:rPr>
        <w:t>　辩护律师经证人或者其他有关单位和个人同意，可以向他们收集与本案有关的材料，也可以申请人民检察院、人民法院收集、调取证据，或者申请人民法院通知证人出庭作证。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辩护律师经人民检察院或者人民法院许可，并且经被害人或者其近亲属、被害人提供的证人同意，可以向他们收集与本案有关的材料。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第四十四条</w:t>
      </w:r>
      <w:r>
        <w:rPr>
          <w:rFonts w:hint="eastAsia" w:ascii="宋体" w:hAnsi="宋体" w:cs="Arial"/>
          <w:kern w:val="0"/>
          <w:szCs w:val="32"/>
        </w:rPr>
        <w:t>　辩护人或者其他任何人，不得帮助犯罪嫌疑人、被告人隐匿、毁灭、伪造证据或者串供，不得威胁、引诱证人作伪证以及进行其他干扰司法机关诉讼活动的行为。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违反前款规定的，应当依法追究法律责任，辩护人涉嫌犯罪的，应当由办理辩护人所承办案件的侦查机关以外的侦查机关办理。辩护人是律师的，应当及时通知其所在的律师事务所或者所属的律师协会。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第四十五条</w:t>
      </w:r>
      <w:r>
        <w:rPr>
          <w:rFonts w:hint="eastAsia" w:ascii="宋体" w:hAnsi="宋体" w:cs="Arial"/>
          <w:kern w:val="0"/>
          <w:szCs w:val="32"/>
        </w:rPr>
        <w:t>　在审判过程中，被告人可以拒绝辩护人继续为他辩护，也可以另行委托辩护人辩护。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第四十六条</w:t>
      </w:r>
      <w:r>
        <w:rPr>
          <w:rFonts w:hint="eastAsia" w:ascii="宋体" w:hAnsi="宋体" w:cs="Arial"/>
          <w:kern w:val="0"/>
          <w:szCs w:val="32"/>
        </w:rPr>
        <w:t>　公诉案件的被害人及其法定代理人或者近亲属，附带民事诉讼的当事人及其法定代理人，自案件移送审查起诉之日起，有权委托诉讼代理人。自诉案件的自诉人及其法定代理人，附带民事诉讼的当事人及其法定代理人，有权随时委托诉讼代理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自收到移送审查起诉的案件材料之日起三日以内，应当告知被害人及其法定代理人或者其近亲属、附带民事诉讼的当事人及其法定代理人有权委托诉讼代理人。人民法院自受理自诉案件之日起三日以内，应当告知自诉人及其法定代理人、附带民事诉讼的当事人及其法定代理人有权委托诉讼代理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第四十七条</w:t>
      </w:r>
      <w:r>
        <w:rPr>
          <w:rFonts w:hint="eastAsia" w:ascii="宋体" w:hAnsi="宋体" w:cs="Arial"/>
          <w:kern w:val="0"/>
          <w:szCs w:val="32"/>
        </w:rPr>
        <w:t>　委托诉讼代理人，参照</w:t>
      </w:r>
      <w:r>
        <w:rPr>
          <w:rFonts w:hint="eastAsia" w:ascii="宋体" w:hAnsi="宋体" w:eastAsia="仿宋_GB2312" w:cs="仿宋_GB2312"/>
          <w:kern w:val="0"/>
          <w:szCs w:val="32"/>
        </w:rPr>
        <w:t>本法第三十三条的规</w:t>
      </w:r>
      <w:r>
        <w:rPr>
          <w:rFonts w:hint="eastAsia" w:ascii="宋体" w:hAnsi="宋体" w:cs="Arial"/>
          <w:kern w:val="0"/>
          <w:szCs w:val="32"/>
        </w:rPr>
        <w:t>定执行。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第四十八条</w:t>
      </w:r>
      <w:r>
        <w:rPr>
          <w:rFonts w:hint="eastAsia" w:ascii="宋体" w:hAnsi="宋体" w:cs="Arial"/>
          <w:kern w:val="0"/>
          <w:szCs w:val="32"/>
        </w:rPr>
        <w:t>　辩护律师对在执业活动中知悉的委托人的有关情况和信息，有权予以保密。但是，辩护律师在执业活动中知悉委托人或者其他人，准备或者正在实施危害国家安全、公共安全以及严重危害他人人身安全的犯罪的，应当及时告知司法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第四十九条</w:t>
      </w:r>
      <w:r>
        <w:rPr>
          <w:rFonts w:hint="eastAsia" w:ascii="宋体" w:hAnsi="宋体" w:cs="Arial"/>
          <w:kern w:val="0"/>
          <w:szCs w:val="32"/>
        </w:rPr>
        <w:t>　辩护人、诉讼代理人认为公安机关、人民检察院、人民法院及其工作人员阻碍其依法行使诉讼权利的，有权向同级或者上一级人民检察院申诉或者控告。人民检察院对申诉或者控告应当及时进行审查，情况属实的，通知有关机关予以纠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lang w:eastAsia="zh-CN"/>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第五十条</w:t>
      </w:r>
      <w:r>
        <w:rPr>
          <w:rFonts w:hint="eastAsia" w:ascii="宋体" w:hAnsi="宋体" w:cs="Arial"/>
          <w:kern w:val="0"/>
          <w:szCs w:val="32"/>
        </w:rPr>
        <w:t>　可以用于证明案件事实的材料，都是证据。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证据包括：</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（一）物证；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（二）书证；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（三）证人证言；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（四）被害人陈述；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（五）犯罪嫌疑人、被告人供述和辩解；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（六）鉴定意见；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（七）勘验、检查、辨认、侦查实验等笔录；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（八）视听资料、电子数据。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证据必须经过查证属实，才能作为定案的根据。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第五十一条</w:t>
      </w:r>
      <w:r>
        <w:rPr>
          <w:rFonts w:hint="eastAsia" w:ascii="宋体" w:hAnsi="宋体" w:cs="Arial"/>
          <w:kern w:val="0"/>
          <w:szCs w:val="32"/>
        </w:rPr>
        <w:t>　公诉案件中被告人有罪的举证责任由人民检察院承担，自诉案件中被告人有罪的举证责任由自诉人承担。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第五十二条</w:t>
      </w:r>
      <w:r>
        <w:rPr>
          <w:rFonts w:hint="eastAsia" w:ascii="宋体" w:hAnsi="宋体" w:cs="Arial"/>
          <w:kern w:val="0"/>
          <w:szCs w:val="32"/>
        </w:rPr>
        <w:t>　审判人员、检察人员、侦查人员必须依照法定程序，收集能够证实犯罪嫌疑人、被告人有罪或者无罪、犯罪情节轻重的各种证据。严禁刑讯逼供和以威胁、引诱、欺骗以及其他非法方法收集证据，不得强迫任何人证实自己有罪。必须保证一切与案件有关或者了解案情的公民，有客观地充分地提供证据的条件，除特殊情况外，可以吸收他们协助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第五十三条</w:t>
      </w:r>
      <w:r>
        <w:rPr>
          <w:rFonts w:hint="eastAsia" w:ascii="宋体" w:hAnsi="宋体" w:cs="Arial"/>
          <w:kern w:val="0"/>
          <w:szCs w:val="32"/>
        </w:rPr>
        <w:t>　公安机关提请批准逮捕书、人民检察院起诉书、人民法院判决书，必须忠实于事实真象。故意隐瞒事实真象的，应当追究责任。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第五十四条</w:t>
      </w:r>
      <w:r>
        <w:rPr>
          <w:rFonts w:hint="eastAsia" w:ascii="宋体" w:hAnsi="宋体" w:cs="Arial"/>
          <w:kern w:val="0"/>
          <w:szCs w:val="32"/>
        </w:rPr>
        <w:t>　人民法院、人民检察院和公安机关有权向有关单位和个人收集、调取证据。有关单位和个人应当如实提供证据。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行政机关在行政执法和查办案件过程中收集的物证、书证、视听资料、电子数据等证据材料，在刑事诉讼中可以作为证据使用。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对涉及国家秘密、商业秘密、个人隐私的证据，应当保密。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凡是伪造证据、隐匿证据或者毁灭证据的，无论属于何方，必须受法律追究。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第五十五条</w:t>
      </w:r>
      <w:r>
        <w:rPr>
          <w:rFonts w:hint="eastAsia" w:ascii="宋体" w:hAnsi="宋体" w:cs="Arial"/>
          <w:kern w:val="0"/>
          <w:szCs w:val="32"/>
        </w:rPr>
        <w:t>　对一切案件的判处都要重证据，重调查研究，不轻信口供。只有被告人供述，没有其他证据的，不能认定被告人有罪和处以刑罚；没有被告人供述，证据确实、充分的，可以认定被告人有罪和处以刑罚。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证据确实、充分，应当符合以下条件：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（一）定罪量刑的事实都有证据证明；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（二）据以定案的证据均经法定程序查证属实；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（三）综合全案证据，对所认定事实已排除合理怀疑。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第五十六条</w:t>
      </w:r>
      <w:r>
        <w:rPr>
          <w:rFonts w:hint="eastAsia" w:ascii="宋体" w:hAnsi="宋体" w:cs="Arial"/>
          <w:kern w:val="0"/>
          <w:szCs w:val="32"/>
        </w:rPr>
        <w:t>　采用刑讯逼供等非法方法收集的犯罪嫌疑人、被告人供述和采用暴力、威胁等非法方法收集的证人证言、被害人陈述，应当予以排除。收集物证、书证不符合法定程序，可能严重影响司法公正的，应当予以补正或者作出合理解释；不能补正或者作出合理解释的，对该证据应当予以排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在侦查、审查起诉、审判时发现有应当排除的证据的，应当依法予以排除，不得作为起诉意见、起诉决定和判决的依据。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第五十七条</w:t>
      </w:r>
      <w:r>
        <w:rPr>
          <w:rFonts w:hint="eastAsia" w:ascii="宋体" w:hAnsi="宋体" w:cs="Arial"/>
          <w:kern w:val="0"/>
          <w:szCs w:val="32"/>
        </w:rPr>
        <w:t>　人民检察院接到报案、控告、举报或者发现侦查人员以非法方法收集证据的，应当进行调查核实。对于确有以非法方法收集证据情形的，应当提出纠正意见；构成犯罪的，依法追究刑事责任。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第五十八条</w:t>
      </w:r>
      <w:r>
        <w:rPr>
          <w:rFonts w:hint="eastAsia" w:ascii="宋体" w:hAnsi="宋体" w:cs="Arial"/>
          <w:kern w:val="0"/>
          <w:szCs w:val="32"/>
        </w:rPr>
        <w:t>　法庭审理过程中，审判人员认为可能存在本法</w:t>
      </w:r>
      <w:r>
        <w:rPr>
          <w:rFonts w:hint="eastAsia" w:ascii="宋体" w:hAnsi="宋体" w:eastAsia="仿宋_GB2312" w:cs="仿宋_GB2312"/>
          <w:kern w:val="0"/>
          <w:szCs w:val="32"/>
        </w:rPr>
        <w:t>第五十六条规定</w:t>
      </w:r>
      <w:r>
        <w:rPr>
          <w:rFonts w:hint="eastAsia" w:ascii="宋体" w:hAnsi="宋体" w:cs="Arial"/>
          <w:kern w:val="0"/>
          <w:szCs w:val="32"/>
        </w:rPr>
        <w:t>的以非法方法收集证据情形的，应当对证据收集的合法性进行法庭调查。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当事人及其辩护人、诉讼代理人有权申请人民法院对以非法方法收集的证据依法予以排除。申请排除以非法方法收集的证据的，应当提供相关线索或者材料。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第五十九条</w:t>
      </w:r>
      <w:r>
        <w:rPr>
          <w:rFonts w:hint="eastAsia" w:ascii="宋体" w:hAnsi="宋体" w:cs="Arial"/>
          <w:kern w:val="0"/>
          <w:szCs w:val="32"/>
        </w:rPr>
        <w:t>　在对证据收集的合法性进行法庭调查的过程中，人民检察院应当对证据收集的合法性加以证明。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现有证据材料不能证明证据收集的合法性的，人民检察院可以提请人民法院通知有关侦查人员或者其他人员出庭说明情况；人民法院可以通知有关侦查人员或者其他人员出庭说明情况。有关侦查人员或者其他人员也可以要求出庭说明情况。经人民法院通知，有关人员应当出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第六十条</w:t>
      </w:r>
      <w:r>
        <w:rPr>
          <w:rFonts w:hint="eastAsia" w:ascii="宋体" w:hAnsi="宋体" w:cs="Arial"/>
          <w:kern w:val="0"/>
          <w:szCs w:val="32"/>
        </w:rPr>
        <w:t>　对于经过</w:t>
      </w:r>
      <w:r>
        <w:rPr>
          <w:rFonts w:hint="eastAsia" w:ascii="宋体" w:hAnsi="宋体" w:eastAsia="仿宋_GB2312" w:cs="仿宋_GB2312"/>
          <w:kern w:val="0"/>
          <w:szCs w:val="32"/>
        </w:rPr>
        <w:t>法庭审理，确认或者不能排除存在本法第五十六条规</w:t>
      </w:r>
      <w:r>
        <w:rPr>
          <w:rFonts w:hint="eastAsia" w:ascii="宋体" w:hAnsi="宋体" w:cs="Arial"/>
          <w:kern w:val="0"/>
          <w:szCs w:val="32"/>
        </w:rPr>
        <w:t>定的以非法方法收集证据情形的，对有关证据应当予以排除。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第六十一条</w:t>
      </w:r>
      <w:r>
        <w:rPr>
          <w:rFonts w:hint="eastAsia" w:ascii="宋体" w:hAnsi="宋体" w:cs="Arial"/>
          <w:kern w:val="0"/>
          <w:szCs w:val="32"/>
        </w:rPr>
        <w:t>　证人证言必须在法庭上经过公诉人、被害人和被告人、辩护人双方质证并且查实以后，才能作为定案的根据。法庭查明证人有意作伪证或者隐匿罪证的时候，应当依法处理。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第六十二条</w:t>
      </w:r>
      <w:r>
        <w:rPr>
          <w:rFonts w:hint="eastAsia" w:ascii="宋体" w:hAnsi="宋体" w:cs="Arial"/>
          <w:kern w:val="0"/>
          <w:szCs w:val="32"/>
        </w:rPr>
        <w:t>　凡是知道案件情况的人，都有作证的义务。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生理上、精神上有缺陷或者年幼，不能辨别是非、不能正确表达的人，不能作证人。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第六十三条</w:t>
      </w:r>
      <w:r>
        <w:rPr>
          <w:rFonts w:hint="eastAsia" w:ascii="宋体" w:hAnsi="宋体" w:cs="Arial"/>
          <w:kern w:val="0"/>
          <w:szCs w:val="32"/>
        </w:rPr>
        <w:t>　人民法院、人民检察院和公安机关应当保障证人及其近亲属的安全。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对证人及其近亲属进行威胁、侮辱、殴打或者打击报复，构成犯罪的，依法追究刑事责任；尚不够刑事处罚的，依法给予治安管理处罚。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第六十四条</w:t>
      </w:r>
      <w:r>
        <w:rPr>
          <w:rFonts w:hint="eastAsia" w:ascii="宋体" w:hAnsi="宋体" w:cs="Arial"/>
          <w:kern w:val="0"/>
          <w:szCs w:val="32"/>
        </w:rPr>
        <w:t>　对于危害国家安全犯罪、恐怖活动犯罪、黑社会性质的组织犯罪、毒品犯罪等案件，证人、鉴定人、被害人因在诉讼中作证，本人或者其近亲属的人身安全面临危险的，人民法院、人民检察院和公安机关应当采取以下一项或者多项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（一）不公开真实姓名、住址和工作单位等个人信息；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（二）采取不暴露外貌、真实声音等出庭作证措施；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（三）禁止特定的人员接触证人、鉴定人、被害人及其近亲属；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（四）对人身和住宅采取专门性保护措施；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（五）其他必要的保护措施。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证人、鉴定人、被害人认为因在诉讼中作证，本人或者其近亲属的人身安全面临危险的，可以向人民法院、人民检察院、公安机关请求予以保护。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人民法院、人民检察院、公安机关依法采取保护措施，有关单位和个人应当配合。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第六十五条</w:t>
      </w:r>
      <w:r>
        <w:rPr>
          <w:rFonts w:hint="eastAsia" w:ascii="宋体" w:hAnsi="宋体" w:cs="Arial"/>
          <w:kern w:val="0"/>
          <w:szCs w:val="32"/>
        </w:rPr>
        <w:t>　证人因履行作证义务而支出的交通、住宿、就餐等费用，应当给予补助。证人作证的补助列入司法机关业务经费，由同级政府财政予以保障。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有工作单位的证人作证，所在单位不得克扣或者变相克扣其工资、奖金及其他福利待遇。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第六章</w:t>
      </w:r>
      <w:r>
        <w:rPr>
          <w:rFonts w:hint="eastAsia" w:ascii="宋体" w:hAnsi="宋体" w:eastAsia="黑体" w:cs="黑体"/>
          <w:kern w:val="0"/>
          <w:szCs w:val="32"/>
          <w:lang w:eastAsia="zh-CN"/>
        </w:rPr>
        <w:t>　</w:t>
      </w:r>
      <w:r>
        <w:rPr>
          <w:rFonts w:hint="eastAsia" w:ascii="宋体" w:hAnsi="宋体" w:eastAsia="黑体" w:cs="黑体"/>
          <w:kern w:val="0"/>
          <w:szCs w:val="32"/>
        </w:rPr>
        <w:t>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第六十六条</w:t>
      </w:r>
      <w:r>
        <w:rPr>
          <w:rFonts w:hint="eastAsia" w:ascii="宋体" w:hAnsi="宋体" w:cs="Arial"/>
          <w:kern w:val="0"/>
          <w:szCs w:val="32"/>
        </w:rPr>
        <w:t>　人民法院、人民检察院和公安机关根据案件情况，对犯罪嫌疑人、被告人可以拘传、取保候审或者监视居住。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第六十七条</w:t>
      </w:r>
      <w:r>
        <w:rPr>
          <w:rFonts w:hint="eastAsia" w:ascii="宋体" w:hAnsi="宋体" w:cs="Arial"/>
          <w:kern w:val="0"/>
          <w:szCs w:val="32"/>
        </w:rPr>
        <w:t>　人民法院、人民检察院和公安机关对有下列情形之一的犯罪嫌疑人、被告人，可以取保候审：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（一）可能判处管制、拘役或者独立适用附加刑的；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（二）可能判处有期徒刑以上刑罚，采取取保候审不致发生社会危险性的；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（三）患有严重疾病、生活不能自理，怀孕或者正在哺乳自己婴儿的妇女，采取取保候审不致发生社会危险性的；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（四）羁押期限届满，案件尚未办结，需要采取取保候审的。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取保候审由公安机关执行。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第六十八条</w:t>
      </w:r>
      <w:r>
        <w:rPr>
          <w:rFonts w:hint="eastAsia" w:ascii="宋体" w:hAnsi="宋体" w:cs="Arial"/>
          <w:kern w:val="0"/>
          <w:szCs w:val="32"/>
        </w:rPr>
        <w:t>　人民法院、人民检察院和公安机关决定对犯罪嫌疑人、被告人取保候审，应当责令犯罪嫌疑人、被告人提出保证人或者交纳保证金。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第六十九条</w:t>
      </w:r>
      <w:r>
        <w:rPr>
          <w:rFonts w:hint="eastAsia" w:ascii="宋体" w:hAnsi="宋体" w:cs="Arial"/>
          <w:kern w:val="0"/>
          <w:szCs w:val="32"/>
        </w:rPr>
        <w:t>　保证人必须符合下列条件：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（一）与本案无牵连；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（二）有能力履行保证义务；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（三）享有政治权利，人身自由未受到限制；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（四）有固定的住处和收入。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第七十条</w:t>
      </w:r>
      <w:r>
        <w:rPr>
          <w:rFonts w:hint="eastAsia" w:ascii="宋体" w:hAnsi="宋体" w:cs="Arial"/>
          <w:kern w:val="0"/>
          <w:szCs w:val="32"/>
        </w:rPr>
        <w:t>　保证人应当履行以下义务：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（一）监督被保证人遵守本法</w:t>
      </w:r>
      <w:r>
        <w:rPr>
          <w:rFonts w:hint="eastAsia" w:ascii="宋体" w:hAnsi="宋体" w:eastAsia="仿宋_GB2312" w:cs="仿宋_GB2312"/>
          <w:kern w:val="0"/>
          <w:szCs w:val="32"/>
        </w:rPr>
        <w:t>第七十一条的规定；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（二）发现被保证人可能发生或者已经发生违反本法第七十一条规定的行为的，应当及时向执行机关报告。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被保证人有违反本法第七十一条规定的行为，保证人未履行保证义务的，对保证人处以罚款，构成</w:t>
      </w:r>
      <w:r>
        <w:rPr>
          <w:rFonts w:hint="eastAsia" w:ascii="宋体" w:hAnsi="宋体" w:cs="Arial"/>
          <w:kern w:val="0"/>
          <w:szCs w:val="32"/>
        </w:rPr>
        <w:t>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第七十一条</w:t>
      </w:r>
      <w:r>
        <w:rPr>
          <w:rFonts w:hint="eastAsia" w:ascii="宋体" w:hAnsi="宋体" w:cs="Arial"/>
          <w:kern w:val="0"/>
          <w:szCs w:val="32"/>
        </w:rPr>
        <w:t>　被取保候审的犯罪嫌疑人、被告人应当遵守以下规定：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（一）未经执行机关批准不得离开所居住的市、县；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（二）住址、工作单位和联系方式发生变动的，在二十四小时以内向执行机关报告；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（三）在传讯的时候及时到案；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（四）不得以任何形式干扰证人作证；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（五）不得毁灭、伪造证据或者串供。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人民法院、人民检察院和公安机关可以根据案件情况，责令被取保候审的犯罪嫌疑人、被告人遵守以下一项或者多项规定：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（一）不得进入特定的场所；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（二）不得与特定的人员会见或者通信；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（三）不得从事特定的活动；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（四）将护照等出入境证件、驾驶证件交执行机关保存。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被取保候审的犯罪嫌疑人、被告人违反前两款规定，已交纳保证金的，没收部分或者全部保证金，并且区别情形，责令犯罪嫌疑人、被告人具结悔过，重新交纳保证金、提出保证人，或者监视居住、予以逮捕。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对违反取保候审规定，需要予以逮捕的，可以对犯罪嫌疑人、被告人先行拘留。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第七十二条</w:t>
      </w:r>
      <w:r>
        <w:rPr>
          <w:rFonts w:hint="eastAsia" w:ascii="宋体" w:hAnsi="宋体" w:cs="Arial"/>
          <w:kern w:val="0"/>
          <w:szCs w:val="32"/>
        </w:rPr>
        <w:t>　取保候审的决定机关应当综合考虑保证诉讼活动正常进行的需要，被取保候审人的社会危险性，案件的性质、情节，可能判处刑罚的轻重，被取保候审人的经济状况等情况，确定保证金的数额。</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提供保证金的人应当将保证金存入执行机关指定银行的专门账户。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第七十三条</w:t>
      </w:r>
      <w:r>
        <w:rPr>
          <w:rFonts w:hint="eastAsia" w:ascii="宋体" w:hAnsi="宋体" w:cs="Arial"/>
          <w:kern w:val="0"/>
          <w:szCs w:val="32"/>
        </w:rPr>
        <w:t>　犯罪嫌疑人、被告人在取保候审期间未违反本</w:t>
      </w:r>
      <w:r>
        <w:rPr>
          <w:rFonts w:hint="eastAsia" w:ascii="宋体" w:hAnsi="宋体" w:eastAsia="仿宋_GB2312" w:cs="仿宋_GB2312"/>
          <w:kern w:val="0"/>
          <w:szCs w:val="32"/>
        </w:rPr>
        <w:t>法第七十一条规定的</w:t>
      </w:r>
      <w:r>
        <w:rPr>
          <w:rFonts w:hint="eastAsia" w:ascii="宋体" w:hAnsi="宋体" w:cs="Arial"/>
          <w:kern w:val="0"/>
          <w:szCs w:val="32"/>
        </w:rPr>
        <w:t>，取保候审结束的时候，凭解除取保候审的通知或者有关法律文书到银行领取退还的保证金。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第七十四条</w:t>
      </w:r>
      <w:r>
        <w:rPr>
          <w:rFonts w:hint="eastAsia" w:ascii="宋体" w:hAnsi="宋体" w:cs="Arial"/>
          <w:kern w:val="0"/>
          <w:szCs w:val="32"/>
        </w:rPr>
        <w:t>　人民法院、人民检察院和公安机关对符合逮捕条件，有下列情形之一的犯罪嫌疑人、被告人，可以监视居住：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（一）患有严重疾病、生活不能自理的；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（二）怀孕或者正在哺乳自己婴儿的妇女；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（三）系生活不能自理的人的唯一扶养人；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（四）因为案件的特殊情况或者办理案件的需要，采取监视居住措施更为适宜的；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（五）羁押期限届满，案件尚未办结，需要采取监视居住措施的。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对符合取保候审条件，但犯罪嫌疑人、被告人不能提出保证人，也不交纳保证金的，可以监视居住。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监视居住由公安机关执行。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第七十五条</w:t>
      </w:r>
      <w:r>
        <w:rPr>
          <w:rFonts w:hint="eastAsia" w:ascii="宋体" w:hAnsi="宋体" w:cs="Arial"/>
          <w:kern w:val="0"/>
          <w:szCs w:val="32"/>
        </w:rPr>
        <w:t>　监视居住应当在犯罪嫌疑人、被告人的住处执行；无固定住处的，可以在指定的居所执行。对于涉嫌危害国家安全犯罪、恐怖活动犯罪，在住处执行可能有碍侦查的，经上一级公安机关批准，也可以在指定的居所执行。但是，不得在羁押场所、专门的办案场所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指定居所监视居住的，除无法通知的以外，应当在执行监视居住后二十四小时以内，通知被监视居住人的家属。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被监视居住的犯罪嫌疑人、被告人委托辩护人，适</w:t>
      </w:r>
      <w:r>
        <w:rPr>
          <w:rFonts w:hint="eastAsia" w:ascii="宋体" w:hAnsi="宋体" w:eastAsia="仿宋_GB2312" w:cs="仿宋_GB2312"/>
          <w:kern w:val="0"/>
          <w:szCs w:val="32"/>
        </w:rPr>
        <w:t>用本法第三十四条</w:t>
      </w:r>
      <w:r>
        <w:rPr>
          <w:rFonts w:hint="eastAsia" w:ascii="宋体" w:hAnsi="宋体" w:cs="Arial"/>
          <w:kern w:val="0"/>
          <w:szCs w:val="32"/>
        </w:rPr>
        <w:t>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人民检察院对指定居所监视居住的决定和执行是否合法实行监督。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第七十六条</w:t>
      </w:r>
      <w:r>
        <w:rPr>
          <w:rFonts w:hint="eastAsia" w:ascii="宋体" w:hAnsi="宋体" w:cs="Arial"/>
          <w:kern w:val="0"/>
          <w:szCs w:val="32"/>
        </w:rPr>
        <w:t>　指定居所监视居住的期限应当折抵刑期。被判处管制的，监视居住一日折抵刑期一日；被判处拘役、有期徒刑的，监视居住二日折抵刑期一日。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第七十七条</w:t>
      </w:r>
      <w:r>
        <w:rPr>
          <w:rFonts w:hint="eastAsia" w:ascii="宋体" w:hAnsi="宋体" w:cs="Arial"/>
          <w:kern w:val="0"/>
          <w:szCs w:val="32"/>
        </w:rPr>
        <w:t>　被监视居住的犯罪嫌疑人、被告人应当遵守以下规定：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（一）未经执行机关批准不得离开执行监视居住的处所；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（二）未经执行机关批准不得会见他人或者通信；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（三）在传讯的时候及时到案；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（四）不得以任何形式干扰证人作证；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（五）不得毁灭、伪造证据或者串供；</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（六）将护照等出入境证件、身份证件、驾驶证件交执行机关保存。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被监视居住的犯罪嫌疑人、被告人违反前款规定，情节严重的，可以予以逮捕；需要予以逮捕的，可以对犯罪嫌疑人、被告人先行拘留。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第七十八条</w:t>
      </w:r>
      <w:r>
        <w:rPr>
          <w:rFonts w:hint="eastAsia" w:ascii="宋体" w:hAnsi="宋体" w:cs="Arial"/>
          <w:kern w:val="0"/>
          <w:szCs w:val="32"/>
        </w:rPr>
        <w:t>　执行机关对被监视居住的犯罪嫌疑人、被告人，可以采取电子监控、不定期检查等监视方法对其遵守监视居住规定的情况进行监督；在侦查期间，可以对被监视居住的犯罪嫌疑人的通信进行监控。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第七十九条</w:t>
      </w:r>
      <w:r>
        <w:rPr>
          <w:rFonts w:hint="eastAsia" w:ascii="宋体" w:hAnsi="宋体" w:cs="Arial"/>
          <w:kern w:val="0"/>
          <w:szCs w:val="32"/>
        </w:rPr>
        <w:t>　人民法院、人民检察院和公安机关对犯罪嫌疑人、被告人取保候审最长不得超过十二个月，监视居住最长不得超过六个月。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取保候审、监视居住期间，不得中断对案件的侦查、起诉和审理。对于发现不应当追究刑事责任或者取保候审、监视居住期限届满的，应当及时解除取保候审、监视居住。解除取保候审、监视居住，应当及时通知被取保候审、监视居住人和有关单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第八十条</w:t>
      </w:r>
      <w:r>
        <w:rPr>
          <w:rFonts w:hint="eastAsia" w:ascii="宋体" w:hAnsi="宋体" w:cs="Arial"/>
          <w:kern w:val="0"/>
          <w:szCs w:val="32"/>
        </w:rPr>
        <w:t>　逮捕犯罪嫌疑人、被告人，必须经过人民检察院批准或者人民法院决定，由公安机关执行。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第八十一条</w:t>
      </w:r>
      <w:r>
        <w:rPr>
          <w:rFonts w:hint="eastAsia" w:ascii="宋体" w:hAnsi="宋体" w:cs="Arial"/>
          <w:kern w:val="0"/>
          <w:szCs w:val="32"/>
        </w:rPr>
        <w:t>　对有证据证明有犯罪事实，可能判处徒刑以上刑罚的犯罪嫌疑人、被告人，采取取保候审尚不足以防止发生下列社会危险性的，应当予以逮捕：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（一）可能实施新的犯罪的；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（二）有危害国家安全、公共安全或者社会秩序的现实危险的；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（三）可能毁灭、伪造证据，干扰证人作证或者串供的；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（四）可能对被害人、举报人、控告人实施打击报复的；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（五）企图自杀或者逃跑的。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批准或者决定逮捕，应当将犯罪嫌疑人、被告人涉嫌犯罪的性质、情节，认罪认罚等情况，作为是否可能发生社会危险性的考虑因素。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对有证据证明有犯罪事实，可能判处十年有期徒刑以上刑罚的，或者有证据证明有犯罪事实，可能判处徒刑以上刑罚，曾经故意犯罪或者身份不明的，应当予以逮捕。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被取保候审、监视居住的犯罪嫌疑人、被告人违反取保候审、监视居住规定，情节严重的，可以予以逮捕。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第八十二条</w:t>
      </w:r>
      <w:r>
        <w:rPr>
          <w:rFonts w:hint="eastAsia" w:ascii="宋体" w:hAnsi="宋体" w:cs="Arial"/>
          <w:kern w:val="0"/>
          <w:szCs w:val="32"/>
        </w:rPr>
        <w:t>　公安机关对于现行犯或者重大嫌疑分子，如果有下列情形之一的，可以先行拘留：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（一）正在预备犯罪、实行犯罪或者在犯罪后即时被发觉的；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（二）被害人或者在场亲眼看见的人指认他犯罪的；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（三）在身边或者住处发现有犯罪证据的；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（四）犯罪后企图自杀、逃跑或者在逃的；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（五）有毁灭、伪造证据或者串供可能的；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（六）不讲真实姓名、住址，身份不明的；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（七）有流窜作案、多次作案、结伙作案重大嫌疑的。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第八十三条</w:t>
      </w:r>
      <w:r>
        <w:rPr>
          <w:rFonts w:hint="eastAsia" w:ascii="宋体" w:hAnsi="宋体" w:cs="Arial"/>
          <w:kern w:val="0"/>
          <w:szCs w:val="32"/>
        </w:rPr>
        <w:t>　公安机关在异地执行拘留、逮捕的时候，应当通知被拘留、逮捕人所在地的公安机关，被拘留、逮捕人所在地的公安机关应当予以配合。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第八十四条</w:t>
      </w:r>
      <w:r>
        <w:rPr>
          <w:rFonts w:hint="eastAsia" w:ascii="宋体" w:hAnsi="宋体" w:cs="Arial"/>
          <w:kern w:val="0"/>
          <w:szCs w:val="32"/>
        </w:rPr>
        <w:t>　对于有下列情形的人，任何公民都可以立即扭送公安机关、人民检察院或者人民法院处理：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（一）正在实行犯罪或者在犯罪后即时被发觉的；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（二）通缉在案的；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（三）越狱逃跑的；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（四）正在被追捕的。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第八十五条</w:t>
      </w:r>
      <w:r>
        <w:rPr>
          <w:rFonts w:hint="eastAsia" w:ascii="宋体" w:hAnsi="宋体" w:cs="Arial"/>
          <w:kern w:val="0"/>
          <w:szCs w:val="32"/>
        </w:rPr>
        <w:t>　公安机关拘留人的时候，必须出示拘留证。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拘留后，应当立即将被拘留人送看守所羁押，至迟不得超过二十四小时。除无法通知或者涉嫌危害国家安全犯罪、恐怖活动犯罪通知可能有碍侦查的情形以外，应当在拘留后二十四小时以内，通知被拘留人的家属。有碍侦查的情形消失以后，应当立即通知被拘留人的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第八十六条</w:t>
      </w:r>
      <w:r>
        <w:rPr>
          <w:rFonts w:hint="eastAsia" w:ascii="宋体" w:hAnsi="宋体" w:cs="Arial"/>
          <w:kern w:val="0"/>
          <w:szCs w:val="32"/>
        </w:rPr>
        <w:t>　公安机关对被拘留的人，应当在拘留后的二十四小时以内进行讯问。在发现不应当拘留的时候，必须立即释放，发给释放证明。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第八十七条</w:t>
      </w:r>
      <w:r>
        <w:rPr>
          <w:rFonts w:hint="eastAsia" w:ascii="宋体" w:hAnsi="宋体" w:cs="Arial"/>
          <w:kern w:val="0"/>
          <w:szCs w:val="32"/>
        </w:rPr>
        <w:t>　公安机关要求逮捕犯罪嫌疑人的时候，应当写出提请批准逮捕书，连同案卷材料、证据，一并移送同级人民检察院审查批准。必要的时候，人民检察院可以派人参加公安机关对于重大案件的讨论。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第八十八条</w:t>
      </w:r>
      <w:r>
        <w:rPr>
          <w:rFonts w:hint="eastAsia" w:ascii="宋体" w:hAnsi="宋体" w:cs="Arial"/>
          <w:kern w:val="0"/>
          <w:szCs w:val="32"/>
        </w:rPr>
        <w:t>　人民检察院审查批准逮捕，可以讯问犯罪嫌疑人；有下列情形之一的，应当讯问犯罪嫌疑人：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（一）对是否符合逮捕条件有疑问的；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（二）犯罪嫌疑人要求向检察人员当面陈述的；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（三）侦查活动可能有重大违法行为的。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人民检察院审查批准逮捕，可以询问证人等诉讼参与人，听取辩护律师的意见；辩护律师提出要求的，应当听取辩护律师的意见。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第八十九条</w:t>
      </w:r>
      <w:r>
        <w:rPr>
          <w:rFonts w:hint="eastAsia" w:ascii="宋体" w:hAnsi="宋体" w:cs="Arial"/>
          <w:kern w:val="0"/>
          <w:szCs w:val="32"/>
        </w:rPr>
        <w:t>　人民检察院审查批准逮捕犯罪嫌疑人由检察长决定。重大案件应当提交检察委员会讨论决定。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第九十条</w:t>
      </w:r>
      <w:r>
        <w:rPr>
          <w:rFonts w:hint="eastAsia" w:ascii="宋体" w:hAnsi="宋体" w:cs="Arial"/>
          <w:kern w:val="0"/>
          <w:szCs w:val="32"/>
        </w:rPr>
        <w:t>　人民检察院对于公安机关提请批准逮捕的案件进行审查后，应当根据情况分别作出批准逮捕或者不批准逮捕的决定。对于批准逮捕的决定，公安机关应当立即执行，并且将执行情况及时通知人民检察院。对于不批准逮捕的，人民检察院应当说明理由，需要补充侦查的，应当同时通知公安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第九十一条</w:t>
      </w:r>
      <w:r>
        <w:rPr>
          <w:rFonts w:hint="eastAsia" w:ascii="宋体" w:hAnsi="宋体" w:cs="Arial"/>
          <w:kern w:val="0"/>
          <w:szCs w:val="32"/>
        </w:rPr>
        <w:t>　公安机关对被拘留的人，认为需要逮捕的，应当在拘留后的三日以内，提请人民检察院审查批准。在特殊情况下，提请审查批准的时间可以延长一日至四日。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对于流窜作案、多次作案、结伙作案的重大嫌疑分子，提请审查批准的时间可以延长至三十日。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应当自接到公安机关提请批准逮捕书后的七日以内，作出批准逮捕或者不批准逮捕的决定。人民检察院不批准逮捕的，公安机关应当在接到通知后立即释放，并且将执行情况及时通知人民检察院。对于需要继续侦查，并且符合取保候审、监视居住条件的，依法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第九十二条</w:t>
      </w:r>
      <w:r>
        <w:rPr>
          <w:rFonts w:hint="eastAsia" w:ascii="宋体" w:hAnsi="宋体" w:cs="Arial"/>
          <w:kern w:val="0"/>
          <w:szCs w:val="32"/>
        </w:rPr>
        <w:t>　公安机关对人民检察院不批准逮捕的决定，认为有错误的时候，可以要求复议，但是必须将被拘留的人立即释放。如果意见不被接受，可以向上一级人民检察院提请复核。上级人民检察院应当立即复核，作出是否变更的决定，通知下级人民检察院和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第九十三条</w:t>
      </w:r>
      <w:r>
        <w:rPr>
          <w:rFonts w:hint="eastAsia" w:ascii="宋体" w:hAnsi="宋体" w:cs="Arial"/>
          <w:kern w:val="0"/>
          <w:szCs w:val="32"/>
        </w:rPr>
        <w:t>　公安机关逮捕人的时候，必须出示逮捕证。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逮捕后，应当立即将被逮捕人送看守所羁押。除无法通知的以外，应当在逮捕后二十四小时以内，通知被逮捕人的家属。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第九十四条</w:t>
      </w:r>
      <w:r>
        <w:rPr>
          <w:rFonts w:hint="eastAsia" w:ascii="宋体" w:hAnsi="宋体" w:cs="Arial"/>
          <w:kern w:val="0"/>
          <w:szCs w:val="32"/>
        </w:rPr>
        <w:t>　人民法院、人民检察院对于各自决定逮捕的人，公安机关对于经人民检察院批准逮捕的人，都必须在逮捕后的二十四小时以内进行讯问。在发现不应当逮捕的时候，必须立即释放，发给释放证明。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第九十五条</w:t>
      </w:r>
      <w:r>
        <w:rPr>
          <w:rFonts w:hint="eastAsia" w:ascii="宋体" w:hAnsi="宋体" w:cs="Arial"/>
          <w:kern w:val="0"/>
          <w:szCs w:val="32"/>
        </w:rPr>
        <w:t>　犯罪嫌疑人、被告人被逮捕后，人民检察院仍应当对羁押的必要性进行审查。对不需要继续羁押的，应当建议予以释放或者变更强制措施。有关机关应当在十日以内将处理情况通知人民检察院。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第九十六条</w:t>
      </w:r>
      <w:r>
        <w:rPr>
          <w:rFonts w:hint="eastAsia" w:ascii="宋体" w:hAnsi="宋体" w:cs="Arial"/>
          <w:kern w:val="0"/>
          <w:szCs w:val="32"/>
        </w:rPr>
        <w:t>　人民法院、人民检察院和公安机关如果发现对犯罪嫌疑人、被告人采取强制措施不当的，应当及时撤销或者变更。公安机关释放被逮捕的人或者变更逮捕措施的，应当通知原批准的人民检察院。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第九十七条</w:t>
      </w:r>
      <w:r>
        <w:rPr>
          <w:rFonts w:hint="eastAsia" w:ascii="宋体" w:hAnsi="宋体" w:cs="Arial"/>
          <w:kern w:val="0"/>
          <w:szCs w:val="32"/>
        </w:rPr>
        <w:t>　犯罪嫌疑人、被告人及其法定代理人、近亲属或者辩护人有权申请变更强制措施。人民法院、人民检察院和公安机关收到申请后，应当在三日以内作出决定；不同意变更强制措施的，应当告知申请人，并说明不同意的理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第九十八条</w:t>
      </w:r>
      <w:r>
        <w:rPr>
          <w:rFonts w:hint="eastAsia" w:ascii="宋体" w:hAnsi="宋体" w:cs="Arial"/>
          <w:kern w:val="0"/>
          <w:szCs w:val="32"/>
        </w:rPr>
        <w:t>　犯罪嫌疑人、被告人被羁押的案件，不能在本法规定的侦查羁押、审查起诉、一审、二审期限内办结的，对犯罪嫌疑人、被告人应当予以释放；需要继续查证、审理的，对犯罪嫌疑人、被告人可以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第九十九条</w:t>
      </w:r>
      <w:r>
        <w:rPr>
          <w:rFonts w:hint="eastAsia" w:ascii="宋体" w:hAnsi="宋体" w:cs="Arial"/>
          <w:kern w:val="0"/>
          <w:szCs w:val="32"/>
        </w:rPr>
        <w:t>　人民法院、人民检察院或者公安机关对被采取强制措施法定期限届满的犯罪嫌疑人、被告人，应当予以释放、解除取保候审、监视居住或者依法变更强制措施。犯罪嫌疑人、被告人及其法定代理人、近亲属或者辩护人对于人民法院、人民检察院或者公安机关采取强制措施法定期限届满的，有权要求解除强制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第一百条</w:t>
      </w:r>
      <w:r>
        <w:rPr>
          <w:rFonts w:hint="eastAsia" w:ascii="宋体" w:hAnsi="宋体" w:cs="Arial"/>
          <w:kern w:val="0"/>
          <w:szCs w:val="32"/>
        </w:rPr>
        <w:t>　人民检察院在审查批准逮捕工作中，如果发现公安机关的侦查活动有违法情况，应当通知公安机关予以纠正，公安机关应当将纠正情况通知人民检察院。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第七章　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第一百零一条</w:t>
      </w:r>
      <w:r>
        <w:rPr>
          <w:rFonts w:hint="eastAsia" w:ascii="宋体" w:hAnsi="宋体" w:cs="Arial"/>
          <w:kern w:val="0"/>
          <w:szCs w:val="32"/>
        </w:rPr>
        <w:t>　被害人由于被告人的犯罪行为而遭受物质损失的，在刑事诉讼过程中，有权提起附带民事诉讼。被害人死亡或者丧失行为能力的，被害人的法定代理人、近亲属有权提起附带民事诉讼。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如果是国家财产、集体财产遭受损失的，人民检察院在提起公诉的时候，可以提起附带民事诉讼。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第一百零二条</w:t>
      </w:r>
      <w:r>
        <w:rPr>
          <w:rFonts w:hint="eastAsia" w:ascii="宋体" w:hAnsi="宋体" w:cs="Arial"/>
          <w:kern w:val="0"/>
          <w:szCs w:val="32"/>
        </w:rPr>
        <w:t>　人民法院在必要的时候，可以采取保全措施，查封、扣押或者冻结被告人的财产。附带民事诉讼原告人或者人民检察院可以申请人民法院采取保全措施。人民法院采取保全措施，适用民事诉讼法的有关规定。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第一百零三条</w:t>
      </w:r>
      <w:r>
        <w:rPr>
          <w:rFonts w:hint="eastAsia" w:ascii="宋体" w:hAnsi="宋体" w:cs="Arial"/>
          <w:kern w:val="0"/>
          <w:szCs w:val="32"/>
        </w:rPr>
        <w:t>　人民法院审理附带民事诉讼案件，可以进行调解，或者根据物质损失情况作出判决、裁定。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第一百零四条</w:t>
      </w:r>
      <w:r>
        <w:rPr>
          <w:rFonts w:hint="eastAsia" w:ascii="宋体" w:hAnsi="宋体" w:cs="Arial"/>
          <w:kern w:val="0"/>
          <w:szCs w:val="32"/>
        </w:rPr>
        <w:t>　附带民事诉讼应当同刑事案件一并审判，只有为了防止刑事案件审判的过分迟延，才可以在刑事案件审判后，由同一审判组织继续审理附带民事诉讼。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第八章　期间、送达</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第一百零五条</w:t>
      </w:r>
      <w:r>
        <w:rPr>
          <w:rFonts w:hint="eastAsia" w:ascii="宋体" w:hAnsi="宋体" w:cs="Arial"/>
          <w:kern w:val="0"/>
          <w:szCs w:val="32"/>
        </w:rPr>
        <w:t>　期间以时、日、月计算。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期间开始的时和日不算在期间以内。</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法定期间不包括路途上的时间。上诉状或者其他文件在期满前已经交邮的，不算过期。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期间的最后一日为节假日的</w:t>
      </w:r>
      <w:r>
        <w:rPr>
          <w:rFonts w:hint="eastAsia" w:ascii="宋体" w:hAnsi="宋体" w:eastAsia="仿宋_GB2312" w:cs="仿宋_GB2312"/>
          <w:kern w:val="0"/>
          <w:szCs w:val="32"/>
        </w:rPr>
        <w:t>，以节假日后的第一日为期满日期，但犯罪嫌疑人、被告人或者罪犯在押期间，应当至期满之日为止，不得因节假日而延长。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第一百零六条</w:t>
      </w:r>
      <w:r>
        <w:rPr>
          <w:rFonts w:hint="eastAsia" w:ascii="宋体" w:hAnsi="宋体" w:cs="Arial"/>
          <w:kern w:val="0"/>
          <w:szCs w:val="32"/>
        </w:rPr>
        <w:t>　当事人由于不能抗拒的原因或者有其他正当理由而耽误期限的，在障碍消除后五日以内，可以申请继续进行应当在期满以前完成的诉讼活动。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前款申请是否准许，由人民法院裁定。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第一百零七条</w:t>
      </w:r>
      <w:r>
        <w:rPr>
          <w:rFonts w:hint="eastAsia" w:ascii="宋体" w:hAnsi="宋体" w:cs="Arial"/>
          <w:kern w:val="0"/>
          <w:szCs w:val="32"/>
        </w:rPr>
        <w:t>　送达传票、通知书和其他诉讼文件应当交给收件人本人；如果本人不在，可以交给他的成年家属或者所在单位的负责人员代收。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收件人本人或者代收人拒绝接收或者拒绝签名、盖章的时候，送达人可以邀请他的邻居或者其他见证人到场，说明情况，把文件留在他的住处，在送达证上记明拒绝的事由、送达的日期，由送达人签名，即认为已经送达。</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第九章　其他规定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第一百零八条</w:t>
      </w:r>
      <w:r>
        <w:rPr>
          <w:rFonts w:hint="eastAsia" w:ascii="宋体" w:hAnsi="宋体" w:cs="Arial"/>
          <w:kern w:val="0"/>
          <w:szCs w:val="32"/>
        </w:rPr>
        <w:t>　本法下列用语的含意是：</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（一）“侦查”是指公安机关、人民检察院对于刑事案件，依照法律进行的收集证据、查明案情的工作和有关的强制性措施；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（二）“当事人”是指被害人、自诉人、犯罪嫌疑人、被告人、附带民事诉讼的原告人和被告人；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（三）“法定代理人”是指被代理人的父母、养父母、监护人和负有保护责任的机关、团体的代表；</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（四）“诉讼参与人”是指当事人、法定代理人、诉讼代理人、辩护人、证人、鉴定人和翻译人员；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（五）“诉讼代理人”是指公诉案件的被害人及其法定代理人或者近亲属、自诉案件的自诉人及其法定代理人委托代为参加诉讼的人和附带民事诉讼的当事人及其法定代理人委托代为参加诉讼的人；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（六）“近亲属”是指夫、妻、父、母、子、女、同胞兄弟姊妹。</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第二编　立案、侦查和提起公诉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立案</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第一百零九条</w:t>
      </w:r>
      <w:r>
        <w:rPr>
          <w:rFonts w:hint="eastAsia" w:ascii="宋体" w:hAnsi="宋体" w:cs="Arial"/>
          <w:kern w:val="0"/>
          <w:szCs w:val="32"/>
        </w:rPr>
        <w:t>　公安机关或者人民检察院发现犯罪事实或者犯罪嫌疑人，应当按照管辖范围，立案侦查。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第一百一十条</w:t>
      </w:r>
      <w:r>
        <w:rPr>
          <w:rFonts w:hint="eastAsia" w:ascii="宋体" w:hAnsi="宋体" w:cs="Arial"/>
          <w:kern w:val="0"/>
          <w:szCs w:val="32"/>
        </w:rPr>
        <w:t>　任何单位和个人发现有犯罪事实或者犯罪嫌疑人，有权利也有义务向公安机关、人民检察院或者人民法院报案或者举报。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被害人对侵犯其人身、财产权利的犯罪事实或者犯罪嫌疑人，有权向公安机关、人民检察院或者人民法院报案或者控告。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人民检察院或者人民法院对于报案、控告、举报，都应当接受。对于不属于自己管辖的，应当移送主管机关处理，并且通知报案人、控告人、举报人；对于不属于自己管辖而又必须采取紧急措施的，应当先采取紧急措施，然后移送主管机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犯罪人向公安机关、人民检察院或者人</w:t>
      </w:r>
      <w:r>
        <w:rPr>
          <w:rFonts w:hint="eastAsia" w:ascii="宋体" w:hAnsi="宋体" w:eastAsia="仿宋_GB2312" w:cs="仿宋_GB2312"/>
          <w:kern w:val="0"/>
          <w:szCs w:val="32"/>
        </w:rPr>
        <w:t>民法院自首的，适用第三款规定。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第一百一十一条</w:t>
      </w:r>
      <w:r>
        <w:rPr>
          <w:rFonts w:hint="eastAsia" w:ascii="宋体" w:hAnsi="宋体" w:cs="Arial"/>
          <w:kern w:val="0"/>
          <w:szCs w:val="32"/>
        </w:rPr>
        <w:t>　报案、控告、举报可以用书面或者口头提出。接受口头报案、控告、举报的工作人员，应当写成笔录，经宣读无误后，由报案人、控告人、举报人签名或者盖章。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接受控告、举报的工作人员，应当向控告人、举报人说明诬告应负的法律责任。但是，只要不是捏造事实，伪造证据，即使控告、举报的事实有出入，甚至是错告的，也要和诬告严格加以区别。</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公安机关、人民检察院或者人民法院应当保障报案人、控告人、举报人及其近亲属的安全。报案人、控告人、举报人如果不愿公开自己的姓名和报案、控告、举报的行为，应当为他保守秘密。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第一百一十二条</w:t>
      </w:r>
      <w:r>
        <w:rPr>
          <w:rFonts w:hint="eastAsia" w:ascii="宋体" w:hAnsi="宋体" w:cs="Arial"/>
          <w:kern w:val="0"/>
          <w:szCs w:val="32"/>
        </w:rPr>
        <w:t>　人民法院、人民检察院或者公安机关对于报案、控告、举报和自首的材料，应当按照管辖范围，迅速进行审查，认为有犯罪事实需要追究刑事责任的时候，应当立案；认为没有犯罪事实，或者犯罪事实显著轻微，不需要追究刑事责任的时候，不予立案，并且将不立案的原因通知控告人。控告人如果不服，可以申请复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第一百一十三条</w:t>
      </w:r>
      <w:r>
        <w:rPr>
          <w:rFonts w:hint="eastAsia" w:ascii="宋体" w:hAnsi="宋体" w:cs="Arial"/>
          <w:kern w:val="0"/>
          <w:szCs w:val="32"/>
        </w:rPr>
        <w:t>　人民检察院认为公安机关对应当立案侦查的案件而不立案侦查的，或者被害人认为公安机关对应当立案侦查的案件而不立案侦查，向人民检察院提出的，人民检察院应当要求公安机关说明不立案的理由。人民检察院认为公安机关不立案理由不能成立的，应当通知公安机关立案，公安机关接到通知后应当立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第一百一十四条</w:t>
      </w:r>
      <w:r>
        <w:rPr>
          <w:rFonts w:hint="eastAsia" w:ascii="宋体" w:hAnsi="宋体" w:cs="Arial"/>
          <w:kern w:val="0"/>
          <w:szCs w:val="32"/>
        </w:rPr>
        <w:t>　对于自诉案件，被害人有权向人民法院直接起诉。被害人死亡或者丧失行为能力的，被害人的法定代理人、近亲属有权向人民法院起诉。人民法院应当依法受理。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侦查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第一百一十五条</w:t>
      </w:r>
      <w:r>
        <w:rPr>
          <w:rFonts w:hint="eastAsia" w:ascii="宋体" w:hAnsi="宋体" w:cs="Arial"/>
          <w:kern w:val="0"/>
          <w:szCs w:val="32"/>
        </w:rPr>
        <w:t>　公安机关对已经立案的刑事案件，应当进行侦查，收集、调取犯罪嫌疑人有罪或者无罪、罪轻或者罪重的证据材料。对现行犯或者重大嫌疑分子可以依法先行拘留，对符合逮捕条件的犯罪嫌疑人，应当依法逮捕。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第一百一十六条</w:t>
      </w:r>
      <w:r>
        <w:rPr>
          <w:rFonts w:hint="eastAsia" w:ascii="宋体" w:hAnsi="宋体" w:cs="Arial"/>
          <w:kern w:val="0"/>
          <w:szCs w:val="32"/>
        </w:rPr>
        <w:t>　公安机关经过侦查，对有证据证明有犯罪事实的案件，应当进行预审，对收集、调取的证据材料予以核实。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第一百一十七条</w:t>
      </w:r>
      <w:r>
        <w:rPr>
          <w:rFonts w:hint="eastAsia" w:ascii="宋体" w:hAnsi="宋体" w:cs="Arial"/>
          <w:kern w:val="0"/>
          <w:szCs w:val="32"/>
        </w:rPr>
        <w:t>　当事人和辩护人、诉讼代理人、利害关系人对于司法机关及其工作人员有下列行为之一的，有权向该机关申诉或者控告：</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（一）采取强制措施法定期限届满，不予以释放、解除或者变更的；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（二）应当退还取保候审保证金不退还的；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（三）对与案件无关的财物采取查封、扣押、冻结措施的；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（四）应当解除查封、扣押、冻结不解除的；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（五）贪污、挪用、私分、调换、违反规定使用查封、扣押、冻结的财物的。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受理申诉或者控告的机关应当及时处理。对处理不服的，可以向同级人民检察院申诉；人民检察院直接受理的案件，可以向上一级人民检察院申诉。人民检察院对申诉应当及时进行审查，情况属实的，通知有关机关予以纠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第二节　讯问犯罪嫌疑人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第一百一十八条</w:t>
      </w:r>
      <w:r>
        <w:rPr>
          <w:rFonts w:hint="eastAsia" w:ascii="宋体" w:hAnsi="宋体" w:cs="Arial"/>
          <w:kern w:val="0"/>
          <w:szCs w:val="32"/>
        </w:rPr>
        <w:t>　讯问犯罪嫌疑人必须由人民检察院或者公安机关的侦查人员负责进行。讯问的时候，侦查人员不得少于二人。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犯罪嫌疑人被送交看守所羁押以后，侦查人员对其进行讯问，应当在看守所内进行。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第一百一十九条</w:t>
      </w:r>
      <w:r>
        <w:rPr>
          <w:rFonts w:hint="eastAsia" w:ascii="宋体" w:hAnsi="宋体" w:cs="Arial"/>
          <w:kern w:val="0"/>
          <w:szCs w:val="32"/>
        </w:rPr>
        <w:t>　对不需要逮捕、拘留的犯罪嫌疑人，可以传唤到犯罪嫌疑人所在市、县内的指定地点或者到他的住处进行讯问，但是应当出示人民检察院或者公安机关的证明文件。对在现场发现的犯罪嫌疑人，经出示工作证件，可以口头传唤，但应当在讯问笔录中注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传唤、拘传持续的时间不得超过十二小时；案情特别重大、复杂，需要采取拘留、逮捕措施的，传唤、拘传持续的时间不得超过二十四小时。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不得以连续传唤、拘传的形式变相拘禁犯罪嫌疑人。传唤、拘传犯罪嫌疑人，应当保证犯罪嫌疑人的饮食和必要的休息时间。</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第一百二十条</w:t>
      </w:r>
      <w:r>
        <w:rPr>
          <w:rFonts w:hint="eastAsia" w:ascii="宋体" w:hAnsi="宋体" w:cs="Arial"/>
          <w:kern w:val="0"/>
          <w:szCs w:val="32"/>
        </w:rPr>
        <w:t>　侦查人员在讯问犯罪嫌疑人的时候，应当首先讯问犯罪嫌疑人是否有犯罪行为，让他陈述有罪的情节或者无罪的辩解，然后向他提出问题。犯罪嫌疑人对侦查人员的提问，应当如实回答。但是对与本案无关的问题，有拒绝回答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侦查人员在讯问犯罪嫌疑人的时候，应当告知犯罪嫌疑人享有的诉讼权利，如实供述自己罪行可以从宽处理和认罪认罚的法律规定。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第一百二十一条</w:t>
      </w:r>
      <w:r>
        <w:rPr>
          <w:rFonts w:hint="eastAsia" w:ascii="宋体" w:hAnsi="宋体" w:cs="Arial"/>
          <w:kern w:val="0"/>
          <w:szCs w:val="32"/>
        </w:rPr>
        <w:t>　讯问聋、哑的犯罪嫌疑人，应当有通晓聋、哑手势的人参加，并且将这种情况记明笔录。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第一百二十二条</w:t>
      </w:r>
      <w:r>
        <w:rPr>
          <w:rFonts w:hint="eastAsia" w:ascii="宋体" w:hAnsi="宋体" w:cs="Arial"/>
          <w:kern w:val="0"/>
          <w:szCs w:val="32"/>
        </w:rPr>
        <w:t>　讯问笔录应当交犯罪嫌疑人核对，对于没有阅读能力的，应当向他宣读。如果记载有遗漏或者差错，犯罪嫌疑人可以提出补充或者改正。犯罪嫌疑人承认笔录没有错误后，应当签名或者盖章。侦查人员也应当在笔录上签名。犯罪嫌疑人请求自行书写供述的，应当准许。必要的时候，侦查人员也可以要犯罪嫌疑人亲笔书写供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第一百二十三条</w:t>
      </w:r>
      <w:r>
        <w:rPr>
          <w:rFonts w:hint="eastAsia" w:ascii="宋体" w:hAnsi="宋体" w:cs="Arial"/>
          <w:kern w:val="0"/>
          <w:szCs w:val="32"/>
        </w:rPr>
        <w:t>　侦查人员在讯问犯罪嫌疑人的时候，可以对讯问过程进行录音或者录像；对于可能判处无期徒刑、死刑的案件或者其他重大犯罪案件，应当对讯问过程进行录音或者录像。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录音或者录像应当全程进行，保持完整性。</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第三节　询问证人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第一百二十四条</w:t>
      </w:r>
      <w:r>
        <w:rPr>
          <w:rFonts w:hint="eastAsia" w:ascii="宋体" w:hAnsi="宋体" w:cs="Arial"/>
          <w:kern w:val="0"/>
          <w:szCs w:val="32"/>
        </w:rPr>
        <w:t>　侦查人员询问证人，可以在现场进行，也可以到证人所在单位、住处或者证人提出的地点进行，在必要的时候，可以通知证人到人民检察院或者公安机关提供证言。在现场询问证人，应当出示工作证件，到证人所在单位、住处或者证人提出的地点询问证人，应当出示人民检察院或者公安机关的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询问证人应当个别进行。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第一百二十五条</w:t>
      </w:r>
      <w:r>
        <w:rPr>
          <w:rFonts w:hint="eastAsia" w:ascii="宋体" w:hAnsi="宋体" w:cs="Arial"/>
          <w:kern w:val="0"/>
          <w:szCs w:val="32"/>
        </w:rPr>
        <w:t>　询问证人，应当告知他应当如实地提供证据、证言和有意作伪证或者隐匿罪证要负的法律责任。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第一百二十六条</w:t>
      </w:r>
      <w:r>
        <w:rPr>
          <w:rFonts w:hint="eastAsia" w:ascii="宋体" w:hAnsi="宋体" w:cs="Arial"/>
          <w:kern w:val="0"/>
          <w:szCs w:val="32"/>
        </w:rPr>
        <w:t>　本</w:t>
      </w:r>
      <w:r>
        <w:rPr>
          <w:rFonts w:hint="eastAsia" w:ascii="宋体" w:hAnsi="宋体" w:eastAsia="仿宋_GB2312" w:cs="仿宋_GB2312"/>
          <w:kern w:val="0"/>
          <w:szCs w:val="32"/>
        </w:rPr>
        <w:t>法第一百二十二条的规定，也适</w:t>
      </w:r>
      <w:r>
        <w:rPr>
          <w:rFonts w:hint="eastAsia" w:ascii="宋体" w:hAnsi="宋体" w:cs="Arial"/>
          <w:kern w:val="0"/>
          <w:szCs w:val="32"/>
        </w:rPr>
        <w:t>用于询问证人。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第一百二十七条</w:t>
      </w:r>
      <w:r>
        <w:rPr>
          <w:rFonts w:hint="eastAsia" w:ascii="宋体" w:hAnsi="宋体" w:cs="Arial"/>
          <w:kern w:val="0"/>
          <w:szCs w:val="32"/>
        </w:rPr>
        <w:t>　询问被害人，适用本节各条规定。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第四节　勘验、检查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第一百二十八　条</w:t>
      </w:r>
      <w:r>
        <w:rPr>
          <w:rFonts w:hint="eastAsia" w:ascii="宋体" w:hAnsi="宋体" w:cs="Arial"/>
          <w:kern w:val="0"/>
          <w:szCs w:val="32"/>
        </w:rPr>
        <w:t>侦查人员对于与犯罪有关的场所、物品、人身、尸体应当进行勘验或者检查。在必要的时候，可以指派或者聘请具有专门知识的人，在侦查人员的主持下进行勘验、检查。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第一百二十九条</w:t>
      </w:r>
      <w:r>
        <w:rPr>
          <w:rFonts w:hint="eastAsia" w:ascii="宋体" w:hAnsi="宋体" w:cs="Arial"/>
          <w:kern w:val="0"/>
          <w:szCs w:val="32"/>
        </w:rPr>
        <w:t>　任何单位和个人，都有义务保护犯罪现场，并且立即通知公安机关派员勘验。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第一百三十条</w:t>
      </w:r>
      <w:r>
        <w:rPr>
          <w:rFonts w:hint="eastAsia" w:ascii="宋体" w:hAnsi="宋体" w:cs="Arial"/>
          <w:kern w:val="0"/>
          <w:szCs w:val="32"/>
        </w:rPr>
        <w:t>　侦查人员执行勘验、检查，必须持有人民检察院或者公安机关的证明文件。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第一百三十一条</w:t>
      </w:r>
      <w:r>
        <w:rPr>
          <w:rFonts w:hint="eastAsia" w:ascii="宋体" w:hAnsi="宋体" w:cs="Arial"/>
          <w:kern w:val="0"/>
          <w:szCs w:val="32"/>
        </w:rPr>
        <w:t>　对于死因不明的尸体，公安机关有权决定解剖，并且通知死者家属到场。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第一百三十二条</w:t>
      </w:r>
      <w:r>
        <w:rPr>
          <w:rFonts w:hint="eastAsia" w:ascii="宋体" w:hAnsi="宋体" w:cs="Arial"/>
          <w:kern w:val="0"/>
          <w:szCs w:val="32"/>
        </w:rPr>
        <w:t>　为了确定被害人、犯罪嫌疑人的某些特征、伤害情况或者生理状态，可以对人身进行检查，可以提取指纹信息，采集血液、尿液等生物样本。</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犯罪嫌疑人如果拒绝检查，侦查人员认为必要的时候，可以强制检查。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检查妇女的身体，应当由女工作人员或者医师进行。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第一百三十三条</w:t>
      </w:r>
      <w:r>
        <w:rPr>
          <w:rFonts w:hint="eastAsia" w:ascii="宋体" w:hAnsi="宋体" w:cs="Arial"/>
          <w:kern w:val="0"/>
          <w:szCs w:val="32"/>
        </w:rPr>
        <w:t>　勘验、检查的情况应当写成笔录，由参加勘验、检查的人和见证人签名或者盖章。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第一百三十四条</w:t>
      </w:r>
      <w:r>
        <w:rPr>
          <w:rFonts w:hint="eastAsia" w:ascii="宋体" w:hAnsi="宋体" w:cs="Arial"/>
          <w:kern w:val="0"/>
          <w:szCs w:val="32"/>
        </w:rPr>
        <w:t>　人民检察院审查案件的时候，对公安机关的勘验、检查，认为需要复验、复查时，可以要求公安机关复验、复查，并且可以派检察人员参加。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第一百三十五条</w:t>
      </w:r>
      <w:r>
        <w:rPr>
          <w:rFonts w:hint="eastAsia" w:ascii="宋体" w:hAnsi="宋体" w:cs="Arial"/>
          <w:kern w:val="0"/>
          <w:szCs w:val="32"/>
        </w:rPr>
        <w:t>　为了查明案情，在必要的时候，经公安机关负责人批准，可以进行侦查实验。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侦查实验的情况应当写成笔录，由参加实验的人签名或者盖章。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侦查实验，禁止一切足以造成危险、侮辱人格或者有伤风化的行为。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第五节　搜查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第一百三十六条</w:t>
      </w:r>
      <w:r>
        <w:rPr>
          <w:rFonts w:hint="eastAsia" w:ascii="宋体" w:hAnsi="宋体" w:cs="Arial"/>
          <w:kern w:val="0"/>
          <w:szCs w:val="32"/>
        </w:rPr>
        <w:t>　为了收集犯罪证据、查获犯罪人，侦查人员可以对犯罪嫌疑人以及可能隐藏罪犯或者犯罪证据的人的身体、物品、住处和其他有关的地方进行搜查。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第一百三十七条</w:t>
      </w:r>
      <w:r>
        <w:rPr>
          <w:rFonts w:hint="eastAsia" w:ascii="宋体" w:hAnsi="宋体" w:cs="Arial"/>
          <w:kern w:val="0"/>
          <w:szCs w:val="32"/>
        </w:rPr>
        <w:t>　任何单位和个人，有义务按照人民检察院和公安机关的要求，交出可以证明犯罪嫌疑人有罪或者无罪的物证、书证、视听资料等证据。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第一百三十八条</w:t>
      </w:r>
      <w:r>
        <w:rPr>
          <w:rFonts w:hint="eastAsia" w:ascii="宋体" w:hAnsi="宋体" w:cs="Arial"/>
          <w:kern w:val="0"/>
          <w:szCs w:val="32"/>
        </w:rPr>
        <w:t>　进行搜查，必须向被搜查人出示搜查证。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在执行逮捕、拘留的时候，遇有紧急情况，不另用搜查证也可以进行搜查。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第一百三十九条</w:t>
      </w:r>
      <w:r>
        <w:rPr>
          <w:rFonts w:hint="eastAsia" w:ascii="宋体" w:hAnsi="宋体" w:cs="Arial"/>
          <w:kern w:val="0"/>
          <w:szCs w:val="32"/>
        </w:rPr>
        <w:t>　在搜查的时候，应当有被搜查人或者他的家属，邻居或者其他见证人在场。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搜查妇女的身体，应当由女工作人员进行。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第一百四十条</w:t>
      </w:r>
      <w:r>
        <w:rPr>
          <w:rFonts w:hint="eastAsia" w:ascii="宋体" w:hAnsi="宋体" w:cs="Arial"/>
          <w:kern w:val="0"/>
          <w:szCs w:val="32"/>
        </w:rPr>
        <w:t>　搜查的情况应当写成笔录，由侦查人员和被搜查人或者他的家属，邻居或者其他见证人签名或者盖章。如果被搜查人或者他的家属在逃或者拒绝签名、盖章，应当在笔录上注明。</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第六节　查封、扣押物证、书证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第一百四十一条</w:t>
      </w:r>
      <w:r>
        <w:rPr>
          <w:rFonts w:hint="eastAsia" w:ascii="宋体" w:hAnsi="宋体" w:cs="Arial"/>
          <w:kern w:val="0"/>
          <w:szCs w:val="32"/>
        </w:rPr>
        <w:t>　在侦查活动中发现的可用以证明犯罪嫌疑人有罪或者无罪的各种财物、文件，应当查封、扣押；与案件无关的财物、文件，不得查封、扣押。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对查封、扣押的财物、文件，要妥善保管或者封存，不得使用、调换或者损毁。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第一百四十二条</w:t>
      </w:r>
      <w:r>
        <w:rPr>
          <w:rFonts w:hint="eastAsia" w:ascii="宋体" w:hAnsi="宋体" w:cs="Arial"/>
          <w:kern w:val="0"/>
          <w:szCs w:val="32"/>
        </w:rPr>
        <w:t>　对查封、扣押的财物、文件，应当会同在场见证人和被查封、扣押财物、文件持有人查点清楚，当场开列清单一式二份，由侦查人员、见证人和持有人签名或者盖章，一份交给持有人，另一份附卷备查。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第一百四十三条</w:t>
      </w:r>
      <w:r>
        <w:rPr>
          <w:rFonts w:hint="eastAsia" w:ascii="宋体" w:hAnsi="宋体" w:cs="Arial"/>
          <w:kern w:val="0"/>
          <w:szCs w:val="32"/>
        </w:rPr>
        <w:t>　侦查人员认为需要扣押犯罪嫌疑人的邮件、电报的时候，经公安机关或者人民检察院批准，即可通知邮电机关将有关的邮件、电报检交扣押。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不需要继续扣押的时候，应即通知邮电机关。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第一百四十四条</w:t>
      </w:r>
      <w:r>
        <w:rPr>
          <w:rFonts w:hint="eastAsia" w:ascii="宋体" w:hAnsi="宋体" w:cs="Arial"/>
          <w:kern w:val="0"/>
          <w:szCs w:val="32"/>
        </w:rPr>
        <w:t>　人民检察院、公安机关根据侦查犯罪的需要，可以依照规定查询、冻结犯罪嫌疑人的存款、汇款、债券、股票、基金份额等财产。有关单位和个人应当配合。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犯罪嫌疑人的存款、汇款、债券、股票、基金份额等财产已被冻结的，不得重复冻结。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第一百四十五条</w:t>
      </w:r>
      <w:r>
        <w:rPr>
          <w:rFonts w:hint="eastAsia" w:ascii="宋体" w:hAnsi="宋体" w:cs="Arial"/>
          <w:kern w:val="0"/>
          <w:szCs w:val="32"/>
        </w:rPr>
        <w:t>　对查封、扣押的财物、文件、邮件、电报或者冻结的存款、汇款、债券、股票、基金份额等财产，经查明确实与案件无关的，应当在三日以内解除查封、扣押、冻结，予以退还。</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第七节　鉴定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第一百四十六条</w:t>
      </w:r>
      <w:r>
        <w:rPr>
          <w:rFonts w:hint="eastAsia" w:ascii="宋体" w:hAnsi="宋体" w:cs="Arial"/>
          <w:kern w:val="0"/>
          <w:szCs w:val="32"/>
        </w:rPr>
        <w:t>　为了查明案情，需要解决案件中某些专门性问题的时候，应当指派、聘请有专门知识的人进行鉴定。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第一百四十七条</w:t>
      </w:r>
      <w:r>
        <w:rPr>
          <w:rFonts w:hint="eastAsia" w:ascii="宋体" w:hAnsi="宋体" w:cs="Arial"/>
          <w:kern w:val="0"/>
          <w:szCs w:val="32"/>
        </w:rPr>
        <w:t>　鉴定人进行鉴定后，应当写出鉴定意见，并且签名。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鉴定人故意作虚假鉴定的，应当承担法律责任。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第一百四十八条</w:t>
      </w:r>
      <w:r>
        <w:rPr>
          <w:rFonts w:hint="eastAsia" w:ascii="宋体" w:hAnsi="宋体" w:cs="Arial"/>
          <w:kern w:val="0"/>
          <w:szCs w:val="32"/>
        </w:rPr>
        <w:t>　侦查机关应当将用作证据的鉴定意见告知犯罪嫌疑人、被害人。如果犯罪嫌疑人、被害人提出申请，可以补充鉴定或者重新鉴定。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第一百四十九条</w:t>
      </w:r>
      <w:r>
        <w:rPr>
          <w:rFonts w:hint="eastAsia" w:ascii="宋体" w:hAnsi="宋体" w:cs="Arial"/>
          <w:kern w:val="0"/>
          <w:szCs w:val="32"/>
        </w:rPr>
        <w:t>　对犯罪嫌疑人作精神病鉴定的期间不计入办案期限。</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第八节　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第一百五十条</w:t>
      </w:r>
      <w:r>
        <w:rPr>
          <w:rFonts w:hint="eastAsia" w:ascii="宋体" w:hAnsi="宋体" w:cs="Arial"/>
          <w:kern w:val="0"/>
          <w:szCs w:val="32"/>
        </w:rPr>
        <w:t>　公安机关在立案后，对于危害国家安全犯罪、恐怖活动犯罪、黑社会性质的组织犯罪、重大毒品犯罪或者其他严重危害社会的犯罪案件，根据侦查犯罪的需要，经过严格的批准手续，可以采取技术侦查措施。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人民检察院在立案后，对于利用职权实施的严重侵犯公民人身权利的重大犯罪案件，根据侦查犯罪的需要，经过严格的批准手续，可以采取技术侦查措施，按照规定交有关机关执行。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追捕被通缉或者批准、决定逮捕的在逃的犯罪嫌疑人、被告人，经过批准，可以采取追捕所必需的技术侦查措施。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第一百五十一条</w:t>
      </w:r>
      <w:r>
        <w:rPr>
          <w:rFonts w:hint="eastAsia" w:ascii="宋体" w:hAnsi="宋体" w:cs="Arial"/>
          <w:kern w:val="0"/>
          <w:szCs w:val="32"/>
        </w:rPr>
        <w:t>　批准决定应当根据侦查犯罪的需要，确定采取技术侦查措施的种类和适用对象。批准决定自签发之日起三个月以内有效。对于不需要继续采取技术侦查措施的，应当及时解除；对于复杂、疑难案件，期限届满仍有必要继续采取技术侦查措施的，经过批准，有效期可以延长，每次不得超过三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第一百五十二条</w:t>
      </w:r>
      <w:r>
        <w:rPr>
          <w:rFonts w:hint="eastAsia" w:ascii="宋体" w:hAnsi="宋体" w:cs="Arial"/>
          <w:kern w:val="0"/>
          <w:szCs w:val="32"/>
        </w:rPr>
        <w:t>　采取技术侦查措施，必须严格按照批准的措施种类、适用对象和期限执行。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侦查人员对采取技术侦查措施过程中知悉的国家秘密、商业秘密和个人隐私，应当保密；对采取技术侦查措施获取的与案件无关的材料，必须及时销毁。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采取技术侦查措施获取的材料，只能用于对犯罪的侦查、起诉和审判，不得用于其他用途。</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公安机关依法采取技术侦查措施，有关单位和个人应当配合，并对有关情况予以保密。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第一百五十三条</w:t>
      </w:r>
      <w:r>
        <w:rPr>
          <w:rFonts w:hint="eastAsia" w:ascii="宋体" w:hAnsi="宋体" w:cs="Arial"/>
          <w:kern w:val="0"/>
          <w:szCs w:val="32"/>
        </w:rPr>
        <w:t>　为了查明案情，在必要的时候，经公安机关负责人决定，可以由有关人员隐匿其身份实施侦查。但是，不得诱使他人犯罪，不得采用可能危害公共安全或者发生重大人身危险的方法。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对涉及给付毒品等违禁品或者财物的犯罪活动，公安机关根据侦查犯罪的需要，可以依照规定实施控制下交付。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第一百五十四条</w:t>
      </w:r>
      <w:r>
        <w:rPr>
          <w:rFonts w:hint="eastAsia" w:ascii="宋体" w:hAnsi="宋体" w:cs="Arial"/>
          <w:kern w:val="0"/>
          <w:szCs w:val="32"/>
        </w:rPr>
        <w:t>　依照本节规定采取侦查措施收集的材料在刑事诉讼中可以作为证据使用。如果使用该证据可能危及有关人员的人身安全，或者可能产生其他严重后果的，应当采取不暴露有关人员身份、技术方法等保护措施，必要的时候，可以由审判人员在庭外对证据进行核实。</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第九节　通缉</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第一百五十五条</w:t>
      </w:r>
      <w:r>
        <w:rPr>
          <w:rFonts w:hint="eastAsia" w:ascii="宋体" w:hAnsi="宋体" w:cs="Arial"/>
          <w:kern w:val="0"/>
          <w:szCs w:val="32"/>
        </w:rPr>
        <w:t>　应当逮捕的犯罪嫌疑人如果在逃，公安机关可以发布通缉令，采取有效措施，追捕归案。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各级公安机关在自己管辖的地区以内，可以直接发布通缉令；超出自己管辖的地区，应当报请有权决定的上级机关发布。</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第十节　侦查终结</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第一百五十六条</w:t>
      </w:r>
      <w:r>
        <w:rPr>
          <w:rFonts w:hint="eastAsia" w:ascii="宋体" w:hAnsi="宋体" w:cs="Arial"/>
          <w:kern w:val="0"/>
          <w:szCs w:val="32"/>
        </w:rPr>
        <w:t>　对犯罪嫌疑人逮捕后的侦查羁押期限不得超过二个月。案情复杂、期限届满不能终结的案件，可以经上一级人民检察院批准延长一个月。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第一百五十七条</w:t>
      </w:r>
      <w:r>
        <w:rPr>
          <w:rFonts w:hint="eastAsia" w:ascii="宋体" w:hAnsi="宋体" w:cs="Arial"/>
          <w:kern w:val="0"/>
          <w:szCs w:val="32"/>
        </w:rPr>
        <w:t>　因为特殊原因，在较长时间内不宜交付审判的特别重大复杂的案件，由最高人民检察院报请全国人民代表大会常务委员会批准延期审理。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第一百五十八条</w:t>
      </w:r>
      <w:r>
        <w:rPr>
          <w:rFonts w:hint="eastAsia" w:ascii="宋体" w:hAnsi="宋体" w:cs="Arial"/>
          <w:kern w:val="0"/>
          <w:szCs w:val="32"/>
        </w:rPr>
        <w:t>　下列案件在本</w:t>
      </w:r>
      <w:r>
        <w:rPr>
          <w:rFonts w:hint="eastAsia" w:ascii="宋体" w:hAnsi="宋体" w:eastAsia="仿宋_GB2312" w:cs="仿宋_GB2312"/>
          <w:kern w:val="0"/>
          <w:szCs w:val="32"/>
        </w:rPr>
        <w:t>法第一百五十六条规定的</w:t>
      </w:r>
      <w:r>
        <w:rPr>
          <w:rFonts w:hint="eastAsia" w:ascii="宋体" w:hAnsi="宋体" w:cs="Arial"/>
          <w:kern w:val="0"/>
          <w:szCs w:val="32"/>
        </w:rPr>
        <w:t>期限届满不能侦查终结的，经省、自治区、直辖市人民检察院批准或者决定，可以延长二个月：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（一）交通十分不便的边远地区的重大复杂案件；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（二）重大的犯罪集团案件；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（三）流窜作案的重大复杂案件；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（四）犯罪涉及面广，取证困难的重大复杂案件。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第一百五十九条</w:t>
      </w:r>
      <w:r>
        <w:rPr>
          <w:rFonts w:hint="eastAsia" w:ascii="宋体" w:hAnsi="宋体" w:cs="Arial"/>
          <w:kern w:val="0"/>
          <w:szCs w:val="32"/>
        </w:rPr>
        <w:t>　对犯罪嫌疑人可能判处十年有期徒刑以上刑罚，依照</w:t>
      </w:r>
      <w:r>
        <w:rPr>
          <w:rFonts w:hint="eastAsia" w:ascii="宋体" w:hAnsi="宋体" w:eastAsia="仿宋_GB2312" w:cs="仿宋_GB2312"/>
          <w:kern w:val="0"/>
          <w:szCs w:val="32"/>
        </w:rPr>
        <w:t>本法第一百五十八条规定延长期限届</w:t>
      </w:r>
      <w:r>
        <w:rPr>
          <w:rFonts w:hint="eastAsia" w:ascii="宋体" w:hAnsi="宋体" w:cs="Arial"/>
          <w:kern w:val="0"/>
          <w:szCs w:val="32"/>
        </w:rPr>
        <w:t>满，仍不能侦查终结的，经省、自治区、直辖市人民检察院批准或者决定，可以再延长二个月。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第一百六十条</w:t>
      </w:r>
      <w:r>
        <w:rPr>
          <w:rFonts w:hint="eastAsia" w:ascii="宋体" w:hAnsi="宋体" w:cs="Arial"/>
          <w:kern w:val="0"/>
          <w:szCs w:val="32"/>
        </w:rPr>
        <w:t>　在侦查期间，发现犯罪嫌疑人另有重要罪行的，自发现之日起依照本</w:t>
      </w:r>
      <w:r>
        <w:rPr>
          <w:rFonts w:hint="eastAsia" w:ascii="宋体" w:hAnsi="宋体" w:eastAsia="仿宋_GB2312" w:cs="仿宋_GB2312"/>
          <w:kern w:val="0"/>
          <w:szCs w:val="32"/>
        </w:rPr>
        <w:t>法第一百五十六条的规</w:t>
      </w:r>
      <w:r>
        <w:rPr>
          <w:rFonts w:hint="eastAsia" w:ascii="宋体" w:hAnsi="宋体" w:cs="Arial"/>
          <w:kern w:val="0"/>
          <w:szCs w:val="32"/>
        </w:rPr>
        <w:t>定重新计算侦查羁押期限。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不讲真实姓名、住址，身份不明的，应当对其身份进行调查，侦查羁押期限自查清其身份之日起计算，但是不得停止对其犯罪行为的侦查取证。对于犯罪事实清楚，证据确实、充分，确实无法查明其身份的，也可以按其自报的姓名起诉、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第一百六十一条</w:t>
      </w:r>
      <w:r>
        <w:rPr>
          <w:rFonts w:hint="eastAsia" w:ascii="宋体" w:hAnsi="宋体" w:cs="Arial"/>
          <w:kern w:val="0"/>
          <w:szCs w:val="32"/>
        </w:rPr>
        <w:t>　在案件侦查终结前，辩护律师提出要求的，侦查机关应当听取辩护律师的意见，并记录在案。辩护律师提出书面意见的，应当附卷。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第一百六十二条</w:t>
      </w:r>
      <w:r>
        <w:rPr>
          <w:rFonts w:hint="eastAsia" w:ascii="宋体" w:hAnsi="宋体" w:cs="Arial"/>
          <w:kern w:val="0"/>
          <w:szCs w:val="32"/>
        </w:rPr>
        <w:t>　公安机关侦查终结的案件，应当做到犯罪事实清楚，证据确实、充分，并且写出起诉意见书，连同案卷材料、证据一并移送同级人民检察院审查决定；同时将案件移送情况告知犯罪嫌疑人及其辩护律师。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犯罪嫌疑人自愿认罪的，应当记录在案，随案移送，并在起诉意见书中写明有关情况。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第一百六十三条</w:t>
      </w:r>
      <w:r>
        <w:rPr>
          <w:rFonts w:hint="eastAsia" w:ascii="宋体" w:hAnsi="宋体" w:cs="Arial"/>
          <w:kern w:val="0"/>
          <w:szCs w:val="32"/>
        </w:rPr>
        <w:t>　在侦查过程中，发现不应对犯罪嫌疑人追究刑事责任的，应当撤销案件；犯罪嫌疑人已被逮捕的，应当立即释放，发给释放证明，并且通知原批准逮捕的人民检察院。</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第十一节　人民检察院对直接受理的案件的侦查</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第一百六十四条</w:t>
      </w:r>
      <w:r>
        <w:rPr>
          <w:rFonts w:hint="eastAsia" w:ascii="宋体" w:hAnsi="宋体" w:cs="Arial"/>
          <w:kern w:val="0"/>
          <w:szCs w:val="32"/>
        </w:rPr>
        <w:t>　人民检察院对直接受理的案件的侦查适用本章规定。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第一百六十五条</w:t>
      </w:r>
      <w:r>
        <w:rPr>
          <w:rFonts w:hint="eastAsia" w:ascii="宋体" w:hAnsi="宋体" w:cs="Arial"/>
          <w:kern w:val="0"/>
          <w:szCs w:val="32"/>
        </w:rPr>
        <w:t>　人民</w:t>
      </w:r>
      <w:r>
        <w:rPr>
          <w:rFonts w:hint="eastAsia" w:ascii="宋体" w:hAnsi="宋体" w:eastAsia="仿宋_GB2312" w:cs="仿宋_GB2312"/>
          <w:kern w:val="0"/>
          <w:szCs w:val="32"/>
        </w:rPr>
        <w:t>检察院直接受理的案件中符合本法第八十一条、第八十二条第四项、第五项规定情形，需要逮捕、拘留犯罪嫌疑人的，由人民检察院作出决定，由公安机关执行。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第一百六十六条</w:t>
      </w:r>
      <w:r>
        <w:rPr>
          <w:rFonts w:hint="eastAsia" w:ascii="宋体" w:hAnsi="宋体" w:cs="Arial"/>
          <w:kern w:val="0"/>
          <w:szCs w:val="32"/>
        </w:rPr>
        <w:t>　人民检察院对直接受理的案件中被拘留的人，应当在拘留后的二十四小时以内进行讯问。在发现不应当拘留的时候，必须立即释放，发给释放证明。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第一百六十七条</w:t>
      </w:r>
      <w:r>
        <w:rPr>
          <w:rFonts w:hint="eastAsia" w:ascii="宋体" w:hAnsi="宋体" w:cs="Arial"/>
          <w:kern w:val="0"/>
          <w:szCs w:val="32"/>
        </w:rPr>
        <w:t>　人民检察院对直接受理的案件中被拘留的人，认为需要逮捕的，应当在十四日以内作出决定。在特殊情况下，决定逮捕的时间可以延长一日至三日。对不需要逮捕的，应当立即释放；对需要继续侦查，并且符合取保候审、监视居住条件的，依法取保候审或者监视居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第一百六十八条</w:t>
      </w:r>
      <w:r>
        <w:rPr>
          <w:rFonts w:hint="eastAsia" w:ascii="宋体" w:hAnsi="宋体" w:cs="Arial"/>
          <w:kern w:val="0"/>
          <w:szCs w:val="32"/>
        </w:rPr>
        <w:t>　人民检察院侦查终结的案件，应当作出提起公诉、不起诉或者撤销案件的决定。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提起公诉</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第一百六十九条</w:t>
      </w:r>
      <w:r>
        <w:rPr>
          <w:rFonts w:hint="eastAsia" w:ascii="宋体" w:hAnsi="宋体" w:cs="Arial"/>
          <w:kern w:val="0"/>
          <w:szCs w:val="32"/>
        </w:rPr>
        <w:t>　凡需要提起公诉的案件，一律由人民检察院审查决定。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第一百七十条</w:t>
      </w:r>
      <w:r>
        <w:rPr>
          <w:rFonts w:hint="eastAsia" w:ascii="宋体" w:hAnsi="宋体" w:cs="Arial"/>
          <w:kern w:val="0"/>
          <w:szCs w:val="32"/>
        </w:rPr>
        <w:t>　人民检察院对于监察机关移送起诉的案件，依照本法和监察法的有关规定进行审查。人民检察院经审查，认为需要补充核实的，应当退回监察机关补充调查，必要时可以自行补充侦查。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监察机关移送起诉的已采取留置措施的案件，人民检察院应当对犯罪嫌疑人先行拘留，留置措施自动解除。人民检察院应当在拘留后的十日以内作出是否逮捕、取保候审或者监视居住的决定。在特殊情况下，决定的时间可以延长一日至四日。人民检察院决定采取强制措施的期间不计入审查起诉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第一百七十一条</w:t>
      </w:r>
      <w:r>
        <w:rPr>
          <w:rFonts w:hint="eastAsia" w:ascii="宋体" w:hAnsi="宋体" w:cs="Arial"/>
          <w:kern w:val="0"/>
          <w:szCs w:val="32"/>
        </w:rPr>
        <w:t>　人民检察院审查案件的时候，必须查明：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（一）犯罪事实、情节是否清楚，证据是否确实、充分，犯罪性质和罪名的认定是否正确；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（二）有无遗漏罪行和其他应当追究刑事责任的人；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（三）是否属于不应追究刑事责任的；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（四）有无附带民事诉讼；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（五）侦查活动是否合法。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第一百七十二条</w:t>
      </w:r>
      <w:r>
        <w:rPr>
          <w:rFonts w:hint="eastAsia" w:ascii="宋体" w:hAnsi="宋体" w:cs="Arial"/>
          <w:kern w:val="0"/>
          <w:szCs w:val="32"/>
        </w:rPr>
        <w:t>　人民检察院对于监察机关、公安机关移送起诉的案件，应当在一个月以内作出决定，重大、复杂的案件，可以延长十五日；犯罪嫌疑人认罪认罚，符合速裁程序适用条件的，应当在十日以内作出决定，对可能判处的有期徒刑超过一年的，可以延长至十五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人民检察院审查起诉的案件，改变管辖的，从改变后的人民检察院收到案件之日起计算审查起诉期限。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第一百七十三条</w:t>
      </w:r>
      <w:r>
        <w:rPr>
          <w:rFonts w:hint="eastAsia" w:ascii="宋体" w:hAnsi="宋体" w:cs="Arial"/>
          <w:kern w:val="0"/>
          <w:szCs w:val="32"/>
        </w:rPr>
        <w:t>　人民检察院审查案件，应当讯问犯罪嫌疑人，听取辩护人或者值班律师、被害人及其诉讼代理人的意见，并记录在案。辩护人或者值班律师、被害人及其诉讼代理人提出书面意见的，应当附卷。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犯罪嫌疑人认罪认罚的，人民检察院应当告知其享有的诉讼权利和认罪认罚的法律规定，听取犯罪嫌疑人、辩护人或者值班律师、被害人及其诉讼代理人对下列事项的意见，并记录在案：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（一）涉嫌的犯罪事实、罪名及适用的法律规定；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（二）从轻、减轻或者免除处罚等从宽处罚的建议；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（三）认罪认罚后案件审理适用的程序；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（四）其他需要听取意见的事项。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人民检察院依照前两款规定听取值班律师意见的，应当提前为值班律师了解案件有关情况提供必要的便利。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第一百七十四条</w:t>
      </w:r>
      <w:r>
        <w:rPr>
          <w:rFonts w:hint="eastAsia" w:ascii="宋体" w:hAnsi="宋体" w:cs="Arial"/>
          <w:kern w:val="0"/>
          <w:szCs w:val="32"/>
        </w:rPr>
        <w:t>　犯罪嫌疑人自愿认罪，同意量刑建议和程序适用的，应当在辩护人或者值班律师在场的情况下签署认罪认罚具结书。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犯罪嫌疑人认罪认罚，有下列情形之一的，不需要签署认罪认罚具结书：</w:t>
      </w:r>
    </w:p>
    <w:p>
      <w:pPr>
        <w:widowControl w:val="0"/>
        <w:wordWrap/>
        <w:overflowPunct w:val="0"/>
        <w:adjustRightInd/>
        <w:snapToGrid/>
        <w:spacing w:beforeAutospacing="0" w:afterAutospacing="0" w:line="560" w:lineRule="exact"/>
        <w:jc w:val="lef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（一）犯罪嫌疑人是盲、聋、哑人，或者是尚未完全丧失辨认或者控制自己行为能力的精神病人的；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（二）未成年犯罪嫌疑人的法定代理人、辩护人对未成年人认罪认罚有异议的；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（三）其他不需要签署认罪认罚具结书的情形。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第一百七十五条</w:t>
      </w:r>
      <w:r>
        <w:rPr>
          <w:rFonts w:hint="eastAsia" w:ascii="宋体" w:hAnsi="宋体" w:cs="Arial"/>
          <w:kern w:val="0"/>
          <w:szCs w:val="32"/>
        </w:rPr>
        <w:t>　人民检察院审查案件，可以要求公安机关提供法庭审判所必需的证据材料；认为可能存在</w:t>
      </w:r>
      <w:r>
        <w:rPr>
          <w:rFonts w:hint="eastAsia" w:ascii="宋体" w:hAnsi="宋体" w:eastAsia="仿宋_GB2312" w:cs="仿宋_GB2312"/>
          <w:kern w:val="0"/>
          <w:szCs w:val="32"/>
        </w:rPr>
        <w:t>本法第五十六条规定的以非法方法收集证据情形的，可以要求其对</w:t>
      </w:r>
      <w:r>
        <w:rPr>
          <w:rFonts w:hint="eastAsia" w:ascii="宋体" w:hAnsi="宋体" w:cs="Arial"/>
          <w:kern w:val="0"/>
          <w:szCs w:val="32"/>
        </w:rPr>
        <w:t>证据收集的合法性作出说明。</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人民检察院审查案件，对于需要补充侦查的，可以退回公安机关补充侦查，也可以自行侦查。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对于补充侦查的案件，应当在一个月以内补充侦查完毕。补充侦查以二次为限。补充侦查完毕移送人民检察院后，人民检察院重新计算审查起诉期限。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对于二次补充侦查的案件，人民检察院仍然认为证据不足，不符合起诉条件的，应当作出不起诉的决定。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第一百七十六条</w:t>
      </w:r>
      <w:r>
        <w:rPr>
          <w:rFonts w:hint="eastAsia" w:ascii="宋体" w:hAnsi="宋体" w:cs="Arial"/>
          <w:kern w:val="0"/>
          <w:szCs w:val="32"/>
        </w:rPr>
        <w:t>　人民检察院认为犯罪嫌疑人的犯罪事实已经查清，证据确实、充分，依法应当追究刑事责任的，应当作出起诉决定，按照审判管辖的规定，向人民法院提起公诉，并将案卷材料、证据移送人民法院。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犯罪嫌疑人认罪认罚的，人民检察院应当就主刑、附加刑、是否适用缓刑等提出量刑建议，并随案移送认罪认罚具结书等材料。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第一百七十七条</w:t>
      </w:r>
      <w:r>
        <w:rPr>
          <w:rFonts w:hint="eastAsia" w:ascii="宋体" w:hAnsi="宋体" w:cs="Arial"/>
          <w:kern w:val="0"/>
          <w:szCs w:val="32"/>
        </w:rPr>
        <w:t>　犯罪嫌疑人没有犯罪事实，或者</w:t>
      </w:r>
      <w:r>
        <w:rPr>
          <w:rFonts w:hint="eastAsia" w:ascii="宋体" w:hAnsi="宋体" w:eastAsia="仿宋_GB2312" w:cs="仿宋_GB2312"/>
          <w:kern w:val="0"/>
          <w:szCs w:val="32"/>
        </w:rPr>
        <w:t>有本法第十六条规定的情形之一的，人民检察院应当作出不起诉</w:t>
      </w:r>
      <w:r>
        <w:rPr>
          <w:rFonts w:hint="eastAsia" w:ascii="宋体" w:hAnsi="宋体" w:cs="Arial"/>
          <w:kern w:val="0"/>
          <w:szCs w:val="32"/>
        </w:rPr>
        <w:t>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对于犯罪情节轻微，依照刑法规定不需要判处刑罚或者免除刑罚的，人民检察院可以作出不起诉决定。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决定不起诉的案件，应当同时对侦查中查封、扣押、冻结的财物解除查封、扣押、冻结。对被不起诉人需要给予行政处罚、处分或者需要没收其违法所得的，人民检察院应当提出检察意见，移送有关主管机关处理。有关主管机关应当将处理结果及时通知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第一百七十八条</w:t>
      </w:r>
      <w:r>
        <w:rPr>
          <w:rFonts w:hint="eastAsia" w:ascii="宋体" w:hAnsi="宋体" w:cs="Arial"/>
          <w:kern w:val="0"/>
          <w:szCs w:val="32"/>
        </w:rPr>
        <w:t>　不起诉的决定，应当公开宣布，并且将不起诉决定书送达被不起诉人和他的所在单位。如果被不起诉人在押，应当立即释放。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第一百七十九条</w:t>
      </w:r>
      <w:r>
        <w:rPr>
          <w:rFonts w:hint="eastAsia" w:ascii="宋体" w:hAnsi="宋体" w:cs="Arial"/>
          <w:kern w:val="0"/>
          <w:szCs w:val="32"/>
        </w:rPr>
        <w:t>　对于公安机关移送起诉的案件，人民检察院决定不起诉的，应当将不起诉决定书送达公安机关。公安机关认为不起诉的决定有错误的时候，可以要求复议，如果意见不被接受，可以向上一级人民检察院提请复核。</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第一百八十条</w:t>
      </w:r>
      <w:r>
        <w:rPr>
          <w:rFonts w:hint="eastAsia" w:ascii="宋体" w:hAnsi="宋体" w:cs="Arial"/>
          <w:kern w:val="0"/>
          <w:szCs w:val="32"/>
        </w:rPr>
        <w:t>　对于有被害人的案件，决定不起诉的，人民检察院应当将不起诉决定书送达被害人。被害人如果不服，可以自收到决定书后七日以内向上一级人民检察院申诉，请求提起公诉。人民检察院应当将复查决定告知被害人。对人民检察院维持不起诉决定的，被害人可以向人民法院起诉。被害人也可以不经申诉，直接向人民法院起诉。人民法院受理案件后，人民检察院应当将有关案件材料移送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第一百八十一条</w:t>
      </w:r>
      <w:r>
        <w:rPr>
          <w:rFonts w:hint="eastAsia" w:ascii="宋体" w:hAnsi="宋体" w:cs="Arial"/>
          <w:kern w:val="0"/>
          <w:szCs w:val="32"/>
        </w:rPr>
        <w:t>　对于人民检</w:t>
      </w:r>
      <w:r>
        <w:rPr>
          <w:rFonts w:hint="eastAsia" w:ascii="宋体" w:hAnsi="宋体" w:eastAsia="仿宋_GB2312" w:cs="仿宋_GB2312"/>
          <w:kern w:val="0"/>
          <w:szCs w:val="32"/>
        </w:rPr>
        <w:t>察院依照本法第一百七十七条第二款规定作出的不起诉决定，被不起诉人如果不服，可以自收到决定书后七日以内向人民检察院申诉。人民检察院应当作出复查决定，通知被不起诉的人，同时抄送公安机关。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第一百八十二条</w:t>
      </w:r>
      <w:r>
        <w:rPr>
          <w:rFonts w:hint="eastAsia" w:ascii="宋体" w:hAnsi="宋体" w:cs="Arial"/>
          <w:kern w:val="0"/>
          <w:szCs w:val="32"/>
        </w:rPr>
        <w:t>　犯罪嫌疑人自愿如实供述涉嫌犯罪的事实，有重大立功或者案件涉及国家重大利益的，经最高人民检察院核准，公安机关可以撤销案件，人民检察院可以作出不起诉决定，也可以对涉嫌数罪中的一项或者多项不起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根据前款规定不起诉或者撤销案件的，人民检察院、公安机关应当及时对查封、扣押、冻结的财物及其孳息作出处理。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第三编　审判</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第一百八十三条</w:t>
      </w:r>
      <w:r>
        <w:rPr>
          <w:rFonts w:hint="eastAsia" w:ascii="宋体" w:hAnsi="宋体" w:cs="Arial"/>
          <w:kern w:val="0"/>
          <w:szCs w:val="32"/>
        </w:rPr>
        <w:t>　基层人民法</w:t>
      </w:r>
      <w:r>
        <w:rPr>
          <w:rFonts w:hint="eastAsia" w:ascii="宋体" w:hAnsi="宋体" w:eastAsia="仿宋_GB2312" w:cs="仿宋_GB2312"/>
          <w:kern w:val="0"/>
          <w:szCs w:val="32"/>
        </w:rPr>
        <w:t>院、中级人民法院审判第一审案件，应当由审判员三人或者由审判员和人民陪审员共三人或者七人组成合议庭进行，但是基层人民法院适用简易程序、速裁程序的案件可以由审判员一人独任审判。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高级人民法院审判第一审案件，应当由审判员三人至七人或者由审判员和人民陪审员共三人或者七人组成合议庭进行。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最高人民法院审判第一审案件，应当由审判员三人至七人组成合议庭进行。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人民法院审判上诉和抗诉案件，由审判员三人或者五人组成合议庭进行。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合议庭的成员人数应当是单数。</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第一百八十四条</w:t>
      </w:r>
      <w:r>
        <w:rPr>
          <w:rFonts w:hint="eastAsia" w:ascii="宋体" w:hAnsi="宋体" w:cs="Arial"/>
          <w:kern w:val="0"/>
          <w:szCs w:val="32"/>
        </w:rPr>
        <w:t>　合议庭进行评议的时候，如果意见分歧，应当按多数人的意见作出决定，但是少数人的意见应当写入笔录。评议笔录由合议庭的组成人员签名。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第一百八十五条</w:t>
      </w:r>
      <w:r>
        <w:rPr>
          <w:rFonts w:hint="eastAsia" w:ascii="宋体" w:hAnsi="宋体" w:cs="Arial"/>
          <w:kern w:val="0"/>
          <w:szCs w:val="32"/>
        </w:rPr>
        <w:t>　合议庭开庭审理并且评议后，应当作出判决。对于疑难、复杂、重大的案件，合议庭认为难以作出决定的，由合议庭提请院长决定提交审判委员会讨论决定。审判委员会的决定，合议庭应当执行。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第一审程序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第一节　公诉案件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第一百八十六条</w:t>
      </w:r>
      <w:r>
        <w:rPr>
          <w:rFonts w:hint="eastAsia" w:ascii="宋体" w:hAnsi="宋体" w:cs="Arial"/>
          <w:kern w:val="0"/>
          <w:szCs w:val="32"/>
        </w:rPr>
        <w:t>　人民法院对提起公诉的案件进行审查后，对于起诉书中有明确的指控犯罪事实的，应当决定开庭审判。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第一百八十七条</w:t>
      </w:r>
      <w:r>
        <w:rPr>
          <w:rFonts w:hint="eastAsia" w:ascii="宋体" w:hAnsi="宋体" w:cs="Arial"/>
          <w:kern w:val="0"/>
          <w:szCs w:val="32"/>
        </w:rPr>
        <w:t>　人民法院决定开庭审判后，应当确定合议庭的组成人员，将人民检察院的起诉书副本至迟在开庭十日以前送达被告人及其辩护人。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在开庭以前，审判人员可以召集公诉人、当事人和辩护人、诉讼代理人，对回避、出庭证人名单、非法证据排除等与审判相关的问题，了解情况，听取意见。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确定开庭日期后，应当将开庭的时间、地点通知人民检察院，传唤当事人，通知辩护人、诉讼代理人、证人、鉴定人和翻译人员，传票和通知书至迟在开庭三日以前送达。公开审判的案件，应当在开庭三日以前先期公布案由、被告人姓名、开庭时间和地点。</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上述活动情形应当写入笔录，由审判人员和书记员签名。</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第一百八十八条</w:t>
      </w:r>
      <w:r>
        <w:rPr>
          <w:rFonts w:hint="eastAsia" w:ascii="宋体" w:hAnsi="宋体" w:cs="Arial"/>
          <w:kern w:val="0"/>
          <w:szCs w:val="32"/>
        </w:rPr>
        <w:t>　人民法</w:t>
      </w:r>
      <w:r>
        <w:rPr>
          <w:rFonts w:hint="eastAsia" w:ascii="宋体" w:hAnsi="宋体" w:eastAsia="仿宋_GB2312" w:cs="仿宋_GB2312"/>
          <w:kern w:val="0"/>
          <w:szCs w:val="32"/>
        </w:rPr>
        <w:t>院审判第一审案件应当公开进行。但是有关国家秘密或者个人隐私的案件，不公开审理；涉及商业秘密的案件，当事人申请不公开审理的，可以不公开审理。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不公开审理的案件，应当当庭宣布不公开审理的理由。</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第一百八十九条</w:t>
      </w:r>
      <w:r>
        <w:rPr>
          <w:rFonts w:hint="eastAsia" w:ascii="宋体" w:hAnsi="宋体" w:cs="Arial"/>
          <w:kern w:val="0"/>
          <w:szCs w:val="32"/>
        </w:rPr>
        <w:t>　人民法院审判公诉案件，人民检察院应当派员出席法庭支持公诉。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第一百九十条</w:t>
      </w:r>
      <w:r>
        <w:rPr>
          <w:rFonts w:hint="eastAsia" w:ascii="宋体" w:hAnsi="宋体" w:cs="Arial"/>
          <w:kern w:val="0"/>
          <w:szCs w:val="32"/>
        </w:rPr>
        <w:t>　开庭的时候，审判长查明当事人是否到庭，宣布案由；宣布合议庭的组成人员、书记员、公诉人、辩护人、诉讼代理人、鉴定人和翻译人员的名单；告知当事人有权对合议庭组成人员、书记员、公诉人、鉴定人和翻译人员申请回避；告知被告人享有辩护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被告人认罪认罚的，审判长应当告知被告人享有的诉讼权利和认罪认罚的法律规定，审查认罪认罚的自愿性和认罪认罚具结书内容的真实性、合法性。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第一百九十一条</w:t>
      </w:r>
      <w:r>
        <w:rPr>
          <w:rFonts w:hint="eastAsia" w:ascii="宋体" w:hAnsi="宋体" w:cs="Arial"/>
          <w:kern w:val="0"/>
          <w:szCs w:val="32"/>
        </w:rPr>
        <w:t>　公诉人在法庭上宣读起诉书后，被告人、被害人可以就起诉书指控的犯罪进行陈述，公诉人可以讯问被告人。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被害人、附带民事诉讼的原告人和辩护人、诉讼代理人，经审判长许可，可以向被告人发问。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审判人员可以讯问被告人。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第一百九十二条</w:t>
      </w:r>
      <w:r>
        <w:rPr>
          <w:rFonts w:hint="eastAsia" w:ascii="宋体" w:hAnsi="宋体" w:cs="Arial"/>
          <w:kern w:val="0"/>
          <w:szCs w:val="32"/>
        </w:rPr>
        <w:t>　公诉人、当事人或者辩护人、诉讼代理人对证人证言有异议，且该证人证言对案件定罪量刑有重大影响，人民法院认为证人有必要出庭作证的，证人应当出庭作证。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人民警察就其执行职务时目击的犯罪情况作为证人出庭作证，适用前款规定。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公诉人、当事人或者辩护人、诉讼代理人对鉴定意见有异议，人民法院认为鉴定人有必要出庭的，鉴定人应当出庭作证。经人民法院通知，鉴定人拒不出庭作证的，鉴定意见不得作为定案的根据。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第一百九十三条</w:t>
      </w:r>
      <w:r>
        <w:rPr>
          <w:rFonts w:hint="eastAsia" w:ascii="宋体" w:hAnsi="宋体" w:cs="Arial"/>
          <w:kern w:val="0"/>
          <w:szCs w:val="32"/>
        </w:rPr>
        <w:t>　经人民法院通知，证人没有正当理由不出庭作证的，人民法院可以强制其到庭，但是被告人的配偶、父母、子女除外。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证人没有正当理由拒绝出庭或者出庭后拒绝作证的，予以训诫，情节严重的，经院长批准，处以十日以下的拘留。被处罚人对拘留决定不服的，可以向上一级人民法院申请复议。复议期间不停止执行。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第一百九十四条</w:t>
      </w:r>
      <w:r>
        <w:rPr>
          <w:rFonts w:hint="eastAsia" w:ascii="宋体" w:hAnsi="宋体" w:cs="Arial"/>
          <w:kern w:val="0"/>
          <w:szCs w:val="32"/>
        </w:rPr>
        <w:t>　证人作证，审判人员应当告知他要如实地提供证言和有意作伪证或者隐匿罪证要负的法律责任。公诉人、当事人和辩护人、诉讼代理人经审判长许可，可以对证人、鉴定人发问。审判长认为发问的内容与案件无关的时候，应当制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审判人员可以询问证人、鉴定人。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第一百九十五条</w:t>
      </w:r>
      <w:r>
        <w:rPr>
          <w:rFonts w:hint="eastAsia" w:ascii="宋体" w:hAnsi="宋体" w:cs="Arial"/>
          <w:kern w:val="0"/>
          <w:szCs w:val="32"/>
        </w:rPr>
        <w:t>　公诉人、辩护人应当向法庭出示物证，让当事人辨认，对未到庭的证人的证言笔录、鉴定人的鉴定意见、勘验笔录和其他作为证据的文书，应当当庭宣读。审判人员应当听取公诉人、当事人和辩护人、诉讼代理人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第一百九十六条</w:t>
      </w:r>
      <w:r>
        <w:rPr>
          <w:rFonts w:hint="eastAsia" w:ascii="宋体" w:hAnsi="宋体" w:cs="Arial"/>
          <w:kern w:val="0"/>
          <w:szCs w:val="32"/>
        </w:rPr>
        <w:t>　法庭审理过程中，合议庭对证据有疑问的，可以宣布休庭，对证据进行调查核实。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人民法院调查核实证据，可以进行勘验、检查、查封、扣押、鉴定和查询、冻结。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第一百九十七条</w:t>
      </w:r>
      <w:r>
        <w:rPr>
          <w:rFonts w:hint="eastAsia" w:ascii="宋体" w:hAnsi="宋体" w:cs="Arial"/>
          <w:kern w:val="0"/>
          <w:szCs w:val="32"/>
        </w:rPr>
        <w:t>　法庭审理过程中，当事人和辩护人、诉讼代理人有权申请通知新的证人到庭，调取新的物证，申请重新鉴定或者勘验。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公诉人、当事人和辩护人、诉讼代理人可以申请法庭通知有专门知识的人出庭，就鉴定人作出的鉴定意见提出意见。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法</w:t>
      </w:r>
      <w:r>
        <w:rPr>
          <w:rFonts w:hint="eastAsia" w:ascii="宋体" w:hAnsi="宋体" w:eastAsia="仿宋_GB2312" w:cs="仿宋_GB2312"/>
          <w:kern w:val="0"/>
          <w:szCs w:val="32"/>
        </w:rPr>
        <w:t>庭对于上述申请，应当作出是否同意的决定。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第二款规定的有专门知识的人出庭，适用鉴定人的有关规定。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第一百九十八条</w:t>
      </w:r>
      <w:r>
        <w:rPr>
          <w:rFonts w:hint="eastAsia" w:ascii="宋体" w:hAnsi="宋体" w:cs="Arial"/>
          <w:kern w:val="0"/>
          <w:szCs w:val="32"/>
        </w:rPr>
        <w:t>　法庭审理过程中，对与定罪、量刑有关的事实、证据都应当进行调查、辩论。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经审判长许可，公诉人、当事人和辩护人、诉讼代理人可以对证据和案件情况发表意见并且可以互相辩论。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审判长在宣布辩论终结后，被告人有最后陈述的权利。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第一百九十九条</w:t>
      </w:r>
      <w:r>
        <w:rPr>
          <w:rFonts w:hint="eastAsia" w:ascii="宋体" w:hAnsi="宋体" w:cs="Arial"/>
          <w:kern w:val="0"/>
          <w:szCs w:val="32"/>
        </w:rPr>
        <w:t>　在法庭审判过程中，如果诉讼参与人或者旁听人员违反法庭秩序，审判长应当警告制止。对不听制止的，可以强行带出法庭；情节严重的，处以一千元以下的罚款或者十五日以下的拘留。罚款、拘留必须经院长批准。被处罚人对罚款、拘留的决定不服的，可以向上一级人民法院申请复议。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对聚众哄闹、冲击法庭或者侮辱、诽谤、威胁、殴打司法工作人员或者诉讼参与人，严重扰乱法庭秩序，构成犯罪的，依法追究刑事责任。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第二百条</w:t>
      </w:r>
      <w:r>
        <w:rPr>
          <w:rFonts w:hint="eastAsia" w:ascii="宋体" w:hAnsi="宋体" w:cs="Arial"/>
          <w:kern w:val="0"/>
          <w:szCs w:val="32"/>
        </w:rPr>
        <w:t>　在被告人最后陈述后，审判长宣布休庭，合议庭进行评议，根据已经查明的事实、证据和有关的法律规定，分别作出以下判决：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（一）案件事实清楚，证据确实、充分，依据法律认定被告人有罪的，应当作出有罪判决；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（二）依据法律认定被告人无罪的，应当作出无罪判决；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（三）证据不足，不能认定被告人有罪的，应当作出证据不足、指控的犯罪不能成立的无罪判决。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第二百零一条</w:t>
      </w:r>
      <w:r>
        <w:rPr>
          <w:rFonts w:hint="eastAsia" w:ascii="宋体" w:hAnsi="宋体" w:cs="Arial"/>
          <w:kern w:val="0"/>
          <w:szCs w:val="32"/>
        </w:rPr>
        <w:t>　对于认罪认罚案件，人民法院依法作出判决时，一般应当采纳人民检察院指控的罪名和量刑建议，但有下列情形的除外：</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（一）被告人的行为不构成犯罪或者不应当追究其刑事责任的；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（二）被告人违背意愿认罪认罚的；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（三）被告人否认指控的犯罪事实的；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（四）起诉指控的罪名与审理认定的罪名不一致的；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（五）其他可能影响公正审判的情形。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经审理认为量刑建议明显不当，或者被告人、辩护人对量刑建议提出异议的，人民检察院可以调整量刑建议。人民检察院不调整量刑建议或者调整量刑建议后仍然明显不当的，人民法院应当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第二百零二条</w:t>
      </w:r>
      <w:r>
        <w:rPr>
          <w:rFonts w:hint="eastAsia" w:ascii="宋体" w:hAnsi="宋体" w:cs="Arial"/>
          <w:kern w:val="0"/>
          <w:szCs w:val="32"/>
        </w:rPr>
        <w:t>　宣告判决，一律公开进行。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当庭宣告判决的，应当在五日以内将判决书送达当事人和提起公诉的人民检察院；定期宣告判决的，应当在宣告后立即将判决书送达当事人和提起公诉的人民检察院。判决书应当同时送达辩护人、诉讼代理人。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第二百零三条</w:t>
      </w:r>
      <w:r>
        <w:rPr>
          <w:rFonts w:hint="eastAsia" w:ascii="宋体" w:hAnsi="宋体" w:cs="Arial"/>
          <w:kern w:val="0"/>
          <w:szCs w:val="32"/>
        </w:rPr>
        <w:t>　判决书应当由审判人员和书记员署名，并且写明上诉的期限和上诉的法院。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第二百零四条</w:t>
      </w:r>
      <w:r>
        <w:rPr>
          <w:rFonts w:hint="eastAsia" w:ascii="宋体" w:hAnsi="宋体" w:cs="Arial"/>
          <w:kern w:val="0"/>
          <w:szCs w:val="32"/>
        </w:rPr>
        <w:t>　在法庭审判过程中，遇有下列情形之一，影响审判进行的，可以延期审理：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（一）需要通知新的证人到庭，调取新的物证，重新鉴定或者勘验的；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（二）检察人员发现提起公诉的案件需要补充侦查，提出建议的；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（三）由于申请回避而不能进行审判的。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第二百零五条</w:t>
      </w:r>
      <w:r>
        <w:rPr>
          <w:rFonts w:hint="eastAsia" w:ascii="宋体" w:hAnsi="宋体" w:cs="Arial"/>
          <w:kern w:val="0"/>
          <w:szCs w:val="32"/>
        </w:rPr>
        <w:t>　依照本</w:t>
      </w:r>
      <w:r>
        <w:rPr>
          <w:rFonts w:hint="eastAsia" w:ascii="宋体" w:hAnsi="宋体" w:eastAsia="仿宋_GB2312" w:cs="仿宋_GB2312"/>
          <w:kern w:val="0"/>
          <w:szCs w:val="32"/>
        </w:rPr>
        <w:t>法第二百零四条第二项的规定延期审理的案件，人民检察院应当在一个月以内补充侦查完毕。</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第二百零六条</w:t>
      </w:r>
      <w:r>
        <w:rPr>
          <w:rFonts w:hint="eastAsia" w:ascii="宋体" w:hAnsi="宋体" w:cs="Arial"/>
          <w:kern w:val="0"/>
          <w:szCs w:val="32"/>
        </w:rPr>
        <w:t>　在审判过程中，有下列情形之一，致使案件在较长时间内无法继续审理的，可以中止审理：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（一）被告人患有严重疾病，无法出庭的；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（二）被告人脱逃的；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（三）自诉人患有严重疾病，无法出庭，未委托诉讼代理人出庭的；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（四）由于不能抗拒的原因。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中止审理的原因消失后，应当恢复审理。中止审理的期间不计入审理期限。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第二百零七条</w:t>
      </w:r>
      <w:r>
        <w:rPr>
          <w:rFonts w:hint="eastAsia" w:ascii="宋体" w:hAnsi="宋体" w:cs="Arial"/>
          <w:kern w:val="0"/>
          <w:szCs w:val="32"/>
        </w:rPr>
        <w:t>　法庭审判的全部活动，应当由书记员写成笔录，经审判长审阅后，由审判长和书记员签名。</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法庭笔录中的证人证言部分，应当当庭宣读或者交给证人阅读。证人在承认没有错误后，应当签名或者盖章。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法庭笔录应当交给当事人阅读或者向他宣读。当事人认为记载有遗漏或者差错的，可以请求补充或者改正。当事人承认没有错误后，应当签名或者盖章。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第二百零八条</w:t>
      </w:r>
      <w:r>
        <w:rPr>
          <w:rFonts w:hint="eastAsia" w:ascii="宋体" w:hAnsi="宋体" w:cs="Arial"/>
          <w:kern w:val="0"/>
          <w:szCs w:val="32"/>
        </w:rPr>
        <w:t>　人民法院审理公诉案件，应当在受理后二个月以内宣判，至迟不得超过三个月。对于可能判处死刑的案件或者附带民事诉讼的案件，以及有本</w:t>
      </w:r>
      <w:r>
        <w:rPr>
          <w:rFonts w:hint="eastAsia" w:ascii="宋体" w:hAnsi="宋体" w:eastAsia="仿宋_GB2312" w:cs="仿宋_GB2312"/>
          <w:kern w:val="0"/>
          <w:szCs w:val="32"/>
        </w:rPr>
        <w:t>法第一百五十八条规</w:t>
      </w:r>
      <w:r>
        <w:rPr>
          <w:rFonts w:hint="eastAsia" w:ascii="宋体" w:hAnsi="宋体" w:cs="Arial"/>
          <w:kern w:val="0"/>
          <w:szCs w:val="32"/>
        </w:rPr>
        <w:t>定情形之一的，经上一级人民法院批准，可以延长三个月；因特殊情况还需要延长的，报请最高人民法院批准。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人民法院改变管辖的案件，从改变后的人民法院收到案件之日起计算审理期限。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人民检察院补充侦查的案件，补充侦查完毕移送人民法院后，人民法院重新计算审理期限。</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第二百零九条</w:t>
      </w:r>
      <w:r>
        <w:rPr>
          <w:rFonts w:hint="eastAsia" w:ascii="宋体" w:hAnsi="宋体" w:cs="Arial"/>
          <w:kern w:val="0"/>
          <w:szCs w:val="32"/>
        </w:rPr>
        <w:t>　人民检察院发现人民法院审理案件违反法律规定的诉讼程序，有权向人民法院提出纠正意见。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第二节　自诉案件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第二百一十条</w:t>
      </w:r>
      <w:r>
        <w:rPr>
          <w:rFonts w:hint="eastAsia" w:ascii="宋体" w:hAnsi="宋体" w:cs="Arial"/>
          <w:kern w:val="0"/>
          <w:szCs w:val="32"/>
        </w:rPr>
        <w:t>　自诉案件包括下列案件：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（一）告诉才处理的案件；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（二）被害人有证据证明的轻微刑事案件；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（三）被害人有证据证明对被告人侵犯自己人身、财产权利的行为应当依法追究刑事责任，而公安机关或者人民检察院不予追究被告人刑事责任的案件。</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第二百一十一条</w:t>
      </w:r>
      <w:r>
        <w:rPr>
          <w:rFonts w:hint="eastAsia" w:ascii="宋体" w:hAnsi="宋体" w:cs="Arial"/>
          <w:kern w:val="0"/>
          <w:szCs w:val="32"/>
        </w:rPr>
        <w:t>　人民法院对于自诉案件进行审查后，按照下列情形分别处理：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（一）犯罪事实清楚，有足够证据的案件，应当开庭审判；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（二）缺乏罪证的自诉案件，如果自诉人提不出补充证据，应当说服自诉人撤回自诉，或者裁定驳回。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自诉人经两次依法传唤，无正当理由拒不到庭的，或者未经法庭许可中途退庭的，按撤诉处理。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法</w:t>
      </w:r>
      <w:r>
        <w:rPr>
          <w:rFonts w:hint="eastAsia" w:ascii="宋体" w:hAnsi="宋体" w:eastAsia="仿宋_GB2312" w:cs="仿宋_GB2312"/>
          <w:kern w:val="0"/>
          <w:szCs w:val="32"/>
        </w:rPr>
        <w:t>庭审理过程中，审判人员对证据有疑问，需要调查核实的，适用本法第一百九十六条的规定。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第二百一十二条</w:t>
      </w:r>
      <w:r>
        <w:rPr>
          <w:rFonts w:hint="eastAsia" w:ascii="宋体" w:hAnsi="宋体" w:cs="Arial"/>
          <w:kern w:val="0"/>
          <w:szCs w:val="32"/>
        </w:rPr>
        <w:t>　人</w:t>
      </w:r>
      <w:r>
        <w:rPr>
          <w:rFonts w:hint="eastAsia" w:ascii="宋体" w:hAnsi="宋体" w:eastAsia="仿宋_GB2312" w:cs="仿宋_GB2312"/>
          <w:kern w:val="0"/>
          <w:szCs w:val="32"/>
        </w:rPr>
        <w:t>民法院对自诉案件，可以进行调解；自诉人在宣告判决前，可以同被告人自行和解或者撤回自诉。本法第二百一十条第三项规定的案件不适用调解。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人民法院审理自诉案件的期限，被告人被羁押的，适用本法第二百零八条第一款、第二款的规定；未被羁押的，应当在受理后六个月以内宣判。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第二百一十三条</w:t>
      </w:r>
      <w:r>
        <w:rPr>
          <w:rFonts w:hint="eastAsia" w:ascii="宋体" w:hAnsi="宋体" w:cs="Arial"/>
          <w:kern w:val="0"/>
          <w:szCs w:val="32"/>
        </w:rPr>
        <w:t>　自诉案件的被告人在诉讼过程中，可以对自诉人提起反诉。反诉适用自诉的规定。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第三节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第二百一十四条</w:t>
      </w:r>
      <w:r>
        <w:rPr>
          <w:rFonts w:hint="eastAsia" w:ascii="宋体" w:hAnsi="宋体" w:cs="Arial"/>
          <w:kern w:val="0"/>
          <w:szCs w:val="32"/>
        </w:rPr>
        <w:t>　基层人民法院管辖的案件，符合下列条件的，可以适用简易程序审判：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（一）案件事实清楚、证据充分的；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（二）被告人承认自己所犯罪行，对指控的犯罪事实没有异议的；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（三）被告人对适用简易程序没有异议的。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人民检察院在提起公诉的时候，可以建议人民法院适用简易程序。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第二百一十五条</w:t>
      </w:r>
      <w:r>
        <w:rPr>
          <w:rFonts w:hint="eastAsia" w:ascii="宋体" w:hAnsi="宋体" w:cs="Arial"/>
          <w:kern w:val="0"/>
          <w:szCs w:val="32"/>
        </w:rPr>
        <w:t>　有下列情形之一的，不适用简易程序：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（一）被告人是盲、聋、哑人，或者是尚未完全丧失辨认或者控制自己行为能力的精神病人的；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（二）有重大社会影响的；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（三）共同犯罪案件中部分被告人不认罪或者对适用简易程序有异议的；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（四）其他不宜适用简易程序审理的。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第二百一十六条</w:t>
      </w:r>
      <w:r>
        <w:rPr>
          <w:rFonts w:hint="eastAsia" w:ascii="宋体" w:hAnsi="宋体" w:cs="Arial"/>
          <w:kern w:val="0"/>
          <w:szCs w:val="32"/>
        </w:rPr>
        <w:t>　适用简易程序审理案件，对可能判处三年有期徒刑以下刑罚的，可以组成合议庭进行审判，也可以由审判员一人独任审判；对可能判处的有期徒刑超过三年的，应当组成合议庭进行审判。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适用简易程序审理公诉案件，人民检察院应当派员出席法庭。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第二百一十七条</w:t>
      </w:r>
      <w:r>
        <w:rPr>
          <w:rFonts w:hint="eastAsia" w:ascii="宋体" w:hAnsi="宋体" w:cs="Arial"/>
          <w:kern w:val="0"/>
          <w:szCs w:val="32"/>
        </w:rPr>
        <w:t>　适用简易程序审理案件，审判人员应当询问被告人对指控的犯罪事实的意见，告知被告人适用简易程序审理的法律规定，确认被告人是否同意适用简易程序审理。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第二百一十八条</w:t>
      </w:r>
      <w:r>
        <w:rPr>
          <w:rFonts w:hint="eastAsia" w:ascii="宋体" w:hAnsi="宋体" w:cs="Arial"/>
          <w:kern w:val="0"/>
          <w:szCs w:val="32"/>
        </w:rPr>
        <w:t>　适用简易程序审理案件，经审判人员许可，被告人及其辩护人可以同公诉人、自诉人及其诉讼代理人互相辩论。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第二百一十九条</w:t>
      </w:r>
      <w:r>
        <w:rPr>
          <w:rFonts w:hint="eastAsia" w:ascii="宋体" w:hAnsi="宋体" w:cs="Arial"/>
          <w:kern w:val="0"/>
          <w:szCs w:val="32"/>
        </w:rPr>
        <w:t>　适用简易</w:t>
      </w:r>
      <w:r>
        <w:rPr>
          <w:rFonts w:hint="eastAsia" w:ascii="宋体" w:hAnsi="宋体" w:eastAsia="仿宋_GB2312" w:cs="仿宋_GB2312"/>
          <w:kern w:val="0"/>
          <w:szCs w:val="32"/>
        </w:rPr>
        <w:t>程序审理案件，不受本章第一节关于送达期限、讯问被告人、询问证人、鉴定人、出示证据、法庭辩论程序规定的限制。但在判决宣告前应当听取被告人的最后陈述意见。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第二百二十条</w:t>
      </w:r>
      <w:r>
        <w:rPr>
          <w:rFonts w:hint="eastAsia" w:ascii="宋体" w:hAnsi="宋体" w:cs="Arial"/>
          <w:kern w:val="0"/>
          <w:szCs w:val="32"/>
        </w:rPr>
        <w:t>　用简易程序审理案件，人民法院应当在受理后二十日以内审结；对可能判处的有期徒刑超过三年的，可以延长至一个半月。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第二百二十一条</w:t>
      </w:r>
      <w:r>
        <w:rPr>
          <w:rFonts w:hint="eastAsia" w:ascii="宋体" w:hAnsi="宋体" w:cs="Arial"/>
          <w:kern w:val="0"/>
          <w:szCs w:val="32"/>
        </w:rPr>
        <w:t>　人民法院在审理过程中，发现不宜适用简易程序的，应当按照本章</w:t>
      </w:r>
      <w:r>
        <w:rPr>
          <w:rFonts w:hint="eastAsia" w:ascii="宋体" w:hAnsi="宋体" w:eastAsia="仿宋_GB2312" w:cs="仿宋_GB2312"/>
          <w:kern w:val="0"/>
          <w:szCs w:val="32"/>
        </w:rPr>
        <w:t>第一节或者第二节的规定重新审理。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第四节　速裁程序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第二百二十二条</w:t>
      </w:r>
      <w:r>
        <w:rPr>
          <w:rFonts w:hint="eastAsia" w:ascii="宋体" w:hAnsi="宋体" w:cs="Arial"/>
          <w:kern w:val="0"/>
          <w:szCs w:val="32"/>
        </w:rPr>
        <w:t>　基层人民法院管辖的可能判处三年有期徒刑以下刑罚的案件，案件事实清楚，证据确实、充分，被告人认罪认罚并同意适用速裁程序的，可以适用速裁程序，由审判员一人独任审判。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人民检察院在提起公诉的时候，可以建议人民法院适用速裁程序。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第二百二十三条</w:t>
      </w:r>
      <w:r>
        <w:rPr>
          <w:rFonts w:hint="eastAsia" w:ascii="宋体" w:hAnsi="宋体" w:cs="Arial"/>
          <w:kern w:val="0"/>
          <w:szCs w:val="32"/>
        </w:rPr>
        <w:t>　有下列情形之一的，不适用速裁程序：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（一）被告人是盲、聋、哑人，或者是尚未完全丧失辨认或者控制自己行为能力的精神病人的；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（二）被告人是未成年人的；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（三）案件有重大社会影响的；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（四）共同犯罪案件中部分被告人对指控的犯罪事实、罪名、量刑建议或者适用速裁程序有异议的；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（五）被告人与被害人或者其法定代理人没有就附带民事诉讼赔偿等事项达成调解或者和解协议的；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（六）其他不宜适用速裁程序审理的。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第二百二十四条</w:t>
      </w:r>
      <w:r>
        <w:rPr>
          <w:rFonts w:hint="eastAsia" w:ascii="宋体" w:hAnsi="宋体" w:cs="Arial"/>
          <w:kern w:val="0"/>
          <w:szCs w:val="32"/>
        </w:rPr>
        <w:t>　适用速</w:t>
      </w:r>
      <w:r>
        <w:rPr>
          <w:rFonts w:hint="eastAsia" w:ascii="宋体" w:hAnsi="宋体" w:eastAsia="仿宋_GB2312" w:cs="仿宋_GB2312"/>
          <w:kern w:val="0"/>
          <w:szCs w:val="32"/>
        </w:rPr>
        <w:t>裁程序审理案件，不受本章第一节规定的送达期限的限制，一般不进行法庭调查、法庭辩论，但在判决宣告前应当听取辩护人的意见和被告人的最后陈述意见。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适用速裁程序审理案件，应当当庭宣判。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第二百二十五条</w:t>
      </w:r>
      <w:r>
        <w:rPr>
          <w:rFonts w:hint="eastAsia" w:ascii="宋体" w:hAnsi="宋体" w:cs="Arial"/>
          <w:kern w:val="0"/>
          <w:szCs w:val="32"/>
        </w:rPr>
        <w:t>　适用速裁程序审理案件，人民法院应当在受理后十日以内审结；对可能判处的有期徒刑超过一年的，可以延长至十五日。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第二百二十六条</w:t>
      </w:r>
      <w:r>
        <w:rPr>
          <w:rFonts w:hint="eastAsia" w:ascii="宋体" w:hAnsi="宋体" w:cs="Arial"/>
          <w:kern w:val="0"/>
          <w:szCs w:val="32"/>
        </w:rPr>
        <w:t>　人民法院在审理过程中，发现有被告人的行为不构成犯罪或者不应当追究其刑事责任、被告人违背意愿认罪认罚、被告人否认指控的犯罪事实或者其他不宜适用速裁程序审理的情形的，应当按照</w:t>
      </w:r>
      <w:r>
        <w:rPr>
          <w:rFonts w:hint="eastAsia" w:ascii="宋体" w:hAnsi="宋体" w:eastAsia="仿宋_GB2312" w:cs="仿宋_GB2312"/>
          <w:kern w:val="0"/>
          <w:szCs w:val="32"/>
        </w:rPr>
        <w:t>本章第一节或者第三节的规定重新审理。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第二百二十七条</w:t>
      </w:r>
      <w:r>
        <w:rPr>
          <w:rFonts w:hint="eastAsia" w:ascii="宋体" w:hAnsi="宋体" w:cs="Arial"/>
          <w:kern w:val="0"/>
          <w:szCs w:val="32"/>
        </w:rPr>
        <w:t>　被告人</w:t>
      </w:r>
      <w:r>
        <w:rPr>
          <w:rFonts w:hint="eastAsia" w:ascii="宋体" w:hAnsi="宋体" w:eastAsia="仿宋_GB2312" w:cs="仿宋_GB2312"/>
          <w:kern w:val="0"/>
          <w:szCs w:val="32"/>
        </w:rPr>
        <w:t>、自诉人和他们的法定代理人，不服地方各级人民法院第一审的判决、裁定，有权用书状或者口头向上一级人民法院上诉。被告人的辩护人和近亲属，经被告人同意，可以提出上诉。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附带民事诉讼的当事人和他们的法定代理人，可以对地方各级人民法院第一审的判决、裁定中的附带民事诉讼部分，提出上诉。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对被告人的上诉权，不得以任何借口加以剥夺。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第二百二十八条</w:t>
      </w:r>
      <w:r>
        <w:rPr>
          <w:rFonts w:hint="eastAsia" w:ascii="宋体" w:hAnsi="宋体" w:cs="Arial"/>
          <w:kern w:val="0"/>
          <w:szCs w:val="32"/>
        </w:rPr>
        <w:t>　地方各级人</w:t>
      </w:r>
      <w:r>
        <w:rPr>
          <w:rFonts w:hint="eastAsia" w:ascii="宋体" w:hAnsi="宋体" w:eastAsia="仿宋_GB2312" w:cs="仿宋_GB2312"/>
          <w:kern w:val="0"/>
          <w:szCs w:val="32"/>
        </w:rPr>
        <w:t>民检察院认为本级人民法院第一审的判决、裁定确有错误的时候，应当向上一级人民法院提出抗诉。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第二百二十九条</w:t>
      </w:r>
      <w:r>
        <w:rPr>
          <w:rFonts w:hint="eastAsia" w:ascii="宋体" w:hAnsi="宋体" w:cs="Arial"/>
          <w:kern w:val="0"/>
          <w:szCs w:val="32"/>
        </w:rPr>
        <w:t>　被害</w:t>
      </w:r>
      <w:r>
        <w:rPr>
          <w:rFonts w:hint="eastAsia" w:ascii="宋体" w:hAnsi="宋体" w:eastAsia="仿宋_GB2312" w:cs="仿宋_GB2312"/>
          <w:kern w:val="0"/>
          <w:szCs w:val="32"/>
        </w:rPr>
        <w:t>人及其法定代理人不服地方各级人民法院第一审的判决的，自收到判决书后五日以内，有权请求人民检察院提出抗诉。人民检察院自收到被害人及其法定代理人的请求后五日以内，应当作出是否抗诉的决定并且答复请求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第二百三十条</w:t>
      </w:r>
      <w:r>
        <w:rPr>
          <w:rFonts w:hint="eastAsia" w:ascii="宋体" w:hAnsi="宋体" w:cs="Arial"/>
          <w:kern w:val="0"/>
          <w:szCs w:val="32"/>
        </w:rPr>
        <w:t>　不服判决的上诉和抗诉的期限为十日，不服裁定的上诉和抗诉的期限为五日，从接到判</w:t>
      </w:r>
      <w:r>
        <w:rPr>
          <w:rFonts w:hint="eastAsia" w:ascii="宋体" w:hAnsi="宋体" w:eastAsia="仿宋_GB2312" w:cs="仿宋_GB2312"/>
          <w:kern w:val="0"/>
          <w:szCs w:val="32"/>
        </w:rPr>
        <w:t>决书、裁定书的第二日起算。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第二百三十一条</w:t>
      </w:r>
      <w:r>
        <w:rPr>
          <w:rFonts w:hint="eastAsia" w:ascii="宋体" w:hAnsi="宋体" w:cs="Arial"/>
          <w:kern w:val="0"/>
          <w:szCs w:val="32"/>
        </w:rPr>
        <w:t>　被告人、自诉人、附带民事诉讼的原告人和被告人通过原审人民法院提出上诉的，原审人民法院应当在三日以内将上诉状连同案卷、证据移送上一级人民法院，同时将上诉状副本送交同级人民检察院和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被告人、自诉人、附</w:t>
      </w:r>
      <w:r>
        <w:rPr>
          <w:rFonts w:hint="eastAsia" w:ascii="宋体" w:hAnsi="宋体" w:eastAsia="仿宋_GB2312" w:cs="仿宋_GB2312"/>
          <w:kern w:val="0"/>
          <w:szCs w:val="32"/>
        </w:rPr>
        <w:t>带民事诉讼的原告人和被告人直接向第二审人民法院提出上诉的，第二审人民法院应当在三日以内将上诉状交原审人民法院送交同级人民检察院和对方当事人。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第二百三十二条</w:t>
      </w:r>
      <w:r>
        <w:rPr>
          <w:rFonts w:hint="eastAsia" w:ascii="宋体" w:hAnsi="宋体" w:cs="Arial"/>
          <w:kern w:val="0"/>
          <w:szCs w:val="32"/>
        </w:rPr>
        <w:t>　地</w:t>
      </w:r>
      <w:r>
        <w:rPr>
          <w:rFonts w:hint="eastAsia" w:ascii="宋体" w:hAnsi="宋体" w:eastAsia="仿宋_GB2312" w:cs="仿宋_GB2312"/>
          <w:kern w:val="0"/>
          <w:szCs w:val="32"/>
        </w:rPr>
        <w:t>方各级人民检察院对同级人民法院第一审判决、裁定的抗诉，应当通过原审人民法院提出抗诉书，并且将抗诉书抄送上一级人民检察院。原审人民法院应当将抗诉书连同案卷、证据移送上一级人民法院，并且将抗诉书副本送交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上级人民检察院如果认为抗诉不当，可以向同级人民法院撤回抗诉，并且通知下级人民检察院。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第二百三十三条</w:t>
      </w:r>
      <w:r>
        <w:rPr>
          <w:rFonts w:hint="eastAsia" w:ascii="宋体" w:hAnsi="宋体" w:eastAsia="仿宋_GB2312" w:cs="仿宋_GB2312"/>
          <w:kern w:val="0"/>
          <w:szCs w:val="32"/>
        </w:rPr>
        <w:t>　第二审人民法院应当就第一审判决认定的事实和适用法律进行全面审查，不受上诉或者抗诉范围的限制。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共同犯罪的案件只有部分被告人上诉的，应当对全案进行审查，一并处理。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第二百三十四条</w:t>
      </w:r>
      <w:r>
        <w:rPr>
          <w:rFonts w:hint="eastAsia" w:ascii="宋体" w:hAnsi="宋体" w:eastAsia="仿宋_GB2312" w:cs="仿宋_GB2312"/>
          <w:kern w:val="0"/>
          <w:szCs w:val="32"/>
        </w:rPr>
        <w:t>　第二审人民法院对于下列案件，应当组成合议庭，开庭审理：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（一）被告人、自诉人及其法定代理人对第一审认定的事实、证据提出异议，可能影响定罪量刑的上诉案件；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（二）被告人被判处死刑的上诉案件；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（三）人民检察院抗诉的案件；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（四）其他应当开庭审理的案件。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第二审人民法院决定不开庭审理的，应当讯问被告人，听取其他当事人、辩护人、诉讼代理人的意见。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第二审人民法院开庭审理上诉、抗诉案件，可以到案件发生地或者原审人民法院所在地进行。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第二百三十五条</w:t>
      </w:r>
      <w:r>
        <w:rPr>
          <w:rFonts w:hint="eastAsia" w:ascii="宋体" w:hAnsi="宋体" w:cs="Arial"/>
          <w:kern w:val="0"/>
          <w:szCs w:val="32"/>
        </w:rPr>
        <w:t>　人</w:t>
      </w:r>
      <w:r>
        <w:rPr>
          <w:rFonts w:hint="eastAsia" w:ascii="宋体" w:hAnsi="宋体" w:eastAsia="仿宋_GB2312" w:cs="仿宋_GB2312"/>
          <w:kern w:val="0"/>
          <w:szCs w:val="32"/>
        </w:rPr>
        <w:t>民检察院提出抗诉的案件或者第二审人民法院开庭审理的公诉案件，同级人民检察院都应当派员出席法庭。第二审人民法院应当在决定开庭审理后及时通知人民检察院查阅案卷。人民检察院应当在一个月以内查阅完毕。人民检察院查阅案卷的时间不计入审理期限。</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第二百三十六条</w:t>
      </w:r>
      <w:r>
        <w:rPr>
          <w:rFonts w:hint="eastAsia" w:ascii="宋体" w:hAnsi="宋体" w:eastAsia="仿宋_GB2312" w:cs="仿宋_GB2312"/>
          <w:kern w:val="0"/>
          <w:szCs w:val="32"/>
        </w:rPr>
        <w:t>　第二审人民法院对不服第一审判决的上诉、抗诉案件，经过审理后，应当按照下列情形分别处理：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（一）原判决认定事实和适用法律正确、量刑适当的，应当裁定驳回上诉或者抗诉，维持原判；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（二）原判决认定事实没有错误，但适用法律有错误，或者量刑不当的，应当改判；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（三）原判决事实不清楚或者证据不足的，可以在查清事实后改判；也可以裁定撤销原判，发回原审人民法院重新审判。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原审人民法院对于依照前款第三项规定发回重新审判的案件作出判决后，被告人提出上诉或者人民检察院提出抗诉的，第二审人民法院应当依法作出判决或者裁定，不得再发回原审人民法院重新审判。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第二百三十七条</w:t>
      </w:r>
      <w:r>
        <w:rPr>
          <w:rFonts w:hint="eastAsia" w:ascii="宋体" w:hAnsi="宋体" w:eastAsia="仿宋_GB2312" w:cs="仿宋_GB2312"/>
          <w:kern w:val="0"/>
          <w:szCs w:val="32"/>
        </w:rPr>
        <w:t>　第二审人民法院审理被告人或者他的法定代理人、辩护人、近亲属上诉的案件，不得加重被告人的刑罚。第二审人民法院发回原审人民法院重新审判的案件，除有新的犯罪事实，人民检察院补充起诉的以外，原审人民法院也不得加重被告人的刑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人民检察院提出抗诉或者自诉人提出上诉的，不受前款规定的限制。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第二百三十八条</w:t>
      </w:r>
      <w:r>
        <w:rPr>
          <w:rFonts w:hint="eastAsia" w:ascii="宋体" w:hAnsi="宋体" w:eastAsia="仿宋_GB2312" w:cs="仿宋_GB2312"/>
          <w:kern w:val="0"/>
          <w:szCs w:val="32"/>
        </w:rPr>
        <w:t>　第二审人民法院发现第一审人民法院的审理有下列违反法律规定的诉讼程序的情形之一的，应当裁定撤销原判，发回原审人民法院重新审判：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（一）违反本法有关公开审判的规定的；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（二）违反回避制度的；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（三）剥夺或者限制了当事人的法定诉讼权利，可能影响公正审判的；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（四）审判组织的组成不合法的；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（五）其他违反法律规定的诉讼程序，可能影响公正审判的。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第二百三十九条</w:t>
      </w:r>
      <w:r>
        <w:rPr>
          <w:rFonts w:hint="eastAsia" w:ascii="宋体" w:hAnsi="宋体" w:cs="Arial"/>
          <w:kern w:val="0"/>
          <w:szCs w:val="32"/>
        </w:rPr>
        <w:t>　原审人民法院对于发回重新审判的案件，应当另行组成合议庭，依</w:t>
      </w:r>
      <w:r>
        <w:rPr>
          <w:rFonts w:hint="eastAsia" w:ascii="宋体" w:hAnsi="宋体" w:eastAsia="仿宋_GB2312" w:cs="仿宋_GB2312"/>
          <w:kern w:val="0"/>
          <w:szCs w:val="32"/>
        </w:rPr>
        <w:t>照第一审程序进行审判。对于重新审判后的判决，依照本法第二百二十七条、第二百二十八条、第二百二十九条的规定可以上诉、抗诉。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第二百四十条</w:t>
      </w:r>
      <w:r>
        <w:rPr>
          <w:rFonts w:hint="eastAsia" w:ascii="宋体" w:hAnsi="宋体" w:eastAsia="仿宋_GB2312" w:cs="仿宋_GB2312"/>
          <w:kern w:val="0"/>
          <w:szCs w:val="32"/>
        </w:rPr>
        <w:t>　第二审人民法院对不服第一审裁定的上诉或者抗诉，经过审查后，应当参照本法第二百三十六条、第二百三十八条和第二百三十九条的规定，分别情形用裁定驳回上诉、抗诉，或者撤销、变更原裁定。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第二百四十一条</w:t>
      </w:r>
      <w:r>
        <w:rPr>
          <w:rFonts w:hint="eastAsia" w:ascii="宋体" w:hAnsi="宋体" w:eastAsia="仿宋_GB2312" w:cs="仿宋_GB2312"/>
          <w:kern w:val="0"/>
          <w:szCs w:val="32"/>
        </w:rPr>
        <w:t>　第二审人民法院发回原审人民法院重新审判的案件，原审人民法院从收到发回的案件之日起，重新计算审理期限。</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第二百四十二条</w:t>
      </w:r>
      <w:r>
        <w:rPr>
          <w:rFonts w:hint="eastAsia" w:ascii="宋体" w:hAnsi="宋体" w:cs="Arial"/>
          <w:kern w:val="0"/>
          <w:szCs w:val="32"/>
        </w:rPr>
        <w:t>　</w:t>
      </w:r>
      <w:r>
        <w:rPr>
          <w:rFonts w:hint="eastAsia" w:ascii="宋体" w:hAnsi="宋体" w:eastAsia="仿宋_GB2312" w:cs="仿宋_GB2312"/>
          <w:kern w:val="0"/>
          <w:szCs w:val="32"/>
        </w:rPr>
        <w:t>第二审人民法院审判上诉或者抗诉案件的程序，除本章已有规定的以外，参照第一审程序的规定进行。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第二百四十三条</w:t>
      </w:r>
      <w:r>
        <w:rPr>
          <w:rFonts w:hint="eastAsia" w:ascii="宋体" w:hAnsi="宋体" w:cs="Arial"/>
          <w:kern w:val="0"/>
          <w:szCs w:val="32"/>
        </w:rPr>
        <w:t>　</w:t>
      </w:r>
      <w:r>
        <w:rPr>
          <w:rFonts w:hint="eastAsia" w:ascii="宋体" w:hAnsi="宋体" w:eastAsia="仿宋_GB2312" w:cs="仿宋_GB2312"/>
          <w:kern w:val="0"/>
          <w:szCs w:val="32"/>
        </w:rPr>
        <w:t>第二审人民法院受理上诉、抗诉案件，应当在二个月以内审结。对于可能判处死刑的案件或者附带民事诉讼的案件，以及有本法第一百五十八条规</w:t>
      </w:r>
      <w:r>
        <w:rPr>
          <w:rFonts w:hint="eastAsia" w:ascii="宋体" w:hAnsi="宋体" w:cs="Arial"/>
          <w:kern w:val="0"/>
          <w:szCs w:val="32"/>
        </w:rPr>
        <w:t>定情形之一的，经省、自治区、直辖市高级人民法院批准或者决定，可以延长二个月；因特殊情况还需要延长的，报请最高人民法院批准。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最高人民法院受理上诉、抗诉案件的审理期限，由最高人民法院决定。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第二百四十四条</w:t>
      </w:r>
      <w:r>
        <w:rPr>
          <w:rFonts w:hint="eastAsia" w:ascii="宋体" w:hAnsi="宋体" w:cs="Arial"/>
          <w:kern w:val="0"/>
          <w:szCs w:val="32"/>
        </w:rPr>
        <w:t>　</w:t>
      </w:r>
      <w:r>
        <w:rPr>
          <w:rFonts w:hint="eastAsia" w:ascii="宋体" w:hAnsi="宋体" w:eastAsia="仿宋_GB2312" w:cs="仿宋_GB2312"/>
          <w:kern w:val="0"/>
          <w:szCs w:val="32"/>
        </w:rPr>
        <w:t>第二审的判决、裁定和最高人民法院的判决、裁定，都是终审的判决、裁定。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第二百四十五条</w:t>
      </w:r>
      <w:r>
        <w:rPr>
          <w:rFonts w:hint="eastAsia" w:ascii="宋体" w:hAnsi="宋体" w:cs="Arial"/>
          <w:kern w:val="0"/>
          <w:szCs w:val="32"/>
        </w:rPr>
        <w:t>　公安机关、人民检察院和人民法院对查封、扣押、冻结的犯罪嫌疑人、被告人的财物及其孳息，应当妥善保管，以供核查，并制作清单，随案移送。任何单位和个人不得挪用或者自行处理。对被害人的合法财产，应当及时返还。对违禁品或者不宜长期保存的物品，应当依照国家有关规定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对作为证据使用的实物应当随案移送，对不宜移送的，应当将其清单、照片或者其他证明文件随案移送。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人民法院作出的判决，应当对查封、扣押、冻结的财物及其孳息作出处理。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人民法院作出的判决生效以后，有关机关应当根据判决对查封、扣押、冻结的财物及其孳息进行处理。对查封、扣押、冻结的赃款赃物及其孳息，除依法返还被害人的以外，一律上缴国库。</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司法工作人员贪污、挪用或者私自处理查封、扣押、冻结的财物及其孳息的，依法追究刑事责任；不构成犯罪的，给予处分。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w:t>
      </w:r>
      <w:r>
        <w:rPr>
          <w:rFonts w:hint="eastAsia" w:ascii="宋体" w:hAnsi="宋体" w:eastAsia="黑体" w:cs="黑体"/>
          <w:kern w:val="0"/>
          <w:szCs w:val="32"/>
          <w:lang w:eastAsia="zh-CN"/>
        </w:rPr>
        <w:t>　</w:t>
      </w:r>
      <w:r>
        <w:rPr>
          <w:rFonts w:hint="eastAsia" w:ascii="宋体" w:hAnsi="宋体" w:eastAsia="黑体" w:cs="黑体"/>
          <w:kern w:val="0"/>
          <w:szCs w:val="32"/>
        </w:rPr>
        <w:t>死刑复核程序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第二百四十六条</w:t>
      </w:r>
      <w:r>
        <w:rPr>
          <w:rFonts w:hint="eastAsia" w:ascii="宋体" w:hAnsi="宋体" w:cs="Arial"/>
          <w:kern w:val="0"/>
          <w:szCs w:val="32"/>
        </w:rPr>
        <w:t>　死刑由最高人民法院核准。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第二百四十七条</w:t>
      </w:r>
      <w:r>
        <w:rPr>
          <w:rFonts w:hint="eastAsia" w:ascii="宋体" w:hAnsi="宋体" w:cs="Arial"/>
          <w:kern w:val="0"/>
          <w:szCs w:val="32"/>
        </w:rPr>
        <w:t>　中</w:t>
      </w:r>
      <w:r>
        <w:rPr>
          <w:rFonts w:hint="eastAsia" w:ascii="宋体" w:hAnsi="宋体" w:eastAsia="仿宋_GB2312" w:cs="仿宋_GB2312"/>
          <w:kern w:val="0"/>
          <w:szCs w:val="32"/>
        </w:rPr>
        <w:t>级人民法院判处死刑的第一审案件，被告人不上诉的，应当由高级人民法院复核后，报请最高人民法院核准。高级人民法院不同意判处死刑的，可以提审或者发回重新审判。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高级人民法院判处死刑的第一审案件被告人不上诉的，和判处死刑的第二审案件，都应当报请最高人民法院核准。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第二百四十八条</w:t>
      </w:r>
      <w:r>
        <w:rPr>
          <w:rFonts w:hint="eastAsia" w:ascii="宋体" w:hAnsi="宋体" w:cs="Arial"/>
          <w:kern w:val="0"/>
          <w:szCs w:val="32"/>
        </w:rPr>
        <w:t>　中级人民法院判处死刑缓期二年执行的案件，由高级人民法院核准。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第二百四十九条</w:t>
      </w:r>
      <w:r>
        <w:rPr>
          <w:rFonts w:hint="eastAsia" w:ascii="宋体" w:hAnsi="宋体" w:cs="Arial"/>
          <w:kern w:val="0"/>
          <w:szCs w:val="32"/>
        </w:rPr>
        <w:t>　最高人民法院复核死刑案件，高级人民法院复核死刑缓期执行的案件，应当由审判员三人组成合议庭进行。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第二百五十条</w:t>
      </w:r>
      <w:r>
        <w:rPr>
          <w:rFonts w:hint="eastAsia" w:ascii="宋体" w:hAnsi="宋体" w:cs="Arial"/>
          <w:kern w:val="0"/>
          <w:szCs w:val="32"/>
        </w:rPr>
        <w:t>　最高人民法院复核死刑案件，应当作出核准或者不核准死刑的裁定。对于不核准死刑的，最高人民法院可以发回重新审判或者予以改判。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第二百五十一条</w:t>
      </w:r>
      <w:r>
        <w:rPr>
          <w:rFonts w:hint="eastAsia" w:ascii="宋体" w:hAnsi="宋体" w:cs="Arial"/>
          <w:kern w:val="0"/>
          <w:szCs w:val="32"/>
        </w:rPr>
        <w:t>　最高人民法院复核死刑案件，应当讯问被告人，辩护律师提出要求的，应当听取辩护律师的意见。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在复核死刑案件过程中，最高人民检察院可以向最高人民法院提出意见。最高人民法院应当将死刑复核结果通报最高人民检察院。</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第二百五十二条</w:t>
      </w:r>
      <w:r>
        <w:rPr>
          <w:rFonts w:hint="eastAsia" w:ascii="宋体" w:hAnsi="宋体" w:cs="Arial"/>
          <w:kern w:val="0"/>
          <w:szCs w:val="32"/>
        </w:rPr>
        <w:t>　当事人及其法定代理人、近亲属，对已经发生法律效力的判决、裁定，可以向人民法院或者人民检察院提出申诉，但是不能停止判决、裁定的执行。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第二百五十三条</w:t>
      </w:r>
      <w:r>
        <w:rPr>
          <w:rFonts w:hint="eastAsia" w:ascii="宋体" w:hAnsi="宋体" w:cs="Arial"/>
          <w:kern w:val="0"/>
          <w:szCs w:val="32"/>
        </w:rPr>
        <w:t>　当事人及其法定代理人、近亲属的申诉符合下列情形之一的，人民法院应当重新审判：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（一）有新的证据证明原判决、裁定认定的事实确有错误，可能影响定罪量刑的；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（二）据以定罪量刑的证据不确实、不充分、依法应当予以排除，或者证明案件事实的主要证据之间存在矛盾的；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（三）原判决、裁定适用法律确有错误的；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（四）违反法律规定的诉讼程序，可能影响公正审判的；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（五）审判人员在审理该案件的时候，有贪污受贿，徇私舞弊，枉法裁判行为的。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第二百五十四条</w:t>
      </w:r>
      <w:r>
        <w:rPr>
          <w:rFonts w:hint="eastAsia" w:ascii="宋体" w:hAnsi="宋体" w:cs="Arial"/>
          <w:kern w:val="0"/>
          <w:szCs w:val="32"/>
        </w:rPr>
        <w:t>　各级人民法院院长对本院已经发生法律效力的判决和裁定，如果发现在认定事实上或者在适用法律上确有错误，必须提交审判委员会处理。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最高人民法院对各级人民法院已经发生法律效力的判决和裁定，上级人民法院对下级人民法院已经发生法律效力的判决和裁定，如果发现确有错误，有权提审或者指令下级人民法院再审。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Arial"/>
          <w:kern w:val="0"/>
          <w:szCs w:val="32"/>
          <w:lang w:eastAsia="zh-CN"/>
        </w:rPr>
      </w:pPr>
      <w:r>
        <w:rPr>
          <w:rFonts w:hint="eastAsia" w:ascii="宋体" w:hAnsi="宋体" w:cs="Arial"/>
          <w:kern w:val="0"/>
          <w:szCs w:val="32"/>
          <w:lang w:eastAsia="zh-CN"/>
        </w:rPr>
        <w:t>　　</w:t>
      </w:r>
      <w:r>
        <w:rPr>
          <w:rFonts w:hint="eastAsia" w:ascii="宋体" w:hAnsi="宋体" w:cs="Arial"/>
          <w:kern w:val="0"/>
          <w:szCs w:val="32"/>
        </w:rPr>
        <w:t>最高人民检察院对各级人民法院已经发生法律效力的判决和裁定，上级人民检察院对下级人民法院已经发生法律效力的判决和裁定，如果发现确有错误，有权按照审判监督程序向同级人民法院提出抗诉。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人民检察院抗诉的案件，接受抗诉的人民法院应当组成合议庭重新审理，对于原判决事实不清楚或者证据不足的，可以指令下级人民法院再审。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第二百五十五条</w:t>
      </w:r>
      <w:r>
        <w:rPr>
          <w:rFonts w:hint="eastAsia" w:ascii="宋体" w:hAnsi="宋体" w:cs="Arial"/>
          <w:kern w:val="0"/>
          <w:szCs w:val="32"/>
        </w:rPr>
        <w:t>　上级人民法院指令下级人民法院再审的，应当指令原审人民法院以外的下级人民法院审理；由原审人民法院审理更为适宜的，也可以指令原审人民法院审理。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第二百五十六条</w:t>
      </w:r>
      <w:r>
        <w:rPr>
          <w:rFonts w:hint="eastAsia" w:ascii="宋体" w:hAnsi="宋体" w:cs="Arial"/>
          <w:kern w:val="0"/>
          <w:szCs w:val="32"/>
        </w:rPr>
        <w:t>　人民法院按照审判监督程序重新审判的案件，由</w:t>
      </w:r>
      <w:r>
        <w:rPr>
          <w:rFonts w:hint="eastAsia" w:ascii="宋体" w:hAnsi="宋体" w:eastAsia="仿宋_GB2312" w:cs="仿宋_GB2312"/>
          <w:kern w:val="0"/>
          <w:szCs w:val="32"/>
        </w:rPr>
        <w:t>原审人民法院审理的，应当另行组成合议庭进行。如果原来是第一审案件，应当依照第一审程序进行审判，所作的判决、裁定，可以上诉、抗诉；如果原来是第二审案件，或者是上级人民法院提审的案件，应当依照第二审程序进行审判，所作的判决、裁定，是终审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人民法院开庭审理的再审案件，同级人民检察院应当派员出席法庭。</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第二百五十七条</w:t>
      </w:r>
      <w:r>
        <w:rPr>
          <w:rFonts w:hint="eastAsia" w:ascii="宋体" w:hAnsi="宋体" w:cs="Arial"/>
          <w:kern w:val="0"/>
          <w:szCs w:val="32"/>
        </w:rPr>
        <w:t>　人民法院决定再审的案件，需要对被告人采取强制措施的，由人民法院依法决定；人民检察院提出抗诉的再审案件，需要对被告人采取强制措施的，由人民检察院依法决定。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人民法院按照审判监督程序审判的案件，可以决定中止原判决、裁定的执行。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第二百五十八条</w:t>
      </w:r>
      <w:r>
        <w:rPr>
          <w:rFonts w:hint="eastAsia" w:ascii="宋体" w:hAnsi="宋体" w:cs="Arial"/>
          <w:kern w:val="0"/>
          <w:szCs w:val="32"/>
        </w:rPr>
        <w:t>　人民法院按照审判监督程序重新审判的案件，应当在作出提审、再审决定之日起三个月以内审结，需要延长期限的，不得超过六个月。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接受抗诉的人民法院按照审判监督程序审判抗诉的案件，审理期限适用前款规定；对需要指令下级人民法院再审的，应当自接受抗诉之日起一个月以内作出决定，下级人民法院审理案件的期限适用前款规定。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第四编　执行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第二百五十九条</w:t>
      </w:r>
      <w:r>
        <w:rPr>
          <w:rFonts w:hint="eastAsia" w:ascii="宋体" w:hAnsi="宋体" w:cs="Arial"/>
          <w:kern w:val="0"/>
          <w:szCs w:val="32"/>
        </w:rPr>
        <w:t>　判决和裁定在发生法律效力后执行。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下列判决和裁定是发生法律效力的判决和裁定：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（一）已过法定期限没有上诉、抗诉的判决和裁定；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（二）终审的判决和裁定；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（三）最高人民法院核准的死刑的判决和高级人民法院核准的死刑</w:t>
      </w:r>
      <w:r>
        <w:rPr>
          <w:rFonts w:hint="eastAsia" w:ascii="宋体" w:hAnsi="宋体" w:eastAsia="仿宋_GB2312" w:cs="仿宋_GB2312"/>
          <w:kern w:val="0"/>
          <w:szCs w:val="32"/>
        </w:rPr>
        <w:t>缓期二年执行的判决。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黑体" w:hAnsi="黑体" w:eastAsia="黑体" w:cs="黑体"/>
          <w:kern w:val="0"/>
          <w:szCs w:val="32"/>
        </w:rPr>
        <w:t>第二百六十条</w:t>
      </w:r>
      <w:r>
        <w:rPr>
          <w:rFonts w:hint="eastAsia" w:ascii="宋体" w:hAnsi="宋体" w:eastAsia="仿宋_GB2312" w:cs="仿宋_GB2312"/>
          <w:kern w:val="0"/>
          <w:szCs w:val="32"/>
        </w:rPr>
        <w:t>　第一审人民法院判决被告人无罪、免除刑事处罚的，如果被告人在押，在宣判后应当立即释放。</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第二百六十一条</w:t>
      </w:r>
      <w:r>
        <w:rPr>
          <w:rFonts w:hint="eastAsia" w:ascii="宋体" w:hAnsi="宋体" w:cs="Arial"/>
          <w:kern w:val="0"/>
          <w:szCs w:val="32"/>
        </w:rPr>
        <w:t>　最高人民法院判处和核准的死刑立即执行的判决，应当由最高人民法院院长签发执行死刑的命令。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判处死刑缓期二年执行的罪犯，在死刑缓期执行期间，如果没有故意犯罪，死刑缓期执行期满，应当予以减刑的，由执行机关提出书面意见，报请高级人民法院裁定；如果故意犯罪，情节恶劣，查证属实，应当执行死刑的，由高级人民法院报请最高人民法院核准；对于故意犯罪未执行死刑的，死刑缓期执行的期间重新计算，并报最高人民法院备案。</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第二百六十二条</w:t>
      </w:r>
      <w:r>
        <w:rPr>
          <w:rFonts w:hint="eastAsia" w:ascii="宋体" w:hAnsi="宋体" w:cs="Arial"/>
          <w:kern w:val="0"/>
          <w:szCs w:val="32"/>
        </w:rPr>
        <w:t>　下级人民法院接到最高人民法院执行死刑的命令后，应当在七日以内交付执行。但是发现有下列情形之一的，应当停止执行，并且立即报告最高人民法院，由最高人民法院作出裁定：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（一）在执行前发现判决可能有错误的；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（二）在执行前罪犯揭发重大犯罪事实或者有其他重大立功表现，可能需要改判的；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（三</w:t>
      </w:r>
      <w:r>
        <w:rPr>
          <w:rFonts w:hint="eastAsia" w:ascii="宋体" w:hAnsi="宋体" w:eastAsia="仿宋_GB2312" w:cs="仿宋_GB2312"/>
          <w:kern w:val="0"/>
          <w:szCs w:val="32"/>
        </w:rPr>
        <w:t>）罪犯正在怀孕。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前款第一项、第二项停止执行的原因消失后，必须报请最高人民法院院长再签发执行死刑的命令才能执行；由于前款第三项原因停止执行的，应当报请最高人民法院依法改判。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第二百六十三条</w:t>
      </w:r>
      <w:r>
        <w:rPr>
          <w:rFonts w:hint="eastAsia" w:ascii="宋体" w:hAnsi="宋体" w:cs="Arial"/>
          <w:kern w:val="0"/>
          <w:szCs w:val="32"/>
        </w:rPr>
        <w:t>　人民法院在交付执行死刑前，应当通知同级人民检察院派员临场监督。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死刑采用枪决或者注射等方法执行。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死刑可以在刑场或者指定的羁押场所内执行。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指挥执行的审判人员，对罪犯应当验明正身，讯问有无遗言、信札，然后交付执行人员执行死刑。在执行前，如果发现可能有错误，应当暂停执行，报请最高人民法院裁定。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执行死刑应当公布，不应示众。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执行死刑后，在场书记员应当写成笔录。交付执行的人民法院应当将执行死刑情况报告最高人民法院。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执行死刑后，交付执行的人民法院应当通知罪犯家属。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第二百六十四条</w:t>
      </w:r>
      <w:r>
        <w:rPr>
          <w:rFonts w:hint="eastAsia" w:ascii="宋体" w:hAnsi="宋体" w:cs="Arial"/>
          <w:kern w:val="0"/>
          <w:szCs w:val="32"/>
        </w:rPr>
        <w:t>　罪犯被交付执行刑罚的时候，应当由交付执行的人民法院在判决生效后十日以内将有关的法律文书送达公安机关、监狱或者其他执行机关。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被判处死刑缓期二年执行、无期徒刑、有期徒刑的罪犯，由公安机关依法将该罪犯送交监狱执行刑罚。对被判处有期徒刑的罪犯，在被交付执行刑罚前，剩余刑期在三个月以下的，由看守所代为执行。对被判处拘役的罪犯，由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对未成年犯应当在未成年犯管教所执行刑罚。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执行机关应当将罪犯及时收押，并且通知罪犯家属。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判处有期徒刑、拘役的罪犯，执行期满，应当由执行机关发给释放证明书。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第二百六十五条</w:t>
      </w:r>
      <w:r>
        <w:rPr>
          <w:rFonts w:hint="eastAsia" w:ascii="宋体" w:hAnsi="宋体" w:cs="Arial"/>
          <w:kern w:val="0"/>
          <w:szCs w:val="32"/>
        </w:rPr>
        <w:t>　对被判处有期徒刑或者拘役的罪犯，有下列情形之一的，可以暂予监外执行：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（一）有严重疾病需要保外就医的；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（二）怀孕或者正在哺乳自己婴儿的妇女；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（三）生活不能自理，适用暂予监外执行不致危害社会的。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对被判处无期</w:t>
      </w:r>
      <w:r>
        <w:rPr>
          <w:rFonts w:hint="eastAsia" w:ascii="宋体" w:hAnsi="宋体" w:eastAsia="仿宋_GB2312" w:cs="仿宋_GB2312"/>
          <w:kern w:val="0"/>
          <w:szCs w:val="32"/>
        </w:rPr>
        <w:t>徒刑的罪犯，有前款第二项规定情形的，可以暂予监外执行。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对适用保外就医可能有社会危险性的罪犯，或者自伤自残的罪犯，不得保外就医。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对罪犯确有严重疾病，必须保外就医的，由省级人民政府指定的医院诊断并开具证明文件。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在交付执行前，暂予监外执行由交付执行的人民法院决定；在交付执行后，暂予监外执行由监狱或者看守所提出书面意见，报省级以上监狱管理机关或者设区的市一级以上公安机关批准。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第二百六十六条</w:t>
      </w:r>
      <w:r>
        <w:rPr>
          <w:rFonts w:hint="eastAsia" w:ascii="宋体" w:hAnsi="宋体" w:cs="Arial"/>
          <w:kern w:val="0"/>
          <w:szCs w:val="32"/>
        </w:rPr>
        <w:t>　监狱、看守所提出暂予监外执行的书面意见的，应当将书面意见的副本抄送人民检察院。人民检察院可以向决定或者批准机关提出书面意见。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第二百六十七条</w:t>
      </w:r>
      <w:r>
        <w:rPr>
          <w:rFonts w:hint="eastAsia" w:ascii="宋体" w:hAnsi="宋体" w:cs="Arial"/>
          <w:kern w:val="0"/>
          <w:szCs w:val="32"/>
        </w:rPr>
        <w:t>　决定或者批准暂予监外执行的机关应当将暂予监外执行决定抄送人民检察院。人民检察院认为暂予监外执行不当的，应当自接到通知之日起一个月以内将书面意见送交决定或者批准暂予监外执行的机关，决定或者批准暂予监外执行的机关接到人民检察院的书面意见后，应当立即对该决定进行重新核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第二百六十八条</w:t>
      </w:r>
      <w:r>
        <w:rPr>
          <w:rFonts w:hint="eastAsia" w:ascii="宋体" w:hAnsi="宋体" w:cs="Arial"/>
          <w:kern w:val="0"/>
          <w:szCs w:val="32"/>
        </w:rPr>
        <w:t>　对暂予监外执行的罪犯，有下列情形之一的，应当及时收监：</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（一）发现不符合暂予监外执行条件的；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（二）严重违反有关暂予监外执行监督管理规定的；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（三）暂予监外执行的情形消失后，罪犯刑期未满的。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对于人民法院决定暂予监外执行的罪犯应当予以收监的，由人民法院作出决定，将有关的法律文书送达公安机关、监狱或者其他执行机关。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不符合暂予监外执行条件的罪犯通过贿赂等非法手段被暂予监外执行的，在监外执行的期间不计入执行刑期。罪犯在暂予监外执行期间脱逃的，脱逃的期间不计入执行刑期。</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罪犯在暂予监外执行期间死亡的，执行机关应当及时通知监狱或者看守所。</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第二百六十九条</w:t>
      </w:r>
      <w:r>
        <w:rPr>
          <w:rFonts w:hint="eastAsia" w:ascii="宋体" w:hAnsi="宋体" w:cs="Arial"/>
          <w:kern w:val="0"/>
          <w:szCs w:val="32"/>
        </w:rPr>
        <w:t>　对被判处管制、宣告缓刑、假释或者暂予监外执行的罪犯，依法实行社区矫正，由社区矫正机构负责执行。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第二百七十条</w:t>
      </w:r>
      <w:r>
        <w:rPr>
          <w:rFonts w:hint="eastAsia" w:ascii="宋体" w:hAnsi="宋体" w:cs="Arial"/>
          <w:kern w:val="0"/>
          <w:szCs w:val="32"/>
        </w:rPr>
        <w:t>　对被判处剥夺政治权利的罪犯，由公安机关执行。执行期满，应当由执行机关书面通知本人及其所在单位、居住地基层组织。</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第二百七十一条</w:t>
      </w:r>
      <w:r>
        <w:rPr>
          <w:rFonts w:hint="eastAsia" w:ascii="宋体" w:hAnsi="宋体" w:cs="Arial"/>
          <w:kern w:val="0"/>
          <w:szCs w:val="32"/>
        </w:rPr>
        <w:t>　被判处罚金的罪犯，期满不缴纳的，人民法院应当强制缴纳；如果由于遭遇不能抗拒的灾祸等原因缴纳确实有困难的，经人民法院裁定，可以延期缴纳、酌情减少或者免除。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第二百七十二条</w:t>
      </w:r>
      <w:r>
        <w:rPr>
          <w:rFonts w:hint="eastAsia" w:ascii="宋体" w:hAnsi="宋体" w:cs="Arial"/>
          <w:kern w:val="0"/>
          <w:szCs w:val="32"/>
        </w:rPr>
        <w:t>　没收财产的判决，无论附加适用或者独立适用，都由人民法院执行；在必要的时候，可以会同公安机关执行。</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第二百七十三条</w:t>
      </w:r>
      <w:r>
        <w:rPr>
          <w:rFonts w:hint="eastAsia" w:ascii="宋体" w:hAnsi="宋体" w:cs="Arial"/>
          <w:kern w:val="0"/>
          <w:szCs w:val="32"/>
        </w:rPr>
        <w:t>　罪犯在服刑期间又犯罪的，或者发现了判决的时候所没有发现的罪行，由执行机关移送人民检察院处理。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被判处管制、拘役、有期徒刑或者无期徒刑的罪犯，在执行期间确有悔改或者立功表现，应当依法予以减刑、假释的时候，由执行机关提出建议书，报请人民法院审核裁定，并将建议书副本抄送人民检察院。人民检察院可以向人民法院提出书面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第二百七十四条</w:t>
      </w:r>
      <w:r>
        <w:rPr>
          <w:rFonts w:hint="eastAsia" w:ascii="宋体" w:hAnsi="宋体" w:cs="Arial"/>
          <w:kern w:val="0"/>
          <w:szCs w:val="32"/>
        </w:rPr>
        <w:t>　人民检察院认为人民法院减刑、假释的裁定不当，应当在收到裁定书副本后二十日以内，向人民法院提出书面纠正意见。人民法院应当在收到纠正意见后一个月以内重新组成合议庭进行审理，作出最终裁定。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第二百七十五条</w:t>
      </w:r>
      <w:r>
        <w:rPr>
          <w:rFonts w:hint="eastAsia" w:ascii="宋体" w:hAnsi="宋体" w:cs="Arial"/>
          <w:kern w:val="0"/>
          <w:szCs w:val="32"/>
        </w:rPr>
        <w:t>　监狱和其他执行机关在刑罚执行中，如果认为判决有错误或者罪犯提出申诉，应当转请人民检察院或者原判人民法院处理。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第二百七十六条</w:t>
      </w:r>
      <w:r>
        <w:rPr>
          <w:rFonts w:hint="eastAsia" w:ascii="宋体" w:hAnsi="宋体" w:cs="Arial"/>
          <w:kern w:val="0"/>
          <w:szCs w:val="32"/>
        </w:rPr>
        <w:t>　人民检察院对执行机关执行刑罚的活动是否合法实行监督。如果发现有违法的情况，应当通知执行机关纠正。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第五编　特别程序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第一章　未成年人刑事案件诉讼程序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第二百七十七条</w:t>
      </w:r>
      <w:r>
        <w:rPr>
          <w:rFonts w:hint="eastAsia" w:ascii="宋体" w:hAnsi="宋体" w:cs="Arial"/>
          <w:kern w:val="0"/>
          <w:szCs w:val="32"/>
        </w:rPr>
        <w:t>　对犯罪的未成年人实行教育、感化、挽救的方针，坚持教育为主、惩罚为辅的原则。</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人民法院、人民检察院和公安机关办理未成年人刑事案件，应当保障未成年人行使其诉讼权利，保障未成年人得到法律帮助，并由熟悉未成年人身心特点的审判人员、检察人员、侦查人员承办。</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第二百七十八条</w:t>
      </w:r>
      <w:r>
        <w:rPr>
          <w:rFonts w:hint="eastAsia" w:ascii="宋体" w:hAnsi="宋体" w:cs="Arial"/>
          <w:kern w:val="0"/>
          <w:szCs w:val="32"/>
        </w:rPr>
        <w:t>　未成年犯罪嫌疑人、被告人没有委托辩护人的，人民法院、人民检察院、公安机关应当通知法律援助机构指派律师为其提供辩护。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第二百七十九条</w:t>
      </w:r>
      <w:r>
        <w:rPr>
          <w:rFonts w:hint="eastAsia" w:ascii="宋体" w:hAnsi="宋体" w:cs="Arial"/>
          <w:kern w:val="0"/>
          <w:szCs w:val="32"/>
        </w:rPr>
        <w:t>　公安机关、人民检察院、人民法院办理未成年人刑事案件，根据情况可以对未成年犯罪嫌疑人、被告人的成长经历、犯罪原因、监护教育等情况进行调查。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第二百八十条</w:t>
      </w:r>
      <w:r>
        <w:rPr>
          <w:rFonts w:hint="eastAsia" w:ascii="宋体" w:hAnsi="宋体" w:cs="Arial"/>
          <w:kern w:val="0"/>
          <w:szCs w:val="32"/>
        </w:rPr>
        <w:t>　对未成年犯罪嫌疑人、被告人应当严格限制适用逮捕措施。人民检察院审查批准逮捕和人民法院决定逮捕，应当讯问未成年犯罪嫌疑人、被告人，听取辩护律师的意见。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对被拘留、逮捕和执行刑罚的未成年人与成年人应当分别关押、分别管理、分别教育。</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第二百八十一条</w:t>
      </w:r>
      <w:r>
        <w:rPr>
          <w:rFonts w:hint="eastAsia" w:ascii="宋体" w:hAnsi="宋体" w:cs="Arial"/>
          <w:kern w:val="0"/>
          <w:szCs w:val="32"/>
        </w:rPr>
        <w:t>　对于未成年人刑事案件，在讯问和审判的时候，应当通知未成年犯罪嫌疑人、被告人的法定代理人到场。无法通知、法定代理人不能到场或者法定代理人是共犯的，也可以通知未成年犯罪嫌疑人、被告人的其他成年亲属，所在学校、单位、居住地基层组织或者未成年人保护组织的代表到场，并将有关情况记录在案。到场的法定代理人可以代为行使未成年犯罪嫌疑人、被告人的诉讼权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到场的法定代理人或者其他人员认为办案人员在讯问、审判中侵犯未成年人合法权益的，可以提出意见。讯问笔录、法庭笔录应当交给到场的法定代理人或者其他人员阅读或者向他宣读。</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讯问女性未成年犯罪嫌疑人，应当有女工作人员在场。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审判未成年人刑事案件，未成年被告人最后陈述后，其法定代理人可以进行补充陈述。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询问未</w:t>
      </w:r>
      <w:r>
        <w:rPr>
          <w:rFonts w:hint="eastAsia" w:ascii="宋体" w:hAnsi="宋体" w:eastAsia="仿宋_GB2312" w:cs="仿宋_GB2312"/>
          <w:kern w:val="0"/>
          <w:szCs w:val="32"/>
        </w:rPr>
        <w:t>成年被害人、证人，适用第一款、第二款、第三款的规定。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第二百八十二条</w:t>
      </w:r>
      <w:r>
        <w:rPr>
          <w:rFonts w:hint="eastAsia" w:ascii="宋体" w:hAnsi="宋体" w:cs="Arial"/>
          <w:kern w:val="0"/>
          <w:szCs w:val="32"/>
        </w:rPr>
        <w:t>　对于未成</w:t>
      </w:r>
      <w:r>
        <w:rPr>
          <w:rFonts w:hint="eastAsia" w:ascii="宋体" w:hAnsi="宋体" w:eastAsia="仿宋_GB2312" w:cs="仿宋_GB2312"/>
          <w:kern w:val="0"/>
          <w:szCs w:val="32"/>
        </w:rPr>
        <w:t>年人涉嫌刑法分则第四章、第五章、第六章规定的犯罪，可能判处一年有期徒刑以下刑罚，符合起诉条件，但有悔</w:t>
      </w:r>
      <w:r>
        <w:rPr>
          <w:rFonts w:hint="eastAsia" w:ascii="宋体" w:hAnsi="宋体" w:cs="Arial"/>
          <w:kern w:val="0"/>
          <w:szCs w:val="32"/>
        </w:rPr>
        <w:t>罪表现的，人民检察院可以作出附条件不起诉的决定。人民检察院在作出附条件不起诉的决定以前，应当听取公安机关、被害人的意见。</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对附条件不起诉的决定，公安机关要求复议、提请复核或者被害人申诉的，适用本</w:t>
      </w:r>
      <w:r>
        <w:rPr>
          <w:rFonts w:hint="eastAsia" w:ascii="宋体" w:hAnsi="宋体" w:eastAsia="仿宋_GB2312" w:cs="仿宋_GB2312"/>
          <w:kern w:val="0"/>
          <w:szCs w:val="32"/>
        </w:rPr>
        <w:t>法第一百七十九条、第一百八十条的</w:t>
      </w:r>
      <w:r>
        <w:rPr>
          <w:rFonts w:hint="eastAsia" w:ascii="宋体" w:hAnsi="宋体" w:cs="Arial"/>
          <w:kern w:val="0"/>
          <w:szCs w:val="32"/>
        </w:rPr>
        <w:t>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未成年犯罪嫌疑人及其法定代理人对人民检察院决定附条件不起诉有异议的，人民检察院应当作出起诉的决定。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第二百八十三条</w:t>
      </w:r>
      <w:r>
        <w:rPr>
          <w:rFonts w:hint="eastAsia" w:ascii="宋体" w:hAnsi="宋体" w:cs="Arial"/>
          <w:kern w:val="0"/>
          <w:szCs w:val="32"/>
        </w:rPr>
        <w:t>　在附条件不起诉的考验期内，由人民检察院对被附条件不起诉的未成年犯罪嫌疑人进行监督考察。未成年犯罪嫌疑人的监护人，应当对未成年犯罪嫌疑人加强管教，配合人民检察院做好监督考察工作。</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附条件不起诉的考验期为六个月以上一年以下，从人民检察院作出附条件不起诉的决定之日起计算。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被附条件不起诉的未成年犯罪嫌疑人，应当遵守下列规定：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（一）遵守法律法规，服从监督；</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（二）按照考察机关的规定报告自己的活动情况；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（三）离开所居住的市、县或者迁居，应当报经考察机关批准；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（四）按照考察机关的要求接受矫治和教育。</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第二百八十四条</w:t>
      </w:r>
      <w:r>
        <w:rPr>
          <w:rFonts w:hint="eastAsia" w:ascii="宋体" w:hAnsi="宋体" w:cs="Arial"/>
          <w:kern w:val="0"/>
          <w:szCs w:val="32"/>
        </w:rPr>
        <w:t>　被附条件不起诉的未成年犯罪嫌疑人，在考验期内有下列情形之一的，人民检察院应当撤销附条件不起诉的决定，提起公诉：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（一）实施新的犯罪或者发现决定附条件不起诉以前还有其他犯罪需要追诉的；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（二）违反治安管理规定或者考察机关有关附条件不起诉的监督管理规定，情节严重的。</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被附条件不起诉的未成年犯罪嫌疑人，在考验期内没有上述情形，考验期满的，人民检察院应当作出不起诉的决定。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第二百八十五条</w:t>
      </w:r>
      <w:r>
        <w:rPr>
          <w:rFonts w:hint="eastAsia" w:ascii="宋体" w:hAnsi="宋体" w:cs="Arial"/>
          <w:kern w:val="0"/>
          <w:szCs w:val="32"/>
        </w:rPr>
        <w:t>　审判的时候被告人不满十八周岁的案件，不公开审理。但是，经未成年被告人及其法定代理人同意，未成年被告人所在学校和未成年人保护组织可以派代表到场。</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第二百八十六条</w:t>
      </w:r>
      <w:r>
        <w:rPr>
          <w:rFonts w:hint="eastAsia" w:ascii="宋体" w:hAnsi="宋体" w:cs="Arial"/>
          <w:kern w:val="0"/>
          <w:szCs w:val="32"/>
        </w:rPr>
        <w:t>　犯罪的时候不满十八周岁，被判处五年有期徒刑以下刑罚的，应当对相关犯罪记录予以封存。</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犯罪记录被封存的，不得向任何单位和个人提供，但司法机关为办案需要或者有关单位根据国家规定进行查询的除外。依法进行查询的单位，应当对被封存的犯罪记录的情况予以保密。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第二百八十七条</w:t>
      </w:r>
      <w:r>
        <w:rPr>
          <w:rFonts w:hint="eastAsia" w:ascii="宋体" w:hAnsi="宋体" w:cs="Arial"/>
          <w:kern w:val="0"/>
          <w:szCs w:val="32"/>
        </w:rPr>
        <w:t>　办理未成年人刑事案件，除本章已有规定的以外，按照本法的其他规定进行。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第二章　当事人和解的公诉案件诉讼程序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第二百八十八条</w:t>
      </w:r>
      <w:r>
        <w:rPr>
          <w:rFonts w:hint="eastAsia" w:ascii="宋体" w:hAnsi="宋体" w:cs="Arial"/>
          <w:kern w:val="0"/>
          <w:szCs w:val="32"/>
        </w:rPr>
        <w:t>　下列公诉案件，犯罪嫌疑人、被告人真诚悔罪，通过向被害人赔偿损失、赔礼道歉等方式获得被害人谅解，被害人自愿和解的，双方当事人可以和解：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cs="Arial"/>
          <w:kern w:val="0"/>
          <w:szCs w:val="32"/>
          <w:lang w:eastAsia="zh-CN"/>
        </w:rPr>
        <w:t>　　</w:t>
      </w:r>
      <w:r>
        <w:rPr>
          <w:rFonts w:hint="eastAsia" w:ascii="宋体" w:hAnsi="宋体" w:cs="Arial"/>
          <w:kern w:val="0"/>
          <w:szCs w:val="32"/>
        </w:rPr>
        <w:t>（一）</w:t>
      </w:r>
      <w:r>
        <w:rPr>
          <w:rFonts w:hint="eastAsia" w:ascii="宋体" w:hAnsi="宋体" w:eastAsia="仿宋_GB2312" w:cs="仿宋_GB2312"/>
          <w:kern w:val="0"/>
          <w:szCs w:val="32"/>
        </w:rPr>
        <w:t>因民间纠纷引起，涉嫌刑法分则第四章、第五章规定的犯罪案件，可能判处三年有期徒刑以下刑罚的；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（二）除渎职犯罪以外的可能判处七年有期徒刑以下刑罚的过失犯罪案件。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lang w:eastAsia="zh-CN"/>
        </w:rPr>
        <w:t>　　</w:t>
      </w:r>
      <w:r>
        <w:rPr>
          <w:rFonts w:hint="eastAsia" w:ascii="宋体" w:hAnsi="宋体" w:eastAsia="仿宋_GB2312" w:cs="仿宋_GB2312"/>
          <w:kern w:val="0"/>
          <w:szCs w:val="32"/>
        </w:rPr>
        <w:t>犯罪嫌疑人、被告人在五年以内曾经故意犯罪的，不适用本章规定的程序。</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仿宋_GB2312" w:cs="仿宋_GB2312"/>
          <w:kern w:val="0"/>
          <w:szCs w:val="32"/>
          <w:lang w:eastAsia="zh-CN"/>
        </w:rPr>
        <w:t>　　</w:t>
      </w:r>
      <w:r>
        <w:rPr>
          <w:rFonts w:hint="eastAsia" w:ascii="宋体" w:hAnsi="宋体" w:eastAsia="黑体" w:cs="黑体"/>
          <w:kern w:val="0"/>
          <w:szCs w:val="32"/>
        </w:rPr>
        <w:t>第二百八十九条</w:t>
      </w:r>
      <w:r>
        <w:rPr>
          <w:rFonts w:hint="eastAsia" w:ascii="宋体" w:hAnsi="宋体" w:cs="Arial"/>
          <w:kern w:val="0"/>
          <w:szCs w:val="32"/>
        </w:rPr>
        <w:t>　双方当事人和解的，公安机关、人民检察院、人民法院应当听取当事人和其他有关人员的意见，对和解的自愿性、合法性进行审查，并主持制作和解协议书。</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第二百九十条</w:t>
      </w:r>
      <w:r>
        <w:rPr>
          <w:rFonts w:hint="eastAsia" w:ascii="宋体" w:hAnsi="宋体" w:cs="Arial"/>
          <w:kern w:val="0"/>
          <w:szCs w:val="32"/>
        </w:rPr>
        <w:t>　对于达成和解协议的案件，公安机关可以向人民检察院提出从宽处理的建议。人民检察院可以向人民法院提出从宽处罚的建议；对于犯罪情节轻微，不需要判处刑罚的，可以作出不起诉的决定。人民法院可以依法对被告人从宽处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第三章　缺席审判程序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第二百九十一条</w:t>
      </w:r>
      <w:r>
        <w:rPr>
          <w:rFonts w:hint="eastAsia" w:ascii="宋体" w:hAnsi="宋体" w:cs="Arial"/>
          <w:kern w:val="0"/>
          <w:szCs w:val="32"/>
        </w:rPr>
        <w:t>　对于贪污贿赂犯罪案件，以及需要及时进行审判，经最高人民检察院核准的严重危害国家安全犯罪、恐怖活动犯罪案件，犯罪嫌疑人、被告人在境外，监察机关、公安机关移送起诉，人民检察院认为犯罪事实已经查清，证据确实、充分，依法应当追究刑事责任的，可以向人民法院提起公诉。人民法院进行审查后，对于起诉书中有明确的指控犯罪事实，符合缺席审判程序适用条件的，应当决定开庭审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前款案件，由犯罪地、被告人离境前居住地或者最高人民法院指定的中级人民法院组成合议庭进行审理。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第二百九十二条</w:t>
      </w:r>
      <w:r>
        <w:rPr>
          <w:rFonts w:hint="eastAsia" w:ascii="宋体" w:hAnsi="宋体" w:cs="Arial"/>
          <w:kern w:val="0"/>
          <w:szCs w:val="32"/>
        </w:rPr>
        <w:t>　人民法院应当通过有关国际条约规定的或者外交途径提出的司法协助方式，或者被告人所在地法律允许的其他方式，将传票和人民检察院的起诉书副本送达被告人。传票和起诉书副本送达后，被告人未按要求到案的，人民法院应当开庭审理，依法作出判决，并对违法所得及其他涉案财产作出处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第二百九十三条</w:t>
      </w:r>
      <w:r>
        <w:rPr>
          <w:rFonts w:hint="eastAsia" w:ascii="宋体" w:hAnsi="宋体" w:cs="Arial"/>
          <w:kern w:val="0"/>
          <w:szCs w:val="32"/>
        </w:rPr>
        <w:t>　人民法院缺席审判案件，被告人有权委托辩护人，被告人的近亲属可以代为委托辩护人。被告人及其近亲属没有委托辩护人的，人民法院应当通知法律援助机构指派律师为其提供辩护。</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第二百九十四条</w:t>
      </w:r>
      <w:r>
        <w:rPr>
          <w:rFonts w:hint="eastAsia" w:ascii="宋体" w:hAnsi="宋体" w:cs="Arial"/>
          <w:kern w:val="0"/>
          <w:szCs w:val="32"/>
        </w:rPr>
        <w:t>　人民法院应当将判决书送达被告人及其近亲属、辩护人。被告人或者其近亲属不服判决的，有权向上一级人民法院上诉。辩护人经被告人或者其近亲属同意，可以提出上诉。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人民检察院认为人民法院的判决确有错误的，应当向上一级人民法院提出抗诉。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第二百九十五条</w:t>
      </w:r>
      <w:r>
        <w:rPr>
          <w:rFonts w:hint="eastAsia" w:ascii="宋体" w:hAnsi="宋体" w:cs="Arial"/>
          <w:kern w:val="0"/>
          <w:szCs w:val="32"/>
        </w:rPr>
        <w:t>　在审理过程中，被告人自动投案或者被抓获的，人民法院应当重新审理。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罪犯在判决、裁定发生法律效力后到案的，人民法院应当将罪犯交付执行刑罚。交付执行刑罚前，人民法院应当告知罪犯有权对判决、裁定提出异议。罪犯对判决、裁定提出异议的，人民法院应当重新审理。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依照生效判决、裁定对罪犯的财产进行的处理确有错误的，应当予以返还、赔偿。</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第二百九十六条</w:t>
      </w:r>
      <w:r>
        <w:rPr>
          <w:rFonts w:hint="eastAsia" w:ascii="宋体" w:hAnsi="宋体" w:cs="Arial"/>
          <w:kern w:val="0"/>
          <w:szCs w:val="32"/>
        </w:rPr>
        <w:t>　因被告人患有严重疾病无法出庭，中止审理超过六个月，被告人仍无法出庭，被告人及其法定代理人、近亲属申请或者同意恢复审理的，人民法院可以在被告人不出庭的情况下缺席审理，依法作出判决。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第二百九十七条</w:t>
      </w:r>
      <w:r>
        <w:rPr>
          <w:rFonts w:hint="eastAsia" w:ascii="宋体" w:hAnsi="宋体" w:cs="Arial"/>
          <w:kern w:val="0"/>
          <w:szCs w:val="32"/>
        </w:rPr>
        <w:t>　被告人死亡的，人民法院应当裁定终止审理，但有证据证明被告人无罪，人民法院经缺席审理确认无罪的，应当依法作出判决。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人民法院按照审判监督程序重新审判的案件，被告人死亡的，人民法院可以缺席审理，依法作出判决。</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第四章　犯罪嫌疑人、被告人逃匿、死亡案件</w:t>
      </w: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违法所得的没收程序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第二百九十八条</w:t>
      </w:r>
      <w:r>
        <w:rPr>
          <w:rFonts w:hint="eastAsia" w:ascii="宋体" w:hAnsi="宋体" w:cs="Arial"/>
          <w:kern w:val="0"/>
          <w:szCs w:val="32"/>
        </w:rPr>
        <w:t>　对于贪污贿赂犯罪、恐怖活动犯罪等重大犯罪案件，犯罪嫌疑人、被告人逃匿，在通缉一年后不能到案，或者犯罪嫌疑人、被告人死亡，依照刑法规定应当追缴其违法所得及其他涉案财产的，人民检察院可以向人民法院提出没收违法所得的申请。</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公安机关认为有前款规定情形的，应当写出没收违法所得意见书，移送人民检察院。</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没收违法所得的申请应当提供与犯罪事实、违法所得相关的证据材料，并列明财产的种类、数量、所在地及查封、扣押、冻结的情况。</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人民法院在必要的时候，可以查封、扣押、冻结申请没收的财产。</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第二百九十九条</w:t>
      </w:r>
      <w:r>
        <w:rPr>
          <w:rFonts w:hint="eastAsia" w:ascii="宋体" w:hAnsi="宋体" w:cs="Arial"/>
          <w:kern w:val="0"/>
          <w:szCs w:val="32"/>
        </w:rPr>
        <w:t>　没收违法所得的申请，由犯罪地或者犯罪嫌疑人、被告人居住地的中级人民法院组成合议庭进行审理。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人民法院受理没收违法所得的申请后，应当发出公告。公告期间为六个月。犯罪嫌疑人、被告人的近亲属和其他利害关系人有权申请参加诉讼，也可以委托诉讼代理人参加诉讼。</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人民法院在公告期满后对没收违法所得的申请进行审理。利害关系人参加诉讼的，人民法院应当开庭审理。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第三百条</w:t>
      </w:r>
      <w:r>
        <w:rPr>
          <w:rFonts w:hint="eastAsia" w:ascii="宋体" w:hAnsi="宋体" w:cs="Arial"/>
          <w:kern w:val="0"/>
          <w:szCs w:val="32"/>
        </w:rPr>
        <w:t>　人民法院经审理，对经查证属于违法所得及其他涉案财产，除依法返还被害人的以外，应当裁定予以没收；对不属于应当追缴的财产的，应当裁定驳回申请，解除查封、扣押、冻结措施。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对于人民法院依照前款规定作出的裁定，犯罪嫌疑人、被告人的近亲属和其他利害关系人或者人民检察院可以提出上诉、抗诉。</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第三百零一条</w:t>
      </w:r>
      <w:r>
        <w:rPr>
          <w:rFonts w:hint="eastAsia" w:ascii="宋体" w:hAnsi="宋体" w:cs="Arial"/>
          <w:kern w:val="0"/>
          <w:szCs w:val="32"/>
        </w:rPr>
        <w:t>　在审理过程中，在逃的犯罪嫌疑人、被告人自动投案或者被抓获的，人民法院应当终止审理。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没收犯罪嫌疑人、被告人财产确有错误的，应当予以返还、赔偿。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第五章</w:t>
      </w:r>
      <w:r>
        <w:rPr>
          <w:rFonts w:hint="eastAsia" w:ascii="宋体" w:hAnsi="宋体" w:eastAsia="黑体" w:cs="黑体"/>
          <w:kern w:val="0"/>
          <w:szCs w:val="32"/>
          <w:lang w:eastAsia="zh-CN"/>
        </w:rPr>
        <w:t>　</w:t>
      </w:r>
      <w:r>
        <w:rPr>
          <w:rFonts w:hint="eastAsia" w:ascii="宋体" w:hAnsi="宋体" w:eastAsia="黑体" w:cs="黑体"/>
          <w:kern w:val="0"/>
          <w:szCs w:val="32"/>
        </w:rPr>
        <w:t>依法不负刑事责任的精神病人的强制医疗程序</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第三百零二条</w:t>
      </w:r>
      <w:r>
        <w:rPr>
          <w:rFonts w:hint="eastAsia" w:ascii="宋体" w:hAnsi="宋体" w:cs="Arial"/>
          <w:kern w:val="0"/>
          <w:szCs w:val="32"/>
        </w:rPr>
        <w:t>　实施暴力行为，危害公共安全或者严重危害公民人身安全，经法定程序鉴定依法不负刑事责任的精神病人，有继续危害社会可能的，可以予以强制医疗。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第三百零三条</w:t>
      </w:r>
      <w:r>
        <w:rPr>
          <w:rFonts w:hint="eastAsia" w:ascii="宋体" w:hAnsi="宋体" w:cs="Arial"/>
          <w:kern w:val="0"/>
          <w:szCs w:val="32"/>
        </w:rPr>
        <w:t>　根据本章规定对精神病人强制医疗的，由人民法院决定。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公安机关发现精神病人符合强制医疗条件的，应当写出强制医疗意见书，移送人民检察院。对于公安机关移送的或者在审查起诉过程中发现的精神病人符合强制医疗条件的，人民检察院应当向人民法院提出强制医疗的申请。人民法院在审理案件过程中发现被告人符合强制医疗条件的，可以作出强制医疗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对实施暴力行为的精神病人，在人民法院决定强制医疗前，公安机关可以采取临时的保护性约束措施。</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第三百零四条</w:t>
      </w:r>
      <w:r>
        <w:rPr>
          <w:rFonts w:hint="eastAsia" w:ascii="宋体" w:hAnsi="宋体" w:cs="Arial"/>
          <w:kern w:val="0"/>
          <w:szCs w:val="32"/>
        </w:rPr>
        <w:t>　人民法院受理强制医疗的申请后，应当组成合议庭进行审理。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人民法院审理强制医疗案件，应当通知被申请人或者被告人的法定代理人到场。被申请人或者被告人没有委托诉讼代理人的，人民法院应当通知法律援助机构指派律师为其提供法律帮助。</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第三百零五条</w:t>
      </w:r>
      <w:r>
        <w:rPr>
          <w:rFonts w:hint="eastAsia" w:ascii="宋体" w:hAnsi="宋体" w:cs="Arial"/>
          <w:kern w:val="0"/>
          <w:szCs w:val="32"/>
        </w:rPr>
        <w:t>　人民法院经审理，对于被申请人或者被告人符合强制医疗条件的，应当在一个月以内作出强制医疗的决定。</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被决定强制医疗的人、被害人及其法定代理人、近亲属对强制医疗决定不服的，可以向上一级人民法院申请复议。</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第三百零六条</w:t>
      </w:r>
      <w:r>
        <w:rPr>
          <w:rFonts w:hint="eastAsia" w:ascii="宋体" w:hAnsi="宋体" w:cs="Arial"/>
          <w:kern w:val="0"/>
          <w:szCs w:val="32"/>
        </w:rPr>
        <w:t>　强制医疗机构应当定期对被强制医疗的人进行诊断评估。对于已不具有人身危险性，不需要继续强制医疗的，应当及时提出解除意见，报决定强制医疗的人民法院批准。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rPr>
        <w:t>被强制医疗的人及其近亲属有权申请解除强制医疗。</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第三百零七条</w:t>
      </w:r>
      <w:r>
        <w:rPr>
          <w:rFonts w:hint="eastAsia" w:ascii="宋体" w:hAnsi="宋体" w:cs="Arial"/>
          <w:kern w:val="0"/>
          <w:szCs w:val="32"/>
        </w:rPr>
        <w:t>　人民检察院对强制医疗的决定和执行实行监督。</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eastAsia="黑体" w:cs="黑体"/>
          <w:kern w:val="0"/>
          <w:szCs w:val="32"/>
        </w:rPr>
        <w:t>第三百零八条</w:t>
      </w:r>
      <w:r>
        <w:rPr>
          <w:rFonts w:hint="eastAsia" w:ascii="宋体" w:hAnsi="宋体" w:cs="Arial"/>
          <w:kern w:val="0"/>
          <w:szCs w:val="32"/>
        </w:rPr>
        <w:t>　军队保卫部门对军队内部发生的刑事案件行使侦查权。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中国海警局履行海上维权执法职责，对海上发生的刑事案件行使侦查权。</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对罪犯在监狱内犯罪的案件由监狱进行侦查。</w:t>
      </w:r>
    </w:p>
    <w:p>
      <w:pPr>
        <w:widowControl w:val="0"/>
        <w:wordWrap/>
        <w:overflowPunct w:val="0"/>
        <w:adjustRightInd/>
        <w:snapToGrid/>
        <w:spacing w:beforeAutospacing="0" w:afterAutospacing="0" w:line="560" w:lineRule="exact"/>
        <w:textAlignment w:val="auto"/>
        <w:outlineLvl w:val="9"/>
        <w:rPr>
          <w:rFonts w:hint="eastAsia" w:ascii="宋体" w:hAnsi="宋体" w:cs="Arial"/>
          <w:kern w:val="0"/>
          <w:szCs w:val="32"/>
        </w:rPr>
      </w:pPr>
      <w:r>
        <w:rPr>
          <w:rFonts w:hint="eastAsia" w:ascii="宋体" w:hAnsi="宋体" w:cs="Arial"/>
          <w:kern w:val="0"/>
          <w:szCs w:val="32"/>
          <w:lang w:eastAsia="zh-CN"/>
        </w:rPr>
        <w:t>　　</w:t>
      </w:r>
      <w:r>
        <w:rPr>
          <w:rFonts w:hint="eastAsia" w:ascii="宋体" w:hAnsi="宋体" w:cs="Arial"/>
          <w:kern w:val="0"/>
          <w:szCs w:val="32"/>
        </w:rPr>
        <w:t>军队保卫部门、中国海警局、监狱办理刑事案件，适用本法的有关规定。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宋体" w:cs="宋体"/>
          <w:kern w:val="0"/>
          <w:sz w:val="44"/>
          <w:szCs w:val="44"/>
        </w:rPr>
      </w:pPr>
      <w:r>
        <w:rPr>
          <w:rFonts w:hint="eastAsia" w:ascii="宋体" w:hAnsi="宋体" w:eastAsia="宋体" w:cs="宋体"/>
          <w:kern w:val="0"/>
          <w:sz w:val="44"/>
          <w:szCs w:val="44"/>
        </w:rPr>
        <w:br w:type="page"/>
      </w:r>
    </w:p>
    <w:p>
      <w:pPr>
        <w:widowControl w:val="0"/>
        <w:wordWrap/>
        <w:overflowPunct w:val="0"/>
        <w:adjustRightInd/>
        <w:snapToGrid/>
        <w:spacing w:beforeAutospacing="0" w:afterAutospacing="0" w:line="560" w:lineRule="exact"/>
        <w:jc w:val="center"/>
        <w:textAlignment w:val="auto"/>
        <w:outlineLvl w:val="0"/>
        <w:rPr>
          <w:rFonts w:hint="eastAsia" w:ascii="宋体" w:hAnsi="宋体" w:cs="Arial"/>
          <w:kern w:val="0"/>
          <w:szCs w:val="32"/>
        </w:rPr>
      </w:pPr>
      <w:bookmarkStart w:id="220" w:name="_Toc25673"/>
      <w:r>
        <w:rPr>
          <w:rFonts w:hint="eastAsia" w:ascii="宋体" w:hAnsi="宋体" w:eastAsia="宋体" w:cs="宋体"/>
          <w:kern w:val="0"/>
          <w:sz w:val="44"/>
          <w:szCs w:val="44"/>
        </w:rPr>
        <w:t>中华人民共和国民事诉讼法</w:t>
      </w:r>
      <w:bookmarkEnd w:id="220"/>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w:t>
      </w:r>
      <w:r>
        <w:rPr>
          <w:rFonts w:hint="eastAsia" w:ascii="宋体" w:hAnsi="宋体" w:eastAsia="楷体_GB2312" w:cs="楷体_GB2312"/>
          <w:kern w:val="0"/>
          <w:szCs w:val="32"/>
        </w:rPr>
        <w:t>1991年4月9日第七届全国人民代表大会第四次会议通过</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根据2007年10月28日第十届全国人民代表大会常务委员会第三十次会议《关于修改&lt;中华人民共和国民事诉讼法&gt;的决定》第一次修正</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根据2012年8月31日第十一届全国人民代表大会常务委员会第二十八次会议《关于修改&lt;中华人民共和国民事诉讼法&gt;的决定》第二次修正</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根据2017年6月27日第十二届全国人民代表大会常务委员会第二十八次会议《关于修改&lt;中华人民共和国民事诉讼法&gt;和&lt;中华人民共和国行政诉讼法&gt;的决定》第三次修正</w:t>
      </w:r>
      <w:r>
        <w:rPr>
          <w:rFonts w:hint="eastAsia" w:ascii="宋体" w:hAnsi="宋体" w:eastAsia="楷体_GB2312" w:cs="楷体_GB2312"/>
          <w:kern w:val="0"/>
          <w:szCs w:val="32"/>
          <w:lang w:eastAsia="zh-CN"/>
        </w:rPr>
        <w:t>）</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第一章　任务、适用范围和基本原则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级别管辖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地域管辖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移送管辖和指定管辖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第三章　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第四章　回避</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第五章　诉讼参加人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第六章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第七章　期间、送达</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期间</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送达</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第八章　调解</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第九章　保全和先予执行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第十章　对妨害民事诉讼的强制措施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第十一章　诉讼费用</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第二编　审判程序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第十二章　第一审普通程序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起诉和受理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审理前的准备</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第四节　诉讼中止和终结</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第五节　判决和裁定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第十三章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第十四章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第十五章　特别程序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选民资格案件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宣告失踪、宣告死亡案件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第四节　认定公民无民事行为能力、限制民事行为能力案件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第五节　认定财产无主案件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第六节　确认调解协议案件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第七节　实现担保物权案件</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第十六章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第十七章　督促程序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第十八章　公示催告程序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第三编　执行程序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第十九章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第二十章　执行的申请和移送</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第二十一章　执行措施</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第二十二章　执行中止和终结</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第四编　涉外民事诉讼程序的特别规定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第二十三章　一般原则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第二十四章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第二十五章　送达、期间</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第二十六章　仲裁</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第二十七章　司法协助</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第一编　总则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第一章　</w:t>
      </w:r>
      <w:r>
        <w:rPr>
          <w:rFonts w:hint="eastAsia" w:ascii="宋体" w:hAnsi="宋体" w:eastAsia="黑体" w:cs="黑体"/>
          <w:kern w:val="0"/>
          <w:szCs w:val="32"/>
        </w:rPr>
        <w:t>任务、适用范围和基本原则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第一条</w:t>
      </w:r>
      <w:r>
        <w:rPr>
          <w:rFonts w:hint="eastAsia" w:ascii="宋体" w:hAnsi="宋体" w:eastAsia="仿宋_GB2312" w:cs="仿宋_GB2312"/>
          <w:kern w:val="0"/>
          <w:szCs w:val="32"/>
        </w:rPr>
        <w:t>　中华人民共和国民事诉讼法以宪法为根据，结合我国民事审判工作的经验和实际情况制定。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第二条</w:t>
      </w:r>
      <w:r>
        <w:rPr>
          <w:rFonts w:hint="eastAsia" w:ascii="宋体" w:hAnsi="宋体" w:eastAsia="仿宋_GB2312" w:cs="仿宋_GB2312"/>
          <w:kern w:val="0"/>
          <w:szCs w:val="32"/>
        </w:rPr>
        <w:t>　中华人民共和国民事诉讼法的任务，是保护当事人行使诉讼权利，保证人民法院查明事实，分清是非，正确适用法律，及时审理民事案件，确认民事权利义务关系，制裁民事违法行为，保护当事人的合法权益，教育公民自觉遵守法律，维护社会秩序、经济秩序，保障社会主义建设事业顺利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第三条</w:t>
      </w:r>
      <w:r>
        <w:rPr>
          <w:rFonts w:hint="eastAsia" w:ascii="宋体" w:hAnsi="宋体" w:eastAsia="仿宋_GB2312" w:cs="仿宋_GB2312"/>
          <w:kern w:val="0"/>
          <w:szCs w:val="32"/>
        </w:rPr>
        <w:t>　人民法院受理公民之间、法人之间、其他组织之间以及他们相互之间因财产关系和人身关系提起的民事诉讼，适用本法的规定。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第四条</w:t>
      </w:r>
      <w:r>
        <w:rPr>
          <w:rFonts w:hint="eastAsia" w:ascii="宋体" w:hAnsi="宋体" w:eastAsia="仿宋_GB2312" w:cs="仿宋_GB2312"/>
          <w:kern w:val="0"/>
          <w:szCs w:val="32"/>
        </w:rPr>
        <w:t>　凡在中华人民共和国领域内进行民事诉讼，必须遵守本法。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第五条</w:t>
      </w:r>
      <w:r>
        <w:rPr>
          <w:rFonts w:hint="eastAsia" w:ascii="宋体" w:hAnsi="宋体" w:eastAsia="仿宋_GB2312" w:cs="仿宋_GB2312"/>
          <w:kern w:val="0"/>
          <w:szCs w:val="32"/>
        </w:rPr>
        <w:t>　外国人、无国籍人、外国企业和组织在人民法院起诉、应诉，同中华人民共和国公民、法人和其他组织有同等的诉讼权利义务。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外国法院对中华人民共和国公民、法人和其他组织的民事诉讼权利加以限制的，中华人民共和国人民法院对该国公民、企业和组织的民事诉讼权利，实行对等原则。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第六条</w:t>
      </w:r>
      <w:r>
        <w:rPr>
          <w:rFonts w:hint="eastAsia" w:ascii="宋体" w:hAnsi="宋体" w:eastAsia="仿宋_GB2312" w:cs="仿宋_GB2312"/>
          <w:kern w:val="0"/>
          <w:szCs w:val="32"/>
        </w:rPr>
        <w:t>　民事案件的审判权由人民法院行使。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人民法院依照法律规定对民事案件独立进行审判，不受行政机关、社会团体和个人的干涉。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第七条</w:t>
      </w:r>
      <w:r>
        <w:rPr>
          <w:rFonts w:hint="eastAsia" w:ascii="宋体" w:hAnsi="宋体" w:eastAsia="仿宋_GB2312" w:cs="仿宋_GB2312"/>
          <w:kern w:val="0"/>
          <w:szCs w:val="32"/>
        </w:rPr>
        <w:t>　人民法院审理民事案件，必须以事实为根据，以法律为准绳。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第八条</w:t>
      </w:r>
      <w:r>
        <w:rPr>
          <w:rFonts w:hint="eastAsia" w:ascii="宋体" w:hAnsi="宋体" w:eastAsia="仿宋_GB2312" w:cs="仿宋_GB2312"/>
          <w:kern w:val="0"/>
          <w:szCs w:val="32"/>
        </w:rPr>
        <w:t>　民事诉讼当事人有平等的诉讼权利。人民法院审理民事案件，应当保障和便利当事人行使诉讼权利，对当事人在适用法律上一律平等。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第九条</w:t>
      </w:r>
      <w:r>
        <w:rPr>
          <w:rFonts w:hint="eastAsia" w:ascii="宋体" w:hAnsi="宋体" w:eastAsia="仿宋_GB2312" w:cs="仿宋_GB2312"/>
          <w:kern w:val="0"/>
          <w:szCs w:val="32"/>
        </w:rPr>
        <w:t>　人民法院审理民事案件，应当根据自愿和合法的原则进行调解；调解不成的，应当及时判决。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第十条</w:t>
      </w:r>
      <w:r>
        <w:rPr>
          <w:rFonts w:hint="eastAsia" w:ascii="宋体" w:hAnsi="宋体" w:eastAsia="仿宋_GB2312" w:cs="仿宋_GB2312"/>
          <w:kern w:val="0"/>
          <w:szCs w:val="32"/>
        </w:rPr>
        <w:t>　人民法院审理民事案件，依照法律规定实行合议、回避、公开审判和两审终审制度。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第十一条</w:t>
      </w:r>
      <w:r>
        <w:rPr>
          <w:rFonts w:hint="eastAsia" w:ascii="宋体" w:hAnsi="宋体" w:eastAsia="仿宋_GB2312" w:cs="仿宋_GB2312"/>
          <w:kern w:val="0"/>
          <w:szCs w:val="32"/>
        </w:rPr>
        <w:t>　各民族公民都有用本民族语言、文字进行民事诉讼的权利。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在少数民族聚居或者多民族共同居住的地区，人民法院应当用当地民族通用的语言、文字进行审理和发布法律文书。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人民法院应当对不通晓当地民族通用的语言、文字的诉讼参与人提供翻译。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第十二条</w:t>
      </w:r>
      <w:r>
        <w:rPr>
          <w:rFonts w:hint="eastAsia" w:ascii="宋体" w:hAnsi="宋体" w:eastAsia="仿宋_GB2312" w:cs="仿宋_GB2312"/>
          <w:kern w:val="0"/>
          <w:szCs w:val="32"/>
        </w:rPr>
        <w:t>　人民法院审理民事案件时，当事人有权进行辩论。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第十三条</w:t>
      </w:r>
      <w:r>
        <w:rPr>
          <w:rFonts w:hint="eastAsia" w:ascii="宋体" w:hAnsi="宋体" w:eastAsia="仿宋_GB2312" w:cs="仿宋_GB2312"/>
          <w:kern w:val="0"/>
          <w:szCs w:val="32"/>
        </w:rPr>
        <w:t>　民事诉讼应当遵循诚实信用原则。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当事人有权在法律规定的范围内处分自己的民事权利和诉讼权利。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第十四条</w:t>
      </w:r>
      <w:r>
        <w:rPr>
          <w:rFonts w:hint="eastAsia" w:ascii="宋体" w:hAnsi="宋体" w:eastAsia="仿宋_GB2312" w:cs="仿宋_GB2312"/>
          <w:kern w:val="0"/>
          <w:szCs w:val="32"/>
        </w:rPr>
        <w:t>　人民检察院有权对民事诉讼实行法律监督。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第十五条</w:t>
      </w:r>
      <w:r>
        <w:rPr>
          <w:rFonts w:hint="eastAsia" w:ascii="宋体" w:hAnsi="宋体" w:eastAsia="仿宋_GB2312" w:cs="仿宋_GB2312"/>
          <w:kern w:val="0"/>
          <w:szCs w:val="32"/>
        </w:rPr>
        <w:t>　机关、社会团体、企业事业单位对损害国家、集体或者个人民事权益的行为，可以支持受损害的单位或者个人向人民法院起诉。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第十六条</w:t>
      </w:r>
      <w:r>
        <w:rPr>
          <w:rFonts w:hint="eastAsia" w:ascii="宋体" w:hAnsi="宋体" w:eastAsia="仿宋_GB2312" w:cs="仿宋_GB2312"/>
          <w:kern w:val="0"/>
          <w:szCs w:val="32"/>
        </w:rPr>
        <w:t>　民族自治地方的人民代表大会根据宪法和本法的原则，结合当地民族的具体情况，可以制定变通或者补充的规定。自治区的规定，报全国人民代表大会常务委员会批准。自治州、自治县的规定，报省或者自治区的人民代表大会常务委员会批准，并报全国人民代表大会常务委员会备案。</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第二章　</w:t>
      </w:r>
      <w:r>
        <w:rPr>
          <w:rFonts w:hint="eastAsia" w:ascii="宋体" w:hAnsi="宋体" w:eastAsia="黑体" w:cs="黑体"/>
          <w:kern w:val="0"/>
          <w:szCs w:val="32"/>
        </w:rPr>
        <w:t>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级别管辖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第十七条</w:t>
      </w:r>
      <w:r>
        <w:rPr>
          <w:rFonts w:hint="eastAsia" w:ascii="宋体" w:hAnsi="宋体" w:eastAsia="仿宋_GB2312" w:cs="仿宋_GB2312"/>
          <w:kern w:val="0"/>
          <w:szCs w:val="32"/>
        </w:rPr>
        <w:t>　基层人民法院管辖第一审民事案件，但本法另有规定的除外。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第十八条</w:t>
      </w:r>
      <w:r>
        <w:rPr>
          <w:rFonts w:hint="eastAsia" w:ascii="宋体" w:hAnsi="宋体" w:eastAsia="仿宋_GB2312" w:cs="仿宋_GB2312"/>
          <w:kern w:val="0"/>
          <w:szCs w:val="32"/>
        </w:rPr>
        <w:t>　中级人民法院管辖下列第一审民事案件: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（一）重大涉外案件；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（二）在本辖区有重大影响的案件；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（三）最高人民法院确定由中级人民法院管辖的案件。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黑体" w:cs="黑体"/>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第十九条</w:t>
      </w:r>
      <w:r>
        <w:rPr>
          <w:rFonts w:hint="eastAsia" w:ascii="宋体" w:hAnsi="宋体" w:eastAsia="仿宋_GB2312" w:cs="仿宋_GB2312"/>
          <w:kern w:val="0"/>
          <w:szCs w:val="32"/>
        </w:rPr>
        <w:t>　高级人民法院管辖在本辖区有重大影响的第一审民事案件。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rPr>
        <w:t>　　第二十条</w:t>
      </w:r>
      <w:r>
        <w:rPr>
          <w:rFonts w:hint="eastAsia" w:ascii="宋体" w:hAnsi="宋体" w:eastAsia="仿宋_GB2312" w:cs="仿宋_GB2312"/>
          <w:kern w:val="0"/>
          <w:szCs w:val="32"/>
        </w:rPr>
        <w:t>　最高人民法院管辖下列第一审民事案件: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（一）在全国有重大影响的案件；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（二）认为应当由本院审理的案件。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地域管辖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第二十一条</w:t>
      </w:r>
      <w:r>
        <w:rPr>
          <w:rFonts w:hint="eastAsia" w:ascii="宋体" w:hAnsi="宋体" w:eastAsia="仿宋_GB2312" w:cs="仿宋_GB2312"/>
          <w:kern w:val="0"/>
          <w:szCs w:val="32"/>
        </w:rPr>
        <w:t>　对公民提起的民事诉讼，由被告住所地人民法院管辖；被告住所地与经常居住地不一致的，由经常居住地人民法院管辖。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对法人或者其他组织提起的民事诉讼，由被告住所地人民法院管辖。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同一诉讼的几个被告住所地、经常居住地在两个以上人民法院辖区的，各该人民法院都有管辖权。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第二十二条</w:t>
      </w:r>
      <w:r>
        <w:rPr>
          <w:rFonts w:hint="eastAsia" w:ascii="宋体" w:hAnsi="宋体" w:eastAsia="仿宋_GB2312" w:cs="仿宋_GB2312"/>
          <w:kern w:val="0"/>
          <w:szCs w:val="32"/>
        </w:rPr>
        <w:t>　下列民事诉讼，由原告住所地人民法院管辖；原告住所地与经常居住地不一致的，由原告经常居住地人民法院管辖: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（一）对不在中华人民共和国领域内居住的人提起的有关身份关系的诉讼；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（二）对下落不明或者宣告失踪的人提起的有关身份关系的诉讼；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（三）对被采取强制性教育措施的人提起的诉讼；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（四）对被监禁的人提起的诉讼。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第二十三条</w:t>
      </w:r>
      <w:r>
        <w:rPr>
          <w:rFonts w:hint="eastAsia" w:ascii="宋体" w:hAnsi="宋体" w:eastAsia="仿宋_GB2312" w:cs="仿宋_GB2312"/>
          <w:kern w:val="0"/>
          <w:szCs w:val="32"/>
        </w:rPr>
        <w:t>　因合同纠纷提起的诉讼，由被告住所地或者合同履行地人民法院管辖。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第二十四条</w:t>
      </w:r>
      <w:r>
        <w:rPr>
          <w:rFonts w:hint="eastAsia" w:ascii="宋体" w:hAnsi="宋体" w:eastAsia="仿宋_GB2312" w:cs="仿宋_GB2312"/>
          <w:kern w:val="0"/>
          <w:szCs w:val="32"/>
        </w:rPr>
        <w:t>　因保险合同纠纷提起的诉讼，由被告住所地或者保险标的物所在地人民法院管辖。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第二十五条</w:t>
      </w:r>
      <w:r>
        <w:rPr>
          <w:rFonts w:hint="eastAsia" w:ascii="宋体" w:hAnsi="宋体" w:eastAsia="仿宋_GB2312" w:cs="仿宋_GB2312"/>
          <w:kern w:val="0"/>
          <w:szCs w:val="32"/>
        </w:rPr>
        <w:t>　因票据纠纷提起的诉讼，由票据支付地或者被告住所地人民法院管辖。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第二十六条</w:t>
      </w:r>
      <w:r>
        <w:rPr>
          <w:rFonts w:hint="eastAsia" w:ascii="宋体" w:hAnsi="宋体" w:eastAsia="仿宋_GB2312" w:cs="仿宋_GB2312"/>
          <w:kern w:val="0"/>
          <w:szCs w:val="32"/>
        </w:rPr>
        <w:t>　因公司设立、确认股东资格、分配利润、解散等纠纷提起的诉讼，由公司住所地人民法院管辖。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因铁路、公路、水上、航空运输和联合运输合同纠纷提起的诉讼，由运输始发地、目的地或者被告住所地人民法院管辖。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因侵权行为提起的诉讼，由侵权行为地或者被告住所地人民法院管辖。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第二十九条</w:t>
      </w:r>
      <w:r>
        <w:rPr>
          <w:rFonts w:hint="eastAsia" w:ascii="宋体" w:hAnsi="宋体" w:eastAsia="仿宋_GB2312" w:cs="仿宋_GB2312"/>
          <w:kern w:val="0"/>
          <w:szCs w:val="32"/>
        </w:rPr>
        <w:t>　因铁路、公路、水上和航空事故请求损害赔偿提起的诉讼，由事故发生地或者车辆、船舶最先到达地、航空器最先降落地或者被告住所地人民法院管辖。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第三十条</w:t>
      </w:r>
      <w:r>
        <w:rPr>
          <w:rFonts w:hint="eastAsia" w:ascii="宋体" w:hAnsi="宋体" w:eastAsia="仿宋_GB2312" w:cs="仿宋_GB2312"/>
          <w:kern w:val="0"/>
          <w:szCs w:val="32"/>
        </w:rPr>
        <w:t>　因船舶碰撞或者其他海事损害事故请求损害赔偿提起的诉讼，由碰撞发生地、碰撞船舶最先到达地、加害船舶被扣留地或者被告住所地人民法院管辖。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第三十一条</w:t>
      </w:r>
      <w:r>
        <w:rPr>
          <w:rFonts w:hint="eastAsia" w:ascii="宋体" w:hAnsi="宋体" w:eastAsia="仿宋_GB2312" w:cs="仿宋_GB2312"/>
          <w:kern w:val="0"/>
          <w:szCs w:val="32"/>
        </w:rPr>
        <w:t>　因海难救助费用提起的诉讼，由救助地或者被救助船舶最先到达地人民法院管辖。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第三十二条</w:t>
      </w:r>
      <w:r>
        <w:rPr>
          <w:rFonts w:hint="eastAsia" w:ascii="宋体" w:hAnsi="宋体" w:eastAsia="仿宋_GB2312" w:cs="仿宋_GB2312"/>
          <w:kern w:val="0"/>
          <w:szCs w:val="32"/>
        </w:rPr>
        <w:t>　因共同海损提起的诉讼，由船舶最先到达地、共同海损理算地或者航程终止地的人民法院管辖。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第三十三条</w:t>
      </w:r>
      <w:r>
        <w:rPr>
          <w:rFonts w:hint="eastAsia" w:ascii="宋体" w:hAnsi="宋体" w:eastAsia="仿宋_GB2312" w:cs="仿宋_GB2312"/>
          <w:kern w:val="0"/>
          <w:szCs w:val="32"/>
        </w:rPr>
        <w:t>　下列案件，由本条规定的人民法院专属管辖: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（一）因不动产纠纷提起的诉讼，由不动产所在地人民法院管辖；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（二）因港口作业中发生纠纷提起的诉讼，由港口所在地人民法院管辖；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（三）因继承遗产纠纷提起的诉讼，由被继承人死亡时住所地或者主要遗产所在地人民法院管辖。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第三十四条</w:t>
      </w:r>
      <w:r>
        <w:rPr>
          <w:rFonts w:hint="eastAsia" w:ascii="宋体" w:hAnsi="宋体" w:eastAsia="仿宋_GB2312" w:cs="仿宋_GB2312"/>
          <w:kern w:val="0"/>
          <w:szCs w:val="32"/>
        </w:rPr>
        <w:t>　合同或者其他财产权益纠纷的当事人可以书面协议选择被告住所地、合同履行地、合同签订地、原告住所地、标的物所在地等与争议有实际联系的地点的人民法院管辖，但不得违反本法对级别管辖和专属管辖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第三十五条</w:t>
      </w:r>
      <w:r>
        <w:rPr>
          <w:rFonts w:hint="eastAsia" w:ascii="宋体" w:hAnsi="宋体" w:eastAsia="仿宋_GB2312" w:cs="仿宋_GB2312"/>
          <w:kern w:val="0"/>
          <w:szCs w:val="32"/>
        </w:rPr>
        <w:t>　两个以上人民法院都有管辖权的诉讼，原告可以向其中一个人民法院起诉；原告向两个以上有管辖权的人民法院起诉的，由最先立案的人民法院管辖。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移送管辖和指定管辖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第三十六条</w:t>
      </w:r>
      <w:r>
        <w:rPr>
          <w:rFonts w:hint="eastAsia" w:ascii="宋体" w:hAnsi="宋体" w:eastAsia="仿宋_GB2312" w:cs="仿宋_GB2312"/>
          <w:kern w:val="0"/>
          <w:szCs w:val="32"/>
        </w:rPr>
        <w:t>　人民法院发现受理的案件不属于本院管辖的，应当移送有管辖权的人民法院，受移送的人民法院应当受理。受移送的人民法院认为受移送的案件依照规定不属于本院管辖的，应当报请上级人民法院指定管辖，不得再自行移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第三十七条</w:t>
      </w:r>
      <w:r>
        <w:rPr>
          <w:rFonts w:hint="eastAsia" w:ascii="宋体" w:hAnsi="宋体" w:eastAsia="仿宋_GB2312" w:cs="仿宋_GB2312"/>
          <w:kern w:val="0"/>
          <w:szCs w:val="32"/>
        </w:rPr>
        <w:t>　有管辖权的人民法院由于特殊原因，不能行使管辖权的，由上级人民法院指定管辖。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人民法院之间因管辖权发生争议，由争议双方协商解决；协商解决不了的，报请它们的共同上级人民法院指定管辖。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第三十八条</w:t>
      </w:r>
      <w:r>
        <w:rPr>
          <w:rFonts w:hint="eastAsia" w:ascii="宋体" w:hAnsi="宋体" w:eastAsia="仿宋_GB2312" w:cs="仿宋_GB2312"/>
          <w:kern w:val="0"/>
          <w:szCs w:val="32"/>
        </w:rPr>
        <w:t>　上级人民法院有权审理下级人民法院管辖的第一审民事案件；确有必要将本院管辖的第一审民事案件交下级人民法院审理的，应当报请其上级人民法院批准。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下级人民法院对它所管辖的第一审民事案件，认为需要由上级人民法院审理的，可以报请上级人民法院审理。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第三章　</w:t>
      </w:r>
      <w:r>
        <w:rPr>
          <w:rFonts w:hint="eastAsia" w:ascii="宋体" w:hAnsi="宋体" w:eastAsia="黑体" w:cs="黑体"/>
          <w:kern w:val="0"/>
          <w:szCs w:val="32"/>
        </w:rPr>
        <w:t>审判组织</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第三十九条</w:t>
      </w:r>
      <w:r>
        <w:rPr>
          <w:rFonts w:hint="eastAsia" w:ascii="宋体" w:hAnsi="宋体" w:eastAsia="仿宋_GB2312" w:cs="仿宋_GB2312"/>
          <w:kern w:val="0"/>
          <w:szCs w:val="32"/>
        </w:rPr>
        <w:t>　人民法院审理第一审民事案件，由审判员、陪审员共同组成合议庭或者由审判员组成合议庭。合议庭的成员人数，必须是单数。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适用简易程序审理的民事案件，由审判员一人独任审理。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陪审员在执行陪审职务时，与审判员有同等的权利义务。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第四十条</w:t>
      </w:r>
      <w:r>
        <w:rPr>
          <w:rFonts w:hint="eastAsia" w:ascii="宋体" w:hAnsi="宋体" w:eastAsia="仿宋_GB2312" w:cs="仿宋_GB2312"/>
          <w:kern w:val="0"/>
          <w:szCs w:val="32"/>
        </w:rPr>
        <w:t>　人民法院审理第二审民事案件，由审判员组成合议庭。合议庭的成员人数，必须是单数。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发回重审的案件，原审人民法院应当按照第一审程序另行组成合议庭。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审理再审案件，原来是第一审的，按照第一审程序另行组成合议庭；原来是第二审的或者是上级人民法院提审的，按照第二审程序另行组成合议庭。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第四十一条</w:t>
      </w:r>
      <w:r>
        <w:rPr>
          <w:rFonts w:hint="eastAsia" w:ascii="宋体" w:hAnsi="宋体" w:eastAsia="仿宋_GB2312" w:cs="仿宋_GB2312"/>
          <w:kern w:val="0"/>
          <w:szCs w:val="32"/>
        </w:rPr>
        <w:t>　合议庭的审判长由院长或者庭长指定审判员一人担任；院长或者庭长参加审判的，由院长或者庭长担任。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第四十二条</w:t>
      </w:r>
      <w:r>
        <w:rPr>
          <w:rFonts w:hint="eastAsia" w:ascii="宋体" w:hAnsi="宋体" w:eastAsia="仿宋_GB2312" w:cs="仿宋_GB2312"/>
          <w:kern w:val="0"/>
          <w:szCs w:val="32"/>
        </w:rPr>
        <w:t>　合议庭评议案件，实行少数服从多数的原则。评议应当制作笔录，由合议庭成员签名。评议中的不同意见，必须如实记入笔录。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第四十三条</w:t>
      </w:r>
      <w:r>
        <w:rPr>
          <w:rFonts w:hint="eastAsia" w:ascii="宋体" w:hAnsi="宋体" w:eastAsia="仿宋_GB2312" w:cs="仿宋_GB2312"/>
          <w:kern w:val="0"/>
          <w:szCs w:val="32"/>
        </w:rPr>
        <w:t>　审判人员应当依法秉公办案。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审判人员不得接受当事人及其诉讼代理人请客送礼。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审判人员有贪污受贿，徇私舞弊，枉法裁判行为的，应当追究法律责任；构成犯罪的，依法追究刑事责任。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第四章　</w:t>
      </w:r>
      <w:r>
        <w:rPr>
          <w:rFonts w:hint="eastAsia" w:ascii="宋体" w:hAnsi="宋体" w:eastAsia="黑体" w:cs="黑体"/>
          <w:kern w:val="0"/>
          <w:szCs w:val="32"/>
        </w:rPr>
        <w:t>回避</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第四十四条</w:t>
      </w:r>
      <w:r>
        <w:rPr>
          <w:rFonts w:hint="eastAsia" w:ascii="宋体" w:hAnsi="宋体" w:eastAsia="仿宋_GB2312" w:cs="仿宋_GB2312"/>
          <w:kern w:val="0"/>
          <w:szCs w:val="32"/>
        </w:rPr>
        <w:t>　审判人员有下列情形之一的，应当自行回避，当事人有权用口头或者书面方式申请他们回避: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（一）是本案当事人或者当事人、诉讼代理人近亲属的；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（二）与本案有利害关系的；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（三）与本案当事人、诉讼代理人有其他关系，可能影响对案件公正审理的。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审判人员接受当事人、诉讼代理人请客送礼，或者违反规定会见当事人、诉讼代理人的，当事人有权要求他们回避。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审判人员有前款规定的行为的，应当依法追究法律责任。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前三款规定，适用于书记员、翻译人员、鉴定人、勘验人。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第四十五条</w:t>
      </w:r>
      <w:r>
        <w:rPr>
          <w:rFonts w:hint="eastAsia" w:ascii="宋体" w:hAnsi="宋体" w:eastAsia="仿宋_GB2312" w:cs="仿宋_GB2312"/>
          <w:kern w:val="0"/>
          <w:szCs w:val="32"/>
        </w:rPr>
        <w:t>　当事人提出回避申请，应当说明理由，在案件开始审理时提出；回避事由在案件开始审理后知道的，也可以在法庭辩论终结前提出。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被申请回避的人员在人民法院作出是否回避的决定前，应当暂停参与本案的工作，但案件需要采取紧急措施的除外。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第四十六条</w:t>
      </w:r>
      <w:r>
        <w:rPr>
          <w:rFonts w:hint="eastAsia" w:ascii="宋体" w:hAnsi="宋体" w:eastAsia="仿宋_GB2312" w:cs="仿宋_GB2312"/>
          <w:kern w:val="0"/>
          <w:szCs w:val="32"/>
        </w:rPr>
        <w:t>　院长担任审判长时的回避，由审判委员会决定；审判人员的回避，由院长决定；其他人员的回避，由审判长决定。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第四十七条</w:t>
      </w:r>
      <w:r>
        <w:rPr>
          <w:rFonts w:hint="eastAsia" w:ascii="宋体" w:hAnsi="宋体" w:eastAsia="仿宋_GB2312" w:cs="仿宋_GB2312"/>
          <w:kern w:val="0"/>
          <w:szCs w:val="32"/>
        </w:rPr>
        <w:t>　人民法院对当事人提出的回避申请，应当在申请提出的三日内，以口头或者书面形式作出决定。申请人对决定不服的，可以在接到决定时申请复议一次。复议期间，被申请回避的人员，不停止参与本案的工作。人民法院对复议申请，应当在三日内作出复议决定，并通知复议申请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第五章　</w:t>
      </w:r>
      <w:r>
        <w:rPr>
          <w:rFonts w:hint="eastAsia" w:ascii="宋体" w:hAnsi="宋体" w:eastAsia="黑体" w:cs="黑体"/>
          <w:kern w:val="0"/>
          <w:szCs w:val="32"/>
        </w:rPr>
        <w:t>诉讼参加人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第四十八条</w:t>
      </w:r>
      <w:r>
        <w:rPr>
          <w:rFonts w:hint="eastAsia" w:ascii="宋体" w:hAnsi="宋体" w:eastAsia="仿宋_GB2312" w:cs="仿宋_GB2312"/>
          <w:kern w:val="0"/>
          <w:szCs w:val="32"/>
        </w:rPr>
        <w:t>　公民、法人和其他组织可以作为民事诉讼的当事人。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法人由其法定代表人进行诉讼。其他组织由其主要负责人进行诉讼。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第四十九条</w:t>
      </w:r>
      <w:r>
        <w:rPr>
          <w:rFonts w:hint="eastAsia" w:ascii="宋体" w:hAnsi="宋体" w:eastAsia="仿宋_GB2312" w:cs="仿宋_GB2312"/>
          <w:kern w:val="0"/>
          <w:szCs w:val="32"/>
        </w:rPr>
        <w:t>　当事人有权委托代理人，提出回避申请，收集、提供证据，进行辩论，请求调解，提起上诉，申请执行。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当事人可以查阅本案有关材料，并可以复制本案有关材料和法律文书。查阅、复制本案有关材料的范围和办法由最高人民法院规定。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当事人必须依法行使诉讼权利，遵守诉讼秩序，履行发生法律效力的判决书、裁定书和调解书。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第五十条</w:t>
      </w:r>
      <w:r>
        <w:rPr>
          <w:rFonts w:hint="eastAsia" w:ascii="宋体" w:hAnsi="宋体" w:eastAsia="仿宋_GB2312" w:cs="仿宋_GB2312"/>
          <w:kern w:val="0"/>
          <w:szCs w:val="32"/>
        </w:rPr>
        <w:t>　双方当事人可以自行和解。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第五十一条</w:t>
      </w:r>
      <w:r>
        <w:rPr>
          <w:rFonts w:hint="eastAsia" w:ascii="宋体" w:hAnsi="宋体" w:eastAsia="仿宋_GB2312" w:cs="仿宋_GB2312"/>
          <w:kern w:val="0"/>
          <w:szCs w:val="32"/>
        </w:rPr>
        <w:t>　原告可以放弃或者变更诉讼请求。被告可以承认或者反驳诉讼请求，有权提起反诉。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第五十二条</w:t>
      </w:r>
      <w:r>
        <w:rPr>
          <w:rFonts w:hint="eastAsia" w:ascii="宋体" w:hAnsi="宋体" w:eastAsia="仿宋_GB2312" w:cs="仿宋_GB2312"/>
          <w:kern w:val="0"/>
          <w:szCs w:val="32"/>
        </w:rPr>
        <w:t>　当事人一方或者双方为二人以上，其诉讼标的是共同的，或者诉讼标的是同一种类、人民法院认为可以合并审理并经当事人同意的，为共同诉讼。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共同诉讼的一方当事人对诉讼标的有共同权利义务的，其中一人的诉讼行为经其他共同诉讼人承认，对其他共同诉讼人发生效力；对诉讼标的没有共同权利义务的，其中一人的诉讼行为对其他共同诉讼人不发生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当事人一方人数众多的共同诉讼，可以由当事人推选代表人进行诉讼。代表人的诉讼行为对其所代表的当事人发生效力，但代表人变更、放弃诉讼请求或者承认对方当事人的诉讼请求，进行和解，必须经被代表的当事人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第五十四条</w:t>
      </w:r>
      <w:r>
        <w:rPr>
          <w:rFonts w:hint="eastAsia" w:ascii="宋体" w:hAnsi="宋体" w:eastAsia="仿宋_GB2312" w:cs="仿宋_GB2312"/>
          <w:kern w:val="0"/>
          <w:szCs w:val="32"/>
        </w:rPr>
        <w:t>　诉讼标的是同一种类、当事人一方人数众多在起诉时人数尚未确定的，人民法院可以发出公告，说明案件情况和诉讼请求，通知权利人在一定期间向人民法院登记。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向人民法院登记的权利人可以推选代表人进行诉讼；推选不出代表人的，人民法院可以与参加登记的权利人商定代表人。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代表人的诉讼行为对其所代表的当事人发生效力，但代表人变更、放弃诉讼请求或者承认对方当事人的诉讼请求，进行和解，必须经被代表的当事人同意。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人民法院作出的判决、裁定，对参加登记的全体权利人发生效力。未参加登记的权利人在诉讼时效期间提起诉讼的，适用该判决、裁定。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第五十五条</w:t>
      </w:r>
      <w:r>
        <w:rPr>
          <w:rFonts w:hint="eastAsia" w:ascii="宋体" w:hAnsi="宋体" w:eastAsia="仿宋_GB2312" w:cs="仿宋_GB2312"/>
          <w:kern w:val="0"/>
          <w:szCs w:val="32"/>
        </w:rPr>
        <w:t>　对污染环境、侵害众多消费者合法权益等损害社会公共利益的行为，法律规定的机关和有关组织可以向人民法院提起诉讼。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检察院在履行职责中发现破坏生态环境和资源保护、食品药品安全领域侵害众多消费者合法权益等损害社会公共利益的行为，在没有前款规定的机关和组织或者前款规定的机关和组织不提起诉讼的情况下，可以向人民法院提起诉讼。前款规定的机关或者组织提起诉讼的，人民检察院可以支持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第五十六条</w:t>
      </w:r>
      <w:r>
        <w:rPr>
          <w:rFonts w:hint="eastAsia" w:ascii="宋体" w:hAnsi="宋体" w:eastAsia="仿宋_GB2312" w:cs="仿宋_GB2312"/>
          <w:kern w:val="0"/>
          <w:szCs w:val="32"/>
        </w:rPr>
        <w:t>　对当事人双方的诉讼标的，第三人认为有独立请求权的，有权提起诉讼。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当事人双方的诉讼标的，第三人虽然没有独立请求权，但案件处理结果同他有法律上的利害关系的，可以申请参加诉讼，或者由人民法院通知他参加诉讼。人民法院判决承担民事责任的第三人，有当事人的诉讼权利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两款规定的第三人，因不能归责于本人的事由未参加诉讼，但有证据证明发生法律效力的判决、裁定、调解书的部分或者全部内容错误，损害其民事权益的，可以自知道或者应当知道其民事权益受到损害之日起六个月内，向作出该判决、裁定、调解书的人民法院提起诉讼。人民法院经审理，诉讼请求成立的，应当改变或者撤销原判决、裁定、调解书；诉讼请求不成立的，驳回诉讼请求。</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第五十七条</w:t>
      </w:r>
      <w:r>
        <w:rPr>
          <w:rFonts w:hint="eastAsia" w:ascii="宋体" w:hAnsi="宋体" w:eastAsia="仿宋_GB2312" w:cs="仿宋_GB2312"/>
          <w:kern w:val="0"/>
          <w:szCs w:val="32"/>
        </w:rPr>
        <w:t>　无诉讼行为能力人由他的监护人作为法定代理人代为诉讼。法定代理人之间互相推诿代理责任的，由人民法院指定其中一人代为诉讼。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第五十八条</w:t>
      </w:r>
      <w:r>
        <w:rPr>
          <w:rFonts w:hint="eastAsia" w:ascii="宋体" w:hAnsi="宋体" w:eastAsia="仿宋_GB2312" w:cs="仿宋_GB2312"/>
          <w:kern w:val="0"/>
          <w:szCs w:val="32"/>
        </w:rPr>
        <w:t>　当事人、法定代理人可以委托一至二人作为诉讼代理人。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下列人员可以被委托为诉讼代理人: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（一）律师、基层法律服务工作者；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（二）当事人的近亲属或者工作人员；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（三）当事人所在社区、单位以及有关社会团体推荐的公民。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第五十九条</w:t>
      </w:r>
      <w:r>
        <w:rPr>
          <w:rFonts w:hint="eastAsia" w:ascii="宋体" w:hAnsi="宋体" w:eastAsia="黑体" w:cs="黑体"/>
          <w:kern w:val="0"/>
          <w:szCs w:val="32"/>
          <w:lang w:val="en-US" w:eastAsia="zh-CN"/>
        </w:rPr>
        <w:t>　</w:t>
      </w:r>
      <w:r>
        <w:rPr>
          <w:rFonts w:hint="eastAsia" w:ascii="宋体" w:hAnsi="宋体" w:eastAsia="仿宋_GB2312" w:cs="仿宋_GB2312"/>
          <w:kern w:val="0"/>
          <w:szCs w:val="32"/>
        </w:rPr>
        <w:t>委托他人代为诉讼，必须向人民法院提交由委托人签名或者盖章的授权委托书。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授权委托书必须记明委托事项和权限。诉讼代理人代为承认、放弃、变更诉讼请求，进行和解，提起反诉或者上诉，必须有委托人的特别授权。</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侨居在国外的中华人民共和国公民从国外寄交或者托交的授权委托书，必须经中华人民共和国驻该国的使领馆证明；没有使领馆的，由与中华人民共和国有外交关系的第三国驻该国的使领馆证明，再转由中华人民共和国驻该第三国使领馆证明，或者由当地的爱国华侨团体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第六十条</w:t>
      </w:r>
      <w:r>
        <w:rPr>
          <w:rFonts w:hint="eastAsia" w:ascii="宋体" w:hAnsi="宋体" w:eastAsia="仿宋_GB2312" w:cs="仿宋_GB2312"/>
          <w:kern w:val="0"/>
          <w:szCs w:val="32"/>
        </w:rPr>
        <w:t>　诉讼代理人的权限如果变更或者解除，当事人应当书面告知人民法院，并由人民法院通知对方当事人。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第六十一条</w:t>
      </w:r>
      <w:r>
        <w:rPr>
          <w:rFonts w:hint="eastAsia" w:ascii="宋体" w:hAnsi="宋体" w:eastAsia="仿宋_GB2312" w:cs="仿宋_GB2312"/>
          <w:kern w:val="0"/>
          <w:szCs w:val="32"/>
        </w:rPr>
        <w:t>　代理诉讼的律师和其他诉讼代理人有权调查收集证据，可以查阅本案有关材料。查阅本案有关材料的范围和办法由最高人民法院规定。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第六十二条</w:t>
      </w:r>
      <w:r>
        <w:rPr>
          <w:rFonts w:hint="eastAsia" w:ascii="宋体" w:hAnsi="宋体" w:eastAsia="仿宋_GB2312" w:cs="仿宋_GB2312"/>
          <w:kern w:val="0"/>
          <w:szCs w:val="32"/>
        </w:rPr>
        <w:t>　离婚案件有诉讼代理人的，本人除不能表达意思的以外，仍应出庭；确因特殊情况无法出庭的，必须向人民法院提交书面意见。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第六章　</w:t>
      </w:r>
      <w:r>
        <w:rPr>
          <w:rFonts w:hint="eastAsia" w:ascii="宋体" w:hAnsi="宋体" w:eastAsia="黑体" w:cs="黑体"/>
          <w:kern w:val="0"/>
          <w:szCs w:val="32"/>
        </w:rPr>
        <w:t>证据</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第六十三条</w:t>
      </w:r>
      <w:r>
        <w:rPr>
          <w:rFonts w:hint="eastAsia" w:ascii="宋体" w:hAnsi="宋体" w:eastAsia="仿宋_GB2312" w:cs="仿宋_GB2312"/>
          <w:kern w:val="0"/>
          <w:szCs w:val="32"/>
        </w:rPr>
        <w:t>　证据包括: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（一）当事人的陈述；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（二）书证；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（三）物证；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（四）视听资料；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（五）电子数据；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（六）证人证言；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（七）鉴定意见；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（八）勘验笔录。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证据必须查证属实，才能作为认定事实的根据。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第六十四条</w:t>
      </w:r>
      <w:r>
        <w:rPr>
          <w:rFonts w:hint="eastAsia" w:ascii="宋体" w:hAnsi="宋体" w:eastAsia="仿宋_GB2312" w:cs="仿宋_GB2312"/>
          <w:kern w:val="0"/>
          <w:szCs w:val="32"/>
        </w:rPr>
        <w:t>　当事人对自己提出的主张，有责任提供证据。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当事人及其诉讼代理人因客观原因不能自行收集的证据，或者人民法院认为审理案件需要的证据，人民法院应当调查收集。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人民法院应当按照法定程序，全面地、客观地审查核实证据。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第六十五条</w:t>
      </w:r>
      <w:r>
        <w:rPr>
          <w:rFonts w:hint="eastAsia" w:ascii="宋体" w:hAnsi="宋体" w:eastAsia="仿宋_GB2312" w:cs="仿宋_GB2312"/>
          <w:kern w:val="0"/>
          <w:szCs w:val="32"/>
        </w:rPr>
        <w:t>　当事人对自己提出的主张应当及时提供证据。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根据当事人的主张和案件审理情况，确定当事人应当提供的证据及其期限。当事人在该期限内提供证据确有困难的，可以向人民法院申请延长期限，人民法院根据当事人的申请适当延长。当事人逾期提供证据的，人民法院应当责令其说明理由；拒不说明理由或者理由不成立的，人民法院根据不同情形可以不予采纳该证据，或者采纳该证据但予以训诫、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第六十六条</w:t>
      </w:r>
      <w:r>
        <w:rPr>
          <w:rFonts w:hint="eastAsia" w:ascii="宋体" w:hAnsi="宋体" w:eastAsia="仿宋_GB2312" w:cs="仿宋_GB2312"/>
          <w:kern w:val="0"/>
          <w:szCs w:val="32"/>
        </w:rPr>
        <w:t>　人民法院收到当事人提交的证据材料，应当出具收据，写明证据名称、页数、份数、原件或者复印件以及收到时间等，并由经办人员签名或者盖章。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第六十七条</w:t>
      </w:r>
      <w:r>
        <w:rPr>
          <w:rFonts w:hint="eastAsia" w:ascii="宋体" w:hAnsi="宋体" w:eastAsia="仿宋_GB2312" w:cs="仿宋_GB2312"/>
          <w:kern w:val="0"/>
          <w:szCs w:val="32"/>
        </w:rPr>
        <w:t>　人民法院有权向有关单位和个人调查取证，有关单位和个人不得拒绝。</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人民法院对有关单位和个人提出的证明文书，应当辨别真伪，审查确定其效力。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第六十八条</w:t>
      </w:r>
      <w:r>
        <w:rPr>
          <w:rFonts w:hint="eastAsia" w:ascii="宋体" w:hAnsi="宋体" w:eastAsia="仿宋_GB2312" w:cs="仿宋_GB2312"/>
          <w:kern w:val="0"/>
          <w:szCs w:val="32"/>
        </w:rPr>
        <w:t>　证据应当在法庭上出示，并由当事人互相质证。对涉及国家秘密、商业秘密和个人隐私的证据应当保密，需要在法庭出示的，不得在公开开庭时出示。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第六十九条</w:t>
      </w:r>
      <w:r>
        <w:rPr>
          <w:rFonts w:hint="eastAsia" w:ascii="宋体" w:hAnsi="宋体" w:eastAsia="仿宋_GB2312" w:cs="仿宋_GB2312"/>
          <w:kern w:val="0"/>
          <w:szCs w:val="32"/>
        </w:rPr>
        <w:t>　经过法定程序公证证明的法律事实和文书，人民法院应当作为认定事实的根据，但有相反证据足以推翻公证证明的除外。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第七十条</w:t>
      </w:r>
      <w:r>
        <w:rPr>
          <w:rFonts w:hint="eastAsia" w:ascii="宋体" w:hAnsi="宋体" w:eastAsia="仿宋_GB2312" w:cs="仿宋_GB2312"/>
          <w:kern w:val="0"/>
          <w:szCs w:val="32"/>
        </w:rPr>
        <w:t>　书证应当提交原件。物证应当提交原物。提交原件或者原物确有困难的，可以提交复制品、照片、副本、节录本。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提交外文书证，必须附有中文译本。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第七十一条</w:t>
      </w:r>
      <w:r>
        <w:rPr>
          <w:rFonts w:hint="eastAsia" w:ascii="宋体" w:hAnsi="宋体" w:eastAsia="仿宋_GB2312" w:cs="仿宋_GB2312"/>
          <w:kern w:val="0"/>
          <w:szCs w:val="32"/>
        </w:rPr>
        <w:t>　人民法院对视听资料，应当辨别真伪，并结合本案的其他证据，审查确定能否作为认定事实的根据。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第七十二条</w:t>
      </w:r>
      <w:r>
        <w:rPr>
          <w:rFonts w:hint="eastAsia" w:ascii="宋体" w:hAnsi="宋体" w:eastAsia="仿宋_GB2312" w:cs="仿宋_GB2312"/>
          <w:kern w:val="0"/>
          <w:szCs w:val="32"/>
        </w:rPr>
        <w:t>　凡是知道案件情况的单位和个人，都有义务出庭作证。有关单位的负责人应当支持证人作证。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不能正确表达意思的人，不能作证。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第七十三条</w:t>
      </w:r>
      <w:r>
        <w:rPr>
          <w:rFonts w:hint="eastAsia" w:ascii="宋体" w:hAnsi="宋体" w:eastAsia="仿宋_GB2312" w:cs="仿宋_GB2312"/>
          <w:kern w:val="0"/>
          <w:szCs w:val="32"/>
        </w:rPr>
        <w:t>　经人民法院通知，证人应当出庭作证。有下列情形之一的，经人民法院许可，可以通过书面证言、视听传输技术或者视听资料等方式作证: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（一）因健康原因不能出庭的；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（二）因路途遥远，交通不便不能出庭的；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（三）因自然灾害等不可抗力不能出庭的；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（四）其他有正当理由不能出庭的。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第七十四条</w:t>
      </w:r>
      <w:r>
        <w:rPr>
          <w:rFonts w:hint="eastAsia" w:ascii="宋体" w:hAnsi="宋体" w:eastAsia="仿宋_GB2312" w:cs="仿宋_GB2312"/>
          <w:kern w:val="0"/>
          <w:szCs w:val="32"/>
        </w:rPr>
        <w:t>　证人因履行出庭作证义务而支出的交通、住宿、就餐等必要费用以及误工损失，由败诉一方当事人负担。当事人申请证人作证的，由该当事人先行垫付；当事人没有申请，人民法院通知证人作证的，由人民法院先行垫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第七十五条</w:t>
      </w:r>
      <w:r>
        <w:rPr>
          <w:rFonts w:hint="eastAsia" w:ascii="宋体" w:hAnsi="宋体" w:eastAsia="仿宋_GB2312" w:cs="仿宋_GB2312"/>
          <w:kern w:val="0"/>
          <w:szCs w:val="32"/>
        </w:rPr>
        <w:t>　人民法院对当事人的陈述，应当结合本案的其他证据，审查确定能否作为认定事实的根据。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当事人拒绝陈述的，不影响人民法院根据证据认定案件事实。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第七十六条</w:t>
      </w:r>
      <w:r>
        <w:rPr>
          <w:rFonts w:hint="eastAsia" w:ascii="宋体" w:hAnsi="宋体" w:eastAsia="仿宋_GB2312" w:cs="仿宋_GB2312"/>
          <w:kern w:val="0"/>
          <w:szCs w:val="32"/>
        </w:rPr>
        <w:t>　当事人可以就查明事实的专门性问题向人民法院申请鉴定。当事人申请鉴定的，由双方当事人协商确定具备资格的鉴定人；协商不成的，由人民法院指定。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当事人未申请鉴定，人民法院对专门性问题认为需要鉴定的，应当委托具备资格的鉴定人进行鉴定。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第七十七条</w:t>
      </w:r>
      <w:r>
        <w:rPr>
          <w:rFonts w:hint="eastAsia" w:ascii="宋体" w:hAnsi="宋体" w:eastAsia="仿宋_GB2312" w:cs="仿宋_GB2312"/>
          <w:kern w:val="0"/>
          <w:szCs w:val="32"/>
        </w:rPr>
        <w:t>　鉴定人有权了解进行鉴定所需要的案件材料，必要时可以询问当事人、证人。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鉴定人应当提出书面鉴定意见，在鉴定书上签名或者盖章。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第七十八条</w:t>
      </w:r>
      <w:r>
        <w:rPr>
          <w:rFonts w:hint="eastAsia" w:ascii="宋体" w:hAnsi="宋体" w:eastAsia="仿宋_GB2312" w:cs="仿宋_GB2312"/>
          <w:kern w:val="0"/>
          <w:szCs w:val="32"/>
        </w:rPr>
        <w:t>　当事人对鉴定意见有异议或者人民法院认为鉴定人有必要出庭的，鉴定人应当出庭作证。经人民法院通知，鉴定人拒不出庭作证的，鉴定意见不得作为认定事实的根据；支付鉴定费用的当事人可以要求返还鉴定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第七十九条</w:t>
      </w:r>
      <w:r>
        <w:rPr>
          <w:rFonts w:hint="eastAsia" w:ascii="宋体" w:hAnsi="宋体" w:eastAsia="仿宋_GB2312" w:cs="仿宋_GB2312"/>
          <w:kern w:val="0"/>
          <w:szCs w:val="32"/>
        </w:rPr>
        <w:t>　当事人可以申请人民法院通知有专门知识的人出庭，就鉴定人作出的鉴定意见或者专业问题提出意见。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第八十条</w:t>
      </w:r>
      <w:r>
        <w:rPr>
          <w:rFonts w:hint="eastAsia" w:ascii="宋体" w:hAnsi="宋体" w:eastAsia="仿宋_GB2312" w:cs="仿宋_GB2312"/>
          <w:kern w:val="0"/>
          <w:szCs w:val="32"/>
        </w:rPr>
        <w:t>　勘验物证或者现场，勘验人必须出示人民法院的证件，并邀请当地基层组织或者当事人所在单位派人参加。当事人或者当事人的成年家属应当到场，拒不到场的，不影响勘验的进行。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有关单位和个人根据人民法院的通知，有义务保护现场，协助勘验工作。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勘验人应当将勘验情况和结果制作笔录，由勘验人、当事人和被邀参加人签名或者盖章。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第八十一条</w:t>
      </w:r>
      <w:r>
        <w:rPr>
          <w:rFonts w:hint="eastAsia" w:ascii="宋体" w:hAnsi="宋体" w:eastAsia="仿宋_GB2312" w:cs="仿宋_GB2312"/>
          <w:kern w:val="0"/>
          <w:szCs w:val="32"/>
        </w:rPr>
        <w:t>　在证据可能灭失或者以后难以取得的情况下，当事人可以在诉讼过程中向人民法院申请保全证据，人民法院也可以主动采取保全措施。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因情况紧急，在证据可能灭失或者以后难以取得的情况下，利害关系人可以在提起诉讼或者申请仲裁前向证据所在地、被申请人住所地或者对案件有管辖权的人民法院申请保全证据。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证据保全的其他程序，参照适用本法第九章保全的有关规定。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第七章　</w:t>
      </w:r>
      <w:r>
        <w:rPr>
          <w:rFonts w:hint="eastAsia" w:ascii="宋体" w:hAnsi="宋体" w:eastAsia="黑体" w:cs="黑体"/>
          <w:kern w:val="0"/>
          <w:szCs w:val="32"/>
        </w:rPr>
        <w:t>期间、送达</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期间</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第八十二条</w:t>
      </w:r>
      <w:r>
        <w:rPr>
          <w:rFonts w:hint="eastAsia" w:ascii="宋体" w:hAnsi="宋体" w:eastAsia="仿宋_GB2312" w:cs="仿宋_GB2312"/>
          <w:kern w:val="0"/>
          <w:szCs w:val="32"/>
        </w:rPr>
        <w:t>　期间包括法定期间和人民法院指定的期间。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期间以时、日、月、年计算。期间开始的时和日，不计算在期间内。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期间届满的最后一日是节假日的，以节假日后的第一日为期间届满的日期。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期间不包括在途时间，诉讼文书在期满前交邮的，不算过期。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第八十三条</w:t>
      </w:r>
      <w:r>
        <w:rPr>
          <w:rFonts w:hint="eastAsia" w:ascii="宋体" w:hAnsi="宋体" w:eastAsia="仿宋_GB2312" w:cs="仿宋_GB2312"/>
          <w:kern w:val="0"/>
          <w:szCs w:val="32"/>
        </w:rPr>
        <w:t>　当事人因不可抗拒的事由或者其他正当理由耽误期限的，在障碍消除后的十日内，可以申请顺延期限，是否准许，由人民法院决定。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送达</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第八十四条</w:t>
      </w:r>
      <w:r>
        <w:rPr>
          <w:rFonts w:hint="eastAsia" w:ascii="宋体" w:hAnsi="宋体" w:eastAsia="仿宋_GB2312" w:cs="仿宋_GB2312"/>
          <w:kern w:val="0"/>
          <w:szCs w:val="32"/>
        </w:rPr>
        <w:t>　送达诉讼文书必须有送达回证，由受送达人在送达回证上记明收到日期，签名或者盖章。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受送达人在送达回证上的签收日期为送达日期。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第八十五条</w:t>
      </w:r>
      <w:r>
        <w:rPr>
          <w:rFonts w:hint="eastAsia" w:ascii="宋体" w:hAnsi="宋体" w:eastAsia="仿宋_GB2312" w:cs="仿宋_GB2312"/>
          <w:kern w:val="0"/>
          <w:szCs w:val="32"/>
        </w:rPr>
        <w:t>　送达诉讼文书，应当直接送交受送达人。受送达人是公民的，本人不在交他的同住成年家属签收；受送达人是法人或者其他组织的，应当由法人的法定代表人、其他组织的主要负责人或者该法人、组织负责收件的人签收；受送达人有诉讼代理人的，可以送交其代理人签收；受送达人已向人民法院指定代收人的，送交代收人签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受送达人的同住成年家属，法人或者其他组织的负责收件的人，诉讼代理人或者代收人在送达回证上签收的日期为送达日期。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第八十六条</w:t>
      </w:r>
      <w:r>
        <w:rPr>
          <w:rFonts w:hint="eastAsia" w:ascii="宋体" w:hAnsi="宋体" w:eastAsia="仿宋_GB2312" w:cs="仿宋_GB2312"/>
          <w:kern w:val="0"/>
          <w:szCs w:val="32"/>
        </w:rPr>
        <w:t>　受送达人或者他的同住成年家属拒绝接收诉讼文书的，送达人可以邀请有关基层组织或者所在单位的代表到场，说明情况，在送达回证上记明拒收事由和日期，由送达人、见证人签名或者盖章，把诉讼文书留在受送达人的住所；也可以把诉讼文书留在受送达人的住所，并采用拍照、录像等方式记录送达过程，即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第八十七条</w:t>
      </w:r>
      <w:r>
        <w:rPr>
          <w:rFonts w:hint="eastAsia" w:ascii="宋体" w:hAnsi="宋体" w:eastAsia="仿宋_GB2312" w:cs="仿宋_GB2312"/>
          <w:kern w:val="0"/>
          <w:szCs w:val="32"/>
        </w:rPr>
        <w:t>　经受送达人同意，人民法院可以采用传真、电子邮件等能够确认其收悉的方式送达诉讼文书，但判决书、裁定书、调解书除外。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采用前款方式送达的，以传真、电子邮件等到达受送达人特定系统的日期为送达日期。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第八十八条</w:t>
      </w:r>
      <w:r>
        <w:rPr>
          <w:rFonts w:hint="eastAsia" w:ascii="宋体" w:hAnsi="宋体" w:eastAsia="仿宋_GB2312" w:cs="仿宋_GB2312"/>
          <w:kern w:val="0"/>
          <w:szCs w:val="32"/>
        </w:rPr>
        <w:t>　直接送达诉讼文书有困难的，可以委托其他人民法院代为送达，或者邮寄送达。邮寄送达的，以回执上注明的收件日期为送达日期。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第八十九条</w:t>
      </w:r>
      <w:r>
        <w:rPr>
          <w:rFonts w:hint="eastAsia" w:ascii="宋体" w:hAnsi="宋体" w:eastAsia="仿宋_GB2312" w:cs="仿宋_GB2312"/>
          <w:kern w:val="0"/>
          <w:szCs w:val="32"/>
        </w:rPr>
        <w:t>　受送达人是军人的，通过其所在部队团以上单位的政治机关转交。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第九十条</w:t>
      </w:r>
      <w:r>
        <w:rPr>
          <w:rFonts w:hint="eastAsia" w:ascii="宋体" w:hAnsi="宋体" w:eastAsia="仿宋_GB2312" w:cs="仿宋_GB2312"/>
          <w:kern w:val="0"/>
          <w:szCs w:val="32"/>
        </w:rPr>
        <w:t>　受送达人被监禁的，通过其所在监所转交。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受送达人被采取强制性教育措施的，通过其所在强制性教育机构转交。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第九十一条</w:t>
      </w:r>
      <w:r>
        <w:rPr>
          <w:rFonts w:hint="eastAsia" w:ascii="宋体" w:hAnsi="宋体" w:eastAsia="仿宋_GB2312" w:cs="仿宋_GB2312"/>
          <w:kern w:val="0"/>
          <w:szCs w:val="32"/>
        </w:rPr>
        <w:t>　代为转交的机关、单位收到诉讼文书后，必须立即</w:t>
      </w:r>
      <w:r>
        <w:rPr>
          <w:rFonts w:hint="eastAsia" w:ascii="宋体" w:hAnsi="宋体" w:eastAsia="仿宋_GB2312" w:cs="仿宋_GB2312"/>
          <w:kern w:val="0"/>
          <w:szCs w:val="32"/>
          <w:highlight w:val="none"/>
        </w:rPr>
        <w:t>交受</w:t>
      </w:r>
      <w:r>
        <w:rPr>
          <w:rFonts w:hint="eastAsia" w:ascii="宋体" w:hAnsi="宋体" w:eastAsia="仿宋_GB2312" w:cs="仿宋_GB2312"/>
          <w:kern w:val="0"/>
          <w:szCs w:val="32"/>
        </w:rPr>
        <w:t>送达人签收，以在送达回证上的签收日期，为送达日期。</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第九十二条</w:t>
      </w:r>
      <w:r>
        <w:rPr>
          <w:rFonts w:hint="eastAsia" w:ascii="宋体" w:hAnsi="宋体" w:eastAsia="仿宋_GB2312" w:cs="仿宋_GB2312"/>
          <w:kern w:val="0"/>
          <w:szCs w:val="32"/>
        </w:rPr>
        <w:t>　受送达人下落不明，或者用本节规定的其他方式无法送达的，公告送达。自发出公告之日起，经过六十日，即视为送达。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公告送达，应当在案卷中记明原因和经过。</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第八章　</w:t>
      </w:r>
      <w:r>
        <w:rPr>
          <w:rFonts w:hint="eastAsia" w:ascii="宋体" w:hAnsi="宋体" w:eastAsia="黑体" w:cs="黑体"/>
          <w:kern w:val="0"/>
          <w:szCs w:val="32"/>
        </w:rPr>
        <w:t>调解</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第九十三条</w:t>
      </w:r>
      <w:r>
        <w:rPr>
          <w:rFonts w:hint="eastAsia" w:ascii="宋体" w:hAnsi="宋体" w:eastAsia="仿宋_GB2312" w:cs="仿宋_GB2312"/>
          <w:kern w:val="0"/>
          <w:szCs w:val="32"/>
        </w:rPr>
        <w:t>　人民法院审理民事案件，根据当事人自愿的原则，在事实清楚的基础上，分清是非，进行调解。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第九十四条</w:t>
      </w:r>
      <w:r>
        <w:rPr>
          <w:rFonts w:hint="eastAsia" w:ascii="宋体" w:hAnsi="宋体" w:eastAsia="仿宋_GB2312" w:cs="仿宋_GB2312"/>
          <w:kern w:val="0"/>
          <w:szCs w:val="32"/>
        </w:rPr>
        <w:t>　人民法院进行调解，可以由审判员一人主持，也可以由合议庭主持，并尽可能就地进行。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人民法院进行调解，可以用简便方式通知当事人、证人到庭。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第九十五条</w:t>
      </w:r>
      <w:r>
        <w:rPr>
          <w:rFonts w:hint="eastAsia" w:ascii="宋体" w:hAnsi="宋体" w:eastAsia="仿宋_GB2312" w:cs="仿宋_GB2312"/>
          <w:kern w:val="0"/>
          <w:szCs w:val="32"/>
        </w:rPr>
        <w:t>　人民法院进行调解，可以邀请有关单位和个人协助。被邀请的单位和个人，应当协助人民法院进行调解。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第九十六条</w:t>
      </w:r>
      <w:r>
        <w:rPr>
          <w:rFonts w:hint="eastAsia" w:ascii="宋体" w:hAnsi="宋体" w:eastAsia="仿宋_GB2312" w:cs="仿宋_GB2312"/>
          <w:kern w:val="0"/>
          <w:szCs w:val="32"/>
        </w:rPr>
        <w:t>　调解达成协议，必须双方自愿，不得强迫。调解协议的内容不得违反法律规定。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第九十七条</w:t>
      </w:r>
      <w:r>
        <w:rPr>
          <w:rFonts w:hint="eastAsia" w:ascii="宋体" w:hAnsi="宋体" w:eastAsia="仿宋_GB2312" w:cs="仿宋_GB2312"/>
          <w:kern w:val="0"/>
          <w:szCs w:val="32"/>
        </w:rPr>
        <w:t>　调解达成协议，人民法院应当制作调解书。调解书应当写明诉讼请求、案件的事实和调解结果。</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调解书由审判人员、书记员署名，加盖人民法院印章，送达双方当事人。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调解书经双方当事人签收后，即具有法律效力。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第九十八条</w:t>
      </w:r>
      <w:r>
        <w:rPr>
          <w:rFonts w:hint="eastAsia" w:ascii="宋体" w:hAnsi="宋体" w:eastAsia="仿宋_GB2312" w:cs="仿宋_GB2312"/>
          <w:kern w:val="0"/>
          <w:szCs w:val="32"/>
        </w:rPr>
        <w:t>　下列案件调解达成协议，人民法院可以不制作调解书: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（一）调解和好的离婚案件；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（二）调解维持收养关系的案件；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（三）能够即时履行的案件；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（四）其他不需要制作调解书的案件。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对不需要制作调解书的协议，应当记入笔录，由双方当事人、审判人员、书记员签名或者盖章后，即具有法律效力。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第九十九条</w:t>
      </w:r>
      <w:r>
        <w:rPr>
          <w:rFonts w:hint="eastAsia" w:ascii="宋体" w:hAnsi="宋体" w:eastAsia="仿宋_GB2312" w:cs="仿宋_GB2312"/>
          <w:kern w:val="0"/>
          <w:szCs w:val="32"/>
        </w:rPr>
        <w:t>　调解未达成协议或者调解书送达前一方反悔的，人民法院应当及时判决。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第九章　</w:t>
      </w:r>
      <w:r>
        <w:rPr>
          <w:rFonts w:hint="eastAsia" w:ascii="宋体" w:hAnsi="宋体" w:eastAsia="黑体" w:cs="黑体"/>
          <w:kern w:val="0"/>
          <w:szCs w:val="32"/>
        </w:rPr>
        <w:t>保全和先予执行</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第一百条</w:t>
      </w:r>
      <w:r>
        <w:rPr>
          <w:rFonts w:hint="eastAsia" w:ascii="宋体" w:hAnsi="宋体" w:eastAsia="仿宋_GB2312" w:cs="仿宋_GB2312"/>
          <w:kern w:val="0"/>
          <w:szCs w:val="32"/>
        </w:rPr>
        <w:t>　人民法院对于可能因当事人一方的行为或者其他原因，使判决难以执行或者造成当事人其他损害的案件，根据对方当事人的申请，可以裁定对其财产进行保全、责令其作出一定行为或者禁止其作出一定行为；当事人没有提出申请的，人民法院在必要时也可以裁定采取保全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人民法院采取保全措施，可以责令申请人提供担保，申请人不提供担保的，裁定驳回申请。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人民法院接受申请后，对情况紧急的，必须在四十八小时内作出裁定；裁定采取保全措施的，应当立即开始执行。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第一百零一条</w:t>
      </w:r>
      <w:r>
        <w:rPr>
          <w:rFonts w:hint="eastAsia" w:ascii="宋体" w:hAnsi="宋体" w:eastAsia="仿宋_GB2312" w:cs="仿宋_GB2312"/>
          <w:kern w:val="0"/>
          <w:szCs w:val="32"/>
        </w:rPr>
        <w:t>　利害关系人因情况紧急，不立即申请保全将会使其合法权益受到难以弥补的损害的，可以在提起诉讼或者申请仲裁前向被保全财产所在地、被申请人住所地或者对案件有管辖权的人民法院申请采取保全措施。申请人应当提供担保，不提供担保的，裁定驳回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人民法院接受申请后，必须在四十八小时内作出裁定；裁定采取保全措施的，应当立即开始执行。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申请人在人民法院采取保全措施后三十日内不依法提起诉讼或者申请仲裁的，人民法院应当解除保全。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第一百零二条</w:t>
      </w:r>
      <w:r>
        <w:rPr>
          <w:rFonts w:hint="eastAsia" w:ascii="宋体" w:hAnsi="宋体" w:eastAsia="仿宋_GB2312" w:cs="仿宋_GB2312"/>
          <w:kern w:val="0"/>
          <w:szCs w:val="32"/>
        </w:rPr>
        <w:t>　保全限于请求的范围，或者与本案有关的财物。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第一百零三条</w:t>
      </w:r>
      <w:r>
        <w:rPr>
          <w:rFonts w:hint="eastAsia" w:ascii="宋体" w:hAnsi="宋体" w:eastAsia="仿宋_GB2312" w:cs="仿宋_GB2312"/>
          <w:kern w:val="0"/>
          <w:szCs w:val="32"/>
        </w:rPr>
        <w:t>　财产保全采取查封、扣押、冻结或者法律规定的其他方法。人民法院保全财产后，应当立即通知被保全财产的人。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财产已被查封、冻结的，不得重复查封、冻结。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第一百零四条</w:t>
      </w:r>
      <w:r>
        <w:rPr>
          <w:rFonts w:hint="eastAsia" w:ascii="宋体" w:hAnsi="宋体" w:eastAsia="仿宋_GB2312" w:cs="仿宋_GB2312"/>
          <w:kern w:val="0"/>
          <w:szCs w:val="32"/>
        </w:rPr>
        <w:t>　财产纠纷案件，被申请人提供担保的，人民法院应当裁定解除保全。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第一百零五条</w:t>
      </w:r>
      <w:r>
        <w:rPr>
          <w:rFonts w:hint="eastAsia" w:ascii="宋体" w:hAnsi="宋体" w:eastAsia="仿宋_GB2312" w:cs="仿宋_GB2312"/>
          <w:kern w:val="0"/>
          <w:szCs w:val="32"/>
        </w:rPr>
        <w:t>　申请有错误的，申请人应当赔偿被申请人因保全所遭受的损失。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第一百零六条</w:t>
      </w:r>
      <w:r>
        <w:rPr>
          <w:rFonts w:hint="eastAsia" w:ascii="宋体" w:hAnsi="宋体" w:eastAsia="仿宋_GB2312" w:cs="仿宋_GB2312"/>
          <w:kern w:val="0"/>
          <w:szCs w:val="32"/>
        </w:rPr>
        <w:t>　人民法院对下列案件，根据当事人的申请，可以裁定先予执行: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（一）追索赡养费、扶养费、抚育费、抚恤金、医疗费用的；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（二）追索劳动报酬的；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（三）因情况紧急需要先予执行的。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第一百零七条</w:t>
      </w:r>
      <w:r>
        <w:rPr>
          <w:rFonts w:hint="eastAsia" w:ascii="宋体" w:hAnsi="宋体" w:eastAsia="仿宋_GB2312" w:cs="仿宋_GB2312"/>
          <w:kern w:val="0"/>
          <w:szCs w:val="32"/>
        </w:rPr>
        <w:t>　人民法院裁定先予执行的，应当符合下列条件: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（一）当事人之间权利义务关系明确，不先予执行将严重影响申请人的生活或者生产经营的；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（二）被申请人有履行能力。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人民法院可以责令申请人提供担保，申请人不提供担保的，驳回申请。申请人败诉的，应当赔偿被申请人因先予执行遭受的财产损失。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第一百零八条</w:t>
      </w:r>
      <w:r>
        <w:rPr>
          <w:rFonts w:hint="eastAsia" w:ascii="宋体" w:hAnsi="宋体" w:eastAsia="仿宋_GB2312" w:cs="仿宋_GB2312"/>
          <w:kern w:val="0"/>
          <w:szCs w:val="32"/>
        </w:rPr>
        <w:t>　当事人对保全或者先予执行的裁定不服的，可以申请复议一次。复议期间不停止裁定的执行。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第十章　</w:t>
      </w:r>
      <w:r>
        <w:rPr>
          <w:rFonts w:hint="eastAsia" w:ascii="宋体" w:hAnsi="宋体" w:eastAsia="黑体" w:cs="黑体"/>
          <w:kern w:val="0"/>
          <w:szCs w:val="32"/>
        </w:rPr>
        <w:t>对妨害民事诉讼的强制措施</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第一百零九条</w:t>
      </w:r>
      <w:r>
        <w:rPr>
          <w:rFonts w:hint="eastAsia" w:ascii="宋体" w:hAnsi="宋体" w:eastAsia="仿宋_GB2312" w:cs="仿宋_GB2312"/>
          <w:kern w:val="0"/>
          <w:szCs w:val="32"/>
        </w:rPr>
        <w:t>　人民法院对必须到庭的被告，经两次传票传唤，无正当理由拒不到庭的，可以拘传。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第一百一十条</w:t>
      </w:r>
      <w:r>
        <w:rPr>
          <w:rFonts w:hint="eastAsia" w:ascii="宋体" w:hAnsi="宋体" w:eastAsia="仿宋_GB2312" w:cs="仿宋_GB2312"/>
          <w:kern w:val="0"/>
          <w:szCs w:val="32"/>
        </w:rPr>
        <w:t>　诉讼参与人和其他人应当遵守法庭规则。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人民法院对违反法庭规则的人，可以予以训诫，责令退出法庭或者予以罚款、拘留。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人民法院对哄闹、冲击法庭，侮辱、诽谤、威胁、殴打审判人员，严重扰乱法庭秩序的人，依法追究刑事责任；情节较轻的，予以罚款、拘留。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第一百一十一条</w:t>
      </w:r>
      <w:r>
        <w:rPr>
          <w:rFonts w:hint="eastAsia" w:ascii="宋体" w:hAnsi="宋体" w:eastAsia="仿宋_GB2312" w:cs="仿宋_GB2312"/>
          <w:kern w:val="0"/>
          <w:szCs w:val="32"/>
        </w:rPr>
        <w:t>　诉讼参与人或者其他人有下列行为之一的，人民法院可以根据情节轻重予以罚款、拘留；构成犯罪的，依法追究刑事责任: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（一）伪造、毁灭重要证据，妨碍人民法院审理案件的；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（二）以暴力、威胁、贿买方法阻止证人作证或者指使、贿买、胁迫他人作伪证的；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（三）隐藏、转移、变卖、毁损已被查封、扣押的财产，或者已被清点并责令其保管的财产，转移已被冻结的财产的；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（四）对司法工作人员、诉讼参加人、证人、翻译人员、鉴定人、勘验人、协助执行的人，进行侮辱、诽谤、诬陷、殴打或者打击报复的；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（五）以暴力、威胁或者其他方法阻碍司法工作人员执行职务的；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（六）拒不履行人民法院已经发生法律效力的判决、裁定的。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人民法院对有前款规定的行为之一的单位，可以对其主要负责人或者直接责任人员予以罚款、拘留；构成犯罪的，依法追究刑事责任。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　第一百一十二条</w:t>
      </w:r>
      <w:r>
        <w:rPr>
          <w:rFonts w:hint="eastAsia" w:ascii="宋体" w:hAnsi="宋体" w:eastAsia="仿宋_GB2312" w:cs="仿宋_GB2312"/>
          <w:kern w:val="0"/>
          <w:szCs w:val="32"/>
        </w:rPr>
        <w:t>　当事人之间恶意串通，企图通过诉讼、调解等方式侵害他人合法权益的，人民法院应当驳回其请求，并根据情节轻重予以罚款、拘留；构成犯罪的，依法追究刑事责任。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第一百一十三条</w:t>
      </w:r>
      <w:r>
        <w:rPr>
          <w:rFonts w:hint="eastAsia" w:ascii="宋体" w:hAnsi="宋体" w:eastAsia="仿宋_GB2312" w:cs="仿宋_GB2312"/>
          <w:kern w:val="0"/>
          <w:szCs w:val="32"/>
        </w:rPr>
        <w:t>　被执行人与他人恶意串通，通过诉讼、仲裁、调解等方式逃避履行法律文书确定的义务的，人民法院应当根据情节轻重予以罚款、拘留；构成犯罪的，依法追究刑事责任。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第一百一十四条</w:t>
      </w:r>
      <w:r>
        <w:rPr>
          <w:rFonts w:hint="eastAsia" w:ascii="宋体" w:hAnsi="宋体" w:eastAsia="仿宋_GB2312" w:cs="仿宋_GB2312"/>
          <w:kern w:val="0"/>
          <w:szCs w:val="32"/>
        </w:rPr>
        <w:t>　有义务协助调查、执行的单位有下列行为之一的，人民法院除责令其履行协助义务外，并可以予以罚款: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（一）有关单位拒绝或者妨碍人民法院调查取证的；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（二）有关单位接到人民法院协助执行通知书后，拒不协助查询、扣押、冻结、划拨、变价财产的；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（三）有关单位接到人民法院协助执行通知书后，拒不协助扣留被执行人的收入、办理有关财产权证照转移手续、转交有关票证、证照或者其他财产的；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（四）其他拒绝协助执行的。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人民法院对有前款规定的行为之一的单位，可以对其主要负责人或者直接责任人员予以罚款；对仍不履行协助义务的，可以予以拘留；并可以向监察机关或者有关机关提出予以纪律处分的司法建议。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第一百一十五条</w:t>
      </w:r>
      <w:r>
        <w:rPr>
          <w:rFonts w:hint="eastAsia" w:ascii="宋体" w:hAnsi="宋体" w:eastAsia="仿宋_GB2312" w:cs="仿宋_GB2312"/>
          <w:kern w:val="0"/>
          <w:szCs w:val="32"/>
        </w:rPr>
        <w:t>　对个人的罚款金额，为人民币十万元以下。对单位的罚款金额，为人民币五万元以上一百万元以下。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拘留的期限，为十五日以下。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被拘留的人，由人民法院交公安机关看管。在拘留期间，被拘留人承认并改正错误的，人民法院可以决定提前解除拘留。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第一百一十六条</w:t>
      </w:r>
      <w:r>
        <w:rPr>
          <w:rFonts w:hint="eastAsia" w:ascii="宋体" w:hAnsi="宋体" w:eastAsia="仿宋_GB2312" w:cs="仿宋_GB2312"/>
          <w:kern w:val="0"/>
          <w:szCs w:val="32"/>
        </w:rPr>
        <w:t>　拘传、罚款、拘留必须经院长批准。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拘传应当发拘传票。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罚款、拘留应当用决定书。对决定不服的，可以向上一级人民法院申请复议一次。复议期间不停止执行。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第一百一十七条</w:t>
      </w:r>
      <w:r>
        <w:rPr>
          <w:rFonts w:hint="eastAsia" w:ascii="宋体" w:hAnsi="宋体" w:eastAsia="仿宋_GB2312" w:cs="仿宋_GB2312"/>
          <w:kern w:val="0"/>
          <w:szCs w:val="32"/>
        </w:rPr>
        <w:t>　采取对妨害民事诉讼的强制措施必须由人民法院决定。任何单位和个人采取非法拘禁他人或者非法私自扣押他人财产追索债务的，应当依法追究刑事责任，或者予以拘留、罚款。</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第十一章　</w:t>
      </w:r>
      <w:r>
        <w:rPr>
          <w:rFonts w:hint="eastAsia" w:ascii="宋体" w:hAnsi="宋体" w:eastAsia="黑体" w:cs="黑体"/>
          <w:kern w:val="0"/>
          <w:szCs w:val="32"/>
        </w:rPr>
        <w:t>诉讼费用</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第一百一十八条</w:t>
      </w:r>
      <w:r>
        <w:rPr>
          <w:rFonts w:hint="eastAsia" w:ascii="宋体" w:hAnsi="宋体" w:eastAsia="仿宋_GB2312" w:cs="仿宋_GB2312"/>
          <w:kern w:val="0"/>
          <w:szCs w:val="32"/>
        </w:rPr>
        <w:t>　当事人进行民事诉讼，应当按照规定交纳案件受理费。财产案件除交纳案件受理费外，并按照规定</w:t>
      </w:r>
      <w:r>
        <w:rPr>
          <w:rFonts w:hint="eastAsia" w:ascii="宋体" w:hAnsi="宋体" w:eastAsia="仿宋_GB2312" w:cs="仿宋_GB2312"/>
          <w:kern w:val="0"/>
          <w:szCs w:val="32"/>
          <w:highlight w:val="none"/>
        </w:rPr>
        <w:t>交</w:t>
      </w:r>
      <w:r>
        <w:rPr>
          <w:rFonts w:hint="eastAsia" w:ascii="宋体" w:hAnsi="宋体" w:eastAsia="仿宋_GB2312" w:cs="仿宋_GB2312"/>
          <w:kern w:val="0"/>
          <w:szCs w:val="32"/>
        </w:rPr>
        <w:t>纳其他诉讼费用。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当事人交纳诉讼费用确有困难的，可以按照规定向人民法院申请缓交、减交或者免交。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收取诉讼费用的办法另行制定。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第二编　审判程序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第十二章　</w:t>
      </w:r>
      <w:r>
        <w:rPr>
          <w:rFonts w:hint="eastAsia" w:ascii="宋体" w:hAnsi="宋体" w:eastAsia="黑体" w:cs="黑体"/>
          <w:kern w:val="0"/>
          <w:szCs w:val="32"/>
        </w:rPr>
        <w:t>第一审普通程序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起诉和受理</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第一百一十九条</w:t>
      </w:r>
      <w:r>
        <w:rPr>
          <w:rFonts w:hint="eastAsia" w:ascii="宋体" w:hAnsi="宋体" w:eastAsia="仿宋_GB2312" w:cs="仿宋_GB2312"/>
          <w:kern w:val="0"/>
          <w:szCs w:val="32"/>
        </w:rPr>
        <w:t>　起诉必须符合下列条件: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（一）原告是与本案有直接利害关系的公民、法人和其他组织；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（二）有明确的被告；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（三）有具体的诉讼请求和事实、理由；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（四）属于人民法院受理民事诉讼的范围和受诉人民法院管辖。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第一百二十条</w:t>
      </w:r>
      <w:r>
        <w:rPr>
          <w:rFonts w:hint="eastAsia" w:ascii="宋体" w:hAnsi="宋体" w:eastAsia="仿宋_GB2312" w:cs="仿宋_GB2312"/>
          <w:kern w:val="0"/>
          <w:szCs w:val="32"/>
        </w:rPr>
        <w:t>　起诉应当向人民法院递交起诉状，并按照被告人数提出副本。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书写起诉状确有困难的，可以口头起诉，由人民法院记入笔录，并告知对方当事人。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第一百二十一条</w:t>
      </w:r>
      <w:r>
        <w:rPr>
          <w:rFonts w:hint="eastAsia" w:ascii="宋体" w:hAnsi="宋体" w:eastAsia="仿宋_GB2312" w:cs="仿宋_GB2312"/>
          <w:kern w:val="0"/>
          <w:szCs w:val="32"/>
        </w:rPr>
        <w:t>　起诉状应当记明下列事项: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（一）原告的姓名、性别、年龄、民族、职业、工作单位、住所、联系方式，法人或者其他组织的名称、住所和法定代表人或者主要负责人的姓名、职务、联系方式；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（二）被告的姓名、性别、工作单位、住所等信息，法人或者其他组织的名称、住所等信息；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（三）诉讼请求和所根据的事实与理由；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（四）证据和证据来源，证人姓名和住所。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第一百二十二条</w:t>
      </w:r>
      <w:r>
        <w:rPr>
          <w:rFonts w:hint="eastAsia" w:ascii="宋体" w:hAnsi="宋体" w:eastAsia="仿宋_GB2312" w:cs="仿宋_GB2312"/>
          <w:kern w:val="0"/>
          <w:szCs w:val="32"/>
        </w:rPr>
        <w:t>　当事人起诉到人民法院的民事纠纷，适宜调解的，先行调解，但当事人拒绝调解的除外。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第一百二十三条</w:t>
      </w:r>
      <w:r>
        <w:rPr>
          <w:rFonts w:hint="eastAsia" w:ascii="宋体" w:hAnsi="宋体" w:eastAsia="仿宋_GB2312" w:cs="仿宋_GB2312"/>
          <w:kern w:val="0"/>
          <w:szCs w:val="32"/>
        </w:rPr>
        <w:t>　人民法院应当保障当事人依照法律规定享有的起诉权利。对符合本法第一百一十九条的起诉，必须受理。符合起诉条件的，应当在七日内立案，并通知当事人；不符合起诉条件的，应当在七日内作出裁定书，不予受理；原告对裁定不服的，可以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第一百二十四条</w:t>
      </w:r>
      <w:r>
        <w:rPr>
          <w:rFonts w:hint="eastAsia" w:ascii="宋体" w:hAnsi="宋体" w:eastAsia="仿宋_GB2312" w:cs="仿宋_GB2312"/>
          <w:kern w:val="0"/>
          <w:szCs w:val="32"/>
        </w:rPr>
        <w:t>　人民法院对下列起诉，分别情形，予以处理: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（一）依照行政诉讼法的规定，属于行政诉讼受案范围的，告知原告提起行政诉讼；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（二）依照法律规定，双方当事人达成书面仲裁协议申请仲裁、不得向人民法院起诉的，告知原告向仲裁机构申请仲裁；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（三）依照法律规定，应当由其他机关处理的争议，告知原告向有关机关申请解决；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（四）对不属于本院管辖的案件，告知原告向有管辖权的人民法院起诉；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（五）对判决、裁定、调解书已经发生法律效力的案件，当事人又起诉的，告知原告申请再审，但人民法院准许撤诉的裁定除外；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（六）依照法律规定，在一定期限内不得起诉的案件，在不得起诉的期限内起诉的，不予受理；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（七）判决不准离婚和调解和好的离婚案件，判决、调解维持收养关系的案件，没有新情况、新理由，原告在六个月内又起诉的，不予受理。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审理前的准备</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第一百二十五条</w:t>
      </w:r>
      <w:r>
        <w:rPr>
          <w:rFonts w:hint="eastAsia" w:ascii="宋体" w:hAnsi="宋体" w:eastAsia="仿宋_GB2312" w:cs="仿宋_GB2312"/>
          <w:kern w:val="0"/>
          <w:szCs w:val="32"/>
        </w:rPr>
        <w:t>　人民法院应当在立案之日起五日内将起诉状副本发送被告，被告应当在收到之日起十五日内提出答辩状。答辩状应当记明被告的姓名、性别、年龄、民族、职业、工作单位、住所、联系方式；法人或者其他组织的名称、住所和法定代表人或者主要负责人的姓名、职务、联系方式。人民法院应当在收到答辩状之日起五日内将答辩状副本发送原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被告不提出答辩状的，不影响人民法院审理。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第一百二十六条</w:t>
      </w:r>
      <w:r>
        <w:rPr>
          <w:rFonts w:hint="eastAsia" w:ascii="宋体" w:hAnsi="宋体" w:eastAsia="仿宋_GB2312" w:cs="仿宋_GB2312"/>
          <w:kern w:val="0"/>
          <w:szCs w:val="32"/>
        </w:rPr>
        <w:t>　人民法院对决定受理的案件，应当在受理案件通知书和应诉通知书中向当事人告知有关的诉讼权利义务，或者口头告知。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第一百二十七条</w:t>
      </w:r>
      <w:r>
        <w:rPr>
          <w:rFonts w:hint="eastAsia" w:ascii="宋体" w:hAnsi="宋体" w:eastAsia="仿宋_GB2312" w:cs="仿宋_GB2312"/>
          <w:kern w:val="0"/>
          <w:szCs w:val="32"/>
        </w:rPr>
        <w:t>　人民法院受理案件后，当事人对管辖权有异议的，应当在提交答辩状期间提出。人民法院对当事人提出的异议，应当审查。异议成立的，裁定将案件移送有管辖权的人民法院；异议不成立的，裁定驳回。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当事人未提出管辖异议，并应诉答辩的，视为受诉人民法院有管辖权，但违反级别管辖和专属管辖规定的除外。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第一百二十八条</w:t>
      </w:r>
      <w:r>
        <w:rPr>
          <w:rFonts w:hint="eastAsia" w:ascii="宋体" w:hAnsi="宋体" w:eastAsia="仿宋_GB2312" w:cs="仿宋_GB2312"/>
          <w:kern w:val="0"/>
          <w:szCs w:val="32"/>
        </w:rPr>
        <w:t>　合议庭组成人员确定后，应当在三日内告知当事人。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第一百二十九条</w:t>
      </w:r>
      <w:r>
        <w:rPr>
          <w:rFonts w:hint="eastAsia" w:ascii="宋体" w:hAnsi="宋体" w:eastAsia="仿宋_GB2312" w:cs="仿宋_GB2312"/>
          <w:kern w:val="0"/>
          <w:szCs w:val="32"/>
        </w:rPr>
        <w:t>　审判人员必须认真审核诉讼材料，调查收集必要的证据。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第一百三十条</w:t>
      </w:r>
      <w:r>
        <w:rPr>
          <w:rFonts w:hint="eastAsia" w:ascii="宋体" w:hAnsi="宋体" w:eastAsia="仿宋_GB2312" w:cs="仿宋_GB2312"/>
          <w:kern w:val="0"/>
          <w:szCs w:val="32"/>
        </w:rPr>
        <w:t>　人民法院派出人员进行调查时，应当向被调查人出示证件。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调查笔录经被调查人校阅后，由被调查人、调查人签名或者盖章。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第一百三十一条</w:t>
      </w:r>
      <w:r>
        <w:rPr>
          <w:rFonts w:hint="eastAsia" w:ascii="宋体" w:hAnsi="宋体" w:eastAsia="仿宋_GB2312" w:cs="仿宋_GB2312"/>
          <w:kern w:val="0"/>
          <w:szCs w:val="32"/>
        </w:rPr>
        <w:t>　人民法院在必要时可以委托外地人民法院调查。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委托调查，必须提出明确的项目和要求。受委托人民法院可以主动补充调查。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受委托人民法院收到委托书后，应当在三十日内完成调查。因故不能完成的，应当在上述期限内函告委托人民法院。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第一百三十二条</w:t>
      </w:r>
      <w:r>
        <w:rPr>
          <w:rFonts w:hint="eastAsia" w:ascii="宋体" w:hAnsi="宋体" w:eastAsia="仿宋_GB2312" w:cs="仿宋_GB2312"/>
          <w:kern w:val="0"/>
          <w:szCs w:val="32"/>
        </w:rPr>
        <w:t>　必须共同进行诉讼的当事人没有参加诉讼的，人民法院应当通知其参加诉讼。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第一百三十三条</w:t>
      </w:r>
      <w:r>
        <w:rPr>
          <w:rFonts w:hint="eastAsia" w:ascii="宋体" w:hAnsi="宋体" w:eastAsia="仿宋_GB2312" w:cs="仿宋_GB2312"/>
          <w:kern w:val="0"/>
          <w:szCs w:val="32"/>
        </w:rPr>
        <w:t>　人民法院对受理的案件，分别情形，予以处理: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（一）当事人没有争议，符合督促程序规定条件的，可以转入督促程序；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（二）开庭前可以调解的，采取调解方式及时解决纠纷；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（三）根据案件情况，确定适用简易程序或者普通程序；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（四）需要开庭审理的，通过要求当事人交换证据等方式，明确争议焦点。</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开庭审理</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第一百三十四条</w:t>
      </w:r>
      <w:r>
        <w:rPr>
          <w:rFonts w:hint="eastAsia" w:ascii="宋体" w:hAnsi="宋体" w:eastAsia="仿宋_GB2312" w:cs="仿宋_GB2312"/>
          <w:kern w:val="0"/>
          <w:szCs w:val="32"/>
        </w:rPr>
        <w:t>　人民法院审理民事案件，除涉及国家秘密、个人隐私或者法律另有规定的以外，应当公开进行。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离婚案件，涉及商业秘密的案件，当事人申请不公开审理的，可以不公开审理。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第一百三十五条</w:t>
      </w:r>
      <w:r>
        <w:rPr>
          <w:rFonts w:hint="eastAsia" w:ascii="宋体" w:hAnsi="宋体" w:eastAsia="仿宋_GB2312" w:cs="仿宋_GB2312"/>
          <w:kern w:val="0"/>
          <w:szCs w:val="32"/>
        </w:rPr>
        <w:t>　人民法院审理民事案件，根据需要进行巡回审理，就地办案。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第一百三十六条</w:t>
      </w:r>
      <w:r>
        <w:rPr>
          <w:rFonts w:hint="eastAsia" w:ascii="宋体" w:hAnsi="宋体" w:eastAsia="仿宋_GB2312" w:cs="仿宋_GB2312"/>
          <w:kern w:val="0"/>
          <w:szCs w:val="32"/>
        </w:rPr>
        <w:t>　人民法院审理民事案件，应当在开庭三日前通知当事人和其他诉讼参与人。公开审理的，应当公告当事人姓名、案由和开庭的时间、地点。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第一百三十七条</w:t>
      </w:r>
      <w:r>
        <w:rPr>
          <w:rFonts w:hint="eastAsia" w:ascii="宋体" w:hAnsi="宋体" w:eastAsia="仿宋_GB2312" w:cs="仿宋_GB2312"/>
          <w:kern w:val="0"/>
          <w:szCs w:val="32"/>
        </w:rPr>
        <w:t>　开庭审理前，书记员应当查明当事人和其他诉讼参与人是否到庭，宣布法庭纪律。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开庭审理时，由审判长核对当事人，宣布案由，宣布审判人员、书记员名单，告知当事人有关的诉讼权利义务，询问当事人是否提出回避申请。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第一百三十八条</w:t>
      </w:r>
      <w:r>
        <w:rPr>
          <w:rFonts w:hint="eastAsia" w:ascii="宋体" w:hAnsi="宋体" w:eastAsia="仿宋_GB2312" w:cs="仿宋_GB2312"/>
          <w:kern w:val="0"/>
          <w:szCs w:val="32"/>
        </w:rPr>
        <w:t>　法庭调查按照下列顺序进行: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（二）告知证人的权利义务，证人作证，宣读未到庭的证人证言；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（三）出示书证、物证、视听资料和电子数据；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（四）宣读鉴定意见；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（五）宣读勘验笔录。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第一百三十九条</w:t>
      </w:r>
      <w:r>
        <w:rPr>
          <w:rFonts w:hint="eastAsia" w:ascii="宋体" w:hAnsi="宋体" w:eastAsia="仿宋_GB2312" w:cs="仿宋_GB2312"/>
          <w:kern w:val="0"/>
          <w:szCs w:val="32"/>
        </w:rPr>
        <w:t>　当事人在法庭上可以提出新的证据。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当事人经法庭许可，可以向证人、鉴定人、勘验人发问。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当事人要求重新进行调查、鉴定或者勘验的，是否准许，由人民法院决定。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第一百四十条</w:t>
      </w:r>
      <w:r>
        <w:rPr>
          <w:rFonts w:hint="eastAsia" w:ascii="宋体" w:hAnsi="宋体" w:eastAsia="仿宋_GB2312" w:cs="仿宋_GB2312"/>
          <w:kern w:val="0"/>
          <w:szCs w:val="32"/>
        </w:rPr>
        <w:t>　原告增加诉讼请求，被告提出反诉，第三人提出与本案有关的诉讼请求，可以合并审理。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第一百四十一条</w:t>
      </w:r>
      <w:r>
        <w:rPr>
          <w:rFonts w:hint="eastAsia" w:ascii="宋体" w:hAnsi="宋体" w:eastAsia="仿宋_GB2312" w:cs="仿宋_GB2312"/>
          <w:kern w:val="0"/>
          <w:szCs w:val="32"/>
        </w:rPr>
        <w:t>　法庭辩论按照下列顺序进行: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（一）原告及其诉讼代理人发言；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（二）被告及其诉讼代理人答辩；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（三）第三人及其诉讼代理人发言或者答辩；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（四）互相辩论。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法庭辩论终结，由审判长按照原告、被告、第三人的先后顺序征询各方最后意见。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第一百四十二条</w:t>
      </w:r>
      <w:r>
        <w:rPr>
          <w:rFonts w:hint="eastAsia" w:ascii="宋体" w:hAnsi="宋体" w:eastAsia="仿宋_GB2312" w:cs="仿宋_GB2312"/>
          <w:kern w:val="0"/>
          <w:szCs w:val="32"/>
        </w:rPr>
        <w:t>　法庭辩论终结，应当依法作出判决。判决前能够调解的，还可以进行调解，调解不成的，应当及时判决。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第一百四十三条</w:t>
      </w:r>
      <w:r>
        <w:rPr>
          <w:rFonts w:hint="eastAsia" w:ascii="宋体" w:hAnsi="宋体" w:eastAsia="仿宋_GB2312" w:cs="仿宋_GB2312"/>
          <w:kern w:val="0"/>
          <w:szCs w:val="32"/>
        </w:rPr>
        <w:t>　原告经传票传唤，无正当理由拒不到庭的，或者未经法庭许可中途退庭的，可以按撤诉处理；被告反诉的，可以缺席判决。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第一百四十四条</w:t>
      </w:r>
      <w:r>
        <w:rPr>
          <w:rFonts w:hint="eastAsia" w:ascii="宋体" w:hAnsi="宋体" w:eastAsia="仿宋_GB2312" w:cs="仿宋_GB2312"/>
          <w:kern w:val="0"/>
          <w:szCs w:val="32"/>
        </w:rPr>
        <w:t>　被告经传票传唤，无正当理由拒不到庭的，或者未经法庭许可中途退庭的，可以缺席判决。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第一百四十五条</w:t>
      </w:r>
      <w:r>
        <w:rPr>
          <w:rFonts w:hint="eastAsia" w:ascii="宋体" w:hAnsi="宋体" w:eastAsia="仿宋_GB2312" w:cs="仿宋_GB2312"/>
          <w:kern w:val="0"/>
          <w:szCs w:val="32"/>
        </w:rPr>
        <w:t>　宣判前，原告申请撤诉的，是否准许，由人民法院裁定。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人民法院裁定不准许撤诉的，原告经传票传唤，无正当理由拒不到庭的，可以缺席判决。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第一百四十六条</w:t>
      </w:r>
      <w:r>
        <w:rPr>
          <w:rFonts w:hint="eastAsia" w:ascii="宋体" w:hAnsi="宋体" w:eastAsia="仿宋_GB2312" w:cs="仿宋_GB2312"/>
          <w:kern w:val="0"/>
          <w:szCs w:val="32"/>
        </w:rPr>
        <w:t>　有下列情形之一的，可以延期开庭审理: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（一）必须到庭的当事人和其他诉讼参与人有正当理由没有到庭的；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（二）当事人临时提出回避申请的；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（三）需要通知新的证人到庭，调取新的证据，重新鉴定、勘验，或者需要补充调查的；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（四）其他应当延期的情形。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第一百四十七条</w:t>
      </w:r>
      <w:r>
        <w:rPr>
          <w:rFonts w:hint="eastAsia" w:ascii="宋体" w:hAnsi="宋体" w:eastAsia="仿宋_GB2312" w:cs="仿宋_GB2312"/>
          <w:kern w:val="0"/>
          <w:szCs w:val="32"/>
        </w:rPr>
        <w:t>　书记员应当将法庭审理的全部活动记入笔录，由审判人员和书记员签名。</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法庭笔录应当当庭宣读，也可以告知当事人和其他诉讼参与人当庭或者在五日内阅读。当事人和其他诉讼参与人认为对自己的陈述记录有遗漏或者差错的，有权申请补正。如果不予补正，应当将申请记录在案。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法庭笔录由当事人和其他诉讼参与人签名或者盖章。拒绝签名盖章的，记明情况附卷。</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第一百四十八条</w:t>
      </w:r>
      <w:r>
        <w:rPr>
          <w:rFonts w:hint="eastAsia" w:ascii="宋体" w:hAnsi="宋体" w:eastAsia="仿宋_GB2312" w:cs="仿宋_GB2312"/>
          <w:kern w:val="0"/>
          <w:szCs w:val="32"/>
        </w:rPr>
        <w:t>　人民法院对公开审理或者不公开审理的案件，一律公开宣告判决。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当庭宣判的，应当在十日内发送判决书；定期宣判的，宣判后立即发给判决书。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宣告判决时，必须告知当事人上诉权利、上诉期限和上诉的法院。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宣告离婚判决，必须告知当事人在判决发生法律效力前不得另行结婚。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第一百四十九条</w:t>
      </w:r>
      <w:r>
        <w:rPr>
          <w:rFonts w:hint="eastAsia" w:ascii="宋体" w:hAnsi="宋体" w:eastAsia="仿宋_GB2312" w:cs="仿宋_GB2312"/>
          <w:kern w:val="0"/>
          <w:szCs w:val="32"/>
        </w:rPr>
        <w:t>　人民法院适用普通程序审理的案件，应当在立案之日起六个月内审结。有特殊情况需要延长的，由本院院长批准，可以延长六个月；还需要延长的，报请上级人民法院批准。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第四节　诉讼中止和终结</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第一百五十条</w:t>
      </w:r>
      <w:r>
        <w:rPr>
          <w:rFonts w:hint="eastAsia" w:ascii="宋体" w:hAnsi="宋体" w:eastAsia="仿宋_GB2312" w:cs="仿宋_GB2312"/>
          <w:kern w:val="0"/>
          <w:szCs w:val="32"/>
        </w:rPr>
        <w:t>　有下列情形之一的，中止诉讼: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（一）一方当事人死亡，需要等待继承人表明是否参加诉讼的；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（二）一方当事人丧失诉讼行为能力，尚未确定法定代理人的；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（三）作为一方当事人的法人或者其他组织终止，尚未确定权利义务承受人的；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（四）一方当事人因不可抗拒的事由，不能参加诉讼的；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（五）本案必须以另一案的审理结果为依据，而另一案尚未审结的；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（六）其他应当中止诉讼的情形。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中止诉讼的原因消除后，恢复诉讼。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第一百五十一条</w:t>
      </w:r>
      <w:r>
        <w:rPr>
          <w:rFonts w:hint="eastAsia" w:ascii="宋体" w:hAnsi="宋体" w:eastAsia="仿宋_GB2312" w:cs="仿宋_GB2312"/>
          <w:kern w:val="0"/>
          <w:szCs w:val="32"/>
        </w:rPr>
        <w:t>　有下列情形之一的，终结诉讼: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（一）原告死亡，没有继承人，或者继承人放弃诉讼权利的；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（二）被告死亡，没有遗产，也没有应当承担义务的人的；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（三）离婚案件一方当事人死亡的；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（四）追索赡养费、扶养费、抚育费以及解除收养关系案件的一方当事人死亡的。</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第五节　判决和裁定</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第一百五十二条</w:t>
      </w:r>
      <w:r>
        <w:rPr>
          <w:rFonts w:hint="eastAsia" w:ascii="宋体" w:hAnsi="宋体" w:eastAsia="仿宋_GB2312" w:cs="仿宋_GB2312"/>
          <w:kern w:val="0"/>
          <w:szCs w:val="32"/>
        </w:rPr>
        <w:t>　判决书应当写明判决结果和作出该判决的理由。判决书内容包括: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（一）案由、诉讼请求、争议的事实和理由；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（二）判决认定的事实和理由、适用的法律和理由；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（三）判决结果和诉讼费用的负担；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（四）上诉期间和上诉的法院。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判决书由审判人员、书记员署名，加盖人民法院印章。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第一百五十三条</w:t>
      </w:r>
      <w:r>
        <w:rPr>
          <w:rFonts w:hint="eastAsia" w:ascii="宋体" w:hAnsi="宋体" w:eastAsia="仿宋_GB2312" w:cs="仿宋_GB2312"/>
          <w:kern w:val="0"/>
          <w:szCs w:val="32"/>
        </w:rPr>
        <w:t>　人民法院审理案件，其中一部分事实已经清楚，可以就该部分先行判决。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第一百五十四条</w:t>
      </w:r>
      <w:r>
        <w:rPr>
          <w:rFonts w:hint="eastAsia" w:ascii="宋体" w:hAnsi="宋体" w:eastAsia="仿宋_GB2312" w:cs="仿宋_GB2312"/>
          <w:kern w:val="0"/>
          <w:szCs w:val="32"/>
        </w:rPr>
        <w:t>　裁定适用于下列范围: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（一）不予受理；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（二）对管辖权有异议的；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（三）驳回起诉；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（四）保全和先予执行；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（五）准许或者不准许撤诉；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（六）中止或者终结诉讼；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（七）补正判决书中的笔误；</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（八）中止或者终结执行；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（九）撤销或者不予执行仲裁裁决；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（十）不予执行公证机关赋予强制执行效力的债权文书；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（十一）其他需要裁定解决的事项。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对前款第一项至第三项裁定，可以上诉。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裁定书应当写明裁定结果和作出该裁定的理由。裁定书由审判人员、书记员署名，加盖人民法院印章。口头裁定的，记入笔录。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第一百五十五条</w:t>
      </w:r>
      <w:r>
        <w:rPr>
          <w:rFonts w:hint="eastAsia" w:ascii="宋体" w:hAnsi="宋体" w:eastAsia="仿宋_GB2312" w:cs="仿宋_GB2312"/>
          <w:kern w:val="0"/>
          <w:szCs w:val="32"/>
        </w:rPr>
        <w:t>　最高人民法院的判决、裁定，以及依法不准上诉或者超过上诉期没有上诉的判决、裁定，是发生法律效力的判决、裁定。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第一百五十六条</w:t>
      </w:r>
      <w:r>
        <w:rPr>
          <w:rFonts w:hint="eastAsia" w:ascii="宋体" w:hAnsi="宋体" w:eastAsia="仿宋_GB2312" w:cs="仿宋_GB2312"/>
          <w:kern w:val="0"/>
          <w:szCs w:val="32"/>
        </w:rPr>
        <w:t>　公众可以查阅发生法律效力的判决书、裁定书，但涉及国家秘密、商业秘密和个人隐私的内容除外。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第十三章　</w:t>
      </w:r>
      <w:r>
        <w:rPr>
          <w:rFonts w:hint="eastAsia" w:ascii="宋体" w:hAnsi="宋体" w:eastAsia="黑体" w:cs="黑体"/>
          <w:kern w:val="0"/>
          <w:szCs w:val="32"/>
        </w:rPr>
        <w:t>简易程序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第一百五十七条</w:t>
      </w:r>
      <w:r>
        <w:rPr>
          <w:rFonts w:hint="eastAsia" w:ascii="宋体" w:hAnsi="宋体" w:eastAsia="仿宋_GB2312" w:cs="仿宋_GB2312"/>
          <w:kern w:val="0"/>
          <w:szCs w:val="32"/>
        </w:rPr>
        <w:t>　基层人民法院和它派出的法庭审理事实清楚、权利义务关系明确、争议不大的简单的民事案件，适用本章规定。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基层人民法院和它派出的法庭审理前款规定以外的民事案件，当事人双方也可以约定适用简易程序。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第一百五十八条</w:t>
      </w:r>
      <w:r>
        <w:rPr>
          <w:rFonts w:hint="eastAsia" w:ascii="宋体" w:hAnsi="宋体" w:eastAsia="仿宋_GB2312" w:cs="仿宋_GB2312"/>
          <w:kern w:val="0"/>
          <w:szCs w:val="32"/>
        </w:rPr>
        <w:t>　对简单的民事案件，原告可以口头起诉。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当事人双方可以同时到基层人民法院或者它派出的法庭，请求解决纠纷。基层人民法院或者它派出的法庭可以当即审理，也可以另定日期审理。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第一百五十九条</w:t>
      </w:r>
      <w:r>
        <w:rPr>
          <w:rFonts w:hint="eastAsia" w:ascii="宋体" w:hAnsi="宋体" w:eastAsia="仿宋_GB2312" w:cs="仿宋_GB2312"/>
          <w:kern w:val="0"/>
          <w:szCs w:val="32"/>
        </w:rPr>
        <w:t>　基层人民法院和它派出的法庭审理简单的民事案件，可以用简便方式传唤当事人和证人、送达诉讼文书、审理案件，但应当保障当事人陈述意见的权利。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第一百六十条</w:t>
      </w:r>
      <w:r>
        <w:rPr>
          <w:rFonts w:hint="eastAsia" w:ascii="宋体" w:hAnsi="宋体" w:eastAsia="仿宋_GB2312" w:cs="仿宋_GB2312"/>
          <w:kern w:val="0"/>
          <w:szCs w:val="32"/>
        </w:rPr>
        <w:t>　简单的民事案件由审判员一人独任审理，并不受本法第一百三十六条、第一百三十八条、第一百四十一条规定的限制。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第一百六十一条</w:t>
      </w:r>
      <w:r>
        <w:rPr>
          <w:rFonts w:hint="eastAsia" w:ascii="宋体" w:hAnsi="宋体" w:eastAsia="仿宋_GB2312" w:cs="仿宋_GB2312"/>
          <w:kern w:val="0"/>
          <w:szCs w:val="32"/>
        </w:rPr>
        <w:t>　人民法院适用简易程序审理案件，应当在立案之日起三个月内审结。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第一百六十二条</w:t>
      </w:r>
      <w:r>
        <w:rPr>
          <w:rFonts w:hint="eastAsia" w:ascii="宋体" w:hAnsi="宋体" w:eastAsia="仿宋_GB2312" w:cs="仿宋_GB2312"/>
          <w:kern w:val="0"/>
          <w:szCs w:val="32"/>
        </w:rPr>
        <w:t>　基层人民法院和它派出的法庭审理符合本法第一百五十七条第一款规定的简单的民事案件，标的额为各省、自治区、直辖市上年度就业人员年平均工资百分之三十以下的，实行一审终审。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第一百六十三条</w:t>
      </w:r>
      <w:r>
        <w:rPr>
          <w:rFonts w:hint="eastAsia" w:ascii="宋体" w:hAnsi="宋体" w:eastAsia="仿宋_GB2312" w:cs="仿宋_GB2312"/>
          <w:kern w:val="0"/>
          <w:szCs w:val="32"/>
        </w:rPr>
        <w:t>　人民法院在审理过程中，发现案件不宜适用简易程序的，裁定转为普通程序。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第十四章　</w:t>
      </w:r>
      <w:r>
        <w:rPr>
          <w:rFonts w:hint="eastAsia" w:ascii="宋体" w:hAnsi="宋体" w:eastAsia="黑体" w:cs="黑体"/>
          <w:kern w:val="0"/>
          <w:szCs w:val="32"/>
        </w:rPr>
        <w:t>第二审程序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第一百六十四条</w:t>
      </w:r>
      <w:r>
        <w:rPr>
          <w:rFonts w:hint="eastAsia" w:ascii="宋体" w:hAnsi="宋体" w:eastAsia="仿宋_GB2312" w:cs="仿宋_GB2312"/>
          <w:kern w:val="0"/>
          <w:szCs w:val="32"/>
        </w:rPr>
        <w:t>　当事人不服地方人民法院第一审判决的，有权在判决书送达之日起十五日内向上一级人民法院提起上诉。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当事人不服地方人民法院第一审裁定的，有权在裁定书送达之日起十日内向上一级人民法院提起上诉。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第一百六十五条</w:t>
      </w:r>
      <w:r>
        <w:rPr>
          <w:rFonts w:hint="eastAsia" w:ascii="宋体" w:hAnsi="宋体" w:eastAsia="仿宋_GB2312" w:cs="仿宋_GB2312"/>
          <w:kern w:val="0"/>
          <w:szCs w:val="32"/>
        </w:rPr>
        <w:t>　上诉应当递交上诉状。上诉状的内容，应当包括当事人的姓名，法人的名称及其法定代表人的姓名或者其他组织的名称及其主要负责人的姓名；原审人民法院名称、案件的编号和案由；上诉的请求和理由。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第一百六十六条</w:t>
      </w:r>
      <w:r>
        <w:rPr>
          <w:rFonts w:hint="eastAsia" w:ascii="宋体" w:hAnsi="宋体" w:eastAsia="仿宋_GB2312" w:cs="仿宋_GB2312"/>
          <w:kern w:val="0"/>
          <w:szCs w:val="32"/>
        </w:rPr>
        <w:t>　上诉状应当通过原审人民法院提出，并按照对方当事人或者代表人的人数提出副本。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当事人直接向第二审人民法院上诉的，第二审人民法院应当在五日内将上诉状移交原审人民法院。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第一百六十七条</w:t>
      </w:r>
      <w:r>
        <w:rPr>
          <w:rFonts w:hint="eastAsia" w:ascii="宋体" w:hAnsi="宋体" w:eastAsia="黑体" w:cs="黑体"/>
          <w:kern w:val="0"/>
          <w:szCs w:val="32"/>
          <w:lang w:val="en-US" w:eastAsia="zh-CN"/>
        </w:rPr>
        <w:t xml:space="preserve">  </w:t>
      </w:r>
      <w:r>
        <w:rPr>
          <w:rFonts w:hint="eastAsia" w:ascii="宋体" w:hAnsi="宋体" w:eastAsia="仿宋_GB2312" w:cs="仿宋_GB2312"/>
          <w:kern w:val="0"/>
          <w:szCs w:val="32"/>
        </w:rPr>
        <w:t>原审人民法院收到上诉状，应当在五日内将上诉状副本送达对方当事人，对方当事人在收到之日起十五日内提出答辩状。人民法院应当在收到答辩状之日起五日内将副本送达上诉人。对方当事人不提出答辩状的，不影响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原审人民法院收到上诉状、答辩状，应当在五日内连同全部案卷和证据，报送第二审人民法院。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第一百六十八条</w:t>
      </w:r>
      <w:r>
        <w:rPr>
          <w:rFonts w:hint="eastAsia" w:ascii="宋体" w:hAnsi="宋体" w:eastAsia="仿宋_GB2312" w:cs="仿宋_GB2312"/>
          <w:kern w:val="0"/>
          <w:szCs w:val="32"/>
        </w:rPr>
        <w:t>　第二审人民法院应当对上诉请求的有关事实和适用法律进行审查。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第一百六十九条</w:t>
      </w:r>
      <w:r>
        <w:rPr>
          <w:rFonts w:hint="eastAsia" w:ascii="宋体" w:hAnsi="宋体" w:eastAsia="仿宋_GB2312" w:cs="仿宋_GB2312"/>
          <w:kern w:val="0"/>
          <w:szCs w:val="32"/>
        </w:rPr>
        <w:t>　第二审人民法院对上诉案件，应当组成合议庭，开庭审理。经过阅卷、调查和询问当事人，对没有提出新的事实、证据或者理由，合议庭认为不需要开庭审理的，可以不开庭审理。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第二审人民法院审理上诉案件，可以在本院进行，也可以到案件发生地或者原审人民法院所在地进行。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第一百七十条</w:t>
      </w:r>
      <w:r>
        <w:rPr>
          <w:rFonts w:hint="eastAsia" w:ascii="宋体" w:hAnsi="宋体" w:eastAsia="仿宋_GB2312" w:cs="仿宋_GB2312"/>
          <w:kern w:val="0"/>
          <w:szCs w:val="32"/>
        </w:rPr>
        <w:t>　第二审人民法院对上诉案件，经过审理，按照下列情形，分别处理: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（一）原判决、裁定认定事实清楚，适用法律正确的，以判决、裁定方式驳回上诉，维持原判决、裁定；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（二）原判决、裁定认定事实错误或者适用法律错误的，以判决、裁定方式依法改判、撤销或者变更；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（三）原判决认定基本事实不清的，裁定撤销原判决，发回原审人民法院重审，或者查清事实后改判；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（四）原判决遗漏当事人或者违法缺席判决等严重违反法定程序的，裁定撤销原判决，发回原审人民法院重审。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原审人民法院对发回重审的案件作出判决后，当事人提起上诉的，第二审人民法院不得再次发回重审。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第一百七十一条</w:t>
      </w:r>
      <w:r>
        <w:rPr>
          <w:rFonts w:hint="eastAsia" w:ascii="宋体" w:hAnsi="宋体" w:eastAsia="仿宋_GB2312" w:cs="仿宋_GB2312"/>
          <w:kern w:val="0"/>
          <w:szCs w:val="32"/>
        </w:rPr>
        <w:t>　第二审人民法院对不服第一审人民法院裁定的上诉案件的处理，一律使用裁定。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第一百七十二条</w:t>
      </w:r>
      <w:r>
        <w:rPr>
          <w:rFonts w:hint="eastAsia" w:ascii="宋体" w:hAnsi="宋体" w:eastAsia="仿宋_GB2312" w:cs="仿宋_GB2312"/>
          <w:kern w:val="0"/>
          <w:szCs w:val="32"/>
        </w:rPr>
        <w:t>　第二审人民法院审理上诉案件，可以进行调解。调解达成协议，应当制作调解书，由审判人员、书记员署名，加盖人民法院印章。调解书送达后，原审人民法院的判决即视为撤销。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第一百七十三条</w:t>
      </w:r>
      <w:r>
        <w:rPr>
          <w:rFonts w:hint="eastAsia" w:ascii="宋体" w:hAnsi="宋体" w:eastAsia="仿宋_GB2312" w:cs="仿宋_GB2312"/>
          <w:kern w:val="0"/>
          <w:szCs w:val="32"/>
        </w:rPr>
        <w:t>　第二审人民法院判决宣告前，上诉人申请撤回上诉的，是否准许，由第二审人民法院裁定。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第一百七十四条</w:t>
      </w:r>
      <w:r>
        <w:rPr>
          <w:rFonts w:hint="eastAsia" w:ascii="宋体" w:hAnsi="宋体" w:eastAsia="仿宋_GB2312" w:cs="仿宋_GB2312"/>
          <w:kern w:val="0"/>
          <w:szCs w:val="32"/>
        </w:rPr>
        <w:t>　第二审人民法院审理上诉案件，除依照本章规定外，适用第一审普通程序。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第一百七十五条</w:t>
      </w:r>
      <w:r>
        <w:rPr>
          <w:rFonts w:hint="eastAsia" w:ascii="宋体" w:hAnsi="宋体" w:eastAsia="仿宋_GB2312" w:cs="仿宋_GB2312"/>
          <w:kern w:val="0"/>
          <w:szCs w:val="32"/>
        </w:rPr>
        <w:t>　第二审人民法院的判决、裁定，是终审的判决、裁定。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第一百七十六条</w:t>
      </w:r>
      <w:r>
        <w:rPr>
          <w:rFonts w:hint="eastAsia" w:ascii="宋体" w:hAnsi="宋体" w:eastAsia="仿宋_GB2312" w:cs="仿宋_GB2312"/>
          <w:kern w:val="0"/>
          <w:szCs w:val="32"/>
        </w:rPr>
        <w:t>　人民法院审理对判决的上诉案件，应当在第二审立案之日起三个月内审结。有特殊情况需要延长的，由本院院长批准。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人民法院审理对裁定的上诉案件，应当在第二审立案之日起三十日内作出终审裁定。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第十五章　</w:t>
      </w:r>
      <w:r>
        <w:rPr>
          <w:rFonts w:hint="eastAsia" w:ascii="宋体" w:hAnsi="宋体" w:eastAsia="黑体" w:cs="黑体"/>
          <w:kern w:val="0"/>
          <w:szCs w:val="32"/>
        </w:rPr>
        <w:t>特别程序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一般规定</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第一百七十七条</w:t>
      </w:r>
      <w:r>
        <w:rPr>
          <w:rFonts w:hint="eastAsia" w:ascii="宋体" w:hAnsi="宋体" w:eastAsia="仿宋_GB2312" w:cs="仿宋_GB2312"/>
          <w:kern w:val="0"/>
          <w:szCs w:val="32"/>
        </w:rPr>
        <w:t>　人民法院审理选民资格案件、宣告失踪或者宣告死亡案件、认定公民无民事行为能力或者限制民事行为能力案件、认定财产无主案件、确认调解协议案件和实现担保物权案件，适用本章规定。本章没有规定的，适用本法和其他法律的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第一百七十八条</w:t>
      </w:r>
      <w:r>
        <w:rPr>
          <w:rFonts w:hint="eastAsia" w:ascii="宋体" w:hAnsi="宋体" w:eastAsia="仿宋_GB2312" w:cs="仿宋_GB2312"/>
          <w:kern w:val="0"/>
          <w:szCs w:val="32"/>
        </w:rPr>
        <w:t>　依照本章程序审理的案件，实行一审终审。选民资格案件或者重大、疑难的案件，由审判员组成合议庭审理；其他案件由审判员一人独任审理。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第一百七十九条</w:t>
      </w:r>
      <w:r>
        <w:rPr>
          <w:rFonts w:hint="eastAsia" w:ascii="宋体" w:hAnsi="宋体" w:eastAsia="仿宋_GB2312" w:cs="仿宋_GB2312"/>
          <w:kern w:val="0"/>
          <w:szCs w:val="32"/>
        </w:rPr>
        <w:t>　人民法院在依照本章程序审理案件的过程中，发现本案属于民事权益争议的，应当裁定终结特别程序，并告知利害关系人可以另行起诉。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第一百八十条</w:t>
      </w:r>
      <w:r>
        <w:rPr>
          <w:rFonts w:hint="eastAsia" w:ascii="宋体" w:hAnsi="宋体" w:eastAsia="仿宋_GB2312" w:cs="仿宋_GB2312"/>
          <w:kern w:val="0"/>
          <w:szCs w:val="32"/>
        </w:rPr>
        <w:t>　人民法院适用特别程序审理的案件，应当在立案之日起三十日内或者公告期满后三十日内审结。有特殊情况需要延长的，由本院院长批准。但审理选民资格的案件除外。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选民资格案件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第一百八十一条</w:t>
      </w:r>
      <w:r>
        <w:rPr>
          <w:rFonts w:hint="eastAsia" w:ascii="宋体" w:hAnsi="宋体" w:eastAsia="仿宋_GB2312" w:cs="仿宋_GB2312"/>
          <w:kern w:val="0"/>
          <w:szCs w:val="32"/>
        </w:rPr>
        <w:t>　公民不服选举委员会对选民资格的申诉所作的处理决定，可以在选举日的五日以前向选区所在地基层人民法院起诉。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第一百八十二条</w:t>
      </w:r>
      <w:r>
        <w:rPr>
          <w:rFonts w:hint="eastAsia" w:ascii="宋体" w:hAnsi="宋体" w:eastAsia="仿宋_GB2312" w:cs="仿宋_GB2312"/>
          <w:kern w:val="0"/>
          <w:szCs w:val="32"/>
        </w:rPr>
        <w:t>　人民法院受理选民资格案件后，必须在选举日前审结。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审理时，起诉人、选举委员会的代表和有关公民必须参加。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人民法院的判决书，应当在选举日前送达选举委员会和起诉人，并通知有关公民。</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宣告失踪、宣告死亡案件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第一百八十三条</w:t>
      </w:r>
      <w:r>
        <w:rPr>
          <w:rFonts w:hint="eastAsia" w:ascii="宋体" w:hAnsi="宋体" w:eastAsia="仿宋_GB2312" w:cs="仿宋_GB2312"/>
          <w:kern w:val="0"/>
          <w:szCs w:val="32"/>
        </w:rPr>
        <w:t>　公民下落不明满二年，利害关系人申请宣告其失踪的，向下落不明人住所地基层人民法院提出。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申请书应当写明失踪的事实、时间和请求，并附有公安机关或者其他有关机关关于该公民下落不明的书面证明。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第一百八十四条</w:t>
      </w:r>
      <w:r>
        <w:rPr>
          <w:rFonts w:hint="eastAsia" w:ascii="宋体" w:hAnsi="宋体" w:eastAsia="仿宋_GB2312" w:cs="仿宋_GB2312"/>
          <w:kern w:val="0"/>
          <w:szCs w:val="32"/>
        </w:rPr>
        <w:t>　公民下落不明满四年，或者因意外事故下落不明满二年，或者因意外事故下落不明，经有关机关证明该公民不可能生存，利害关系人申请宣告其死亡的，向下落不明人住所地基层人民法院提出。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申请书应当写明下落不明的事实、时间和请求，并附有公安机关或者其他有关机关关于该公民下落不明的书面证明。</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第一百八十五条</w:t>
      </w:r>
      <w:r>
        <w:rPr>
          <w:rFonts w:hint="eastAsia" w:ascii="宋体" w:hAnsi="宋体" w:eastAsia="仿宋_GB2312" w:cs="仿宋_GB2312"/>
          <w:kern w:val="0"/>
          <w:szCs w:val="32"/>
        </w:rPr>
        <w:t>　人民法院受理宣告失踪、宣告死亡案件后，应当发出寻找下落不明人的公告。宣告失踪的公告期间为三个月，宣告死亡的公告期间为一年。因意外事故下落不明，经有关机关证明该公民不可能生存的，宣告死亡的公告期间为三个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公告期间届满，人民法院应当根据被宣告失踪、宣告死亡的事实是否得到确认，作出宣告失踪、宣告死亡的判决或者驳回申请的判决。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第一百八十六条</w:t>
      </w:r>
      <w:r>
        <w:rPr>
          <w:rFonts w:hint="eastAsia" w:ascii="宋体" w:hAnsi="宋体" w:eastAsia="仿宋_GB2312" w:cs="仿宋_GB2312"/>
          <w:kern w:val="0"/>
          <w:szCs w:val="32"/>
        </w:rPr>
        <w:t>　被宣告失踪、宣告死亡的公民重新出现，经本人或者利害关系人申请，人民法院应当作出新判决，撤销原判决。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第四节　认定公民无民事行为能力、限制民事行为能力案件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第一百八十七条</w:t>
      </w:r>
      <w:r>
        <w:rPr>
          <w:rFonts w:hint="eastAsia" w:ascii="宋体" w:hAnsi="宋体" w:eastAsia="仿宋_GB2312" w:cs="仿宋_GB2312"/>
          <w:kern w:val="0"/>
          <w:szCs w:val="32"/>
        </w:rPr>
        <w:t>　申请认定公民无民事行为能力或者限制民事行为能力，由其近亲属或者其他利害关系人向该公民住所地基层人民法院提出。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申请书应当写明该公民无民事行为能力或者限制民事行为能力的事实和根据。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第一百八十八条</w:t>
      </w:r>
      <w:r>
        <w:rPr>
          <w:rFonts w:hint="eastAsia" w:ascii="宋体" w:hAnsi="宋体" w:eastAsia="仿宋_GB2312" w:cs="仿宋_GB2312"/>
          <w:kern w:val="0"/>
          <w:szCs w:val="32"/>
        </w:rPr>
        <w:t>　人民法院受理申请后，必要时应当对被请求认定为无民事行为能力或者限制民事行为能力的公民进行鉴定。申请人已提供鉴定意见的，应当对鉴定意见进行审查。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第一百八十九条</w:t>
      </w:r>
      <w:r>
        <w:rPr>
          <w:rFonts w:hint="eastAsia" w:ascii="宋体" w:hAnsi="宋体" w:eastAsia="仿宋_GB2312" w:cs="仿宋_GB2312"/>
          <w:kern w:val="0"/>
          <w:szCs w:val="32"/>
        </w:rPr>
        <w:t>　人民法院审理认定公民无民事行为能力或者限制民事行为能力的案件，应当由该公民的近亲属为代理人，但申请人除外。近亲属互相推诿的，由人民法院指定其中一人为代理人。该公民健康情况许可的，还应当询问本人的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人民法院经审理认定申请有事实根据的，判决该公民为无民事行为能力或者限制民事行为能力人；认定申请没有事实根据的，应当判决予以驳回。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第一百九十条</w:t>
      </w:r>
      <w:r>
        <w:rPr>
          <w:rFonts w:hint="eastAsia" w:ascii="宋体" w:hAnsi="宋体" w:eastAsia="仿宋_GB2312" w:cs="仿宋_GB2312"/>
          <w:kern w:val="0"/>
          <w:szCs w:val="32"/>
        </w:rPr>
        <w:t>　人民法院根据被认定为无民事行为能力人、限制民事行为能力人或者他的监护人的申请，证实该公民无民事行为能力或者限制民事行为能力的原因已经消除的，应当作出新判决，撤销原判决。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第五节　认定财产无主案件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第一百九十一条</w:t>
      </w:r>
      <w:r>
        <w:rPr>
          <w:rFonts w:hint="eastAsia" w:ascii="宋体" w:hAnsi="宋体" w:eastAsia="仿宋_GB2312" w:cs="仿宋_GB2312"/>
          <w:kern w:val="0"/>
          <w:szCs w:val="32"/>
        </w:rPr>
        <w:t>　申请认定财产无主，由公民、法人或者其他组织向财产所在地基层人民法院提出。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申请书应当写明财产的种类、数量以及要求认定财产无主的根据。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第一百九十二条</w:t>
      </w:r>
      <w:r>
        <w:rPr>
          <w:rFonts w:hint="eastAsia" w:ascii="宋体" w:hAnsi="宋体" w:eastAsia="仿宋_GB2312" w:cs="仿宋_GB2312"/>
          <w:kern w:val="0"/>
          <w:szCs w:val="32"/>
        </w:rPr>
        <w:t>　人民法院受理申请后，经审查核实，应当发出财产认领公告。公告满一年无人认领的，判决认定财产无主，收归国家或者集体所有。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第一百九十三条</w:t>
      </w:r>
      <w:r>
        <w:rPr>
          <w:rFonts w:hint="eastAsia" w:ascii="宋体" w:hAnsi="宋体" w:eastAsia="仿宋_GB2312" w:cs="仿宋_GB2312"/>
          <w:kern w:val="0"/>
          <w:szCs w:val="32"/>
        </w:rPr>
        <w:t>　判决认定财产</w:t>
      </w:r>
      <w:r>
        <w:rPr>
          <w:rFonts w:hint="eastAsia" w:ascii="宋体" w:hAnsi="宋体" w:eastAsia="仿宋_GB2312" w:cs="仿宋_GB2312"/>
          <w:kern w:val="0"/>
          <w:szCs w:val="32"/>
          <w:highlight w:val="none"/>
        </w:rPr>
        <w:t>无主后</w:t>
      </w:r>
      <w:r>
        <w:rPr>
          <w:rFonts w:hint="eastAsia" w:ascii="宋体" w:hAnsi="宋体" w:eastAsia="仿宋_GB2312" w:cs="仿宋_GB2312"/>
          <w:kern w:val="0"/>
          <w:szCs w:val="32"/>
        </w:rPr>
        <w:t>，原财产所有人或者继承人出现，在民法通则规定的诉讼时效期间可以对财产提出请求，人民法院审查属实后，应当作出新判决，撤销原判决。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第六节　确认调解协议案件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第一百九十四条</w:t>
      </w:r>
      <w:r>
        <w:rPr>
          <w:rFonts w:hint="eastAsia" w:ascii="宋体" w:hAnsi="宋体" w:eastAsia="仿宋_GB2312" w:cs="仿宋_GB2312"/>
          <w:kern w:val="0"/>
          <w:szCs w:val="32"/>
        </w:rPr>
        <w:t>　申请司法确认调解协议，由双方当事人依照人民调解法等法律，自调解协议生效之日起三十日内，共同向调解组织所在地基层人民法院提出。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第一百九十五条</w:t>
      </w:r>
      <w:r>
        <w:rPr>
          <w:rFonts w:hint="eastAsia" w:ascii="宋体" w:hAnsi="宋体" w:eastAsia="仿宋_GB2312" w:cs="仿宋_GB2312"/>
          <w:kern w:val="0"/>
          <w:szCs w:val="32"/>
        </w:rPr>
        <w:t>　人民法院受理申请后，经审查，符合法律规定的，裁定调解协议有效，一方当事人拒绝履行或者未全部履行的，对方当事人可以向人民法院申请执行；不符合法律规定的，裁定驳回申请，当事人可以通过调解方式变更原调解协议或者达成新的调解协议，也可以向人民法院提起诉讼。</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第七节　实现担保物权案件</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第一百九十六条</w:t>
      </w:r>
      <w:r>
        <w:rPr>
          <w:rFonts w:hint="eastAsia" w:ascii="宋体" w:hAnsi="宋体" w:eastAsia="仿宋_GB2312" w:cs="仿宋_GB2312"/>
          <w:kern w:val="0"/>
          <w:szCs w:val="32"/>
        </w:rPr>
        <w:t>　申请实现担保物权，由担保物权人以及其他有权请求实现担保物权的人依照物权法等法律，向担保财产所在地或者担保物权登记地基层人民法院提出。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第一百九十七条</w:t>
      </w:r>
      <w:r>
        <w:rPr>
          <w:rFonts w:hint="eastAsia" w:ascii="宋体" w:hAnsi="宋体" w:eastAsia="仿宋_GB2312" w:cs="仿宋_GB2312"/>
          <w:kern w:val="0"/>
          <w:szCs w:val="32"/>
        </w:rPr>
        <w:t>　人民法院受理申请后，经审查，符合法律规定的，裁定拍卖、变卖担保财产，当事人依据该裁定可以向人民法院申请执行；不符合法律规定的，裁定驳回申请，当事人可以向人民法院提起诉讼。</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第十六章　</w:t>
      </w:r>
      <w:r>
        <w:rPr>
          <w:rFonts w:hint="eastAsia" w:ascii="宋体" w:hAnsi="宋体" w:eastAsia="黑体" w:cs="黑体"/>
          <w:kern w:val="0"/>
          <w:szCs w:val="32"/>
        </w:rPr>
        <w:t>审判监督程序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第一百九十八条</w:t>
      </w:r>
      <w:r>
        <w:rPr>
          <w:rFonts w:hint="eastAsia" w:ascii="宋体" w:hAnsi="宋体" w:eastAsia="仿宋_GB2312" w:cs="仿宋_GB2312"/>
          <w:kern w:val="0"/>
          <w:szCs w:val="32"/>
        </w:rPr>
        <w:t>　各级人民法院院长对本院已经发生法律效力的判决、裁定、调解书，发现确有错误，认为需要再审的，应当提交审判委员会讨论决定。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最高人民法院对地方各级人民法院已经发生法律效力的判决、裁定、调解书，上级人民法院对下级人民法院已经发生法律效力的判决、裁定、调解书，发现确有错误的，有权提审或者指令下级人民法院再审。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第一百九十九条</w:t>
      </w:r>
      <w:r>
        <w:rPr>
          <w:rFonts w:hint="eastAsia" w:ascii="宋体" w:hAnsi="宋体" w:eastAsia="仿宋_GB2312" w:cs="仿宋_GB2312"/>
          <w:kern w:val="0"/>
          <w:szCs w:val="32"/>
        </w:rPr>
        <w:t>　当事人对已经发生法律效力的判决、裁定，认为有错误的，可以向上一级人民法院申请再审；当事人一方人数众多或者当事人双方为公民的案件，也可以向原审人民法院申请再审。当事人申请再审的，不停止判决、裁定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第二百条</w:t>
      </w:r>
      <w:r>
        <w:rPr>
          <w:rFonts w:hint="eastAsia" w:ascii="宋体" w:hAnsi="宋体" w:eastAsia="仿宋_GB2312" w:cs="仿宋_GB2312"/>
          <w:kern w:val="0"/>
          <w:szCs w:val="32"/>
        </w:rPr>
        <w:t>　当事人的申请符合下列情形之一的，人民法院应当再审: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（一）有新的证据，足以推翻原判决、裁定的；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（二）原判决、裁定认定的基本事实缺乏证据证明的；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（三）原判决、裁定认定事实的主要证据是伪造的；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（四）原判决、裁定认定事实的主要证据未经质证的；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（五）对审理案件需要的主要证据，当事人因客观原因不能自行收集，书面申请人民法院调查收集，人民法院未调查收集的；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（六）原判决、裁定适用法律确有错误的；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（七）审判组织的组成不合法或者依法应当回避的审判人员没有回避的；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（八）无诉讼行为能力人未经法定代理人代为诉讼或者应当参加诉讼的当事人，因不能归责于本人或者其诉讼代理人的事由，未参加诉讼的；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（九）违反法律规定，剥夺当事人辩论权利的；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（十）未经传票传唤，缺席判决的；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（十一）原判决、裁定遗漏或者超出诉讼请求的；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（十二）据以作出原判决、裁定的法律文书被撤销或者变更的；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（十三）审判人员审理该案件时有贪污受贿，徇私舞弊，枉法裁判行为的。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第二百零一条</w:t>
      </w:r>
      <w:r>
        <w:rPr>
          <w:rFonts w:hint="eastAsia" w:ascii="宋体" w:hAnsi="宋体" w:eastAsia="仿宋_GB2312" w:cs="仿宋_GB2312"/>
          <w:kern w:val="0"/>
          <w:szCs w:val="32"/>
        </w:rPr>
        <w:t>　当事人对已经发生法律效力的调解书，提出证据证明调解违反自愿原则或者调解协议的内容违反法律的，可以申请再审。经人民法院审查属实的，应当再审。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第二百零二条</w:t>
      </w:r>
      <w:r>
        <w:rPr>
          <w:rFonts w:hint="eastAsia" w:ascii="宋体" w:hAnsi="宋体" w:eastAsia="仿宋_GB2312" w:cs="仿宋_GB2312"/>
          <w:kern w:val="0"/>
          <w:szCs w:val="32"/>
        </w:rPr>
        <w:t>　当事人对已经发生法律效力的解除婚姻关系的判决、调解书，不得申请再审。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第二百零三条</w:t>
      </w:r>
      <w:r>
        <w:rPr>
          <w:rFonts w:hint="eastAsia" w:ascii="宋体" w:hAnsi="宋体" w:eastAsia="仿宋_GB2312" w:cs="仿宋_GB2312"/>
          <w:kern w:val="0"/>
          <w:szCs w:val="32"/>
        </w:rPr>
        <w:t>　当事人申请再审的，应当提交再审申请书等材料。人民法院应当自收到再审申请书之日起五日内将再审申请书副本发送对方当事人。对方当事人应当自收到再审申请书副本之日起十五日内提交书面意见；不提交书面意见的，不影响人民法院审查。人民法院可以要求申请人和对方当事人补充有关材料，询问有关事项。</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第二百零四条</w:t>
      </w:r>
      <w:r>
        <w:rPr>
          <w:rFonts w:hint="eastAsia" w:ascii="宋体" w:hAnsi="宋体" w:eastAsia="仿宋_GB2312" w:cs="仿宋_GB2312"/>
          <w:kern w:val="0"/>
          <w:szCs w:val="32"/>
        </w:rPr>
        <w:t>　人民法院应当自收到再审申请书之日起三个月内审查，符合本法规定的，裁定再审；不符合本法规定的，裁定驳回申请。有特殊情况需要延长的，由本院院长批准。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因当事人申请裁定再审的案件由中级人民法院以上的人民法院审理，但当事人依照本法第一百九十九条的规定选择向基层人民法院申请再审的除外。最高人民法院、高级人民法院裁定再审的案件，由本院再审或者交其他人民法院再审，也可以交原审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第二百零五条</w:t>
      </w:r>
      <w:r>
        <w:rPr>
          <w:rFonts w:hint="eastAsia" w:ascii="宋体" w:hAnsi="宋体" w:eastAsia="仿宋_GB2312" w:cs="仿宋_GB2312"/>
          <w:kern w:val="0"/>
          <w:szCs w:val="32"/>
        </w:rPr>
        <w:t>　当事人申请再审，应当在判决、裁定发生法律效力后六个月内提出；有本法第二百条第一项、第三项、第十二项、第十三项规定情形的，自知道或者应当知道之日起六个月内提出。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第二百零六条</w:t>
      </w:r>
      <w:r>
        <w:rPr>
          <w:rFonts w:hint="eastAsia" w:ascii="宋体" w:hAnsi="宋体" w:eastAsia="仿宋_GB2312" w:cs="仿宋_GB2312"/>
          <w:kern w:val="0"/>
          <w:szCs w:val="32"/>
        </w:rPr>
        <w:t>　按照审判监督程序决定再审的案件，裁定中止原判决、裁定、调解书的执行，但追索赡养费、扶养费、抚育费、抚恤金、医疗费用、劳动报酬等案件，可以不中止执行。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第二百零七条</w:t>
      </w:r>
      <w:r>
        <w:rPr>
          <w:rFonts w:hint="eastAsia" w:ascii="宋体" w:hAnsi="宋体" w:eastAsia="仿宋_GB2312" w:cs="仿宋_GB2312"/>
          <w:kern w:val="0"/>
          <w:szCs w:val="32"/>
        </w:rPr>
        <w:t>　人民法院按照审判监督程序再审的案件，发生法律效力的判决、裁定是由第一审法院作出的，按照第一审程序审理，所作的判决、裁定，当事人可以上诉；发生法律效力的判决、裁定是由第二审法院作出的，按照第二审程序审理，所作的判决、裁定，是发生法律效力的判决、裁定；上级人民法院按照审判监督程序提审的，按照第二审程序审理，所作的判决、裁定是发生法律效力的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人民法院审理再审案件，应当另行组成合议庭。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第二百零八条</w:t>
      </w:r>
      <w:r>
        <w:rPr>
          <w:rFonts w:hint="eastAsia" w:ascii="宋体" w:hAnsi="宋体" w:eastAsia="仿宋_GB2312" w:cs="仿宋_GB2312"/>
          <w:kern w:val="0"/>
          <w:szCs w:val="32"/>
        </w:rPr>
        <w:t>　最高人民检察院对各级人民法院已经发生法律效力的判决、裁定，上级人民检察院对下级人民法院已经发生法律效力的判决、裁定，发现有本法第二百条规定情形之一的，或者发现调解书损害国家利益、社会公共利益的，应当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地方各级人民检察院对同级人民法院已经发生法律效力的判决、裁定，发现有本法第二百条规定情形之一的，或者发现调解书损害国家利益、社会公共利益的，可以向同级人民法院提出检察建议，并报上级人民检察院备案；也可以提请上级人民检察院向同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各级人民检察院对审判监督程序以外的其他审判程序中审判人员的违法行为，有权向同级人民法院提出检察建议。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第二百零九条</w:t>
      </w:r>
      <w:r>
        <w:rPr>
          <w:rFonts w:hint="eastAsia" w:ascii="宋体" w:hAnsi="宋体" w:eastAsia="仿宋_GB2312" w:cs="仿宋_GB2312"/>
          <w:kern w:val="0"/>
          <w:szCs w:val="32"/>
        </w:rPr>
        <w:t>　有下列情形之一的，当事人可以向人民检察院申请检察建议或者抗诉: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（一）人民法院驳回再审申请的；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（二）人民法院逾期未对再审申请作出裁定的；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（三）再审判决、裁定有明显错误的。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人民检察院对当事人的申请应当在三个月内进行审查，作出提出或者不予提出检察建议或者抗诉的决定。当事人不得再次向人民检察院申请检察建议或者抗诉。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第二百一十条</w:t>
      </w:r>
      <w:r>
        <w:rPr>
          <w:rFonts w:hint="eastAsia" w:ascii="宋体" w:hAnsi="宋体" w:eastAsia="仿宋_GB2312" w:cs="仿宋_GB2312"/>
          <w:kern w:val="0"/>
          <w:szCs w:val="32"/>
        </w:rPr>
        <w:t>　人民检察院因履行法律监督职责提出检察建议或者抗诉的需要，可以向当事人或者案外人调查核实有关情况。</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第二百一十一条</w:t>
      </w:r>
      <w:r>
        <w:rPr>
          <w:rFonts w:hint="eastAsia" w:ascii="宋体" w:hAnsi="宋体" w:eastAsia="仿宋_GB2312" w:cs="仿宋_GB2312"/>
          <w:kern w:val="0"/>
          <w:szCs w:val="32"/>
        </w:rPr>
        <w:t>　人民检察院提出抗诉的案件，接受抗诉的人民法院应当自收到抗诉书之日起三十日内作出再审的裁定；有本法第二百条第一项至第五项规定情形之一的，可以</w:t>
      </w:r>
      <w:r>
        <w:rPr>
          <w:rFonts w:hint="eastAsia" w:ascii="宋体" w:hAnsi="宋体" w:eastAsia="仿宋_GB2312" w:cs="仿宋_GB2312"/>
          <w:kern w:val="0"/>
          <w:szCs w:val="32"/>
          <w:highlight w:val="none"/>
        </w:rPr>
        <w:t>交下</w:t>
      </w:r>
      <w:r>
        <w:rPr>
          <w:rFonts w:hint="eastAsia" w:ascii="宋体" w:hAnsi="宋体" w:eastAsia="仿宋_GB2312" w:cs="仿宋_GB2312"/>
          <w:kern w:val="0"/>
          <w:szCs w:val="32"/>
        </w:rPr>
        <w:t>一级人民法院再审，但</w:t>
      </w:r>
      <w:r>
        <w:rPr>
          <w:rFonts w:hint="eastAsia" w:ascii="宋体" w:hAnsi="宋体" w:eastAsia="仿宋_GB2312" w:cs="仿宋_GB2312"/>
          <w:kern w:val="0"/>
          <w:szCs w:val="32"/>
          <w:highlight w:val="none"/>
        </w:rPr>
        <w:t>经该下</w:t>
      </w:r>
      <w:r>
        <w:rPr>
          <w:rFonts w:hint="eastAsia" w:ascii="宋体" w:hAnsi="宋体" w:eastAsia="仿宋_GB2312" w:cs="仿宋_GB2312"/>
          <w:kern w:val="0"/>
          <w:szCs w:val="32"/>
        </w:rPr>
        <w:t>一级人民法院再审的除外。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第二百一十二条</w:t>
      </w:r>
      <w:r>
        <w:rPr>
          <w:rFonts w:hint="eastAsia" w:ascii="宋体" w:hAnsi="宋体" w:eastAsia="仿宋_GB2312" w:cs="仿宋_GB2312"/>
          <w:kern w:val="0"/>
          <w:szCs w:val="32"/>
        </w:rPr>
        <w:t>　人民检察院决定对人民法院的判决、裁定、调解书提出抗诉的，应当制作抗诉书。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第二百一十三条</w:t>
      </w:r>
      <w:r>
        <w:rPr>
          <w:rFonts w:hint="eastAsia" w:ascii="宋体" w:hAnsi="宋体" w:eastAsia="仿宋_GB2312" w:cs="仿宋_GB2312"/>
          <w:kern w:val="0"/>
          <w:szCs w:val="32"/>
        </w:rPr>
        <w:t>　人民检察院提出抗诉的案件，人民法院再审时，应当通知人民检察院派员出席法庭。</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第十七章　</w:t>
      </w:r>
      <w:r>
        <w:rPr>
          <w:rFonts w:hint="eastAsia" w:ascii="宋体" w:hAnsi="宋体" w:eastAsia="黑体" w:cs="黑体"/>
          <w:kern w:val="0"/>
          <w:szCs w:val="32"/>
        </w:rPr>
        <w:t>督促程序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第二百一十四条</w:t>
      </w:r>
      <w:r>
        <w:rPr>
          <w:rFonts w:hint="eastAsia" w:ascii="宋体" w:hAnsi="宋体" w:eastAsia="仿宋_GB2312" w:cs="仿宋_GB2312"/>
          <w:kern w:val="0"/>
          <w:szCs w:val="32"/>
        </w:rPr>
        <w:t>　债权人请求债务人给付金钱、有价证券，符合下列条件的，可以向有管辖权的基层人民法院申请支付令: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（一）债权人与债务人没有其他债务纠纷的；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（二）支付令能够送达债务人的。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申请书应当写明请求给付金钱或者有价证券的数量和所根据的事实、证据。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第二百一十五条</w:t>
      </w:r>
      <w:r>
        <w:rPr>
          <w:rFonts w:hint="eastAsia" w:ascii="宋体" w:hAnsi="宋体" w:eastAsia="仿宋_GB2312" w:cs="仿宋_GB2312"/>
          <w:kern w:val="0"/>
          <w:szCs w:val="32"/>
        </w:rPr>
        <w:t>　债权人提出申请后，人民法院应当在五日内通知债权人是否受理。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第二百一十六条</w:t>
      </w:r>
      <w:r>
        <w:rPr>
          <w:rFonts w:hint="eastAsia" w:ascii="宋体" w:hAnsi="宋体" w:eastAsia="仿宋_GB2312" w:cs="仿宋_GB2312"/>
          <w:kern w:val="0"/>
          <w:szCs w:val="32"/>
        </w:rPr>
        <w:t>　人民法院受理申请后，经审查债权人提供的事实、证据，对债权债务关系明确、合法的，应当在受理之日起十五日内向债务人发出支付令；申请不成立的，裁定予以驳回。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债务人应当自收到支付令之日起十五日内清偿债务，或者向人民法院提出书面异议。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债务人在前款规定的期间不提出异议又不履行支付令的，债权人可以向人民法院申请执行。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第二百一十七条</w:t>
      </w:r>
      <w:r>
        <w:rPr>
          <w:rFonts w:hint="eastAsia" w:ascii="宋体" w:hAnsi="宋体" w:eastAsia="仿宋_GB2312" w:cs="仿宋_GB2312"/>
          <w:kern w:val="0"/>
          <w:szCs w:val="32"/>
        </w:rPr>
        <w:t>　人民法院收到债务人提出的书面异议后，经审查，异议成立的，应当裁定终结督促程序，支付令自行失效。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支付令失效的，转入诉讼程序，但申请支付令的一方当事人不同意提起诉讼的除外。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第十八章　</w:t>
      </w:r>
      <w:r>
        <w:rPr>
          <w:rFonts w:hint="eastAsia" w:ascii="宋体" w:hAnsi="宋体" w:eastAsia="黑体" w:cs="黑体"/>
          <w:kern w:val="0"/>
          <w:szCs w:val="32"/>
        </w:rPr>
        <w:t>公示催告程序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第二百一十八条</w:t>
      </w:r>
      <w:r>
        <w:rPr>
          <w:rFonts w:hint="eastAsia" w:ascii="宋体" w:hAnsi="宋体" w:eastAsia="仿宋_GB2312" w:cs="仿宋_GB2312"/>
          <w:kern w:val="0"/>
          <w:szCs w:val="32"/>
        </w:rPr>
        <w:t>　按照规定可以背书转让的票据持有人，因票据被盗、遗失或者灭失，可以向票据支付地的基层人民法院申请公示催告。依照法律规定可以申请公示催告的其他事项，适用本章规定。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申请人应当向人民法院递交申请书，写明票面金额、发票人、持票人、背书人等票据主要内容和申请的理由、事实。</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第二百一十九条</w:t>
      </w:r>
      <w:r>
        <w:rPr>
          <w:rFonts w:hint="eastAsia" w:ascii="宋体" w:hAnsi="宋体" w:eastAsia="仿宋_GB2312" w:cs="仿宋_GB2312"/>
          <w:kern w:val="0"/>
          <w:szCs w:val="32"/>
        </w:rPr>
        <w:t>　人民法院决定受理申请，应当同时通知支付人停止支付，并在三日内发出公告，催促利害关系人申报权利。公示催告的期间，由人民法院根据情况决定，但不得少于六十日。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第二百二十条</w:t>
      </w:r>
      <w:r>
        <w:rPr>
          <w:rFonts w:hint="eastAsia" w:ascii="宋体" w:hAnsi="宋体" w:eastAsia="仿宋_GB2312" w:cs="仿宋_GB2312"/>
          <w:kern w:val="0"/>
          <w:szCs w:val="32"/>
        </w:rPr>
        <w:t>　支付人收到人民法院停止支付的通知，应当停止支付，至公示催告程序终结。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公示催告期间，转让票据权利的行为无效。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第二百二十一条</w:t>
      </w:r>
      <w:r>
        <w:rPr>
          <w:rFonts w:hint="eastAsia" w:ascii="宋体" w:hAnsi="宋体" w:eastAsia="仿宋_GB2312" w:cs="仿宋_GB2312"/>
          <w:kern w:val="0"/>
          <w:szCs w:val="32"/>
        </w:rPr>
        <w:t>　利害关系人应当在公示催告期间向人民法院申报。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人民法院收到利害关系人的申报后，应当裁定终结公示催告程序，并通知申请人和支付人。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申请人或者申报人可以向人民法院起诉。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第二百二十二条</w:t>
      </w:r>
      <w:r>
        <w:rPr>
          <w:rFonts w:hint="eastAsia" w:ascii="宋体" w:hAnsi="宋体" w:eastAsia="仿宋_GB2312" w:cs="仿宋_GB2312"/>
          <w:kern w:val="0"/>
          <w:szCs w:val="32"/>
        </w:rPr>
        <w:t>　没有人申报的，人民法院应当根据申请人的申请，作出判决，宣告票据无效。判决应当公告，并通知支付人。自判决公告之日起，申请人有权向支付人请求支付。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第二百二十三条</w:t>
      </w:r>
      <w:r>
        <w:rPr>
          <w:rFonts w:hint="eastAsia" w:ascii="宋体" w:hAnsi="宋体" w:eastAsia="仿宋_GB2312" w:cs="仿宋_GB2312"/>
          <w:kern w:val="0"/>
          <w:szCs w:val="32"/>
        </w:rPr>
        <w:t>　利害关系人因正当理由不能在判决前向人民法院申报的，自知道或者应当知道判决公告之日起一年内，可以向作出判决的人民法院起诉。</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第三编　执行程序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第十九章　</w:t>
      </w:r>
      <w:r>
        <w:rPr>
          <w:rFonts w:hint="eastAsia" w:ascii="宋体" w:hAnsi="宋体" w:eastAsia="黑体" w:cs="黑体"/>
          <w:kern w:val="0"/>
          <w:szCs w:val="32"/>
        </w:rPr>
        <w:t>一般规定</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第二百二十四条</w:t>
      </w:r>
      <w:r>
        <w:rPr>
          <w:rFonts w:hint="eastAsia" w:ascii="宋体" w:hAnsi="宋体" w:eastAsia="仿宋_GB2312" w:cs="仿宋_GB2312"/>
          <w:kern w:val="0"/>
          <w:szCs w:val="32"/>
        </w:rPr>
        <w:t>　发生法律效力的民事判决、裁定，以及刑事判决、裁定中的财产部分，由第一审人民法院或者与第一审人民法院同级的被执行的财产所在地人民法院执行。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法律规定由人民法院执行的其他法律文书，由被执行人住所地或者被执行的财产所在地人民法院执行。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第二百二十五条</w:t>
      </w:r>
      <w:r>
        <w:rPr>
          <w:rFonts w:hint="eastAsia" w:ascii="宋体" w:hAnsi="宋体" w:eastAsia="仿宋_GB2312" w:cs="仿宋_GB2312"/>
          <w:kern w:val="0"/>
          <w:szCs w:val="32"/>
        </w:rPr>
        <w:t>　当事人、利害关系人认为执行行为违反法律规定的，可以向负责执行的人民法院提出书面异议。当事人、利害关系人提出书面异议的，人民法院应当自收到书面异议之日起十五日内审查，理由成立的，裁定撤销或者改正；理由不成立的，裁定驳回。当事人、利害关系人对裁定不服的，可以自裁定送达之日起十日内向上一级人民法院申请复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第二百二十六条</w:t>
      </w:r>
      <w:r>
        <w:rPr>
          <w:rFonts w:hint="eastAsia" w:ascii="宋体" w:hAnsi="宋体" w:eastAsia="仿宋_GB2312" w:cs="仿宋_GB2312"/>
          <w:kern w:val="0"/>
          <w:szCs w:val="32"/>
        </w:rPr>
        <w:t>　人民法院自收到申请执行书之日起超过六个月未执行的，申请执行人可以向上一级人民法院申请执行。上一级人民法院经审查，可以责令原人民法院在一定期限内执行，也可以决定由本院执行或者指令其他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第二百二十七条</w:t>
      </w:r>
      <w:r>
        <w:rPr>
          <w:rFonts w:hint="eastAsia" w:ascii="宋体" w:hAnsi="宋体" w:eastAsia="仿宋_GB2312" w:cs="仿宋_GB2312"/>
          <w:kern w:val="0"/>
          <w:szCs w:val="32"/>
        </w:rPr>
        <w:t>　执行过程中，案外人对执行标的提出书面异议的，人民法院应当自收到书面异议之日起十五日内审查，理由成立的，裁定中止对该标</w:t>
      </w:r>
      <w:r>
        <w:rPr>
          <w:rFonts w:hint="eastAsia" w:ascii="宋体" w:hAnsi="宋体" w:eastAsia="仿宋_GB2312" w:cs="仿宋_GB2312"/>
          <w:kern w:val="0"/>
          <w:szCs w:val="32"/>
          <w:highlight w:val="none"/>
        </w:rPr>
        <w:t>的的</w:t>
      </w:r>
      <w:r>
        <w:rPr>
          <w:rFonts w:hint="eastAsia" w:ascii="宋体" w:hAnsi="宋体" w:eastAsia="仿宋_GB2312" w:cs="仿宋_GB2312"/>
          <w:kern w:val="0"/>
          <w:szCs w:val="32"/>
        </w:rPr>
        <w:t>执行；理由不成立的，裁定驳回。案外人、当事人对裁定不服，认为原判决、裁定错误的，依照审判监督程序办理；与原判决、裁定无关的，可以自裁定送达之日起十五日内向人民法院提起诉讼。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第二百二十八条</w:t>
      </w:r>
      <w:r>
        <w:rPr>
          <w:rFonts w:hint="eastAsia" w:ascii="宋体" w:hAnsi="宋体" w:eastAsia="仿宋_GB2312" w:cs="仿宋_GB2312"/>
          <w:kern w:val="0"/>
          <w:szCs w:val="32"/>
        </w:rPr>
        <w:t>　执行工作由执行员进行。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采取强制执行措施时，执行员应当出示证件。执行完毕后，应当将执行情况制作笔录，由在场的有关人员签名或者盖章。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人民法院根据需要可以设立执行机构。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第二百二十九条</w:t>
      </w:r>
      <w:r>
        <w:rPr>
          <w:rFonts w:hint="eastAsia" w:ascii="宋体" w:hAnsi="宋体" w:eastAsia="仿宋_GB2312" w:cs="仿宋_GB2312"/>
          <w:kern w:val="0"/>
          <w:szCs w:val="32"/>
        </w:rPr>
        <w:t>　被执行人或者被执行的财产在外地的，可以委托当地人民法院代为执行。受委托人民法院收到委托函件后，必须在十五日内开始执行，不得拒绝。执行完毕后，应当将执行结果及时函复委托人民法院；在三十日内如果还未执行完毕，也应当将执行情况函告委托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受委托人民法院自收到委托函件之日起十五日内不执行的，委托人民法院可以请求受委托人民法院的上级人民法院指令受委托人民法院执行。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第二百三十条</w:t>
      </w:r>
      <w:r>
        <w:rPr>
          <w:rFonts w:hint="eastAsia" w:ascii="宋体" w:hAnsi="宋体" w:eastAsia="仿宋_GB2312" w:cs="仿宋_GB2312"/>
          <w:kern w:val="0"/>
          <w:szCs w:val="32"/>
        </w:rPr>
        <w:t>　在执行中，双方当事人自行和解达成协议的，执行员应当将协议内容记入笔录，由双方当事人签名或者盖章。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申请执行人因受欺诈、胁迫与被执行人达成和解协议，或者当事人不履行和解协议的，人民法院可以根据当事人的申请，恢复对原生效法律文书的执行。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第二百三十一条</w:t>
      </w:r>
      <w:r>
        <w:rPr>
          <w:rFonts w:hint="eastAsia" w:ascii="宋体" w:hAnsi="宋体" w:eastAsia="仿宋_GB2312" w:cs="仿宋_GB2312"/>
          <w:kern w:val="0"/>
          <w:szCs w:val="32"/>
        </w:rPr>
        <w:t>　在执行中，被执行人向人民法院提供担保，并经申请执行人同意的，人民法院可以决定暂缓执行及暂缓执行的期限。被执行人逾期仍不履行的，人民法院有权执行被执行人的担保财产或者担保人的财产。</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第二百三十二条</w:t>
      </w:r>
      <w:r>
        <w:rPr>
          <w:rFonts w:hint="eastAsia" w:ascii="宋体" w:hAnsi="宋体" w:eastAsia="仿宋_GB2312" w:cs="仿宋_GB2312"/>
          <w:kern w:val="0"/>
          <w:szCs w:val="32"/>
        </w:rPr>
        <w:t>　作为被执行人的公民死亡的，以其遗产偿还债务。作为被执行人的法人或者其他组织终止的，由其权利义务承受人履行义务。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第二百三十三条</w:t>
      </w:r>
      <w:r>
        <w:rPr>
          <w:rFonts w:hint="eastAsia" w:ascii="宋体" w:hAnsi="宋体" w:eastAsia="仿宋_GB2312" w:cs="仿宋_GB2312"/>
          <w:kern w:val="0"/>
          <w:szCs w:val="32"/>
        </w:rPr>
        <w:t>　执行完毕后，据以执行的判决、裁定和其他法律文书确有错误，被人民法院撤销的，对已被执行的财产，人民法院应当作出裁定，责令取得财产的人返还；拒不返还的，强制执行。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第二百三十四条</w:t>
      </w:r>
      <w:r>
        <w:rPr>
          <w:rFonts w:hint="eastAsia" w:ascii="宋体" w:hAnsi="宋体" w:eastAsia="仿宋_GB2312" w:cs="仿宋_GB2312"/>
          <w:kern w:val="0"/>
          <w:szCs w:val="32"/>
        </w:rPr>
        <w:t>　人民法院制作的调解书的执行，适用本编的规定。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第二百三十五条</w:t>
      </w:r>
      <w:r>
        <w:rPr>
          <w:rFonts w:hint="eastAsia" w:ascii="宋体" w:hAnsi="宋体" w:eastAsia="仿宋_GB2312" w:cs="仿宋_GB2312"/>
          <w:kern w:val="0"/>
          <w:szCs w:val="32"/>
        </w:rPr>
        <w:t>　人民检察院有权对民事执行活动实行法律监督。</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第二十章　执行的申请和移送</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第二百三十六条</w:t>
      </w:r>
      <w:r>
        <w:rPr>
          <w:rFonts w:hint="eastAsia" w:ascii="宋体" w:hAnsi="宋体" w:eastAsia="仿宋_GB2312" w:cs="仿宋_GB2312"/>
          <w:kern w:val="0"/>
          <w:szCs w:val="32"/>
        </w:rPr>
        <w:t>　发生法律效力的民事判决、裁定，当事人必须履行。一方拒绝履行的，对方当事人可以向人民法院申请执行，也可以由审判员移送执行员执行。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调解书和其他应当由人民法院执行的法律文书，当事人必须履行。一方拒绝履行的，对方当事人可以向人民法院申请执行。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第二百三十七条</w:t>
      </w:r>
      <w:r>
        <w:rPr>
          <w:rFonts w:hint="eastAsia" w:ascii="宋体" w:hAnsi="宋体" w:eastAsia="仿宋_GB2312" w:cs="仿宋_GB2312"/>
          <w:kern w:val="0"/>
          <w:szCs w:val="32"/>
        </w:rPr>
        <w:t>　对依法设立的仲裁机构的裁决，一方当事人不履行的，对方当事人可以向有管辖权的人民法院申请执行。受申请的人民法院应当执行。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被申请人提出证据证明仲裁裁决有下列情形之一的，经人民法院组成合议庭审查核实，裁定不予执行: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（一）当事人在合同中没有订有仲裁条款或者事后没有达成书面仲裁协议的；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（二）裁决的事项不属于仲裁协议的范围或者仲裁机构无权仲裁的；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（三）仲裁庭的组成或者仲裁的程序违反法定程序的；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（四）裁决所根据的证据是伪造的；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（五）对方当事人向仲裁机构隐瞒了足以影响公正裁决的证据的；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（六）仲裁员在仲裁该案时有贪污受贿，徇私舞弊，枉法裁决行为的。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人民法院认定执行该裁决违背社会公共利益的，裁定不予执行。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裁定书应当送达双方当事人和仲裁机构。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仲裁裁决被人民法院裁定不予执行的，当事人可以根据双方达成的书面仲裁协议重新申请仲裁，也可以向人民法院起诉。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第二百三十八条</w:t>
      </w:r>
      <w:r>
        <w:rPr>
          <w:rFonts w:hint="eastAsia" w:ascii="宋体" w:hAnsi="宋体" w:eastAsia="仿宋_GB2312" w:cs="仿宋_GB2312"/>
          <w:kern w:val="0"/>
          <w:szCs w:val="32"/>
        </w:rPr>
        <w:t>　对公证机关依法赋予强制执行效力的债权文书，一方当事人不履行的，对方当事人可以向有管辖权的人民法院申请执行，受申请的人民法院应当执行。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公证债权文书确有错误的，人民法院裁定不予执行，并将裁定书送达双方当事人和公证机关。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第二百三十九条</w:t>
      </w:r>
      <w:r>
        <w:rPr>
          <w:rFonts w:hint="eastAsia" w:ascii="宋体" w:hAnsi="宋体" w:eastAsia="仿宋_GB2312" w:cs="仿宋_GB2312"/>
          <w:kern w:val="0"/>
          <w:szCs w:val="32"/>
        </w:rPr>
        <w:t>　申请执行的期间为二年。申请执行时效的中止、中断，适用法律有关诉讼时效中止、中断的规定。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前款规定的期间，从法律文书规定履行期间的最后一日起计算；法律文书规定分期履行的，从规定的每次履行期间的最后一日起计算；法律文书未规定履行期间的，从法律文书生效之日起计算。</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第二百四十条</w:t>
      </w:r>
      <w:r>
        <w:rPr>
          <w:rFonts w:hint="eastAsia" w:ascii="宋体" w:hAnsi="宋体" w:eastAsia="仿宋_GB2312" w:cs="仿宋_GB2312"/>
          <w:kern w:val="0"/>
          <w:szCs w:val="32"/>
        </w:rPr>
        <w:t>　执行员接到申请执行书或者移交执行书，应当向被执行人发出执行通知，并可以立即采取强制执行措施。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第二十一章　执行措施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第二百四十一条</w:t>
      </w:r>
      <w:r>
        <w:rPr>
          <w:rFonts w:hint="eastAsia" w:ascii="宋体" w:hAnsi="宋体" w:eastAsia="仿宋_GB2312" w:cs="仿宋_GB2312"/>
          <w:kern w:val="0"/>
          <w:szCs w:val="32"/>
        </w:rPr>
        <w:t>　被执行人未按执行通知履行法律文书确定的义务，应当报告当前以及收到执行通知之日前一年的财产情况。被执行人拒绝报告或者虚假报告的，人民法院可以根据情节轻重对被执行人或者其法定代理人、有关单位的主要负责人或者直接责任人员予以罚款、拘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第二百四十二条</w:t>
      </w:r>
      <w:r>
        <w:rPr>
          <w:rFonts w:hint="eastAsia" w:ascii="宋体" w:hAnsi="宋体" w:eastAsia="仿宋_GB2312" w:cs="仿宋_GB2312"/>
          <w:kern w:val="0"/>
          <w:szCs w:val="32"/>
        </w:rPr>
        <w:t>　被执行人未按执行通知履行法律文书确定的义务，人民法院有权向有关单位查询被执行人的存款、债券、股票、基金份额等财产情况。人民法院有权根据不同情形扣押、冻结、划拨、变价被执行人的财产。人民法院查询、扣押、冻结、划拨、变价的财产不得超出被执行人应当履行义务的范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人民法院决定扣押、冻结、划拨、变价财产，应当作出裁定，并发出协助执行通知书，有关单位必须办理。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第二百四十三条</w:t>
      </w:r>
      <w:r>
        <w:rPr>
          <w:rFonts w:hint="eastAsia" w:ascii="宋体" w:hAnsi="宋体" w:eastAsia="仿宋_GB2312" w:cs="仿宋_GB2312"/>
          <w:kern w:val="0"/>
          <w:szCs w:val="32"/>
        </w:rPr>
        <w:t>　被执行人未按执行通知履行法律文书确定的义务，人民法院有权扣留、提取被执行人应当履行义务部分的收入。但应当保留被执行人及其所扶养家属的生活必需费用。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人民法院扣留、提取收入时，应当作出裁定，并发出协助执行通知书，被执行人所在单位、银行、信用合作社和其他有储蓄业务的单位必须办理。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第二百四十四条</w:t>
      </w:r>
      <w:r>
        <w:rPr>
          <w:rFonts w:hint="eastAsia" w:ascii="宋体" w:hAnsi="宋体" w:eastAsia="仿宋_GB2312" w:cs="仿宋_GB2312"/>
          <w:kern w:val="0"/>
          <w:szCs w:val="32"/>
        </w:rPr>
        <w:t>　被执行人未按执行通知履行法律文书确定的义务，人民法院有权查封、扣押、冻结、拍卖、变卖被执行人应当履行义务部分的财产。但应当保留被执行人及其所扶养家属的生活必需品。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采取前款措施，人民法院应当作出裁定。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第二百四十五条</w:t>
      </w:r>
      <w:r>
        <w:rPr>
          <w:rFonts w:hint="eastAsia" w:ascii="宋体" w:hAnsi="宋体" w:eastAsia="仿宋_GB2312" w:cs="仿宋_GB2312"/>
          <w:kern w:val="0"/>
          <w:szCs w:val="32"/>
        </w:rPr>
        <w:t>　人民法院查封、扣押财产时，被执行人是公民的，应当通知被执行人或者他的成年家属到场；被执行人是法人或者其他组织的，应当通知其法定代表人或者主要负责人到场。拒不到场的，不影响执行。被执行人是公民的，其工作单位或者财产所在地的基层组织应当派人参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对被查封、扣押的财产，执行员必须造具清单，由在场人签名或者盖章后，交被执行人一份。被执行人是公民的，也可以交他的成年家属一份。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第二百四十六条</w:t>
      </w:r>
      <w:r>
        <w:rPr>
          <w:rFonts w:hint="eastAsia" w:ascii="宋体" w:hAnsi="宋体" w:eastAsia="仿宋_GB2312" w:cs="仿宋_GB2312"/>
          <w:kern w:val="0"/>
          <w:szCs w:val="32"/>
        </w:rPr>
        <w:t>　被查封的财产，执行员可以指定被执行人负责保管。因被执行人的过错造成的损失，由被执行人承担。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第二百四十七条</w:t>
      </w:r>
      <w:r>
        <w:rPr>
          <w:rFonts w:hint="eastAsia" w:ascii="宋体" w:hAnsi="宋体" w:eastAsia="仿宋_GB2312" w:cs="仿宋_GB2312"/>
          <w:kern w:val="0"/>
          <w:szCs w:val="32"/>
        </w:rPr>
        <w:t>　财产被查封、扣押后，执行员应当责令被执行人在指定期间履行法律文书确定的义务。被执行人逾期不履行的，人民法院应当拍卖被查封、扣押的财产；不适于拍卖或者当事人双方同意不进行拍卖的，人民法院可以委托有关单位变卖或者自行变卖。国家禁止自由买卖的物品，交有关单位按照国家规定的价格收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第二百四十八条</w:t>
      </w:r>
      <w:r>
        <w:rPr>
          <w:rFonts w:hint="eastAsia" w:ascii="宋体" w:hAnsi="宋体" w:eastAsia="仿宋_GB2312" w:cs="仿宋_GB2312"/>
          <w:kern w:val="0"/>
          <w:szCs w:val="32"/>
        </w:rPr>
        <w:t>　被执行人不履行法律文书确定的义务，并隐匿财产的，人民法院有权发出搜查令，对被执行人及其住所或者财产隐匿地进行搜查。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采取前款措施，由院长签发搜查令。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第二百四十九条</w:t>
      </w:r>
      <w:r>
        <w:rPr>
          <w:rFonts w:hint="eastAsia" w:ascii="宋体" w:hAnsi="宋体" w:eastAsia="仿宋_GB2312" w:cs="仿宋_GB2312"/>
          <w:kern w:val="0"/>
          <w:szCs w:val="32"/>
        </w:rPr>
        <w:t>　法律文书指定交付的财物或者票证，由执行员传唤双方当事人当面交付，或者由执行员转交，并由被交付人签收。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有关单位持有该项财物或者票证的，应当根据人民法院的协助执行通知书转交，并由被交付人签收。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有关公民持有该项财物或者票证的，人民法院通知其交出。拒不交出的，强制执行。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第二百五十条</w:t>
      </w:r>
      <w:r>
        <w:rPr>
          <w:rFonts w:hint="eastAsia" w:ascii="宋体" w:hAnsi="宋体" w:eastAsia="仿宋_GB2312" w:cs="仿宋_GB2312"/>
          <w:kern w:val="0"/>
          <w:szCs w:val="32"/>
        </w:rPr>
        <w:t>　强制迁出房屋或者强制退出土地，由院长签发公告，责令被执行人在指定期间履行。被执行人逾期不履行的，由执行员强制执行。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强制执行时，被执行人是公民的，应当通知被执行人或者他的成年家属到场；被执行人是法人或者其他组织的，应当通知其法定代表人或者主要负责人到场。拒不到场的，不影响执行。被执行人是公民的，其工作单位或者房屋、土地所在地的基层组织应当派人参加。执行员应当将强制执行情况记入笔录，由在场人签名或者盖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强制迁出房屋被搬出的财物，由人民法院派人运至指定处所，交给被执行人。被执行人是公民的，也可以交给他的成年家属。因拒绝接收而造成的损失，由被执行人承担。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第二百五十一条</w:t>
      </w:r>
      <w:r>
        <w:rPr>
          <w:rFonts w:hint="eastAsia" w:ascii="宋体" w:hAnsi="宋体" w:eastAsia="仿宋_GB2312" w:cs="仿宋_GB2312"/>
          <w:kern w:val="0"/>
          <w:szCs w:val="32"/>
        </w:rPr>
        <w:t>　在执行中，需要办理有关财产权证照转移手续的，人民法院可以向有关单位发出协助执行通知书，有关单位必须办理。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第二百五十二条</w:t>
      </w:r>
      <w:r>
        <w:rPr>
          <w:rFonts w:hint="eastAsia" w:ascii="宋体" w:hAnsi="宋体" w:eastAsia="仿宋_GB2312" w:cs="仿宋_GB2312"/>
          <w:kern w:val="0"/>
          <w:szCs w:val="32"/>
        </w:rPr>
        <w:t>　对判决、裁定和其他法律文书指定的行为，被执行人未按执行通知履行的，人民法院可以强制执行或者委托有关单位或者其他人完成，费用由被执行人承担。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第二百五十三条</w:t>
      </w:r>
      <w:r>
        <w:rPr>
          <w:rFonts w:hint="eastAsia" w:ascii="宋体" w:hAnsi="宋体" w:eastAsia="仿宋_GB2312" w:cs="仿宋_GB2312"/>
          <w:kern w:val="0"/>
          <w:szCs w:val="32"/>
        </w:rPr>
        <w:t>　被执行人未按判决、裁定和其他法律文书指定的期间履行给付金钱义务的，应当加倍支付迟延履行期间的债务利息。被执行人未按判决、裁定和其他法律文书指定的期间履行其他义务的，应当支付迟延履行金。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第二百五十四条</w:t>
      </w:r>
      <w:r>
        <w:rPr>
          <w:rFonts w:hint="eastAsia" w:ascii="宋体" w:hAnsi="宋体" w:eastAsia="仿宋_GB2312" w:cs="仿宋_GB2312"/>
          <w:kern w:val="0"/>
          <w:szCs w:val="32"/>
        </w:rPr>
        <w:t>　人民法院采取本法第二百四十二条、第二百四十三条、第二百四十四条规定的执行措施后，被执行人仍不能偿还债务的，应当继续履行义务。债权人发现被执行人有其他财产的，可以随时请求人民法院执行。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第二百五十五条</w:t>
      </w:r>
      <w:r>
        <w:rPr>
          <w:rFonts w:hint="eastAsia" w:ascii="宋体" w:hAnsi="宋体" w:eastAsia="仿宋_GB2312" w:cs="仿宋_GB2312"/>
          <w:kern w:val="0"/>
          <w:szCs w:val="32"/>
        </w:rPr>
        <w:t>　被执行人不履行法律文书确定的义务的，人民法院可以对其采取或者通知有关单位协助采取限制出境，在征信系统记录、通过媒体公布不履行义务信息以及法律规定的其他措施。</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第二十二章　执行中止和终结</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第二百五十六条</w:t>
      </w:r>
      <w:r>
        <w:rPr>
          <w:rFonts w:hint="eastAsia" w:ascii="宋体" w:hAnsi="宋体" w:eastAsia="仿宋_GB2312" w:cs="仿宋_GB2312"/>
          <w:kern w:val="0"/>
          <w:szCs w:val="32"/>
        </w:rPr>
        <w:t>　有下列情形之一的，人民法院应当裁定中止执行: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（一）申请人表示可以延期执行的；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（二）案外人对执行标的提出确有理由的异议的；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（三）作为一方当事人的公民死亡，需要等待继承人继承权利或者承担义务的；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（四）作为一方当事人的法人或者其他组织终止，尚未确定权利义务承受人的；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（五）人民法院认为应当中止执行的其他情形。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中止的情形消失后，恢复执行。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第二百五十七条</w:t>
      </w:r>
      <w:r>
        <w:rPr>
          <w:rFonts w:hint="eastAsia" w:ascii="宋体" w:hAnsi="宋体" w:eastAsia="仿宋_GB2312" w:cs="仿宋_GB2312"/>
          <w:kern w:val="0"/>
          <w:szCs w:val="32"/>
        </w:rPr>
        <w:t>　有下列情形之一的，人民法院裁定终结执行: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（一）申请人撤销申请的；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（二）据以执行的法律文书被撤销的；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（三）作为被执行人的公民死亡，无遗产可供执行，又无义务承担人的；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（四）追索赡养费、扶养费、抚育费案件的权利人死亡的；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（五）作为被执行人的公民因生活困难无力偿还借款，无收入来源，又丧失劳动能力的；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（六）人民法院认为应当终结执行的其他情形。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第二百五十八条</w:t>
      </w:r>
      <w:r>
        <w:rPr>
          <w:rFonts w:hint="eastAsia" w:ascii="宋体" w:hAnsi="宋体" w:eastAsia="仿宋_GB2312" w:cs="仿宋_GB2312"/>
          <w:kern w:val="0"/>
          <w:szCs w:val="32"/>
        </w:rPr>
        <w:t>　中止和终结执行的裁定，送达当事人后立即生效。</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第四编　涉外民事诉讼程序的特别规定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第二十三章　一般原则</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第二百五十九条</w:t>
      </w:r>
      <w:r>
        <w:rPr>
          <w:rFonts w:hint="eastAsia" w:ascii="宋体" w:hAnsi="宋体" w:eastAsia="仿宋_GB2312" w:cs="仿宋_GB2312"/>
          <w:kern w:val="0"/>
          <w:szCs w:val="32"/>
        </w:rPr>
        <w:t>　在中华人民共和国领域内进行涉外民事诉讼，适用本编规定。本编没有规定的，适用本法其他有关规定。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第二百六十条</w:t>
      </w:r>
      <w:r>
        <w:rPr>
          <w:rFonts w:hint="eastAsia" w:ascii="宋体" w:hAnsi="宋体" w:eastAsia="仿宋_GB2312" w:cs="仿宋_GB2312"/>
          <w:kern w:val="0"/>
          <w:szCs w:val="32"/>
        </w:rPr>
        <w:t>　中华人民共和国缔结或者参加的国际条约同本法有不同规定的，适用该国际条约的规定，但中华人民共和国声明保留的条款除外。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第二百六十一条</w:t>
      </w:r>
      <w:r>
        <w:rPr>
          <w:rFonts w:hint="eastAsia" w:ascii="宋体" w:hAnsi="宋体" w:eastAsia="仿宋_GB2312" w:cs="仿宋_GB2312"/>
          <w:kern w:val="0"/>
          <w:szCs w:val="32"/>
        </w:rPr>
        <w:t>　对享有外交特权与豁免的外国人、外国组织或者国际组织提起的民事诉讼，应当依照中华人民共和国有关法律和中华人民共和国缔结或者参加的国际条约的规定办理。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第二百六十二条</w:t>
      </w:r>
      <w:r>
        <w:rPr>
          <w:rFonts w:hint="eastAsia" w:ascii="宋体" w:hAnsi="宋体" w:eastAsia="仿宋_GB2312" w:cs="仿宋_GB2312"/>
          <w:kern w:val="0"/>
          <w:szCs w:val="32"/>
        </w:rPr>
        <w:t>　人民法院审理涉外民事案件，应当使用中华人民共和国通用的语言、文字。当事人要求提供翻译的，可以提供，费用由当事人承担。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第二百六十三条</w:t>
      </w:r>
      <w:r>
        <w:rPr>
          <w:rFonts w:hint="eastAsia" w:ascii="宋体" w:hAnsi="宋体" w:eastAsia="仿宋_GB2312" w:cs="仿宋_GB2312"/>
          <w:kern w:val="0"/>
          <w:szCs w:val="32"/>
        </w:rPr>
        <w:t>　外国人、无国籍人、外国企业和组织在人民法院起诉、应诉，需要委托律师代理诉讼的，必须委托中华人民共和国的律师。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第二百六十四条</w:t>
      </w:r>
      <w:r>
        <w:rPr>
          <w:rFonts w:hint="eastAsia" w:ascii="宋体" w:hAnsi="宋体" w:eastAsia="仿宋_GB2312" w:cs="仿宋_GB2312"/>
          <w:kern w:val="0"/>
          <w:szCs w:val="32"/>
        </w:rPr>
        <w:t>　在中华人民共和国领域内没有住所的外国人、无国籍人、外国企业和组织委托中华人民共和国律师或者其他人代理诉讼，从中华人民共和国领域外寄交或者托交的授权委托书，应当经所在国公证机关证明，并经中华人民共和国驻该国使领馆认证，或者履行中华人民共和国与该所在国订立的有关条约中规定的证明手续后，才具有效力。</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第二十四章　管辖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第二百六十五条</w:t>
      </w:r>
      <w:r>
        <w:rPr>
          <w:rFonts w:hint="eastAsia" w:ascii="宋体" w:hAnsi="宋体" w:eastAsia="仿宋_GB2312" w:cs="仿宋_GB2312"/>
          <w:kern w:val="0"/>
          <w:szCs w:val="32"/>
        </w:rPr>
        <w:t>　因合同纠纷或者其他财产权益纠纷，对在中华人民共和国领域内没有住所的被告提起的诉讼，如果合同在中华人民共和国领域内签订或者履行，或者诉讼标的物在中华人民共和国领域内，或者被告在中华人民共和国领域内有可供扣押的财产，或者被告在中华人民共和国领域内设有代表机构，可以由合同签订地、合同履行地、诉讼标的物所在地、可供扣押财产所在地、侵权行为地或者代表机构住所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第二百六十六条</w:t>
      </w:r>
      <w:r>
        <w:rPr>
          <w:rFonts w:hint="eastAsia" w:ascii="宋体" w:hAnsi="宋体" w:eastAsia="仿宋_GB2312" w:cs="仿宋_GB2312"/>
          <w:kern w:val="0"/>
          <w:szCs w:val="32"/>
        </w:rPr>
        <w:t>　因在中华人民共和国履行中外合资经营企业合同、中外合作经营企业合同、中外合作勘探开发自然资源合同发生纠纷提起的诉讼，由中华人民共和国人民法院管辖。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第二十五章　送达、期间</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第二百六十七条</w:t>
      </w:r>
      <w:r>
        <w:rPr>
          <w:rFonts w:hint="eastAsia" w:ascii="宋体" w:hAnsi="宋体" w:eastAsia="仿宋_GB2312" w:cs="仿宋_GB2312"/>
          <w:kern w:val="0"/>
          <w:szCs w:val="32"/>
        </w:rPr>
        <w:t>　人民法院对在中华人民共和国领域内没有住所的当事人送达诉讼文书，可以采用下列方式: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（一）依照受送达人所在国与中华人民共和国缔结或者共同参加的国际条约中规定的方式送达；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（二）通过外交途径送达；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（三）对具有中华人民共和国国籍的受送达人，可以委托中华人民共和国</w:t>
      </w:r>
      <w:r>
        <w:rPr>
          <w:rFonts w:hint="eastAsia" w:ascii="宋体" w:hAnsi="宋体" w:eastAsia="仿宋_GB2312" w:cs="仿宋_GB2312"/>
          <w:kern w:val="0"/>
          <w:szCs w:val="32"/>
          <w:highlight w:val="none"/>
        </w:rPr>
        <w:t>驻受</w:t>
      </w:r>
      <w:r>
        <w:rPr>
          <w:rFonts w:hint="eastAsia" w:ascii="宋体" w:hAnsi="宋体" w:eastAsia="仿宋_GB2312" w:cs="仿宋_GB2312"/>
          <w:kern w:val="0"/>
          <w:szCs w:val="32"/>
        </w:rPr>
        <w:t>送达人所在国的使领馆代为送达；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（四）向受送达人委托的有权代其接受送达的诉讼代理人送达；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（五）向受送达人在中华人民共和国领域内设立的代表机构或者有权接受送达的分支机构、业务代办人送达；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（六）受送达人所在国的法律允许邮寄送达的，可以邮寄送达，自邮寄之日起满三个月，送达回证没有退回，但根据各种情况足以认定已经送达的，期间届满之日视为送达；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（七）采用传真、电子邮件等能够确认受送达人收悉的方式送达；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（八）不能用上述方式送达的，公告送达，自公告之日起满三个月，即视为送达。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第二百六十八条</w:t>
      </w:r>
      <w:r>
        <w:rPr>
          <w:rFonts w:hint="eastAsia" w:ascii="宋体" w:hAnsi="宋体" w:eastAsia="仿宋_GB2312" w:cs="仿宋_GB2312"/>
          <w:kern w:val="0"/>
          <w:szCs w:val="32"/>
        </w:rPr>
        <w:t>　被告在中华人民共和国领域内没有住所的，人民法院应当将起诉状副本送达被告，并通知被告在收到起诉状副本后三十日内提出答辩状。被告申请延期的，是否准许，由人民法院决定。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第二百六十九条</w:t>
      </w:r>
      <w:r>
        <w:rPr>
          <w:rFonts w:hint="eastAsia" w:ascii="宋体" w:hAnsi="宋体" w:eastAsia="仿宋_GB2312" w:cs="仿宋_GB2312"/>
          <w:kern w:val="0"/>
          <w:szCs w:val="32"/>
        </w:rPr>
        <w:t>　在中华人民共和国领域内没有住所的当事人，不服第一审人民法院判决、裁定的，有权在判决书、裁定书送达之日起三十日内提起上诉。被上诉人在收到上诉状副本后，应当在三十日内提出答辩状。当事人不能在法定期间提起上诉或者提出答辩状，申请延期的，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黑体" w:cs="黑体"/>
          <w:kern w:val="0"/>
          <w:szCs w:val="32"/>
          <w:lang w:eastAsia="zh-CN"/>
        </w:rPr>
        <w:t>　　</w:t>
      </w:r>
      <w:r>
        <w:rPr>
          <w:rFonts w:hint="eastAsia" w:ascii="宋体" w:hAnsi="宋体" w:eastAsia="黑体" w:cs="黑体"/>
          <w:kern w:val="0"/>
          <w:szCs w:val="32"/>
        </w:rPr>
        <w:t>第二百七十条</w:t>
      </w:r>
      <w:r>
        <w:rPr>
          <w:rFonts w:hint="eastAsia" w:ascii="宋体" w:hAnsi="宋体" w:eastAsia="仿宋_GB2312" w:cs="仿宋_GB2312"/>
          <w:kern w:val="0"/>
          <w:szCs w:val="32"/>
        </w:rPr>
        <w:t>　人民法院审理涉外民事案件的期间，不受本法第一百四十九条、第一百七十六条规定的限制。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第二十六章　仲裁</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第二百七十一条</w:t>
      </w:r>
      <w:r>
        <w:rPr>
          <w:rFonts w:hint="eastAsia" w:ascii="宋体" w:hAnsi="宋体" w:eastAsia="仿宋_GB2312" w:cs="仿宋_GB2312"/>
          <w:kern w:val="0"/>
          <w:szCs w:val="32"/>
        </w:rPr>
        <w:t>　涉外经济贸易、运输和海事中发生的纠纷，当事人在合同</w:t>
      </w:r>
      <w:r>
        <w:rPr>
          <w:rFonts w:hint="eastAsia" w:ascii="宋体" w:hAnsi="宋体" w:eastAsia="仿宋_GB2312" w:cs="仿宋_GB2312"/>
          <w:kern w:val="0"/>
          <w:szCs w:val="32"/>
          <w:highlight w:val="none"/>
        </w:rPr>
        <w:t>中订</w:t>
      </w:r>
      <w:r>
        <w:rPr>
          <w:rFonts w:hint="eastAsia" w:ascii="宋体" w:hAnsi="宋体" w:eastAsia="仿宋_GB2312" w:cs="仿宋_GB2312"/>
          <w:kern w:val="0"/>
          <w:szCs w:val="32"/>
        </w:rPr>
        <w:t>有仲裁条款或者事后达成书面仲裁协议，提交中华人民共和国涉外仲裁机构或者其他仲裁机构仲裁的，当事人不得向人民法院起诉。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当事人在合同中没有订有仲裁条款或者事后没有达成书面仲裁协议的，可以向人民法院起诉。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第二百七十二条</w:t>
      </w:r>
      <w:r>
        <w:rPr>
          <w:rFonts w:hint="eastAsia" w:ascii="宋体" w:hAnsi="宋体" w:eastAsia="仿宋_GB2312" w:cs="仿宋_GB2312"/>
          <w:kern w:val="0"/>
          <w:szCs w:val="32"/>
        </w:rPr>
        <w:t>　当事人申请采取保全的，中华人民共和国的涉外仲裁机构应当将当事人的申请，提交被申请人住所地或者财产所在地的中级人民法院裁定。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第二百七十三条</w:t>
      </w:r>
      <w:r>
        <w:rPr>
          <w:rFonts w:hint="eastAsia" w:ascii="宋体" w:hAnsi="宋体" w:eastAsia="仿宋_GB2312" w:cs="仿宋_GB2312"/>
          <w:kern w:val="0"/>
          <w:szCs w:val="32"/>
        </w:rPr>
        <w:t>　经中华人民共和国涉外仲裁机构裁决的，当事人不得向人民法院起诉。一方当事人不履行仲裁裁决的，对方当事人可以向被申请人住所地或者财产所在地的中级人民法院申请执行。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第二百七十四条</w:t>
      </w:r>
      <w:r>
        <w:rPr>
          <w:rFonts w:hint="eastAsia" w:ascii="宋体" w:hAnsi="宋体" w:eastAsia="仿宋_GB2312" w:cs="仿宋_GB2312"/>
          <w:kern w:val="0"/>
          <w:szCs w:val="32"/>
        </w:rPr>
        <w:t>　对中华人民共和国涉外仲裁机构作出的裁决，被申请人提出证据证明仲裁裁决有下列情形之一的，经人民法院组成合议庭审查核实，裁定不予执行: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（一）当事人在合同中没有订有仲裁条款或者事后没有达成书面仲裁协议的；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（二）被申请人没有得到指定仲裁员或者进行仲裁程序的通知，或者由于其他不属于被申请人负责的原因未能陈述意见的；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（三）仲裁庭的组成或者仲裁的程序与仲裁规则不符的；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（四）裁决的事项不属于仲裁协议的范围或者仲裁机构无权仲裁的。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人民法院认定执行该裁决违背社会公共利益的，裁定不予执行。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第二百七十五条</w:t>
      </w:r>
      <w:r>
        <w:rPr>
          <w:rFonts w:hint="eastAsia" w:ascii="宋体" w:hAnsi="宋体" w:eastAsia="仿宋_GB2312" w:cs="仿宋_GB2312"/>
          <w:kern w:val="0"/>
          <w:szCs w:val="32"/>
        </w:rPr>
        <w:t>　仲裁裁决被人民法院裁定不予执行的，当事人可以根据双方达成的书面仲裁协议重新申请仲裁，也可以向人民法院起诉。</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rPr>
        <w:t>第二十七章　司法协助</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第二百七十六条</w:t>
      </w:r>
      <w:r>
        <w:rPr>
          <w:rFonts w:hint="eastAsia" w:ascii="宋体" w:hAnsi="宋体" w:eastAsia="仿宋_GB2312" w:cs="仿宋_GB2312"/>
          <w:kern w:val="0"/>
          <w:szCs w:val="32"/>
        </w:rPr>
        <w:t>　根据中华人民共和国缔结或者参加的国际条约，或者按照互惠原则，人民法院和外国法院可以相互请求，代为送达文书、调查取证以及进行其他诉讼行为。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外国法院请求协助的事项有损于中华人民共和国的主权、安全或者社会公共利益的，人民法院不予执行。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第二百七十七条</w:t>
      </w:r>
      <w:r>
        <w:rPr>
          <w:rFonts w:hint="eastAsia" w:ascii="宋体" w:hAnsi="宋体" w:eastAsia="仿宋_GB2312" w:cs="仿宋_GB2312"/>
          <w:kern w:val="0"/>
          <w:szCs w:val="32"/>
        </w:rPr>
        <w:t>　请求和提供司法协助，应当依照中华人民共和国缔结或者参加的国际条约所规定的途径进行；没有条约关系的，通过外交途径进行。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外国驻中华人民共和国的使领馆可以向该国公民送达文书和调查取证，但不得违反中华人民共和国的法律，并不得采取强制措施。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除前款规定的情况外，未经中华人民共和国主管机关准许，任何外国机关或者个人不得在中华人民共和国领域内送达文书、调查取证。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第二百七十八条</w:t>
      </w:r>
      <w:r>
        <w:rPr>
          <w:rFonts w:hint="eastAsia" w:ascii="宋体" w:hAnsi="宋体" w:eastAsia="仿宋_GB2312" w:cs="仿宋_GB2312"/>
          <w:kern w:val="0"/>
          <w:szCs w:val="32"/>
        </w:rPr>
        <w:t>　外国法院请求人民法院提供司法协助的请求书及其所附文件，应当附有中文译本或者国际条约规定的其他文字文本。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人民法院请求外国法院提供司法协助的请求书及其所附文件，应当附有该国文字译本或者国际条约规定的其他文字文本。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第二百七十九条</w:t>
      </w:r>
      <w:r>
        <w:rPr>
          <w:rFonts w:hint="eastAsia" w:ascii="宋体" w:hAnsi="宋体" w:eastAsia="仿宋_GB2312" w:cs="仿宋_GB2312"/>
          <w:kern w:val="0"/>
          <w:szCs w:val="32"/>
        </w:rPr>
        <w:t>　人民法院提供司法协助，依照中华人民共和国法律规定的程序进行。外国法院请求采用特殊方式的，也可以按照其请求的特殊方式进行，但请求采用的特殊方式不得违反中华人民共和国法律。</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第二百八十条</w:t>
      </w:r>
      <w:r>
        <w:rPr>
          <w:rFonts w:hint="eastAsia" w:ascii="宋体" w:hAnsi="宋体" w:eastAsia="仿宋_GB2312" w:cs="仿宋_GB2312"/>
          <w:kern w:val="0"/>
          <w:szCs w:val="32"/>
        </w:rPr>
        <w:t>　人民法院作出的发生法律效力的判决、裁定，如果被执行人或者其财产不在中华人民共和国领域内，当事人请求执行的，可以由当事人直接向有管辖权的外国法院申请承认和执行，也可以由人民法院依照中华人民共和国缔结或者参加的国际条约的规定，或者按照互惠原则，请求外国法院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中华人民共和国涉外仲裁机构作出的发生法律效力的仲裁裁决，当事人请求执行的，如果被执行人或者其财产不在中华人民共和国领域内，应当由当事人直接向有管辖权的外国法院申请承认和执行。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第二百八十一条</w:t>
      </w:r>
      <w:r>
        <w:rPr>
          <w:rFonts w:hint="eastAsia" w:ascii="宋体" w:hAnsi="宋体" w:eastAsia="仿宋_GB2312" w:cs="仿宋_GB2312"/>
          <w:kern w:val="0"/>
          <w:szCs w:val="32"/>
        </w:rPr>
        <w:t>　外国法院作出的发生法律效力的判决、裁定，需要中华人民共和国人民法院承认和执行的，可以由当事人直接向中华人民共和国有管辖权的中级人民法院申请承认和执行，也可以由外国法院依照该国与中华人民共和国缔结或者参加的国际条约的规定，或者按照互惠原则，请求人民法院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第二百八十二条</w:t>
      </w:r>
      <w:r>
        <w:rPr>
          <w:rFonts w:hint="eastAsia" w:ascii="宋体" w:hAnsi="宋体" w:eastAsia="仿宋_GB2312" w:cs="仿宋_GB2312"/>
          <w:kern w:val="0"/>
          <w:szCs w:val="32"/>
        </w:rPr>
        <w:t>　人民法院对申请或者请求承认和执行的外国法院作出的发生法律效力的判决、裁定，依照中华人民共和国缔结或者参加的国际条约，或者按照互惠原则进行审查后，认为不违反中华人民共和国法律的基本原则或者国家主权、安全、社会公共利益的，裁定承认其效力，需要执行的，发出执行令，依照本法的有关规定执行。违反中华人民共和国法律的基本原则或者国家主权、安全、社会公共利益的，不予承认和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第二百八十三条</w:t>
      </w:r>
      <w:r>
        <w:rPr>
          <w:rFonts w:hint="eastAsia" w:ascii="宋体" w:hAnsi="宋体" w:eastAsia="仿宋_GB2312" w:cs="仿宋_GB2312"/>
          <w:kern w:val="0"/>
          <w:szCs w:val="32"/>
        </w:rPr>
        <w:t>　国外仲裁机构的裁决，需要中华人民共和国人民法院承认和执行的，应当由当事人直接向被执行人住所地或者其财产所在地的中级人民法院申请，人民法院应当依照中华人民共和国缔结或者参加的国际条约，或者按照互惠原则办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第二百八十四条</w:t>
      </w:r>
      <w:r>
        <w:rPr>
          <w:rFonts w:hint="eastAsia" w:ascii="宋体" w:hAnsi="宋体" w:eastAsia="仿宋_GB2312" w:cs="仿宋_GB2312"/>
          <w:kern w:val="0"/>
          <w:szCs w:val="32"/>
        </w:rPr>
        <w:t>　本法自公布之日起施行，《中华人民共和国民事诉讼法（试行）》同时废止。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br w:type="page"/>
      </w:r>
    </w:p>
    <w:p>
      <w:pPr>
        <w:widowControl w:val="0"/>
        <w:wordWrap/>
        <w:overflowPunct w:val="0"/>
        <w:adjustRightInd/>
        <w:snapToGrid/>
        <w:spacing w:beforeAutospacing="0" w:afterAutospacing="0" w:line="560" w:lineRule="exact"/>
        <w:jc w:val="center"/>
        <w:textAlignment w:val="auto"/>
        <w:outlineLvl w:val="0"/>
        <w:rPr>
          <w:rFonts w:hint="eastAsia" w:ascii="宋体" w:hAnsi="宋体" w:cs="Arial"/>
          <w:kern w:val="0"/>
          <w:sz w:val="44"/>
          <w:szCs w:val="44"/>
        </w:rPr>
      </w:pPr>
      <w:bookmarkStart w:id="221" w:name="_Toc10990"/>
      <w:r>
        <w:rPr>
          <w:rFonts w:hint="eastAsia" w:ascii="宋体" w:hAnsi="宋体" w:eastAsia="宋体" w:cs="宋体"/>
          <w:kern w:val="0"/>
          <w:sz w:val="44"/>
          <w:szCs w:val="44"/>
        </w:rPr>
        <w:t>中华人民共和国行政诉讼法</w:t>
      </w:r>
      <w:bookmarkEnd w:id="221"/>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ind w:left="640" w:leftChars="200" w:right="640" w:rightChars="200"/>
        <w:textAlignment w:val="auto"/>
        <w:outlineLvl w:val="9"/>
        <w:rPr>
          <w:rFonts w:hint="eastAsia" w:ascii="宋体" w:hAnsi="宋体" w:eastAsia="楷体_GB2312" w:cs="楷体_GB2312"/>
          <w:kern w:val="0"/>
          <w:szCs w:val="32"/>
          <w:lang w:eastAsia="zh-CN"/>
        </w:rPr>
      </w:pPr>
      <w:r>
        <w:rPr>
          <w:rFonts w:hint="eastAsia" w:ascii="宋体" w:hAnsi="宋体" w:eastAsia="楷体_GB2312" w:cs="楷体_GB2312"/>
          <w:kern w:val="0"/>
          <w:szCs w:val="32"/>
          <w:lang w:eastAsia="zh-CN"/>
        </w:rPr>
        <w:t>（</w:t>
      </w:r>
      <w:r>
        <w:rPr>
          <w:rFonts w:hint="eastAsia" w:ascii="宋体" w:hAnsi="宋体" w:eastAsia="楷体_GB2312" w:cs="楷体_GB2312"/>
          <w:kern w:val="0"/>
          <w:szCs w:val="32"/>
        </w:rPr>
        <w:t>1989年4月4日第七届全国人民代表大会第二次会议通过</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根据2014年11月1日第十二届全国人民代表大会常务委员会第十一次会议《关于修改&lt;中华人民共和国行政诉讼法&gt;的决定》第一次修正</w:t>
      </w:r>
      <w:r>
        <w:rPr>
          <w:rFonts w:hint="eastAsia" w:ascii="宋体" w:hAnsi="宋体" w:eastAsia="楷体_GB2312" w:cs="楷体_GB2312"/>
          <w:kern w:val="0"/>
          <w:szCs w:val="32"/>
          <w:lang w:eastAsia="zh-CN"/>
        </w:rPr>
        <w:t>　</w:t>
      </w:r>
      <w:r>
        <w:rPr>
          <w:rFonts w:hint="eastAsia" w:ascii="宋体" w:hAnsi="宋体" w:eastAsia="楷体_GB2312" w:cs="楷体_GB2312"/>
          <w:kern w:val="0"/>
          <w:szCs w:val="32"/>
        </w:rPr>
        <w:t>根据2017年6月27日第十二届全国人民代表大会常务委员会第二十八次会议《关于修改&lt;中华人民共和国民事诉讼法&gt;和&lt;中华人民共和国行政诉讼法&gt;的决定》第二次修正</w:t>
      </w:r>
      <w:r>
        <w:rPr>
          <w:rFonts w:hint="eastAsia" w:ascii="宋体" w:hAnsi="宋体" w:eastAsia="楷体_GB2312" w:cs="楷体_GB2312"/>
          <w:kern w:val="0"/>
          <w:szCs w:val="32"/>
          <w:lang w:eastAsia="zh-CN"/>
        </w:rPr>
        <w:t>）</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jc w:val="center"/>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目</w:t>
      </w:r>
      <w:r>
        <w:rPr>
          <w:rFonts w:hint="eastAsia" w:ascii="宋体" w:hAnsi="宋体" w:eastAsia="楷体_GB2312" w:cs="楷体_GB2312"/>
          <w:kern w:val="0"/>
          <w:szCs w:val="32"/>
          <w:lang w:val="en-US" w:eastAsia="zh-CN"/>
        </w:rPr>
        <w:t>　　</w:t>
      </w:r>
      <w:r>
        <w:rPr>
          <w:rFonts w:hint="eastAsia" w:ascii="宋体" w:hAnsi="宋体" w:eastAsia="楷体_GB2312" w:cs="楷体_GB2312"/>
          <w:kern w:val="0"/>
          <w:szCs w:val="32"/>
        </w:rPr>
        <w:t>录</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第一章　总则</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第二章　受案范围</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第三章　管辖</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第四章　诉讼参加人</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第五章　证据</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第六章　起诉和受理</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第七章　审理和判决</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第一节　一般规定</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第二节　第一审普通程序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第三节　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第四节　第二审程序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第五节　审判监督程序</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第八章　执行</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第九章　涉外行政诉讼</w:t>
      </w:r>
    </w:p>
    <w:p>
      <w:pPr>
        <w:widowControl w:val="0"/>
        <w:wordWrap/>
        <w:overflowPunct w:val="0"/>
        <w:adjustRightInd/>
        <w:snapToGrid/>
        <w:spacing w:beforeAutospacing="0" w:afterAutospacing="0" w:line="560" w:lineRule="exact"/>
        <w:textAlignment w:val="auto"/>
        <w:outlineLvl w:val="9"/>
        <w:rPr>
          <w:rFonts w:hint="eastAsia" w:ascii="宋体" w:hAnsi="宋体" w:eastAsia="楷体_GB2312" w:cs="楷体_GB2312"/>
          <w:kern w:val="0"/>
          <w:szCs w:val="32"/>
        </w:rPr>
      </w:pPr>
      <w:r>
        <w:rPr>
          <w:rFonts w:hint="eastAsia" w:ascii="宋体" w:hAnsi="宋体" w:eastAsia="楷体_GB2312" w:cs="楷体_GB2312"/>
          <w:kern w:val="0"/>
          <w:szCs w:val="32"/>
        </w:rPr>
        <w:t>　　第十章　附则</w:t>
      </w:r>
    </w:p>
    <w:p>
      <w:pPr>
        <w:widowControl w:val="0"/>
        <w:wordWrap/>
        <w:overflowPunct w:val="0"/>
        <w:adjustRightInd/>
        <w:snapToGrid/>
        <w:spacing w:beforeAutospacing="0" w:afterAutospacing="0" w:line="560" w:lineRule="exact"/>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第一章　</w:t>
      </w:r>
      <w:r>
        <w:rPr>
          <w:rFonts w:hint="eastAsia" w:ascii="宋体" w:hAnsi="宋体" w:eastAsia="黑体" w:cs="黑体"/>
          <w:kern w:val="0"/>
          <w:szCs w:val="32"/>
        </w:rPr>
        <w:t>总则</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第一条</w:t>
      </w:r>
      <w:r>
        <w:rPr>
          <w:rFonts w:hint="eastAsia" w:ascii="宋体" w:hAnsi="宋体" w:eastAsia="仿宋_GB2312" w:cs="仿宋_GB2312"/>
          <w:kern w:val="0"/>
          <w:szCs w:val="32"/>
        </w:rPr>
        <w:t>　为保证人民法院公正、及时审理行政案件，解决行政争议，保护公民、法人和其他组织的合法权益，监督行政机关依法行使职权，根据宪法，制定本法。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第二条</w:t>
      </w:r>
      <w:r>
        <w:rPr>
          <w:rFonts w:hint="eastAsia" w:ascii="宋体" w:hAnsi="宋体" w:eastAsia="仿宋_GB2312" w:cs="仿宋_GB2312"/>
          <w:kern w:val="0"/>
          <w:szCs w:val="32"/>
        </w:rPr>
        <w:t>　公民、法人或者其他组织认为行政机关和行政机关工作人员的行政行为侵犯其合法权益，有权依照本法向人民法院提起诉讼。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前款所称行政行为，包括法律、法规、规章授权的组织作出的行政行为。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第三条</w:t>
      </w:r>
      <w:r>
        <w:rPr>
          <w:rFonts w:hint="eastAsia" w:ascii="宋体" w:hAnsi="宋体" w:eastAsia="仿宋_GB2312" w:cs="仿宋_GB2312"/>
          <w:kern w:val="0"/>
          <w:szCs w:val="32"/>
        </w:rPr>
        <w:t>　人民法院应当保障公民、法人和其他组织的起诉权利，对应当受理的行政案件依法受理。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行政机关及其工作人员不得干预、阻碍人民法院受理行政案件。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被诉行政机关负责人应当出庭应诉。不能出庭的，应当委托行政机关相应的工作人员出庭。</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第四条</w:t>
      </w:r>
      <w:r>
        <w:rPr>
          <w:rFonts w:hint="eastAsia" w:ascii="宋体" w:hAnsi="宋体" w:eastAsia="仿宋_GB2312" w:cs="仿宋_GB2312"/>
          <w:kern w:val="0"/>
          <w:szCs w:val="32"/>
        </w:rPr>
        <w:t>　人民法院依法对行政案件独立行使审判权，不受行政机关、社会团体和个人的干涉。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人民法院设行政审判庭，审理行政案件。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第五条</w:t>
      </w:r>
      <w:r>
        <w:rPr>
          <w:rFonts w:hint="eastAsia" w:ascii="宋体" w:hAnsi="宋体" w:eastAsia="仿宋_GB2312" w:cs="仿宋_GB2312"/>
          <w:kern w:val="0"/>
          <w:szCs w:val="32"/>
        </w:rPr>
        <w:t>　人民法院审理行政案件，以事实为根据，以法律为准绳。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第六条</w:t>
      </w:r>
      <w:r>
        <w:rPr>
          <w:rFonts w:hint="eastAsia" w:ascii="宋体" w:hAnsi="宋体" w:eastAsia="仿宋_GB2312" w:cs="仿宋_GB2312"/>
          <w:kern w:val="0"/>
          <w:szCs w:val="32"/>
        </w:rPr>
        <w:t>　人民法院审理行政案件，对行政行为是否合法进行审查。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第七条</w:t>
      </w:r>
      <w:r>
        <w:rPr>
          <w:rFonts w:hint="eastAsia" w:ascii="宋体" w:hAnsi="宋体" w:eastAsia="仿宋_GB2312" w:cs="仿宋_GB2312"/>
          <w:kern w:val="0"/>
          <w:szCs w:val="32"/>
        </w:rPr>
        <w:t>　人民法院审理行政案件，依法实行合议、回避、公开审判和两审终审制度。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第八条</w:t>
      </w:r>
      <w:r>
        <w:rPr>
          <w:rFonts w:hint="eastAsia" w:ascii="宋体" w:hAnsi="宋体" w:eastAsia="仿宋_GB2312" w:cs="仿宋_GB2312"/>
          <w:kern w:val="0"/>
          <w:szCs w:val="32"/>
        </w:rPr>
        <w:t>　当事人在行政诉讼中的法律地位平等。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第九条</w:t>
      </w:r>
      <w:r>
        <w:rPr>
          <w:rFonts w:hint="eastAsia" w:ascii="宋体" w:hAnsi="宋体" w:eastAsia="仿宋_GB2312" w:cs="仿宋_GB2312"/>
          <w:kern w:val="0"/>
          <w:szCs w:val="32"/>
        </w:rPr>
        <w:t>　各民族公民都有用本民族语言、文字进行行政诉讼的权利。</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在少数民族聚居或者多民族共同居住的地区，人民法院应当用当地民族通用的语言、文字进行审理和发布法律文书。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人民法院应当对不通晓当地民族通用的语言、文字的诉讼参与人提供翻译。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第十条</w:t>
      </w:r>
      <w:r>
        <w:rPr>
          <w:rFonts w:hint="eastAsia" w:ascii="宋体" w:hAnsi="宋体" w:eastAsia="仿宋_GB2312" w:cs="仿宋_GB2312"/>
          <w:kern w:val="0"/>
          <w:szCs w:val="32"/>
        </w:rPr>
        <w:t>　当事人在行政诉讼中有权进行辩论。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第十一条</w:t>
      </w:r>
      <w:r>
        <w:rPr>
          <w:rFonts w:hint="eastAsia" w:ascii="宋体" w:hAnsi="宋体" w:eastAsia="仿宋_GB2312" w:cs="仿宋_GB2312"/>
          <w:kern w:val="0"/>
          <w:szCs w:val="32"/>
        </w:rPr>
        <w:t>　人民检察院有权对行政诉讼实行法律监督。</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第二章　</w:t>
      </w:r>
      <w:r>
        <w:rPr>
          <w:rFonts w:hint="eastAsia" w:ascii="宋体" w:hAnsi="宋体" w:eastAsia="黑体" w:cs="黑体"/>
          <w:kern w:val="0"/>
          <w:szCs w:val="32"/>
        </w:rPr>
        <w:t>受案范围</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第十二条</w:t>
      </w:r>
      <w:r>
        <w:rPr>
          <w:rFonts w:hint="eastAsia" w:ascii="宋体" w:hAnsi="宋体" w:eastAsia="仿宋_GB2312" w:cs="仿宋_GB2312"/>
          <w:kern w:val="0"/>
          <w:szCs w:val="32"/>
        </w:rPr>
        <w:t>　人民法院受理公民、法人或者其他组织提起的下列诉讼: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（一）对行政拘留、暂扣或者吊销许可证和执照、责令停产停业、没收违法所得、没收非法财物、罚款、警告等行政处罚不服的；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（二）对限制人身自由或者对财产的查封、扣押、冻结等行政强制措施和行政强制执行不服的；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（三）申请行政许可，行政机关拒绝或者在法定期限内不予答复，或者对行政机关作出的有关行政许可的其他决定不服的；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（四）对行政机关作出的关于确认土地、矿藏、水流、森林、山岭、草原、荒地、滩涂、海域等自然资源的所有权或者使用权的决定不服的；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（五）对征收、征用决定及其补偿决定不服的；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（六）申请行政机关履行保护人身权、财产权等合法权益的法定职责，行政机关拒绝履行或者不予答复的；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（七）认为行政机关侵犯其经营自主权或者农村土地承包经营权、农村土地经营权的；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（八）认为行政机关滥用行政权力排除或者限制竞争的；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（九）认为行政机关违法集资、摊派费用或者违法要求履行其他义务的；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（十）认为行政机关没有依法支付抚恤金、最低生活保障待遇或者社会保险待遇的；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（十一）认为行政机关不依法履行、未按照约定履行或者违法变更、解除政府特许经营协议、土地房屋征收补偿协议等协议的；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（十二）认为行政机关侵犯其他人身权、财产权等合法权益的。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除前款规定外，人民法院受理法律、法规规定可以提起诉讼的其他行政案件。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第十三条</w:t>
      </w:r>
      <w:r>
        <w:rPr>
          <w:rFonts w:hint="eastAsia" w:ascii="宋体" w:hAnsi="宋体" w:eastAsia="仿宋_GB2312" w:cs="仿宋_GB2312"/>
          <w:kern w:val="0"/>
          <w:szCs w:val="32"/>
        </w:rPr>
        <w:t>　人民法院不受理公民、法人或者其他组织对下列事项提起的诉讼: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（一）国防、外交等国家行为；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（二）行政法规、规章或者行政机关制定、发布的具有普遍约束力的决定、命令；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（三）行政机关对行政机关工作人员的奖惩、任免等决定；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（四）法律规定由行政机关最终裁决的行政行为。</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第三章　</w:t>
      </w:r>
      <w:r>
        <w:rPr>
          <w:rFonts w:hint="eastAsia" w:ascii="宋体" w:hAnsi="宋体" w:eastAsia="黑体" w:cs="黑体"/>
          <w:kern w:val="0"/>
          <w:szCs w:val="32"/>
        </w:rPr>
        <w:t>管辖</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第十四条</w:t>
      </w:r>
      <w:r>
        <w:rPr>
          <w:rFonts w:hint="eastAsia" w:ascii="宋体" w:hAnsi="宋体" w:eastAsia="仿宋_GB2312" w:cs="仿宋_GB2312"/>
          <w:kern w:val="0"/>
          <w:szCs w:val="32"/>
        </w:rPr>
        <w:t>　基层人民法院管辖第一审行政案件。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第十五条</w:t>
      </w:r>
      <w:r>
        <w:rPr>
          <w:rFonts w:hint="eastAsia" w:ascii="宋体" w:hAnsi="宋体" w:eastAsia="仿宋_GB2312" w:cs="仿宋_GB2312"/>
          <w:kern w:val="0"/>
          <w:szCs w:val="32"/>
        </w:rPr>
        <w:t>　中级人民法院管辖下列第一审行政案件: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（一）对国务院部门或者县级以上地方人民政府所作的行政行为提起诉讼的案件；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（二）海关处理的案件；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（三）本辖区内重大、复杂的案件；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（四）其他法律规定由中级人民法院管辖的案件。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第十六条</w:t>
      </w:r>
      <w:r>
        <w:rPr>
          <w:rFonts w:hint="eastAsia" w:ascii="宋体" w:hAnsi="宋体" w:eastAsia="仿宋_GB2312" w:cs="仿宋_GB2312"/>
          <w:kern w:val="0"/>
          <w:szCs w:val="32"/>
        </w:rPr>
        <w:t>　高级人民法院管辖本辖区内重大、复杂的第一审行政案件。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第十七条</w:t>
      </w:r>
      <w:r>
        <w:rPr>
          <w:rFonts w:hint="eastAsia" w:ascii="宋体" w:hAnsi="宋体" w:eastAsia="仿宋_GB2312" w:cs="仿宋_GB2312"/>
          <w:kern w:val="0"/>
          <w:szCs w:val="32"/>
        </w:rPr>
        <w:t>　最高人民法院管辖全国范围内重大、复杂的第一审行政案件。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第十八条</w:t>
      </w:r>
      <w:r>
        <w:rPr>
          <w:rFonts w:hint="eastAsia" w:ascii="宋体" w:hAnsi="宋体" w:eastAsia="仿宋_GB2312" w:cs="仿宋_GB2312"/>
          <w:kern w:val="0"/>
          <w:szCs w:val="32"/>
        </w:rPr>
        <w:t>　行政案件由最初作出行政行为的行政机关所在地人民法院管辖。经复议的案件，也可以由复议机关所在地人民法院管辖。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经最高人民法院批准，高级人民法院可以根据审判工作的实际情况，确定若干人民法院跨行政区域管辖行政案件。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第十九条</w:t>
      </w:r>
      <w:r>
        <w:rPr>
          <w:rFonts w:hint="eastAsia" w:ascii="宋体" w:hAnsi="宋体" w:eastAsia="仿宋_GB2312" w:cs="仿宋_GB2312"/>
          <w:kern w:val="0"/>
          <w:szCs w:val="32"/>
        </w:rPr>
        <w:t>　对限制人身自由的行政强制措施不服提起的诉讼，由被告所在地或者原告所在地人民法院管辖。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第二十条</w:t>
      </w:r>
      <w:r>
        <w:rPr>
          <w:rFonts w:hint="eastAsia" w:ascii="宋体" w:hAnsi="宋体" w:eastAsia="仿宋_GB2312" w:cs="仿宋_GB2312"/>
          <w:kern w:val="0"/>
          <w:szCs w:val="32"/>
        </w:rPr>
        <w:t>　因不动产提起的行政诉讼，由不动产所在地人民法院管辖。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第二十一条</w:t>
      </w:r>
      <w:r>
        <w:rPr>
          <w:rFonts w:hint="eastAsia" w:ascii="宋体" w:hAnsi="宋体" w:eastAsia="仿宋_GB2312" w:cs="仿宋_GB2312"/>
          <w:kern w:val="0"/>
          <w:szCs w:val="32"/>
        </w:rPr>
        <w:t>　两个以上人民法院都有管辖权的案件，原告可以选择其中一个人民法院提起诉讼。原告向两个以上有管辖权的人民法院提起诉讼的，由最先立案的人民法院管辖。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第二十二条</w:t>
      </w:r>
      <w:r>
        <w:rPr>
          <w:rFonts w:hint="eastAsia" w:ascii="宋体" w:hAnsi="宋体" w:eastAsia="仿宋_GB2312" w:cs="仿宋_GB2312"/>
          <w:kern w:val="0"/>
          <w:szCs w:val="32"/>
        </w:rPr>
        <w:t>　人民法院发现受理的案件不属于本院管辖的，应当移送有管辖权的人民法院，受移送的人民法院应当受理。受移送的人民法院认为受移送的案件按照规定不属于本院管辖的，应当报请上级人民法院指定管辖，不得再自行移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第二十三条</w:t>
      </w:r>
      <w:r>
        <w:rPr>
          <w:rFonts w:hint="eastAsia" w:ascii="宋体" w:hAnsi="宋体" w:eastAsia="仿宋_GB2312" w:cs="仿宋_GB2312"/>
          <w:kern w:val="0"/>
          <w:szCs w:val="32"/>
        </w:rPr>
        <w:t>　有管辖权的人民法院由于特殊原因不能行使管辖权的，由上级人民法院指定管辖。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人民法院对管辖权发生争议，由争议双方协商解决。协商不成的，报它们的共同上级人民法院指定管辖。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第二十四条</w:t>
      </w:r>
      <w:r>
        <w:rPr>
          <w:rFonts w:hint="eastAsia" w:ascii="宋体" w:hAnsi="宋体" w:eastAsia="仿宋_GB2312" w:cs="仿宋_GB2312"/>
          <w:kern w:val="0"/>
          <w:szCs w:val="32"/>
        </w:rPr>
        <w:t>　上级人民法院有权审理下级人民法院管辖的第一审行政案件。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下级人民法院对其管辖的第一审行政案件，认为需要由上级人民法院审理或者指定管辖的，可以报请上级人民法院决定。</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第四章　</w:t>
      </w:r>
      <w:r>
        <w:rPr>
          <w:rFonts w:hint="eastAsia" w:ascii="宋体" w:hAnsi="宋体" w:eastAsia="黑体" w:cs="黑体"/>
          <w:kern w:val="0"/>
          <w:szCs w:val="32"/>
        </w:rPr>
        <w:t>诉讼参加人</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第二十五条</w:t>
      </w:r>
      <w:r>
        <w:rPr>
          <w:rFonts w:hint="eastAsia" w:ascii="宋体" w:hAnsi="宋体" w:eastAsia="仿宋_GB2312" w:cs="仿宋_GB2312"/>
          <w:kern w:val="0"/>
          <w:szCs w:val="32"/>
        </w:rPr>
        <w:t>　行政行为的相对人以及其他与行政行为有利害关系的公民、法人或者其他组织，有权提起诉讼。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有权提起诉讼的公民死亡，其近亲属可以提起诉讼。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有权提起诉讼的法人或者其他组织终止，承受其权利的法人或者其他组织可以提起诉讼。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检察院在履行职责中发现生态环境和资源保护、食品药品安全、国有财产保护、国有土地使用权出让等领域负有监督管理职责的行政机关违法行使职权或者不作为，致使国家利益或者社会公共利益受到侵害的，应当向行政机关提出检察建议，督促其依法履行职责。行政机关不依法履行职责的，人民检察院依法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第二十六条</w:t>
      </w:r>
      <w:r>
        <w:rPr>
          <w:rFonts w:hint="eastAsia" w:ascii="宋体" w:hAnsi="宋体" w:eastAsia="仿宋_GB2312" w:cs="仿宋_GB2312"/>
          <w:kern w:val="0"/>
          <w:szCs w:val="32"/>
        </w:rPr>
        <w:t>　公民、法人或者其他组织直接向人民法院提起诉讼的，作出行政行为的行政机关是被告。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经复议的案件，复议机关决定维持原行政行为的，作出原行政行为的行政机关和复议机关是共同被告；复议机关改变原行政行为的，复议机关是被告。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复议机关在法定期限内未作出复议决定，公民、法人或者其他组织起诉原行政行为的，作出原行政行为的行政机关是被告；起诉复议机关不作为的，复议机关是被告。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两个以上行政机关作出同一行政行为的，共同作出行政行为的行政机关是共同被告。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行政机关委托的组织所作的行政行为，委托的行政机关是被告。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行政机关被撤销或者职权变更的，继续行使其职权的行政机关是被告。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第二十七条</w:t>
      </w:r>
      <w:r>
        <w:rPr>
          <w:rFonts w:hint="eastAsia" w:ascii="宋体" w:hAnsi="宋体" w:eastAsia="仿宋_GB2312" w:cs="仿宋_GB2312"/>
          <w:kern w:val="0"/>
          <w:szCs w:val="32"/>
        </w:rPr>
        <w:t>　当事人一方或者双方为二人以上，因同一行政行为发生的行政案件，或者因同类行政行为发生的行政案件、人民法院认为可以合并审理并经当事人同意的，为共同诉讼。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第二十八条</w:t>
      </w:r>
      <w:r>
        <w:rPr>
          <w:rFonts w:hint="eastAsia" w:ascii="宋体" w:hAnsi="宋体" w:eastAsia="仿宋_GB2312" w:cs="仿宋_GB2312"/>
          <w:kern w:val="0"/>
          <w:szCs w:val="32"/>
        </w:rPr>
        <w:t>　当事人一方人数众多的共同诉讼，可以由当事人推选代表人进行诉讼。代表人的诉讼行为对其所代表的当事人发生效力，但代表人变更、放弃诉讼请求或者承认对方当事人的诉讼请求，应当经被代表的当事人同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第二十九条</w:t>
      </w:r>
      <w:r>
        <w:rPr>
          <w:rFonts w:hint="eastAsia" w:ascii="宋体" w:hAnsi="宋体" w:eastAsia="仿宋_GB2312" w:cs="仿宋_GB2312"/>
          <w:kern w:val="0"/>
          <w:szCs w:val="32"/>
        </w:rPr>
        <w:t>　公民、法人或者其他组织同被诉行政行为有利害关系但没有提起诉讼，或者同案件处理结果有利害关系的，可以作为第三人申请参加诉讼，或者由人民法院通知参加诉讼。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人民法院判决第三人承担义务或者减损第三人权益的，第三人有权依法提起上诉。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第三十条</w:t>
      </w:r>
      <w:r>
        <w:rPr>
          <w:rFonts w:hint="eastAsia" w:ascii="宋体" w:hAnsi="宋体" w:eastAsia="仿宋_GB2312" w:cs="仿宋_GB2312"/>
          <w:kern w:val="0"/>
          <w:szCs w:val="32"/>
        </w:rPr>
        <w:t>　没有诉讼行为能力的公民，由其法定代理人代为诉讼。法定代理人互相推诿代理责任的，由人民法院指定其中一人代为诉讼。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第三十一条</w:t>
      </w:r>
      <w:r>
        <w:rPr>
          <w:rFonts w:hint="eastAsia" w:ascii="宋体" w:hAnsi="宋体" w:eastAsia="仿宋_GB2312" w:cs="仿宋_GB2312"/>
          <w:kern w:val="0"/>
          <w:szCs w:val="32"/>
        </w:rPr>
        <w:t>　当事人、法定代理人，可以委托一至二人作为诉讼代理人。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下列人员可以被委托为诉讼代理人: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（一）律师、基层法律服务工作者；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（二）当事人的近亲属或者工作人员；</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（三）当事人所在社区、单位以及有关社会团体推荐的公民。</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第三十二条</w:t>
      </w:r>
      <w:r>
        <w:rPr>
          <w:rFonts w:hint="eastAsia" w:ascii="宋体" w:hAnsi="宋体" w:eastAsia="仿宋_GB2312" w:cs="仿宋_GB2312"/>
          <w:kern w:val="0"/>
          <w:szCs w:val="32"/>
        </w:rPr>
        <w:t>　代理诉讼的律师，有权按照规定查阅、复制本案有关材料，有权向有关组织和公民调查，收集与本案有关的证据。对涉及国家秘密、商业秘密和个人隐私的材料，应当依照法律规定保密。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当事人和其他诉讼代理人有权按照规定查阅、复制本案庭审材料，但涉及国家秘密、商业秘密和个人隐私的内容除外。</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第五章　</w:t>
      </w:r>
      <w:r>
        <w:rPr>
          <w:rFonts w:hint="eastAsia" w:ascii="宋体" w:hAnsi="宋体" w:eastAsia="黑体" w:cs="黑体"/>
          <w:kern w:val="0"/>
          <w:szCs w:val="32"/>
        </w:rPr>
        <w:t>证据</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第三十三条</w:t>
      </w:r>
      <w:r>
        <w:rPr>
          <w:rFonts w:hint="eastAsia" w:ascii="宋体" w:hAnsi="宋体" w:eastAsia="仿宋_GB2312" w:cs="仿宋_GB2312"/>
          <w:kern w:val="0"/>
          <w:szCs w:val="32"/>
        </w:rPr>
        <w:t>　证据包括: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（一）书证；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（二）物证；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（三）视听资料；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（四）电子数据；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（五）证人证言；</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（六）当事人的陈述；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（七）鉴定意见；</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（八）勘验笔录、现场笔录。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以上证据经法庭审查属实，才能作为认定案件事实的根据。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第三十四条</w:t>
      </w:r>
      <w:r>
        <w:rPr>
          <w:rFonts w:hint="eastAsia" w:ascii="宋体" w:hAnsi="宋体" w:eastAsia="仿宋_GB2312" w:cs="仿宋_GB2312"/>
          <w:kern w:val="0"/>
          <w:szCs w:val="32"/>
        </w:rPr>
        <w:t>　被告对作出的行政行为负有举证责任，应当提供作出该行政行为的证据和所依据的规范性文件。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被告不提供或者无正当理由逾期提供证据，视为没有相应证据。但是，被诉行政行为涉及第三人合法权益，第三人提供证据的除外。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第三十五条</w:t>
      </w:r>
      <w:r>
        <w:rPr>
          <w:rFonts w:hint="eastAsia" w:ascii="宋体" w:hAnsi="宋体" w:eastAsia="仿宋_GB2312" w:cs="仿宋_GB2312"/>
          <w:kern w:val="0"/>
          <w:szCs w:val="32"/>
        </w:rPr>
        <w:t>　在诉讼过程中，被告及其诉讼代理人不得自行向原告、第三人和证人收集证据。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第三十六条</w:t>
      </w:r>
      <w:r>
        <w:rPr>
          <w:rFonts w:hint="eastAsia" w:ascii="宋体" w:hAnsi="宋体" w:eastAsia="仿宋_GB2312" w:cs="仿宋_GB2312"/>
          <w:kern w:val="0"/>
          <w:szCs w:val="32"/>
        </w:rPr>
        <w:t>　被告在作出行政行为时已经收集了证据，但因不可抗力等正当事由不能提供的，经人民法院准许，可以延期提供。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原告或者第三人提出了其在行政处理程序中没有提出的理由或者证据的，经人民法院准许，被告可以补充证据。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第三十七条</w:t>
      </w:r>
      <w:r>
        <w:rPr>
          <w:rFonts w:hint="eastAsia" w:ascii="宋体" w:hAnsi="宋体" w:eastAsia="仿宋_GB2312" w:cs="仿宋_GB2312"/>
          <w:kern w:val="0"/>
          <w:szCs w:val="32"/>
        </w:rPr>
        <w:t>　原告可以提供证明行政行为违法的证据。原告提供的证据不成立的，不免除被告的举证责任。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第三十八条</w:t>
      </w:r>
      <w:r>
        <w:rPr>
          <w:rFonts w:hint="eastAsia" w:ascii="宋体" w:hAnsi="宋体" w:eastAsia="仿宋_GB2312" w:cs="仿宋_GB2312"/>
          <w:kern w:val="0"/>
          <w:szCs w:val="32"/>
        </w:rPr>
        <w:t>　在起诉被告不履行法定职责的案件中，原告应当提供其向被告提出申请的证据。但有下列情形之一的除外: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（一）被告应当依职权主动履行法定职责的；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（二）原告因正当理由不能提供证据的。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在行政赔偿、补偿的案件中，原告应当对行政行为造成的损害提供证据。因被告的原因导致原告无法举证的，由被告承担举证责任。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第三十九条</w:t>
      </w:r>
      <w:r>
        <w:rPr>
          <w:rFonts w:hint="eastAsia" w:ascii="宋体" w:hAnsi="宋体" w:eastAsia="仿宋_GB2312" w:cs="仿宋_GB2312"/>
          <w:kern w:val="0"/>
          <w:szCs w:val="32"/>
        </w:rPr>
        <w:t>　人民法院有权要求当事人提供或者补充证据。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第四十条</w:t>
      </w:r>
      <w:r>
        <w:rPr>
          <w:rFonts w:hint="eastAsia" w:ascii="宋体" w:hAnsi="宋体" w:eastAsia="仿宋_GB2312" w:cs="仿宋_GB2312"/>
          <w:kern w:val="0"/>
          <w:szCs w:val="32"/>
        </w:rPr>
        <w:t>　人民法院有权向有关行政机关以及其他组织、公民调取证据。但是，不得为证明行政行为的合法性调取被告作出行政行为时未收集的证据。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第四十一条</w:t>
      </w:r>
      <w:r>
        <w:rPr>
          <w:rFonts w:hint="eastAsia" w:ascii="宋体" w:hAnsi="宋体" w:eastAsia="仿宋_GB2312" w:cs="仿宋_GB2312"/>
          <w:kern w:val="0"/>
          <w:szCs w:val="32"/>
        </w:rPr>
        <w:t>　与本案有关的下列证据，原告或者第三人不能自行收集的，可以申请人民法院调取: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（一）由国家机关保存而须由人民法院调取的证据；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（二）涉及国家秘密、商业秘密和个人隐私的证据；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（三）确因客观原因不能自行收集的其他证据。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第四十二条</w:t>
      </w:r>
      <w:r>
        <w:rPr>
          <w:rFonts w:hint="eastAsia" w:ascii="宋体" w:hAnsi="宋体" w:eastAsia="仿宋_GB2312" w:cs="仿宋_GB2312"/>
          <w:kern w:val="0"/>
          <w:szCs w:val="32"/>
        </w:rPr>
        <w:t>　在证据可能灭失或者以后难以取得的情况下，诉讼参加人可以向人民法院申请保全证据，人民法院也可以主动采取保全措施。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第四十三条</w:t>
      </w:r>
      <w:r>
        <w:rPr>
          <w:rFonts w:hint="eastAsia" w:ascii="宋体" w:hAnsi="宋体" w:eastAsia="仿宋_GB2312" w:cs="仿宋_GB2312"/>
          <w:kern w:val="0"/>
          <w:szCs w:val="32"/>
        </w:rPr>
        <w:t>　证据应当在法庭上出示，并由当事人互相质证。对涉及国家秘密、商业秘密和个人隐私的证据，不得在公开开庭时出示。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人民法院应当按照法定程序，全面、客观地审查核实证据。对未采纳的证据应当在裁判文书中说明理由。</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以非法手段取得的证据，不得作为认定案件事实的根据。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第六章　</w:t>
      </w:r>
      <w:r>
        <w:rPr>
          <w:rFonts w:hint="eastAsia" w:ascii="宋体" w:hAnsi="宋体" w:eastAsia="黑体" w:cs="黑体"/>
          <w:kern w:val="0"/>
          <w:szCs w:val="32"/>
        </w:rPr>
        <w:t>起诉和受理</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第四十四条</w:t>
      </w:r>
      <w:r>
        <w:rPr>
          <w:rFonts w:hint="eastAsia" w:ascii="宋体" w:hAnsi="宋体" w:eastAsia="仿宋_GB2312" w:cs="仿宋_GB2312"/>
          <w:kern w:val="0"/>
          <w:szCs w:val="32"/>
        </w:rPr>
        <w:t>　对属于人民法院受案范围的行政案件，公民、法人或者其他组织可以先向行政机关申请复议，对复议决定不服的，再向人民法院提起诉讼；也可以直接向人民法院提起诉讼。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法律、法规规定应当先向行政机关申请复议，对复议决定不服再向人民法院提起诉讼的，依照法律、法规的规定。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第四十五条</w:t>
      </w:r>
      <w:r>
        <w:rPr>
          <w:rFonts w:hint="eastAsia" w:ascii="宋体" w:hAnsi="宋体" w:eastAsia="仿宋_GB2312" w:cs="仿宋_GB2312"/>
          <w:kern w:val="0"/>
          <w:szCs w:val="32"/>
        </w:rPr>
        <w:t>　公民、法人或者其他组织不服复议决定的，可以在收到复议决定书之日起十五日内向人民法院提起诉讼。复议机关逾期不作决定的，申请人可以在复议期满之日起十五日内向人民法院提起诉讼。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第四十六条</w:t>
      </w:r>
      <w:r>
        <w:rPr>
          <w:rFonts w:hint="eastAsia" w:ascii="宋体" w:hAnsi="宋体" w:eastAsia="仿宋_GB2312" w:cs="仿宋_GB2312"/>
          <w:kern w:val="0"/>
          <w:szCs w:val="32"/>
        </w:rPr>
        <w:t>　公民、法人或者其他组织直接向人民法院提起诉讼的，应当自知道或者应当知道作出行政行为之日起六个月内提出。法律另有规定的除外。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因不动产提起诉讼的案件自行政行为作出之日起超过二十年，其他案件自行政行为作出之日起超过五年提起诉讼的，人民法院不予受理。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第四十七条</w:t>
      </w:r>
      <w:r>
        <w:rPr>
          <w:rFonts w:hint="eastAsia" w:ascii="宋体" w:hAnsi="宋体" w:eastAsia="仿宋_GB2312" w:cs="仿宋_GB2312"/>
          <w:kern w:val="0"/>
          <w:szCs w:val="32"/>
        </w:rPr>
        <w:t>　公民、法人或者其他组织申请行政机关履行保护其人身权、财产权等合法权益的法定职责，行政机关在接到申请之日起两个月内不履行的，公民、法人或者其他组织可以向人民法院提起诉讼。法律、法规对行政机关履行职责的期限另有规定的，从其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公民、法人或者其他组织在紧急情况下请求行政机关履行保护其人身权、财产权等合法权益的法定职责，行政机关不履行的，提起诉讼不受前款规定期限的限制。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第四十八条</w:t>
      </w:r>
      <w:r>
        <w:rPr>
          <w:rFonts w:hint="eastAsia" w:ascii="宋体" w:hAnsi="宋体" w:eastAsia="仿宋_GB2312" w:cs="仿宋_GB2312"/>
          <w:kern w:val="0"/>
          <w:szCs w:val="32"/>
        </w:rPr>
        <w:t>　公民、法人或者其他组织因不可抗力或者其他不属于其自身的原因耽误起诉期限的，被耽误的时间不计算在起诉期限内。</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公民、法人或者其他组织因前款规定以外的其他特殊情况耽误起诉期限的，在障碍消除后十日内，可以申请延长期限，是否准许由人民法院决定。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第四十九条</w:t>
      </w:r>
      <w:r>
        <w:rPr>
          <w:rFonts w:hint="eastAsia" w:ascii="宋体" w:hAnsi="宋体" w:eastAsia="仿宋_GB2312" w:cs="仿宋_GB2312"/>
          <w:kern w:val="0"/>
          <w:szCs w:val="32"/>
        </w:rPr>
        <w:t>　提起诉讼应当符合下列条件: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（一）原告是符合本法第二十五条规定的公民、法人或者其他组织；</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（二）有明确的被告；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（三）有具体的诉讼请求和事实根据；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（四）属于人民法院受案范围和受诉人民法院管辖。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第五十条</w:t>
      </w:r>
      <w:r>
        <w:rPr>
          <w:rFonts w:hint="eastAsia" w:ascii="宋体" w:hAnsi="宋体" w:eastAsia="仿宋_GB2312" w:cs="仿宋_GB2312"/>
          <w:kern w:val="0"/>
          <w:szCs w:val="32"/>
        </w:rPr>
        <w:t>　起诉应当向人民法院递交起诉状，并按照被告人数提出副本。</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书写起诉状确有困难的，可以口头起诉，由人民法院记入笔录，出具注明日期的书面凭证，并告知对方当事人。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第五十一条</w:t>
      </w:r>
      <w:r>
        <w:rPr>
          <w:rFonts w:hint="eastAsia" w:ascii="宋体" w:hAnsi="宋体" w:eastAsia="仿宋_GB2312" w:cs="仿宋_GB2312"/>
          <w:kern w:val="0"/>
          <w:szCs w:val="32"/>
        </w:rPr>
        <w:t>　人民法院在接到起诉状时对符合本法规定的起诉条件的，应当登记立案。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当场不能判定是否符合本法规定的起诉条件的，应当接收起诉状，出具注明收到日期的书面凭证，并在七日内决定是否立案。不符合起诉条件的，作出不予立案的裁定。裁定书应当载明不予立案的理由。原告对裁定不服的，可以提起上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起诉状内容欠缺或者有其他错误的，应当给予指导和释明，并一次性告知当事人需要补正的内容。不得未经指导和释明即以起诉不符合条件为由不接收起诉状。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对于不接收起诉状、接收起诉状后不出具书面凭证，以及不一次性告知当事人需要补正的起诉状内容的，当事人可以向上级人民法院投诉，上级人民法院应当责令改正，并对直接负责的主管人员和其他直接责任人员依法给予处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第五十二条</w:t>
      </w:r>
      <w:r>
        <w:rPr>
          <w:rFonts w:hint="eastAsia" w:ascii="宋体" w:hAnsi="宋体" w:eastAsia="仿宋_GB2312" w:cs="仿宋_GB2312"/>
          <w:kern w:val="0"/>
          <w:szCs w:val="32"/>
        </w:rPr>
        <w:t>　人民法院既不立案，又不作出不予立案裁定的，当事人可以向上一级人民法院起诉。上一级人民法院认为符合起诉条件的，应当立案、审理，也可以指定其他下级人民法院立案、审理。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第五十三条</w:t>
      </w:r>
      <w:r>
        <w:rPr>
          <w:rFonts w:hint="eastAsia" w:ascii="宋体" w:hAnsi="宋体" w:eastAsia="仿宋_GB2312" w:cs="仿宋_GB2312"/>
          <w:kern w:val="0"/>
          <w:szCs w:val="32"/>
        </w:rPr>
        <w:t>　公民、法人或者其他组织认为行政行为所依据的国务院部门和地方人民政府及其部门制定的规范性文件不合法，在对行政行为提起诉讼时，可以一并请求对该规范性文件进行审查。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前款规定的规范性文件不含规章。</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第七章　</w:t>
      </w:r>
      <w:r>
        <w:rPr>
          <w:rFonts w:hint="eastAsia" w:ascii="宋体" w:hAnsi="宋体" w:eastAsia="黑体" w:cs="黑体"/>
          <w:kern w:val="0"/>
          <w:szCs w:val="32"/>
        </w:rPr>
        <w:t>审理和判决</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第一节　一般规定</w:t>
      </w:r>
    </w:p>
    <w:p>
      <w:pPr>
        <w:widowControl w:val="0"/>
        <w:numPr>
          <w:ilvl w:val="0"/>
          <w:numId w:val="0"/>
        </w:numPr>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第五十四条</w:t>
      </w:r>
      <w:r>
        <w:rPr>
          <w:rFonts w:hint="eastAsia" w:ascii="宋体" w:hAnsi="宋体" w:eastAsia="仿宋_GB2312" w:cs="仿宋_GB2312"/>
          <w:kern w:val="0"/>
          <w:szCs w:val="32"/>
        </w:rPr>
        <w:t>　人民法院公开审理行政案件，但涉及国家秘密、个人隐私和法律另有规定的除外。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涉及商业秘密的案件，当事人申请不公开审理的，可以不公开审理。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第五十五条</w:t>
      </w:r>
      <w:r>
        <w:rPr>
          <w:rFonts w:hint="eastAsia" w:ascii="宋体" w:hAnsi="宋体" w:eastAsia="仿宋_GB2312" w:cs="仿宋_GB2312"/>
          <w:kern w:val="0"/>
          <w:szCs w:val="32"/>
        </w:rPr>
        <w:t>　当事人认为审判人员与本案有利害关系或者有其他关系可能影响公正审判，有权申请审判人员回避。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审判人员认为自己与本案有利害关系或者有其他关系，应当申请回避。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前两款规定，适用于书记员、翻译人员、鉴定人、勘验人。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院长担任审判长时的回避，由审判委员会决定；审判人员的回避，由院长决定；其他人员的回避，由审判长决定。当事人对决定不服的，可以申请复议一次。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第五十六条</w:t>
      </w:r>
      <w:r>
        <w:rPr>
          <w:rFonts w:hint="eastAsia" w:ascii="宋体" w:hAnsi="宋体" w:eastAsia="仿宋_GB2312" w:cs="仿宋_GB2312"/>
          <w:kern w:val="0"/>
          <w:szCs w:val="32"/>
        </w:rPr>
        <w:t>　诉讼期间，不停止行政行为的执行。但有下列情形之一的，裁定停止执行: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（一）被告认为需要停止执行的；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（二）原告或者利害关系人申请停止执行，人民法院认为该行政行为的执行会造成难以弥补的损失，并且停止执行不损害国家利益、社会公共利益的；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（三）人民法院认为该行政行为的执行会给国家利益、社会公共利益造成重大损害的；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（四）法律、法规规定停止执行的。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当事人对停止执行或者不停止执行的裁定不服的，可以申请复议一次。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第五十七条</w:t>
      </w:r>
      <w:r>
        <w:rPr>
          <w:rFonts w:hint="eastAsia" w:ascii="宋体" w:hAnsi="宋体" w:eastAsia="仿宋_GB2312" w:cs="仿宋_GB2312"/>
          <w:kern w:val="0"/>
          <w:szCs w:val="32"/>
        </w:rPr>
        <w:t>　人民法院对起诉行政机关没有依法支付抚恤金、最低生活保障金和工伤、医疗社会保险金的案件，权利义务关系明确、不先予执行将严重影响原告生活的，可以根据原告的申请，裁定先予执行。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当事人对先予执行裁定不服的，可以申请复议一次。复议期间不停止裁定的执行。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第五十八条</w:t>
      </w:r>
      <w:r>
        <w:rPr>
          <w:rFonts w:hint="eastAsia" w:ascii="宋体" w:hAnsi="宋体" w:eastAsia="仿宋_GB2312" w:cs="仿宋_GB2312"/>
          <w:kern w:val="0"/>
          <w:szCs w:val="32"/>
        </w:rPr>
        <w:t>　经人民法院传票传唤，原告无正当理由拒不到庭，或者未经法庭许可中途退庭的，可以按照撤诉处理；被告无正当理由拒不到庭，或者未经法庭许可中途退庭的，可以缺席判决。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第五十九条</w:t>
      </w:r>
      <w:r>
        <w:rPr>
          <w:rFonts w:hint="eastAsia" w:ascii="宋体" w:hAnsi="宋体" w:eastAsia="仿宋_GB2312" w:cs="仿宋_GB2312"/>
          <w:kern w:val="0"/>
          <w:szCs w:val="32"/>
        </w:rPr>
        <w:t>　诉讼参与人或者其他人有下列行为之一的，人民法院可以根据情节轻重，予以训诫、责令具结悔过或者处一万元以下的罚款、十五日以下的拘留；构成犯罪的，依法追究刑事责任: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（一）有义务协助调查、执行的人，对人民法院的协助调查决定、协助执行通知书，无故推拖、拒绝或者妨碍调查、执行的；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（二）伪造、隐藏、毁灭证据或者提供虚假证明材料，妨碍人民法院审理案件的；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（三）指使、贿买、胁迫他人作伪证或者威胁、阻止证人作证的；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（四）隐藏、转移、变卖、毁损已被查封、扣押、冻结的财产的；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（五）以欺骗、胁迫等非法手段使原告撤诉的；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（六）以暴力、威胁或者其他方法阻碍人民法院工作人员执行职务，或者以哄闹、冲击法庭等方法扰乱人民法院工作秩序的；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（七）对人民法院审判人员或者其他工作人员、诉讼参与人、协助调查和执行的人员恐吓、侮辱、诽谤、诬陷、殴打、围攻或者打击报复的。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人民法院对有前款规定的行为之一的单位，可以对其主要负责人或者直接责任人员依照前款规定予以罚款、拘留；构成犯罪的，依法追究刑事责任。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罚款、拘留须经人民法院院长批准。当事人不服的，可以向上一级人民法院申请复议一次。复议期间不停止执行。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第六十条</w:t>
      </w:r>
      <w:r>
        <w:rPr>
          <w:rFonts w:hint="eastAsia" w:ascii="宋体" w:hAnsi="宋体" w:eastAsia="仿宋_GB2312" w:cs="仿宋_GB2312"/>
          <w:kern w:val="0"/>
          <w:szCs w:val="32"/>
        </w:rPr>
        <w:t>　人民法院审理行政案件，不适用调解。但是，行政赔偿、补偿以及行政机关行使法律、法规规定的自由裁量权的案件可以调解。</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调解应当遵循自愿、合法原则，不得损害国家利益、社会公共利益和他人合法权益。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第六十一条</w:t>
      </w:r>
      <w:r>
        <w:rPr>
          <w:rFonts w:hint="eastAsia" w:ascii="宋体" w:hAnsi="宋体" w:eastAsia="仿宋_GB2312" w:cs="仿宋_GB2312"/>
          <w:kern w:val="0"/>
          <w:szCs w:val="32"/>
        </w:rPr>
        <w:t>　在涉及行政许可、登记、征收、征用和行政机关对民事争议所作的裁决的行政诉讼中，当事人申请一并解决相关民事争议的，人民法院可以一并审理。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在行政诉讼中，人民法院认为行政案件的审理需以民事诉讼的裁判为依据的，可以裁定中止行政诉讼。</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第六十二条</w:t>
      </w:r>
      <w:r>
        <w:rPr>
          <w:rFonts w:hint="eastAsia" w:ascii="宋体" w:hAnsi="宋体" w:eastAsia="仿宋_GB2312" w:cs="仿宋_GB2312"/>
          <w:kern w:val="0"/>
          <w:szCs w:val="32"/>
        </w:rPr>
        <w:t>　人民法院对行政案件宣告判决或者裁定前，原告申请撤诉的，或者被告改变其所作的行政行为，原告同意并申请撤诉的，是否准许，由人民法院裁定。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第六十三条</w:t>
      </w:r>
      <w:r>
        <w:rPr>
          <w:rFonts w:hint="eastAsia" w:ascii="宋体" w:hAnsi="宋体" w:eastAsia="仿宋_GB2312" w:cs="仿宋_GB2312"/>
          <w:kern w:val="0"/>
          <w:szCs w:val="32"/>
        </w:rPr>
        <w:t>　人民法院审理行政案件，以法律和行政法规、地方性法规为依据。地方性法规适用于本行政区域内发生的行政案件。</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人民法院审理民族自治地方的行政案件，并以该民族自治地方的自治条例和单行条例为依据。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人民法院审理行政案件，参照规章。</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第六十四条</w:t>
      </w:r>
      <w:r>
        <w:rPr>
          <w:rFonts w:hint="eastAsia" w:ascii="宋体" w:hAnsi="宋体" w:eastAsia="仿宋_GB2312" w:cs="仿宋_GB2312"/>
          <w:kern w:val="0"/>
          <w:szCs w:val="32"/>
        </w:rPr>
        <w:t>　人民法院在审理行政案件中，经审查认为本法第五十三条规定的规范性文件不合法的，不作为认定行政行为合法的依据，并向制定机关提出处理建议。</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第六十五条</w:t>
      </w:r>
      <w:r>
        <w:rPr>
          <w:rFonts w:hint="eastAsia" w:ascii="宋体" w:hAnsi="宋体" w:eastAsia="仿宋_GB2312" w:cs="仿宋_GB2312"/>
          <w:kern w:val="0"/>
          <w:szCs w:val="32"/>
        </w:rPr>
        <w:t>　人民法院应当公开发生法律效力的判决书、裁定书，供公众查阅，但涉及国家秘密、商业秘密和个人隐私的内容除外。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第六十六条</w:t>
      </w:r>
      <w:r>
        <w:rPr>
          <w:rFonts w:hint="eastAsia" w:ascii="宋体" w:hAnsi="宋体" w:eastAsia="仿宋_GB2312" w:cs="仿宋_GB2312"/>
          <w:kern w:val="0"/>
          <w:szCs w:val="32"/>
        </w:rPr>
        <w:t>　人民法院在审理行政案件中，认为行政机关的主管人员、直接责任人员违法违纪的，应当将有关材料移送监察机关、该行政机关或者其上一级行政机关；认为有犯罪行为的，应当将有关材料移送公安、检察机关。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对被告经传票传唤无正当理由拒不到庭，或者未经法庭许可中途退庭的，可以将被告拒不到庭或者中途退庭的情况予以公告，并可以向监察机关或者被告的上一级行政机关提出依法给予其主要负责人或者直接责任人员处分的司法建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第二节　第一审普通程序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第六十七条</w:t>
      </w:r>
      <w:r>
        <w:rPr>
          <w:rFonts w:hint="eastAsia" w:ascii="宋体" w:hAnsi="宋体" w:eastAsia="仿宋_GB2312" w:cs="仿宋_GB2312"/>
          <w:kern w:val="0"/>
          <w:szCs w:val="32"/>
        </w:rPr>
        <w:t>　人民法院应当在立案之日起五日内，将起诉状副本发送被告。被告应当在收到起诉状副本之日起十五日内向人民法院提交作出行政行为的证据和所依据的规范性文件，并提出答辩状。人民法院应当在收到答辩状之日起五日内，将答辩状副本发送原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被告不提出答辩状的，不影响人民法院审理。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第六十八条</w:t>
      </w:r>
      <w:r>
        <w:rPr>
          <w:rFonts w:hint="eastAsia" w:ascii="宋体" w:hAnsi="宋体" w:eastAsia="仿宋_GB2312" w:cs="仿宋_GB2312"/>
          <w:kern w:val="0"/>
          <w:szCs w:val="32"/>
        </w:rPr>
        <w:t>　人民法院审理行政案件，由审判员组成合议庭，或者由审判员、陪审员组成合议庭。合议庭的成员，应当是三人以上的单数。</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第六十九条</w:t>
      </w:r>
      <w:r>
        <w:rPr>
          <w:rFonts w:hint="eastAsia" w:ascii="宋体" w:hAnsi="宋体" w:eastAsia="仿宋_GB2312" w:cs="仿宋_GB2312"/>
          <w:kern w:val="0"/>
          <w:szCs w:val="32"/>
        </w:rPr>
        <w:t>　行政行为证据确凿，适用法律、法规正确，符合法定程序的，或者原告申请被告履行法定职责或者给付义务理由不成立的，人民法院判决驳回原告的诉讼请求。</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第七十条</w:t>
      </w:r>
      <w:r>
        <w:rPr>
          <w:rFonts w:hint="eastAsia" w:ascii="宋体" w:hAnsi="宋体" w:eastAsia="仿宋_GB2312" w:cs="仿宋_GB2312"/>
          <w:kern w:val="0"/>
          <w:szCs w:val="32"/>
        </w:rPr>
        <w:t>　行政行为有下列情形之一的，人民法院判决撤销或者部分撤销，并可以判决被告重新作出行政行为: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（一）主要证据不足的；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（二）适用法律、法规错误的；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（三）违反法定程序的；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lang w:val="en-US" w:eastAsia="zh-CN"/>
        </w:rPr>
      </w:pPr>
      <w:r>
        <w:rPr>
          <w:rFonts w:hint="eastAsia" w:ascii="宋体" w:hAnsi="宋体" w:eastAsia="仿宋_GB2312" w:cs="仿宋_GB2312"/>
          <w:kern w:val="0"/>
          <w:szCs w:val="32"/>
        </w:rPr>
        <w:t>　　（四）超越职权的；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（五）滥用职权的；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（六）明显不当的。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第七十一条</w:t>
      </w:r>
      <w:r>
        <w:rPr>
          <w:rFonts w:hint="eastAsia" w:ascii="宋体" w:hAnsi="宋体" w:eastAsia="仿宋_GB2312" w:cs="仿宋_GB2312"/>
          <w:kern w:val="0"/>
          <w:szCs w:val="32"/>
        </w:rPr>
        <w:t>　人民法院判决被告重新作出行政行为的，被告不得以</w:t>
      </w:r>
      <w:r>
        <w:rPr>
          <w:rFonts w:hint="eastAsia" w:ascii="宋体" w:hAnsi="宋体" w:eastAsia="仿宋_GB2312" w:cs="仿宋_GB2312"/>
          <w:kern w:val="0"/>
          <w:szCs w:val="32"/>
          <w:highlight w:val="none"/>
        </w:rPr>
        <w:t>同</w:t>
      </w:r>
      <w:r>
        <w:rPr>
          <w:rFonts w:hint="eastAsia" w:ascii="宋体" w:hAnsi="宋体" w:eastAsia="仿宋_GB2312" w:cs="仿宋_GB2312"/>
          <w:kern w:val="0"/>
          <w:szCs w:val="32"/>
        </w:rPr>
        <w:t>一的事实和理由作出与原行政行为基本相同的行政行为。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第七十二条</w:t>
      </w:r>
      <w:r>
        <w:rPr>
          <w:rFonts w:hint="eastAsia" w:ascii="宋体" w:hAnsi="宋体" w:eastAsia="仿宋_GB2312" w:cs="仿宋_GB2312"/>
          <w:kern w:val="0"/>
          <w:szCs w:val="32"/>
        </w:rPr>
        <w:t>　人民法院经过审理，查明被告不履行法定职责的，判决被告在一定期限内履行。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第七十三条</w:t>
      </w:r>
      <w:r>
        <w:rPr>
          <w:rFonts w:hint="eastAsia" w:ascii="宋体" w:hAnsi="宋体" w:eastAsia="仿宋_GB2312" w:cs="仿宋_GB2312"/>
          <w:kern w:val="0"/>
          <w:szCs w:val="32"/>
        </w:rPr>
        <w:t>　人民法院经过审理，查明被告依法负有给付义务的，判决被告履行给付义务。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第七十四条</w:t>
      </w:r>
      <w:r>
        <w:rPr>
          <w:rFonts w:hint="eastAsia" w:ascii="宋体" w:hAnsi="宋体" w:eastAsia="仿宋_GB2312" w:cs="仿宋_GB2312"/>
          <w:kern w:val="0"/>
          <w:szCs w:val="32"/>
        </w:rPr>
        <w:t>　行政行为有下列情形之一的，人民法院判决确认违法，但不撤销行政行为:</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（一）行政行为依法应当撤销，但撤销会给国家利益、社会公共利益造成重大损害的；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（二）行政行为程序轻微违法，但对原告权利不产生实际影响的。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行政行为有下列情形之一，不需要撤销或者判决履行的，人民法院判决确认违法:</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（一）行政行为违法，但不具有可撤销内容的；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（二）被告改变原违法行政行为，原告仍要求确认原行政行为违法的；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（三）被告不履行或者拖延履行法定职责，判决履行没有意义的。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第七十五条</w:t>
      </w:r>
      <w:r>
        <w:rPr>
          <w:rFonts w:hint="eastAsia" w:ascii="宋体" w:hAnsi="宋体" w:eastAsia="仿宋_GB2312" w:cs="仿宋_GB2312"/>
          <w:kern w:val="0"/>
          <w:szCs w:val="32"/>
        </w:rPr>
        <w:t xml:space="preserve"> 行政行为有实施主体不具有行政主体资格或者没有依据等重大且明显违法情形，原告申请确认行政行为无效的，人民法院判决确认无效。</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第七十六条</w:t>
      </w:r>
      <w:r>
        <w:rPr>
          <w:rFonts w:hint="eastAsia" w:ascii="宋体" w:hAnsi="宋体" w:eastAsia="仿宋_GB2312" w:cs="仿宋_GB2312"/>
          <w:kern w:val="0"/>
          <w:szCs w:val="32"/>
        </w:rPr>
        <w:t>　人民法院判决确认违法或者无效的，可以同时判决责令被告采取补救措施；给原告造成损失的，依法判决被告承担赔偿责任。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第七十七条</w:t>
      </w:r>
      <w:r>
        <w:rPr>
          <w:rFonts w:hint="eastAsia" w:ascii="宋体" w:hAnsi="宋体" w:eastAsia="仿宋_GB2312" w:cs="仿宋_GB2312"/>
          <w:kern w:val="0"/>
          <w:szCs w:val="32"/>
        </w:rPr>
        <w:t>　行政处罚明显不当，或者其他行政行为涉及对款额的确定、认定确有错误的，人民法院可以判决变更。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人民法院判决变更，不得加重原告的义务或者减损原告的权益。但利害关系人同为原告，且诉讼请求相反的除外。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第七十八条</w:t>
      </w:r>
      <w:r>
        <w:rPr>
          <w:rFonts w:hint="eastAsia" w:ascii="宋体" w:hAnsi="宋体" w:eastAsia="仿宋_GB2312" w:cs="仿宋_GB2312"/>
          <w:kern w:val="0"/>
          <w:szCs w:val="32"/>
        </w:rPr>
        <w:t>　被告不依法履行、未按照约定履行或者违法变更、解除本法第十二条第一款第十一项规定的协议的，人民法院判决被告承担继续履行、采取补救措施或者赔偿损失等责任。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被告变更、解除本法第十二条第一款第十一项规定的协议合法，但未依法给予补偿的，人民法院判决给予补偿。</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第七十九条</w:t>
      </w:r>
      <w:r>
        <w:rPr>
          <w:rFonts w:hint="eastAsia" w:ascii="宋体" w:hAnsi="宋体" w:eastAsia="仿宋_GB2312" w:cs="仿宋_GB2312"/>
          <w:kern w:val="0"/>
          <w:szCs w:val="32"/>
        </w:rPr>
        <w:t>　复议机关与作出原行政行为的行政机关为共同被告的案件，人民法院应当对复议决定和原行政行为一并作出裁判。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第八十条</w:t>
      </w:r>
      <w:r>
        <w:rPr>
          <w:rFonts w:hint="eastAsia" w:ascii="宋体" w:hAnsi="宋体" w:eastAsia="仿宋_GB2312" w:cs="仿宋_GB2312"/>
          <w:kern w:val="0"/>
          <w:szCs w:val="32"/>
        </w:rPr>
        <w:t>　人民法院对公开审理和不公开审理的案件，一律公开宣告判决。</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当庭宣判的，应当在十日内发送判决书；定期宣判的，宣判后立即发给判决书。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宣告判决时，必须告知当事人上诉权利、上诉期限和上诉的人民法院。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第八十一条</w:t>
      </w:r>
      <w:r>
        <w:rPr>
          <w:rFonts w:hint="eastAsia" w:ascii="宋体" w:hAnsi="宋体" w:eastAsia="仿宋_GB2312" w:cs="仿宋_GB2312"/>
          <w:kern w:val="0"/>
          <w:szCs w:val="32"/>
        </w:rPr>
        <w:t>　人民法院应当在立案之日起六个月内作出第一审判决。有特殊情况需要延长的，由高级人民法院批准，高级人民法院审理第一审案件需要延长的，由最高人民法院批准。</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第三节　简易程序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第八十二条</w:t>
      </w:r>
      <w:r>
        <w:rPr>
          <w:rFonts w:hint="eastAsia" w:ascii="宋体" w:hAnsi="宋体" w:eastAsia="仿宋_GB2312" w:cs="仿宋_GB2312"/>
          <w:kern w:val="0"/>
          <w:szCs w:val="32"/>
        </w:rPr>
        <w:t>　人民法院审理下列第一审行政案件，认为事实清楚、权利义务关系明确、争议不大的，可以适用简易程序: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（一）被诉行政行为是依法当场作出的；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（二）案件涉及款额二千元以下的；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（三）属于政府信息公开案件的。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除前款规定以外的第一审行政案件，当事人各方同意适用简易程序的，可以适用简易程序。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发回重审、按照审判监督程序再审的案件不适用简易程序。</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第八十三条</w:t>
      </w:r>
      <w:r>
        <w:rPr>
          <w:rFonts w:hint="eastAsia" w:ascii="宋体" w:hAnsi="宋体" w:eastAsia="仿宋_GB2312" w:cs="仿宋_GB2312"/>
          <w:kern w:val="0"/>
          <w:szCs w:val="32"/>
        </w:rPr>
        <w:t>　适用简易程序审理的行政案件，由审判员一人独任审理，并应当在立案之日起四十五日内审结。</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第八十四条</w:t>
      </w:r>
      <w:r>
        <w:rPr>
          <w:rFonts w:hint="eastAsia" w:ascii="宋体" w:hAnsi="宋体" w:eastAsia="仿宋_GB2312" w:cs="仿宋_GB2312"/>
          <w:kern w:val="0"/>
          <w:szCs w:val="32"/>
        </w:rPr>
        <w:t>　人民法院在审理过程中，发现案件不宜适用简易程序的，裁定转为普通程序。</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第四节　第二审程序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第八十五条</w:t>
      </w:r>
      <w:r>
        <w:rPr>
          <w:rFonts w:hint="eastAsia" w:ascii="宋体" w:hAnsi="宋体" w:eastAsia="仿宋_GB2312" w:cs="仿宋_GB2312"/>
          <w:kern w:val="0"/>
          <w:szCs w:val="32"/>
        </w:rPr>
        <w:t>　当事人不服人民法院第一审判决的，有权在判决书送达之日起十五日内向上一级人民法院提起上诉。当事人不服人民法院第一审裁定的，有权在裁定书送达之日起十日内向上一级人民法院提起上诉。逾期不提起上诉的，人民法院的第一审判决或者裁定发生法律效力。</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第八十六条</w:t>
      </w:r>
      <w:r>
        <w:rPr>
          <w:rFonts w:hint="eastAsia" w:ascii="宋体" w:hAnsi="宋体" w:eastAsia="仿宋_GB2312" w:cs="仿宋_GB2312"/>
          <w:kern w:val="0"/>
          <w:szCs w:val="32"/>
        </w:rPr>
        <w:t>　人民法院对上诉案件，应当组成合议庭，开庭审理。经过阅卷、调查和询问当事人，对没有提出新的事实、证据或者理由，合议庭认为不需要开庭审理的，也可以不开庭审理。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第八十七条</w:t>
      </w:r>
      <w:r>
        <w:rPr>
          <w:rFonts w:hint="eastAsia" w:ascii="宋体" w:hAnsi="宋体" w:eastAsia="仿宋_GB2312" w:cs="仿宋_GB2312"/>
          <w:kern w:val="0"/>
          <w:szCs w:val="32"/>
        </w:rPr>
        <w:t>　人民法院审理上诉案件，应当对原审人民法院的判决、裁定和被诉行政行为进行全面审查。</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第八十八条</w:t>
      </w:r>
      <w:r>
        <w:rPr>
          <w:rFonts w:hint="eastAsia" w:ascii="宋体" w:hAnsi="宋体" w:eastAsia="仿宋_GB2312" w:cs="仿宋_GB2312"/>
          <w:kern w:val="0"/>
          <w:szCs w:val="32"/>
        </w:rPr>
        <w:t>　人民法院审理上诉案件，应当在收到上诉状之日起三个月内作出终审判决。有特殊情况需要延长的，由高级人民法院批准，高级人民法院审理上诉案件需要延长的，由最高人民法院批准。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第八十九条</w:t>
      </w:r>
      <w:r>
        <w:rPr>
          <w:rFonts w:hint="eastAsia" w:ascii="宋体" w:hAnsi="宋体" w:eastAsia="仿宋_GB2312" w:cs="仿宋_GB2312"/>
          <w:kern w:val="0"/>
          <w:szCs w:val="32"/>
        </w:rPr>
        <w:t>　人民法院审理上诉案件，按照下列情形，分别处理:</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（一）原判决、裁定认定事实清楚，适用法律、法规正确的，判决或者裁定驳回上诉，维持原判决、裁定；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（二）原判决、裁定认定事实错误或者适用法律、法规错误的，依法改判、撤销或者变更；</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（三）原判决认定基本事实不清、证据不足的，发回原审人民法院重审，或者查清事实后改判；</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（四）原判决遗漏当事人或者违法缺席判决等严重违反法定程序的，裁定撤销原判决，发回原审人民法院重审。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原审人民法院对发回重审的案件作出判决后，当事人提起上诉的，第二审人民法院不得再次发回重审。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人民法院审理上诉案件，需要改变原审判决的，应当同时对被诉行政行为作出判决。</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lang w:eastAsia="zh-CN"/>
        </w:rPr>
      </w:pPr>
      <w:r>
        <w:rPr>
          <w:rFonts w:hint="eastAsia" w:ascii="宋体" w:hAnsi="宋体" w:eastAsia="黑体" w:cs="黑体"/>
          <w:kern w:val="0"/>
          <w:szCs w:val="32"/>
          <w:lang w:eastAsia="zh-CN"/>
        </w:rPr>
        <w:t>第五节　审判监督程序</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第九十条</w:t>
      </w:r>
      <w:r>
        <w:rPr>
          <w:rFonts w:hint="eastAsia" w:ascii="宋体" w:hAnsi="宋体" w:eastAsia="仿宋_GB2312" w:cs="仿宋_GB2312"/>
          <w:kern w:val="0"/>
          <w:szCs w:val="32"/>
        </w:rPr>
        <w:t>　当事人对已经发生法律效力的判决、裁定，认为确有错误的，可以向上一级人民法院申请再审，但判决、裁定不停止执行。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第九十一条</w:t>
      </w:r>
      <w:r>
        <w:rPr>
          <w:rFonts w:hint="eastAsia" w:ascii="宋体" w:hAnsi="宋体" w:eastAsia="仿宋_GB2312" w:cs="仿宋_GB2312"/>
          <w:kern w:val="0"/>
          <w:szCs w:val="32"/>
        </w:rPr>
        <w:t>　当事人的申请符合下列情形之一的，人民法院应当再审: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（一）不予立案或者驳回起诉确有错误的；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（二）有新的证据，足以推翻原判决、裁定的；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（三）原判决、裁定认定事实的主要证据不足、未经质证或者系伪造的；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（四）原判决、裁定适用法律、法规确有错误的；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（五）违反法律规定的诉讼程序，可能影响公正审判的；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（六）原判决、裁定遗漏诉讼请求的；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（七）据以作出原判决、裁定的法律文书被撤销或者变更的；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（八）审判人员在审理该案件时有贪污受贿、徇私舞弊、枉法裁判行为的。</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第九十二条</w:t>
      </w:r>
      <w:r>
        <w:rPr>
          <w:rFonts w:hint="eastAsia" w:ascii="宋体" w:hAnsi="宋体" w:eastAsia="仿宋_GB2312" w:cs="仿宋_GB2312"/>
          <w:kern w:val="0"/>
          <w:szCs w:val="32"/>
        </w:rPr>
        <w:t>　各级人民法院院长对本院已经发生法律效力的判决、裁定，发现有本法第九十一条规定情形之一，或者发现调解违反自愿原则或者调解书内容违法，认为需要再审的，应当提交审判委员会讨论决定。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最高人民法院对地方各级人民法院已经发生法律效力的判决、裁定，上级人民法院对下级人民法院已经发生法律效力的判决、裁定，发现有本法第九十一条规定情形之一，或者发现调解违反自愿原则或者调解书内容违法的，有权提审或者指令下级人民法院再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第九十三条</w:t>
      </w:r>
      <w:r>
        <w:rPr>
          <w:rFonts w:hint="eastAsia" w:ascii="宋体" w:hAnsi="宋体" w:eastAsia="仿宋_GB2312" w:cs="仿宋_GB2312"/>
          <w:kern w:val="0"/>
          <w:szCs w:val="32"/>
        </w:rPr>
        <w:t>　最高人民检察院对各级人民法院已经发生法律效力的判决、裁定，上级人民检察院对下级人民法院已经发生法律效力的判决、裁定，发现有本法第九十一条规定情形之一，或者发现调解书损害国家利益、社会公共利益的，应当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地方各级人民检察院对同级人民法院已经发生法律效力的判决、裁定，发现有本法第九十一条规定情形之一，或者发现调解书损害国家利益、社会公共利益的，可以向同级人民法院提出检察建议，并报上级人民检察院备案；也可以提请上级人民检察院向同级人民法院提出抗诉。</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各级人民检察院对审判监督程序以外的其他审判程序中审判人员的违法行为，有权向同级人民法院提出检察建议。</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第八章　</w:t>
      </w:r>
      <w:r>
        <w:rPr>
          <w:rFonts w:hint="eastAsia" w:ascii="宋体" w:hAnsi="宋体" w:eastAsia="黑体" w:cs="黑体"/>
          <w:kern w:val="0"/>
          <w:szCs w:val="32"/>
        </w:rPr>
        <w:t>执行</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第九十四条</w:t>
      </w:r>
      <w:r>
        <w:rPr>
          <w:rFonts w:hint="eastAsia" w:ascii="宋体" w:hAnsi="宋体" w:eastAsia="仿宋_GB2312" w:cs="仿宋_GB2312"/>
          <w:kern w:val="0"/>
          <w:szCs w:val="32"/>
        </w:rPr>
        <w:t>　当事人必须履行人民法院发生法律效力的判决、裁定、调解书。</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第九十五条</w:t>
      </w:r>
      <w:r>
        <w:rPr>
          <w:rFonts w:hint="eastAsia" w:ascii="宋体" w:hAnsi="宋体" w:eastAsia="仿宋_GB2312" w:cs="仿宋_GB2312"/>
          <w:kern w:val="0"/>
          <w:szCs w:val="32"/>
        </w:rPr>
        <w:t>　公民、法人或者其他组织拒绝履行判决、裁定、调解书的，行政机关或者第三人可以向第一审人民法院申请强制执行，或者由行政机关依法强制执行。</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第九十六条</w:t>
      </w:r>
      <w:r>
        <w:rPr>
          <w:rFonts w:hint="eastAsia" w:ascii="宋体" w:hAnsi="宋体" w:eastAsia="仿宋_GB2312" w:cs="仿宋_GB2312"/>
          <w:kern w:val="0"/>
          <w:szCs w:val="32"/>
        </w:rPr>
        <w:t>　行政机关拒绝履行判决、裁定、调解书的，第一审人民法院可以采取下列措施:</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（一）对应当归还的罚款或者应当给付的款额，通知银行从该行政机关的账户内划拨；</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（二）在规定期限内不履行的，从期满之日起，对该行政机关负责人按日处五十元至一百元的罚款；</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（三）将行政机关拒绝履行的情况予以公告；</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（四）向监察机关或者该行政机关的上一级行政机关提出司法建议。接受司法建议的机关，根据有关规定进行处理，并将处理情况告知人民法院；</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（五）拒不履行判决、裁定、调解书，社会影响恶劣的，可以对该行政机关直接负责的主管人员和其他直接责任人员予以拘留；情节严重，构成犯罪的，依法追究刑事责任。</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第九十七条</w:t>
      </w:r>
      <w:r>
        <w:rPr>
          <w:rFonts w:hint="eastAsia" w:ascii="宋体" w:hAnsi="宋体" w:eastAsia="仿宋_GB2312" w:cs="仿宋_GB2312"/>
          <w:kern w:val="0"/>
          <w:szCs w:val="32"/>
        </w:rPr>
        <w:t>　公民、法人或者其他组织对行政行为在法定期限内不提起诉讼又不履行的，行政机关可以申请人民法院强制执行，或者依法强制执行。</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第九章　</w:t>
      </w:r>
      <w:r>
        <w:rPr>
          <w:rFonts w:hint="eastAsia" w:ascii="宋体" w:hAnsi="宋体" w:eastAsia="黑体" w:cs="黑体"/>
          <w:kern w:val="0"/>
          <w:szCs w:val="32"/>
        </w:rPr>
        <w:t>涉外行政诉讼</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第九十八条</w:t>
      </w:r>
      <w:r>
        <w:rPr>
          <w:rFonts w:hint="eastAsia" w:ascii="宋体" w:hAnsi="宋体" w:eastAsia="仿宋_GB2312" w:cs="仿宋_GB2312"/>
          <w:kern w:val="0"/>
          <w:szCs w:val="32"/>
        </w:rPr>
        <w:t>　外国人、无国籍人、外国组织在中华人民共和国进行行政诉讼，适用本法。法律另有规定的除外。</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第九十九条</w:t>
      </w:r>
      <w:r>
        <w:rPr>
          <w:rFonts w:hint="eastAsia" w:ascii="宋体" w:hAnsi="宋体" w:eastAsia="仿宋_GB2312" w:cs="仿宋_GB2312"/>
          <w:kern w:val="0"/>
          <w:szCs w:val="32"/>
        </w:rPr>
        <w:t>　外国人、无国籍人、外国组织在中华人民共和国进行行政诉讼，同中华人民共和国公民、组织有同等的诉讼权利和义务。</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外国法院对中华人民共和国公民、组织的行政诉讼权利加以限制的，人民法院对该国公民、组织的行政诉讼权利，实行对等原则。</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第一百条</w:t>
      </w:r>
      <w:r>
        <w:rPr>
          <w:rFonts w:hint="eastAsia" w:ascii="宋体" w:hAnsi="宋体" w:eastAsia="仿宋_GB2312" w:cs="仿宋_GB2312"/>
          <w:kern w:val="0"/>
          <w:szCs w:val="32"/>
        </w:rPr>
        <w:t>　外国人、无国籍人、外国组织在中华人民共和国进行行政诉讼，委托律师代理诉讼的，应当委托中华人民共和国律师机构的律师。</w:t>
      </w:r>
    </w:p>
    <w:p>
      <w:pPr>
        <w:widowControl w:val="0"/>
        <w:wordWrap/>
        <w:overflowPunct w:val="0"/>
        <w:adjustRightInd/>
        <w:snapToGrid/>
        <w:spacing w:beforeAutospacing="0" w:afterAutospacing="0" w:line="560" w:lineRule="exact"/>
        <w:jc w:val="both"/>
        <w:textAlignment w:val="auto"/>
        <w:outlineLvl w:val="9"/>
        <w:rPr>
          <w:rFonts w:hint="eastAsia" w:ascii="宋体" w:hAnsi="宋体" w:eastAsia="宋体" w:cs="宋体"/>
          <w:kern w:val="0"/>
          <w:szCs w:val="32"/>
        </w:rPr>
      </w:pPr>
    </w:p>
    <w:p>
      <w:pPr>
        <w:widowControl w:val="0"/>
        <w:numPr>
          <w:ilvl w:val="0"/>
          <w:numId w:val="0"/>
        </w:numPr>
        <w:wordWrap/>
        <w:overflowPunct w:val="0"/>
        <w:adjustRightInd/>
        <w:snapToGrid/>
        <w:spacing w:beforeAutospacing="0" w:afterAutospacing="0" w:line="560" w:lineRule="exact"/>
        <w:ind w:leftChars="0"/>
        <w:jc w:val="center"/>
        <w:textAlignment w:val="auto"/>
        <w:outlineLvl w:val="9"/>
        <w:rPr>
          <w:rFonts w:hint="eastAsia" w:ascii="宋体" w:hAnsi="宋体" w:eastAsia="黑体" w:cs="黑体"/>
          <w:kern w:val="0"/>
          <w:szCs w:val="32"/>
        </w:rPr>
      </w:pPr>
      <w:r>
        <w:rPr>
          <w:rFonts w:hint="eastAsia" w:ascii="宋体" w:hAnsi="宋体" w:eastAsia="黑体" w:cs="黑体"/>
          <w:kern w:val="0"/>
          <w:szCs w:val="32"/>
          <w:lang w:eastAsia="zh-CN"/>
        </w:rPr>
        <w:t>第十章　</w:t>
      </w:r>
      <w:r>
        <w:rPr>
          <w:rFonts w:hint="eastAsia" w:ascii="宋体" w:hAnsi="宋体" w:eastAsia="黑体" w:cs="黑体"/>
          <w:kern w:val="0"/>
          <w:szCs w:val="32"/>
        </w:rPr>
        <w:t>附则</w:t>
      </w:r>
    </w:p>
    <w:p>
      <w:pPr>
        <w:widowControl w:val="0"/>
        <w:numPr>
          <w:ilvl w:val="0"/>
          <w:numId w:val="0"/>
        </w:numPr>
        <w:wordWrap/>
        <w:overflowPunct w:val="0"/>
        <w:adjustRightInd/>
        <w:snapToGrid/>
        <w:spacing w:beforeAutospacing="0" w:afterAutospacing="0" w:line="560" w:lineRule="exact"/>
        <w:ind w:leftChars="0"/>
        <w:jc w:val="both"/>
        <w:textAlignment w:val="auto"/>
        <w:outlineLvl w:val="9"/>
        <w:rPr>
          <w:rFonts w:hint="eastAsia" w:ascii="宋体" w:hAnsi="宋体" w:eastAsia="宋体" w:cs="宋体"/>
          <w:kern w:val="0"/>
          <w:szCs w:val="32"/>
        </w:rPr>
      </w:pP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第一百零一条</w:t>
      </w:r>
      <w:r>
        <w:rPr>
          <w:rFonts w:hint="eastAsia" w:ascii="宋体" w:hAnsi="宋体" w:eastAsia="仿宋_GB2312" w:cs="仿宋_GB2312"/>
          <w:kern w:val="0"/>
          <w:szCs w:val="32"/>
        </w:rPr>
        <w:t>　人民法院审理行政案件，关于期间、送达、财产保全、开庭审理、调解、中止诉讼、终结诉讼、简易程序、执行等，以及人民检察院对行政案件受理、审理、裁判、执行的监督，本法没有规定的，适用《中华人民共和国民事诉讼法》的相关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第一百零二条</w:t>
      </w:r>
      <w:r>
        <w:rPr>
          <w:rFonts w:hint="eastAsia" w:ascii="宋体" w:hAnsi="宋体" w:eastAsia="仿宋_GB2312" w:cs="仿宋_GB2312"/>
          <w:kern w:val="0"/>
          <w:szCs w:val="32"/>
        </w:rPr>
        <w:t>　人民法院审理行政案件，应当收取诉讼费用。诉讼费用由败诉方承担，双方都有责任的由双方分担。收取诉讼费用的具体办法另行规定。</w:t>
      </w:r>
    </w:p>
    <w:p>
      <w:pPr>
        <w:widowControl w:val="0"/>
        <w:wordWrap/>
        <w:overflowPunct w:val="0"/>
        <w:adjustRightInd/>
        <w:snapToGrid/>
        <w:spacing w:beforeAutospacing="0" w:afterAutospacing="0" w:line="560" w:lineRule="exact"/>
        <w:textAlignment w:val="auto"/>
        <w:outlineLvl w:val="9"/>
        <w:rPr>
          <w:rFonts w:hint="eastAsia" w:ascii="宋体" w:hAnsi="宋体" w:eastAsia="仿宋_GB2312" w:cs="仿宋_GB2312"/>
          <w:kern w:val="0"/>
          <w:szCs w:val="32"/>
        </w:rPr>
      </w:pPr>
      <w:r>
        <w:rPr>
          <w:rFonts w:hint="eastAsia" w:ascii="宋体" w:hAnsi="宋体" w:eastAsia="仿宋_GB2312" w:cs="仿宋_GB2312"/>
          <w:kern w:val="0"/>
          <w:szCs w:val="32"/>
        </w:rPr>
        <w:t>　　</w:t>
      </w:r>
      <w:r>
        <w:rPr>
          <w:rFonts w:hint="eastAsia" w:ascii="宋体" w:hAnsi="宋体" w:eastAsia="黑体" w:cs="黑体"/>
          <w:kern w:val="0"/>
          <w:szCs w:val="32"/>
        </w:rPr>
        <w:t>第一百零三条</w:t>
      </w:r>
      <w:r>
        <w:rPr>
          <w:rFonts w:hint="eastAsia" w:ascii="宋体" w:hAnsi="宋体" w:eastAsia="仿宋_GB2312" w:cs="仿宋_GB2312"/>
          <w:kern w:val="0"/>
          <w:szCs w:val="32"/>
        </w:rPr>
        <w:t>　本法自1990年10月1日起施行。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Arial"/>
          <w:bCs/>
          <w:sz w:val="44"/>
          <w:szCs w:val="44"/>
        </w:rPr>
      </w:pPr>
      <w:bookmarkStart w:id="222" w:name="_Toc1912"/>
      <w:r>
        <w:rPr>
          <w:rFonts w:hint="eastAsia" w:ascii="宋体" w:hAnsi="宋体" w:eastAsia="宋体" w:cs="Arial"/>
          <w:bCs/>
          <w:sz w:val="44"/>
          <w:szCs w:val="44"/>
        </w:rPr>
        <w:t>中华人民共和国传染病防治法实施办法</w:t>
      </w:r>
      <w:bookmarkEnd w:id="222"/>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（1991年10月4日国务院批准　1991年12月6日卫生部令第17号发布）</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预防</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疫情报告</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控制</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监督</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根据《中华人民共和国传染病防治法》（以下简称《传染病防治法》）的规定，制定本办法。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国家对传染病实行预防为主的方针，各级政府在制定社会经济发展规划时，必须包括传染病防治目标，并组织有关部门共同实施。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各级政府卫生行政部门对传染病防治工作实施统一监督管理。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受国务院卫生行政部门委托的其他有关部门卫生主管机构，在本系统内行使《传染病防治法》第三十二条第一款所列职权。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军队的传染病防治工作，依照《传染病防治法》和本办法中的有关规定以及国家其他有关规定，由中国人民解放军卫生主管部门实施监督管理。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各级各类卫生防疫机构按照专业分工承担传染病监测管理的责任和范围，由省级政府卫生行政部门确定。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铁路、交通、民航、厂（场）矿的卫生防疫机构，承担本系统传染病监测管理工作，并接受本系统上级卫生主管机构和省级政府卫生行政部门指定的卫生防疫机构的业务指导。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各级各类医疗保健机构承担传染病防治管理的责任和范围，由当地政府卫生行政部门确定。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各级政府对预防、控制传染病做出显著成绩和贡献的单位和个人，应当给予奖励。</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预防</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各级政府应当组织有关部门，开展传染病预防知识和防治措施的卫生健康教育。</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各级政府组织开展爱国卫生活动。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铁路、交通、民航部门负责组织消除交通工具的鼠害和各种病媒昆虫的危害。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农业、林业部门负责组织消除农田、牧场及林区的鼠害。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国务院各有关部委消除钉螺危害的分工，按照国务院的有关规定办理。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集中式供水必须符合国家《生活饮用水卫生标准》。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各单位自备水源，未经城市建设部门和卫生行政部门批准，不得与城镇集中式供水系统连接。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地方各级政府应当有计划地建设和改造公共卫生没施。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城市应当按照城市环境卫生设施标准修建公共厕所、垃圾粪便的无害化处理场和污水、雨水排放处理系统等公共卫生设施。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农村应当逐步改造厕所，对粪便进行无害化处理，加强对公共生活用水的卫生管理。建立必要的卫生管理制度。饮用水水源附近禁止有污水池、粪堆（坑）等污染源。禁止在饮用水水源附近洗刷便器和运输粪便的工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国家实行有计划的预防接种制度。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中华人民共和国境内的任何人均应按照有关规定接受预防接种。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各省、自治区、直辖市政府卫生行政部门可以根据当地传染病的流行情况，增加预防接种项目。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国家对儿童实行预防接种证制度。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适龄儿童应当按照国家有关规定，接受预防接种。适龄儿童的家长或者监护人应当及时向医疗保健机构申请办理预防接种证。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托幼机构、学校在办理入托、入学手续时，应当查验预防接种证，未按规定接种的儿童应当及时补种。</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各级各类医疗保健机构的预防保健组织或者人员，在本单位及责任地段内承担下列工作：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（一）传染病疫情报告和管理；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（二）传染病预防和控制工作；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（三）卫生行政部门指定的卫生防疫机构交付的传染病防治和监测任务。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医疗保健机构必须按照国务院卫生行政部门的有关规定，严格执行消毒隔离制度，防止医院内感染和医源性感染。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卫生防疫机构和从事致病性微生物实验的科研、教学、生产等单位必须做到：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（一）建立健全防止致病性微生物扩散的制度和人体防护措施；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（二）严格执行实验操作规程，对实验后的样品、器材、污染物品等，按照有关规定严格消毒后处理；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（三）实验动物必须按照国家有关规定进行管理。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传染病的菌（毒）种分为下列三类：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一类：鼠疫耶尔森氏菌、霍乱弧菌；天花病毒、艾滋病病毒；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二类：布氏菌、炭疽菌、麻风杆菌；肝炎病毒、狂犬病毒、出血热病毒、登革热病毒；斑疹伤寒立克次体；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类：脑膜炎双球菌、链球菌、淋病双球菌、结核杆菌、百日咳嗜血杆菌、白喉棒状杆菌、沙门氏菌、志贺氏菌、破伤风梭状杆菌；钩端螺旋体、梅毒螺旋体；乙型脑炎病毒、脊髓灰质炎病毒、流感病毒、流行性腮腺炎病毒、麻疹病毒、风疹病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国务院卫生行政部门可以根据情况增加或者减少菌（毒）种的种类。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国家对传染病菌（毒）种的保藏、携带、运输实行严格管理：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（一）菌（毒）种的保藏由国务院卫生行政部门指定的单位负责。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（二）一、二类菌（毒）种的供应由国务院卫生行政部门指定的保藏管理单位供应。三类菌（毒）种由设有专业实验室的单位或者国务院卫生行政部门指定的保藏管理单位供应。</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（三）使用一类菌（毒）种的单位，必须经国务院卫生行政部门批准；使用二类菌〔毒）种的单位必须经省级政府卫生行政部门批准；使用三类菌（毒）种的单位，应当经县级政府卫生行政部门批准。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（四）一、二类菌（毒）种，应派专人向供应单位领取，不得邮寄。三类菌（毒）种的邮寄必须持有邮寄单位的证明，并按照菌（毒）种邮寄与包装的有关规定办理。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对患有下列传染病的病人或者病原携带者予以必要的隔离治疗，直至医疗保健机构证明其不具有传染性时、方可恢复工作：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（一）鼠疫、霍乱；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（二）艾滋病、病毒性肝炎、细菌性和阿米巴痢疾、伤寒和副伤寒、炭疽、斑疹伤寒、麻疹、百日咳、白喉、脊髓灰质炎、流行性脑脊髓膜炎、猩红热、流行性出血热、登革热、淋病、梅毒；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（三）肺结核、麻风病、流行性腮腺炎、风疹、急性出血性结膜炎。</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从事饮水、饮食、整容、保育等易使传染病扩散工作的从业人员，必须按照国家有关规定取得健康合格证后方可上岗。</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招用流动人员二百人以上的用工单位，应当向当地政府卫生行政部门指定的卫生防疫机构报告，并按照要求采取预防控制传染病的卫生措施。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被甲类传染病病原体污染的污水、污物、粪便，有关单位和个人必须在卫生防疫人员的指导监督下，按照下列要求进行处理：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（一）被鼠疫病原体污染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⒈被污染的室内空气、地面、四壁必须进行严格消毒，被污染的物品必须严格消毒或者焚烧处理；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⒉彻底消除鼠疫疫区内的鼠类、蚤类；发现病鼠、死鼠应当送检；解剖检验后的鼠尸必须焚化；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⒊疫区内啮齿类动物的皮毛不能就地进行有效的消毒处理时，必须在卫生防疫机构的监督下焚烧。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（二）被霍乱病原体污染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⒈被污染的饮用水，必须进行严格消毒处理；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⒉污水经消毒处理后排放；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⒊被污染的食物要就地封存，消毒处理；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⒋粪便消毒处理达到无害化；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⒌被污染的物品，必须进行严格消毒或者焚烧处理。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被伤寒和副伤寒、细菌性痢疾、脊髓灰质炎、病毒性肝炎病原体污染的水、物品、粪便，有关单位和个人应当按照下列要求进行处理：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（一）被污染的饮用水，应当进行严格消毒处理；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（二）污水经消毒处理后排放；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（三）被污染的物品，应当进行严格消毒处理或者焚烧处理；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（四）粪便消毒处理达到无害化。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死于炭疽的动物尸体必须就地焚化，被污染的用具必须消毒处理，被污染的土地、草皮消毒后，必须将十厘米厚的表层土铲除，并在远离水源及河流的地方深埋。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出售、运输被传染病病原体污染或者来自疫区可能被传染病病原体污染的皮毛、旧衣物及生活用品等，必须按照卫生防疫机构的要求进行必要的卫生处理。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用于预防传染病的菌苗、疫苗等生物制品，由各省、自治区、直辖市卫生防疫机构统一向生物制品生产单位订购，其他任何单位和个人不得经营。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用于预防传染病的菌苗、疫苗等生物制品必须在卫生防疫机构监督指导下使用。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凡从事可能导致经血液传播传染病的美容、整容等单位和个人，必须执行国务院卫生行政部门的有关规定。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血站（库）、生物制品生产单位，必须严格执行国务院卫生行政部门的有关规定，保证血液、血液制品的质量，防止因输入血液、血液制品引起病毒性肝炎、艾滋病、疟疾等疾病的发生。任何单位和个人不准使用国务院卫生行政部门禁止进口的血液和血液制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生产、经营、使用消毒药剂和消毒器械、卫生用品、卫生材料、一次性医疗器材、隐形眼镜、人造器官等必须符合国家有关标准，不符合国家有关标准的不得生产、经营和使用。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发现人畜共患传染病已在人、畜间流行时，卫生行政部门与畜牧兽医部门应当深入疫区，按照职责分别对人、畜开展防治工作。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传染病流行区的家畜家禽，未经畜牧兽医部门检疫不得外运。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进入鼠疫自然疫源地捕猎旱獭应按照国家有关规定执行。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狂犬病的防治管理工作按照下列规定分工负责：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（一）公安部门负责县以上城市养犬的审批与违章养犬的处理，捕杀狂犬、野犬。</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（二）畜牧兽医部门负责兽用狂犬病疫苗的研制、生产和供应；对城乡经批准的养犬进行预防接种、登记和发放“家犬免疫证”；对犬类狂犬病的疫情进行监测和负责进出口犬类的检疫、免疫及管理。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（三）乡（镇）政府负责辖区内养犬的管理，捕杀狂犬、野犬。</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（四）卫生部门负责人用狂犬病疫苗的供应、接种和病人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的诊治。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自然疫源地或者可能是自然疫源地的地区计划兴建大型建设项目时，建设单位在设计任务书批准后，应当向当地卫生防疫机构申请对施工环境进行卫生调查，并根据卫生防疫机构的意见采取必要的卫生防疫措施后，方可办理开工手续。</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兴建城市规划内的建设项目，属于在自然疫源地和可能是自然疫源地范围内的，城市规划主管部门在核发建设工程规划许可证明中．必须有卫生防疫部门提出的有关意见及结论。建设单位在施工过程中，必地采取预防传染病传播和扩散的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卫生防疫机构接到在自然疫源地和可能是自然疫源地范围内兴办大型建设项目的建设单位的卫生调查申请后，应当及时组成调查组到现场进行调查，并提出该地区自然环境中可能存在的传染病病种、流行范围、流行强度及预防措施等意见和结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在自然疫源地或者可能是自然疫源地内施工的建设单位，应当设立预防保健组织负责施工期间的卫生防疫工作。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凡在生产、工作中接触传染病病原体的工作人员，可以按照国家有关规定申领卫生防疫津贴。</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疫情报告</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执行职务的医疗保健人员、卫生防疫人员为责任疫情报告人。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责任疫情报告人应当按照本办法第三十五条规定的时限向卫生行政部门指定的卫生防疫机构报告疫情，并做疫情登记。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责任疫情报告人发现甲类传染病和乙类传染病中的艾滋病、肺炭疽的病人、病原携带者和疑似传染病病人时，城镇于六小时内，农村于十二小时内，以最快的通讯方式向发病地的卫生防疫机构报告，并同时报出传染病报告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责任疫情报告人发现乙类传染病病人、病原携带者和疑似传染病病人时，城镇于十二小时内，农村于二十四小时内向发病地的卫生防疫机构报出传染病报告卡。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责任疫情报告人在丙类传染病监测区内发现丙类传染病病人时，应当在二十四小时内向发病地的卫生防疫机构报出传染病报告卡。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传染病暴发、流行时，责任疫情报告人应当以最快的通讯方式向当地卫生防疫机构报告疫情。接到疫情报告的卫生防疫机构应当以最快的通讯方式报告上级卫生防疫机构和当地政府卫生行政部门，卫生行政部门接到报告后，应当立即报告当地政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省级政府卫生行政部门接到发现甲类传染病和发生传染病暴发、流行的报告后，应当于六小时内报告国务院卫生行政部门。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流动人员中的传染病病人、病原携带者和疑似传染病病人的传染病报告、处理由诊治地负责，其疫情登记、统计由户口所在地负责。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铁路、交通、民航、厂（场）矿的卫生防疫机构，应当定期向所在地卫生行政部门指定的卫生防疫机构报告疫情。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军队的传染病疫情，由中国人民解放军卫生主管部门根据军队有关规定向国务院卫生行政部门报告。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军队的医疗保健和卫生防疫机构，发现地方就诊的传染病病人、病原携带者、疑似传染病病人时，应当按照本办法第三十五条的规定报告疫清，并接受当地卫生防疫机构的业务指导。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国境口岸所在地卫生行政部门指定的卫生防疫机构和港口、机场、铁路卫生防疫机构和国境卫生检疫机关在发现国境卫生检疫法规定的检疫传染病时，应当互相通报疫情。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发现人畜共患传染病时，卫生防疫机构和畜牧兽医部门应当互相通报疫情。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各级政府卫生行政部门指定的卫生防疫机构应当对辖区内各类医疗保健机构的疫情登记报告和管理情况定期进行核实、检查、指导。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传染病报告卡片邮寄信封应当印有明显的“红十字”标志及写明ＸＸ卫生防疫机构收的字样。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邮电部门应当及时传递疫情报告的电话或者信卡，并实行邮资总付。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医务人员未经县级以上政府卫生行政部门批准，不得将就诊的淋病、梅毒、麻风病、艾滋病病人和艾滋病病原携带者及其家属的姓名、住址和个人病史公开。</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控制</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卫生防疫机构和医疗保健机构传染病的疫情处理实行分级分工管理。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艾滋病的监测管理按照国务院有关规定执行。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淋病、梅毒病人应当在医疗保健机构、卫生防疫机构接受治疗。尚未治愈前，不得进入公共浴池、游泳池。</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医疗保健机构或者卫生防疫机构在诊治中发现甲类传染病的疑似病人，应当在二日内作出明确诊断。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甲类传染病病人和病原携带者以及乙类传染病中的艾滋病、淋病、梅毒病人的密切接触者必须按照有关规定接受检疫、医学检查和防治措施。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前款以外的乙类传染病病人及病原携带者的密切接触者，应当接受医学检查和防治措施。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甲类传染病疑似病人或者病原携带者的密切接触者，经留验排除是病人或者病原携带者后，留验期间的工资福利待遇由所属单位按出勤照发。</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发现甲类传染病病人、病原携带者或者疑似病人的污染场所，卫生防疫机构接到疫情报告后，应立即进行严格的卫生处理。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地方各级政府卫生行政部门发现本地区发生从未有过的传染病或者国家已宣布消除的传染病时，应当立即采取措施，必要时，向当地政府报告。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在传染病暴发、流行区域，当地政府应当根据传染病疫情控制的需要，组织卫生、医药、公安、工商、交通、水利、城建、农业、商业、民政、邮电、广播电视等部门采取下列预防、控制措施：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（一）对病人进行抢救、隔离治疗；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（二）加强粪便管理，清除垃圾、污物；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（三）加强自来水和其他饮用水的管理，保护饮用水源；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（四）消除病媒昆虫、钉螺、鼠类及其他染疫动物；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（五）加强易使传染病传播扩散活动的卫生管理；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（六）开展防病知识的宣传；</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（七）组织对传染病病人、病原携带者、染疫动物密切接触人群的检疫、预防服药、应急接种等；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（八）供应用于预防和控制疫情所必需的药品、生物制品、消毒药品、器械等；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（九）保证居民生活必需品的供应。</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县级以上政府接到下一级政府关于采取《传染病防治法》第二十五条规定的紧急措施报告时，应当在二十四小时内做出决定。下一级政府在上一级政府作出决定前、必要时，可以临时采取《传染病防治法》第二十五条第一款第（一）、（四）项紧急措施，但不得超过二十四小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撤销采取《传染病防治法》第二十五条紧急措施的条件是：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（一）甲类传染病病人、病原携带者全部治愈，乙类传染病病人、病原携带者得到有效的隔离治疗；病人尸体得到严格消毒处理；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（二）污染的物品及环境已经过消毒等卫生处理，有关病媒昆虫、染疫动物基本消除；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（三）暴发、流行的传染病病种，经过最长潜伏期后，未发现新的传染病病人，疫情得到有效的控制。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因患鼠疫、霍乱和炭疽病死亡的病人尸体，由治疗病人的医疗单位负责消毒处理，处理后应当立即火化。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患病毒性肝炎、伤寒和副伤寒、艾滋病、白喉、炭疽、脊髓灰质炎死亡的病人尸体，由治疗病人的医疗单位或者当地卫生防疫机构消毒处理后火化。</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不具备火化条件的农村、边远地区，由治疗病人的医疗单位或者当地卫生防疫机构负责消毒后，可选远离居民点五百米以外、远离饮用水源五十米以外的地方，将尸体在距地面两米以下深埋。</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民族自治地方执行前款的规定，依照《传染病防治法》第二十八条第三款的规定办理。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医疗保健机构、卫生防疫机构经县级以上政府卫生行政部门的批准可以对传染病病人尸体或者疑似传染病病人的尸体进行解剖查验。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卫生防疫机构处理传染病疫情的人员，可以凭当地政府卫生行政部门出具的处理疫情证明及有效的身份证明，优先在铁路、交通、民航部门购票，铁路、交通、民航部门应当保证售给最近一次通往目的地的车、船、机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交付运输的处理疫情的物品应当有明显标志，铁路、交通、民航部门应当保证用最快通往目的地的交通工具运出。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用于传染病监督控制的车辆，其标志由国务院卫生行政部门会同有关部门统一制定。任何单位和个人不得阻拦依法执行处理疫情任务的车辆和人员。</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监督</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地方各级政府卫生行政部门、卫生防疫机构和受国务院卫生行政部门委托的其他有关部门卫生主管机构推荐的传染病管理监督员，由省级以上政府卫生行政部门聘任并发给证件。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省级政府卫生行政部门聘任的传染病管理监督员，报国务院卫生行政部门备案。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传染病管理监督员执行下列任务：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（一）监督检查《传染病防治法》及本办法的执行情况；</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（二）进行现场调查，包括采集必需的标本及查阅、索取、翻印复制必要的文字、图片、声像资料等，并根据调查情况写出书面报告；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（三）对违法单位或者个人提出处罚建议；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（四）执行卫生行政部门或者其他有关部门卫生主管机构交付的任务；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（五）及时提出预防和控制传染病措施的建议。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各级各类医疗保健机构内设立的传染病管理检查员，由本单位推荐，经县级以上政府卫生行政部门或受国务院卫生行政部门委托的其他部门卫生主管机构批准并发给证件。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传染病管理检查员执行下列任务：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（一）宣传《传染病防治法》及本办法，检查本单位和责任地段的传染病防治措施的实施和疫情报告执行情况；</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（二）对本单位和责任地段的传染病防治工作进行技术指导；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（三）执行卫生行政部门和卫生防疫机构对本单位及责任地段提出的改进传染病防治管理工作的意见；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（四）定期向卫生行政部门指定的卫生防度机构汇报工作情况，遇到紧急情况及时报告。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传染病管理监督员、传染病管理检查员执行任务时，有关单位和个人必须给予协助。</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第六十四条　</w:t>
      </w:r>
      <w:r>
        <w:rPr>
          <w:rFonts w:hint="eastAsia" w:ascii="宋体" w:hAnsi="宋体" w:cs="Arial"/>
          <w:kern w:val="0"/>
          <w:szCs w:val="32"/>
        </w:rPr>
        <w:t>传染病管理监督员的解聘和传染病管理检查员资格的取消，由原发证机关决定，并通知其所在单位和个人。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第六十五条　</w:t>
      </w:r>
      <w:r>
        <w:rPr>
          <w:rFonts w:hint="eastAsia" w:ascii="宋体" w:hAnsi="宋体" w:cs="Arial"/>
          <w:kern w:val="0"/>
          <w:szCs w:val="32"/>
        </w:rPr>
        <w:t>县级以上政府卫生行政部门和受国务院卫生行政部门委托的部门，可以成立传染病技术鉴定组织。</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第六十六条　</w:t>
      </w:r>
      <w:r>
        <w:rPr>
          <w:rFonts w:hint="eastAsia" w:ascii="宋体" w:hAnsi="宋体" w:cs="Arial"/>
          <w:kern w:val="0"/>
          <w:szCs w:val="32"/>
        </w:rPr>
        <w:t>有下列行为之一的，由县级以上政府卫生行政部门责令限期改正，可以处五千元以下的罚款；情节较严重的，可以处五千元以上二万元以下的罚款，对主管人员和直接责任人员由其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（一）集中式供水单位供应的饮用水不符合国家规定的《生活饮用水卫生标准》的；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（二）单位自备水源未经批准与城镇供水系统连接的；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（三）未按城市环境卫生设施标准修建公共卫生设施致使垃圾、粪便、污水不能进行无害化处理的；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（四）对被传染病病原体污染的污水、污物、粪便不按规定进行消毒处理的；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（五）对被甲类和乙类传染病病人、病原携带者、疑似传染病病人污染的场所、物品未按照卫生防疫机构的要求实施必要的卫生处理的；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（六）造成传染病的医原性感染、医院内感染、实验室感染和致病性微生物扩散的；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（七）生产、经营、使用消毒药剂和消毒器械、卫生用品、卫生材料、一次性医疗器材、隐形眼镜、人造器官等不符合国家卫生标准，可能造成传染病的传播、扩散或者造成传染病的传播、扩散的；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（八）准许或者纵容传染病病人、病原携带者和疑似传染病病人，从事国务院卫生行政部门规定禁止从事的易使该传染病扩散的工作的；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（九）传染病病人、病原携带者故意传播传染病，造成他人感染的；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（十）甲类传染病病人、病原携带者或者疑似传染病病人，乙类传染病中艾滋病、肺炭疽病人拒绝进行隔离治疗的；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（十一）招用流动人员的用工单位，未向卫生防疫机构报告并未采取卫生措施，造成传染病传播、流行的；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（十二）违章养犬或者拒绝、阻挠捕杀违章犬，造成咬伤他人或者导致人群中发生狂犬病的。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前款所称情节较严重的，是指下列情形之一：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（一）造成甲类传染病、艾滋病、肺炭疽传播危险的；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（二）造成除艾滋病、肺炭疽之外的乙、丙类传染病暴发、流行的；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（三）造成传染病菌（毒）种扩散的；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（四）造成病人残疾、死亡的；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（五）拒绝执行《传染病防治法》及本办法的规定，屡经教育仍继续违法的；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第六十七条　</w:t>
      </w:r>
      <w:r>
        <w:rPr>
          <w:rFonts w:hint="eastAsia" w:ascii="宋体" w:hAnsi="宋体" w:cs="Arial"/>
          <w:kern w:val="0"/>
          <w:szCs w:val="32"/>
        </w:rPr>
        <w:t>在自然疫源地和可能是自然疫源地的地区兴建大型建设项目未经卫生调查即进行施工的，由县级以上政府卫生行政部门责令限期改正，可以处二千元以上二万元以下的罚款。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第六十八条　</w:t>
      </w:r>
      <w:r>
        <w:rPr>
          <w:rFonts w:hint="eastAsia" w:ascii="宋体" w:hAnsi="宋体" w:cs="Arial"/>
          <w:kern w:val="0"/>
          <w:szCs w:val="32"/>
        </w:rPr>
        <w:t>单位和个人出售、运输被传染病病原体污染和来自疫区可能被传染病病原体污染的皮毛、旧衣物及生活用品的，由县级以上政府卫生行政部门责令限期进行卫生处理，可以处出售金额一倍以下的罚款；造成传染病流行的，根据情节，可以处相当出售金额三倍以下的罚款，危害严重，出售金额不满二千元的，以二千元计算；对主管人员和直接责任人员由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第六十九条　</w:t>
      </w:r>
      <w:r>
        <w:rPr>
          <w:rFonts w:hint="eastAsia" w:ascii="宋体" w:hAnsi="宋体" w:cs="Arial"/>
          <w:kern w:val="0"/>
          <w:szCs w:val="32"/>
        </w:rPr>
        <w:t>单位和个人非法经营、出售用于预防传染病菌苗、疫苗等生物制品的，县级以上政府卫生行政部门可以处相当出售金额三倍以下的罚款，危害严重，出售金额不满五千元的，以五千元计算；对主管人员和直接责任人员由所在单位或者上级机关根据情节，可以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第七十条　</w:t>
      </w:r>
      <w:r>
        <w:rPr>
          <w:rFonts w:hint="eastAsia" w:ascii="宋体" w:hAnsi="宋体" w:cs="Arial"/>
          <w:kern w:val="0"/>
          <w:szCs w:val="32"/>
        </w:rPr>
        <w:t>有下列行为之一的单位和个人，县级以上政府卫生行政部门报请同级政府批准，对单位予以通报批评；对主管人员和直接责任人员由所在单位或者上级机关给予行政处分：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（一）传染病暴发、流行时，妨碍或者拒绝执行政府采取紧急措施的；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（二）传染病暴发、流行时，医疗保健人员、卫生防疫人员拒绝执行各级政府卫生行政部门调集其参加控制疫情的决定的；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（三）对控制传染病暴发、流行负有责任的部门拒绝执行政府有关控制疫情决定的；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（四）无故阻止和拦截依法执行处理疫情任务的车辆和人员的。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第七十一条　</w:t>
      </w:r>
      <w:r>
        <w:rPr>
          <w:rFonts w:hint="eastAsia" w:ascii="宋体" w:hAnsi="宋体" w:cs="Arial"/>
          <w:kern w:val="0"/>
          <w:szCs w:val="32"/>
        </w:rPr>
        <w:t>执行职务的医疗保健人员、卫生防疫人员和责任单位，不报、漏报、迟报传染病疫情的，由县级以上政府卫生行政部门责令限期改正，对主管人员和直接责任人员由其所在单位或者上级机关根据情节，可以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个体行医人员在执行职务时，不报、漏报、迟报传染病疫情的，由县级以上政府卫生行政部门责令限期改正，限期内不改的，可以处一百元以上五百元以下罚款；对造成传染病传播流行的，可以处二百元以上二千元以下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第七十二条　</w:t>
      </w:r>
      <w:r>
        <w:rPr>
          <w:rFonts w:hint="eastAsia" w:ascii="宋体" w:hAnsi="宋体" w:cs="Arial"/>
          <w:kern w:val="0"/>
          <w:szCs w:val="32"/>
        </w:rPr>
        <w:t>县级政府卫生行政部门可以作出处一万元以下罚款的决定；决定处一万元以上罚款的，须报上一级政府卫生行政部门批准。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受国务院卫生行政部门委托的有关部门卫生主管机构可以作出处二千元以下罚款的决定；决定处二千元以上罚款的，须报当地县级以上政府卫生行政部门批准。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县级以上政府卫生行政部门在收取罚款时，应当出具正式的罚款收据。罚款全部上缴国库。</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第七十三条　</w:t>
      </w:r>
      <w:r>
        <w:rPr>
          <w:rFonts w:hint="eastAsia" w:ascii="宋体" w:hAnsi="宋体" w:cs="Arial"/>
          <w:kern w:val="0"/>
          <w:szCs w:val="32"/>
        </w:rPr>
        <w:t>《传染病防治法》及本办法的用语含义如下：</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传染病病人、疑似传染病病人：指根据国务院卫生行政部门发布的《中华人民共和国传染病防治法规定管理的传染病诊断标准》，符合传染病病人和疑似传染病病人诊断标准的人。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病原携带者：指感染病原体无临床症状但能排出病原体的人。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暴发：指在一个局部地区，短期内，突然发生多例同一种传染病病人。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流行：指一个地区某种传染病发病率显著超过该病历年的一般发病率水平。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重大传染病疫情：指《传染病防治法》第二十五条所称的传染病的暴发、流行。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传染病监测：指对人群传染病的发生、流行及影响因素进行有计划地、系统地长期观察。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疫区：指传染病在人群中暴发或者流行，其病原体向周围传播时可能波及的地区。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人畜共患传染病：指鼠疫、流行性出血热、狂犬病、钩端螺旋体病、布鲁氏菌病、炭疽、流行性乙型脑炎、黑热病、包虫病、血吸虫病。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自然疫源地：指某些传染病的病原体在自然界的野生动物中长期保存并造成动物间流行的地区。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可能是自然疫源地：指在自然界中具有自然疫源性疾病存在的传染源和传播媒介，但尚未查明的地区。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医源性感染：指在医学服务中，因病原体传播引起的感染。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医院内感染：指就诊患者在医疗保健机构内受到的感染。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实验室感染：指从事实验室工作时，因接触病原体所致的感染。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消毒：指用化学、物理、生物的方法杀灭或者消除环境中的致病性微生物。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卫生处理：棺消毒、杀虫、灭鼠等卫生措施以及隔离、留验、就地检验等医学措施。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卫生防疫机构：指卫生防疫站、结核病防治研究所（院）、寄生虫病防治研究所（站）、血吸虫病防治研究所（站）、皮肤病性病防治研究所（站）、地方病防治研究所（站）、鼠疫防治站（所）、乡镇预防保健站（所）及与上述机构专业相同的单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医疗保健机构：指医院、卫生院（所）、门诊部（所）、疗养院（所）、妇幼保健院（站）及与上述机构业务活动相同的单位。</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第七十四条　</w:t>
      </w:r>
      <w:r>
        <w:rPr>
          <w:rFonts w:hint="eastAsia" w:ascii="宋体" w:hAnsi="宋体" w:cs="Arial"/>
          <w:kern w:val="0"/>
          <w:szCs w:val="32"/>
        </w:rPr>
        <w:t>省、自治区、直辖市政府可以根据《传染病防治法》和本办法制定实施细则。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第七十五条　</w:t>
      </w:r>
      <w:r>
        <w:rPr>
          <w:rFonts w:hint="eastAsia" w:ascii="宋体" w:hAnsi="宋体" w:cs="Arial"/>
          <w:kern w:val="0"/>
          <w:szCs w:val="32"/>
        </w:rPr>
        <w:t>本办法由国务院卫生行政部门负责解释。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第七十六条　</w:t>
      </w:r>
      <w:r>
        <w:rPr>
          <w:rFonts w:hint="eastAsia" w:ascii="宋体" w:hAnsi="宋体" w:cs="Arial"/>
          <w:kern w:val="0"/>
          <w:szCs w:val="32"/>
        </w:rPr>
        <w:t>本办法自发布之日起施行。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宋体"/>
          <w:kern w:val="0"/>
          <w:sz w:val="44"/>
          <w:szCs w:val="44"/>
        </w:rPr>
      </w:pPr>
      <w:bookmarkStart w:id="223" w:name="_Toc18525"/>
      <w:r>
        <w:rPr>
          <w:rFonts w:hint="eastAsia" w:ascii="宋体" w:hAnsi="宋体" w:eastAsia="宋体" w:cs="宋体"/>
          <w:kern w:val="0"/>
          <w:sz w:val="44"/>
          <w:szCs w:val="44"/>
        </w:rPr>
        <w:t>疫苗流通和预防接种管理条例</w:t>
      </w:r>
      <w:bookmarkEnd w:id="223"/>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r>
        <w:rPr>
          <w:rFonts w:hint="eastAsia" w:ascii="宋体" w:hAnsi="宋体" w:eastAsia="楷体_GB2312" w:cs="Arial"/>
          <w:szCs w:val="32"/>
        </w:rPr>
        <w:t>（2005年3月24日中华人民共和国国务院令第434号公布　根据2016年4月23日国务院令第668号《国务院关于修改〈疫苗流通和预防接种管理条例〉的决定》修订）</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第一条</w:t>
      </w:r>
      <w:r>
        <w:rPr>
          <w:rFonts w:hint="eastAsia" w:ascii="宋体" w:hAnsi="宋体" w:cs="Arial"/>
          <w:kern w:val="0"/>
          <w:szCs w:val="32"/>
        </w:rPr>
        <w:t xml:space="preserve"> 为了加强对疫苗流通和预防接种的管理，预防、控制传染病的发生、流行，保障人体健康和公共卫生，根据《中华人民共和国药品管理法》（以下简称药品管理法）和《中华人民共和国传染病防治法》（以下简称传染病防治法），制定本条例。</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第二条</w:t>
      </w:r>
      <w:r>
        <w:rPr>
          <w:rFonts w:hint="eastAsia" w:ascii="宋体" w:hAnsi="宋体" w:cs="Arial"/>
          <w:kern w:val="0"/>
          <w:szCs w:val="32"/>
        </w:rPr>
        <w:t xml:space="preserve"> 本条例所称疫苗，是指为了预防、控制传染病的发生、流行，用于人体预防接种的疫苗类预防性生物制品。</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分为两类。第一类疫苗，是指政府免费向公民提供，公民应当依照政府的规定受种的疫苗，包括国家免疫规划确定的疫苗，省、自治区、直辖市人民政府在执行国家免疫规划时增加的疫苗，以及县级以上人民政府或者其卫生主管部门组织的应急接种或者群体性预防接种所使用的疫苗；第二类疫苗，是指由公民自费并且自愿受种的其他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第三条</w:t>
      </w:r>
      <w:r>
        <w:rPr>
          <w:rFonts w:hint="eastAsia" w:ascii="宋体" w:hAnsi="宋体" w:cs="Arial"/>
          <w:kern w:val="0"/>
          <w:szCs w:val="32"/>
        </w:rPr>
        <w:t xml:space="preserve"> 接种第一类疫苗由政府承担费用。接种第二类疫苗由受种者或者其监护人承担费用。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第四条</w:t>
      </w:r>
      <w:r>
        <w:rPr>
          <w:rFonts w:hint="eastAsia" w:ascii="宋体" w:hAnsi="宋体" w:cs="Arial"/>
          <w:kern w:val="0"/>
          <w:szCs w:val="32"/>
        </w:rPr>
        <w:t xml:space="preserve"> 疫苗的流通、预防接种及其监督管理适用本条例。</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第五条</w:t>
      </w:r>
      <w:r>
        <w:rPr>
          <w:rFonts w:hint="eastAsia" w:ascii="宋体" w:hAnsi="宋体" w:cs="Arial"/>
          <w:kern w:val="0"/>
          <w:szCs w:val="32"/>
        </w:rPr>
        <w:t xml:space="preserve"> 国务院卫生主管部门根据全国范围内的传染病流行情况、人群免疫状况等因素，制定国家免疫规划；会同国务院财政部门拟订纳入国家免疫规划的疫苗种类，报国务院批准后公布。</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省、自治区、直辖市人民政府在执行国家免疫规划时，根据本行政区域的传染病流行情况、人群免疫状况等因素，可以增加免费向公民提供的疫苗种类，并报国务院卫生主管部门备案。</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第六条</w:t>
      </w:r>
      <w:r>
        <w:rPr>
          <w:rFonts w:hint="eastAsia" w:ascii="宋体" w:hAnsi="宋体" w:cs="Arial"/>
          <w:kern w:val="0"/>
          <w:szCs w:val="32"/>
        </w:rPr>
        <w:t xml:space="preserve"> 国家实行有计划的预防接种制度，推行扩大免疫规划。</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需要接种第一类疫苗的受种者应当依照本条例规定受种；受种者为未成年人的，其监护人应当配合有关的疾病预防控制机构和医疗机构等医疗卫生机构，保证受种者及时受种。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第七条</w:t>
      </w:r>
      <w:r>
        <w:rPr>
          <w:rFonts w:hint="eastAsia" w:ascii="宋体" w:hAnsi="宋体" w:cs="Arial"/>
          <w:kern w:val="0"/>
          <w:szCs w:val="32"/>
        </w:rPr>
        <w:t xml:space="preserve"> 国务院卫生主管部门负责全国预防接种的监督管理工作。县级以上地方人民政府卫生主管部门负责本行政区域内预防接种的监督管理工作。</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国务院药品监督管理部门负责全国疫苗的质量和流通的监督管理工作。省、自治区、直辖市人民政府药品监督管理部门负责本行政区域内疫苗的质量和流通的监督管理工作。</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第八条</w:t>
      </w:r>
      <w:r>
        <w:rPr>
          <w:rFonts w:hint="eastAsia" w:ascii="宋体" w:hAnsi="宋体" w:cs="Arial"/>
          <w:kern w:val="0"/>
          <w:szCs w:val="32"/>
        </w:rPr>
        <w:t xml:space="preserve"> 经县级人民政府卫生主管部门依照本条例规定指定的医疗卫生机构（以下称接种单位），承担预防接种工作。县级人民政府卫生主管部门指定接种单位时，应当明确其责任区域。</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县级以上人民政府应当对承担预防接种工作并作出显著成绩和贡献的接种单位及其工作人员给予奖励。</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第九条</w:t>
      </w:r>
      <w:r>
        <w:rPr>
          <w:rFonts w:hint="eastAsia" w:ascii="宋体" w:hAnsi="宋体" w:cs="Arial"/>
          <w:kern w:val="0"/>
          <w:szCs w:val="32"/>
        </w:rPr>
        <w:t xml:space="preserve"> 国家支持、鼓励单位和个人参与预防接种工作。各级人民政府应当完善有关制度，方便单位和个人参与预防接种工作的宣传、教育和捐赠等活动。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居民委员会、村民委员会应当配合有关部门开展与预防接种有关的宣传、教育工作，并协助组织居民、村民受种第一类疫苗。</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第二章　疫苗流通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第十条</w:t>
      </w:r>
      <w:r>
        <w:rPr>
          <w:rFonts w:hint="eastAsia" w:ascii="宋体" w:hAnsi="宋体" w:cs="Arial"/>
          <w:kern w:val="0"/>
          <w:szCs w:val="32"/>
        </w:rPr>
        <w:t xml:space="preserve"> 采购疫苗，应当通过省级公共资源交易平台进行。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 xml:space="preserve">第十一条 </w:t>
      </w:r>
      <w:r>
        <w:rPr>
          <w:rFonts w:hint="eastAsia" w:ascii="宋体" w:hAnsi="宋体" w:cs="Arial"/>
          <w:kern w:val="0"/>
          <w:szCs w:val="32"/>
        </w:rPr>
        <w:t>省级疾病预防控制机构应当根据国家免疫规划和本地区预防、控制传染病的发生、流行的需要，制定本地区第一类疫苗的使用计划（以下称使用计划），并向依照国家有关规定负责采购第一类疫苗的部门报告，同时报同级人民政府卫生主管部门备案。使用计划应当包括疫苗的品种、数量、供应渠道与供应方式等内容。</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第十二条</w:t>
      </w:r>
      <w:r>
        <w:rPr>
          <w:rFonts w:hint="eastAsia" w:ascii="宋体" w:hAnsi="宋体" w:cs="Arial"/>
          <w:kern w:val="0"/>
          <w:szCs w:val="32"/>
        </w:rPr>
        <w:t xml:space="preserve"> 依照国家有关规定负责采购第一类疫苗的部门应当依法与疫苗生产企业签订政府采购合同，约定疫苗的品种、数量、价格等内容。</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第十三条</w:t>
      </w:r>
      <w:r>
        <w:rPr>
          <w:rFonts w:hint="eastAsia" w:ascii="宋体" w:hAnsi="宋体" w:cs="Arial"/>
          <w:kern w:val="0"/>
          <w:szCs w:val="32"/>
        </w:rPr>
        <w:t xml:space="preserve"> 疫苗生产企业应当按照政府采购合同的约定，向省级疾病预防控制机构或者其指定的其他疾病预防控制机构供应第一类疫苗，不得向其他单位或者个人供应。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应当在其供应的纳入国家免疫规划疫苗的最小外包装的显著位置，标明“免费”字样以及国务院卫生主管部门规定的“免疫规划”专用标识。具体管理办法由国务院药品监督管理部门会同国务院卫生主管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第十四条</w:t>
      </w:r>
      <w:r>
        <w:rPr>
          <w:rFonts w:hint="eastAsia" w:ascii="宋体" w:hAnsi="宋体" w:cs="Arial"/>
          <w:kern w:val="0"/>
          <w:szCs w:val="32"/>
        </w:rPr>
        <w:t xml:space="preserve"> 省级疾病预防控制机构应当做好分发第一类疫苗的组织工作，并按照使用计划将第一类疫苗组织分发到设区的市级疾病预防控制机构或者县级疾病预防控制机构。县级疾病预防控制机构应当按照使用计划将第一类疫苗分发到接种单位和乡级医疗卫生机构。乡级医疗卫生机构应当将第一类疫苗分发到承担预防接种工作的村医疗卫生机构。医疗卫生机构不得向其他单位或者个人分发第一类疫苗；分发第一类疫苗，不得收取任何费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传染病暴发、流行时，县级以上地方人民政府或者其卫生主管部门需要采取应急接种措施的，设区的市级以上疾病预防控制机构可以直接向接种单位分发第一类疫苗。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第十五条</w:t>
      </w:r>
      <w:r>
        <w:rPr>
          <w:rFonts w:hint="eastAsia" w:ascii="宋体" w:hAnsi="宋体" w:cs="Arial"/>
          <w:kern w:val="0"/>
          <w:szCs w:val="32"/>
        </w:rPr>
        <w:t xml:space="preserve"> 第二类疫苗由省级疾病预防控制机构组织在省级公共资源交易平台集中采购，由县级疾病预防控制机构向疫苗生产企业采购后供应给本行政区域的接种单位。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疫苗生产企业应当直接向县级疾病预防控制机构配送第二类疫苗，或者委托具备冷链储存、运输条件的企业配送。接受委托配送第二类疫苗的企业不得委托配送。</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县级疾病预防控制机构向接种单位供应第二类疫苗可以收取疫苗费用以及储存、运输费用。疫苗费用按照采购价格收取，储存、运输费用按照省、自治区、直辖市的规定收取。收费情况应当向社会公开。</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第十六条</w:t>
      </w:r>
      <w:r>
        <w:rPr>
          <w:rFonts w:hint="eastAsia" w:ascii="宋体" w:hAnsi="宋体" w:cs="Arial"/>
          <w:kern w:val="0"/>
          <w:szCs w:val="32"/>
        </w:rPr>
        <w:t xml:space="preserve"> 疾病预防控制机构、接种单位、疫苗生产企业、接受委托配送疫苗的企业应当遵守疫苗储存、运输管理规范，保证疫苗质量。疫苗储存、运输的全过程应当始终处于规定的温度环境，不得脱离冷链，并定时监测、记录温度。对于冷链运输时间长、需要配送至偏远地区的疫苗，省级疾病预防控制机构应当提出加贴温度控制标签的要求。</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疫苗储存、运输管理的相关规范由国务院卫生主管部门、药品监督管理部门制定。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第十七条</w:t>
      </w:r>
      <w:r>
        <w:rPr>
          <w:rFonts w:hint="eastAsia" w:ascii="宋体" w:hAnsi="宋体" w:cs="Arial"/>
          <w:kern w:val="0"/>
          <w:szCs w:val="32"/>
        </w:rPr>
        <w:t xml:space="preserve"> 疫苗生产企业在销售疫苗时，应当提供由药品检验机构依法签发的生物制品每批检验合格或者审核批准证明复印件，并加盖企业印章；销售进口疫苗的，还应当提供进口药品通关单复印件，并加盖企业印章。</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疾病预防控制机构、接种单位在接收或者购进疫苗时，应当向疫苗生产企业索取前款规定的证明文件，并保存至超过疫苗有效期2年备查。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第十八条</w:t>
      </w:r>
      <w:r>
        <w:rPr>
          <w:rFonts w:hint="eastAsia" w:ascii="宋体" w:hAnsi="宋体" w:cs="Arial"/>
          <w:kern w:val="0"/>
          <w:szCs w:val="32"/>
        </w:rPr>
        <w:t xml:space="preserve"> 疫苗生产企业应当依照药品管理法和国务院药品监督管理部门的规定，建立真实、完整的销售记录，并保存至超过疫苗有效期2年备查。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应当依照国务院卫生主管部门的规定，建立真实、完整的购进、储存、分发、供应记录，做到票、账、货、款一致，并保存至超过疫苗有效期2年备查。疾病预防控制机构接收或者购进疫苗时应当索要疫苗储存、运输全过程的温度监测记录；对不能提供全过程温度监测记录或者温度控制不符合要求的，不得接收或者购进，并应当立即向药品监督管理部门、卫生主管部门报告。</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第三章　疫苗接种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第十九条</w:t>
      </w:r>
      <w:r>
        <w:rPr>
          <w:rFonts w:hint="eastAsia" w:ascii="宋体" w:hAnsi="宋体" w:cs="Arial"/>
          <w:kern w:val="0"/>
          <w:szCs w:val="32"/>
        </w:rPr>
        <w:t xml:space="preserve"> 国务院卫生主管部门应当制定、公布预防接种工作规范，并根据疫苗的国家标准，结合传染病流行病学调查信息，制定、公布纳入国家免疫规划疫苗的免疫程序和其他疫苗的免疫程序或者使用指导原则。</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省、自治区、直辖市人民政府卫生主管部门应当根据国务院卫生主管部门制定的免疫程序、疫苗使用指导原则，结合本行政区域的传染病流行情况，制定本行政区域的接种方案，并报国务院卫生主管部门备案。</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第二十条</w:t>
      </w:r>
      <w:r>
        <w:rPr>
          <w:rFonts w:hint="eastAsia" w:ascii="宋体" w:hAnsi="宋体" w:cs="Arial"/>
          <w:kern w:val="0"/>
          <w:szCs w:val="32"/>
        </w:rPr>
        <w:t xml:space="preserve"> 各级疾病预防控制机构依照各自职责，根据国家免疫规划或者接种方案，开展与预防接种相关的宣传、培训、技术指导、监测、评价、流行病学调查、应急处置等工作，并依照国务院卫生主管部门的规定作好记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第二十一条</w:t>
      </w:r>
      <w:r>
        <w:rPr>
          <w:rFonts w:hint="eastAsia" w:ascii="宋体" w:hAnsi="宋体" w:cs="Arial"/>
          <w:kern w:val="0"/>
          <w:szCs w:val="32"/>
        </w:rPr>
        <w:t xml:space="preserve"> 接种单位应当具备下列条件：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（一）具有医疗机构执业许可证件；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（二）具有经过县级人民政府卫生主管部门组织的预防接种专业培训并考核合格的执业医师、执业助理医师、护士或者乡村医生；</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（三）具有符合疫苗储存、运输管理规范的冷藏设施、设备和冷藏保管制度。</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承担预防接种工作的城镇医疗卫生机构，应当设立预防接种门诊。</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第二十二条</w:t>
      </w:r>
      <w:r>
        <w:rPr>
          <w:rFonts w:hint="eastAsia" w:ascii="宋体" w:hAnsi="宋体" w:cs="Arial"/>
          <w:kern w:val="0"/>
          <w:szCs w:val="32"/>
        </w:rPr>
        <w:t xml:space="preserve"> 接种单位应当承担责任区域内的预防接种工作，并接受所在地的县级疾病预防控制机构的技术指导。</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第二十三条</w:t>
      </w:r>
      <w:r>
        <w:rPr>
          <w:rFonts w:hint="eastAsia" w:ascii="宋体" w:hAnsi="宋体" w:cs="Arial"/>
          <w:kern w:val="0"/>
          <w:szCs w:val="32"/>
        </w:rPr>
        <w:t xml:space="preserve"> 接种单位接收第一类疫苗或者购进第二类疫苗，应当索要疫苗储存、运输全过程的温度监测记录，建立并保存真实、完整的接收、购进记录，做到票、账、货、款一致。对不能提供全过程温度监测记录或者温度控制不符合要求的，接种单位不得接收或者购进，并应当立即向所在地县级人民政府药品监督管理部门、卫生主管部门报告。</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接种单位应当根据预防接种工作的需要，制定第一类疫苗的需求计划和第二类疫苗的购买计划，并向县级人民政府卫生主管部门和县级疾病预防控制机构报告。</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第二十四条</w:t>
      </w:r>
      <w:r>
        <w:rPr>
          <w:rFonts w:hint="eastAsia" w:ascii="宋体" w:hAnsi="宋体" w:cs="Arial"/>
          <w:kern w:val="0"/>
          <w:szCs w:val="32"/>
        </w:rPr>
        <w:t xml:space="preserve"> 接种单位接种疫苗，应当遵守预防接种工作规范、免疫程序、疫苗使用指导原则和接种方案，并在其接种场所的显著位置公示第一类疫苗的品种和接种方法。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第二十五条</w:t>
      </w:r>
      <w:r>
        <w:rPr>
          <w:rFonts w:hint="eastAsia" w:ascii="宋体" w:hAnsi="宋体" w:cs="Arial"/>
          <w:kern w:val="0"/>
          <w:szCs w:val="32"/>
        </w:rPr>
        <w:t xml:space="preserve"> 医疗卫生人员在实施接种前，应当告知受种者或者其监护人所接种疫苗的品种、作用、禁忌、不良反应以及注意事项，询问受种者的健康状况以及是否有接种禁忌等情况，并如实记录告知和询问情况。受种者或者其监护人应当了解预防接种的相关知识，并如实提供受种者的健康状况和接种禁忌等情况。</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医疗卫生人员应当对符合接种条件的受种者实施接种，并依照国务院卫生主管部门的规定，记录疫苗的品种、生产企业、最小包装单位的识别信息、有效期、接种时间、实施接种的医疗卫生人员、受种者等内容。接种记录保存时间不得少于5年。</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对于因有接种禁忌而不能接种的受种者，医疗卫生人员应当对受种者或者其监护人提出医学建议。</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第二十六条</w:t>
      </w:r>
      <w:r>
        <w:rPr>
          <w:rFonts w:hint="eastAsia" w:ascii="宋体" w:hAnsi="宋体" w:cs="Arial"/>
          <w:kern w:val="0"/>
          <w:szCs w:val="32"/>
        </w:rPr>
        <w:t xml:space="preserve"> 国家对儿童实行预防接种证制度。在儿童出生后1个月内，其监护人应当到儿童居住地承担预防接种工作的接种单位为其办理预防接种证。接种单位对儿童实施接种时，应当查验预防接种证，并作好记录。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儿童离开原居住地期间，由现居住地承担预防接种工作的接种单位负责对其实施接种。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预防接种证的格式由省、自治区、直辖市人民政府卫生主管部门制定。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第二十七条</w:t>
      </w:r>
      <w:r>
        <w:rPr>
          <w:rFonts w:hint="eastAsia" w:ascii="宋体" w:hAnsi="宋体" w:cs="Arial"/>
          <w:kern w:val="0"/>
          <w:szCs w:val="32"/>
        </w:rPr>
        <w:t xml:space="preserve"> 儿童入托、入学时，托幼机构、学校应当查验预防接种证，发现未依照国家免疫规划受种的儿童，应当向所在地的县级疾病预防控制机构或者儿童居住地承担预防接种工作的接种单位报告，并配合疾病预防控制机构或者接种单位督促其监护人在儿童入托、入学后及时到接种单位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第二十八条</w:t>
      </w:r>
      <w:r>
        <w:rPr>
          <w:rFonts w:hint="eastAsia" w:ascii="宋体" w:hAnsi="宋体" w:cs="Arial"/>
          <w:kern w:val="0"/>
          <w:szCs w:val="32"/>
        </w:rPr>
        <w:t xml:space="preserve"> 接种单位应当按照国家免疫规划对居住在其责任区域内需要接种第一类疫苗的受种者接种，并达到国家免疫规划所要求的接种率。</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疾病预防控制机构应当及时向接种单位分发第一类疫苗。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受种者或者其监护人要求自费选择接种第一类疫苗的同品种疫苗的，提供服务的接种单位应当告知费用承担、异常反应补偿方式以及本条例第二十五条规定的有关内容。</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第二十九条</w:t>
      </w:r>
      <w:r>
        <w:rPr>
          <w:rFonts w:hint="eastAsia" w:ascii="宋体" w:hAnsi="宋体" w:cs="Arial"/>
          <w:kern w:val="0"/>
          <w:szCs w:val="32"/>
        </w:rPr>
        <w:t xml:space="preserve"> 接种单位应当依照国务院卫生主管部门的规定对接种情况进行登记，并向所在地的县级人民政府卫生主管部门和县级疾病预防控制机构报告。接种单位在完成国家免疫规划后剩余第一类疫苗的，应当向原疫苗分发单位报告，并说明理由。</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第三十条</w:t>
      </w:r>
      <w:r>
        <w:rPr>
          <w:rFonts w:hint="eastAsia" w:ascii="宋体" w:hAnsi="宋体" w:cs="Arial"/>
          <w:kern w:val="0"/>
          <w:szCs w:val="32"/>
        </w:rPr>
        <w:t xml:space="preserve"> 接种单位接种第一类疫苗不得收取任何费用。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接种单位接种第二类疫苗可以收取服务费、接种耗材费，具体收费标准由所在地的省、自治区、直辖市人民政府价格主管部门核定。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第三十一条</w:t>
      </w:r>
      <w:r>
        <w:rPr>
          <w:rFonts w:hint="eastAsia" w:ascii="宋体" w:hAnsi="宋体" w:cs="Arial"/>
          <w:kern w:val="0"/>
          <w:szCs w:val="32"/>
        </w:rPr>
        <w:t xml:space="preserve"> 县级以上地方人民政府卫生主管部门根据传染病监测和预警信息，为了预防、控制传染病的暴发、流行，需要在本行政区域内部分地区进行群体性预防接种的，应当报经本级人民政府决定，并向省、自治区、直辖市人民政府卫生主管部门备案；需要在省、自治区、直辖市行政区域全部范围内进行群体性预防接种的，应当由省、自治区、直辖市人民政府卫生主管部门报经本级人民政府决定，并向国务院卫生主管部门备案。需要在全国范围或者跨省、自治区、直辖市范围内进行群体性预防接种的，应当由国务院卫生主管部门决定。作出批准决定的人民政府或者国务院卫生主管部门应当组织有关部门做好人员培训、宣传教育、物资调用等工作。</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任何单位或者个人不得擅自进行群体性预防接种。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第三十二条</w:t>
      </w:r>
      <w:r>
        <w:rPr>
          <w:rFonts w:hint="eastAsia" w:ascii="宋体" w:hAnsi="宋体" w:cs="Arial"/>
          <w:kern w:val="0"/>
          <w:szCs w:val="32"/>
        </w:rPr>
        <w:t xml:space="preserve"> 传染病暴发、流行时，县级以上地方人民政府或者其卫生主管部门需要采取应急接种措施的，依照传染病防治法和《突发公共卫生事件应急条例》的规定执行。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第三十三条</w:t>
      </w:r>
      <w:r>
        <w:rPr>
          <w:rFonts w:hint="eastAsia" w:ascii="宋体" w:hAnsi="宋体" w:cs="Arial"/>
          <w:kern w:val="0"/>
          <w:szCs w:val="32"/>
        </w:rPr>
        <w:t xml:space="preserve"> 国务院卫生主管部门或者省、自治区、直辖市人民政府卫生主管部门可以根据传染病监测和预警信息发布接种第二类疫苗的建议信息，其他任何单位和个人不得发布。</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接种第二类疫苗的建议信息应当包含所针对传染病的防治知识、相关的接种方案等内容，但不得涉及具体的疫苗生产企业。</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第四章　保障措施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第三十四条</w:t>
      </w:r>
      <w:r>
        <w:rPr>
          <w:rFonts w:hint="eastAsia" w:ascii="宋体" w:hAnsi="宋体" w:cs="Arial"/>
          <w:kern w:val="0"/>
          <w:szCs w:val="32"/>
        </w:rPr>
        <w:t xml:space="preserve"> 县级以上人民政府应当将与国家免疫规划有关的预防接种工作纳入本行政区域的国民经济和社会发展计划，对预防接种工作所需经费予以保障，保证达到国家免疫规划所要求的接种率，确保国家免疫规划的实施。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第三十五条</w:t>
      </w:r>
      <w:r>
        <w:rPr>
          <w:rFonts w:hint="eastAsia" w:ascii="宋体" w:hAnsi="宋体" w:cs="Arial"/>
          <w:kern w:val="0"/>
          <w:szCs w:val="32"/>
        </w:rPr>
        <w:t xml:space="preserve"> 省、自治区、直辖市人民政府根据本行政区域传染病流行趋势，在国务院卫生主管部门确定的传染病预防、控制项目范围内，确定本行政区域与预防接种相关的项目，并保证项目的实施。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第三十六条</w:t>
      </w:r>
      <w:r>
        <w:rPr>
          <w:rFonts w:hint="eastAsia" w:ascii="宋体" w:hAnsi="宋体" w:cs="Arial"/>
          <w:kern w:val="0"/>
          <w:szCs w:val="32"/>
        </w:rPr>
        <w:t xml:space="preserve"> 省、自治区、直辖市人民政府应当对购买、运输第一类疫苗所需经费予以保障，并保证本行政区域内疾病预防控制机构和接种单位冷链系统的建设、运转。</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国家根据需要对贫困地区的预防接种工作给予适当支持。</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第三十七条</w:t>
      </w:r>
      <w:r>
        <w:rPr>
          <w:rFonts w:hint="eastAsia" w:ascii="宋体" w:hAnsi="宋体" w:cs="Arial"/>
          <w:kern w:val="0"/>
          <w:szCs w:val="32"/>
        </w:rPr>
        <w:t xml:space="preserve"> 县级人民政府应当保证实施国家免疫规划的预防接种所需经费，并依照国家有关规定对从事预防接种工作的乡村医生和其他基层预防保健人员给予适当补助。</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省、自治区、直辖市人民政府和设区的市级人民政府应当对困难地区的县级人民政府开展与预防接种相关的工作给予必要的经费补助。</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第三十八条</w:t>
      </w:r>
      <w:r>
        <w:rPr>
          <w:rFonts w:hint="eastAsia" w:ascii="宋体" w:hAnsi="宋体" w:cs="Arial"/>
          <w:kern w:val="0"/>
          <w:szCs w:val="32"/>
        </w:rPr>
        <w:t xml:space="preserve"> 县级以上人民政府负责疫苗和有关物资的储备，以备调用。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第三十九条</w:t>
      </w:r>
      <w:r>
        <w:rPr>
          <w:rFonts w:hint="eastAsia" w:ascii="宋体" w:hAnsi="宋体" w:cs="Arial"/>
          <w:kern w:val="0"/>
          <w:szCs w:val="32"/>
        </w:rPr>
        <w:t xml:space="preserve"> 各级财政安排用于预防接种的经费应当专款专用，任何单位和个人不得挪用、挤占。有关单位和个人使用用于预防接种的经费应当依法接受审计机关的审计监督。</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第五章　预防接种异常反应的处理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第四十条</w:t>
      </w:r>
      <w:r>
        <w:rPr>
          <w:rFonts w:hint="eastAsia" w:ascii="宋体" w:hAnsi="宋体" w:cs="Arial"/>
          <w:kern w:val="0"/>
          <w:szCs w:val="32"/>
        </w:rPr>
        <w:t xml:space="preserve"> 预防接种异常反应，是指合格的疫苗在实施规范接种过程中或者实施规范接种后造成受种者机体组织器官、功能损害，相关各方均无过错的药品不良反应。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第四十一条</w:t>
      </w:r>
      <w:r>
        <w:rPr>
          <w:rFonts w:hint="eastAsia" w:ascii="宋体" w:hAnsi="宋体" w:cs="Arial"/>
          <w:kern w:val="0"/>
          <w:szCs w:val="32"/>
        </w:rPr>
        <w:t xml:space="preserve"> 下列情形不属于预防接种异常反应：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（一）因疫苗本身特性引起的接种后一般反应；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（二）因疫苗质量不合格给受种者造成的损害；</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（三）因接种单位违反预防接种工作规范、免疫程序、疫苗使用指导原则、接种方案给受种者造成的损害；</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（四）受种者在接种时正处于某种疾病的潜伏期或者前驱期，接种后偶合发病；</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（五）受种者有疫苗说明书规定的接种禁忌，在接种前受种者或者其监护人未如实提供受种者的健康状况和接种禁忌等情况，接种后受种者原有疾病急性复发或者病情加重；</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（六）因心理因素发生的个体或者群体的心因性反应。</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第四十二条</w:t>
      </w:r>
      <w:r>
        <w:rPr>
          <w:rFonts w:hint="eastAsia" w:ascii="宋体" w:hAnsi="宋体" w:cs="Arial"/>
          <w:kern w:val="0"/>
          <w:szCs w:val="32"/>
        </w:rPr>
        <w:t xml:space="preserve"> 疾病预防控制机构和接种单位及其医疗卫生人员发现预防接种异常反应、疑似预防接种异常反应或者接到相关报告的，应当依照预防接种工作规范及时处理，并立即报告所在地的县级人民政府卫生主管部门、药品监督管理部门。接到报告的卫生主管部门、药品监督管理部门应当立即组织调查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第四十三条</w:t>
      </w:r>
      <w:r>
        <w:rPr>
          <w:rFonts w:hint="eastAsia" w:ascii="宋体" w:hAnsi="宋体" w:cs="Arial"/>
          <w:kern w:val="0"/>
          <w:szCs w:val="32"/>
        </w:rPr>
        <w:t xml:space="preserve"> 县级以上地方人民政府卫生主管部门、药品监督管理部门应当将在本行政区域内发生的预防接种异常反应及其处理的情况，分别逐级上报至国务院卫生主管部门和药品监督管理部门。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第四十四条</w:t>
      </w:r>
      <w:r>
        <w:rPr>
          <w:rFonts w:hint="eastAsia" w:ascii="宋体" w:hAnsi="宋体" w:cs="Arial"/>
          <w:kern w:val="0"/>
          <w:szCs w:val="32"/>
        </w:rPr>
        <w:t xml:space="preserve"> 预防接种异常反应争议发生后，接种单位或者受种方可以请求接种单位所在地的县级人民政府卫生主管部门处理。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因预防接种导致受种者死亡、严重残疾或者群体性疑似预防接种异常反应，接种单位或者受种方请求县级人民政府卫生主管部门处理的，接到处理请求的卫生主管部门应当采取必要的应急处置措施，及时向本级人民政府报告，并移送上一级人民政府卫生主管部门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第四十五条</w:t>
      </w:r>
      <w:r>
        <w:rPr>
          <w:rFonts w:hint="eastAsia" w:ascii="宋体" w:hAnsi="宋体" w:cs="Arial"/>
          <w:kern w:val="0"/>
          <w:szCs w:val="32"/>
        </w:rPr>
        <w:t xml:space="preserve"> 预防接种异常反应的鉴定参照《医疗事故处理条例》执行，具体办法由国务院卫生主管部门会同国务院药品监督管理部门制定。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第四十六条</w:t>
      </w:r>
      <w:r>
        <w:rPr>
          <w:rFonts w:hint="eastAsia" w:ascii="宋体" w:hAnsi="宋体" w:cs="Arial"/>
          <w:kern w:val="0"/>
          <w:szCs w:val="32"/>
        </w:rPr>
        <w:t xml:space="preserve"> 因预防接种异常反应造成受种者死亡、严重残疾或者器官组织损伤的，应当给予一次性补偿。</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因接种第一类疫苗引起预防接种异常反应需要对受种者予以补偿的，补偿费用由省、自治区、直辖市人民政府财政部门在预防接种工作经费中安排。因接种第二类疫苗引起预防接种异常反应需要对受种者予以补偿的，补偿费用由相关的疫苗生产企业承担。国家鼓励建立通过商业保险等形式对预防接种异常反应受种者予以补偿的机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预防接种异常反应具体补偿办法由省、自治区、直辖市人民政府制定。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第四十七条</w:t>
      </w:r>
      <w:r>
        <w:rPr>
          <w:rFonts w:hint="eastAsia" w:ascii="宋体" w:hAnsi="宋体" w:cs="Arial"/>
          <w:kern w:val="0"/>
          <w:szCs w:val="32"/>
        </w:rPr>
        <w:t xml:space="preserve"> 因疫苗质量不合格给受种者造成损害的，依照药品管理法的有关规定处理；因接种单位违反预防接种工作规范、免疫程序、疫苗使用指导原则、接种方案给受种者造成损害的，依照《医疗事故处理条例》的有关规定处理。</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第六章　监督管理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第四十八条</w:t>
      </w:r>
      <w:r>
        <w:rPr>
          <w:rFonts w:hint="eastAsia" w:ascii="宋体" w:hAnsi="宋体" w:cs="Arial"/>
          <w:kern w:val="0"/>
          <w:szCs w:val="32"/>
        </w:rPr>
        <w:t xml:space="preserve"> 药品监督管理部门依照药品管理法及其实施条例的有关规定，对疫苗在储存、运输、供应、销售、分发和使用等环节中的质量进行监督检查，并将检查结果及时向同级卫生主管部门通报。药品监督管理部门根据监督检查需要对疫苗进行抽查检验的，有关单位和个人应当予以配合，不得拒绝。</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第四十九条</w:t>
      </w:r>
      <w:r>
        <w:rPr>
          <w:rFonts w:hint="eastAsia" w:ascii="宋体" w:hAnsi="宋体" w:cs="Arial"/>
          <w:kern w:val="0"/>
          <w:szCs w:val="32"/>
        </w:rPr>
        <w:t xml:space="preserve"> 药品监督管理部门在监督检查中，对有证据证明可能危害人体健康的疫苗及其有关材料可以采取查封、扣押的措施，并在7日内作出处理决定；疫苗需要检验的，应当自检验报告书发出之日起15日内作出处理决定。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疾病预防控制机构、接种单位、疫苗生产企业发现假劣或者质量可疑的疫苗，应当立即停止接种、分发、供应、销售，并立即向所在地的县级人民政府卫生主管部门和药品监督管理部门报告，不得自行处理。接到报告的卫生主管部门应当立即组织疾病预防控制机构和接种单位采取必要的应急处置措施，同时向上级卫生主管部门报告；接到报告的药品监督管理部门应当对假劣或者质量可疑的疫苗依法采取查封、扣押等措施。</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第五十条</w:t>
      </w:r>
      <w:r>
        <w:rPr>
          <w:rFonts w:hint="eastAsia" w:ascii="宋体" w:hAnsi="宋体" w:cs="Arial"/>
          <w:kern w:val="0"/>
          <w:szCs w:val="32"/>
        </w:rPr>
        <w:t xml:space="preserve"> 县级以上人民政府卫生主管部门在各自职责范围内履行下列监督检查职责：</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（一）对医疗卫生机构实施国家免疫规划的情况进行监督检查；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（二）对疾病预防控制机构开展与预防接种相关的宣传、培训、技术指导等工作进行监督检查；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（三）对医疗卫生机构分发和购买疫苗的情况进行监督检查。</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卫生主管部门应当主要通过对医疗卫生机构依照本条例规定所作的疫苗分发、储存、运输和接种等记录进行检查，履行监督管理职责；必要时，可以进行现场监督检查。卫生主管部门对监督检查情况应当予以记录，发现违法行为的，应当责令有关单位立即改正。</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第五十一条</w:t>
      </w:r>
      <w:r>
        <w:rPr>
          <w:rFonts w:hint="eastAsia" w:ascii="宋体" w:hAnsi="宋体" w:cs="Arial"/>
          <w:kern w:val="0"/>
          <w:szCs w:val="32"/>
        </w:rPr>
        <w:t xml:space="preserve"> 卫生主管部门、药品监督管理部门的工作人员依法履行监督检查职责时，不得少于2人，并出示证明文件；对被检查人的商业秘密应当保密。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第五十二条</w:t>
      </w:r>
      <w:r>
        <w:rPr>
          <w:rFonts w:hint="eastAsia" w:ascii="宋体" w:hAnsi="宋体" w:cs="Arial"/>
          <w:kern w:val="0"/>
          <w:szCs w:val="32"/>
        </w:rPr>
        <w:t xml:space="preserve"> 卫生主管部门、药品监督管理部门发现疫苗质量问题和预防接种异常反应以及其他情况时，应当及时互相通报，实现信息共享。</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第五十三条</w:t>
      </w:r>
      <w:r>
        <w:rPr>
          <w:rFonts w:hint="eastAsia" w:ascii="宋体" w:hAnsi="宋体" w:cs="Arial"/>
          <w:kern w:val="0"/>
          <w:szCs w:val="32"/>
        </w:rPr>
        <w:t xml:space="preserve"> 任何单位和个人有权向卫生主管部门、药品监督管理部门举报违反本条例规定的行为，有权向本级人民政府、上级人民政府有关部门举报卫生主管部门、药品监督管理部门未依法履行监督管理职责的情况。接到举报的有关人民政府、卫生主管部门、药品监督管理部门对有关举报应当及时核实、处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第五十四条</w:t>
      </w:r>
      <w:r>
        <w:rPr>
          <w:rFonts w:hint="eastAsia" w:ascii="宋体" w:hAnsi="宋体" w:cs="Arial"/>
          <w:kern w:val="0"/>
          <w:szCs w:val="32"/>
        </w:rPr>
        <w:t xml:space="preserve"> 国家建立疫苗全程追溯制度。国务院药品监督管理部门会同国务院卫生主管部门制定统一的疫苗追溯体系技术规范。</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疾病预防控制机构、接种单位应当依照药品管理法、本条例和国务院药品监督管理部门、卫生主管部门的规定建立疫苗追溯体系，如实记录疫苗的流通、使用信息，实现疫苗最小包装单位的生产、储存、运输、使用全过程可追溯。</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国务院药品监督管理部门会同国务院卫生主管部门建立疫苗全程追溯协作机制。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第五十五条</w:t>
      </w:r>
      <w:r>
        <w:rPr>
          <w:rFonts w:hint="eastAsia" w:ascii="宋体" w:hAnsi="宋体" w:cs="Arial"/>
          <w:kern w:val="0"/>
          <w:szCs w:val="32"/>
        </w:rPr>
        <w:t xml:space="preserve"> 疾病预防控制机构、接种单位对包装无法识别、超过有效期、脱离冷链、经检验不符合标准、来源不明的疫苗，应当如实登记，向所在地县级人民政府药品监督管理部门报告，由县级人民政府药品监督管理部门会同同级卫生主管部门按照规定监督销毁。疾病预防控制机构、接种单位应当如实记录销毁情况，销毁记录保存时间不得少于5年。</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第七章　法律责任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第五十六条</w:t>
      </w:r>
      <w:r>
        <w:rPr>
          <w:rFonts w:hint="eastAsia" w:ascii="宋体" w:hAnsi="宋体" w:cs="Arial"/>
          <w:kern w:val="0"/>
          <w:szCs w:val="32"/>
        </w:rPr>
        <w:t xml:space="preserve"> 县级以上人民政府卫生主管部门、药品监督管理部门违反本条例规定，有下列情形之一的，由本级人民政府、上级人民政府卫生主管部门或者药品监督管理部门责令改正，通报批评；造成受种者人身损害，传染病传播、流行或者其他严重后果的，对直接负责的主管人员和其他直接责任人员依法给予处分；造成特别严重后果的，其主要负责人还应当引咎辞职；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（一）未依照本条例规定履行监督检查职责，或者发现违法行为不及时查处的；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（二）未及时核实、处理对下级卫生主管部门、药品监督管理部门不履行监督管理职责的举报的；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（三）接到发现预防接种异常反应或者疑似预防接种异常反应的相关报告，未立即组织调查处理的；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（四）擅自进行群体性预防接种的；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（五）违反本条例的其他失职、渎职行为。</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第五十七条</w:t>
      </w:r>
      <w:r>
        <w:rPr>
          <w:rFonts w:hint="eastAsia" w:ascii="宋体" w:hAnsi="宋体" w:cs="Arial"/>
          <w:kern w:val="0"/>
          <w:szCs w:val="32"/>
        </w:rPr>
        <w:t xml:space="preserve"> 县级以上人民政府未依照本条例规定履行预防接种保障职责的，由上级人民政府责令改正，通报批评；造成传染病传播、流行或者其他严重后果的，对直接负责的主管人员和其他直接责任人员依法给予处分；发生特别严重的疫苗质量安全事件或者连续发生严重的疫苗质量安全事件的地区，其人民政府主要负责人还应当引咎辞职；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第五十八条</w:t>
      </w:r>
      <w:r>
        <w:rPr>
          <w:rFonts w:hint="eastAsia" w:ascii="宋体" w:hAnsi="宋体" w:cs="Arial"/>
          <w:kern w:val="0"/>
          <w:szCs w:val="32"/>
        </w:rPr>
        <w:t xml:space="preserve"> 疾病预防控制机构有下列情形之一的，由县级以上人民政府卫生主管部门责令改正，通报批评，给予警告；有违法所得的，没收违法所得；拒不改正的，对主要负责人、直接负责的主管人员和其他直接责任人员依法给予警告至降级的处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（一）未按照使用计划将第一类疫苗分发到下级疾病预防控制机构、接种单位、乡级医疗卫生机构的；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（二）未依照规定建立并保存疫苗购进、储存、分发、供应记录的；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（三）接收或者购进疫苗时未依照规定索要温度监测记录，接收、购进不符合要求的疫苗，或者未依照规定报告的。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乡级医疗卫生机构未依照本条例规定将第一类疫苗分发到承担预防接种工作的村医疗卫生机构的，依照前款的规定给予处罚。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第五十九条</w:t>
      </w:r>
      <w:r>
        <w:rPr>
          <w:rFonts w:hint="eastAsia" w:ascii="宋体" w:hAnsi="宋体" w:cs="Arial"/>
          <w:kern w:val="0"/>
          <w:szCs w:val="32"/>
        </w:rPr>
        <w:t xml:space="preserve"> 接种单位有下列情形之一的，由所在地的县级人民政府卫生主管部门责令改正，给予警告；拒不改正的，对主要负责人、直接负责的主管人员依法给予警告至降级的处分，对负有责任的医疗卫生人员责令暂停3个月以上6个月以下的执业活动：</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（一）接收或者购进疫苗时未依照规定索要温度监测记录，接收、购进不符合要求的疫苗，或者未依照规定报告的；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（二）未依照规定建立并保存真实、完整的疫苗接收或者购进记录的；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（三）未在其接种场所的显著位置公示第一类疫苗的品种和接种方法的；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（四）医疗卫生人员在接种前，未依照本条例规定告知、询问受种者或者其监护人有关情况的；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（五）实施预防接种的医疗卫生人员未依照规定填写并保存接种记录的；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（六）未依照规定对接种疫苗的情况进行登记并报告的。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第六十条</w:t>
      </w:r>
      <w:r>
        <w:rPr>
          <w:rFonts w:hint="eastAsia" w:ascii="宋体" w:hAnsi="宋体" w:cs="Arial"/>
          <w:kern w:val="0"/>
          <w:szCs w:val="32"/>
        </w:rPr>
        <w:t xml:space="preserve"> 疾病预防控制机构、接种单位有下列情形之一的，由县级以上地方人民政府卫生主管部门责令改正，给予警告；有违法所得的，没收违法所得；拒不改正的，对主要负责人、直接负责的主管人员和其他直接责任人员依法给予警告至撤职的处分；造成受种者人身损害或者其他严重后果的，对主要负责人、直接负责的主管人员依法给予开除的处分，并由原发证部门吊销负有责任的医疗卫生人员的执业证书；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（一）违反本条例规定，未通过省级公共资源交易平台采购疫苗的；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（二）违反本条例规定，从疫苗生产企业、县级疾病预防控制机构以外的单位或者个人购进第二类疫苗的；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（三）接种疫苗未遵守预防接种工作规范、免疫程序、疫苗使用指导原则、接种方案的；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（四）发现预防接种异常反应或者疑似预防接种异常反应，未依照规定及时处理或者报告的；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（五）擅自进行群体性预防接种的；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（六）未依照规定对包装无法识别、超过有效期、脱离冷链、经检验不符合标准、来源不明的疫苗进行登记、报告，或者未依照规定记录销毁情况的。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第六十一条</w:t>
      </w:r>
      <w:r>
        <w:rPr>
          <w:rFonts w:hint="eastAsia" w:ascii="宋体" w:hAnsi="宋体" w:cs="Arial"/>
          <w:kern w:val="0"/>
          <w:szCs w:val="32"/>
        </w:rPr>
        <w:t xml:space="preserve"> 疾病预防控制机构、接种单位在疫苗分发、供应和接种过程中违反本条例规定收取费用的，由所在地的县级人民政府卫生主管部门监督其将违法收取的费用退还给原缴费的单位或者个人，并由县级以上人民政府价格主管部门依法给予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第六十二条</w:t>
      </w:r>
      <w:r>
        <w:rPr>
          <w:rFonts w:hint="eastAsia" w:ascii="宋体" w:hAnsi="宋体" w:cs="Arial"/>
          <w:kern w:val="0"/>
          <w:szCs w:val="32"/>
        </w:rPr>
        <w:t xml:space="preserve"> 药品检验机构出具虚假的疫苗检验报告的，依照药品管理法第八十六条的规定处罚。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第六十三条</w:t>
      </w:r>
      <w:r>
        <w:rPr>
          <w:rFonts w:hint="eastAsia" w:ascii="宋体" w:hAnsi="宋体" w:cs="Arial"/>
          <w:kern w:val="0"/>
          <w:szCs w:val="32"/>
        </w:rPr>
        <w:t xml:space="preserve"> 疫苗生产企业未依照规定建立并保存疫苗销售记录的，依照药品管理法第七十八条的规定处罚。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第六十四条</w:t>
      </w:r>
      <w:r>
        <w:rPr>
          <w:rFonts w:hint="eastAsia" w:ascii="宋体" w:hAnsi="宋体" w:cs="Arial"/>
          <w:kern w:val="0"/>
          <w:szCs w:val="32"/>
        </w:rPr>
        <w:t xml:space="preserve"> 疫苗生产企业未依照规定在纳入国家免疫规划疫苗的最小外包装上标明“免费”字样以及“免疫规划”专用标识的，由药品监督管理部门责令改正，给予警告；拒不改正的，处5000元以上2万元以下的罚款，并封存相关的疫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第六十五条</w:t>
      </w:r>
      <w:r>
        <w:rPr>
          <w:rFonts w:hint="eastAsia" w:ascii="宋体" w:hAnsi="宋体" w:cs="Arial"/>
          <w:kern w:val="0"/>
          <w:szCs w:val="32"/>
        </w:rPr>
        <w:t xml:space="preserve"> 疫苗生产企业向县级疾病预防控制机构以外的单位或者个人销售第二类疫苗的，由药品监督管理部门没收违法销售的疫苗，并处违法销售的疫苗货值金额2倍以上5倍以下的罚款；有违法所得的，没收违法所得；其直接负责的主管人员和其他直接责任人员5年内不得从事药品生产经营活动；情节严重的，依法吊销疫苗生产资格或者撤销疫苗进口批准证明文件，其直接负责的主管人员和其他直接责任人员10年内不得从事药品生产经营活动；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第六十六条</w:t>
      </w:r>
      <w:r>
        <w:rPr>
          <w:rFonts w:hint="eastAsia" w:ascii="宋体" w:hAnsi="宋体" w:cs="Arial"/>
          <w:kern w:val="0"/>
          <w:szCs w:val="32"/>
        </w:rPr>
        <w:t xml:space="preserve"> 疾病预防控制机构、接种单位、疫苗生产企业、接受委托配送疫苗的企业未在规定的冷藏条件下储存、运输疫苗的，由药品监督管理部门责令改正，给予警告，对所储存、运输的疫苗予以销毁；由卫生主管部门对疾病预防控制机构、接种单位的主要负责人、直接负责的主管人员和其他直接责任人员依法给予警告至撤职的处分，造成严重后果的，依法给予开除的处分，并吊销接种单位的接种资格；由药品监督管理部门依法责令疫苗生产企业、接受委托配送疫苗的企业停产、停业整顿，并处违反规定储存、运输的疫苗货值金额2倍以上5倍以下的罚款，造成严重后果的，依法吊销疫苗生产资格或者撤销疫苗进口批准证明文件，其直接负责的主管人员和其他直接责任人员10年内不得从事药品生产经营活动；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第六十七条</w:t>
      </w:r>
      <w:r>
        <w:rPr>
          <w:rFonts w:hint="eastAsia" w:ascii="宋体" w:hAnsi="宋体" w:cs="Arial"/>
          <w:kern w:val="0"/>
          <w:szCs w:val="32"/>
        </w:rPr>
        <w:t xml:space="preserve"> 违反本条例规定发布接种第二类疫苗的建议信息的，由所在地或者行为发生地的县级人民政府卫生主管部门责令通过大众媒体消除影响，给予警告；有违法所得的，没收违法所得，并处违法所得1倍以上3倍以下的罚款；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第六十八条</w:t>
      </w:r>
      <w:r>
        <w:rPr>
          <w:rFonts w:hint="eastAsia" w:ascii="宋体" w:hAnsi="宋体" w:cs="Arial"/>
          <w:kern w:val="0"/>
          <w:szCs w:val="32"/>
        </w:rPr>
        <w:t xml:space="preserve"> 未经卫生主管部门依法指定擅自从事接种工作的，由所在地或者行为发生地的县级人民政府卫生主管部门责令改正，给予警告；有违法持有的疫苗的，没收违法持有的疫苗；有违法所得的，没收违法所得；拒不改正的，对主要负责人、直接负责的主管人员和其他直接责任人员依法给予警告、降级的处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第六十九条</w:t>
      </w:r>
      <w:r>
        <w:rPr>
          <w:rFonts w:hint="eastAsia" w:ascii="宋体" w:hAnsi="宋体" w:cs="Arial"/>
          <w:kern w:val="0"/>
          <w:szCs w:val="32"/>
        </w:rPr>
        <w:t xml:space="preserve"> 儿童入托、入学时，托幼机构、学校未依照规定查验预防接种证，或者发现未依照规定受种的儿童后未向疾病预防控制机构或者接种单位报告的，由县级以上地方人民政府教育主管部门责令改正，给予警告；拒不改正的，对主要负责人、直接负责的主管人员和其他直接责任人员依法给予处分。</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第七十条</w:t>
      </w:r>
      <w:r>
        <w:rPr>
          <w:rFonts w:hint="eastAsia" w:ascii="宋体" w:hAnsi="宋体" w:cs="Arial"/>
          <w:kern w:val="0"/>
          <w:szCs w:val="32"/>
        </w:rPr>
        <w:t xml:space="preserve"> 违反本条例规定，疫苗生产企业、县级疾病预防控制机构以外的单位或者个人经营疫苗的，由药品监督管理部门依照药品管理法第七十二条的规定处罚。</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第七十一条</w:t>
      </w:r>
      <w:r>
        <w:rPr>
          <w:rFonts w:hint="eastAsia" w:ascii="宋体" w:hAnsi="宋体" w:cs="Arial"/>
          <w:kern w:val="0"/>
          <w:szCs w:val="32"/>
        </w:rPr>
        <w:t xml:space="preserve"> 卫生主管部门、疾病预防控制机构、接种单位以外的单位或者个人违反本条例规定进行群体性预防接种的，由县级以上人民政府卫生主管部门责令立即改正，没收违法持有的疫苗，并处违法持有的疫苗货值金额2倍以上5倍以下的罚款；有违法所得的，没收违法所得。</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 xml:space="preserve">第七十二条 </w:t>
      </w:r>
      <w:r>
        <w:rPr>
          <w:rFonts w:hint="eastAsia" w:ascii="宋体" w:hAnsi="宋体" w:cs="Arial"/>
          <w:kern w:val="0"/>
          <w:szCs w:val="32"/>
        </w:rPr>
        <w:t>单位和个人违反本条例规定，给受种者人身、财产造成损害的，依法承担民事责任。</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第七十三条</w:t>
      </w:r>
      <w:r>
        <w:rPr>
          <w:rFonts w:hint="eastAsia" w:ascii="宋体" w:hAnsi="宋体" w:cs="Arial"/>
          <w:kern w:val="0"/>
          <w:szCs w:val="32"/>
        </w:rPr>
        <w:t xml:space="preserve"> 以发生预防接种异常反应为由，寻衅滋事，扰乱接种单位的正常医疗秩序和预防接种异常反应鉴定工作的，依法给予治安管理处罚；构成犯罪的，依法追究刑事责任。</w:t>
      </w: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p>
    <w:p>
      <w:pPr>
        <w:widowControl w:val="0"/>
        <w:wordWrap/>
        <w:overflowPunct w:val="0"/>
        <w:spacing w:beforeAutospacing="0" w:afterAutospacing="0" w:line="560" w:lineRule="exact"/>
        <w:jc w:val="center"/>
        <w:textAlignment w:val="auto"/>
        <w:rPr>
          <w:rFonts w:hint="eastAsia" w:ascii="宋体" w:hAnsi="宋体" w:eastAsia="黑体" w:cs="Arial"/>
          <w:bCs/>
          <w:kern w:val="0"/>
          <w:szCs w:val="32"/>
        </w:rPr>
      </w:pPr>
      <w:r>
        <w:rPr>
          <w:rFonts w:hint="eastAsia" w:ascii="宋体" w:hAnsi="宋体" w:eastAsia="黑体" w:cs="Arial"/>
          <w:bCs/>
          <w:kern w:val="0"/>
          <w:szCs w:val="32"/>
        </w:rPr>
        <w:t>第八章　附则</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第七十四条</w:t>
      </w:r>
      <w:r>
        <w:rPr>
          <w:rFonts w:hint="eastAsia" w:ascii="宋体" w:hAnsi="宋体" w:cs="Arial"/>
          <w:kern w:val="0"/>
          <w:szCs w:val="32"/>
        </w:rPr>
        <w:t xml:space="preserve"> 本条例中下列用语的含义：</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国家免疫规划，是指按照国家或者省、自治区、直辖市确定的疫苗品种、免疫程序或者接种方案，在人群中有计划地进行预防接种，以预防和控制特定传染病的发生和流行。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冷链，是指为保证疫苗从疫苗生产企业到接种单位运转过程中的质量而装备的储存、运输冷藏设施、设备。</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一般反应，是指在免疫接种后发生的，由疫苗本身所固有的特性引起的，对机体只会造成一过性生理功能障碍的反应，主要有发热和局部红肿，同时可能伴有全身不适、倦怠、食欲不振、乏力等综合症状。</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cs="Arial"/>
          <w:kern w:val="0"/>
          <w:szCs w:val="32"/>
        </w:rPr>
        <w:t>疫苗生产企业，是指我国境内的疫苗生产企业以及向我国出口疫苗的境外疫苗厂商指定的在我国境内的代理机构。</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第七十五条</w:t>
      </w:r>
      <w:r>
        <w:rPr>
          <w:rFonts w:hint="eastAsia" w:ascii="宋体" w:hAnsi="宋体" w:cs="Arial"/>
          <w:kern w:val="0"/>
          <w:szCs w:val="32"/>
        </w:rPr>
        <w:t xml:space="preserve"> 出入境预防接种管理办法由国家出入境检验检疫部门另行制定。</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Cs/>
          <w:sz w:val="44"/>
          <w:szCs w:val="44"/>
        </w:rPr>
      </w:pPr>
      <w:r>
        <w:rPr>
          <w:rFonts w:hint="eastAsia" w:ascii="宋体" w:hAnsi="宋体" w:eastAsia="黑体" w:cs="Arial"/>
          <w:kern w:val="0"/>
          <w:szCs w:val="32"/>
        </w:rPr>
        <w:t>第七十六条</w:t>
      </w:r>
      <w:r>
        <w:rPr>
          <w:rFonts w:hint="eastAsia" w:ascii="宋体" w:hAnsi="宋体" w:cs="Arial"/>
          <w:kern w:val="0"/>
          <w:szCs w:val="32"/>
        </w:rPr>
        <w:t xml:space="preserve"> 本条例自2005年6月1日起施行。</w:t>
      </w:r>
      <w:r>
        <w:rPr>
          <w:rFonts w:hint="eastAsia" w:ascii="宋体" w:hAnsi="宋体" w:eastAsia="宋体" w:cs="宋体"/>
          <w:bCs/>
          <w:sz w:val="44"/>
          <w:szCs w:val="44"/>
        </w:rPr>
        <w:br w:type="page"/>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150" w:afterAutospacing="0"/>
        <w:ind w:left="0" w:leftChars="0" w:right="0" w:firstLine="0" w:firstLineChars="0"/>
        <w:jc w:val="center"/>
        <w:textAlignment w:val="baseline"/>
        <w:outlineLvl w:val="0"/>
        <w:rPr>
          <w:rFonts w:hint="eastAsia" w:ascii="宋体" w:hAnsi="宋体" w:eastAsia="宋体" w:cs="宋体"/>
          <w:b w:val="0"/>
          <w:bCs/>
          <w:kern w:val="2"/>
          <w:sz w:val="44"/>
          <w:szCs w:val="44"/>
          <w:lang w:val="en-US" w:eastAsia="zh-CN" w:bidi="ar-SA"/>
        </w:rPr>
      </w:pPr>
      <w:bookmarkStart w:id="224" w:name="_Toc2641"/>
      <w:r>
        <w:rPr>
          <w:rFonts w:hint="eastAsia" w:ascii="宋体" w:hAnsi="宋体" w:eastAsia="宋体" w:cs="宋体"/>
          <w:b w:val="0"/>
          <w:bCs/>
          <w:kern w:val="2"/>
          <w:sz w:val="44"/>
          <w:szCs w:val="44"/>
          <w:lang w:val="en-US" w:eastAsia="zh-CN" w:bidi="ar-SA"/>
        </w:rPr>
        <w:t>中华人民共和国中医药条例</w:t>
      </w:r>
      <w:bookmarkEnd w:id="224"/>
    </w:p>
    <w:p>
      <w:pPr>
        <w:widowControl w:val="0"/>
        <w:wordWrap/>
        <w:overflowPunct w:val="0"/>
        <w:spacing w:beforeAutospacing="0" w:afterAutospacing="0" w:line="560" w:lineRule="exact"/>
        <w:ind w:left="640" w:leftChars="200" w:right="640" w:rightChars="200"/>
        <w:textAlignment w:val="auto"/>
        <w:outlineLvl w:val="9"/>
        <w:rPr>
          <w:rFonts w:hint="eastAsia" w:ascii="宋体" w:hAnsi="宋体" w:eastAsia="楷体_GB2312" w:cs="Arial"/>
          <w:szCs w:val="32"/>
          <w:lang w:val="en-US" w:eastAsia="zh-CN"/>
        </w:rPr>
      </w:pPr>
    </w:p>
    <w:p>
      <w:pPr>
        <w:widowControl w:val="0"/>
        <w:wordWrap/>
        <w:overflowPunct w:val="0"/>
        <w:spacing w:beforeAutospacing="0" w:afterAutospacing="0" w:line="560" w:lineRule="exact"/>
        <w:ind w:left="640" w:leftChars="200" w:right="640" w:rightChars="200"/>
        <w:textAlignment w:val="auto"/>
        <w:outlineLvl w:val="9"/>
        <w:rPr>
          <w:rFonts w:hint="eastAsia" w:ascii="楷体" w:hAnsi="楷体" w:eastAsia="楷体" w:cs="楷体"/>
          <w:szCs w:val="32"/>
          <w:lang w:eastAsia="zh-CN"/>
        </w:rPr>
      </w:pPr>
      <w:r>
        <w:rPr>
          <w:rFonts w:hint="eastAsia" w:ascii="楷体" w:hAnsi="楷体" w:eastAsia="楷体" w:cs="楷体"/>
          <w:szCs w:val="32"/>
          <w:lang w:eastAsia="zh-CN"/>
        </w:rPr>
        <w:t>（</w:t>
      </w:r>
      <w:r>
        <w:rPr>
          <w:rFonts w:hint="eastAsia" w:ascii="楷体" w:hAnsi="楷体" w:eastAsia="楷体" w:cs="楷体"/>
          <w:szCs w:val="32"/>
        </w:rPr>
        <w:t>2003年4月2日国务院第3次常务会议通过</w:t>
      </w:r>
      <w:r>
        <w:rPr>
          <w:rFonts w:hint="eastAsia" w:ascii="楷体" w:hAnsi="楷体" w:eastAsia="楷体" w:cs="楷体"/>
          <w:szCs w:val="32"/>
          <w:lang w:val="en-US" w:eastAsia="zh-CN"/>
        </w:rPr>
        <w:t xml:space="preserve"> </w:t>
      </w:r>
      <w:r>
        <w:rPr>
          <w:rFonts w:hint="eastAsia" w:ascii="楷体" w:hAnsi="楷体" w:eastAsia="楷体" w:cs="楷体"/>
          <w:szCs w:val="32"/>
        </w:rPr>
        <w:t>中华人民共和国国务院令第374号公布</w:t>
      </w:r>
      <w:r>
        <w:rPr>
          <w:rFonts w:hint="eastAsia" w:ascii="楷体" w:hAnsi="楷体" w:eastAsia="楷体" w:cs="楷体"/>
          <w:szCs w:val="32"/>
          <w:lang w:eastAsia="zh-CN"/>
        </w:rPr>
        <w:t>）</w:t>
      </w:r>
    </w:p>
    <w:p>
      <w:pPr>
        <w:widowControl w:val="0"/>
        <w:wordWrap/>
        <w:overflowPunct w:val="0"/>
        <w:spacing w:beforeAutospacing="0" w:afterAutospacing="0" w:line="560" w:lineRule="exact"/>
        <w:ind w:left="640" w:leftChars="200" w:right="640" w:rightChars="200"/>
        <w:textAlignment w:val="auto"/>
        <w:outlineLvl w:val="9"/>
        <w:rPr>
          <w:rFonts w:hint="eastAsia" w:ascii="宋体" w:hAnsi="宋体" w:eastAsia="楷体_GB2312" w:cs="Arial"/>
          <w:szCs w:val="32"/>
          <w:lang w:eastAsia="zh-CN"/>
        </w:rPr>
      </w:pPr>
    </w:p>
    <w:p>
      <w:pPr>
        <w:widowControl w:val="0"/>
        <w:wordWrap/>
        <w:adjustRightInd/>
        <w:snapToGrid/>
        <w:spacing w:line="560" w:lineRule="exact"/>
        <w:jc w:val="center"/>
        <w:textAlignment w:val="auto"/>
        <w:outlineLvl w:val="9"/>
        <w:rPr>
          <w:rFonts w:hint="eastAsia" w:ascii="仿宋" w:hAnsi="仿宋" w:eastAsia="仿宋" w:cs="仿宋"/>
          <w:bCs/>
          <w:sz w:val="32"/>
          <w:szCs w:val="32"/>
        </w:rPr>
      </w:pPr>
      <w:r>
        <w:rPr>
          <w:rFonts w:hint="eastAsia" w:ascii="黑体" w:hAnsi="黑体" w:eastAsia="黑体" w:cs="黑体"/>
          <w:bCs/>
          <w:kern w:val="0"/>
          <w:szCs w:val="32"/>
        </w:rPr>
        <w:t>第一章 总</w:t>
      </w:r>
      <w:r>
        <w:rPr>
          <w:rFonts w:hint="eastAsia" w:ascii="黑体" w:hAnsi="黑体" w:eastAsia="黑体" w:cs="黑体"/>
          <w:bCs/>
          <w:sz w:val="32"/>
          <w:szCs w:val="32"/>
        </w:rPr>
        <w:t>则</w:t>
      </w:r>
    </w:p>
    <w:p>
      <w:pPr>
        <w:widowControl w:val="0"/>
        <w:wordWrap/>
        <w:adjustRightInd/>
        <w:snapToGrid/>
        <w:spacing w:line="560" w:lineRule="exact"/>
        <w:textAlignment w:val="auto"/>
        <w:outlineLvl w:val="9"/>
        <w:rPr>
          <w:rFonts w:hint="eastAsia" w:ascii="仿宋" w:hAnsi="仿宋" w:eastAsia="仿宋" w:cs="仿宋"/>
          <w:bCs/>
          <w:sz w:val="32"/>
          <w:szCs w:val="32"/>
        </w:rPr>
      </w:pP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第一条</w:t>
      </w:r>
      <w:r>
        <w:rPr>
          <w:rFonts w:hint="eastAsia" w:ascii="仿宋" w:hAnsi="仿宋" w:eastAsia="仿宋" w:cs="仿宋"/>
          <w:bCs/>
          <w:sz w:val="32"/>
          <w:szCs w:val="32"/>
        </w:rPr>
        <w:t xml:space="preserve"> 为了继承和发展中医药学，保障和促进中医药事业的发展，保护人体健康，制定本条例。</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第二条</w:t>
      </w:r>
      <w:r>
        <w:rPr>
          <w:rFonts w:hint="eastAsia" w:ascii="仿宋" w:hAnsi="仿宋" w:eastAsia="仿宋" w:cs="仿宋"/>
          <w:bCs/>
          <w:sz w:val="32"/>
          <w:szCs w:val="32"/>
        </w:rPr>
        <w:t xml:space="preserve"> 在中华人民共和国境内从事中医医疗、预防、保健、康复服务和中医药教育、科研、对外交流以及中医药事业管理活动的单位或者个人，应当遵守本条例。</w:t>
      </w:r>
      <w:r>
        <w:rPr>
          <w:rFonts w:hint="eastAsia" w:ascii="仿宋" w:hAnsi="仿宋" w:eastAsia="仿宋" w:cs="仿宋"/>
          <w:bCs/>
          <w:sz w:val="32"/>
          <w:szCs w:val="32"/>
        </w:rPr>
        <w:br w:type="textWrapping"/>
      </w:r>
      <w:r>
        <w:rPr>
          <w:rFonts w:hint="eastAsia" w:ascii="仿宋" w:hAnsi="仿宋" w:eastAsia="仿宋" w:cs="仿宋"/>
          <w:bCs/>
          <w:sz w:val="32"/>
          <w:szCs w:val="32"/>
        </w:rPr>
        <w:t>　　中药的研制、生产、经营、使用和监督管理依照《中华人民共和国药品管理法》执行。</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第三条</w:t>
      </w:r>
      <w:r>
        <w:rPr>
          <w:rFonts w:hint="eastAsia" w:ascii="仿宋" w:hAnsi="仿宋" w:eastAsia="仿宋" w:cs="仿宋"/>
          <w:bCs/>
          <w:sz w:val="32"/>
          <w:szCs w:val="32"/>
        </w:rPr>
        <w:t xml:space="preserve"> 国家保护、扶持、发展中医药事业，实行中西医并重的方针，鼓励中西医相互学习、相互补充、共同提高，推动中医、西医两种医学体系的有机结合，全面发展我国中医药事业。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第四条</w:t>
      </w:r>
      <w:r>
        <w:rPr>
          <w:rFonts w:hint="eastAsia" w:ascii="仿宋" w:hAnsi="仿宋" w:eastAsia="仿宋" w:cs="仿宋"/>
          <w:bCs/>
          <w:sz w:val="32"/>
          <w:szCs w:val="32"/>
        </w:rPr>
        <w:t xml:space="preserve"> 发展中医药事业应当遵循继承与创新相结合的原则，保持和发扬中医药特色和优势，积极利用现代科学技术，促进中医药理论和实践的发展，推进中医药现代化。</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第五条</w:t>
      </w:r>
      <w:r>
        <w:rPr>
          <w:rFonts w:hint="eastAsia" w:ascii="仿宋" w:hAnsi="仿宋" w:eastAsia="仿宋" w:cs="仿宋"/>
          <w:bCs/>
          <w:sz w:val="32"/>
          <w:szCs w:val="32"/>
        </w:rPr>
        <w:t xml:space="preserve"> 县级以上各级人民政府应当将中医药事业纳入国民经济和社会发展计划，使中医药事业与经济、社会协调发展。</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县级以上地方人民政府在制定区域卫生规划时，应当根据本地区社会、经济发展状况和居民医疗需求，统筹安排中医医疗机构的设置和布局，完善城乡中医服务网络。</w:t>
      </w:r>
      <w:r>
        <w:rPr>
          <w:rFonts w:hint="eastAsia" w:ascii="仿宋" w:hAnsi="仿宋" w:eastAsia="仿宋" w:cs="仿宋"/>
          <w:bCs/>
          <w:sz w:val="32"/>
          <w:szCs w:val="32"/>
        </w:rPr>
        <w:br w:type="textWrapping"/>
      </w:r>
      <w:r>
        <w:rPr>
          <w:rFonts w:hint="eastAsia" w:ascii="宋体" w:hAnsi="宋体" w:eastAsia="黑体" w:cs="Arial"/>
          <w:kern w:val="0"/>
          <w:szCs w:val="32"/>
        </w:rPr>
        <w:t>　　第六条</w:t>
      </w:r>
      <w:r>
        <w:rPr>
          <w:rFonts w:hint="eastAsia" w:ascii="仿宋" w:hAnsi="仿宋" w:eastAsia="仿宋" w:cs="仿宋"/>
          <w:bCs/>
          <w:sz w:val="32"/>
          <w:szCs w:val="32"/>
        </w:rPr>
        <w:t xml:space="preserve"> 国务院中医药管理部门负责全国中医药管理工作。国务院有关部门在各自的职责范围内负责与中医药有关的工作。</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县级以上地方人民政府负责中医药管理的部门负责本行政区域内的中医药管理工作。县级以上地方人民政府有关部门在各自的职责范围内负责与中医药有关的工作。</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xml:space="preserve">第七条 </w:t>
      </w:r>
      <w:r>
        <w:rPr>
          <w:rFonts w:hint="eastAsia" w:ascii="仿宋" w:hAnsi="仿宋" w:eastAsia="仿宋" w:cs="仿宋"/>
          <w:bCs/>
          <w:sz w:val="32"/>
          <w:szCs w:val="32"/>
        </w:rPr>
        <w:t>对在继承和发展中医药事业中做出显著贡献和在边远地区从事中医药工作做出突出成绩的单位和个人，县级以上各级人民政府应当给予奖励。</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第二章 中医医疗机构与从业人员</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第八条</w:t>
      </w:r>
      <w:r>
        <w:rPr>
          <w:rFonts w:hint="eastAsia" w:ascii="仿宋" w:hAnsi="仿宋" w:eastAsia="仿宋" w:cs="仿宋"/>
          <w:bCs/>
          <w:sz w:val="32"/>
          <w:szCs w:val="32"/>
        </w:rPr>
        <w:t xml:space="preserve"> 开办中医医疗机构，应当符合国务院卫生行政部门制定的中医医疗机构设置标准和当地区域卫生规划，并按照《医疗机构管理条例》的规定办理审批手续，取得医疗机构执业许可证后，方可从事中医医疗活动。</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第九条</w:t>
      </w:r>
      <w:r>
        <w:rPr>
          <w:rFonts w:hint="eastAsia" w:ascii="仿宋" w:hAnsi="仿宋" w:eastAsia="仿宋" w:cs="仿宋"/>
          <w:bCs/>
          <w:sz w:val="32"/>
          <w:szCs w:val="32"/>
        </w:rPr>
        <w:t xml:space="preserve"> 中医医疗机构从事医疗服务活动，应当充分发挥中医药特色和优势，遵循中医药自身发展规律，运用传统理论和方法，结合现代科学技术手段，发挥中医药在防治疾病、保健、康复中的作用，为群众提供价格合理、质量优良的中医药服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第十条</w:t>
      </w:r>
      <w:r>
        <w:rPr>
          <w:rFonts w:hint="eastAsia" w:ascii="仿宋" w:hAnsi="仿宋" w:eastAsia="仿宋" w:cs="仿宋"/>
          <w:bCs/>
          <w:sz w:val="32"/>
          <w:szCs w:val="32"/>
        </w:rPr>
        <w:t xml:space="preserve"> 依法设立的社区卫生服务中心（站）、乡镇卫生院等城乡基层卫生服务机构，应当能够提供中医医疗服务。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第十一条</w:t>
      </w:r>
      <w:r>
        <w:rPr>
          <w:rFonts w:hint="eastAsia" w:ascii="仿宋" w:hAnsi="仿宋" w:eastAsia="仿宋" w:cs="仿宋"/>
          <w:bCs/>
          <w:sz w:val="32"/>
          <w:szCs w:val="32"/>
        </w:rPr>
        <w:t xml:space="preserve"> 中医从业人员，应当依照有关卫生管理的法律、行政法规、部门规章的规定通过资格考试，并经注册取得执业证书后，方可从事中医服务活动。</w:t>
      </w:r>
      <w:r>
        <w:rPr>
          <w:rFonts w:hint="eastAsia" w:ascii="仿宋" w:hAnsi="仿宋" w:eastAsia="仿宋" w:cs="仿宋"/>
          <w:bCs/>
          <w:sz w:val="32"/>
          <w:szCs w:val="32"/>
        </w:rPr>
        <w:br w:type="textWrapping"/>
      </w:r>
      <w:r>
        <w:rPr>
          <w:rFonts w:hint="eastAsia" w:ascii="仿宋" w:hAnsi="仿宋" w:eastAsia="仿宋" w:cs="仿宋"/>
          <w:bCs/>
          <w:sz w:val="32"/>
          <w:szCs w:val="32"/>
        </w:rPr>
        <w:t>　　以师承方式学习中医学的人员以及确有专长的人员，应当按照国务院卫生行政部门的规定，通过执业医师或者执业助理医师资格考核考试，并经注册取得医师执业证书后，方可从事中医医疗活动。</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第十二条</w:t>
      </w:r>
      <w:r>
        <w:rPr>
          <w:rFonts w:hint="eastAsia" w:ascii="仿宋" w:hAnsi="仿宋" w:eastAsia="仿宋" w:cs="仿宋"/>
          <w:bCs/>
          <w:sz w:val="32"/>
          <w:szCs w:val="32"/>
        </w:rPr>
        <w:t xml:space="preserve"> 中医从业人员应当遵守相应的中医诊断治疗原则、医疗技术标准和技术操作规范。</w:t>
      </w:r>
      <w:r>
        <w:rPr>
          <w:rFonts w:hint="eastAsia" w:ascii="仿宋" w:hAnsi="仿宋" w:eastAsia="仿宋" w:cs="仿宋"/>
          <w:bCs/>
          <w:sz w:val="32"/>
          <w:szCs w:val="32"/>
        </w:rPr>
        <w:br w:type="textWrapping"/>
      </w:r>
      <w:r>
        <w:rPr>
          <w:rFonts w:hint="eastAsia" w:ascii="仿宋" w:hAnsi="仿宋" w:eastAsia="仿宋" w:cs="仿宋"/>
          <w:bCs/>
          <w:sz w:val="32"/>
          <w:szCs w:val="32"/>
        </w:rPr>
        <w:t>　　全科医师和乡村医生应当具备中医药基本知识以及运用中医诊疗知识、技术，处理常见病和多发病的基本技能。</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第十三条</w:t>
      </w:r>
      <w:r>
        <w:rPr>
          <w:rFonts w:hint="eastAsia" w:ascii="仿宋" w:hAnsi="仿宋" w:eastAsia="仿宋" w:cs="仿宋"/>
          <w:bCs/>
          <w:sz w:val="32"/>
          <w:szCs w:val="32"/>
        </w:rPr>
        <w:t xml:space="preserve"> 发布中医医疗广告，医疗机构应当按照规定向所在地省、自治区、直辖市人民政府负责中医药管理的部门申请并报送有关材料。省、自治区、直辖市人民政府负责中医药管理的部门应当自收到有关材料之日起１０个工作日内进行审查，并作出是否核发中医医疗广告批准文号的决定。对符合规定要求的，发给中医医疗广告批准文号。未取得中医医疗广告批准文号的，不得发布中医医疗广告。</w:t>
      </w:r>
      <w:r>
        <w:rPr>
          <w:rFonts w:hint="eastAsia" w:ascii="仿宋" w:hAnsi="仿宋" w:eastAsia="仿宋" w:cs="仿宋"/>
          <w:bCs/>
          <w:sz w:val="32"/>
          <w:szCs w:val="32"/>
        </w:rPr>
        <w:br w:type="textWrapping"/>
      </w:r>
      <w:r>
        <w:rPr>
          <w:rFonts w:hint="eastAsia" w:ascii="仿宋" w:hAnsi="仿宋" w:eastAsia="仿宋" w:cs="仿宋"/>
          <w:bCs/>
          <w:sz w:val="32"/>
          <w:szCs w:val="32"/>
        </w:rPr>
        <w:t>　　发布的中医医疗广告，其内容应当与审查批准发布的内容一致。　　</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第三章 中医药教育与科研</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黑体" w:hAnsi="黑体" w:eastAsia="黑体" w:cs="黑体"/>
          <w:bCs/>
          <w:kern w:val="0"/>
          <w:szCs w:val="32"/>
        </w:rPr>
        <w:t>　</w:t>
      </w: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第十四条</w:t>
      </w:r>
      <w:r>
        <w:rPr>
          <w:rFonts w:hint="eastAsia" w:ascii="仿宋" w:hAnsi="仿宋" w:eastAsia="仿宋" w:cs="仿宋"/>
          <w:bCs/>
          <w:sz w:val="32"/>
          <w:szCs w:val="32"/>
        </w:rPr>
        <w:t xml:space="preserve"> 国家采取措施发展中医药教育事业。</w:t>
      </w:r>
      <w:r>
        <w:rPr>
          <w:rFonts w:hint="eastAsia" w:ascii="仿宋" w:hAnsi="仿宋" w:eastAsia="仿宋" w:cs="仿宋"/>
          <w:bCs/>
          <w:sz w:val="32"/>
          <w:szCs w:val="32"/>
        </w:rPr>
        <w:br w:type="textWrapping"/>
      </w:r>
      <w:r>
        <w:rPr>
          <w:rFonts w:hint="eastAsia" w:ascii="仿宋" w:hAnsi="仿宋" w:eastAsia="仿宋" w:cs="仿宋"/>
          <w:bCs/>
          <w:sz w:val="32"/>
          <w:szCs w:val="32"/>
        </w:rPr>
        <w:t>　　各类中医药教育机构应当加强中医药基础理论教学，重视中医药基础理论与中医药临床实践相结合，推进素质教育。</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第十五条</w:t>
      </w:r>
      <w:r>
        <w:rPr>
          <w:rFonts w:hint="eastAsia" w:ascii="仿宋" w:hAnsi="仿宋" w:eastAsia="仿宋" w:cs="仿宋"/>
          <w:bCs/>
          <w:sz w:val="32"/>
          <w:szCs w:val="32"/>
        </w:rPr>
        <w:t xml:space="preserve"> 设立各类中医药教育机构，应当符合国家规定的设置标准，并建立符合国家规定标准的临床教学基地。</w:t>
      </w:r>
      <w:r>
        <w:rPr>
          <w:rFonts w:hint="eastAsia" w:ascii="仿宋" w:hAnsi="仿宋" w:eastAsia="仿宋" w:cs="仿宋"/>
          <w:bCs/>
          <w:sz w:val="32"/>
          <w:szCs w:val="32"/>
        </w:rPr>
        <w:br w:type="textWrapping"/>
      </w:r>
      <w:r>
        <w:rPr>
          <w:rFonts w:hint="eastAsia" w:ascii="仿宋" w:hAnsi="仿宋" w:eastAsia="仿宋" w:cs="仿宋"/>
          <w:bCs/>
          <w:sz w:val="32"/>
          <w:szCs w:val="32"/>
        </w:rPr>
        <w:t>　　中医药教育机构的设置标准，由国务院卫生行政部门会同国务院教育行政部门制定；中医药教育机构临床教学基地标准，由国务院卫生行政部门制定。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第十六条</w:t>
      </w:r>
      <w:r>
        <w:rPr>
          <w:rFonts w:hint="eastAsia" w:ascii="仿宋" w:hAnsi="仿宋" w:eastAsia="仿宋" w:cs="仿宋"/>
          <w:bCs/>
          <w:sz w:val="32"/>
          <w:szCs w:val="32"/>
        </w:rPr>
        <w:t xml:space="preserve"> 国家鼓励开展中医药专家学术经验和技术专长继承工作，培养高层次的中医临床人才和中药技术人才。</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第十七条</w:t>
      </w:r>
      <w:r>
        <w:rPr>
          <w:rFonts w:hint="eastAsia" w:ascii="仿宋" w:hAnsi="仿宋" w:eastAsia="仿宋" w:cs="仿宋"/>
          <w:bCs/>
          <w:sz w:val="32"/>
          <w:szCs w:val="32"/>
        </w:rPr>
        <w:t xml:space="preserve"> 承担中医药专家学术经验和技术专长继承工作的指导老师应当具备下列条件：</w:t>
      </w:r>
      <w:r>
        <w:rPr>
          <w:rFonts w:hint="eastAsia" w:ascii="仿宋" w:hAnsi="仿宋" w:eastAsia="仿宋" w:cs="仿宋"/>
          <w:bCs/>
          <w:sz w:val="32"/>
          <w:szCs w:val="32"/>
        </w:rPr>
        <w:br w:type="textWrapping"/>
      </w:r>
      <w:r>
        <w:rPr>
          <w:rFonts w:hint="eastAsia" w:ascii="仿宋" w:hAnsi="仿宋" w:eastAsia="仿宋" w:cs="仿宋"/>
          <w:bCs/>
          <w:sz w:val="32"/>
          <w:szCs w:val="32"/>
        </w:rPr>
        <w:t>　　（一）具有较高学术水平和丰富的实践经验、技术专长和良好的职业品德；</w:t>
      </w:r>
      <w:r>
        <w:rPr>
          <w:rFonts w:hint="eastAsia" w:ascii="仿宋" w:hAnsi="仿宋" w:eastAsia="仿宋" w:cs="仿宋"/>
          <w:bCs/>
          <w:sz w:val="32"/>
          <w:szCs w:val="32"/>
        </w:rPr>
        <w:br w:type="textWrapping"/>
      </w:r>
      <w:r>
        <w:rPr>
          <w:rFonts w:hint="eastAsia" w:ascii="仿宋" w:hAnsi="仿宋" w:eastAsia="仿宋" w:cs="仿宋"/>
          <w:bCs/>
          <w:sz w:val="32"/>
          <w:szCs w:val="32"/>
        </w:rPr>
        <w:t>　　（二）从事中医药专业工作３０年以上并担任高级专业技术职务１０年以上。</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第十八条</w:t>
      </w:r>
      <w:r>
        <w:rPr>
          <w:rFonts w:hint="eastAsia" w:ascii="仿宋" w:hAnsi="仿宋" w:eastAsia="仿宋" w:cs="仿宋"/>
          <w:bCs/>
          <w:sz w:val="32"/>
          <w:szCs w:val="32"/>
        </w:rPr>
        <w:t xml:space="preserve"> 中医药专家学术经验和技术专长继承工作的继承人应当具备下列条件：</w:t>
      </w:r>
      <w:r>
        <w:rPr>
          <w:rFonts w:hint="eastAsia" w:ascii="仿宋" w:hAnsi="仿宋" w:eastAsia="仿宋" w:cs="仿宋"/>
          <w:bCs/>
          <w:sz w:val="32"/>
          <w:szCs w:val="32"/>
        </w:rPr>
        <w:br w:type="textWrapping"/>
      </w:r>
      <w:r>
        <w:rPr>
          <w:rFonts w:hint="eastAsia" w:ascii="仿宋" w:hAnsi="仿宋" w:eastAsia="仿宋" w:cs="仿宋"/>
          <w:bCs/>
          <w:sz w:val="32"/>
          <w:szCs w:val="32"/>
        </w:rPr>
        <w:t>　　（一）具有大学本科以上学历和良好的职业品德；</w:t>
      </w:r>
      <w:r>
        <w:rPr>
          <w:rFonts w:hint="eastAsia" w:ascii="仿宋" w:hAnsi="仿宋" w:eastAsia="仿宋" w:cs="仿宋"/>
          <w:bCs/>
          <w:sz w:val="32"/>
          <w:szCs w:val="32"/>
        </w:rPr>
        <w:br w:type="textWrapping"/>
      </w:r>
      <w:r>
        <w:rPr>
          <w:rFonts w:hint="eastAsia" w:ascii="仿宋" w:hAnsi="仿宋" w:eastAsia="仿宋" w:cs="仿宋"/>
          <w:bCs/>
          <w:sz w:val="32"/>
          <w:szCs w:val="32"/>
        </w:rPr>
        <w:t>　　（二）受聘于医疗卫生机构或者医学教育、科研机构从事中医药工作，并担任中级以上专业技术职务。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第十九条</w:t>
      </w:r>
      <w:r>
        <w:rPr>
          <w:rFonts w:hint="eastAsia" w:ascii="仿宋" w:hAnsi="仿宋" w:eastAsia="仿宋" w:cs="仿宋"/>
          <w:bCs/>
          <w:sz w:val="32"/>
          <w:szCs w:val="32"/>
        </w:rPr>
        <w:t xml:space="preserve"> 中医药专家学术经验和技术专长继承工作的指导老师以及继承人的管理办法，由国务院中医药管理部门会同有关部门制定。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第二十条</w:t>
      </w:r>
      <w:r>
        <w:rPr>
          <w:rFonts w:hint="eastAsia" w:ascii="仿宋" w:hAnsi="仿宋" w:eastAsia="仿宋" w:cs="仿宋"/>
          <w:bCs/>
          <w:sz w:val="32"/>
          <w:szCs w:val="32"/>
        </w:rPr>
        <w:t xml:space="preserve"> 省、自治区、直辖市人民政府负责中医药管理的部门应当依据国家有关规定，完善本地区中医药人员继续教育制度，制定中医药人员培训规划。</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县级以上地方人民政府负责中医药管理的部门应当按照中医药人员培训规划的要求，对城乡基层卫生服务人员进行中医药基本知识和基本技能的培训。</w:t>
      </w:r>
      <w:r>
        <w:rPr>
          <w:rFonts w:hint="eastAsia" w:ascii="仿宋" w:hAnsi="仿宋" w:eastAsia="仿宋" w:cs="仿宋"/>
          <w:bCs/>
          <w:sz w:val="32"/>
          <w:szCs w:val="32"/>
        </w:rPr>
        <w:br w:type="textWrapping"/>
      </w:r>
      <w:r>
        <w:rPr>
          <w:rFonts w:hint="eastAsia" w:ascii="仿宋" w:hAnsi="仿宋" w:eastAsia="仿宋" w:cs="仿宋"/>
          <w:bCs/>
          <w:sz w:val="32"/>
          <w:szCs w:val="32"/>
        </w:rPr>
        <w:t>　　医疗机构应当为中医药技术人员接受继续教育创造条件。</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第二十一条</w:t>
      </w:r>
      <w:r>
        <w:rPr>
          <w:rFonts w:hint="eastAsia" w:ascii="仿宋" w:hAnsi="仿宋" w:eastAsia="仿宋" w:cs="仿宋"/>
          <w:bCs/>
          <w:sz w:val="32"/>
          <w:szCs w:val="32"/>
        </w:rPr>
        <w:t xml:space="preserve"> 国家发展中医药科学技术，将其纳入科学技术发展规划，加强重点中医药科研机构建设。</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县级以上地方人民政府应当充分利用中医药资源，重视中医药科学研究和技术开发，采取措施开发、推广、应用中医药技术成果，促进中医药科学技术发展。</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第二十二条</w:t>
      </w:r>
      <w:r>
        <w:rPr>
          <w:rFonts w:hint="eastAsia" w:ascii="仿宋" w:hAnsi="仿宋" w:eastAsia="仿宋" w:cs="仿宋"/>
          <w:bCs/>
          <w:sz w:val="32"/>
          <w:szCs w:val="32"/>
        </w:rPr>
        <w:t xml:space="preserve"> 中医药科学研究应当注重运用传统方法和现代方法开展中医药基础理论研究和临床研究，运用中医药理论和现代科学技术开展对常见病、多发病和疑难病的防治研究。</w:t>
      </w:r>
      <w:r>
        <w:rPr>
          <w:rFonts w:hint="eastAsia" w:ascii="仿宋" w:hAnsi="仿宋" w:eastAsia="仿宋" w:cs="仿宋"/>
          <w:bCs/>
          <w:sz w:val="32"/>
          <w:szCs w:val="32"/>
        </w:rPr>
        <w:br w:type="textWrapping"/>
      </w:r>
      <w:r>
        <w:rPr>
          <w:rFonts w:hint="eastAsia" w:ascii="仿宋" w:hAnsi="仿宋" w:eastAsia="仿宋" w:cs="仿宋"/>
          <w:bCs/>
          <w:sz w:val="32"/>
          <w:szCs w:val="32"/>
        </w:rPr>
        <w:t>　　中医药科研机构、高等院校、医疗机构应当加强中医药科研的协作攻关和中医药科技成果的推广应用，培养中医药学科带头人和中青年技术骨干。</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第二十三条</w:t>
      </w:r>
      <w:r>
        <w:rPr>
          <w:rFonts w:hint="eastAsia" w:ascii="仿宋" w:hAnsi="仿宋" w:eastAsia="仿宋" w:cs="仿宋"/>
          <w:bCs/>
          <w:sz w:val="32"/>
          <w:szCs w:val="32"/>
        </w:rPr>
        <w:t xml:space="preserve"> 捐献对中医药科学技术发展有重大意义的中医诊疗方法和中医药文献、秘方、验方的，参照《国家科学技术奖励条例》的规定给予奖励。</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第二十四条</w:t>
      </w:r>
      <w:r>
        <w:rPr>
          <w:rFonts w:hint="eastAsia" w:ascii="仿宋" w:hAnsi="仿宋" w:eastAsia="仿宋" w:cs="仿宋"/>
          <w:bCs/>
          <w:sz w:val="32"/>
          <w:szCs w:val="32"/>
        </w:rPr>
        <w:t xml:space="preserve"> 国家支持中医药的对外交流与合作，推进中医药的国际传播。</w:t>
      </w:r>
      <w:r>
        <w:rPr>
          <w:rFonts w:hint="eastAsia" w:ascii="仿宋" w:hAnsi="仿宋" w:eastAsia="仿宋" w:cs="仿宋"/>
          <w:bCs/>
          <w:sz w:val="32"/>
          <w:szCs w:val="32"/>
        </w:rPr>
        <w:br w:type="textWrapping"/>
      </w:r>
      <w:r>
        <w:rPr>
          <w:rFonts w:hint="eastAsia" w:ascii="仿宋" w:hAnsi="仿宋" w:eastAsia="仿宋" w:cs="仿宋"/>
          <w:bCs/>
          <w:sz w:val="32"/>
          <w:szCs w:val="32"/>
        </w:rPr>
        <w:t>　　重大中医药科研成果的推广、转让、对外交流，中外合作研究中医药技术，应当经省级以上人民政府负责中医药管理的部门批准，防止重大中医药资源流失。</w:t>
      </w:r>
      <w:r>
        <w:rPr>
          <w:rFonts w:hint="eastAsia" w:ascii="仿宋" w:hAnsi="仿宋" w:eastAsia="仿宋" w:cs="仿宋"/>
          <w:bCs/>
          <w:sz w:val="32"/>
          <w:szCs w:val="32"/>
        </w:rPr>
        <w:br w:type="textWrapping"/>
      </w:r>
      <w:r>
        <w:rPr>
          <w:rFonts w:hint="eastAsia" w:ascii="仿宋" w:hAnsi="仿宋" w:eastAsia="仿宋" w:cs="仿宋"/>
          <w:bCs/>
          <w:sz w:val="32"/>
          <w:szCs w:val="32"/>
        </w:rPr>
        <w:t>　　属于国家科学技术秘密的中医药科研成果，确需转让、对外交流的，应当符合有关保守国家秘密的法律、行政法规和部门规章的规定。</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第四章 保障措施</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黑体" w:hAnsi="黑体" w:eastAsia="黑体" w:cs="黑体"/>
          <w:bCs/>
          <w:kern w:val="0"/>
          <w:szCs w:val="32"/>
        </w:rPr>
        <w:t>　</w:t>
      </w: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第二十五条</w:t>
      </w:r>
      <w:r>
        <w:rPr>
          <w:rFonts w:hint="eastAsia" w:ascii="仿宋" w:hAnsi="仿宋" w:eastAsia="仿宋" w:cs="仿宋"/>
          <w:bCs/>
          <w:sz w:val="32"/>
          <w:szCs w:val="32"/>
        </w:rPr>
        <w:t xml:space="preserve"> 县级以上地方人民政府应当根据中医药事业发展的需要以及本地区国民经济和社会发展状况，逐步增加对中医药事业的投入，扶持中医药事业的发展。</w:t>
      </w:r>
      <w:r>
        <w:rPr>
          <w:rFonts w:hint="eastAsia" w:ascii="仿宋" w:hAnsi="仿宋" w:eastAsia="仿宋" w:cs="仿宋"/>
          <w:bCs/>
          <w:sz w:val="32"/>
          <w:szCs w:val="32"/>
        </w:rPr>
        <w:br w:type="textWrapping"/>
      </w:r>
      <w:r>
        <w:rPr>
          <w:rFonts w:hint="eastAsia" w:ascii="仿宋" w:hAnsi="仿宋" w:eastAsia="仿宋" w:cs="仿宋"/>
          <w:bCs/>
          <w:sz w:val="32"/>
          <w:szCs w:val="32"/>
        </w:rPr>
        <w:t>　　任何单位和个人不得将中医药事业经费挪作他用。</w:t>
      </w:r>
      <w:r>
        <w:rPr>
          <w:rFonts w:hint="eastAsia" w:ascii="仿宋" w:hAnsi="仿宋" w:eastAsia="仿宋" w:cs="仿宋"/>
          <w:bCs/>
          <w:sz w:val="32"/>
          <w:szCs w:val="32"/>
        </w:rPr>
        <w:br w:type="textWrapping"/>
      </w:r>
      <w:r>
        <w:rPr>
          <w:rFonts w:hint="eastAsia" w:ascii="仿宋" w:hAnsi="仿宋" w:eastAsia="仿宋" w:cs="仿宋"/>
          <w:bCs/>
          <w:sz w:val="32"/>
          <w:szCs w:val="32"/>
        </w:rPr>
        <w:t>　　国家鼓励境内外组织和个人通过捐资、投资等方式扶持中医药事业发展。</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第二十六条</w:t>
      </w:r>
      <w:r>
        <w:rPr>
          <w:rFonts w:hint="eastAsia" w:ascii="仿宋" w:hAnsi="仿宋" w:eastAsia="仿宋" w:cs="仿宋"/>
          <w:bCs/>
          <w:sz w:val="32"/>
          <w:szCs w:val="32"/>
        </w:rPr>
        <w:t xml:space="preserve"> 非营利性中医医疗机构，依照国家有关规定享受财政补贴、税收减免等优惠政策。</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第二十七条</w:t>
      </w:r>
      <w:r>
        <w:rPr>
          <w:rFonts w:hint="eastAsia" w:ascii="仿宋" w:hAnsi="仿宋" w:eastAsia="仿宋" w:cs="仿宋"/>
          <w:bCs/>
          <w:sz w:val="32"/>
          <w:szCs w:val="32"/>
        </w:rPr>
        <w:t xml:space="preserve"> 县级以上地方人民政府劳动保障行政部门确定的城镇职工基本医疗保险定点医疗机构，应当包括符合条件的中医医疗机构。</w:t>
      </w:r>
      <w:r>
        <w:rPr>
          <w:rFonts w:hint="eastAsia" w:ascii="仿宋" w:hAnsi="仿宋" w:eastAsia="仿宋" w:cs="仿宋"/>
          <w:bCs/>
          <w:sz w:val="32"/>
          <w:szCs w:val="32"/>
        </w:rPr>
        <w:br w:type="textWrapping"/>
      </w:r>
      <w:r>
        <w:rPr>
          <w:rFonts w:hint="eastAsia" w:ascii="仿宋" w:hAnsi="仿宋" w:eastAsia="仿宋" w:cs="仿宋"/>
          <w:bCs/>
          <w:sz w:val="32"/>
          <w:szCs w:val="32"/>
        </w:rPr>
        <w:t>　　获得定点资格的中医医疗机构，应当按照规定向参保人员提供基本医疗服务。</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第二十八条</w:t>
      </w:r>
      <w:r>
        <w:rPr>
          <w:rFonts w:hint="eastAsia" w:ascii="仿宋" w:hAnsi="仿宋" w:eastAsia="仿宋" w:cs="仿宋"/>
          <w:bCs/>
          <w:sz w:val="32"/>
          <w:szCs w:val="32"/>
        </w:rPr>
        <w:t xml:space="preserve"> 县级以上各级人民政府应当采取措施加强对中医药文献的收集、整理、研究和保护工作。</w:t>
      </w:r>
      <w:r>
        <w:rPr>
          <w:rFonts w:hint="eastAsia" w:ascii="仿宋" w:hAnsi="仿宋" w:eastAsia="仿宋" w:cs="仿宋"/>
          <w:bCs/>
          <w:sz w:val="32"/>
          <w:szCs w:val="32"/>
        </w:rPr>
        <w:br w:type="textWrapping"/>
      </w:r>
      <w:r>
        <w:rPr>
          <w:rFonts w:hint="eastAsia" w:ascii="仿宋" w:hAnsi="仿宋" w:eastAsia="仿宋" w:cs="仿宋"/>
          <w:bCs/>
          <w:sz w:val="32"/>
          <w:szCs w:val="32"/>
        </w:rPr>
        <w:t>　　有关单位和中医医疗机构应当加强重要中医药文献资料的管理、保护和利用。</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第二十九条</w:t>
      </w:r>
      <w:r>
        <w:rPr>
          <w:rFonts w:hint="eastAsia" w:ascii="仿宋" w:hAnsi="仿宋" w:eastAsia="仿宋" w:cs="仿宋"/>
          <w:bCs/>
          <w:sz w:val="32"/>
          <w:szCs w:val="32"/>
        </w:rPr>
        <w:t xml:space="preserve"> 国家保护野生中药材资源，扶持濒危动植物中药材人工代用品的研究和开发利用。</w:t>
      </w:r>
      <w:r>
        <w:rPr>
          <w:rFonts w:hint="eastAsia" w:ascii="仿宋" w:hAnsi="仿宋" w:eastAsia="仿宋" w:cs="仿宋"/>
          <w:bCs/>
          <w:sz w:val="32"/>
          <w:szCs w:val="32"/>
        </w:rPr>
        <w:br w:type="textWrapping"/>
      </w:r>
      <w:r>
        <w:rPr>
          <w:rFonts w:hint="eastAsia" w:ascii="仿宋" w:hAnsi="仿宋" w:eastAsia="仿宋" w:cs="仿宋"/>
          <w:bCs/>
          <w:sz w:val="32"/>
          <w:szCs w:val="32"/>
        </w:rPr>
        <w:t>　　县级以上地方人民政府应当加强中药材的合理开发和利用，鼓励建立中药材种植、培育基地，促进短缺中药材的开发、生产。</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第三十条</w:t>
      </w:r>
      <w:r>
        <w:rPr>
          <w:rFonts w:hint="eastAsia" w:ascii="仿宋" w:hAnsi="仿宋" w:eastAsia="仿宋" w:cs="仿宋"/>
          <w:bCs/>
          <w:sz w:val="32"/>
          <w:szCs w:val="32"/>
        </w:rPr>
        <w:t xml:space="preserve"> 与中医药有关的评审或者鉴定活动，应当体现中医药特色，遵循中医药自身的发展规律。</w:t>
      </w:r>
      <w:r>
        <w:rPr>
          <w:rFonts w:hint="eastAsia" w:ascii="仿宋" w:hAnsi="仿宋" w:eastAsia="仿宋" w:cs="仿宋"/>
          <w:bCs/>
          <w:sz w:val="32"/>
          <w:szCs w:val="32"/>
        </w:rPr>
        <w:br w:type="textWrapping"/>
      </w:r>
      <w:r>
        <w:rPr>
          <w:rFonts w:hint="eastAsia" w:ascii="仿宋" w:hAnsi="仿宋" w:eastAsia="仿宋" w:cs="仿宋"/>
          <w:bCs/>
          <w:sz w:val="32"/>
          <w:szCs w:val="32"/>
        </w:rPr>
        <w:t>　　中医药专业技术职务任职资格的评审，中医医疗、教育、科研机构的评审、评估，中医药科研课题的立项和成果鉴定，应当成立专门的中医药评审、鉴定组织或者由中医药专家参加评审、鉴定。　　</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第五章 法律责任</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第三十一条</w:t>
      </w:r>
      <w:r>
        <w:rPr>
          <w:rFonts w:hint="eastAsia" w:ascii="仿宋" w:hAnsi="仿宋" w:eastAsia="仿宋" w:cs="仿宋"/>
          <w:bCs/>
          <w:sz w:val="32"/>
          <w:szCs w:val="32"/>
        </w:rPr>
        <w:t xml:space="preserve"> 负责中医药管理的部门的工作人员在中医药管理工作中违反本条例的规定，利用职务上的便利收受他人财物或者获取其他利益，滥用职权，玩忽职守，或者发现违法行为不予查处，造成严重后果，构成犯罪的，依法追究刑事责任；尚不够刑事处罚的，依法给予降级或者撤职的行政处分。</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第三十二条</w:t>
      </w:r>
      <w:r>
        <w:rPr>
          <w:rFonts w:hint="eastAsia" w:ascii="仿宋" w:hAnsi="仿宋" w:eastAsia="仿宋" w:cs="仿宋"/>
          <w:bCs/>
          <w:sz w:val="32"/>
          <w:szCs w:val="32"/>
        </w:rPr>
        <w:t xml:space="preserve"> 中医医疗机构违反本条例的规定，有下列情形之一的，由县级以上地方人民政府负责中医药管理的部门责令限期改正；逾期不改正的，责令停业整顿，直至由原审批机关吊销其医疗机构执业许可证、取消其城镇职工基本医疗保险定点医疗机构资格，并对负有责任的主管人员和其他直接责任人员依法给予纪律处分：</w:t>
      </w:r>
      <w:r>
        <w:rPr>
          <w:rFonts w:hint="eastAsia" w:ascii="仿宋" w:hAnsi="仿宋" w:eastAsia="仿宋" w:cs="仿宋"/>
          <w:bCs/>
          <w:sz w:val="32"/>
          <w:szCs w:val="32"/>
        </w:rPr>
        <w:br w:type="textWrapping"/>
      </w:r>
      <w:r>
        <w:rPr>
          <w:rFonts w:hint="eastAsia" w:ascii="仿宋" w:hAnsi="仿宋" w:eastAsia="仿宋" w:cs="仿宋"/>
          <w:bCs/>
          <w:sz w:val="32"/>
          <w:szCs w:val="32"/>
        </w:rPr>
        <w:t>　　（一）不符合中医医疗机构设置标准的；</w:t>
      </w:r>
      <w:r>
        <w:rPr>
          <w:rFonts w:hint="eastAsia" w:ascii="仿宋" w:hAnsi="仿宋" w:eastAsia="仿宋" w:cs="仿宋"/>
          <w:bCs/>
          <w:sz w:val="32"/>
          <w:szCs w:val="32"/>
        </w:rPr>
        <w:br w:type="textWrapping"/>
      </w:r>
      <w:r>
        <w:rPr>
          <w:rFonts w:hint="eastAsia" w:ascii="仿宋" w:hAnsi="仿宋" w:eastAsia="仿宋" w:cs="仿宋"/>
          <w:bCs/>
          <w:sz w:val="32"/>
          <w:szCs w:val="32"/>
        </w:rPr>
        <w:t>　　（二）获得城镇职工基本医疗保险定点医疗机构资格，未按照规定向参保人员提供基本医疗服务的。</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第三十三条</w:t>
      </w:r>
      <w:r>
        <w:rPr>
          <w:rFonts w:hint="eastAsia" w:ascii="仿宋" w:hAnsi="仿宋" w:eastAsia="仿宋" w:cs="仿宋"/>
          <w:bCs/>
          <w:sz w:val="32"/>
          <w:szCs w:val="32"/>
        </w:rPr>
        <w:t xml:space="preserve"> 未经批准擅自开办中医医疗机构或者未按照规定通过执业医师或者执业助理医师资格考试取得执业许可，从事中医医疗活动的，依照《中华人民共和国执业医师法》和《医疗机构管理条例》的有关规定给予处罚。</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第三十四条</w:t>
      </w:r>
      <w:r>
        <w:rPr>
          <w:rFonts w:hint="eastAsia" w:ascii="仿宋" w:hAnsi="仿宋" w:eastAsia="仿宋" w:cs="仿宋"/>
          <w:bCs/>
          <w:sz w:val="32"/>
          <w:szCs w:val="32"/>
        </w:rPr>
        <w:t xml:space="preserve"> 中医药教育机构违反本条例的规定，有下列情形之一的，由县级以上地方人民政府负责中医药管理的部门责令限期改正；逾期不改正的，由原审批机关予以撤销：</w:t>
      </w:r>
      <w:r>
        <w:rPr>
          <w:rFonts w:hint="eastAsia" w:ascii="仿宋" w:hAnsi="仿宋" w:eastAsia="仿宋" w:cs="仿宋"/>
          <w:bCs/>
          <w:sz w:val="32"/>
          <w:szCs w:val="32"/>
        </w:rPr>
        <w:br w:type="textWrapping"/>
      </w:r>
      <w:r>
        <w:rPr>
          <w:rFonts w:hint="eastAsia" w:ascii="仿宋" w:hAnsi="仿宋" w:eastAsia="仿宋" w:cs="仿宋"/>
          <w:bCs/>
          <w:sz w:val="32"/>
          <w:szCs w:val="32"/>
        </w:rPr>
        <w:t>　　（一）不符合规定的设置标准的；</w:t>
      </w:r>
      <w:r>
        <w:rPr>
          <w:rFonts w:hint="eastAsia" w:ascii="仿宋" w:hAnsi="仿宋" w:eastAsia="仿宋" w:cs="仿宋"/>
          <w:bCs/>
          <w:sz w:val="32"/>
          <w:szCs w:val="32"/>
        </w:rPr>
        <w:br w:type="textWrapping"/>
      </w:r>
      <w:r>
        <w:rPr>
          <w:rFonts w:hint="eastAsia" w:ascii="仿宋" w:hAnsi="仿宋" w:eastAsia="仿宋" w:cs="仿宋"/>
          <w:bCs/>
          <w:sz w:val="32"/>
          <w:szCs w:val="32"/>
        </w:rPr>
        <w:t>　　（二）没有建立符合规定标准的临床教学基地的。</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第三十五条</w:t>
      </w:r>
      <w:r>
        <w:rPr>
          <w:rFonts w:hint="eastAsia" w:ascii="仿宋" w:hAnsi="仿宋" w:eastAsia="仿宋" w:cs="仿宋"/>
          <w:bCs/>
          <w:sz w:val="32"/>
          <w:szCs w:val="32"/>
        </w:rPr>
        <w:t xml:space="preserve"> 违反本条例规定，造成重大中医药资源流失和国家科学技术秘密泄露，情节严重，构成犯罪的，依法追究刑事责任；尚不够刑事处罚的，由县级以上地方人民政府负责中医药管理的部门责令改正，对负有责任的主管人员和其他直接责任人员依法给予纪律处分。</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第三十六条</w:t>
      </w:r>
      <w:r>
        <w:rPr>
          <w:rFonts w:hint="eastAsia" w:ascii="仿宋" w:hAnsi="仿宋" w:eastAsia="仿宋" w:cs="仿宋"/>
          <w:bCs/>
          <w:sz w:val="32"/>
          <w:szCs w:val="32"/>
        </w:rPr>
        <w:t xml:space="preserve"> 违反本条例规定，损毁或者破坏中医药文献的，由县级以上地方人民政府负责中医药管理的部门责令改正，对负有责任的主管人员和其他直接责任人员依法给予纪律处分；损毁或者破坏属于国家保护文物的中医药文献，情节严重，构成犯罪的，依法追究刑事责任。</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第三十七条</w:t>
      </w:r>
      <w:r>
        <w:rPr>
          <w:rFonts w:hint="eastAsia" w:ascii="仿宋" w:hAnsi="仿宋" w:eastAsia="仿宋" w:cs="仿宋"/>
          <w:bCs/>
          <w:sz w:val="32"/>
          <w:szCs w:val="32"/>
        </w:rPr>
        <w:t xml:space="preserve"> 篡改经批准的中医医疗广告内容的，由原审批部门撤销广告批准文号，１年内不受理该中医医疗机构的广告审批申请。</w:t>
      </w:r>
      <w:r>
        <w:rPr>
          <w:rFonts w:hint="eastAsia" w:ascii="仿宋" w:hAnsi="仿宋" w:eastAsia="仿宋" w:cs="仿宋"/>
          <w:bCs/>
          <w:sz w:val="32"/>
          <w:szCs w:val="32"/>
        </w:rPr>
        <w:br w:type="textWrapping"/>
      </w:r>
      <w:r>
        <w:rPr>
          <w:rFonts w:hint="eastAsia" w:ascii="仿宋" w:hAnsi="仿宋" w:eastAsia="仿宋" w:cs="仿宋"/>
          <w:bCs/>
          <w:sz w:val="32"/>
          <w:szCs w:val="32"/>
        </w:rPr>
        <w:t>　　负责中医药管理的部门撤销中医医疗广告批准文号后，应当自作出行政处理决定之日起５个工作日内通知广告监督管理机关。广告监督管理机关应当自收到负责中医药管理的部门通知之日起１５个工作日内，依照《中华人民共和国广告法》的有关规定查处。　　</w:t>
      </w:r>
      <w:r>
        <w:rPr>
          <w:rFonts w:hint="eastAsia" w:ascii="仿宋" w:hAnsi="仿宋" w:eastAsia="仿宋" w:cs="仿宋"/>
          <w:bCs/>
          <w:sz w:val="32"/>
          <w:szCs w:val="32"/>
        </w:rPr>
        <w:br w:type="textWrapping"/>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第六章 附则</w:t>
      </w:r>
    </w:p>
    <w:p>
      <w:pPr>
        <w:widowControl w:val="0"/>
        <w:wordWrap/>
        <w:adjustRightInd/>
        <w:snapToGrid/>
        <w:spacing w:line="560" w:lineRule="exact"/>
        <w:textAlignment w:val="auto"/>
        <w:rPr>
          <w:rFonts w:hint="eastAsia" w:ascii="仿宋" w:hAnsi="仿宋" w:eastAsia="仿宋" w:cs="仿宋"/>
          <w:bCs/>
          <w:sz w:val="32"/>
          <w:szCs w:val="32"/>
        </w:rPr>
      </w:pPr>
      <w:r>
        <w:rPr>
          <w:rFonts w:hint="eastAsia" w:ascii="黑体" w:hAnsi="黑体" w:eastAsia="黑体" w:cs="黑体"/>
          <w:bCs/>
          <w:kern w:val="0"/>
          <w:szCs w:val="32"/>
        </w:rPr>
        <w:t>　</w:t>
      </w:r>
      <w:r>
        <w:rPr>
          <w:rFonts w:hint="eastAsia" w:ascii="仿宋" w:hAnsi="仿宋" w:eastAsia="仿宋" w:cs="仿宋"/>
          <w:bCs/>
          <w:sz w:val="32"/>
          <w:szCs w:val="32"/>
        </w:rPr>
        <w:t>　</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第三十八条</w:t>
      </w:r>
      <w:r>
        <w:rPr>
          <w:rFonts w:hint="eastAsia" w:ascii="仿宋" w:hAnsi="仿宋" w:eastAsia="仿宋" w:cs="仿宋"/>
          <w:bCs/>
          <w:sz w:val="32"/>
          <w:szCs w:val="32"/>
        </w:rPr>
        <w:t xml:space="preserve"> 本条例所称中医医疗机构，是指依法取得医疗机构执业许可证的中医、中西医结合的医院、门诊部和诊所。</w:t>
      </w:r>
      <w:r>
        <w:rPr>
          <w:rFonts w:hint="eastAsia" w:ascii="仿宋" w:hAnsi="仿宋" w:eastAsia="仿宋" w:cs="仿宋"/>
          <w:bCs/>
          <w:sz w:val="32"/>
          <w:szCs w:val="32"/>
        </w:rPr>
        <w:br w:type="textWrapping"/>
      </w:r>
      <w:r>
        <w:rPr>
          <w:rFonts w:hint="eastAsia" w:ascii="仿宋" w:hAnsi="仿宋" w:eastAsia="仿宋" w:cs="仿宋"/>
          <w:bCs/>
          <w:sz w:val="32"/>
          <w:szCs w:val="32"/>
        </w:rPr>
        <w:t>　　民族医药的管理参照本条例执行。</w:t>
      </w:r>
      <w:r>
        <w:rPr>
          <w:rFonts w:hint="eastAsia" w:ascii="仿宋" w:hAnsi="仿宋" w:eastAsia="仿宋" w:cs="仿宋"/>
          <w:bCs/>
          <w:sz w:val="32"/>
          <w:szCs w:val="32"/>
        </w:rPr>
        <w:br w:type="textWrapping"/>
      </w:r>
      <w:r>
        <w:rPr>
          <w:rFonts w:hint="eastAsia" w:ascii="仿宋" w:hAnsi="仿宋" w:eastAsia="仿宋" w:cs="仿宋"/>
          <w:bCs/>
          <w:sz w:val="32"/>
          <w:szCs w:val="32"/>
        </w:rPr>
        <w:t>　</w:t>
      </w:r>
      <w:r>
        <w:rPr>
          <w:rFonts w:hint="eastAsia" w:ascii="宋体" w:hAnsi="宋体" w:eastAsia="黑体" w:cs="Arial"/>
          <w:kern w:val="0"/>
          <w:szCs w:val="32"/>
        </w:rPr>
        <w:t>　第三十九条</w:t>
      </w:r>
      <w:r>
        <w:rPr>
          <w:rFonts w:hint="eastAsia" w:ascii="仿宋" w:hAnsi="仿宋" w:eastAsia="仿宋" w:cs="仿宋"/>
          <w:bCs/>
          <w:sz w:val="32"/>
          <w:szCs w:val="32"/>
        </w:rPr>
        <w:t xml:space="preserve"> 本条例自２００３年１０月１日起施行。</w:t>
      </w:r>
      <w:r>
        <w:rPr>
          <w:rFonts w:hint="eastAsia" w:ascii="仿宋" w:hAnsi="仿宋" w:eastAsia="仿宋" w:cs="仿宋"/>
          <w:bCs/>
          <w:sz w:val="32"/>
          <w:szCs w:val="32"/>
        </w:rPr>
        <w:br w:type="page"/>
      </w:r>
    </w:p>
    <w:p>
      <w:pPr>
        <w:pStyle w:val="4"/>
        <w:widowControl/>
        <w:pBdr>
          <w:top w:val="none" w:color="auto" w:sz="0" w:space="0"/>
          <w:left w:val="none" w:color="auto" w:sz="0" w:space="0"/>
          <w:bottom w:val="none" w:color="auto" w:sz="0" w:space="0"/>
          <w:right w:val="none" w:color="auto" w:sz="0" w:space="0"/>
        </w:pBdr>
        <w:shd w:val="clear" w:color="060000" w:fill="FFFFFF"/>
        <w:spacing w:before="0" w:beforeAutospacing="0" w:after="150" w:afterAutospacing="0"/>
        <w:ind w:left="0" w:leftChars="0" w:right="0" w:firstLine="0" w:firstLineChars="0"/>
        <w:jc w:val="center"/>
        <w:textAlignment w:val="baseline"/>
        <w:outlineLvl w:val="0"/>
        <w:rPr>
          <w:rFonts w:hint="eastAsia" w:ascii="宋体" w:hAnsi="宋体" w:eastAsia="宋体" w:cs="宋体"/>
          <w:b w:val="0"/>
          <w:bCs/>
          <w:kern w:val="2"/>
          <w:sz w:val="44"/>
          <w:szCs w:val="44"/>
          <w:lang w:val="en-US" w:eastAsia="zh-CN" w:bidi="ar-SA"/>
        </w:rPr>
      </w:pPr>
      <w:bookmarkStart w:id="225" w:name="_Toc24061"/>
      <w:r>
        <w:rPr>
          <w:rFonts w:hint="eastAsia" w:ascii="宋体" w:hAnsi="宋体" w:eastAsia="宋体" w:cs="宋体"/>
          <w:b w:val="0"/>
          <w:bCs/>
          <w:kern w:val="2"/>
          <w:sz w:val="44"/>
          <w:szCs w:val="44"/>
          <w:lang w:val="en-US" w:eastAsia="zh-CN" w:bidi="ar-SA"/>
        </w:rPr>
        <w:t>中华人民共和国陆生野生动物保护实施条例</w:t>
      </w:r>
      <w:bookmarkEnd w:id="225"/>
    </w:p>
    <w:p>
      <w:pPr>
        <w:widowControl w:val="0"/>
        <w:wordWrap/>
        <w:adjustRightInd/>
        <w:snapToGrid/>
        <w:spacing w:line="560" w:lineRule="exact"/>
        <w:textAlignment w:val="auto"/>
        <w:rPr>
          <w:rFonts w:hint="eastAsia" w:ascii="仿宋" w:hAnsi="仿宋" w:eastAsia="仿宋" w:cs="仿宋"/>
          <w:kern w:val="0"/>
          <w:szCs w:val="32"/>
        </w:rPr>
      </w:pPr>
    </w:p>
    <w:p>
      <w:pPr>
        <w:widowControl w:val="0"/>
        <w:wordWrap/>
        <w:overflowPunct w:val="0"/>
        <w:spacing w:beforeAutospacing="0" w:afterAutospacing="0" w:line="560" w:lineRule="exact"/>
        <w:ind w:left="640" w:leftChars="200" w:right="640" w:rightChars="200"/>
        <w:textAlignment w:val="auto"/>
        <w:outlineLvl w:val="9"/>
        <w:rPr>
          <w:rFonts w:hint="eastAsia" w:ascii="楷体" w:hAnsi="楷体" w:eastAsia="楷体" w:cs="楷体"/>
          <w:szCs w:val="32"/>
          <w:lang w:eastAsia="zh-CN"/>
        </w:rPr>
      </w:pPr>
      <w:r>
        <w:rPr>
          <w:rFonts w:hint="eastAsia" w:ascii="楷体" w:hAnsi="楷体" w:eastAsia="楷体" w:cs="楷体"/>
          <w:szCs w:val="32"/>
          <w:lang w:eastAsia="zh-CN"/>
        </w:rPr>
        <w:t>（1992年2月12日国务院批准1992年3月1日林业部发布　根据2011年1月8日《国务院关于废止和修改部分行政法规的决定》第一次修订　根据2016年2月6日《国务院关于修改部分行政法规的决定》第二次修订）</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第一条</w:t>
      </w:r>
      <w:r>
        <w:rPr>
          <w:rFonts w:hint="eastAsia" w:ascii="仿宋" w:hAnsi="仿宋" w:eastAsia="仿宋" w:cs="仿宋"/>
          <w:kern w:val="0"/>
          <w:szCs w:val="32"/>
        </w:rPr>
        <w:t xml:space="preserve"> 根据《中华人民共和国野生动物保护法》（以下简称《野生动物保护法》）的规定，制定本条例。</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第二条</w:t>
      </w:r>
      <w:r>
        <w:rPr>
          <w:rFonts w:hint="eastAsia" w:ascii="仿宋" w:hAnsi="仿宋" w:eastAsia="仿宋" w:cs="仿宋"/>
          <w:kern w:val="0"/>
          <w:szCs w:val="32"/>
        </w:rPr>
        <w:t xml:space="preserve"> 本条例所称陆生野生动物，是指依法受保护的珍贵、濒危、有益的和有重要经济、科学研究价值的陆生野生动物（以下简称野生动物）；所称野生动物产品，是指陆生野生动物的任何部分及其衍生物。</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第三条 </w:t>
      </w:r>
      <w:r>
        <w:rPr>
          <w:rFonts w:hint="eastAsia" w:ascii="仿宋" w:hAnsi="仿宋" w:eastAsia="仿宋" w:cs="仿宋"/>
          <w:kern w:val="0"/>
          <w:szCs w:val="32"/>
        </w:rPr>
        <w:t>国务院林业行政主管部门主管全国陆生野生动物管理工作。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省、自治区、直辖市人民政府林业行政主管部门主管本行政区域内陆生野生动物管理工作。自治州、县和市人民政府陆生野生动物管理工作的行政主管部门，由省、自治区、直辖市人民政府确定。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第四条</w:t>
      </w:r>
      <w:r>
        <w:rPr>
          <w:rFonts w:hint="eastAsia" w:ascii="仿宋" w:hAnsi="仿宋" w:eastAsia="仿宋" w:cs="仿宋"/>
          <w:kern w:val="0"/>
          <w:szCs w:val="32"/>
        </w:rPr>
        <w:t xml:space="preserve"> 县级以上各级人民政府有关主管部门应当鼓励、支持有关科研、教学单位开展野生动物科学研究工作。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第五条</w:t>
      </w:r>
      <w:r>
        <w:rPr>
          <w:rFonts w:hint="eastAsia" w:ascii="仿宋" w:hAnsi="仿宋" w:eastAsia="仿宋" w:cs="仿宋"/>
          <w:kern w:val="0"/>
          <w:szCs w:val="32"/>
        </w:rPr>
        <w:t xml:space="preserve"> 野生动物行政主管部门有权对《野生动物保护法》和本条例的实施情况进行监督检查，被检查的单位和个人应当给予配合。</w:t>
      </w: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第二章　野生动物保护</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第六条</w:t>
      </w:r>
      <w:r>
        <w:rPr>
          <w:rFonts w:hint="eastAsia" w:ascii="仿宋" w:hAnsi="仿宋" w:eastAsia="仿宋" w:cs="仿宋"/>
          <w:kern w:val="0"/>
          <w:szCs w:val="32"/>
        </w:rPr>
        <w:t xml:space="preserve"> 县级以上地方各级人民政府应当开展保护野生动物的宣传教育，可以确定适当时间为保护野生动物宣传月、爱鸟周等，提高公民保护野生动物的意识。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第七条</w:t>
      </w:r>
      <w:r>
        <w:rPr>
          <w:rFonts w:hint="eastAsia" w:ascii="仿宋" w:hAnsi="仿宋" w:eastAsia="仿宋" w:cs="仿宋"/>
          <w:kern w:val="0"/>
          <w:szCs w:val="32"/>
        </w:rPr>
        <w:t xml:space="preserve"> 国务院林业行政主管部门和省、自治区、直辖市人民政府林业行政主管部门，应当定期组织野生动物资源调查，建立资源档案，为制定野生动物资源保护发展方案、制定和调整国家和地方重点保护野生动物名录提供依据。</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野生动物资源普查每十年进行一次。</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第八条</w:t>
      </w:r>
      <w:r>
        <w:rPr>
          <w:rFonts w:hint="eastAsia" w:ascii="仿宋" w:hAnsi="仿宋" w:eastAsia="仿宋" w:cs="仿宋"/>
          <w:kern w:val="0"/>
          <w:szCs w:val="32"/>
        </w:rPr>
        <w:t xml:space="preserve"> 县级以上各级人民政府野生动物行政主管部门，应当组织社会各方面力量，采取生物技术措施和工程技术措施，维护和改善野生动物生存环境，保护和发展野生动物资源。</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禁止任何单位和个人破坏国家和地方重点保护野生动物的生息繁衍场所和生存条件。</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第九条</w:t>
      </w:r>
      <w:r>
        <w:rPr>
          <w:rFonts w:hint="eastAsia" w:ascii="仿宋" w:hAnsi="仿宋" w:eastAsia="仿宋" w:cs="仿宋"/>
          <w:kern w:val="0"/>
          <w:szCs w:val="32"/>
        </w:rPr>
        <w:t xml:space="preserve"> 任何单位和个人发现受伤、病弱、饥饿、受困、迷途的国家和地方重点保护野生动物时，应当及时报告当地野生动物行政主管部门，由其采取救护措施；也可以就近送具备救护条件的单位救护。救护单位应当立即报告野生动物行政主管部门，并按照国务院林业行政主管部门的规定办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第十条</w:t>
      </w:r>
      <w:r>
        <w:rPr>
          <w:rFonts w:hint="eastAsia" w:ascii="仿宋" w:hAnsi="仿宋" w:eastAsia="仿宋" w:cs="仿宋"/>
          <w:kern w:val="0"/>
          <w:szCs w:val="32"/>
        </w:rPr>
        <w:t xml:space="preserve"> 有关单位和个人对国家和地方重点保护野生动物可能造成的危害，应当采取防范措施。因保护国家和地方重点保护野生动物受到损失的，可以向当地人民政府野生动物行政主管部门提出补偿要求。经调查属实并确实需要补偿的，由当地人民政府按照省、自治区、直辖市人民政府的有关规定给予补偿。</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第三章　野生动物猎捕管理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第十一条</w:t>
      </w:r>
      <w:r>
        <w:rPr>
          <w:rFonts w:hint="eastAsia" w:ascii="仿宋" w:hAnsi="仿宋" w:eastAsia="仿宋" w:cs="仿宋"/>
          <w:kern w:val="0"/>
          <w:szCs w:val="32"/>
        </w:rPr>
        <w:t xml:space="preserve"> 禁止猎捕、杀害国家重点保护野生动物。</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有下列情形之一，需要猎捕国家重点保护野生动物的，必须申请特许猎捕证：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（一）为进行野生动物科学考察、资源调查，必须猎捕的；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（二）为驯养繁殖国家重点保护野生动物，必须从野外获取种源的；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（三）为承担省级以上科学研究项目或者国家医药生产任务，必须从野外获取国家重点保护野生动物的；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（四）为宣传、普及野生动物知识或者教学、展览的需要，必须从野外获取国家重点保护野生动物的；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（五）因国事活动的需要，必须从野外获取国家重点保护野生动物的；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（六）为调控国家重点保护野生动物种群数量和结构，经科学论证必须猎捕的；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（七）因其他特殊情况，必须捕捉、猎捕国家重点保护野生动物的。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第十二条 </w:t>
      </w:r>
      <w:r>
        <w:rPr>
          <w:rFonts w:hint="eastAsia" w:ascii="仿宋" w:hAnsi="仿宋" w:eastAsia="仿宋" w:cs="仿宋"/>
          <w:kern w:val="0"/>
          <w:szCs w:val="32"/>
        </w:rPr>
        <w:t>申请特许猎捕证的程序如下：</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（一）需要捕捉国家一级保护野生动物的，必须附具申请人所在地和捕捉地的省、自治区、直辖市人民政府林业行政主管部门签署的意见，向国务院林业行政主管部门申请特许猎捕证；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（二）需要在本省、自治区、直辖市猎捕国家二级保护野生动物的，必须附具申请人所在地的县级人民政府野生动物行政主管部门签署的意见，向省、自治区、直辖市人民政府林业行政主管部门申请特许猎捕证；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需要跨省、自治区、直辖市猎捕国家二级保护野生动物的，必须附具申请人所在地的省、自治区、直辖市人民政府林业行政主管部门签署的意见，向猎捕地的省、自治区、直辖市人民政府林业行政主管部门申请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动物园需要申请捕捉国家一级保护野生动物的，在向国务院林业行政主管部门申请特许猎捕证前，须经国务院建设行政主管部门审核同意；需要申请捕捉国家二级保护野生动物的，在向申请人所在地的省、自治区、直辖市人民政府林业行政主管部门申请特许猎捕证前，须经同级政府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负责核发特许猎捕证的部门接到申请后，应当在3个月内作出批准或者不批准的决定。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第十三条</w:t>
      </w:r>
      <w:r>
        <w:rPr>
          <w:rFonts w:hint="eastAsia" w:ascii="仿宋" w:hAnsi="仿宋" w:eastAsia="仿宋" w:cs="仿宋"/>
          <w:kern w:val="0"/>
          <w:szCs w:val="32"/>
        </w:rPr>
        <w:t xml:space="preserve"> 有下列情形之一的，不予发放特许猎捕证：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（一）申请猎捕者有条件以合法的非猎捕方式获得国家重点保护野生动物的种源、产品或者达到所需目的的；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（二）猎捕申请不符合国家有关规定或者申请使用的猎捕工具、方法以及猎捕时间、地点不当的；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（三）根据野生动物资源现状不宜捕捉、猎捕的。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第十四条</w:t>
      </w:r>
      <w:r>
        <w:rPr>
          <w:rFonts w:hint="eastAsia" w:ascii="仿宋" w:hAnsi="仿宋" w:eastAsia="仿宋" w:cs="仿宋"/>
          <w:kern w:val="0"/>
          <w:szCs w:val="32"/>
        </w:rPr>
        <w:t xml:space="preserve"> 取得特许猎捕证的单位和个人，必须按照特许猎捕证规定的种类、数量、地点、期限、工具和方法进行猎捕，防止误伤野生动物或者破坏其生存环境。猎捕作业完成后，应当在10日内向猎捕地的县级人民政府野生动物行政主管部门申请查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县级人民政府野生动物行政主管部门对在本行政区域内猎捕国家重点保护野生动物的活动，应当进行监督检查，并及时向批准猎捕的机关报告监督检查结果。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第十五条</w:t>
      </w:r>
      <w:r>
        <w:rPr>
          <w:rFonts w:hint="eastAsia" w:ascii="仿宋" w:hAnsi="仿宋" w:eastAsia="仿宋" w:cs="仿宋"/>
          <w:kern w:val="0"/>
          <w:szCs w:val="32"/>
        </w:rPr>
        <w:t xml:space="preserve"> 猎捕非国家重点保护野生动物的，必须持有狩猎证，并按照狩猎证规定的种类、数量、地点、期限、工具和方法进行猎捕。</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狩猎证由省、自治区、直辖市人民政府林业行政主管部门按照国务院林业行政主管部门的规定印制，县级人民政府野生动物行政主管部门或者其授权的单位核发。</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狩猎证每年验证1次。</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第十六条</w:t>
      </w:r>
      <w:r>
        <w:rPr>
          <w:rFonts w:hint="eastAsia" w:ascii="仿宋" w:hAnsi="仿宋" w:eastAsia="仿宋" w:cs="仿宋"/>
          <w:kern w:val="0"/>
          <w:szCs w:val="32"/>
        </w:rPr>
        <w:t xml:space="preserve"> 省、自治区、直辖市人民政府林业行政主管部门，应当根据本行政区域内非国家重点保护野生动物的资源现状，确定狩猎动物种类，并实行年度猎捕量限额管理。狩猎动物种类和年度猎捕量限额，由县级人民政府野生动物行政主管部门按照保护资源、永续利用的原则提出，经省、自治区、直辖市人民政府林业行政主管部门批准，报国务院林业行政主管部门备案。</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第十七条</w:t>
      </w:r>
      <w:r>
        <w:rPr>
          <w:rFonts w:hint="eastAsia" w:ascii="仿宋" w:hAnsi="仿宋" w:eastAsia="仿宋" w:cs="仿宋"/>
          <w:kern w:val="0"/>
          <w:szCs w:val="32"/>
        </w:rPr>
        <w:t xml:space="preserve"> 县级以上地方各级人民政府野生动物行政主管部门应当组织狩猎者有计划地开展狩猎活动。</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在适合狩猎的区域建立固定狩猎场所的，必须经省、自治区、直辖市人民政府林业行政主管部门批准。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第十八条</w:t>
      </w:r>
      <w:r>
        <w:rPr>
          <w:rFonts w:hint="eastAsia" w:ascii="仿宋" w:hAnsi="仿宋" w:eastAsia="仿宋" w:cs="仿宋"/>
          <w:kern w:val="0"/>
          <w:szCs w:val="32"/>
        </w:rPr>
        <w:t xml:space="preserve"> 禁止使用军用武器、汽枪、毒药、炸药、地枪、排铳、非人为直接操作并危害人畜安全的狩猎装置、夜间照明行猎、歼灭性围猎、火攻、烟熏以及县级以上各级人民政府或者其野生动物行政主管部门规定禁止使用的其他狩猎工具和方法狩猎。</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第十九条</w:t>
      </w:r>
      <w:r>
        <w:rPr>
          <w:rFonts w:hint="eastAsia" w:ascii="仿宋" w:hAnsi="仿宋" w:eastAsia="仿宋" w:cs="仿宋"/>
          <w:kern w:val="0"/>
          <w:szCs w:val="32"/>
        </w:rPr>
        <w:t xml:space="preserve"> 外国人在中国境内对国家重点保护野生动物进行野外考察、标本采集或者在野外拍摄电影、录像的，必须向国家重点保护野生动物所在地的省、自治区、直辖市人民政府林业行政主管部门提出申请，经其审核后，报国务院林业行政主管部门或者其授权的单位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第二十条</w:t>
      </w:r>
      <w:r>
        <w:rPr>
          <w:rFonts w:hint="eastAsia" w:ascii="仿宋" w:hAnsi="仿宋" w:eastAsia="仿宋" w:cs="仿宋"/>
          <w:kern w:val="0"/>
          <w:szCs w:val="32"/>
        </w:rPr>
        <w:t xml:space="preserve"> 外国人在中国境内狩猎，必须在国务院林业行政主管部门批准的对外国人开放的狩猎场所内进行，并遵守中国有关法律、法规的规定。</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第四章　野生动物驯养繁殖管理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第二十一条</w:t>
      </w:r>
      <w:r>
        <w:rPr>
          <w:rFonts w:hint="eastAsia" w:ascii="仿宋" w:hAnsi="仿宋" w:eastAsia="仿宋" w:cs="仿宋"/>
          <w:kern w:val="0"/>
          <w:szCs w:val="32"/>
        </w:rPr>
        <w:t xml:space="preserve"> 驯养繁殖国家重点保护野生动物的，应当持有驯养繁殖许可证。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国务院林业行政主管部门和省、自治区、直辖市人民政府林业行政主管部门可以根据实际情况和工作需要，委托同级有关部门审批或者核发国家重点保护野生动物驯养繁殖许可证。动物园驯养繁殖国家重点保护野生动物的，林业行政主管部门可以委托同级建设行政主管部门核发驯养繁殖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驯养繁殖许可证由国务院林业行政主管部门印制。</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第二十二条 </w:t>
      </w:r>
      <w:r>
        <w:rPr>
          <w:rFonts w:hint="eastAsia" w:ascii="仿宋" w:hAnsi="仿宋" w:eastAsia="仿宋" w:cs="仿宋"/>
          <w:kern w:val="0"/>
          <w:szCs w:val="32"/>
        </w:rPr>
        <w:t>从国外或者外省、自治区、直辖市引进野生动物进行驯养繁殖的，应当采取适当措施，防止其逃至野外；需要将其放生于野外的，放生单位应当向所在省、自治区、直辖市人民政府林业行政主管部门提出申请，经省级以上人民政府林业行政主管部门指定的科研机构进行科学论证后，报国务院林业行政主管部门或者其授权的单位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擅自将引进的野生动物放生于野外或者因管理不当使其逃至野外的，由野生动物行政主管部门责令限期捕回或者采取其他补救措施。</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第二十三条</w:t>
      </w:r>
      <w:r>
        <w:rPr>
          <w:rFonts w:hint="eastAsia" w:ascii="仿宋" w:hAnsi="仿宋" w:eastAsia="仿宋" w:cs="仿宋"/>
          <w:kern w:val="0"/>
          <w:szCs w:val="32"/>
        </w:rPr>
        <w:t xml:space="preserve"> 从国外引进的珍贵、濒危野生动物，经国务院林业行政主管部门核准，可以视为国家重点保护野生动物；从国外引进的其他野生动物，经省、自治区、直辖市人民政府林业行政主管部门核准，可以视为地方重点保护野生动物。</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第五章　野生动物经营利用管理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第二十四条</w:t>
      </w:r>
      <w:r>
        <w:rPr>
          <w:rFonts w:hint="eastAsia" w:ascii="仿宋" w:hAnsi="仿宋" w:eastAsia="仿宋" w:cs="仿宋"/>
          <w:kern w:val="0"/>
          <w:szCs w:val="32"/>
        </w:rPr>
        <w:t xml:space="preserve"> 收购驯养繁殖的国家重点保护野生动物或者其产品的单位，由省、自治区、直辖市人民政府林业行政主管部门商有关部门提出，经同级人民政府或者其授权的单位批准，凭批准文件向工商行政管理部门申请登记注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依照前款规定经核准登记的单位，不得收购未经批准出售的国家重点保护野生动物或者其产品。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第二十五条</w:t>
      </w:r>
      <w:r>
        <w:rPr>
          <w:rFonts w:hint="eastAsia" w:ascii="仿宋" w:hAnsi="仿宋" w:eastAsia="仿宋" w:cs="仿宋"/>
          <w:kern w:val="0"/>
          <w:szCs w:val="32"/>
        </w:rPr>
        <w:t xml:space="preserve"> 经营利用非国家重点保护野生动物或者其产品的，应当向工商行政管理部门申请登记注册。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第二十六条</w:t>
      </w:r>
      <w:r>
        <w:rPr>
          <w:rFonts w:hint="eastAsia" w:ascii="仿宋" w:hAnsi="仿宋" w:eastAsia="仿宋" w:cs="仿宋"/>
          <w:kern w:val="0"/>
          <w:szCs w:val="32"/>
        </w:rPr>
        <w:t xml:space="preserve"> 禁止在集贸市场出售、收购国家重点保护野生动物或者其产品。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持有狩猎证的单位和个人需要出售依法获得的非国家重点保护野生动物或者其产品的，应当按照狩猎证规定的种类、数量向经核准登记的单位出售，或者在当地人民政府有关部门指定的集贸市场出售。</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第二十七条</w:t>
      </w:r>
      <w:r>
        <w:rPr>
          <w:rFonts w:hint="eastAsia" w:ascii="仿宋" w:hAnsi="仿宋" w:eastAsia="仿宋" w:cs="仿宋"/>
          <w:kern w:val="0"/>
          <w:szCs w:val="32"/>
        </w:rPr>
        <w:t xml:space="preserve"> 县级以上各级人民政府野生动物行政主管部门和工商行政管理部门，应当对野生动物或者其产品的经营利用建立监督检查制度，加强对经营利用野生动物或者其产品的监督管理。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对进入集贸市场的野生动物或者其产品，由工商行政管理部门进行监督管理；在集贸市场以外经营野生动物或者其产品，由野生动物行政主管部门、工商行政管理部门或者其授权的单位进行监督管理。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第二十八条</w:t>
      </w:r>
      <w:r>
        <w:rPr>
          <w:rFonts w:hint="eastAsia" w:ascii="仿宋" w:hAnsi="仿宋" w:eastAsia="仿宋" w:cs="仿宋"/>
          <w:kern w:val="0"/>
          <w:szCs w:val="32"/>
        </w:rPr>
        <w:t xml:space="preserve"> 运输、携带国家重点保护野生动物或者其产品出县境的，应当凭特许猎捕证、驯养繁殖许可证，向县级人民政府野生动物行政主管部门提出申请，报省、自治区、直辖市人民政府林业行政主管部门或者其授权的单位批准。动物园之间因繁殖动物，需要运输国家重点保护野生动物的，可以由省、自治区、直辖市人民政府林业行政主管部门授权同级建设行政主管部门审批。</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第二十九条</w:t>
      </w:r>
      <w:r>
        <w:rPr>
          <w:rFonts w:hint="eastAsia" w:ascii="仿宋" w:hAnsi="仿宋" w:eastAsia="仿宋" w:cs="仿宋"/>
          <w:kern w:val="0"/>
          <w:szCs w:val="32"/>
        </w:rPr>
        <w:t xml:space="preserve"> 出口国家重点保护野生动物或者其产品的，以及进出口中国参加的国际公约所限制进出口的野生动物或者其产品的，必须经进出口单位或者个人所在地的省、自治区、直辖市人民政府林业行政主管部门审核，报国务院林业行政主管部门或者国务院批准；属于贸易性进出口活动的，必须由具有有关商品进出口权的单位承担。</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动物园因交换动物需要进出口前款所称野生动物的，国务院林业行政主管部门批准前或者国务院林业行政主管部门报请国务院批准前，应当经国务院建设行政主管部门审核同意。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第三十条 </w:t>
      </w:r>
      <w:r>
        <w:rPr>
          <w:rFonts w:hint="eastAsia" w:ascii="仿宋" w:hAnsi="仿宋" w:eastAsia="仿宋" w:cs="仿宋"/>
          <w:kern w:val="0"/>
          <w:szCs w:val="32"/>
        </w:rPr>
        <w:t>利用野生动物或者其产品举办出国展览等活动的经济收益，主要用于野生动物保护事业。</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第六章　奖励和惩罚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第三十一条</w:t>
      </w:r>
      <w:r>
        <w:rPr>
          <w:rFonts w:hint="eastAsia" w:ascii="仿宋" w:hAnsi="仿宋" w:eastAsia="仿宋" w:cs="仿宋"/>
          <w:kern w:val="0"/>
          <w:szCs w:val="32"/>
        </w:rPr>
        <w:t xml:space="preserve"> 有下列事迹之一的单位和个人，由县级以上人民政府或者其野生动物行政主管部门给予奖励：</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（一）在野生动物资源调查、保护管理、宣传教育、开发利用方面有突出贡献的；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（二）严格执行野生动物保护法规，成绩显著的；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（三）拯救、保护和驯养繁殖珍贵、濒危野生动物取得显著成效的；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（四）发现违反野生动物保护法规行为，及时制止或者检举有功的；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（五）在查处破坏野生动物资源案件中有重要贡献的；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（六）在野生动物科学研究中取得重大成果或者在应用推广科研成果中取得显著效益的；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（七）在基层从事野生动物保护管理工作五年以上并取得显著成绩的；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（八）在野生动物保护管理工作中有其他特殊贡献的。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第三十二条</w:t>
      </w:r>
      <w:r>
        <w:rPr>
          <w:rFonts w:hint="eastAsia" w:ascii="仿宋" w:hAnsi="仿宋" w:eastAsia="仿宋" w:cs="仿宋"/>
          <w:kern w:val="0"/>
          <w:szCs w:val="32"/>
        </w:rPr>
        <w:t xml:space="preserve"> 非法捕杀国家重点保护野生动物的，依照刑法有关规定追究刑事责任；情节显著轻微危害不大的，或者犯罪情节轻微不需要判处刑罚的，由野生动物行政主管部门没收猎获物、猎捕工具和违法所得，吊销特许猎捕证，并处以相当于猎获物价值10倍以下的罚款，没有猎获物的处1万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第三十三条</w:t>
      </w:r>
      <w:r>
        <w:rPr>
          <w:rFonts w:hint="eastAsia" w:ascii="仿宋" w:hAnsi="仿宋" w:eastAsia="仿宋" w:cs="仿宋"/>
          <w:kern w:val="0"/>
          <w:szCs w:val="32"/>
        </w:rPr>
        <w:t xml:space="preserve"> 违反野生动物保护法规，在禁猎区、禁猎期或者使用禁用的工具、方法猎捕非国家重点保护野生动物，依照《野生动物保护法》第三十二条的规定处以罚款的，按照下列规定执行：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（一）有猎获物的，处以相当于猎获物价值8倍以下的罚款；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（二）没有猎获物的，处2000元以下罚款。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 xml:space="preserve">第三十四条 </w:t>
      </w:r>
      <w:r>
        <w:rPr>
          <w:rFonts w:hint="eastAsia" w:ascii="仿宋" w:hAnsi="仿宋" w:eastAsia="仿宋" w:cs="仿宋"/>
          <w:kern w:val="0"/>
          <w:szCs w:val="32"/>
        </w:rPr>
        <w:t>违反野生动物保护法规，未取得狩猎证或者未按照狩猎证规定猎捕非国家重点保护野生动物，依照《野生动物保护法》第三十三条的规定处以罚款的，按照下列规定执行：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（一）有猎获物的，处以相当于猎获物价值5倍以下的罚款；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（二）没有猎获物的，处1000元以下罚款。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第三十五条</w:t>
      </w:r>
      <w:r>
        <w:rPr>
          <w:rFonts w:hint="eastAsia" w:ascii="仿宋" w:hAnsi="仿宋" w:eastAsia="仿宋" w:cs="仿宋"/>
          <w:kern w:val="0"/>
          <w:szCs w:val="32"/>
        </w:rPr>
        <w:t xml:space="preserve"> 违反野生动物保护法规，在自然保护区、禁猎区破坏国家或者地方重点保护野生动物主要生息繁衍场所，依照《野生动物保护法》第三十四条的规定处以罚款的，按照相当于恢复原状所需费用3倍以下的标准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在自然保护区、禁猎区破坏非国家或者地方重点保护野生动物主要生息繁衍场所的，由野生动物行政主管部门责令停止破坏行为，限期恢复原状，并处以恢复原状所需费用2倍以下的罚款。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第三十六条</w:t>
      </w:r>
      <w:r>
        <w:rPr>
          <w:rFonts w:hint="eastAsia" w:ascii="仿宋" w:hAnsi="仿宋" w:eastAsia="仿宋" w:cs="仿宋"/>
          <w:kern w:val="0"/>
          <w:szCs w:val="32"/>
        </w:rPr>
        <w:t xml:space="preserve"> 违反野生动物保护法规，出售、收购、运输、携带国家或者地方重点保护野生动物或者其产品的，由工商行政管理部门或者其授权的野生动物行政主管部门没收实物和违法所得，可以并处相当于实物价值10倍以下的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第三十七条</w:t>
      </w:r>
      <w:r>
        <w:rPr>
          <w:rFonts w:hint="eastAsia" w:ascii="仿宋" w:hAnsi="仿宋" w:eastAsia="仿宋" w:cs="仿宋"/>
          <w:kern w:val="0"/>
          <w:szCs w:val="32"/>
        </w:rPr>
        <w:t xml:space="preserve"> 伪造、倒卖、转让狩猎证或者驯养繁殖许可证，依照《野生动物保护法》第三十七条的规定处以罚款的，按照5000元以下的标准执行。伪造、倒卖、转让特许猎捕证或者允许进出口证明书，依照《野生动物保护法》第三十七条的规定处以罚款的，按照5万元以下的标准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第三十八条</w:t>
      </w:r>
      <w:r>
        <w:rPr>
          <w:rFonts w:hint="eastAsia" w:ascii="仿宋" w:hAnsi="仿宋" w:eastAsia="仿宋" w:cs="仿宋"/>
          <w:kern w:val="0"/>
          <w:szCs w:val="32"/>
        </w:rPr>
        <w:t xml:space="preserve"> 违反野生动物保护法规，未取得驯养繁殖许可证或者超越驯养繁殖许可证规定范围驯养繁殖国家重点保护野生动物的，由野生动物行政主管部门没收违法所得，处3000元以下罚款，可以并处没收野生动物、吊销驯养繁殖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第三十九条</w:t>
      </w:r>
      <w:r>
        <w:rPr>
          <w:rFonts w:hint="eastAsia" w:ascii="仿宋" w:hAnsi="仿宋" w:eastAsia="仿宋" w:cs="仿宋"/>
          <w:kern w:val="0"/>
          <w:szCs w:val="32"/>
        </w:rPr>
        <w:t xml:space="preserve"> 外国人未经批准在中国境内对国家重点保护野生动物进行野外考察、标本采集或者在野外拍摄电影、录像的，由野生动物行政主管部门没收考察、拍摄的资料以及所获标本，可以并处5万元以下罚款。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第四十条</w:t>
      </w:r>
      <w:r>
        <w:rPr>
          <w:rFonts w:hint="eastAsia" w:ascii="仿宋" w:hAnsi="仿宋" w:eastAsia="仿宋" w:cs="仿宋"/>
          <w:kern w:val="0"/>
          <w:szCs w:val="32"/>
        </w:rPr>
        <w:t xml:space="preserve"> 有下列行为之一，尚不构成犯罪，应当给予治安管理处罚的，由公安机关依照《中华人民共和国治安管理处罚法》的规定予以处罚：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（一）拒绝、阻碍野生动物行政管理人员依法执行职务的；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（二）偷窃、哄抢或者故意损坏野生动物保护仪器设备或者设施的；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（三）偷窃、哄抢、抢夺非国家重点保护野生动物或者其产品的；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（四）未经批准猎捕少量非国家重点保护野生动物的。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第四十一条</w:t>
      </w:r>
      <w:r>
        <w:rPr>
          <w:rFonts w:hint="eastAsia" w:ascii="仿宋" w:hAnsi="仿宋" w:eastAsia="仿宋" w:cs="仿宋"/>
          <w:kern w:val="0"/>
          <w:szCs w:val="32"/>
        </w:rPr>
        <w:t xml:space="preserve"> 违反野生动物保护法规，被责令限期捕回而不捕的，被责令限期恢复原状而不恢复的，野生动物行政主管部门或者其授权的单位可以代为捕回或者恢复原状，由被责令限期捕回者或者被责令限期恢复原状者承担全部捕回或者恢复原状所需的费用。</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第四十二条</w:t>
      </w:r>
      <w:r>
        <w:rPr>
          <w:rFonts w:hint="eastAsia" w:ascii="仿宋" w:hAnsi="仿宋" w:eastAsia="仿宋" w:cs="仿宋"/>
          <w:kern w:val="0"/>
          <w:szCs w:val="32"/>
        </w:rPr>
        <w:t xml:space="preserve"> 违反野生动物保护法规，构成犯罪的，依法追究刑事责任。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第四十三条</w:t>
      </w:r>
      <w:r>
        <w:rPr>
          <w:rFonts w:hint="eastAsia" w:ascii="仿宋" w:hAnsi="仿宋" w:eastAsia="仿宋" w:cs="仿宋"/>
          <w:kern w:val="0"/>
          <w:szCs w:val="32"/>
        </w:rPr>
        <w:t xml:space="preserve"> 依照野生动物保护法规没收的实物，按照国务院林业行政主管部门的规定处理。</w:t>
      </w:r>
    </w:p>
    <w:p>
      <w:pPr>
        <w:widowControl w:val="0"/>
        <w:wordWrap/>
        <w:adjustRightInd/>
        <w:snapToGrid/>
        <w:spacing w:line="560" w:lineRule="exact"/>
        <w:jc w:val="center"/>
        <w:textAlignment w:val="auto"/>
        <w:rPr>
          <w:rFonts w:hint="eastAsia" w:ascii="黑体" w:hAnsi="黑体" w:eastAsia="黑体" w:cs="黑体"/>
          <w:bCs/>
          <w:kern w:val="0"/>
          <w:szCs w:val="32"/>
        </w:rPr>
      </w:pPr>
    </w:p>
    <w:p>
      <w:pPr>
        <w:widowControl w:val="0"/>
        <w:wordWrap/>
        <w:adjustRightInd/>
        <w:snapToGrid/>
        <w:spacing w:line="560" w:lineRule="exact"/>
        <w:jc w:val="center"/>
        <w:textAlignment w:val="auto"/>
        <w:rPr>
          <w:rFonts w:hint="eastAsia" w:ascii="黑体" w:hAnsi="黑体" w:eastAsia="黑体" w:cs="黑体"/>
          <w:bCs/>
          <w:kern w:val="0"/>
          <w:szCs w:val="32"/>
        </w:rPr>
      </w:pPr>
      <w:r>
        <w:rPr>
          <w:rFonts w:hint="eastAsia" w:ascii="黑体" w:hAnsi="黑体" w:eastAsia="黑体" w:cs="黑体"/>
          <w:bCs/>
          <w:kern w:val="0"/>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宋体" w:hAnsi="宋体" w:eastAsia="黑体" w:cs="Arial"/>
          <w:kern w:val="0"/>
          <w:szCs w:val="32"/>
        </w:rPr>
        <w:t>第四十四条</w:t>
      </w:r>
      <w:r>
        <w:rPr>
          <w:rFonts w:hint="eastAsia" w:ascii="仿宋" w:hAnsi="仿宋" w:eastAsia="仿宋" w:cs="仿宋"/>
          <w:kern w:val="0"/>
          <w:szCs w:val="32"/>
        </w:rPr>
        <w:t xml:space="preserve"> 本条例由国务院林业行政主管部门负责解释。</w:t>
      </w:r>
    </w:p>
    <w:p>
      <w:pPr>
        <w:widowControl w:val="0"/>
        <w:wordWrap/>
        <w:adjustRightInd/>
        <w:snapToGrid/>
        <w:spacing w:line="560" w:lineRule="exact"/>
        <w:ind w:firstLine="640" w:firstLineChars="200"/>
        <w:textAlignment w:val="auto"/>
        <w:rPr>
          <w:rFonts w:hint="eastAsia" w:ascii="宋体" w:hAnsi="宋体" w:eastAsia="宋体" w:cs="Arial"/>
          <w:bCs/>
          <w:sz w:val="44"/>
          <w:szCs w:val="44"/>
        </w:rPr>
      </w:pPr>
      <w:r>
        <w:rPr>
          <w:rFonts w:hint="eastAsia" w:ascii="宋体" w:hAnsi="宋体" w:eastAsia="黑体" w:cs="Arial"/>
          <w:kern w:val="0"/>
          <w:szCs w:val="32"/>
        </w:rPr>
        <w:t>第四十五条</w:t>
      </w:r>
      <w:r>
        <w:rPr>
          <w:rFonts w:hint="eastAsia" w:ascii="仿宋" w:hAnsi="仿宋" w:eastAsia="仿宋" w:cs="仿宋"/>
          <w:kern w:val="0"/>
          <w:szCs w:val="32"/>
        </w:rPr>
        <w:t xml:space="preserve"> 本条例自发布之日起施行。</w:t>
      </w: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26" w:name="_Toc24596"/>
      <w:r>
        <w:rPr>
          <w:rFonts w:hint="eastAsia" w:ascii="宋体" w:hAnsi="宋体" w:eastAsia="宋体" w:cs="宋体"/>
          <w:sz w:val="44"/>
          <w:szCs w:val="44"/>
        </w:rPr>
        <w:t>中华人民共和国水生野生动物保护实施条例</w:t>
      </w:r>
      <w:bookmarkEnd w:id="226"/>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both"/>
        <w:textAlignment w:val="auto"/>
        <w:rPr>
          <w:rFonts w:hint="eastAsia" w:ascii="楷体" w:hAnsi="楷体" w:eastAsia="楷体" w:cs="楷体"/>
          <w:sz w:val="32"/>
          <w:szCs w:val="32"/>
        </w:rPr>
      </w:pPr>
      <w:r>
        <w:rPr>
          <w:rFonts w:hint="eastAsia" w:ascii="楷体" w:hAnsi="楷体" w:eastAsia="楷体" w:cs="楷体"/>
          <w:sz w:val="32"/>
          <w:szCs w:val="32"/>
        </w:rPr>
        <w:t>（1993年9月17日国务院批准　1993年10月5日农业部令第1号发布　根据2011年1月8日《国务院关于废止和修改部分行政法规的决定》第一次修订　根据2013年12月7日《国务院关于修改部分行政法规的决定》第二次修订）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根据《中华人民共和国野生动物保护法》（以下简称《野生动物保护法》）的规定，制定本条例。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本条例所称水生野生动物，是指珍贵、濒危的水生野生动物；所称水生野生动物产品，是指珍贵、濒危的水生野生动物的任何部分及其衍生物。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国务院渔业行政主管部门主管全国水生野生动物管理工作。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县级以上地方人民政府渔业行政主管部门主管本行政区域内水生野生动物管理工作。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《野生动物保护法》和本条例规定的渔业行政主管部门的行政处罚权，可以由其所属的渔政监督管理机构行使。</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县级以上各级人民政府及其有关主管部门应当鼓励、支持有关科研单位、教学单位开展水生野生动物科学研究工作。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渔业行政主管部门及其所属的渔政监督管理机构，有权对《野生动物保护法》和本条例的实施情况进行监督检查，被检查的单位和个人应当给予配合。</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水生野生动物保护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国务院渔业行政主管部门和省、自治区、直辖市人民政府渔业行政主管部门，应当定期组织水生野生动物资源调查，建立资源档案，为制定水生野生动物资源保护发展规划、制定和调整国家和地方重点保护水生野生动物名录提供依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渔业行政主管部门应当组织社会各方面力量，采取有效措施，维护和改善水生野生动物的生存环境，保护和增殖水生野生动物资源。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禁止任何单位和个人破坏国家重点保护的和地方重点保护的水生野生动物生息繁衍的水域、场所和生存条件。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任何单位和个人对侵占或者破坏水生野生动物资源的行为，有权向当地渔业行政主管部门或者其所属的渔政监督管理机构检举和控告。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任何单位和个人发现受伤、搁浅和因误入港湾、河汊而被困的水生野生动物时，应当及时报告当地渔业行政主管部门或者其所属的渔政监督管理机构，由其采取紧急救护措施；也可以要求附近具备救护条件的单位采取紧急救护措施，并报告渔业行政主管部门。已经死亡的水生野生动物，由渔业行政主管部门妥善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捕捞作业时误捕水生野生动物的，应当立即无条件放生。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因保护国家重点保护的和地方重点保护的水生野生动物受到损失的，可以向当地人民政府渔业行政主管部门提出补偿要求。经调查属实并确实需要补偿的，由当地人民政府按照省、自治区、直辖市人民政府有关规定给予补偿。</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国务院渔业行政主管部门和省、自治区、直辖市人民政府，应当在国家重点保护的和地方重点保护的水生野生动物的主要生息繁衍的地区和水域，划定水生野生动物自然保护区，加强对国家和地方重点保护水生野生动物及其生存环境的保护管理，具体办法由国务院另行规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水生野生动物管理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第十二条 </w:t>
      </w:r>
      <w:r>
        <w:rPr>
          <w:rFonts w:hint="eastAsia" w:ascii="仿宋" w:hAnsi="仿宋" w:eastAsia="仿宋" w:cs="仿宋"/>
          <w:sz w:val="32"/>
          <w:szCs w:val="32"/>
        </w:rPr>
        <w:t>禁止捕捉、杀害国家重点保护的水生野生动物。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有下列情形之一，确需捕捉国家重点保护的水生野生动物的，必须申请特许捕捉证：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（一）为进行水生野生动物科学考察、资源调查，必须捕捉的；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（二）为驯养繁殖国家重点保护的水生野生动物，必须从自然水域或者场所获取种源的；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（三）为承担省级以上科学研究项目或者国家医药生产任务，必须从自然水域或者场所获取国家重点保护的水生野生动物的；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（四）为宣传、普及水生野生动物知识或者教学、展览的需要，必须从自然水域或者场所获取国家重点保护的水生野生动物的；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（五）因其他特殊情况，必须捕捉的。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申请特许捕捉证的程序：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（一）需要捕捉国家一级保护水生野生动物的，必须附具申请人所在地和捕捉地的省、自治区、直辖市人民政府渔业行政主管部门签署的意见，向国务院渔业行政主管部门申请特许捕捉证；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（二）需要在本省、自治区、直辖市捕捉国家二级保护水生野生动物的，必须附具申请人所在地的县级人民政府渔业行政主管部门签署的意见，向省、自治区、直辖市人民政府渔业行政主管部门申请特许捕捉证；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需要跨省、自治区、直辖市捕捉国家二级保护水生野生动物的，必须附具申请人所在地的省、自治区、直辖市人民政府渔业行政主管部门签署的意见，向捕捉地的省、自治区、直辖市人民政府渔业行政主管部门申请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园申请捕捉国家一级保护水生野生动物的，在向国务院渔业行政主管部门申请特许捕捉证前，须经国务院建设行政主管部门审核同意；申请捕捉国家二级保护水生野生动物的，在向申请人所在地的省、自治区、直辖市人民政府渔业行政主管部门申请特许捕捉证前，须经同级人民政府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负责核发特许捕捉证的部门接到申请后，应当自接到申请之日起3个月内作出批准或者不批准的决定。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有下列情形之一的，不予发放特许捕捉证：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（一）申请人有条件以合法的非捕捉方式获得国家重点保护的水生野生动物的种源、产品或者达到其目的的；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（二）捕捉申请不符合国家有关规定，或者申请使用的捕捉工具、方法以及捕捉时间、地点不当的；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（三）根据水生野生动物资源现状不宜捕捉的。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取得特许捕捉证的单位和个人，必须按照特许捕捉证规定的种类、数量、地点、期限、工具和方法进行捕捉，防止误伤水生野生动物或者破坏其生存环境。捕捉作业完成后，应当及时向捕捉地的县级人民政府渔业行政主管部门或者其所属的渔政监督管理机构申请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县级人民政府渔业行政主管部门或者其所属的渔政监督管理机构对在本行政区域内捕捉国家重点保护的水生野生动物的活动，应当进行监督检查，并及时向批准捕捉的部门报告监督检查结果。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外国人在中国境内进行有关水生野生动物科学考察、标本采集、拍摄电影、录像等活动的，必须经国家重点保护的水生野生动物所在地的省、自治区、直辖市人民政府渔业行政主管部门批准。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驯养繁殖国家一级保护水生野生动物的，应当持有国务院渔业行政主管部门核发的驯养繁殖许可证；驯养繁殖国家二级保护水生野生动物的，应当持有省、自治区、直辖市人民政府渔业行政主管部门核发的驯养繁殖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动物园驯养繁殖国家重点保护的水生野生动物的，渔业行政主管部门可以委托同级建设行政主管部门核发驯养繁殖许可证。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禁止出售、收购国家重点保护的水生野生动物或者其产品。因科学研究、驯养繁殖、展览等特殊情况，需要出售、收购、利用国家一级保护水生野生动物或者其产品的，必须向省、自治区、直辖市人民政府渔业行政主管部门提出申请，经其签署意见后，报国务院渔业行政主管部门批准；需要出售、收购、利用国家二级保护水生野生动物或者其产品的，必须向省、自治区、直辖市人民政府渔业行政主管部门提出申请，并经其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县级以上各级人民政府渔业行政主管部门和工商行政管理部门，应当对水生野生动物或者其产品的经营利用建立监督检查制度，加强对经营利用水生野生动物或者其产品的监督管理。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进入集贸市场的水生野生动物或者其产品，由工商行政管理部门进行监督管理，渔业行政主管部门给予协助；在集贸市场以外经营水生野生动物或者其产品，由渔业行政主管部门、工商行政管理部门或者其授权的单位进行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运输、携带国家重点保护的水生野生动物或者其产品出县境的，应当凭特许捕捉证或者驯养繁殖许可证，向县级人民政府渔业行政主管部门提出申请，报省、自治区、直辖市人民政府渔业行政主管部门或者其授权的单位批准。动物园之间因繁殖动物，需要运输国家重点保护的水生野生动物的，可以由省、自治区、直辖市人民政府渔业行政主管部门授权同级建设行政主管部门审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交通、铁路、民航和邮政企业对没有合法运输证明的水生野生动物或者其产品，应当及时通知有关主管部门处理，不得承运、收寄。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从国外引进水生野生动物的，应当向省、自治区、直辖市人民政府渔业行政主管部门提出申请，经省级以上人民政府渔业行政主管部门指定的科研机构进行科学论证后，报国务院渔业行政主管部门批准。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出口国家重点保护的水生野生动物或者其产品的，进出口中国参加的国际公约所限制进出口的水生野生动物或者其产品的，必须经进出口单位或者个人所在地的省、自治区、直辖市人民政府渔业行政主管部门审核，报国务院渔业行政主管部门批准；属于贸易性进出口活动的，必须由具有有关商品进出口权的单位承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动物园因交换动物需要进出口前款所称水生野生动物的，在国务院渔业行政主管部门批准前，应当经国务院建设行政主管部门审核同意。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利用水生野生动物或者其产品举办展览等活动的经济收益，主要用于水生野生动物保护事业。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奖励和惩罚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有下列事迹之一的单位和个人，由县级以上人民政府或者其渔业行政主管部门给予奖励：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（一）在水生野生动物资源调查、保护管理、宣传教育、开发利用方面有突出贡献的；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（二）严格执行野生动物保护法规，成绩显著的；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（三）拯救、保护和驯养繁殖水生野生动物取得显著成效的；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（四）发现违反水生野生动物保护法律、法规的行为，及时制止或者检举有功的；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（五）在查处破坏水生野生动物资源案件中作出重要贡献的；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（六）在水生野生动物科学研究中取得重大成果或者在应用推广有关的科研成果中取得显著效益的；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（七）在基层从事水生野生动物保护管理工作5年以上并取得显著成绩的；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（八）在水生野生动物保护管理工作中有其他特殊贡献的。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非法捕杀国家重点保护的水生野生动物的，依照刑法有关规定追究刑事责任；情节显著轻微危害不大的，或者犯罪情节轻微不需要判处刑罚的，由渔业行政主管部门没收捕获物、捕捉工具和违法所得，吊销特许捕捉证，并处以相当于捕获物价值10倍以下的罚款，没有捕获物的处以1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违反野生动物保护法律、法规，在水生野生动物自然保护区破坏国家重点保护的或者地方重点保护的水生野生动物主要生息繁衍场所，依照《野生动物保护法》第三十四条的规定处以罚款的，罚款幅度为恢复原状所需费用的3倍以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违反野生动物保护法律、法规，出售、收购、运输、携带国家重点保护的或者地方重点保护的水生野生动物或者其产品的，由工商行政管理部门或者其授权的渔业行政主管部门没收实物和违法所得，可以并处相当于实物价值10倍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伪造、倒卖、转让驯养繁殖许可证，依照《野生动物保护法》第三十七条的规定处以罚款的，罚款幅度为5000元以下。伪造、倒卖、转让特许捕捉证或者允许进出口证明书，依照《野生动物保护法》第三十七条的规定处以罚款的，罚款幅度为5万元以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违反野生动物保护法规，未取得驯养繁殖许可证或者超越驯养繁殖许可证规定范围，驯养繁殖国家重点保护的水生野生动物的，由渔业行政主管部门没收违法所得，处3000元以下的罚款，可以并处没收水生野生动物、吊销驯养繁殖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外国人未经批准在中国境内对国家重点保护的水生野生动物进行科学考察、标本采集、拍摄电影、录像的，由渔业行政主管部门没收考察、拍摄的资料以及所获标本，可以并处5万元以下的罚款。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有下列行为之一，尚不构成犯罪，应当给予治安管理处罚的，由公安机关依照《中华人民共和国治安管理处罚法》的规定予以处罚：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（一）拒绝、阻碍渔政检查人员依法执行职务的；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（二）偷窃、哄抢或者故意损坏野生动物保护仪器设备或者设施的。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依照野生动物保护法规的规定没收的实物，按照国务院渔业行政主管部门的有关规定处理。</w:t>
      </w:r>
    </w:p>
    <w:p>
      <w:pPr>
        <w:widowControl w:val="0"/>
        <w:wordWrap/>
        <w:adjustRightInd/>
        <w:snapToGrid/>
        <w:spacing w:line="560" w:lineRule="exact"/>
        <w:ind w:firstLine="640" w:firstLineChars="200"/>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本条例由国务院渔业行政主管部门负责解释。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本条例自发布之日起施行。</w:t>
      </w:r>
    </w:p>
    <w:p>
      <w:pPr>
        <w:widowControl w:val="0"/>
        <w:wordWrap/>
        <w:adjustRightInd/>
        <w:snapToGrid/>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27" w:name="_Toc17770"/>
      <w:r>
        <w:rPr>
          <w:rFonts w:hint="eastAsia" w:ascii="宋体" w:hAnsi="宋体" w:eastAsia="宋体" w:cs="宋体"/>
          <w:sz w:val="44"/>
          <w:szCs w:val="44"/>
        </w:rPr>
        <w:t>中华人民共和国</w:t>
      </w:r>
      <w:bookmarkEnd w:id="227"/>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28" w:name="_Toc27075"/>
      <w:r>
        <w:rPr>
          <w:rFonts w:hint="eastAsia" w:ascii="宋体" w:hAnsi="宋体" w:eastAsia="宋体" w:cs="宋体"/>
          <w:sz w:val="44"/>
          <w:szCs w:val="44"/>
        </w:rPr>
        <w:t>濒危野生动植物进出口管理条例</w:t>
      </w:r>
      <w:bookmarkEnd w:id="228"/>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（2006年4月29日国务院令第465号公布　根据2018年3月19日《国务院关于修改和废止部分行政法规的决定》修正 根据2019年3月2日《国务院关于修改部分行政法规的决定》修正）</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为了加强对濒危野生动植物及其产品的进出口管理，保护和合理利用野生动植物资源，履行《濒危野生动植物种国际贸易公约》（以下简称公约），制定本条例。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进口或者出口公约限制进出口的濒危野生动植物及其产品，应当遵守本条例。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出口国家重点保护的野生动植物及其产品，依照本条例有关出口濒危野生动植物及其产品的规定办理。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国务院林业、农业（渔业）主管部门（以下称国务院野生动植物主管部门），按照职责分工主管全国濒危野生动植物及其产品的进出口管理工作，并做好与履行公约有关的工作。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国务院其他有关部门依照有关法律、行政法规的规定，在各自的职责范围内负责做好相关工作。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家濒危物种进出口管理机构代表中国政府履行公约，依照本条例的规定对经国务院野生动植物主管部门批准出口的国家重点保护的野生动植物及其产品、批准进口或者出口的公约限制进出口的濒危野生动植物及其产品，核发允许进出口证明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国家濒危物种进出口科学机构依照本条例，组织陆生野生动物、水生野生动物和野生植物等方面的专家，从事有关濒危野生动植物及其产品进出口的科学咨询工作。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禁止进口或者出口公约禁止以商业贸易为目的进出口的濒危野生动植物及其产品，因科学研究、驯养繁殖、人工培育、文化交流等特殊情况，需要进口或者出口的，应当经国务院野生动植物主管部门批准；按照有关规定由国务院批准的，应当报经国务院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禁止出口未定名的或者新发现并有重要价值的野生动植物及其产品以及国务院或者国务院野生动植物主管部门禁止出口的濒危野生动植物及其产品。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进口或者出口公约限制进出口的濒危野生动植物及其产品，出口国务院或者国务院野生动植物主管部门限制出口的野生动植物及其产品，应当经国务院野生动植物主管部门批准。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进口濒危野生动植物及其产品的，必须具备下列条件：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（一）对濒危野生动植物及其产品的使用符合国家有关规定；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（二）具有有效控制措施并符合生态安全要求；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（三）申请人提供的材料真实有效；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（四）国务院野生动植物主管部门公示的其他条件。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出口濒危野生动植物及其产品的，必须具备下列条件：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（一）符合生态安全要求和公共利益；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（二）来源合法；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（三）申请人提供的材料真实有效；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（四）不属于国务院或者国务院野生动植物主管部门禁止出口的；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（五）国务院野生动植物主管部门公示的其他条件。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进口或者出口濒危野生动植物及其产品的，申请人应当按照管理权限，向其所在地的省、自治区、直辖市人民政府农业（渔业）主管部门提出申请，或者向国务院林业主管部门提出申请，并提交下列材料：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（一）进口或者出口合同；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（二）濒危野生动植物及其产品的名称、种类、数量和用途；</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（三）活体濒危野生动物装运设施的说明资料；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（四）国务院野生动植物主管部门公示的其他应当提交的材料。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省、自治区、直辖市人民政府农业（渔业）主管部门应当自收到申请之日起10个工作日内签署意见，并将全部申请材料转报国务院农业（渔业）主管部门。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国务院野生动植物主管部门应当自收到申请之日起20个工作日内，作出批准或者不予批准的决定，并书面通知申请人。在20个工作日内不能作出决定的，经本行政机关负责人批准，可以延长10个工作日，延长的期限和理由应当通知申请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申请人取得国务院野生动植物主管部门的进出口批准文件后，应当在批准文件规定的有效期内，向国家濒危物种进出口管理机构申请核发允许进出口证明书。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申请核发允许进出口证明书时应当提交下列材料：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（一）允许进出口证明书申请表；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（二）进出口批准文件；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（三）进口或者出口合同。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口公约限制进出口的濒危野生动植物及其产品的，申请人还应当提交出口国（地区）濒危物种进出口管理机构核发的允许出口证明材料；出口公约禁止以商业贸易为目的进出口的濒危野生动植物及其产品的，申请人还应当提交进口国（地区）濒危物种进出口管理机构核发的允许进口证明材料；进口的濒危野生动植物及其产品再出口时，申请人还应当提交海关进口货物报关单和海关签注的允许进口证明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国家濒危物种进出口管理机构应当自收到申请之日起20个工作日内，作出审核决定。对申请材料齐全、符合本条例规定和公约要求的，应当核发允许进出口证明书；对不予核发允许进出口证明书的，应当书面通知申请人和国务院野生动植物主管部门并说明理由。在20个工作日内不能作出决定的，经本机构负责人批准，可以延长10个工作日，延长的期限和理由应当通知申请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国家濒危物种进出口管理机构在审核时，对申请材料不符合要求的，应当在5个工作日内一次性通知申请人需要补正的全部内容。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国家濒危物种进出口管理机构在核发允许进出口证明书时，需要咨询国家濒危物种进出口科学机构的意见，或者需要向境外相关机构核实允许进出口证明材料等有关内容的，应当自收到申请之日起5个工作日内，将有关材料送国家濒危物种进出口科学机构咨询意见或者向境外相关机构核实有关内容。咨询意见、核实内容所需时间不计入核发允许进出口证明书工作日之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国务院野生动植物主管部门和省、自治区、直辖市人民政府野生动植物主管部门以及国家濒危物种进出口管理机构，在审批濒危野生动植物及其产品进出口时，除收取国家规定的费用外，不得收取其他费用。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因进口或者出口濒危野生动植物及其产品对野生动植物资源、生态安全造成或者可能造成严重危害和影响的，由国务院野生动植物主管部门提出临时禁止或者限制濒危野生动植物及其产品进出口的措施，报国务院批准后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从不属于任何国家管辖的海域获得的濒危野生动植物及其产品，进入中国领域的，参照本条例有关进口的规定管理。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进口濒危野生动植物及其产品涉及外来物种管理的，出口濒危野生动植物及其产品涉及种质资源管理的，应当遵守国家有关规定。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进口或者出口濒危野生动植物及其产品的，应当在国务院野生动植物主管部门会同海关总署指定并经国务院批准的口岸进行。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进口或者出口濒危野生动植物及其产品的，应当按照允许进出口证明书规定的种类、数量、口岸、期限完成进出口活动。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第二十一条 </w:t>
      </w:r>
      <w:r>
        <w:rPr>
          <w:rFonts w:hint="eastAsia" w:ascii="仿宋" w:hAnsi="仿宋" w:eastAsia="仿宋" w:cs="仿宋"/>
          <w:sz w:val="32"/>
          <w:szCs w:val="32"/>
        </w:rPr>
        <w:t>进口或者出口濒危野生动植物及其产品的，应当向海关提交允许进出口证明书，接受海关监管，并自海关放行之日起30日内，将海关验讫的允许进出口证明书副本交国家濒危物种进出口管理机构备案。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过境、转运和通运的濒危野生动植物及其产品，自入境起至出境前由海关监管。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进出保税区、出口加工区等海关特定监管区域和保税场所的濒危野生动植物及其产品，应当接受海关监管，并按照海关总署和国家濒危物种进出口管理机构的规定办理进出口手续。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进口或者出口濒危野生动植物及其产品的，应当凭允许进出口证明书向海关报检，并接受检验检疫。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国家濒危物种进出口管理机构应当将核发允许进出口证明书的有关资料和濒危野生动植物及其产品年度进出口情况，及时抄送国务院野生动植物主管部门及其他有关主管部门。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进出口批准文件由国务院野生动植物主管部门组织统一印制；允许进出口证明书及申请表由国家濒危物种进出口管理机构组织统一印制。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野生动植物主管部门、国家濒危物种进出口管理机构的工作人员，利用职务上的便利收取他人财物或者谋取其他利益，不依照本条例的规定批准进出口、核发允许进出口证明书，情节严重，构成犯罪的，依法追究刑事责任；尚不构成犯罪的，依法给予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国家濒危物种进出口科学机构的工作人员，利用职务上的便利收取他人财物或者谋取其他利益，出具虚假意见，情节严重，构成犯罪的，依法追究刑事责任；尚不构成犯罪的，依法给予处分。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非法进口、出口或者以其他方式走私濒危野生动植物及其产品的，由海关依照海关法的有关规定予以处罚；情节严重，构成犯罪的，依法追究刑事责任。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罚没的实物移交野生动植物主管部门依法处理；罚没的实物依法需要实施检疫的，经检疫合格后，予以处理。罚没的实物需要返还原出口国（地区）的，应当由野生动植物主管部门移交国家濒危物种进出口管理机构依照公约规定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伪造、倒卖或者转让进出口批准文件或者允许进出口证明书的，由野生动植物主管部门或者市场监督管理部门按照职责分工依法予以处罚；情节严重，构成犯罪的，依法追究刑事责任。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本条例自2006年9月1日起施行。</w:t>
      </w: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29" w:name="_Toc31253"/>
      <w:r>
        <w:rPr>
          <w:rFonts w:hint="eastAsia" w:ascii="宋体" w:hAnsi="宋体" w:eastAsia="宋体" w:cs="Arial"/>
          <w:bCs/>
          <w:sz w:val="44"/>
          <w:szCs w:val="44"/>
        </w:rPr>
        <w:t>中华人民共和国渔业法实施细则</w:t>
      </w:r>
      <w:bookmarkEnd w:id="229"/>
    </w:p>
    <w:p>
      <w:pPr>
        <w:widowControl w:val="0"/>
        <w:wordWrap/>
        <w:adjustRightInd/>
        <w:snapToGrid/>
        <w:spacing w:line="560" w:lineRule="exact"/>
        <w:textAlignment w:val="auto"/>
        <w:rPr>
          <w:rFonts w:hint="eastAsia" w:ascii="宋体" w:hAnsi="宋体" w:cs="Arial"/>
          <w:kern w:val="0"/>
          <w:szCs w:val="32"/>
        </w:rPr>
      </w:pPr>
    </w:p>
    <w:p>
      <w:pPr>
        <w:widowControl w:val="0"/>
        <w:wordWrap/>
        <w:overflowPunct w:val="0"/>
        <w:adjustRightInd/>
        <w:snapToGrid/>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w:t>
      </w:r>
      <w:r>
        <w:rPr>
          <w:rFonts w:hint="eastAsia" w:ascii="楷体" w:hAnsi="楷体" w:eastAsia="楷体" w:cs="楷体"/>
          <w:szCs w:val="32"/>
          <w:lang w:val="en-US" w:eastAsia="zh-CN"/>
        </w:rPr>
        <w:t>1987</w:t>
      </w:r>
      <w:r>
        <w:rPr>
          <w:rFonts w:hint="eastAsia" w:ascii="楷体" w:hAnsi="楷体" w:eastAsia="楷体" w:cs="楷体"/>
          <w:szCs w:val="32"/>
        </w:rPr>
        <w:t>年</w:t>
      </w:r>
      <w:r>
        <w:rPr>
          <w:rFonts w:hint="eastAsia" w:ascii="楷体" w:hAnsi="楷体" w:eastAsia="楷体" w:cs="楷体"/>
          <w:szCs w:val="32"/>
          <w:lang w:val="en-US" w:eastAsia="zh-CN"/>
        </w:rPr>
        <w:t>10</w:t>
      </w:r>
      <w:r>
        <w:rPr>
          <w:rFonts w:hint="eastAsia" w:ascii="楷体" w:hAnsi="楷体" w:eastAsia="楷体" w:cs="楷体"/>
          <w:szCs w:val="32"/>
        </w:rPr>
        <w:t>月</w:t>
      </w:r>
      <w:r>
        <w:rPr>
          <w:rFonts w:hint="eastAsia" w:ascii="楷体" w:hAnsi="楷体" w:eastAsia="楷体" w:cs="楷体"/>
          <w:szCs w:val="32"/>
          <w:lang w:val="en-US" w:eastAsia="zh-CN"/>
        </w:rPr>
        <w:t>14</w:t>
      </w:r>
      <w:r>
        <w:rPr>
          <w:rFonts w:hint="eastAsia" w:ascii="楷体" w:hAnsi="楷体" w:eastAsia="楷体" w:cs="楷体"/>
          <w:szCs w:val="32"/>
        </w:rPr>
        <w:t>日国务院批准</w:t>
      </w:r>
      <w:r>
        <w:rPr>
          <w:rFonts w:hint="eastAsia" w:ascii="楷体" w:hAnsi="楷体" w:eastAsia="楷体" w:cs="楷体"/>
          <w:szCs w:val="32"/>
          <w:lang w:val="en-US" w:eastAsia="zh-CN"/>
        </w:rPr>
        <w:t xml:space="preserve"> 1987</w:t>
      </w:r>
      <w:r>
        <w:rPr>
          <w:rFonts w:hint="eastAsia" w:ascii="楷体" w:hAnsi="楷体" w:eastAsia="楷体" w:cs="楷体"/>
          <w:szCs w:val="32"/>
        </w:rPr>
        <w:t>年</w:t>
      </w:r>
      <w:r>
        <w:rPr>
          <w:rFonts w:hint="eastAsia" w:ascii="楷体" w:hAnsi="楷体" w:eastAsia="楷体" w:cs="楷体"/>
          <w:szCs w:val="32"/>
          <w:lang w:val="en-US" w:eastAsia="zh-CN"/>
        </w:rPr>
        <w:t>10</w:t>
      </w:r>
      <w:r>
        <w:rPr>
          <w:rFonts w:hint="eastAsia" w:ascii="楷体" w:hAnsi="楷体" w:eastAsia="楷体" w:cs="楷体"/>
          <w:szCs w:val="32"/>
        </w:rPr>
        <w:t>月</w:t>
      </w:r>
      <w:r>
        <w:rPr>
          <w:rFonts w:hint="eastAsia" w:ascii="楷体" w:hAnsi="楷体" w:eastAsia="楷体" w:cs="楷体"/>
          <w:szCs w:val="32"/>
          <w:lang w:val="en-US" w:eastAsia="zh-CN"/>
        </w:rPr>
        <w:t>20</w:t>
      </w:r>
      <w:r>
        <w:rPr>
          <w:rFonts w:hint="eastAsia" w:ascii="楷体" w:hAnsi="楷体" w:eastAsia="楷体" w:cs="楷体"/>
          <w:szCs w:val="32"/>
        </w:rPr>
        <w:t>日农牧渔业部发布）</w:t>
      </w:r>
    </w:p>
    <w:p>
      <w:pPr>
        <w:widowControl w:val="0"/>
        <w:wordWrap/>
        <w:adjustRightInd/>
        <w:snapToGrid/>
        <w:spacing w:line="560" w:lineRule="exact"/>
        <w:textAlignment w:val="auto"/>
        <w:rPr>
          <w:rFonts w:hint="eastAsia" w:ascii="宋体" w:hAnsi="宋体" w:cs="Arial"/>
          <w:kern w:val="0"/>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第一条</w:t>
      </w:r>
      <w:r>
        <w:rPr>
          <w:rFonts w:hint="eastAsia" w:ascii="仿宋" w:hAnsi="仿宋" w:eastAsia="仿宋" w:cs="仿宋"/>
          <w:kern w:val="0"/>
          <w:szCs w:val="32"/>
        </w:rPr>
        <w:t xml:space="preserve"> 根据《中华人民共和国渔业法》（以下简称《渔业法》）第三十四条的规定，制定本实施细则。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第二条</w:t>
      </w:r>
      <w:r>
        <w:rPr>
          <w:rFonts w:hint="eastAsia" w:ascii="仿宋" w:hAnsi="仿宋" w:eastAsia="仿宋" w:cs="仿宋"/>
          <w:kern w:val="0"/>
          <w:szCs w:val="32"/>
        </w:rPr>
        <w:t xml:space="preserve"> 《渔业法》及本实施细则中下列用语的含义是：</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（一）“中华人民共和国的内水”，是指中华人民共和国领海基线向陆一侧的海域和江河、湖泊等内陆水域。</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（二）“中华人民共和国管辖的一切其他海域”，是指根据中华人民共和国法律，中华人民共和国缔结、参加的国际条约、协定或者其他有关国际法，而由中华人民共和国管辖的海域。</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（三）“渔业水域”，是指中华人民共和国管辖水域中鱼、虾、蟹、贝类的产卵场、索饵场、越冬场、洄游通道和鱼、虾、蟹、贝、藻类及其他水生动植物的养殖场所。</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第二章　渔业的监督管理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第三条</w:t>
      </w:r>
      <w:r>
        <w:rPr>
          <w:rFonts w:hint="eastAsia" w:ascii="仿宋" w:hAnsi="仿宋" w:eastAsia="仿宋" w:cs="仿宋"/>
          <w:kern w:val="0"/>
          <w:szCs w:val="32"/>
        </w:rPr>
        <w:t xml:space="preserve"> 国家对渔业的监督管理，实行统一领导、分级管理。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国务院划定的“机动渔船底拖网禁渔区线”外侧，属于中华人民共和国管辖海域的渔业，由国务院渔业行政主管部门及其所属的海区渔政管理机构监督管理；“机动渔船底拖网禁渔区线”内侧海域的渔业，除国家另有规定者外，由毗邻海域的省、自治区、直辖市人民政府渔业行政主管部门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内陆水域渔业，按照行政区划由当地县级以上地方人民政府渔业行政主管部门监督管理；跨行政区域的内陆水域渔业，由有关县级以上地方人民政府协商制定管理办法，或者由上一级人民政府渔业行政主管部门及其所属的渔政监督管理机构监督管理；跨省、自治区、直辖市的大型江河的渔业，可以由国务院渔业行政主管部门监督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重要的、洄游性的共用渔业资源，由国家统一管理；定居性的、小宗的渔业资源，由地方人民政府渔业行政主管部门管理。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第四条</w:t>
      </w:r>
      <w:r>
        <w:rPr>
          <w:rFonts w:hint="eastAsia" w:ascii="仿宋" w:hAnsi="仿宋" w:eastAsia="仿宋" w:cs="仿宋"/>
          <w:kern w:val="0"/>
          <w:szCs w:val="32"/>
        </w:rPr>
        <w:t xml:space="preserve"> “机动渔船底拖网禁渔区线”内侧海域的渔业，由有关省、自治区、直辖市人民政府渔业行政主管部门协商划定监督管理范围；划定监督管理范围有困难的，可划叠区或者共管区管理，必要时由国务院渔业行政主管部门决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第五条</w:t>
      </w:r>
      <w:r>
        <w:rPr>
          <w:rFonts w:hint="eastAsia" w:ascii="仿宋" w:hAnsi="仿宋" w:eastAsia="仿宋" w:cs="仿宋"/>
          <w:kern w:val="0"/>
          <w:szCs w:val="32"/>
        </w:rPr>
        <w:t xml:space="preserve"> 渔场和渔汛生产，应当以渔业资源可捕量为依据，按照有利于保护、增殖和合理利用渔业资源，优先安排邻近地区、兼顾其他地区的原则，统筹安排。</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舟山渔场冬季带鱼汛，浙江渔场大场鱼汛，闽东、闽中渔场大黄鱼汛，吕泗渔场大黄鱼、小黄鱼、鲳鱼汛，渤海渔场秋季对虾汛等主要渔场、渔汛和跨海区管理线的捕捞作业，由国务院渔业行政主管部门或其授权单位安排。</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第六条</w:t>
      </w:r>
      <w:r>
        <w:rPr>
          <w:rFonts w:hint="eastAsia" w:ascii="仿宋" w:hAnsi="仿宋" w:eastAsia="仿宋" w:cs="仿宋"/>
          <w:kern w:val="0"/>
          <w:szCs w:val="32"/>
        </w:rPr>
        <w:t xml:space="preserve"> 国务院渔业行政主管部门的渔政渔港监督管理机构，代表国家行使渔政渔港监督管理权。</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国务院渔业行政主管部门在黄渤海、东海、南海三个海区设渔政监督管理机构；在重要渔港、边境水域和跨省、自治区、直辖市的大型江河，根据需要设渔政渔港监督管理机构。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第七条</w:t>
      </w:r>
      <w:r>
        <w:rPr>
          <w:rFonts w:hint="eastAsia" w:ascii="仿宋" w:hAnsi="仿宋" w:eastAsia="仿宋" w:cs="仿宋"/>
          <w:kern w:val="0"/>
          <w:szCs w:val="32"/>
        </w:rPr>
        <w:t xml:space="preserve"> 渔政检查人员有权对各种渔业及渔业船舶的证件、渔船、渔具、渔获物和捕捞方法，进行检查。</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渔政检查人员经国务院渔业行政主管部门或者省级人民政府渔业行政主管部门考核，合格者可执行公务。</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 xml:space="preserve">第八条 </w:t>
      </w:r>
      <w:r>
        <w:rPr>
          <w:rFonts w:hint="eastAsia" w:ascii="仿宋" w:hAnsi="仿宋" w:eastAsia="仿宋" w:cs="仿宋"/>
          <w:kern w:val="0"/>
          <w:szCs w:val="32"/>
        </w:rPr>
        <w:t>渔业行政主管部门及其所属的渔政监督管理机构，应当与公安、海监、交通、环保、工商行政管理等有关部门相互协作，监督检查渔业法规的施行。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第九条</w:t>
      </w:r>
      <w:r>
        <w:rPr>
          <w:rFonts w:hint="eastAsia" w:ascii="仿宋" w:hAnsi="仿宋" w:eastAsia="仿宋" w:cs="仿宋"/>
          <w:kern w:val="0"/>
          <w:szCs w:val="32"/>
        </w:rPr>
        <w:t xml:space="preserve"> 群众性护渔管理组织，应当在当地县级以上人民政府渔业行政主管部门的业务指导下，依法开展护渔管理工作。</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第三章　养殖业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第十条</w:t>
      </w:r>
      <w:r>
        <w:rPr>
          <w:rFonts w:hint="eastAsia" w:ascii="仿宋" w:hAnsi="仿宋" w:eastAsia="仿宋" w:cs="仿宋"/>
          <w:kern w:val="0"/>
          <w:szCs w:val="32"/>
        </w:rPr>
        <w:t xml:space="preserve"> 使用全民所有的水面、滩涂，从事养殖生产的全民所有制单位和集体所有制单位，应当向县级以上地方人民政府申请养殖使用证。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全民所有的水面、滩涂在一县行政区域内的，由该县人民政府核发养殖使用证；跨县的，由有关县协商核发养殖使用证，必要时由上级人民政府决定核发养殖使用证。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第十一条</w:t>
      </w:r>
      <w:r>
        <w:rPr>
          <w:rFonts w:hint="eastAsia" w:ascii="仿宋" w:hAnsi="仿宋" w:eastAsia="仿宋" w:cs="仿宋"/>
          <w:kern w:val="0"/>
          <w:szCs w:val="32"/>
        </w:rPr>
        <w:t xml:space="preserve"> 领取养殖使用证的单位，无正当理由未从事养殖生产，或者放养量低于当地同类养殖水域平均放养量６０％的，应当视为荒芜。</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第十二条</w:t>
      </w:r>
      <w:r>
        <w:rPr>
          <w:rFonts w:hint="eastAsia" w:ascii="仿宋" w:hAnsi="仿宋" w:eastAsia="仿宋" w:cs="仿宋"/>
          <w:kern w:val="0"/>
          <w:szCs w:val="32"/>
        </w:rPr>
        <w:t xml:space="preserve"> 全民所有的水面、滩涂中的鱼、虾、蟹、贝、藻类的自然产卵场、繁殖场、索饵场及重要的洄游通道必须予以保护，不得划作养殖场所。</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第十三条</w:t>
      </w:r>
      <w:r>
        <w:rPr>
          <w:rFonts w:hint="eastAsia" w:ascii="仿宋" w:hAnsi="仿宋" w:eastAsia="仿宋" w:cs="仿宋"/>
          <w:kern w:val="0"/>
          <w:szCs w:val="32"/>
        </w:rPr>
        <w:t xml:space="preserve"> 国家建设征用集体所有的水面、滩涂、按照国家土地管理法规办理。</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第四章　捕捞业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第十四条</w:t>
      </w:r>
      <w:r>
        <w:rPr>
          <w:rFonts w:hint="eastAsia" w:ascii="仿宋" w:hAnsi="仿宋" w:eastAsia="仿宋" w:cs="仿宋"/>
          <w:kern w:val="0"/>
          <w:szCs w:val="32"/>
        </w:rPr>
        <w:t xml:space="preserve"> 近海渔场与外海渔场的划分：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（一）渤海、黄海为近海渔场。</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（二）下列四个基点之间连线内侧海域为东海近海渔场；四个基点之间连线外侧海域为东海外海渔场。四个基点是：</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１、北纬</w:t>
      </w:r>
      <w:r>
        <w:rPr>
          <w:rFonts w:hint="eastAsia" w:ascii="仿宋" w:hAnsi="仿宋" w:eastAsia="仿宋" w:cs="仿宋"/>
          <w:kern w:val="0"/>
          <w:szCs w:val="32"/>
          <w:lang w:val="en-US" w:eastAsia="zh-CN"/>
        </w:rPr>
        <w:t>33</w:t>
      </w:r>
      <w:r>
        <w:rPr>
          <w:rFonts w:hint="eastAsia" w:ascii="仿宋" w:hAnsi="仿宋" w:eastAsia="仿宋" w:cs="仿宋"/>
          <w:kern w:val="0"/>
          <w:szCs w:val="32"/>
        </w:rPr>
        <w:t>度，东经</w:t>
      </w:r>
      <w:r>
        <w:rPr>
          <w:rFonts w:hint="eastAsia" w:ascii="仿宋" w:hAnsi="仿宋" w:eastAsia="仿宋" w:cs="仿宋"/>
          <w:kern w:val="0"/>
          <w:szCs w:val="32"/>
          <w:lang w:val="en-US" w:eastAsia="zh-CN"/>
        </w:rPr>
        <w:t>125</w:t>
      </w:r>
      <w:r>
        <w:rPr>
          <w:rFonts w:hint="eastAsia" w:ascii="仿宋" w:hAnsi="仿宋" w:eastAsia="仿宋" w:cs="仿宋"/>
          <w:kern w:val="0"/>
          <w:szCs w:val="32"/>
        </w:rPr>
        <w:t>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２、北纬</w:t>
      </w:r>
      <w:r>
        <w:rPr>
          <w:rFonts w:hint="eastAsia" w:ascii="仿宋" w:hAnsi="仿宋" w:eastAsia="仿宋" w:cs="仿宋"/>
          <w:kern w:val="0"/>
          <w:szCs w:val="32"/>
          <w:lang w:val="en-US" w:eastAsia="zh-CN"/>
        </w:rPr>
        <w:t>29</w:t>
      </w:r>
      <w:r>
        <w:rPr>
          <w:rFonts w:hint="eastAsia" w:ascii="仿宋" w:hAnsi="仿宋" w:eastAsia="仿宋" w:cs="仿宋"/>
          <w:kern w:val="0"/>
          <w:szCs w:val="32"/>
        </w:rPr>
        <w:t>度，东经</w:t>
      </w:r>
      <w:r>
        <w:rPr>
          <w:rFonts w:hint="eastAsia" w:ascii="仿宋" w:hAnsi="仿宋" w:eastAsia="仿宋" w:cs="仿宋"/>
          <w:kern w:val="0"/>
          <w:szCs w:val="32"/>
          <w:lang w:val="en-US" w:eastAsia="zh-CN"/>
        </w:rPr>
        <w:t>125</w:t>
      </w:r>
      <w:r>
        <w:rPr>
          <w:rFonts w:hint="eastAsia" w:ascii="仿宋" w:hAnsi="仿宋" w:eastAsia="仿宋" w:cs="仿宋"/>
          <w:kern w:val="0"/>
          <w:szCs w:val="32"/>
        </w:rPr>
        <w:t>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３、北纬</w:t>
      </w:r>
      <w:r>
        <w:rPr>
          <w:rFonts w:hint="eastAsia" w:ascii="仿宋" w:hAnsi="仿宋" w:eastAsia="仿宋" w:cs="仿宋"/>
          <w:kern w:val="0"/>
          <w:szCs w:val="32"/>
          <w:lang w:val="en-US" w:eastAsia="zh-CN"/>
        </w:rPr>
        <w:t>28</w:t>
      </w:r>
      <w:r>
        <w:rPr>
          <w:rFonts w:hint="eastAsia" w:ascii="仿宋" w:hAnsi="仿宋" w:eastAsia="仿宋" w:cs="仿宋"/>
          <w:kern w:val="0"/>
          <w:szCs w:val="32"/>
        </w:rPr>
        <w:t>度，东</w:t>
      </w:r>
      <w:r>
        <w:rPr>
          <w:rFonts w:hint="eastAsia" w:ascii="仿宋" w:hAnsi="仿宋" w:eastAsia="仿宋" w:cs="仿宋"/>
          <w:kern w:val="0"/>
          <w:szCs w:val="32"/>
          <w:lang w:val="en-US" w:eastAsia="zh-CN"/>
        </w:rPr>
        <w:t>124</w:t>
      </w:r>
      <w:r>
        <w:rPr>
          <w:rFonts w:hint="eastAsia" w:ascii="仿宋" w:hAnsi="仿宋" w:eastAsia="仿宋" w:cs="仿宋"/>
          <w:kern w:val="0"/>
          <w:szCs w:val="32"/>
        </w:rPr>
        <w:t>度</w:t>
      </w:r>
      <w:r>
        <w:rPr>
          <w:rFonts w:hint="eastAsia" w:ascii="仿宋" w:hAnsi="仿宋" w:eastAsia="仿宋" w:cs="仿宋"/>
          <w:kern w:val="0"/>
          <w:szCs w:val="32"/>
          <w:lang w:val="en-US" w:eastAsia="zh-CN"/>
        </w:rPr>
        <w:t>30</w:t>
      </w:r>
      <w:r>
        <w:rPr>
          <w:rFonts w:hint="eastAsia" w:ascii="仿宋" w:hAnsi="仿宋" w:eastAsia="仿宋" w:cs="仿宋"/>
          <w:kern w:val="0"/>
          <w:szCs w:val="32"/>
        </w:rPr>
        <w:t>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４、北纬</w:t>
      </w:r>
      <w:r>
        <w:rPr>
          <w:rFonts w:hint="eastAsia" w:ascii="仿宋" w:hAnsi="仿宋" w:eastAsia="仿宋" w:cs="仿宋"/>
          <w:kern w:val="0"/>
          <w:szCs w:val="32"/>
          <w:lang w:val="en-US" w:eastAsia="zh-CN"/>
        </w:rPr>
        <w:t>27</w:t>
      </w:r>
      <w:r>
        <w:rPr>
          <w:rFonts w:hint="eastAsia" w:ascii="仿宋" w:hAnsi="仿宋" w:eastAsia="仿宋" w:cs="仿宋"/>
          <w:kern w:val="0"/>
          <w:szCs w:val="32"/>
        </w:rPr>
        <w:t>度，东经</w:t>
      </w:r>
      <w:r>
        <w:rPr>
          <w:rFonts w:hint="eastAsia" w:ascii="仿宋" w:hAnsi="仿宋" w:eastAsia="仿宋" w:cs="仿宋"/>
          <w:kern w:val="0"/>
          <w:szCs w:val="32"/>
          <w:lang w:val="en-US" w:eastAsia="zh-CN"/>
        </w:rPr>
        <w:t>123</w:t>
      </w:r>
      <w:r>
        <w:rPr>
          <w:rFonts w:hint="eastAsia" w:ascii="仿宋" w:hAnsi="仿宋" w:eastAsia="仿宋" w:cs="仿宋"/>
          <w:kern w:val="0"/>
          <w:szCs w:val="32"/>
        </w:rPr>
        <w:t>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（三）下列两条等深线之内侧海域为南海近海渔场；两条等深线之外侧海域为南海外海渔场。两条等深线是：</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１、东经</w:t>
      </w:r>
      <w:r>
        <w:rPr>
          <w:rFonts w:hint="eastAsia" w:ascii="仿宋" w:hAnsi="仿宋" w:eastAsia="仿宋" w:cs="仿宋"/>
          <w:kern w:val="0"/>
          <w:szCs w:val="32"/>
          <w:lang w:val="en-US" w:eastAsia="zh-CN"/>
        </w:rPr>
        <w:t>112</w:t>
      </w:r>
      <w:r>
        <w:rPr>
          <w:rFonts w:hint="eastAsia" w:ascii="仿宋" w:hAnsi="仿宋" w:eastAsia="仿宋" w:cs="仿宋"/>
          <w:kern w:val="0"/>
          <w:szCs w:val="32"/>
        </w:rPr>
        <w:t>度以东之</w:t>
      </w:r>
      <w:r>
        <w:rPr>
          <w:rFonts w:hint="eastAsia" w:ascii="仿宋" w:hAnsi="仿宋" w:eastAsia="仿宋" w:cs="仿宋"/>
          <w:kern w:val="0"/>
          <w:szCs w:val="32"/>
          <w:lang w:val="en-US" w:eastAsia="zh-CN"/>
        </w:rPr>
        <w:t>80</w:t>
      </w:r>
      <w:r>
        <w:rPr>
          <w:rFonts w:hint="eastAsia" w:ascii="仿宋" w:hAnsi="仿宋" w:eastAsia="仿宋" w:cs="仿宋"/>
          <w:kern w:val="0"/>
          <w:szCs w:val="32"/>
        </w:rPr>
        <w:t>米等深线；</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２、东经</w:t>
      </w:r>
      <w:r>
        <w:rPr>
          <w:rFonts w:hint="eastAsia" w:ascii="仿宋" w:hAnsi="仿宋" w:eastAsia="仿宋" w:cs="仿宋"/>
          <w:kern w:val="0"/>
          <w:szCs w:val="32"/>
          <w:lang w:val="en-US" w:eastAsia="zh-CN"/>
        </w:rPr>
        <w:t>112</w:t>
      </w:r>
      <w:r>
        <w:rPr>
          <w:rFonts w:hint="eastAsia" w:ascii="仿宋" w:hAnsi="仿宋" w:eastAsia="仿宋" w:cs="仿宋"/>
          <w:kern w:val="0"/>
          <w:szCs w:val="32"/>
        </w:rPr>
        <w:t>度以西之</w:t>
      </w:r>
      <w:r>
        <w:rPr>
          <w:rFonts w:hint="eastAsia" w:ascii="仿宋" w:hAnsi="仿宋" w:eastAsia="仿宋" w:cs="仿宋"/>
          <w:kern w:val="0"/>
          <w:szCs w:val="32"/>
          <w:lang w:val="en-US" w:eastAsia="zh-CN"/>
        </w:rPr>
        <w:t>100</w:t>
      </w:r>
      <w:r>
        <w:rPr>
          <w:rFonts w:hint="eastAsia" w:ascii="仿宋" w:hAnsi="仿宋" w:eastAsia="仿宋" w:cs="仿宋"/>
          <w:kern w:val="0"/>
          <w:szCs w:val="32"/>
        </w:rPr>
        <w:t>米等深线。</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第十五条</w:t>
      </w:r>
      <w:r>
        <w:rPr>
          <w:rFonts w:hint="eastAsia" w:ascii="仿宋" w:hAnsi="仿宋" w:eastAsia="仿宋" w:cs="仿宋"/>
          <w:kern w:val="0"/>
          <w:szCs w:val="32"/>
        </w:rPr>
        <w:t xml:space="preserve"> 国家对捕捞业，实行捕捞许可制度。</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从事外海、远洋捕捞业的，由经营者提出申请，经省、自治区直辖市人民政府渔业行政主管部门审核后，报国务院渔业行政主管部门批准。从事外海生产的渔船、必须按照批准的海域和渔期作业，不得擅自进入近海捕捞。</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近海大型拖网、围网作业的捕捞许可证，由国务院渔业行政主管部门批准发放；近海其他作业的捕捞许可证，由省、自治区、直辖市人民政府渔业行政主管部门按照国家下达的船网工具控制指标批准发放。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内陆水域的捕捞许可证，由县级以上地方人民政府渔业行政主管部门批准发放。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捕捞许可证的格式，由国务院渔业行政主管部门制定。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第十六条</w:t>
      </w:r>
      <w:r>
        <w:rPr>
          <w:rFonts w:hint="eastAsia" w:ascii="仿宋" w:hAnsi="仿宋" w:eastAsia="仿宋" w:cs="仿宋"/>
          <w:kern w:val="0"/>
          <w:szCs w:val="32"/>
        </w:rPr>
        <w:t xml:space="preserve"> 在中华人民共和国管辖水域，中外合资、中外合用经营的渔业企业，未经国务院有关主管部门批准，不得从事近海捕捞业。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第十七条</w:t>
      </w:r>
      <w:r>
        <w:rPr>
          <w:rFonts w:hint="eastAsia" w:ascii="仿宋" w:hAnsi="仿宋" w:eastAsia="仿宋" w:cs="仿宋"/>
          <w:kern w:val="0"/>
          <w:szCs w:val="32"/>
        </w:rPr>
        <w:t xml:space="preserve"> 有下列情形之一的，不得发放捕捞许可证：</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（一）使用破环渔业资源、被明令禁止使用的渔具或者捕捞方法的；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（二）未按国家规定办理批准手续，制造、更新改造、购置或者进口捕捞渔船的；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（三）未按国家规定领取渔业船舶证书、航行签证簿、职务船员证书、船舶户口簿、渔民证等证件的。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第十八条</w:t>
      </w:r>
      <w:r>
        <w:rPr>
          <w:rFonts w:hint="eastAsia" w:ascii="仿宋" w:hAnsi="仿宋" w:eastAsia="仿宋" w:cs="仿宋"/>
          <w:kern w:val="0"/>
          <w:szCs w:val="32"/>
        </w:rPr>
        <w:t xml:space="preserve"> 娱乐性游钓和在尚未养殖、管理的滩涂手工采集零星水产品的，不必申请捕捞许可证， 但应当加强管理， 防止破坏渔业资源。具体管理办法由县级以上人民政府制定。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第十九条</w:t>
      </w:r>
      <w:r>
        <w:rPr>
          <w:rFonts w:hint="eastAsia" w:ascii="仿宋" w:hAnsi="仿宋" w:eastAsia="仿宋" w:cs="仿宋"/>
          <w:kern w:val="0"/>
          <w:szCs w:val="32"/>
        </w:rPr>
        <w:t xml:space="preserve"> 因科学研究等特殊需要，在禁渔区、禁渔期捕捞，或者使用禁用的渔具、捕捞方法，或者捕捞重点保护的渔业资源品种，必须经省级以上人民政府渔业行政主管部门批准。</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第五章　渔业资源的增殖和保护</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第二十条</w:t>
      </w:r>
      <w:r>
        <w:rPr>
          <w:rFonts w:hint="eastAsia" w:ascii="仿宋" w:hAnsi="仿宋" w:eastAsia="仿宋" w:cs="仿宋"/>
          <w:kern w:val="0"/>
          <w:szCs w:val="32"/>
        </w:rPr>
        <w:t xml:space="preserve"> 禁止使用电力、鱼鹰捕鱼和敲</w:t>
      </w:r>
      <w:r>
        <w:rPr>
          <w:rFonts w:hint="eastAsia" w:ascii="仿宋" w:hAnsi="仿宋" w:eastAsia="仿宋" w:cs="仿宋"/>
          <w:spacing w:val="-34"/>
          <w:kern w:val="0"/>
          <w:szCs w:val="32"/>
          <w:highlight w:val="none"/>
          <w:lang w:val="en-US" w:eastAsia="zh-CN"/>
        </w:rPr>
        <w:t>舟古</w:t>
      </w:r>
      <w:r>
        <w:rPr>
          <w:rFonts w:hint="eastAsia" w:ascii="仿宋" w:hAnsi="仿宋" w:eastAsia="仿宋" w:cs="仿宋"/>
          <w:kern w:val="0"/>
          <w:szCs w:val="32"/>
        </w:rPr>
        <w:t>作业。在特定水域确有必要使用电力或者鱼鹰捕鱼时，必须经省、自治区、直辖市人民政府渔业行政主管部门批准。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第二十一条</w:t>
      </w:r>
      <w:r>
        <w:rPr>
          <w:rFonts w:hint="eastAsia" w:ascii="仿宋" w:hAnsi="仿宋" w:eastAsia="仿宋" w:cs="仿宋"/>
          <w:kern w:val="0"/>
          <w:szCs w:val="32"/>
        </w:rPr>
        <w:t xml:space="preserve"> 县级以上人民政府渔业行政主管部门，应当依照本实施细则第三条规定的管理权限，确定重点保护的渔业资源品种及采捕标准。在重要鱼、虾、蟹、贝、藻类，以及其他重要水生生物的产卵场、索饵场、越冬场和洄游通道，规定禁渔区和禁渔期，禁止使用或者限制使用的渔具的捕捞方法， 最小网目尺寸， 以及制定其他保护渔业资源的措施。</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第二十二条</w:t>
      </w:r>
      <w:r>
        <w:rPr>
          <w:rFonts w:hint="eastAsia" w:ascii="仿宋" w:hAnsi="仿宋" w:eastAsia="仿宋" w:cs="仿宋"/>
          <w:kern w:val="0"/>
          <w:szCs w:val="32"/>
        </w:rPr>
        <w:t xml:space="preserve"> 在“机动渔船底拖网禁渔区线”外侧建造人工鱼礁的，必须经有关省、自治区、直辖市人民政府渔业行政主管部门批准；在“机动渔船底拖网禁渔区线”内侧建造人工鱼礁的，必须经有关省、自治区、直辖市人民政府或其授权单位批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建造人工鱼礁，应当避开主要航道和重要锚地，并通知有关交通和海洋管理部门。</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第二十三条</w:t>
      </w:r>
      <w:r>
        <w:rPr>
          <w:rFonts w:hint="eastAsia" w:ascii="仿宋" w:hAnsi="仿宋" w:eastAsia="仿宋" w:cs="仿宋"/>
          <w:kern w:val="0"/>
          <w:szCs w:val="32"/>
        </w:rPr>
        <w:t xml:space="preserve"> 定置渔业一般不得跨县作业。县级以上人民政府渔业行政主管部门应当限制其网桩数量、作业场所，并规定禁渔期。 海洋定置渔业，不得越出“机动渔船底拖网禁渔区线”。</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第二十四条</w:t>
      </w:r>
      <w:r>
        <w:rPr>
          <w:rFonts w:hint="eastAsia" w:ascii="仿宋" w:hAnsi="仿宋" w:eastAsia="仿宋" w:cs="仿宋"/>
          <w:kern w:val="0"/>
          <w:szCs w:val="32"/>
        </w:rPr>
        <w:t xml:space="preserve"> 因养殖或者其他特殊需要，捕捞鳗鲡、鲥鱼、中华绒螯蟹、真鲷、石斑鱼等有重要经济价值的水生动物苗种或者禁捕的怀卵亲体的，必须经国务院渔业行政主管部门或者省、自治区、直辖市人民政府渔业行政主管部门批准，并领取专项许可证件，方可在指定区域和时间内，按照批准限额捕捞。捕捞其他有重要经济价值的水生动物苗种的批准权，由省、自治区、直辖市人民政府渔业行政主管部门规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第二十五条</w:t>
      </w:r>
      <w:r>
        <w:rPr>
          <w:rFonts w:hint="eastAsia" w:ascii="仿宋" w:hAnsi="仿宋" w:eastAsia="仿宋" w:cs="仿宋"/>
          <w:kern w:val="0"/>
          <w:szCs w:val="32"/>
        </w:rPr>
        <w:t xml:space="preserve"> 禁止捕捞中国对虾苗种和春季亲虾。因养殖需要中国对虾怀卵亲体的，应当限期由养殖单位自行培育，期限及管理办法由国务院渔业行政主管部门制定。</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第二十六条</w:t>
      </w:r>
      <w:r>
        <w:rPr>
          <w:rFonts w:hint="eastAsia" w:ascii="仿宋" w:hAnsi="仿宋" w:eastAsia="仿宋" w:cs="仿宋"/>
          <w:kern w:val="0"/>
          <w:szCs w:val="32"/>
        </w:rPr>
        <w:t xml:space="preserve"> 任何单位和个人，在鱼、虾、蟹、贝幼苗的重点产区直接引水、用水的，应当采取避开幼苗的密集期、密集区，或者设置网栅等保护措施。</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第二十七条</w:t>
      </w:r>
      <w:r>
        <w:rPr>
          <w:rFonts w:hint="eastAsia" w:ascii="仿宋" w:hAnsi="仿宋" w:eastAsia="仿宋" w:cs="仿宋"/>
          <w:kern w:val="0"/>
          <w:szCs w:val="32"/>
        </w:rPr>
        <w:t xml:space="preserve"> 各级渔业行政主管部门，应当对渔业水域污染情况进行监测；渔业环境保护监测网，应当纳入全国环境监测网络。因污染造成渔业损失的，应当由渔政渔港监督管理部门协同环保部门调查处理。</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第二十八条</w:t>
      </w:r>
      <w:r>
        <w:rPr>
          <w:rFonts w:hint="eastAsia" w:ascii="仿宋" w:hAnsi="仿宋" w:eastAsia="仿宋" w:cs="仿宋"/>
          <w:kern w:val="0"/>
          <w:szCs w:val="32"/>
        </w:rPr>
        <w:t xml:space="preserve"> 在重点渔业水域不得从事拆船业，在其他渔业水域从事拆船业，造成渔业资源损害的，由拆船单位依照有关规定负责赔偿。</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第六章　罚则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第二十九条</w:t>
      </w:r>
      <w:r>
        <w:rPr>
          <w:rFonts w:hint="eastAsia" w:ascii="仿宋" w:hAnsi="仿宋" w:eastAsia="仿宋" w:cs="仿宋"/>
          <w:kern w:val="0"/>
          <w:szCs w:val="32"/>
        </w:rPr>
        <w:t xml:space="preserve"> 依照《渔业法》第二十八条规定处以罚款的，按下列规定执行：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（一）炸鱼、毒鱼的，违反关于禁渔区、禁渔期的规定进行捕捞的，擅自捕捞国家规定禁止捕捞的珍贵水生动物的，在内陆水域处五十元至五千元罚款，在海洋处五百元至五万元罚款；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（二）敲</w:t>
      </w:r>
      <w:r>
        <w:rPr>
          <w:rFonts w:hint="eastAsia" w:ascii="仿宋" w:hAnsi="仿宋" w:eastAsia="仿宋" w:cs="仿宋"/>
          <w:spacing w:val="-34"/>
          <w:kern w:val="0"/>
          <w:szCs w:val="32"/>
          <w:highlight w:val="none"/>
          <w:lang w:val="en-US" w:eastAsia="zh-CN"/>
        </w:rPr>
        <w:t>舟古</w:t>
      </w:r>
      <w:r>
        <w:rPr>
          <w:rFonts w:hint="eastAsia" w:ascii="仿宋" w:hAnsi="仿宋" w:eastAsia="仿宋" w:cs="仿宋"/>
          <w:kern w:val="0"/>
          <w:szCs w:val="32"/>
        </w:rPr>
        <w:t>作业的，处一千元至五万元 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（三）未经批准使用鱼鹰捕鱼的，处五十元至二百元罚款；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（四）未经批准使用电力捕鱼的，在内陆水域处二百元至一千元罚款，在海洋处五百元至三千元罚款；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（五）使用小于规定的最小网目尺寸的网具进行捕捞的，处五十元至一千元罚款 。</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第三十条</w:t>
      </w:r>
      <w:r>
        <w:rPr>
          <w:rFonts w:hint="eastAsia" w:ascii="仿宋" w:hAnsi="仿宋" w:eastAsia="仿宋" w:cs="仿宋"/>
          <w:kern w:val="0"/>
          <w:szCs w:val="32"/>
        </w:rPr>
        <w:t xml:space="preserve"> 依照《渔业法》第二十九条规定处以罚款的，按罚款一千元以下执行。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第三十一条</w:t>
      </w:r>
      <w:r>
        <w:rPr>
          <w:rFonts w:hint="eastAsia" w:ascii="仿宋" w:hAnsi="仿宋" w:eastAsia="仿宋" w:cs="仿宋"/>
          <w:kern w:val="0"/>
          <w:szCs w:val="32"/>
        </w:rPr>
        <w:t xml:space="preserve"> 依照《渔业法》第三十条规定需处以罚款的，按下列规定执行：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（一）内陆渔业非机动渔船，处五十元至一百五十元罚款；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（二）内陆渔业机动渔船和海洋渔业非机动渔船，处一百元至五百元罚款；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（三）海洋渔业机动渔船，处二百元至二万元罚款。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第三十二条</w:t>
      </w:r>
      <w:r>
        <w:rPr>
          <w:rFonts w:hint="eastAsia" w:ascii="仿宋" w:hAnsi="仿宋" w:eastAsia="仿宋" w:cs="仿宋"/>
          <w:kern w:val="0"/>
          <w:szCs w:val="32"/>
        </w:rPr>
        <w:t xml:space="preserve"> 依照《渔业法》第三十一条规定需处以罚款的，按下列规定执行：</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（一）内陆渔业非机动渔船，处二十五元至五十元罚款；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（二）内陆渔业机动渔船和海洋渔业非机动渔船，处 五十元至一百元罚款；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（三）海洋渔业机动渔船，处五十至三千元罚款；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（四）外海渔船擅自进入近海捕捞的，处三千元至二万元罚款。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第三十三条</w:t>
      </w:r>
      <w:r>
        <w:rPr>
          <w:rFonts w:hint="eastAsia" w:ascii="仿宋" w:hAnsi="仿宋" w:eastAsia="仿宋" w:cs="仿宋"/>
          <w:kern w:val="0"/>
          <w:szCs w:val="32"/>
        </w:rPr>
        <w:t xml:space="preserve"> 买卖、出租或者以其他形式非法转让以及涂改捕捞许可证的，没收违法所得，吊销捕捞许可证，可以并处一百元至一千元罚款。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第三十四条</w:t>
      </w:r>
      <w:r>
        <w:rPr>
          <w:rFonts w:hint="eastAsia" w:ascii="仿宋" w:hAnsi="仿宋" w:eastAsia="仿宋" w:cs="仿宋"/>
          <w:kern w:val="0"/>
          <w:szCs w:val="32"/>
        </w:rPr>
        <w:t xml:space="preserve"> 依照《渔业法》第二十八条、第三十条、第三十一条、第三十二条规定需处以罚款的，对船长或者单位负责人可以视情节另处一百元至五百元罚款。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第三十五条</w:t>
      </w:r>
      <w:r>
        <w:rPr>
          <w:rFonts w:hint="eastAsia" w:ascii="仿宋" w:hAnsi="仿宋" w:eastAsia="仿宋" w:cs="仿宋"/>
          <w:kern w:val="0"/>
          <w:szCs w:val="32"/>
        </w:rPr>
        <w:t xml:space="preserve"> 未按《渔业法》和本实施细则有关规定，采取保护措施，造成渔业资源损失的，围湖造田或者未经批准围垦沿海滩涂的，应当依法承担责任。</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第三十六条</w:t>
      </w:r>
      <w:r>
        <w:rPr>
          <w:rFonts w:hint="eastAsia" w:ascii="仿宋" w:hAnsi="仿宋" w:eastAsia="仿宋" w:cs="仿宋"/>
          <w:kern w:val="0"/>
          <w:szCs w:val="32"/>
        </w:rPr>
        <w:t xml:space="preserve"> 中外合资，中外合作经营的渔业企业，违反本实施细则第十六条规定，没收渔获物和违法所得，可以并处三千元至五万元罚款。</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第三十七条</w:t>
      </w:r>
      <w:r>
        <w:rPr>
          <w:rFonts w:hint="eastAsia" w:ascii="仿宋" w:hAnsi="仿宋" w:eastAsia="仿宋" w:cs="仿宋"/>
          <w:kern w:val="0"/>
          <w:szCs w:val="32"/>
        </w:rPr>
        <w:t xml:space="preserve"> 外国人、外国渔船违反《渔业法》第八条规定，擅自进入中华人民共和国管辖水域从事渔业生产或渔业资源调查活动的，渔业行政主管部门或其所属的渔政监督管理机构应当令其离开或者将其驱逐，并可处以罚款和没收渔获物、渔具。</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第三十八条</w:t>
      </w:r>
      <w:r>
        <w:rPr>
          <w:rFonts w:hint="eastAsia" w:ascii="仿宋" w:hAnsi="仿宋" w:eastAsia="仿宋" w:cs="仿宋"/>
          <w:kern w:val="0"/>
          <w:szCs w:val="32"/>
        </w:rPr>
        <w:t xml:space="preserve"> 渔业行政主管部门或其所属的渔政监督管理机构进行处罚时，应当填发处罚决定书；处以罚款及没收渔具、渔获物和违法所得的，应当开具凭证，并在捕捞许可证上载明。</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第三十九条</w:t>
      </w:r>
      <w:r>
        <w:rPr>
          <w:rFonts w:hint="eastAsia" w:ascii="仿宋" w:hAnsi="仿宋" w:eastAsia="仿宋" w:cs="仿宋"/>
          <w:kern w:val="0"/>
          <w:szCs w:val="32"/>
        </w:rPr>
        <w:t xml:space="preserve"> 有下列行为之一的，由公安机关依照《中华人民共和国治安管理处罚条例》的规定处罚：构成犯罪的，由司法机关依法追究刑事责任：</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（一）拒绝、阻碍渔政检查人员依法执行职务的；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仿宋" w:hAnsi="仿宋" w:eastAsia="仿宋" w:cs="仿宋"/>
          <w:kern w:val="0"/>
          <w:szCs w:val="32"/>
        </w:rPr>
        <w:t>（二）偷窃、哄抢或者破坏渔具、渔船、渔获物的。</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第四十条</w:t>
      </w:r>
      <w:r>
        <w:rPr>
          <w:rFonts w:hint="eastAsia" w:ascii="仿宋" w:hAnsi="仿宋" w:eastAsia="仿宋" w:cs="仿宋"/>
          <w:kern w:val="0"/>
          <w:szCs w:val="32"/>
        </w:rPr>
        <w:t xml:space="preserve"> 渔政检查人员玩忽职守或者徇私枉法的，由其所在单位或者上级主管部门给予行政处分；构成犯罪的，依法追究刑事责任。</w:t>
      </w: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p>
    <w:p>
      <w:pPr>
        <w:widowControl w:val="0"/>
        <w:wordWrap/>
        <w:adjustRightInd/>
        <w:snapToGrid/>
        <w:spacing w:line="560" w:lineRule="exact"/>
        <w:ind w:firstLine="640" w:firstLineChars="200"/>
        <w:textAlignment w:val="auto"/>
        <w:rPr>
          <w:rFonts w:hint="eastAsia" w:ascii="仿宋" w:hAnsi="仿宋" w:eastAsia="仿宋" w:cs="仿宋"/>
          <w:kern w:val="0"/>
          <w:szCs w:val="32"/>
        </w:rPr>
      </w:pPr>
      <w:r>
        <w:rPr>
          <w:rFonts w:hint="eastAsia" w:ascii="黑体" w:hAnsi="黑体" w:eastAsia="黑体" w:cs="黑体"/>
          <w:sz w:val="32"/>
          <w:szCs w:val="32"/>
        </w:rPr>
        <w:t>第四十一条</w:t>
      </w:r>
      <w:r>
        <w:rPr>
          <w:rFonts w:hint="eastAsia" w:ascii="仿宋" w:hAnsi="仿宋" w:eastAsia="仿宋" w:cs="仿宋"/>
          <w:kern w:val="0"/>
          <w:szCs w:val="32"/>
        </w:rPr>
        <w:t xml:space="preserve"> 本实施细则农牧渔业部负责解释。</w:t>
      </w:r>
    </w:p>
    <w:p>
      <w:pPr>
        <w:widowControl w:val="0"/>
        <w:wordWrap/>
        <w:adjustRightInd/>
        <w:snapToGrid/>
        <w:spacing w:line="560" w:lineRule="exact"/>
        <w:ind w:firstLine="640" w:firstLineChars="200"/>
        <w:textAlignment w:val="auto"/>
        <w:rPr>
          <w:rFonts w:hint="eastAsia" w:ascii="宋体" w:hAnsi="宋体" w:eastAsia="宋体" w:cs="宋体"/>
          <w:bCs/>
          <w:sz w:val="44"/>
          <w:szCs w:val="44"/>
        </w:rPr>
      </w:pPr>
      <w:r>
        <w:rPr>
          <w:rFonts w:hint="eastAsia" w:ascii="黑体" w:hAnsi="黑体" w:eastAsia="黑体" w:cs="黑体"/>
          <w:sz w:val="32"/>
          <w:szCs w:val="32"/>
        </w:rPr>
        <w:t>第四十二条</w:t>
      </w:r>
      <w:r>
        <w:rPr>
          <w:rFonts w:hint="eastAsia" w:ascii="仿宋" w:hAnsi="仿宋" w:eastAsia="仿宋" w:cs="仿宋"/>
          <w:kern w:val="0"/>
          <w:szCs w:val="32"/>
        </w:rPr>
        <w:t xml:space="preserve"> 本实施细则自发布之日起施行。</w:t>
      </w:r>
      <w:r>
        <w:rPr>
          <w:rFonts w:hint="eastAsia" w:ascii="宋体" w:hAnsi="宋体" w:eastAsia="宋体" w:cs="宋体"/>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bCs/>
          <w:sz w:val="44"/>
          <w:szCs w:val="44"/>
        </w:rPr>
      </w:pPr>
      <w:bookmarkStart w:id="230" w:name="_Toc8635"/>
      <w:r>
        <w:rPr>
          <w:rFonts w:hint="eastAsia" w:ascii="宋体" w:hAnsi="宋体" w:eastAsia="宋体" w:cs="宋体"/>
          <w:bCs/>
          <w:sz w:val="44"/>
          <w:szCs w:val="44"/>
        </w:rPr>
        <w:t>中华人民共和国国境卫生检疫法实施细则</w:t>
      </w:r>
      <w:bookmarkEnd w:id="230"/>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r>
        <w:rPr>
          <w:rFonts w:hint="eastAsia" w:ascii="宋体" w:hAnsi="宋体" w:eastAsia="楷体_GB2312" w:cs="Arial"/>
          <w:szCs w:val="32"/>
        </w:rPr>
        <w:t>（1989年2月10日国务院批准　1989年3月6日卫生部令第2号公布　根据2010年4月24日《国务院关于修改〈中华人民共和国　国境卫生检疫法实施细则〉的决定》第一次修订　根据2016年2月6日《国务院关于修改部分行政法规的决定》第二次修订 根据2019年3月2日《国务院关于修改部分行政法规的决定》修正）</w:t>
      </w:r>
    </w:p>
    <w:p>
      <w:pPr>
        <w:widowControl w:val="0"/>
        <w:wordWrap/>
        <w:adjustRightInd/>
        <w:snapToGrid/>
        <w:spacing w:line="560" w:lineRule="exact"/>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第一章　一般规定</w:t>
      </w:r>
    </w:p>
    <w:p>
      <w:pPr>
        <w:widowControl w:val="0"/>
        <w:wordWrap/>
        <w:adjustRightInd/>
        <w:snapToGrid/>
        <w:spacing w:line="560" w:lineRule="exact"/>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第一条</w:t>
      </w:r>
      <w:r>
        <w:rPr>
          <w:rFonts w:hint="eastAsia" w:ascii="仿宋" w:hAnsi="仿宋" w:eastAsia="仿宋" w:cs="仿宋"/>
          <w:bCs/>
          <w:sz w:val="32"/>
          <w:szCs w:val="32"/>
        </w:rPr>
        <w:t xml:space="preserve"> 根据《中华人民共和国国境卫生检疫法》（以下称《国境卫生检疫法》）的规定，制定本细则。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第二条 </w:t>
      </w:r>
      <w:r>
        <w:rPr>
          <w:rFonts w:hint="eastAsia" w:ascii="仿宋" w:hAnsi="仿宋" w:eastAsia="仿宋" w:cs="仿宋"/>
          <w:bCs/>
          <w:sz w:val="32"/>
          <w:szCs w:val="32"/>
        </w:rPr>
        <w:t>《国境卫生检疫法》和本细则所称：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“查验”指国境卫生检疫机关（以下称卫生检疫机关）实施的医学检查和卫生检查。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“染疫人”指正在患检疫传染病的人，或者经卫生检疫机关初步诊断，认为已经感染检疫传染病或者已经处于检疫传染病潜伏期的人。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“染疫嫌疑人”指接触过检疫传染病的感染环境，并且可能传播检疫传染病的人。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“隔离”指将染疫人收留在指定的处所，限制其活动并进行治疗，直到消除传染病传播的危险。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“留验”指将染疫嫌疑人收留在指定的处所进行诊察和检验。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“就地诊验”指一个人在卫生检疫机关指定的期间，到就近的卫生检疫机关或者其他医疗卫生单位去接受诊察和检验；或者卫生检疫机关、其他医疗卫生单位到该人员的居留地，对其进行诊察和检验。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“运输设备”指货物集装箱。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“卫生处理”指隔离、留验和就地诊验等医学措施，以及消毒、除鼠、除虫等卫生措施。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“传染病监测”指对特定环境、人群进行流行病学、血清学、病原学、临床症状以及其他有关影响因素的调查研究，预测有关传染病的发生、发展和流行。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“卫生监督”指执行卫生法规和卫生标准所进行的卫生检查、卫生鉴定、卫生评价和采样检验。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“交通工具”指船舶、航空器、列车和其他车辆。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“国境口岸”指国际通航的港口、机场、车站、陆地边境和国界江河的关口。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第三条</w:t>
      </w:r>
      <w:r>
        <w:rPr>
          <w:rFonts w:hint="eastAsia" w:ascii="仿宋" w:hAnsi="仿宋" w:eastAsia="仿宋" w:cs="仿宋"/>
          <w:bCs/>
          <w:sz w:val="32"/>
          <w:szCs w:val="32"/>
        </w:rPr>
        <w:t xml:space="preserve"> 卫生检疫机关在国境口岸工作的范围，是指为国境口岸服务的涉外宾馆、饭店、俱乐部，为入境、出境交通工具提供饮食、服务的单位和对入境、出境人员、交通工具、集装箱和货物实施检疫、监测、卫生监督的场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第四条</w:t>
      </w:r>
      <w:r>
        <w:rPr>
          <w:rFonts w:hint="eastAsia" w:ascii="仿宋" w:hAnsi="仿宋" w:eastAsia="仿宋" w:cs="仿宋"/>
          <w:bCs/>
          <w:sz w:val="32"/>
          <w:szCs w:val="32"/>
        </w:rPr>
        <w:t xml:space="preserve"> 入境、出境的人员、交通工具和集装箱，以及可能传播检疫传染病的行李、货物、邮包等，均应当按照本细则的规定接受检疫，经卫生检疫机关许可，方准入境或者出境。</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第五条</w:t>
      </w:r>
      <w:r>
        <w:rPr>
          <w:rFonts w:hint="eastAsia" w:ascii="仿宋" w:hAnsi="仿宋" w:eastAsia="仿宋" w:cs="仿宋"/>
          <w:bCs/>
          <w:sz w:val="32"/>
          <w:szCs w:val="32"/>
        </w:rPr>
        <w:t xml:space="preserve"> 卫生检疫机关发现染疫人时，应当立即将其隔离，防止任何人遭受感染，并按照本细则第八章的规定处理。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检疫机关发现染疫嫌疑人时，应当按照本细则第八章的规定处理。但对第八章规定以外的其他病种染疫嫌疑人，可以从该人员离开感染环境的时候算起，实施不超过该传染病最长潜伏期的就地诊验或者留验以及其他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第六条</w:t>
      </w:r>
      <w:r>
        <w:rPr>
          <w:rFonts w:hint="eastAsia" w:ascii="仿宋" w:hAnsi="仿宋" w:eastAsia="仿宋" w:cs="仿宋"/>
          <w:bCs/>
          <w:sz w:val="32"/>
          <w:szCs w:val="32"/>
        </w:rPr>
        <w:t xml:space="preserve"> 卫生检疫机关应当阻止染疫人、染疫嫌疑人出境，但是对来自国外并且在到达时受就地诊验的人，本人要求出境的，可以准许出境；如果乘交通工具出境，检疫医师应当将这种情况在出境检疫证上签注，同时通知交通工具负责人采取必要的预防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第七条</w:t>
      </w:r>
      <w:r>
        <w:rPr>
          <w:rFonts w:hint="eastAsia" w:ascii="仿宋" w:hAnsi="仿宋" w:eastAsia="仿宋" w:cs="仿宋"/>
          <w:bCs/>
          <w:sz w:val="32"/>
          <w:szCs w:val="32"/>
        </w:rPr>
        <w:t xml:space="preserve"> 在国境口岸以及停留在该场所的入境、出境交通工具上，所有非因意外伤害而死亡并死因不明的尸体，必须经卫生检疫机关查验，并签发尸体移运许可证后，方准移运。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第八条</w:t>
      </w:r>
      <w:r>
        <w:rPr>
          <w:rFonts w:hint="eastAsia" w:ascii="仿宋" w:hAnsi="仿宋" w:eastAsia="仿宋" w:cs="仿宋"/>
          <w:bCs/>
          <w:sz w:val="32"/>
          <w:szCs w:val="32"/>
        </w:rPr>
        <w:t xml:space="preserve"> 来自国内疫区的交通工具，或者在国内航行中发现检疫传染病、疑似检疫传染病，或者有人非因意外伤害而死亡并死因不明的，交通工具负责人应当向到达的国境口岸卫生检疫机关报告，接受临时检疫。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第九条</w:t>
      </w:r>
      <w:r>
        <w:rPr>
          <w:rFonts w:hint="eastAsia" w:ascii="仿宋" w:hAnsi="仿宋" w:eastAsia="仿宋" w:cs="仿宋"/>
          <w:bCs/>
          <w:sz w:val="32"/>
          <w:szCs w:val="32"/>
        </w:rPr>
        <w:t xml:space="preserve"> 在国内或者国外检疫传染病大流行的时候，国务院卫生行政部门应当立即报请国务院决定采取下列检疫措施的一部或者全部：</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（一）下令封锁陆地边境、国界江河的有关区域；</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（二）指定某些物品必须经过消毒、除虫，方准由国外运进或者由国内运出；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（三）禁止某些物品由国外运进或者由国内运出；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（四）指定第一入境港口、降落机场。对来自国外疫区的船舶、航空器，除因遇险或者其他特殊原因外，没有经第一入境港口、机场检疫的，不准进入其他港口和机场。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第十条</w:t>
      </w:r>
      <w:r>
        <w:rPr>
          <w:rFonts w:hint="eastAsia" w:ascii="仿宋" w:hAnsi="仿宋" w:eastAsia="仿宋" w:cs="仿宋"/>
          <w:bCs/>
          <w:sz w:val="32"/>
          <w:szCs w:val="32"/>
        </w:rPr>
        <w:t xml:space="preserve"> 入境、出境的集装箱、货物、废旧物等物品在到达口岸的时候，承运人、代理人或者货主，必须向卫生检疫机关申报并接受卫生检疫。对来自疫区的、被传染病污染的以及可能传播检疫传染病或者发现与人类健康有关的啮齿动物和病媒昆虫的集装箱、货物、废旧物等物品，应当实施消毒、除鼠、除虫或者其他必要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集装箱、货物、废旧物等物品的货主要求在其他地方实施卫生检疫、卫生处理的，卫生检疫机关可以给予方便，并按规定办理。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第十一条</w:t>
      </w:r>
      <w:r>
        <w:rPr>
          <w:rFonts w:hint="eastAsia" w:ascii="仿宋" w:hAnsi="仿宋" w:eastAsia="仿宋" w:cs="仿宋"/>
          <w:bCs/>
          <w:sz w:val="32"/>
          <w:szCs w:val="32"/>
        </w:rPr>
        <w:t xml:space="preserve"> 入境、出境的微生物、人体组织、生物制品、血液及其制品等特殊物品的携带人、托运人或者邮递人，必须向卫生检疫机关申报并接受卫生检疫，凭卫生检疫机关签发的特殊物品审批单办理通关手续。未经卫生检疫机关许可，不准入境、出境。</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第十二条</w:t>
      </w:r>
      <w:r>
        <w:rPr>
          <w:rFonts w:hint="eastAsia" w:ascii="仿宋" w:hAnsi="仿宋" w:eastAsia="仿宋" w:cs="仿宋"/>
          <w:bCs/>
          <w:sz w:val="32"/>
          <w:szCs w:val="32"/>
        </w:rPr>
        <w:t xml:space="preserve"> 入境、出境的旅客、员工个人携带或者托运可能传播传染病的行李和物品，应当接受卫生检查。卫生检疫机关对来自疫区或者被传染病污染的各种食品、饮料、水产品等应当实施卫生处理或者销毁，并签发卫生处理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第十三条</w:t>
      </w:r>
      <w:r>
        <w:rPr>
          <w:rFonts w:hint="eastAsia" w:ascii="仿宋" w:hAnsi="仿宋" w:eastAsia="仿宋" w:cs="仿宋"/>
          <w:bCs/>
          <w:sz w:val="32"/>
          <w:szCs w:val="32"/>
        </w:rPr>
        <w:t xml:space="preserve"> 卫生检疫机关对应当实施卫生检疫的邮包进行卫生检查和必要的卫生处理时，邮政部门应予配合。未经卫生检疫机关许可，邮政部门不得运递。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第十四条</w:t>
      </w:r>
      <w:r>
        <w:rPr>
          <w:rFonts w:hint="eastAsia" w:ascii="仿宋" w:hAnsi="仿宋" w:eastAsia="仿宋" w:cs="仿宋"/>
          <w:bCs/>
          <w:sz w:val="32"/>
          <w:szCs w:val="32"/>
        </w:rPr>
        <w:t xml:space="preserve"> 卫生检疫单、证的种类、式样和签发办法，由海关总署规定。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第二章　疫情通报</w:t>
      </w:r>
    </w:p>
    <w:p>
      <w:pPr>
        <w:widowControl w:val="0"/>
        <w:wordWrap/>
        <w:adjustRightInd/>
        <w:snapToGrid/>
        <w:spacing w:line="560" w:lineRule="exact"/>
        <w:ind w:firstLine="640" w:firstLineChars="200"/>
        <w:jc w:val="center"/>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第十五条</w:t>
      </w:r>
      <w:r>
        <w:rPr>
          <w:rFonts w:hint="eastAsia" w:ascii="仿宋" w:hAnsi="仿宋" w:eastAsia="仿宋" w:cs="仿宋"/>
          <w:bCs/>
          <w:sz w:val="32"/>
          <w:szCs w:val="32"/>
        </w:rPr>
        <w:t xml:space="preserve"> 在国境口岸以及停留在国境口岸的交通工具上，发现检疫传染病、疑似检疫传染病，或者有人非因意外伤害而死亡并死因不明时，国境口岸有关单位以及交通工具的负责人，应当立即向卫生检疫机关报告。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第十六条</w:t>
      </w:r>
      <w:r>
        <w:rPr>
          <w:rFonts w:hint="eastAsia" w:ascii="仿宋" w:hAnsi="仿宋" w:eastAsia="仿宋" w:cs="仿宋"/>
          <w:bCs/>
          <w:sz w:val="32"/>
          <w:szCs w:val="32"/>
        </w:rPr>
        <w:t xml:space="preserve"> 卫生检疫机关发现检疫传染病、监测传染病、疑似检疫传染病时，应当向当地卫生行政部门和卫生防疫机构通报；发现检疫传染病时，还应当用最快的办法向国务院卫生行政部门报告。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当地卫生防疫机构发现检疫传染病、监测传染病时，应当向卫生检疫机关通报。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第十七条</w:t>
      </w:r>
      <w:r>
        <w:rPr>
          <w:rFonts w:hint="eastAsia" w:ascii="仿宋" w:hAnsi="仿宋" w:eastAsia="仿宋" w:cs="仿宋"/>
          <w:bCs/>
          <w:sz w:val="32"/>
          <w:szCs w:val="32"/>
        </w:rPr>
        <w:t xml:space="preserve"> 在国内或者国外某一地区发生检疫传染病流行时，国务院卫生行政部门可以宣布该地区为疫区。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第三章　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第十八条</w:t>
      </w:r>
      <w:r>
        <w:rPr>
          <w:rFonts w:hint="eastAsia" w:ascii="仿宋" w:hAnsi="仿宋" w:eastAsia="仿宋" w:cs="仿宋"/>
          <w:bCs/>
          <w:sz w:val="32"/>
          <w:szCs w:val="32"/>
        </w:rPr>
        <w:t xml:space="preserve"> 卫生检疫机关根据工作需要，可以设立派出机构。卫生检疫机关的设立、合并或者撤销，按照有关规定执行。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第十九条</w:t>
      </w:r>
      <w:r>
        <w:rPr>
          <w:rFonts w:hint="eastAsia" w:ascii="仿宋" w:hAnsi="仿宋" w:eastAsia="仿宋" w:cs="仿宋"/>
          <w:bCs/>
          <w:sz w:val="32"/>
          <w:szCs w:val="32"/>
        </w:rPr>
        <w:t xml:space="preserve"> 卫生检疫机关的职责：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（一）执行《国境卫生检疫法》及其实施细则和国家有关卫生法规；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（二）收集、整理、报告国际和国境口岸传染病的发生、流行和终息情况；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（三）对国境口岸的卫生状况实施卫生监督；对入境、出境的交通工具、人员、集装箱、尸体、骸骨以及可能传播检疫传染病的行李、货物、邮包等实施检疫查验、传染病监测、卫生监督和卫生处理；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（四）对入境、出境的微生物、生物制品、人体组织、血液及其制品等特殊物品以及能传播人类传染病的动物，实施卫生检疫；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（五）对入境、出境人员进行预防接种、健康检查、医疗服务、国际旅行健康咨询和卫生宣传；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（六）签发卫生检疫证件；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（七）进行流行病学调查研究，开展科学实验；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（八）执行海关总署、国务院卫生行政部门指定的其他工作。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第二十条</w:t>
      </w:r>
      <w:r>
        <w:rPr>
          <w:rFonts w:hint="eastAsia" w:ascii="仿宋" w:hAnsi="仿宋" w:eastAsia="仿宋" w:cs="仿宋"/>
          <w:bCs/>
          <w:sz w:val="32"/>
          <w:szCs w:val="32"/>
        </w:rPr>
        <w:t xml:space="preserve"> 国境口岸卫生监督员的职责：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（一）对国境口岸和停留在国境口岸的入境、出境交通工具进行卫生监督和卫生宣传；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（二）在消毒、除鼠、除虫等卫生处理方面进行技术指导；</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（三）对造成传染病传播、啮齿动物和病媒昆虫扩散、食物中毒、食物污染等事故进行调查，并提出控制措施。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第二十一条</w:t>
      </w:r>
      <w:r>
        <w:rPr>
          <w:rFonts w:hint="eastAsia" w:ascii="仿宋" w:hAnsi="仿宋" w:eastAsia="仿宋" w:cs="仿宋"/>
          <w:bCs/>
          <w:sz w:val="32"/>
          <w:szCs w:val="32"/>
        </w:rPr>
        <w:t xml:space="preserve"> 卫生检疫机关工作人员、国境口岸卫生监督员在执行任务时，应当穿着检疫制服，佩戴检疫标志；卫生检疫机关的交通工具在执行任务期间，应当悬挂检疫旗帜。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检疫制服、标志、旗帜的式样和使用办法由海关总署会同有关部门制定，报国务院审批。</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第四章　海港检疫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第二十二条</w:t>
      </w:r>
      <w:r>
        <w:rPr>
          <w:rFonts w:hint="eastAsia" w:ascii="仿宋" w:hAnsi="仿宋" w:eastAsia="仿宋" w:cs="仿宋"/>
          <w:bCs/>
          <w:sz w:val="32"/>
          <w:szCs w:val="32"/>
        </w:rPr>
        <w:t xml:space="preserve"> 船舶的入境检疫，必须在港口的检疫锚地或者经卫生检疫机关同意的指定地点实施。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检疫锚地由港务监督机关和卫生检疫机关会商确定，报国务院交通运输主管部门和海关总署备案。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第二十三条</w:t>
      </w:r>
      <w:r>
        <w:rPr>
          <w:rFonts w:hint="eastAsia" w:ascii="仿宋" w:hAnsi="仿宋" w:eastAsia="仿宋" w:cs="仿宋"/>
          <w:bCs/>
          <w:sz w:val="32"/>
          <w:szCs w:val="32"/>
        </w:rPr>
        <w:t xml:space="preserve"> 船舶代理应当在受入境检疫的船舶到达以前，尽早向卫生检疫机关通知下列事项：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（一）船名、国籍、预定到达检疫锚地的日期和时间；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（二）发航港、最后寄港；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港务监督机关应当将船舶确定到达检疫锚地的日期和时间尽早通知卫生检疫机关。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第二十四条</w:t>
      </w:r>
      <w:r>
        <w:rPr>
          <w:rFonts w:hint="eastAsia" w:ascii="仿宋" w:hAnsi="仿宋" w:eastAsia="仿宋" w:cs="仿宋"/>
          <w:bCs/>
          <w:sz w:val="32"/>
          <w:szCs w:val="32"/>
        </w:rPr>
        <w:t xml:space="preserve"> 受入境检疫的船舶，在航行中，发现检疫传染病、疑似检疫传染病，或者有人非因意外伤害而死亡并死因不明的，船长必须立即向实施检疫港口的卫生检疫机关报告下列事项：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（一）船名、国籍、预定到达检疫锚地的日期和时间；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（二）发航港、最后寄港；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（五）病名或者主要症状、患病人数、死亡人数；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（六）船上有无船医。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第二十五条</w:t>
      </w:r>
      <w:r>
        <w:rPr>
          <w:rFonts w:hint="eastAsia" w:ascii="仿宋" w:hAnsi="仿宋" w:eastAsia="仿宋" w:cs="仿宋"/>
          <w:bCs/>
          <w:sz w:val="32"/>
          <w:szCs w:val="32"/>
        </w:rPr>
        <w:t xml:space="preserve"> 受入境检疫的船舶，必须按照下列规定悬挂检疫信号等候查验，在卫生检疫机关发给入境检疫证前，不得降下检疫信号。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昼间在明显处所悬挂国际通语信号旗：</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（一）“Q”字旗表示：本船没有染疫，请发给入境检疫证；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（二）“QQ”字旗表示：本船有染疫或者染疫嫌疑，请即刻实施检疫。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夜间在明显处所垂直悬挂灯号：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（一）红灯三盏表示：本船没有染疫，请发给入境检疫证；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（二）红、红、白、红灯四盏表示：本船有染疫或者染疫嫌疑，请即刻实施检疫。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第二十六条</w:t>
      </w:r>
      <w:r>
        <w:rPr>
          <w:rFonts w:hint="eastAsia" w:ascii="仿宋" w:hAnsi="仿宋" w:eastAsia="仿宋" w:cs="仿宋"/>
          <w:bCs/>
          <w:sz w:val="32"/>
          <w:szCs w:val="32"/>
        </w:rPr>
        <w:t xml:space="preserve"> 悬挂检疫信号的船舶，除引航员和经卫生检疫机关许可的人员外，其他人员不准上船，不准装卸行李、货物、邮包等物品，其他船舶不准靠近；船上的人员，除因船舶遇险外，未经卫生检疫机关许可，不准离船；引航员不得将船引离检疫锚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第二十七条</w:t>
      </w:r>
      <w:r>
        <w:rPr>
          <w:rFonts w:hint="eastAsia" w:ascii="仿宋" w:hAnsi="仿宋" w:eastAsia="仿宋" w:cs="仿宋"/>
          <w:bCs/>
          <w:sz w:val="32"/>
          <w:szCs w:val="32"/>
        </w:rPr>
        <w:t xml:space="preserve"> 申请电讯检疫的船舶，首先向卫生检疫机关申请卫生检查，合格者发给卫生证书。该证书自签发之日起12个月内可以申请电讯检疫。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第二十八条</w:t>
      </w:r>
      <w:r>
        <w:rPr>
          <w:rFonts w:hint="eastAsia" w:ascii="仿宋" w:hAnsi="仿宋" w:eastAsia="仿宋" w:cs="仿宋"/>
          <w:bCs/>
          <w:sz w:val="32"/>
          <w:szCs w:val="32"/>
        </w:rPr>
        <w:t xml:space="preserve"> 持有效卫生证书的船舶在入境前24小时，应当向卫生检疫机关报告下列事项：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（一）船名、国籍、预定到达检疫锚地的日期和时间；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（二）发航港、最后寄港；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（三）船员和旅客人数及健康状况；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（五）船舶卫生证书的签发日期和编号、除鼠证书或者免予除鼠证书的签发日期和签发港，以及其他卫生证件。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经卫生检疫机关对上述报告答复同意后，即可进港。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第二十九条</w:t>
      </w:r>
      <w:r>
        <w:rPr>
          <w:rFonts w:hint="eastAsia" w:ascii="仿宋" w:hAnsi="仿宋" w:eastAsia="仿宋" w:cs="仿宋"/>
          <w:bCs/>
          <w:sz w:val="32"/>
          <w:szCs w:val="32"/>
        </w:rPr>
        <w:t xml:space="preserve"> 对船舶的入境检疫，在日出后到日落前的时间内实施；凡具备船舶夜航条件，夜间可靠离码头和装卸作业的港口口岸，应实行24小时检疫。对来自疫区的船舶，不实行夜间检疫。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第三十条</w:t>
      </w:r>
      <w:r>
        <w:rPr>
          <w:rFonts w:hint="eastAsia" w:ascii="仿宋" w:hAnsi="仿宋" w:eastAsia="仿宋" w:cs="仿宋"/>
          <w:bCs/>
          <w:sz w:val="32"/>
          <w:szCs w:val="32"/>
        </w:rPr>
        <w:t xml:space="preserve"> 受入境检疫船舶的船长，在检疫医师到达船上时，必须提交由船长签字或者有船医附签的航海健康申报书、船员名单、旅客名单、载货申报单，并出示除鼠证书或者免予除鼠证书。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在查验中，检疫医师有权查阅航海日志和其他有关证件；需要进一步了解船舶航行中卫生情况时，检疫医师可以向船长、船医提出询问，船长、船医必须如实回答。用书面回答时，须经船长签字和船医附签。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第三十一条</w:t>
      </w:r>
      <w:r>
        <w:rPr>
          <w:rFonts w:hint="eastAsia" w:ascii="仿宋" w:hAnsi="仿宋" w:eastAsia="仿宋" w:cs="仿宋"/>
          <w:bCs/>
          <w:sz w:val="32"/>
          <w:szCs w:val="32"/>
        </w:rPr>
        <w:t xml:space="preserve"> 船舶实施入境查验完毕以后，对没有染疫的船舶，检疫医师应当立即签发入境检疫证；如果该船有受卫生处理或者限制的事项，应当在入境检疫证上签注，并按照签注事项办理。对染疫船舶、染疫嫌疑船舶，除通知港务监督机关外，对该船舶还应当发给卫生处理通知书，该船舶上的引航员和经卫生检疫机关许可上船的人员应当视同员工接受有关卫生处理，在卫生处理完毕以后，再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船舶领到卫生检疫机关签发的入境检疫证后，可以降下检疫信号。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第三十二条</w:t>
      </w:r>
      <w:r>
        <w:rPr>
          <w:rFonts w:hint="eastAsia" w:ascii="仿宋" w:hAnsi="仿宋" w:eastAsia="仿宋" w:cs="仿宋"/>
          <w:bCs/>
          <w:sz w:val="32"/>
          <w:szCs w:val="32"/>
        </w:rPr>
        <w:t xml:space="preserve"> 船舶代理应当在受出境检疫的船舶启航以前，尽早向卫生检疫机关通知下列事项：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（一）船名、国籍、预定开航的日期和时间；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（二）目的港、最初寄港；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（三）船员名单和旅客名单；</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（四）货物种类。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港务监督机关应当将船舶确定开航的日期和时间尽早通知卫生检疫机关。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船舶的入境、出境检疫在同一港口实施时，如果船员、旅客没有变动，可以免报船员名单和旅客名单；有变动的，报变动船员、旅客名单。</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第三十三条</w:t>
      </w:r>
      <w:r>
        <w:rPr>
          <w:rFonts w:hint="eastAsia" w:ascii="仿宋" w:hAnsi="仿宋" w:eastAsia="仿宋" w:cs="仿宋"/>
          <w:bCs/>
          <w:sz w:val="32"/>
          <w:szCs w:val="32"/>
        </w:rPr>
        <w:t xml:space="preserve"> 受出境检疫的船舶，船长应当向卫生检疫机关出示除鼠证书或者免予除鼠证书和其他有关检疫证件。检疫医师可以向船长、船医提出有关船员、旅客健康情况和船上卫生情况的询问，船长、船医对上述询问应当如实回答。</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第三十四条</w:t>
      </w:r>
      <w:r>
        <w:rPr>
          <w:rFonts w:hint="eastAsia" w:ascii="仿宋" w:hAnsi="仿宋" w:eastAsia="仿宋" w:cs="仿宋"/>
          <w:bCs/>
          <w:sz w:val="32"/>
          <w:szCs w:val="32"/>
        </w:rPr>
        <w:t xml:space="preserve"> 对船舶实施出境检疫完毕以后，检疫医师应当按照检疫结果立即签发出境检疫证，如果因卫生处理不能按原定时间启航，应当及时通知港务监督机关。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第三十五条</w:t>
      </w:r>
      <w:r>
        <w:rPr>
          <w:rFonts w:hint="eastAsia" w:ascii="仿宋" w:hAnsi="仿宋" w:eastAsia="仿宋" w:cs="仿宋"/>
          <w:bCs/>
          <w:sz w:val="32"/>
          <w:szCs w:val="32"/>
        </w:rPr>
        <w:t xml:space="preserve"> 对船舶实施出境检疫完毕以后，除引航员和经卫生检疫机关许可的人员外，其他人员不准上船，不准装卸行李、货物、邮包等物品。如果违反上述规定，该船舶必须重新实施出境检疫。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第五章　航空检疫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第三十六条</w:t>
      </w:r>
      <w:r>
        <w:rPr>
          <w:rFonts w:hint="eastAsia" w:ascii="仿宋" w:hAnsi="仿宋" w:eastAsia="仿宋" w:cs="仿宋"/>
          <w:bCs/>
          <w:sz w:val="32"/>
          <w:szCs w:val="32"/>
        </w:rPr>
        <w:t xml:space="preserve"> 航空器在飞行中，不得向下投掷或者任其坠下能传播传染病的任何物品。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第三十七条</w:t>
      </w:r>
      <w:r>
        <w:rPr>
          <w:rFonts w:hint="eastAsia" w:ascii="仿宋" w:hAnsi="仿宋" w:eastAsia="仿宋" w:cs="仿宋"/>
          <w:bCs/>
          <w:sz w:val="32"/>
          <w:szCs w:val="32"/>
        </w:rPr>
        <w:t xml:space="preserve"> 实施卫生检疫机场的航空站，应当在受入境检疫的航空器到达以前，尽早向卫生检疫机关通知下列事项：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（一）航空器的国籍、机型、号码、识别标志、预定到达时间；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（二）出发站、经停站；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（三）机组和旅客人数。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第三十八条</w:t>
      </w:r>
      <w:r>
        <w:rPr>
          <w:rFonts w:hint="eastAsia" w:ascii="仿宋" w:hAnsi="仿宋" w:eastAsia="仿宋" w:cs="仿宋"/>
          <w:bCs/>
          <w:sz w:val="32"/>
          <w:szCs w:val="32"/>
        </w:rPr>
        <w:t xml:space="preserve"> 受入境检疫的航空器，如果在飞行中发现检疫传染病、疑似检疫传染病，或者有人非因意外伤害而死亡并死因不明时，机长应当立即通知到达机场的航空站，向卫生检疫机关报告下列事项：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（一）航空器的国籍、机型、号码、识别标志、预定到达时间；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（二）出发站、经停站；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（三）机组和旅客人数；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（四）病名或者主要症状、患病人数、死亡人数。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第三十九条</w:t>
      </w:r>
      <w:r>
        <w:rPr>
          <w:rFonts w:hint="eastAsia" w:ascii="仿宋" w:hAnsi="仿宋" w:eastAsia="仿宋" w:cs="仿宋"/>
          <w:bCs/>
          <w:sz w:val="32"/>
          <w:szCs w:val="32"/>
        </w:rPr>
        <w:t xml:space="preserve"> 受入境检疫的航空器到达机场以后，检疫医师首先登机。机长或者其授权的代理人，必须向卫生检疫机关提交总申报单、旅客名单、货物仓单和有效的灭蚊证书，以及其他有关检疫证件；对检疫医师提出的有关航空器上卫生状况的询问，机长或者其授权的代理人应当如实回答。在检疫没有结束之前，除经卫生检疫机关许可外，任何人不得上下航空器，不准装卸行李、货物、邮包等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第四十条</w:t>
      </w:r>
      <w:r>
        <w:rPr>
          <w:rFonts w:hint="eastAsia" w:ascii="仿宋" w:hAnsi="仿宋" w:eastAsia="仿宋" w:cs="仿宋"/>
          <w:bCs/>
          <w:sz w:val="32"/>
          <w:szCs w:val="32"/>
        </w:rPr>
        <w:t xml:space="preserve"> 入境旅客必须在指定的地点，接受入境查验，同时用书面或者口头回答检疫医师提出的有关询问。在此期间，入境旅客不得离开查验场所。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第四十一条</w:t>
      </w:r>
      <w:r>
        <w:rPr>
          <w:rFonts w:hint="eastAsia" w:ascii="仿宋" w:hAnsi="仿宋" w:eastAsia="仿宋" w:cs="仿宋"/>
          <w:bCs/>
          <w:sz w:val="32"/>
          <w:szCs w:val="32"/>
        </w:rPr>
        <w:t xml:space="preserve"> 对入境航空器查验完毕以后，根据查验结果，对没有染疫的航空器，检疫医师应当签发入境检疫证；如果该航空器有受卫生处理或者限制的事项，应当在入境检疫证上签注，由机长或者其授权的代理人负责执行；对染疫或者有染疫嫌疑的航空器，除通知航空站外，对该航空器应当发给卫生处理通知单，在规定的卫生处理完毕以后，再发给入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第四十二条</w:t>
      </w:r>
      <w:r>
        <w:rPr>
          <w:rFonts w:hint="eastAsia" w:ascii="仿宋" w:hAnsi="仿宋" w:eastAsia="仿宋" w:cs="仿宋"/>
          <w:bCs/>
          <w:sz w:val="32"/>
          <w:szCs w:val="32"/>
        </w:rPr>
        <w:t xml:space="preserve"> 实施卫生检疫机场的航空站，应当在受出境检疫的航空器起飞以前，尽早向卫生检疫机关提交总申报单、货物仓单和其他有关检疫证件，并通知下列事项：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（一）航空器的国籍、机型、号码、识别标志、预定起飞时间；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（二）经停站、目的站；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（三）机组和旅客人数。</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第四十三条</w:t>
      </w:r>
      <w:r>
        <w:rPr>
          <w:rFonts w:hint="eastAsia" w:ascii="仿宋" w:hAnsi="仿宋" w:eastAsia="仿宋" w:cs="仿宋"/>
          <w:bCs/>
          <w:sz w:val="32"/>
          <w:szCs w:val="32"/>
        </w:rPr>
        <w:t xml:space="preserve"> 对出境航空器查验完毕以后，如果没有染疫，检疫医师应当签发出境检疫证或者在必要的卫生处理完毕以后，再发给出境检疫证；如果该航空器因卫生处理不能按原定时间起飞，应当及时通知航空站。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第六章　陆地边境检疫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第四十四条</w:t>
      </w:r>
      <w:r>
        <w:rPr>
          <w:rFonts w:hint="eastAsia" w:ascii="仿宋" w:hAnsi="仿宋" w:eastAsia="仿宋" w:cs="仿宋"/>
          <w:bCs/>
          <w:sz w:val="32"/>
          <w:szCs w:val="32"/>
        </w:rPr>
        <w:t xml:space="preserve"> 实施卫生检疫的车站，应当在受入境检疫的列车到达之前，尽早向卫生检疫机关通知下列事项：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（一）列车的车次，预定到达的时间；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（二）始发站；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（三）列车编组情况。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第四十五条</w:t>
      </w:r>
      <w:r>
        <w:rPr>
          <w:rFonts w:hint="eastAsia" w:ascii="仿宋" w:hAnsi="仿宋" w:eastAsia="仿宋" w:cs="仿宋"/>
          <w:bCs/>
          <w:sz w:val="32"/>
          <w:szCs w:val="32"/>
        </w:rPr>
        <w:t xml:space="preserve"> 受入境检疫的列车和其他车辆到达车站、关口后，检疫医师首先登车，列车长或者其他车辆负责人，应当口头或者书面向卫生检疫机关申报该列车或者其他车辆上人员的健康情况，对检疫医师提出有关卫生状况和人员健康的询问，应当如实回答。</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第四十六条</w:t>
      </w:r>
      <w:r>
        <w:rPr>
          <w:rFonts w:hint="eastAsia" w:ascii="仿宋" w:hAnsi="仿宋" w:eastAsia="仿宋" w:cs="仿宋"/>
          <w:bCs/>
          <w:sz w:val="32"/>
          <w:szCs w:val="32"/>
        </w:rPr>
        <w:t xml:space="preserve"> 受入境检疫的列车和其他车辆到达车站、关口，在实施入境检疫而未取得入境检疫证以前，未经卫生检疫机关许可，任何人不准上下列车或者其他车辆，不准装卸行李、货物、邮包等物品。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第四十七条</w:t>
      </w:r>
      <w:r>
        <w:rPr>
          <w:rFonts w:hint="eastAsia" w:ascii="仿宋" w:hAnsi="仿宋" w:eastAsia="仿宋" w:cs="仿宋"/>
          <w:bCs/>
          <w:sz w:val="32"/>
          <w:szCs w:val="32"/>
        </w:rPr>
        <w:t xml:space="preserve"> 实施卫生检疫的车站，应当在受出境检疫列车发车以前，尽早向卫生检疫机关通知下列事项：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（一）列车的车次，预定发车的时间；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（二）终到站；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（三）列车编组情况。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第四十八条</w:t>
      </w:r>
      <w:r>
        <w:rPr>
          <w:rFonts w:hint="eastAsia" w:ascii="仿宋" w:hAnsi="仿宋" w:eastAsia="仿宋" w:cs="仿宋"/>
          <w:bCs/>
          <w:sz w:val="32"/>
          <w:szCs w:val="32"/>
        </w:rPr>
        <w:t xml:space="preserve"> 应当受入境、出境检疫的列车和其他车辆，如果在行程中发现检疫传染病、疑似检疫传染病，或者有人非因意外伤害而死亡并死因不明的，列车或者其他车辆到达车站、关口时，列车长或者其他车辆负责人应当向卫生检疫机关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第四十九条</w:t>
      </w:r>
      <w:r>
        <w:rPr>
          <w:rFonts w:hint="eastAsia" w:ascii="仿宋" w:hAnsi="仿宋" w:eastAsia="仿宋" w:cs="仿宋"/>
          <w:bCs/>
          <w:sz w:val="32"/>
          <w:szCs w:val="32"/>
        </w:rPr>
        <w:t xml:space="preserve"> 受入境、出境检疫的列车，在查验中发现检疫传染病或者疑似检疫传染病，或者因受卫生处理不能按原定时间发车，卫生检疫机关应当及时通知车站的站长。如果列车在原停车地点不宜实施卫生处理，站长可以选择站内其他地点实施卫生处理。在处理完毕之前，未经卫生检疫机关许可，任何人不准上下列车，不准装卸行李、货物、邮包等物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为了保证入境直通列车的正常运输，卫生检疫机关可以派员随车实施检疫，列车长应当提供方便。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第五十条</w:t>
      </w:r>
      <w:r>
        <w:rPr>
          <w:rFonts w:hint="eastAsia" w:ascii="仿宋" w:hAnsi="仿宋" w:eastAsia="仿宋" w:cs="仿宋"/>
          <w:bCs/>
          <w:sz w:val="32"/>
          <w:szCs w:val="32"/>
        </w:rPr>
        <w:t xml:space="preserve"> 对列车或者其他车辆实施入境、出境检疫完毕后，检疫医师应当根据检疫结果分别签发入境、出境检疫证，或者在必要的卫生处理完毕后，再分别签发入境、出境检疫证。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第五十一条</w:t>
      </w:r>
      <w:r>
        <w:rPr>
          <w:rFonts w:hint="eastAsia" w:ascii="仿宋" w:hAnsi="仿宋" w:eastAsia="仿宋" w:cs="仿宋"/>
          <w:bCs/>
          <w:sz w:val="32"/>
          <w:szCs w:val="32"/>
        </w:rPr>
        <w:t xml:space="preserve"> 徒步入境、出境的人员，必须首先在指定的场所接受入境、出境查验，未经卫生检疫机关许可，不准离开指定的场所。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第五十二条</w:t>
      </w:r>
      <w:r>
        <w:rPr>
          <w:rFonts w:hint="eastAsia" w:ascii="仿宋" w:hAnsi="仿宋" w:eastAsia="仿宋" w:cs="仿宋"/>
          <w:bCs/>
          <w:sz w:val="32"/>
          <w:szCs w:val="32"/>
        </w:rPr>
        <w:t xml:space="preserve"> 受入境、出境检疫的列车以及其他车辆，载有来自疫区、有染疫或者染疫嫌疑或者夹带能传播传染病的病媒昆虫和啮齿动物的货物，应当接受卫生检查和必要的卫生处理。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第七章　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第五十三条</w:t>
      </w:r>
      <w:r>
        <w:rPr>
          <w:rFonts w:hint="eastAsia" w:ascii="仿宋" w:hAnsi="仿宋" w:eastAsia="仿宋" w:cs="仿宋"/>
          <w:bCs/>
          <w:sz w:val="32"/>
          <w:szCs w:val="32"/>
        </w:rPr>
        <w:t xml:space="preserve"> 卫生检疫机关的工作人员在实施卫生处理时，必须注意下列事项：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（一）防止对任何人的健康造成危害；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（二）防止对交通工具的结构和设备造成损害；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（三）防止发生火灾；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（四）防止对行李、货物造成损害。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第五十四条</w:t>
      </w:r>
      <w:r>
        <w:rPr>
          <w:rFonts w:hint="eastAsia" w:ascii="仿宋" w:hAnsi="仿宋" w:eastAsia="仿宋" w:cs="仿宋"/>
          <w:bCs/>
          <w:sz w:val="32"/>
          <w:szCs w:val="32"/>
        </w:rPr>
        <w:t xml:space="preserve"> 入境、出境的集装箱、行李、货物、邮包等物品需要卫生处理的，由卫生检疫机关实施。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入境、出境的交通工具有下列情形之一的，应当由卫生检疫机关实施消毒、除鼠、除虫或者其他卫生处理：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（一）来自检疫传染病疫区的；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（二）被检疫传染病污染的；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（三）发现有与人类健康有关的啮齿动物或者病媒昆虫，超过国家卫生标准的。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第五十五条</w:t>
      </w:r>
      <w:r>
        <w:rPr>
          <w:rFonts w:hint="eastAsia" w:ascii="仿宋" w:hAnsi="仿宋" w:eastAsia="仿宋" w:cs="仿宋"/>
          <w:bCs/>
          <w:sz w:val="32"/>
          <w:szCs w:val="32"/>
        </w:rPr>
        <w:t xml:space="preserve"> 由国外起运经过中华人民共和国境内的货物，如果不在境内换装，除发生在流行病学上有重要意义的事件，需要实施卫生处理外，在一般情况下不实施卫生处理。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第五十六条</w:t>
      </w:r>
      <w:r>
        <w:rPr>
          <w:rFonts w:hint="eastAsia" w:ascii="仿宋" w:hAnsi="仿宋" w:eastAsia="仿宋" w:cs="仿宋"/>
          <w:bCs/>
          <w:sz w:val="32"/>
          <w:szCs w:val="32"/>
        </w:rPr>
        <w:t xml:space="preserve"> 卫生检疫机关对入境、出境的废旧物品和曾行驶于境外港口的废旧交通工具，根据污染程度，分别实施消毒、除鼠、除虫，对污染严重的实施销毁。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第五十七条</w:t>
      </w:r>
      <w:r>
        <w:rPr>
          <w:rFonts w:hint="eastAsia" w:ascii="仿宋" w:hAnsi="仿宋" w:eastAsia="仿宋" w:cs="仿宋"/>
          <w:bCs/>
          <w:sz w:val="32"/>
          <w:szCs w:val="32"/>
        </w:rPr>
        <w:t xml:space="preserve"> 入境、出境的尸体、骸骨托运人或者代理人应当申请卫生检疫，并出示死亡证明或者其他有关证件，对不符合卫生要求的，必须接受卫生检疫机关实施的卫生处理。经卫生检疫合格后，方准运进或者运出。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对因患检疫传染病而死亡的病人尸体，必须就近火化，不准移运。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第五十八条</w:t>
      </w:r>
      <w:r>
        <w:rPr>
          <w:rFonts w:hint="eastAsia" w:ascii="仿宋" w:hAnsi="仿宋" w:eastAsia="仿宋" w:cs="仿宋"/>
          <w:bCs/>
          <w:sz w:val="32"/>
          <w:szCs w:val="32"/>
        </w:rPr>
        <w:t xml:space="preserve"> 卫生检疫机关对已在到达本口岸前的其他口岸实施卫生处理的交通工具不再重复实施卫生处理。但有下列情形之一的，仍需实施卫生处理：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（一）在原实施卫生处理的口岸或者该交通工具上，发生流行病学上有重要意义的事件，需要进一步实施卫生处理的；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（二）在到达本口岸前的其他口岸实施的卫生处理没有实际效果的。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第五十九条</w:t>
      </w:r>
      <w:r>
        <w:rPr>
          <w:rFonts w:hint="eastAsia" w:ascii="仿宋" w:hAnsi="仿宋" w:eastAsia="仿宋" w:cs="仿宋"/>
          <w:bCs/>
          <w:sz w:val="32"/>
          <w:szCs w:val="32"/>
        </w:rPr>
        <w:t xml:space="preserve"> 在国境口岸或者交通工具上发现啮齿动物有反常死亡或者死因不明的，国境口岸有关单位或者交通工具的负责人，必须立即向卫生检疫机关报告，迅速查明原因，实施卫生处理。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第六十条</w:t>
      </w:r>
      <w:r>
        <w:rPr>
          <w:rFonts w:hint="eastAsia" w:ascii="仿宋" w:hAnsi="仿宋" w:eastAsia="仿宋" w:cs="仿宋"/>
          <w:bCs/>
          <w:sz w:val="32"/>
          <w:szCs w:val="32"/>
        </w:rPr>
        <w:t xml:space="preserve"> 国际航行船舶的船长，必须每隔6个月向卫生检疫机关申请一次鼠患检查，卫生检疫机关根据检查结果实施除鼠或者免予除鼠，并且分别发给除鼠证书或者免予除鼠证书。该证书自签发之日起6个月内有效。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第六十一条</w:t>
      </w:r>
      <w:r>
        <w:rPr>
          <w:rFonts w:hint="eastAsia" w:ascii="仿宋" w:hAnsi="仿宋" w:eastAsia="仿宋" w:cs="仿宋"/>
          <w:bCs/>
          <w:sz w:val="32"/>
          <w:szCs w:val="32"/>
        </w:rPr>
        <w:t xml:space="preserve"> 卫生检疫机关只有在下列之一情况下，经检查确认船舶无鼠害的，方可签发免予除鼠证书：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（一）空舱；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（二）舱内虽然装有压舱物品或者其他物品，但是这些物品不引诱鼠类，放置情况又不妨碍实施鼠患检查。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对油轮在实舱时进行检查，可以签发免予除鼠证书。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第六十二条</w:t>
      </w:r>
      <w:r>
        <w:rPr>
          <w:rFonts w:hint="eastAsia" w:ascii="仿宋" w:hAnsi="仿宋" w:eastAsia="仿宋" w:cs="仿宋"/>
          <w:bCs/>
          <w:sz w:val="32"/>
          <w:szCs w:val="32"/>
        </w:rPr>
        <w:t xml:space="preserve"> 对船舶的鼠患检查或者除鼠，应当尽量在船舶空舱的时候进行。如果船舶因故不宜按期进行鼠患检查或者蒸熏除鼠，并且该船又开往便于实施鼠患检查或者蒸熏除鼠的港口，可以准许该船原有的除鼠证书或者免予除鼠证书的有效期延长1个月，并签发延长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第六十三条</w:t>
      </w:r>
      <w:r>
        <w:rPr>
          <w:rFonts w:hint="eastAsia" w:ascii="仿宋" w:hAnsi="仿宋" w:eastAsia="仿宋" w:cs="仿宋"/>
          <w:bCs/>
          <w:sz w:val="32"/>
          <w:szCs w:val="32"/>
        </w:rPr>
        <w:t xml:space="preserve"> 对国际航行的船舶，按照国家规定的标准，应当用蒸熏的方法除鼠时，如果该船的除鼠证书或者免予除鼠证书尚未失效，除该船染有鼠疫或者鼠疫嫌疑外，卫生检疫机关应当将除鼠理由通知船长。船长应当按照要求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第六十四条</w:t>
      </w:r>
      <w:r>
        <w:rPr>
          <w:rFonts w:hint="eastAsia" w:ascii="仿宋" w:hAnsi="仿宋" w:eastAsia="仿宋" w:cs="仿宋"/>
          <w:bCs/>
          <w:sz w:val="32"/>
          <w:szCs w:val="32"/>
        </w:rPr>
        <w:t xml:space="preserve"> 船舶在港口停靠期间，船长应当负责采取下列的措施：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（一）缆绳上必须使用有效的防鼠板，或者其他防鼠装置；</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（二）夜间放置扶梯、桥板时，应当用强光照射；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（三）在船上发现死鼠或者捕获到鼠类时，应当向卫生检疫机关报告。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第六十五条</w:t>
      </w:r>
      <w:r>
        <w:rPr>
          <w:rFonts w:hint="eastAsia" w:ascii="仿宋" w:hAnsi="仿宋" w:eastAsia="仿宋" w:cs="仿宋"/>
          <w:bCs/>
          <w:sz w:val="32"/>
          <w:szCs w:val="32"/>
        </w:rPr>
        <w:t xml:space="preserve"> 在国境口岸停留的国内航行的船舶如果存在鼠患，船方应当进行除鼠。根据船方申请，也可由卫生检疫机关实施除鼠。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第六十六条</w:t>
      </w:r>
      <w:r>
        <w:rPr>
          <w:rFonts w:hint="eastAsia" w:ascii="仿宋" w:hAnsi="仿宋" w:eastAsia="仿宋" w:cs="仿宋"/>
          <w:bCs/>
          <w:sz w:val="32"/>
          <w:szCs w:val="32"/>
        </w:rPr>
        <w:t xml:space="preserve"> 国务院卫生行政部门认为必要时，可以要求来自国外或者国外某些地区的人员在入境时，向卫生检疫机关出示有效的某种预防接种证书或者健康证明。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第六十七条</w:t>
      </w:r>
      <w:r>
        <w:rPr>
          <w:rFonts w:hint="eastAsia" w:ascii="仿宋" w:hAnsi="仿宋" w:eastAsia="仿宋" w:cs="仿宋"/>
          <w:bCs/>
          <w:sz w:val="32"/>
          <w:szCs w:val="32"/>
        </w:rPr>
        <w:t xml:space="preserve"> 预防接种的有效期如下：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（一）黄热病疫苗自接种后第10日起，10年内有效。如果前次接种不满10年又经复种，自复种的当日起，10年内有效；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（二）其他预防接种的有效期，按照有关规定执行。</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第八章　检疫传染病管理</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第一节　鼠　　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第六十八条</w:t>
      </w:r>
      <w:r>
        <w:rPr>
          <w:rFonts w:hint="eastAsia" w:ascii="仿宋" w:hAnsi="仿宋" w:eastAsia="仿宋" w:cs="仿宋"/>
          <w:bCs/>
          <w:sz w:val="32"/>
          <w:szCs w:val="32"/>
        </w:rPr>
        <w:t xml:space="preserve"> 鼠疫的潜伏期为6日。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第六十九条 </w:t>
      </w:r>
      <w:r>
        <w:rPr>
          <w:rFonts w:hint="eastAsia" w:ascii="仿宋" w:hAnsi="仿宋" w:eastAsia="仿宋" w:cs="仿宋"/>
          <w:bCs/>
          <w:sz w:val="32"/>
          <w:szCs w:val="32"/>
        </w:rPr>
        <w:t>船舶、航空器在到达时，有下列情形之一的，为染有鼠疫：</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（一）船舶、航空器上有鼠疫病例的；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（二）船舶、航空器上发现有感染鼠疫的啮齿动物的；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（三）船舶上曾经有人在上船6日以后患鼠疫的。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第七十条</w:t>
      </w:r>
      <w:r>
        <w:rPr>
          <w:rFonts w:hint="eastAsia" w:ascii="仿宋" w:hAnsi="仿宋" w:eastAsia="仿宋" w:cs="仿宋"/>
          <w:bCs/>
          <w:sz w:val="32"/>
          <w:szCs w:val="32"/>
        </w:rPr>
        <w:t xml:space="preserve"> 船舶在到达时，有下列情形之一的，为染有鼠疫嫌疑：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（一）船舶上没有鼠疫病例，但曾经有人在上船后6日以内患鼠疫的；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（二）船上啮齿动物有反常死亡，并且死因不明的。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第七十一条</w:t>
      </w:r>
      <w:r>
        <w:rPr>
          <w:rFonts w:hint="eastAsia" w:ascii="仿宋" w:hAnsi="仿宋" w:eastAsia="仿宋" w:cs="仿宋"/>
          <w:bCs/>
          <w:sz w:val="32"/>
          <w:szCs w:val="32"/>
        </w:rPr>
        <w:t xml:space="preserve"> 对染有鼠疫的船舶、航空器应当实施下列卫生处理：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（一）对染疫人实施隔离；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（二）对染疫嫌疑人实施除虫，并且从到达时算起，实施不超过6日的就地诊验或者留验。在此期间，船上的船员除因工作需要并且经卫生检疫机关许可外，不准上岸；</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（三）对染疫人、染疫嫌疑人的行李、使用过的其他物品和卫生检疫机关认为有污染嫌疑的物品，实施除虫，必要时实施消毒；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（四）对染疫人占用过的部位和卫生检疫机关认为有污染嫌疑的部位，实施除虫，必要时实施消毒；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船舶、航空器上有感染鼠疫的啮齿动物，卫生检疫机关必须实施除鼠。如果船舶上发现只有未感染鼠疫的啮齿动物，卫生检疫机关也可以实施除鼠。实施除鼠可以在隔离的情况下进行。对船舶的除鼠应当在卸货以前进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（六）卸货应当在卫生检疫机关的监督下进行，并且防止卸货的工作人员遭受感染，必要时，对卸货的工作人员从卸货完毕时算起，实施不超过6日的就地诊验或者留验。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第七十二条</w:t>
      </w:r>
      <w:r>
        <w:rPr>
          <w:rFonts w:hint="eastAsia" w:ascii="仿宋" w:hAnsi="仿宋" w:eastAsia="仿宋" w:cs="仿宋"/>
          <w:bCs/>
          <w:sz w:val="32"/>
          <w:szCs w:val="32"/>
        </w:rPr>
        <w:t xml:space="preserve"> 对染有鼠疫嫌疑的船舶，应当实施本细则第七十一条第（二）至第（六）项规定的卫生处理。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第七十三条</w:t>
      </w:r>
      <w:r>
        <w:rPr>
          <w:rFonts w:hint="eastAsia" w:ascii="仿宋" w:hAnsi="仿宋" w:eastAsia="仿宋" w:cs="仿宋"/>
          <w:bCs/>
          <w:sz w:val="32"/>
          <w:szCs w:val="32"/>
        </w:rPr>
        <w:t xml:space="preserve"> 对没有染疫的船舶、航空器，如果来自鼠疫疫区，卫生检疫机关认为必要时，可以实施下列卫生处理：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（一）对离船、离航空器的染疫嫌疑人，从船舶、航空器离开疫区的时候算起，实施不超过6日的就地诊验或者留验；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（二）在特殊情况下，对船舶、航空器实施除鼠。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第七十四条</w:t>
      </w:r>
      <w:r>
        <w:rPr>
          <w:rFonts w:hint="eastAsia" w:ascii="仿宋" w:hAnsi="仿宋" w:eastAsia="仿宋" w:cs="仿宋"/>
          <w:bCs/>
          <w:sz w:val="32"/>
          <w:szCs w:val="32"/>
        </w:rPr>
        <w:t xml:space="preserve"> 对到达的时候载有鼠疫病例的列车和其他车辆，应当实施下列卫生处理：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（一）本细则第七十一条第（一）、第（三）、第（四）、第（六）项规定的卫生处理；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（二）对染疫嫌疑人实施除虫，并且从到达时算起，实施不超过6日的就地诊验或者留验；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（三）必要时，对列车和其他车辆实施除鼠。</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第二节　霍　　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第七十五条</w:t>
      </w:r>
      <w:r>
        <w:rPr>
          <w:rFonts w:hint="eastAsia" w:ascii="仿宋" w:hAnsi="仿宋" w:eastAsia="仿宋" w:cs="仿宋"/>
          <w:bCs/>
          <w:sz w:val="32"/>
          <w:szCs w:val="32"/>
        </w:rPr>
        <w:t xml:space="preserve"> 霍乱潜伏期为5日。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第七十六条</w:t>
      </w:r>
      <w:r>
        <w:rPr>
          <w:rFonts w:hint="eastAsia" w:ascii="仿宋" w:hAnsi="仿宋" w:eastAsia="仿宋" w:cs="仿宋"/>
          <w:bCs/>
          <w:sz w:val="32"/>
          <w:szCs w:val="32"/>
        </w:rPr>
        <w:t xml:space="preserve"> 船舶在到达的时候载有霍乱病例，或者在到达前5日以内，船上曾经有霍乱病例发生，为染有霍乱。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船舶在航行中曾经有霍乱病例发生，但是在到达前5日以内，没有发生新病例，为染有霍乱嫌疑。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第七十七条</w:t>
      </w:r>
      <w:r>
        <w:rPr>
          <w:rFonts w:hint="eastAsia" w:ascii="仿宋" w:hAnsi="仿宋" w:eastAsia="仿宋" w:cs="仿宋"/>
          <w:bCs/>
          <w:sz w:val="32"/>
          <w:szCs w:val="32"/>
        </w:rPr>
        <w:t xml:space="preserve"> 航空器在到达的时候载有霍乱病例，为染有霍乱。</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航空器在航行中曾经有霍乱病例发生，但在到达以前该病员已经离去，为染有霍乱嫌疑。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第七十八条</w:t>
      </w:r>
      <w:r>
        <w:rPr>
          <w:rFonts w:hint="eastAsia" w:ascii="仿宋" w:hAnsi="仿宋" w:eastAsia="仿宋" w:cs="仿宋"/>
          <w:bCs/>
          <w:sz w:val="32"/>
          <w:szCs w:val="32"/>
        </w:rPr>
        <w:t xml:space="preserve"> 对染有霍乱的船舶、航空器，应当实施下列卫生处理：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（一）对染疫人实施隔离；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（二）对离船、离航空器的员工、旅客，从卫生处理完毕时算起，实施不超过5日的就地诊验或者留验；从船舶到达时算起5日内，船上的船员除因工作需要，并且经卫生检疫机关许可外，不准上岸；</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（三）对染疫人、染疫嫌疑人的行李，使用过的其他物品和有污染嫌疑的物品、食品实施消毒；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（四）对染疫人占用的部位，污染嫌疑部位，实施消毒；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（五）对污染或者有污染嫌疑的饮用水，应当实施消毒后排放，并在储水容器消毒后再换清洁饮用水；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（六）人的排泄物、垃圾、废水、废物和装自霍乱疫区的压舱水，未经消毒，不准排放和移下；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（七）卸货必须在卫生检疫机关监督下进行，并且防止工作人员遭受感染，必要时，对卸货工作人员从卸货完毕时算起，实施不超过5日的就地诊验或者留验。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第七十九条</w:t>
      </w:r>
      <w:r>
        <w:rPr>
          <w:rFonts w:hint="eastAsia" w:ascii="仿宋" w:hAnsi="仿宋" w:eastAsia="仿宋" w:cs="仿宋"/>
          <w:bCs/>
          <w:sz w:val="32"/>
          <w:szCs w:val="32"/>
        </w:rPr>
        <w:t xml:space="preserve"> 对染有霍乱嫌疑的船舶、航空器应当实施下列卫生处理：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（一）本细则第七十八条第（二）至第（七）项规定的卫生处理；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的员工、旅客从到达时算起，实施不超过5日的就地诊验或者留验。在此期间，船上的船员除因工作需要，并经卫生检疫机关许可外，不准离开口岸区域；或者对离船、离航空器的员工、旅客，从离开疫区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第八十条</w:t>
      </w:r>
      <w:r>
        <w:rPr>
          <w:rFonts w:hint="eastAsia" w:ascii="仿宋" w:hAnsi="仿宋" w:eastAsia="仿宋" w:cs="仿宋"/>
          <w:bCs/>
          <w:sz w:val="32"/>
          <w:szCs w:val="32"/>
        </w:rPr>
        <w:t xml:space="preserve"> 对没有染疫的船舶、航空器，如果来自霍乱疫区，卫生检疫机关认为必要时，可以实施下列卫生处理：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（一）本细则第七十八条第（五）、第（六）项规定的卫生处理；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（二）对离船、离航空器的员工、旅客，从离开疫区时算起，实施不超过5日的就地诊验或者留验。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第八十一条</w:t>
      </w:r>
      <w:r>
        <w:rPr>
          <w:rFonts w:hint="eastAsia" w:ascii="仿宋" w:hAnsi="仿宋" w:eastAsia="仿宋" w:cs="仿宋"/>
          <w:bCs/>
          <w:sz w:val="32"/>
          <w:szCs w:val="32"/>
        </w:rPr>
        <w:t xml:space="preserve"> 对到达时载有霍乱病例的列车和其他车辆应当实施下列卫生处理：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（一）按本细则第七十八条第（一）、第（三）、第（四）、第（五）、第（七）项规定的卫生处理；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（二）对染疫嫌疑人从到达时算起，实施不超过5日的就地诊验或者留验。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第八十二条</w:t>
      </w:r>
      <w:r>
        <w:rPr>
          <w:rFonts w:hint="eastAsia" w:ascii="仿宋" w:hAnsi="仿宋" w:eastAsia="仿宋" w:cs="仿宋"/>
          <w:bCs/>
          <w:sz w:val="32"/>
          <w:szCs w:val="32"/>
        </w:rPr>
        <w:t xml:space="preserve"> 对来自霍乱疫区的或者染有霍乱嫌疑的交通工具，卫生检疫机关认为必要时，可以实施除虫、消毒；如果交通工具载有水产品、水果、蔬菜、饮料及其他食品，除装在密封容器内没有被污染外，未经卫生检疫机关许可，不准卸下，必要时可以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第八十三条</w:t>
      </w:r>
      <w:r>
        <w:rPr>
          <w:rFonts w:hint="eastAsia" w:ascii="仿宋" w:hAnsi="仿宋" w:eastAsia="仿宋" w:cs="仿宋"/>
          <w:bCs/>
          <w:sz w:val="32"/>
          <w:szCs w:val="32"/>
        </w:rPr>
        <w:t xml:space="preserve"> 对来自霍乱疫区的水产品、水果、蔬菜、饮料以及装有这些制品的邮包，卫生检疫机关在查验时，为了判明是否被污染，可以抽样检验，必要时可以实施卫生处理。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第三节　黄 热 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第八十四条</w:t>
      </w:r>
      <w:r>
        <w:rPr>
          <w:rFonts w:hint="eastAsia" w:ascii="仿宋" w:hAnsi="仿宋" w:eastAsia="仿宋" w:cs="仿宋"/>
          <w:bCs/>
          <w:sz w:val="32"/>
          <w:szCs w:val="32"/>
        </w:rPr>
        <w:t xml:space="preserve"> 黄热病的潜伏期为6日。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第八十五条 </w:t>
      </w:r>
      <w:r>
        <w:rPr>
          <w:rFonts w:hint="eastAsia" w:ascii="仿宋" w:hAnsi="仿宋" w:eastAsia="仿宋" w:cs="仿宋"/>
          <w:bCs/>
          <w:sz w:val="32"/>
          <w:szCs w:val="32"/>
        </w:rPr>
        <w:t>来自黄热病疫区的人员，在入境时，必须向卫生检疫机关出示有效的黄热病预防接种证书。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对无有效的黄热病预防接种证书的人员，卫生检疫机关可以从该人员离开感染环境的时候算起，实施6日的留验，或者实施预防接种并留验到黄热病预防接种证书生效时为止。</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第八十六条</w:t>
      </w:r>
      <w:r>
        <w:rPr>
          <w:rFonts w:hint="eastAsia" w:ascii="仿宋" w:hAnsi="仿宋" w:eastAsia="仿宋" w:cs="仿宋"/>
          <w:bCs/>
          <w:sz w:val="32"/>
          <w:szCs w:val="32"/>
        </w:rPr>
        <w:t xml:space="preserve"> 航空器到达时载有黄热病病例，为染有黄热病。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第八十七条</w:t>
      </w:r>
      <w:r>
        <w:rPr>
          <w:rFonts w:hint="eastAsia" w:ascii="仿宋" w:hAnsi="仿宋" w:eastAsia="仿宋" w:cs="仿宋"/>
          <w:bCs/>
          <w:sz w:val="32"/>
          <w:szCs w:val="32"/>
        </w:rPr>
        <w:t xml:space="preserve"> 来自黄热病疫区的航空器，应当出示在疫区起飞前的灭蚊证书；如果在到达时不出示灭蚊证书，或者卫生检疫机关认为出示的灭蚊证书不符合要求，并且在航空器上发现活蚊，为染有黄热病嫌疑。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第八十八条</w:t>
      </w:r>
      <w:r>
        <w:rPr>
          <w:rFonts w:hint="eastAsia" w:ascii="仿宋" w:hAnsi="仿宋" w:eastAsia="仿宋" w:cs="仿宋"/>
          <w:bCs/>
          <w:sz w:val="32"/>
          <w:szCs w:val="32"/>
        </w:rPr>
        <w:t xml:space="preserve"> 船舶在到达时载有黄热病病例，或者在航行中曾经有黄热病病例发生，为染有黄热病。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船舶在到达时，如果离开黄热病疫区没有满6日，或者没有满30日并且在船上发现埃及伊蚊或者其他黄热病媒介，为染有黄热病嫌疑。</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第八十九条</w:t>
      </w:r>
      <w:r>
        <w:rPr>
          <w:rFonts w:hint="eastAsia" w:ascii="仿宋" w:hAnsi="仿宋" w:eastAsia="仿宋" w:cs="仿宋"/>
          <w:bCs/>
          <w:sz w:val="32"/>
          <w:szCs w:val="32"/>
        </w:rPr>
        <w:t xml:space="preserve"> 对染有黄热病的船舶、航空器，应当实施下列卫生处理：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（一）对染疫人实施隔离；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（二）对离船、离航空器又无有效的黄热病预防接种证书的员工、旅客，实施本细则第八十五条规定的卫生处理；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（三）彻底杀灭船舶、航空器上的埃及伊蚊及其虫卵、幼虫和其他黄热病媒介，并且在没有完成灭蚊以前限制该船与陆地和其他船舶的距离不少于400米；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卸货应当在灭蚊以后进行，如果在灭蚊以前卸货，应当在卫生检疫机关监督下进行，并且采取预防措施，使卸货的工作人员免受感染，必要时，对卸货的工作人员，从卸货完毕时算起，实施6日的就地诊验或者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第九十条 </w:t>
      </w:r>
      <w:r>
        <w:rPr>
          <w:rFonts w:hint="eastAsia" w:ascii="仿宋" w:hAnsi="仿宋" w:eastAsia="仿宋" w:cs="仿宋"/>
          <w:bCs/>
          <w:sz w:val="32"/>
          <w:szCs w:val="32"/>
        </w:rPr>
        <w:t>对染有黄热病嫌疑的船舶、航空器，应当实施本细则第八十九条第（二）至第（四）项规定的卫生处理。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第九十一条 </w:t>
      </w:r>
      <w:r>
        <w:rPr>
          <w:rFonts w:hint="eastAsia" w:ascii="仿宋" w:hAnsi="仿宋" w:eastAsia="仿宋" w:cs="仿宋"/>
          <w:bCs/>
          <w:sz w:val="32"/>
          <w:szCs w:val="32"/>
        </w:rPr>
        <w:t>对没有染疫的船舶、航空器，如果来自黄热病疫区，卫生检疫机关认为必要时，可以实施本细则第八十九条第（三）项规定的卫生处理。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第九十二条</w:t>
      </w:r>
      <w:r>
        <w:rPr>
          <w:rFonts w:hint="eastAsia" w:ascii="仿宋" w:hAnsi="仿宋" w:eastAsia="仿宋" w:cs="仿宋"/>
          <w:bCs/>
          <w:sz w:val="32"/>
          <w:szCs w:val="32"/>
        </w:rPr>
        <w:t xml:space="preserve"> 对到达的时候载有黄热病病例的列车和其他车辆，或者来自黄热病疫区的列车和其他车辆，应当实施本细则第八十九条第（一）、第（四）项规定的卫生处理；对列车、车辆彻底杀灭成蚊及其虫卵、幼虫；对无有效黄热病预防接种证书的员工、旅客，应当实施本细则第八十五条规定的卫生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第四节　就地诊验、留验和隔离</w:t>
      </w:r>
    </w:p>
    <w:p>
      <w:pPr>
        <w:widowControl w:val="0"/>
        <w:wordWrap/>
        <w:adjustRightInd/>
        <w:snapToGrid/>
        <w:spacing w:line="560" w:lineRule="exact"/>
        <w:jc w:val="center"/>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第九十三条</w:t>
      </w:r>
      <w:r>
        <w:rPr>
          <w:rFonts w:hint="eastAsia" w:ascii="仿宋" w:hAnsi="仿宋" w:eastAsia="仿宋" w:cs="仿宋"/>
          <w:bCs/>
          <w:sz w:val="32"/>
          <w:szCs w:val="32"/>
        </w:rPr>
        <w:t xml:space="preserve"> 卫生检疫机关对受就地诊验的人员，应当发给就地诊验记录簿，必要的时候，可以在该人员出具履行就地诊验的保证书以后，再发给其就地诊验记录簿。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受就地诊验的人员应当携带就地诊验记录簿，按照卫生检疫机关指定的期间、地点，接受医学检查；如果就地诊验的结果没有染疫，就地诊验期满的时候，受就地诊验的人员应当将就地诊验记录簿退还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第九十四条</w:t>
      </w:r>
      <w:r>
        <w:rPr>
          <w:rFonts w:hint="eastAsia" w:ascii="仿宋" w:hAnsi="仿宋" w:eastAsia="仿宋" w:cs="仿宋"/>
          <w:bCs/>
          <w:sz w:val="32"/>
          <w:szCs w:val="32"/>
        </w:rPr>
        <w:t xml:space="preserve"> 卫生检疫机关应当将受就地诊验人员的情况，用最快的方法通知受就地诊验人员的旅行停留地的卫生检疫机关或者其他医疗卫生单位。</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检疫机关、医疗卫生单位遇有受就地诊验的人员请求医学检查时，应当视同急诊给予医学检查，并将检查结果在就地诊验记录簿上签注；如果发现其患检疫传染病或者监测传染病、疑似检疫传染病或者疑似监测传染病时，应当立即采取必要的卫生措施，将其就地诊验记录簿收回存查，并且报告当地卫生防疫机构和签发就地诊验记录簿的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第九十五条</w:t>
      </w:r>
      <w:r>
        <w:rPr>
          <w:rFonts w:hint="eastAsia" w:ascii="仿宋" w:hAnsi="仿宋" w:eastAsia="仿宋" w:cs="仿宋"/>
          <w:bCs/>
          <w:sz w:val="32"/>
          <w:szCs w:val="32"/>
        </w:rPr>
        <w:t xml:space="preserve"> 受留验的人员必须在卫生检疫机关指定的场所接受留验；但是有下列情形之一的，经卫生检疫机关同意，可以在船上留验：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（一）船长请求船员在船上留验的；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（二）旅客请求在船上留验，经船长同意，并且船上有船医和医疗、消毒设备的。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第九十六条</w:t>
      </w:r>
      <w:r>
        <w:rPr>
          <w:rFonts w:hint="eastAsia" w:ascii="仿宋" w:hAnsi="仿宋" w:eastAsia="仿宋" w:cs="仿宋"/>
          <w:bCs/>
          <w:sz w:val="32"/>
          <w:szCs w:val="32"/>
        </w:rPr>
        <w:t xml:space="preserve"> 受留验的人员在留验期间如果出现检疫传染病的症状，卫生检疫机关应当立即对该人员实施隔离，对与其接触的其他受留验的人员，应当实施必要的卫生处理，并且从卫生处理完毕时算起，重新计算留验时间。</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第九章　传染病监测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第九十七条 </w:t>
      </w:r>
      <w:r>
        <w:rPr>
          <w:rFonts w:hint="eastAsia" w:ascii="仿宋" w:hAnsi="仿宋" w:eastAsia="仿宋" w:cs="仿宋"/>
          <w:bCs/>
          <w:sz w:val="32"/>
          <w:szCs w:val="32"/>
        </w:rPr>
        <w:t>入境、出境的交通工具、人员、食品、饮用水和其他物品以及病媒昆虫、动物，均为传染病监测的对象。</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第九十八条</w:t>
      </w:r>
      <w:r>
        <w:rPr>
          <w:rFonts w:hint="eastAsia" w:ascii="仿宋" w:hAnsi="仿宋" w:eastAsia="仿宋" w:cs="仿宋"/>
          <w:bCs/>
          <w:sz w:val="32"/>
          <w:szCs w:val="32"/>
        </w:rPr>
        <w:t xml:space="preserve"> 传染病监测内容是：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（一）首发病例的个案调查；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（二）暴发流行的流行病学调查；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（三）传染源调查；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（四）国境口岸内监测传染病的回顾性调查；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（五）病原体的分离、鉴定，人群、有关动物血清学调查以及流行病学调查；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（六）有关动物、病媒昆虫、食品、饮用水和环境因素的调查；</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（七）消毒、除鼠、除虫的效果观察与评价；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（八）国境口岸以及国内外监测传染病疫情的收集、整理、分析和传递；</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（九）对监测对象开展健康检查和对监测传染病病人、疑似病人、密切接触人员的管理。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第九十九条</w:t>
      </w:r>
      <w:r>
        <w:rPr>
          <w:rFonts w:hint="eastAsia" w:ascii="仿宋" w:hAnsi="仿宋" w:eastAsia="仿宋" w:cs="仿宋"/>
          <w:bCs/>
          <w:sz w:val="32"/>
          <w:szCs w:val="32"/>
        </w:rPr>
        <w:t xml:space="preserve"> 卫生检疫机关应当阻止患有严重精神病、传染性肺结核病或者有可能对公共卫生造成重大危害的其他传染病的外国人入境。</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第一百条</w:t>
      </w:r>
      <w:r>
        <w:rPr>
          <w:rFonts w:hint="eastAsia" w:ascii="仿宋" w:hAnsi="仿宋" w:eastAsia="仿宋" w:cs="仿宋"/>
          <w:bCs/>
          <w:sz w:val="32"/>
          <w:szCs w:val="32"/>
        </w:rPr>
        <w:t xml:space="preserve"> 受入境、出境检疫的人员，必须根据检疫医师的要求，如实填报健康申明卡，出示某种有效的传染病预防接种证书、健康证明或者其他有关证件。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第一百零一条</w:t>
      </w:r>
      <w:r>
        <w:rPr>
          <w:rFonts w:hint="eastAsia" w:ascii="仿宋" w:hAnsi="仿宋" w:eastAsia="仿宋" w:cs="仿宋"/>
          <w:bCs/>
          <w:sz w:val="32"/>
          <w:szCs w:val="32"/>
        </w:rPr>
        <w:t xml:space="preserve"> 卫生检疫机关对国境口岸的涉外宾馆、饭店内居住的入境、出境人员及工作人员实施传染病监测，并区别情况采取必要的预防、控制措施。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对来自检疫传染病和监测传染病疫区的人员，检疫医师可以根据流行病学和医学检查结果，发给就诊方便卡。</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检疫机关、医疗卫生单位遇到持有就诊方便卡的人员请求医学检查时，应当视同急诊给予医学检查；如果发现其患检疫传染病或者监测传染病，疑似检疫传染病或者疑似监测传染病，应当立即实施必要的卫生措施，并且将情况报告当地卫生防疫机构和签发就诊方便卡的卫生检疫机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第一百零二条</w:t>
      </w:r>
      <w:r>
        <w:rPr>
          <w:rFonts w:hint="eastAsia" w:ascii="仿宋" w:hAnsi="仿宋" w:eastAsia="仿宋" w:cs="仿宋"/>
          <w:bCs/>
          <w:sz w:val="32"/>
          <w:szCs w:val="32"/>
        </w:rPr>
        <w:t xml:space="preserve"> 凡申请出境居住1年以上的中国籍人员，必须持有卫生检疫机关签发的健康证明。中国公民出境、入境管理机关凭卫生检疫机关签发的健康证明办理出境手续。</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凡在境外居住1年以上的中国籍人员，入境时必须向卫生检疫机关申报健康情况，并在入境后1个月内到就近的卫生检疫机关或者县级以上的医院进行健康检查。公安机关凭健康证明办理有关手续。健康证明的副本应当寄送到原入境口岸的卫生检疫机关备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国际通行交通工具上的中国籍员工，应当持有卫生检疫机关或者县级以上医院出具的健康证明。健康证明的项目、格式由海关总署统一规定，有效期为12个月。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第一百零三条</w:t>
      </w:r>
      <w:r>
        <w:rPr>
          <w:rFonts w:hint="eastAsia" w:ascii="仿宋" w:hAnsi="仿宋" w:eastAsia="仿宋" w:cs="仿宋"/>
          <w:bCs/>
          <w:sz w:val="32"/>
          <w:szCs w:val="32"/>
        </w:rPr>
        <w:t xml:space="preserve"> 卫生检疫机关在国境口岸内设立传染病监测点时，有关单位应当给予协助并提供方便。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第十章　卫生监督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第一百零四条</w:t>
      </w:r>
      <w:r>
        <w:rPr>
          <w:rFonts w:hint="eastAsia" w:ascii="仿宋" w:hAnsi="仿宋" w:eastAsia="仿宋" w:cs="仿宋"/>
          <w:bCs/>
          <w:sz w:val="32"/>
          <w:szCs w:val="32"/>
        </w:rPr>
        <w:t xml:space="preserve"> 卫生检疫机关依照《国境卫生检疫法》第十八条、第十九条规定的内容，对国境口岸和交通工具实施卫生监督。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第一百零五条</w:t>
      </w:r>
      <w:r>
        <w:rPr>
          <w:rFonts w:hint="eastAsia" w:ascii="仿宋" w:hAnsi="仿宋" w:eastAsia="仿宋" w:cs="仿宋"/>
          <w:bCs/>
          <w:sz w:val="32"/>
          <w:szCs w:val="32"/>
        </w:rPr>
        <w:t xml:space="preserve"> 对国境口岸的卫生要求是：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（一）国境口岸和国境口岸内涉外的宾馆、生活服务单位以及候船、候车、候机厅（室）应当有健全的卫生制度和必要的卫生设施，并保持室内外环境整洁、通风良好；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（二）国境口岸有关部门应当采取切实可行的措施，控制啮齿动物、病媒昆虫，使其数量降低到不足为害的程度。仓库、货场必须具有防鼠设施；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（三）国境口岸的垃圾、废物、污水、粪便必须进行无害化处理，保持国境口岸环境整洁卫生。</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第一百零六条</w:t>
      </w:r>
      <w:r>
        <w:rPr>
          <w:rFonts w:hint="eastAsia" w:ascii="仿宋" w:hAnsi="仿宋" w:eastAsia="仿宋" w:cs="仿宋"/>
          <w:bCs/>
          <w:sz w:val="32"/>
          <w:szCs w:val="32"/>
        </w:rPr>
        <w:t xml:space="preserve"> 对交通工具的卫生要求是：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（一）交通工具上的宿舱、车厢必须保持清洁卫生，通风良好；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（二）交通工具上必须备有足够的消毒、除鼠、除虫药物及器械，并备有防鼠装置；</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（三）交通工具上的货舱、行李舱、货车车厢在装货前或者卸货后应当进行彻底清扫，有毒物品和食品不得混装，防止污染；</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（四）对不符合卫生要求的入境、出境交通工具，必须接受卫生检疫机关的督导立即进行改进。</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第一百零七条</w:t>
      </w:r>
      <w:r>
        <w:rPr>
          <w:rFonts w:hint="eastAsia" w:ascii="仿宋" w:hAnsi="仿宋" w:eastAsia="仿宋" w:cs="仿宋"/>
          <w:bCs/>
          <w:sz w:val="32"/>
          <w:szCs w:val="32"/>
        </w:rPr>
        <w:t xml:space="preserve"> 对饮用水、食品及从业人员的卫生要求是：</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（一）国境口岸和交通工具上的食品、饮用水必须符合有关的卫生标准；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（二）国境口岸内的涉外宾馆，以及向入境、出境的交通工具提供饮食服务的部门，必须取得卫生检疫机关发放的卫生许可证；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（三）国境口岸内涉外的宾馆和入境、出境交通工具上的食品、饮用水从业人员应当持有有效健康证明。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第一百零八条</w:t>
      </w:r>
      <w:r>
        <w:rPr>
          <w:rFonts w:hint="eastAsia" w:ascii="仿宋" w:hAnsi="仿宋" w:eastAsia="仿宋" w:cs="仿宋"/>
          <w:bCs/>
          <w:sz w:val="32"/>
          <w:szCs w:val="32"/>
        </w:rPr>
        <w:t xml:space="preserve"> 国境口岸有关单位和交通工具负责人应当遵守下列事项：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（一）遵守《国境卫生检疫法》和本细则及有关卫生法规的规定；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（二）接受卫生监督员的监督和检查，并为其工作提供方便；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（三）按照卫生监督员的建议，对国境口岸和交通工具的卫生状况及时采取改进措施。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第十一章　罚则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第一百零九条</w:t>
      </w:r>
      <w:r>
        <w:rPr>
          <w:rFonts w:hint="eastAsia" w:ascii="仿宋" w:hAnsi="仿宋" w:eastAsia="仿宋" w:cs="仿宋"/>
          <w:bCs/>
          <w:sz w:val="32"/>
          <w:szCs w:val="32"/>
        </w:rPr>
        <w:t xml:space="preserve"> 《国境卫生检疫法》和本细则所规定的应当受行政处罚的行为是指：</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（一）应当受入境检疫的船舶，不悬挂检疫信号的；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（二）入境、出境的交通工具，在入境检疫之前或者在出境检疫之后，擅自上下人员，装卸行李、货物、邮包等物品的；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（三）拒绝接受检疫或者抵制卫生监督，拒不接受卫生处理的；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（四）伪造或者涂改检疫单、证、不如实申报疫情的；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（五）瞒报携带禁止进口的微生物、人体组织、生物制品、血液及其制品或者其他可能引起传染病传播的动物和物品的；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（六）未经检疫的入境、出境交通工具，擅自离开检疫地点，逃避查验的；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（七）隐瞒疫情或者伪造情节的；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（八）未经卫生检疫机关实施卫生处理，擅自排放压舱水，移下垃圾、污物等控制的物品的；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（九）未经卫生检疫机关实施卫生处理，擅自移运尸体、骸骨的；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（十）废旧物品、废旧交通工具，未向卫生检疫机关申报，未经卫生检疫机关实施卫生处理和签发卫生检疫证书而擅自入境、出境或者使用、拆卸的；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（十一）未经卫生检疫机关检查，从交通工具上移下传染病病人造成传染病传播危险的。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第一百一十条</w:t>
      </w:r>
      <w:r>
        <w:rPr>
          <w:rFonts w:hint="eastAsia" w:ascii="仿宋" w:hAnsi="仿宋" w:eastAsia="仿宋" w:cs="仿宋"/>
          <w:bCs/>
          <w:sz w:val="32"/>
          <w:szCs w:val="32"/>
        </w:rPr>
        <w:t xml:space="preserve"> 具有本细则第一百零九条所列第（一）至第（五）项行为的，处以警告或者100元以上5000元以下的罚款；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具有本细则第一百零九条所列第（六）至第（九）项行为的，处以1000元以上1万元以下的罚款；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具有本细则第一百零九条所列第（十）、第（十一）项行为的，处以5000元以上3万元以下的罚款。</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第一百一十一条</w:t>
      </w:r>
      <w:r>
        <w:rPr>
          <w:rFonts w:hint="eastAsia" w:ascii="仿宋" w:hAnsi="仿宋" w:eastAsia="仿宋" w:cs="仿宋"/>
          <w:bCs/>
          <w:sz w:val="32"/>
          <w:szCs w:val="32"/>
        </w:rPr>
        <w:t xml:space="preserve"> 卫生检疫机关在收取罚款时，应当出具正式的罚款收据。罚款全部上交国库。</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第十二章　附则</w:t>
      </w:r>
    </w:p>
    <w:p>
      <w:pPr>
        <w:pStyle w:val="3"/>
        <w:rPr>
          <w:rFonts w:hint="eastAsia"/>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第一百一十二条</w:t>
      </w:r>
      <w:r>
        <w:rPr>
          <w:rFonts w:hint="eastAsia" w:ascii="仿宋" w:hAnsi="仿宋" w:eastAsia="仿宋" w:cs="仿宋"/>
          <w:bCs/>
          <w:sz w:val="32"/>
          <w:szCs w:val="32"/>
        </w:rPr>
        <w:t xml:space="preserve"> 国境卫生检疫机关实施卫生检疫的收费标准，由海关总署会同国务院财政、物价部门共同制定。</w:t>
      </w:r>
    </w:p>
    <w:p>
      <w:pPr>
        <w:widowControl w:val="0"/>
        <w:wordWrap/>
        <w:adjustRightInd/>
        <w:snapToGrid/>
        <w:spacing w:line="560" w:lineRule="exact"/>
        <w:ind w:firstLine="640" w:firstLineChars="200"/>
        <w:textAlignment w:val="auto"/>
        <w:rPr>
          <w:rFonts w:hint="eastAsia" w:ascii="宋体" w:hAnsi="宋体" w:eastAsia="宋体" w:cs="Arial"/>
          <w:bCs/>
          <w:sz w:val="44"/>
          <w:szCs w:val="44"/>
        </w:rPr>
      </w:pPr>
      <w:r>
        <w:rPr>
          <w:rFonts w:hint="eastAsia" w:ascii="黑体" w:hAnsi="黑体" w:eastAsia="黑体" w:cs="黑体"/>
          <w:bCs/>
          <w:sz w:val="32"/>
          <w:szCs w:val="32"/>
        </w:rPr>
        <w:t>第一百一十三条</w:t>
      </w:r>
      <w:r>
        <w:rPr>
          <w:rFonts w:hint="eastAsia" w:ascii="仿宋" w:hAnsi="仿宋" w:eastAsia="仿宋" w:cs="仿宋"/>
          <w:bCs/>
          <w:sz w:val="32"/>
          <w:szCs w:val="32"/>
        </w:rPr>
        <w:t xml:space="preserve"> 本细则自发布之日起施行。</w:t>
      </w: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31" w:name="_Toc28393"/>
      <w:r>
        <w:rPr>
          <w:rFonts w:hint="eastAsia" w:ascii="宋体" w:hAnsi="宋体" w:eastAsia="宋体" w:cs="宋体"/>
          <w:sz w:val="44"/>
          <w:szCs w:val="44"/>
        </w:rPr>
        <w:t>中华人民共和国</w:t>
      </w:r>
      <w:bookmarkEnd w:id="231"/>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32" w:name="_Toc4400"/>
      <w:r>
        <w:rPr>
          <w:rFonts w:hint="eastAsia" w:ascii="宋体" w:hAnsi="宋体" w:eastAsia="宋体" w:cs="宋体"/>
          <w:sz w:val="44"/>
          <w:szCs w:val="44"/>
        </w:rPr>
        <w:t>进出境动植物检疫法实施条例</w:t>
      </w:r>
      <w:bookmarkEnd w:id="232"/>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1996年12月2日</w:t>
      </w:r>
      <w:r>
        <w:rPr>
          <w:rFonts w:hint="eastAsia" w:ascii="楷体" w:hAnsi="楷体" w:eastAsia="楷体" w:cs="楷体"/>
          <w:sz w:val="32"/>
          <w:szCs w:val="32"/>
        </w:rPr>
        <w:t>中华人民共和国国务院令第</w:t>
      </w:r>
      <w:r>
        <w:rPr>
          <w:rFonts w:hint="eastAsia" w:ascii="楷体" w:hAnsi="楷体" w:eastAsia="楷体" w:cs="楷体"/>
          <w:sz w:val="32"/>
          <w:szCs w:val="32"/>
          <w:lang w:val="en-US" w:eastAsia="zh-CN"/>
        </w:rPr>
        <w:t>206</w:t>
      </w:r>
      <w:r>
        <w:rPr>
          <w:rFonts w:hint="eastAsia" w:ascii="楷体" w:hAnsi="楷体" w:eastAsia="楷体" w:cs="楷体"/>
          <w:sz w:val="32"/>
          <w:szCs w:val="32"/>
        </w:rPr>
        <w:t>号</w:t>
      </w:r>
      <w:r>
        <w:rPr>
          <w:rFonts w:hint="eastAsia" w:ascii="楷体" w:hAnsi="楷体" w:eastAsia="楷体" w:cs="楷体"/>
          <w:sz w:val="32"/>
          <w:szCs w:val="32"/>
          <w:lang w:val="en-US" w:eastAsia="zh-CN"/>
        </w:rPr>
        <w:t>发布 自1997年1月1日起施行</w:t>
      </w:r>
      <w:r>
        <w:rPr>
          <w:rFonts w:hint="eastAsia" w:ascii="楷体" w:hAnsi="楷体" w:eastAsia="楷体" w:cs="楷体"/>
          <w:sz w:val="32"/>
          <w:szCs w:val="32"/>
          <w:lang w:eastAsia="zh-CN"/>
        </w:rPr>
        <w:t>）</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根据《中华人民共和国进出境动植物检疫法》（以下简称进出境动植物检疫法）的规定，制定本条例。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下列各物，依照进出境动植物检疫法和本条例的规定实施检疫：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（一）进境、出境、过境的动植物、动植物产品和其他检疫物；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（二）装载动植物、动植物产品和其他检疫物的装载容器、包装物、铺垫材料；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（三）来自动植物疫区的运输工具；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（四）进境拆解的废旧船舶；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（五）有关法律、行政法规、国际条约规定或者贸易合同约定应当实施进出境动植物检疫的其他货物、物品。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国务院农业行政主管部门主管全国进出境动植物检疫工作。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中华人民共和国动植物检疫局（以下简称国家动植物检疫局）统一管理全国进出境动植物检疫工作，收集国内外重大动植物疫情，负责国际间进出境动植物检疫的合作与交流。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国家动植物检疫局在对外开放的口岸和进出境动植物检疫业务集中的地点设立的口岸动植物检疫机关，依照进出境动植物检疫法和本条例的规定，实施进出境动植物检疫。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国（境）外发生重大动植物疫情并可能传入中国时，根据情况采取下列紧急预防措施：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（一）国务院可以对相关边境区域采取控制措施，必要时下令禁止来自动植物疫区的运输工具进境或者封锁有关口岸；</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（二）国务院农业行政主管部门可以公布禁止从动植物疫情流行的国家和地区进境的动植物、动植物产品和其他检疫物的名录；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（三）有关口岸动植物检疫机关可以对可能受病虫害污染的本条例第二条所列进境各物采取紧急检疫处理措施；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（四）受动植物疫情威胁地区的地方人民政府可以立即组织有关部门制定并实施应急方案，同时向上级人民政府和国家动植物检疫局报告。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邮电、运输部门对重大动植物疫情报告和送检材料应当优先传送。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第五条 </w:t>
      </w:r>
      <w:r>
        <w:rPr>
          <w:rFonts w:hint="eastAsia" w:ascii="仿宋" w:hAnsi="仿宋" w:eastAsia="仿宋" w:cs="仿宋"/>
          <w:sz w:val="32"/>
          <w:szCs w:val="32"/>
        </w:rPr>
        <w:t>享有外交、领事特权与豁免的外国机构和人员公用或者自用的动植物、动植物产品和其他检疫物进境，应当依照进出境动植物检疫法和本条例的规定实施检疫；口岸动植物检疫机关查验时，应当遵守有关法律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海关依法配合口岸动植物检疫机关，对进出境动植物、动植物产品和其他检疫物实行监管。具体办法由国务院农业行政主管部门会同海关总署制定。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进出境动植物检疫法所称动植物疫区和动植物疫情流行的国家与地区的名录，由国务院农业行政主管部门确定并公布。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对贯彻执行进出境动植物检疫法和本条例做出显著成绩的单位和个人，给予奖励。</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检疫审批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输入动物、动物产品和进出境动植物检疫法第五条第一款所列禁止进境物的检疫审批，由国家动植物检疫局或者其授权的口岸动植物检疫机关负责。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输入植物种子、种苗及其他繁殖材料的检疫审批，由植物检疫条例规定的机关负责。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符合下列条件的，方可办理进境检疫审批手续：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（一）输出国家或者地区无重大动植物疫情；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（二）符合中国有关动植物检疫法律、法规、规章的规定；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（三）符合中国与输出国家或者地区签订的有关双边检疫协定（含检疫协议、备忘录等，下同）。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检疫审批手续应当在贸易合同或者协议签订前办妥。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携带、邮寄植物种子、种苗及其他繁殖材料进境的，必须事先提出申请，办理检疫审批手续；因特殊情况无法事先办理的，携带人或者邮寄人应当在口岸补办检疫审批手续，经审批机关同意并经检疫合格后方准进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要求运输动物过境的，货主或者其代理人必须事先向国家动植物检疫局提出书面申请，提交输出国家或者地区政府动植物检疫机关出具的疫情证明、输入国家或者地区政府动植物检疫机关出具的准许该动物进境的证件，并说明拟过境的路线，国家动植物检疫局审查同意后，签发《动物过境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因科学研究等特殊需要，引进进出境动植物检疫法第五条第一款所列禁止进境物的，办理禁止进境物特许检疫审批手续时，货主、物主或者其代理人必须提交书面申请，说明其数量、用途、引进方式、进境后的防疫措施，并附具有关口岸动植物检疫机关签署的意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办理进境检疫审批手续后，有下列情况之一的，货主、物主或者其代理人应当重新申请办理检疫审批手续：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（一）变更进境物的品种或者数量的；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（二）变更输出国家或者地区的；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（三）变更进境口岸的；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（四）超过检疫审批有效期的。</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进境检疫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进出境动植物检疫法第十一条所称中国法定的检疫要求，是指中国的法律、行政法规和国务院农业行政主管部门规定的动植物检疫要求。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国家对向中国输出动植物产品的国外生产、加工、存放单位，实行注册登记制度。具体办法由国务院农业行政主管部门制定。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输入动植物、动植物产品和其他检疫物的，货主或者其代理人应当在进境前或者进境时向进境口岸动植物检疫机关报检。属于调离海关监管区检疫的，运达指定地点时，货主或者其代理人应当通知有关口岸动植物检疫机关。属于转关货物的，货主或者其代理人应当在进境时向进境口岸动植物检疫机关申报；到达指运地时，应当向指运地口岸动植物检疫机关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输入种畜禽及其精液、胚胎的，应当在进境前３０日报检；输入其他动物的，应当在进境前１５日报检；输入植物种子、种苗及其他繁殖材料的，应当在进境前７日报检。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动植物性包装物、铺垫材料进境时，货主或者其代理人应当及时向口岸动植物检疫机关申报；动植物检疫机关可以根据具体情况对申报物实施检疫。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前款所称动植物性包装物、铺垫材料，是指直接用作包装物、铺垫材料的动物产品和植物、植物产品。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向口岸动植物检疫机关报检时，应当填写报检单，并提交输出国家或者地区政府动植物检疫机关出具的检疫证书、产地证书和贸易合同、信用证、发票等单证；依法应当办理检疫审批手续的，还应当提交检疫审批单。无输出国家或者地区政府动植物检疫机关出具的有效检疫证书，或者未依法办理检疫审批手续的，口岸动植物检疫机关可以根据具体情况，作退回或者销毁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输入的动植物、动植物产品和其他检疫物运达口岸时，检疫人员可以到运输工具上和货物现场实施检疫，核对货、证是否相符，并可以按照规定采取样品。承运人、货主或者其代理人应当向检疫人员提供装载清单和有关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装载动物的运输工具抵达口岸时，上下运输工具或者接近动物的人员，应当接受口岸动植物检疫机关实施的防疫消毒，并执行其采取的其他现场预防措施。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检疫人员应当按照下列规定实施现场检疫：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动物：检查有无疫病的临床症状。发现疑似感染传染病或者已死亡的动物时，在货主或者押运人的配合下查明情况，立即处理。动物的铺垫材料、剩余饲料和排泄物等，由货主或者其代理人在检疫人员的监督下，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动物产品：检查有无腐败变质现象，容器、包装是否完好。符合要求的，允许卸离运输工具。发现散包、容器破裂的，由货主或者其代理人负责整理完好，方可卸离运输工具。根据情况，对运输工具的有关部位及装载动物产品的容器、外表包装、铺垫材料、被污染场地等进行消毒处理。需要实施实验室检疫的，按照规定采取样品。对易滋生植物害虫或者混藏杂草种子的动物产品，同时实施植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植物、植物产品：检查货物和包装物有无病虫害，并按照规定采取样品。发现病虫害并有扩散可能时，及时对该批货物、运输工具和装卸现场采取必要的防疫措施。对来自动物传染病疫区或者易带动物传染病和寄生虫病病原体并用作动物饲料的植物产品，同时实施动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（四）动植物性包装物、铺垫材料：检查是否携带病虫害、混藏杂草种子、沾带土壤，并按照规定采取样品。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（五）其他检疫物：检查包装是否完好及是否被病虫害污染。发现破损或者被病虫害污染时，作除害处理。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对船舶、火车装运的大宗动植物产品，应当就地分层检查；限于港口、车站的存放条件，不能就地检查的，经口岸动植物检疫机关同意，也可以边卸载边疏运，将动植物产品运往指定的地点存放。在卸货过程中经检疫发现疫情时，应当立即停止卸货，由货主或者其代理人按照口岸动植物检疫机关的要求，对已卸和未卸货物作除害处理，并采取防止疫情扩散的措施；对被病虫害污染的装卸工具和场地，也应当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输入种用大中家畜的，应当在国家动植物检疫局设立的动物隔离检疫场所隔离检疫４５日；输入其他动物的，应当在口岸动植物检疫机关指定的动物隔离检疫场所隔离检疫３０日。动物隔离检疫场所管理办法，由国务院农业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进境的同一批动植物产品分港卸货时，口岸动植物检疫机关只对本港卸下的货物进行检疫，先期卸货港的口岸动植物检疫机关应当将检疫及处理情况及时通知其他分卸港的口岸动植物检疫机关；需要对外出证的，由卸毕港的口岸动植物检疫机关汇总后统一出具检疫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在分卸港实施检疫中发现疫情并必须进行船上熏蒸、消毒时，由该分卸港的口岸动植物检疫机关统一出具检疫证书，并及时通知其他分卸港的口岸动植物检疫机关。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对输入的动植物、动植物产品和其他检疫物，按照中国的国家标准、行业标准以及国家动植物检疫局的有关规定实施检疫。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输入动植物、动植物产品和其他检疫物，经检疫合格的，由口岸动植物检疫机关在报关单上加盖印章或者签发《检疫放行通知单》；需要调离进境口岸海关监管区检疫的，由进境口岸动植物检疫机关签发《检疫调离通知单》。货主或者其代理人凭口岸动植物检疫机关在报关单上加盖的印章或者签发的《检疫放行通知单》、《检疫调离通知单》办理报关、运递手续。海关对输入的动植物、动植物产品和其他检疫物，凭口岸动植物检疫机关在报关单上加盖的印章或者签发的《检疫放行通知单》、《检疫调离通知单》验放。运输、邮电部门凭单运递，运递期间国内其他检疫机关不再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输入动植物、动植物产品和其他检疫物，经检疫不合格的，由口岸动植物检疫机关签发《检疫处理通知单》，通知货主或者其代理人在口岸动植物检疫机关的监督和技术指导下，作除害处理；需要对外索赔的，由口岸动植物检疫机关出具检疫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国家动植物检疫局根据检疫需要，并商输出动植物、动植物产品国家或者地区政府有关机关同意，可以派检疫人员进行预检、监装或者产地疫情调查。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海关、边防等部门截获的非法进境的动植物、动植物产品和其他检疫物，应当就近交由口岸动植物检疫机关检疫。</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出境检疫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货主或者其代理人依法办理动植物、动植物产品和其他检疫物的出境报检手续时，应当提供贸易合同或者协议。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对输入国要求中国对向其输出的动植物、动植物产品和其他检疫物的生产、加工、存放单位注册登记的，口岸动植物检疫机关可以实行注册登记，并报国家动植物检疫局备案。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输出动物，出境前需经隔离检疫的，在口岸动植物检疫机关指定的隔离场所检疫。输出植物、动植物产品和其他检疫物的，在仓库或者货场实施检疫；根据需要，也可以在生产、加工过程中实施检疫。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待检出境植物、动植物产品和其他检疫物，应当数量齐全、包装完好、堆放整齐、唛头标记明显。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输出动植物、动植物产品和其他检疫物的检疫依据：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（一）输入国家或者地区和中国有关动植物检疫规定；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（二）双边检疫协定；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中华人民共和国进出境动植物检疫法实施条例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（三）贸易合同中订明的检疫要求。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经启运地口岸动植物检疫机关检疫合格的动植物、动植物产品和其他检疫物，运达出境口岸时，按照下列规定办理：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（一）动物应当经出境口岸动植物检疫机关临床检疫或者复检；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（二）植物、动植物产品和其他检疫物从启运地随原运输工具出境的，由出境口岸动植物检疫机关验证放行；改换运输工具出境的，换证放行；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（三）植物、动植物产品和其他检疫物到达出境口岸后拼装的，因变更输入国家或者地区而有不同检疫要求的，或者超过规定的检疫有效期的，应当重新报检。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输出动植物、动植物产品和其他检疫物，经启运地口岸动植物检疫机关检疫合格的，运达出境口岸时，运输、邮电部门凭启运地口岸动植物检疫机关签发的检疫单证运递，国内其他检疫机关不再检疫。</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过境检疫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运输动植物、动植物产品和其他检疫物过境（含转运，下同）的，承运人或者押运人应当持货运单和输出国家或者地区政府动植物检疫机关出具的证书，向进境口岸动植物检疫机关报检；运输动物过境的，还应当同时提交国家动植物检疫局签发的《动物过境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过境动物运达进境口岸时，由进境口岸动植物检疫机关对运输工具、容器的外表进行消毒并对动物进行临床检疫，经检疫合格的，准予过境。进境口岸动植物检疫机关可以派检疫人员监运至出境口岸，出境口岸动植物检疫机关不再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装载过境植物、动植物产品和其他检疫物的运输工具和包装物、装载容器必须完好。经口岸动植物检疫机关检查，发现运输工具或者包装物、装载容器有可能造成途中散漏的，承运人或者押运人应当按照口岸动植物检疫机关的要求，采取密封措施；无法采取密封措施的，不准过境。</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携带、邮寄物检疫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携带、邮寄植物种子、种苗及其他繁殖材料进境，未依法办理检疫审批手续的，由口岸动植物检疫机关作退回或者销毁处理。邮件作退回处理的，由口岸动植物检疫机关在邮件及发递单上批注退回原因；邮件作销毁处理的，由口岸动植物检疫机关签发通知单，通知寄件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携带动植物、动植物产品和其他检疫物进境的，进境时必须向海关申报并接受口岸动植物检疫机关检疫。海关应当将申报或者查获的动植物、动植物产品和其他检疫物及时交由口岸动植物检疫机关检疫。未经检疫的，不得携带进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口岸动植物检疫机关可以在港口、机场、车站的旅客通道、行李提取处等现场进行检查，对可能携带动植物、动植物产品和其他检疫物而未申报的，可以进行查询并抽检其物品，必要时可以开包（箱）检查。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旅客进出境检查现场应当设立动植物检疫台位和标志。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携带动物进境的，必须持有输出动物的国家或者地区政府动植物检疫机关出具的检疫证书，经检疫合格后放行；携带犬、猫等宠物进境的，还必须持有疫苗接种证书。没有检疫证书、疫苗接种证书的，由口岸动植物检疫机关作限期退回或者没收销毁处理。作限期退回处理的，携带人必须在规定的时间内持口岸动植物检疫机关签发的截留凭证，领取并携带出境；逾期不领取的，作自动放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携带植物、动植物产品和其他检疫物进境，经现场检疫合格的，当场放行；需要作实验室检疫或者隔离检疫的，由口岸动植物检疫机关签发截留凭证。截留检疫合格的，携带人持截留凭证向口岸动植物检疫机关领回；逾期不领回的，作自动放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禁止携带、邮寄进出境动植物检疫法第二十九条规定的名录所列动植物、动植物产品和其他检疫物进境。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邮寄进境的动植物、动植物产品和其他检疫物，由口岸动植物检疫机关在国际邮件互换局（含国际邮件快递公司及其他经营国际邮件的单位，以下简称邮局）实施检疫。邮局应当提供必要的工作条件。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经现场检疫合格的，由口岸动植物检疫机关加盖检疫放行章，交邮局运递。需要作实验室检疫或者隔离检疫的，口岸动植物检疫机关应当向邮局办理交接手续；检疫合格的，加盖检疫放行章，交邮局运递。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第四十五条</w:t>
      </w:r>
      <w:r>
        <w:rPr>
          <w:rFonts w:hint="eastAsia" w:ascii="仿宋" w:hAnsi="仿宋" w:eastAsia="仿宋" w:cs="仿宋"/>
          <w:sz w:val="32"/>
          <w:szCs w:val="32"/>
        </w:rPr>
        <w:t xml:space="preserve"> 携带、邮寄进境的动植物、动植物产品和其他检疫物，经检疫不合格又无有效方法作除害处理的，作退回或者销毁处理，并签发《检疫处理通知单》交携带人、寄件人。</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运输工具检疫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第四十六条 </w:t>
      </w:r>
      <w:r>
        <w:rPr>
          <w:rFonts w:hint="eastAsia" w:ascii="仿宋" w:hAnsi="仿宋" w:eastAsia="仿宋" w:cs="仿宋"/>
          <w:sz w:val="32"/>
          <w:szCs w:val="32"/>
        </w:rPr>
        <w:t>口岸动植物检疫机关对来自动植物疫区的船舶、飞机、火车，可以登船、登机、登车实施现场检疫。有关运输工具负责人应当接受检疫人员的询问并在询问记录上签字，提供运行日志和装载货物的情况，开启舱室接受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口岸动植物检疫机关应当对前款运输工具可能隐藏病虫害的餐车、配餐间、厨房、储藏室、食品舱等动植物产品存放、使用场所和泔水、动植物性废弃物的存放场所以及集装箱箱体等区域或者部位，实施检疫；必要时，作防疫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第四十七条</w:t>
      </w:r>
      <w:r>
        <w:rPr>
          <w:rFonts w:hint="eastAsia" w:ascii="仿宋" w:hAnsi="仿宋" w:eastAsia="仿宋" w:cs="仿宋"/>
          <w:sz w:val="32"/>
          <w:szCs w:val="32"/>
        </w:rPr>
        <w:t xml:space="preserve"> 来自动植物疫区的船舶、飞机、火车，经检疫发现有进出境动植物检疫法第十八条规定的名录所列病虫害的，必须作熏蒸、消毒或者其他除害处理。发现有禁止进境的动植物、动植物产品和其他检疫物的，必须作封存或者销毁处理；作封存处理的，在中国境内停留或者运行期间，未经口岸动植物检疫机关许可，不得启封动用。对运输工具上的泔水、动植物性废弃物及其存放场所、容器，应当在口岸动植物检疫机关的监督下作除害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第四十八条</w:t>
      </w:r>
      <w:r>
        <w:rPr>
          <w:rFonts w:hint="eastAsia" w:ascii="仿宋" w:hAnsi="仿宋" w:eastAsia="仿宋" w:cs="仿宋"/>
          <w:sz w:val="32"/>
          <w:szCs w:val="32"/>
        </w:rPr>
        <w:t xml:space="preserve"> 来自动植物疫区的进境车辆，由口岸动植物检疫机关作防疫消毒处理。装载进境动植物、动植物产品和其他检疫物的车辆，经检疫发现病虫害的，连同货物一并作除害处理。装运供应香港、澳门地区的动物的回空车辆，实施整车防疫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第四十九条</w:t>
      </w:r>
      <w:r>
        <w:rPr>
          <w:rFonts w:hint="eastAsia" w:ascii="仿宋" w:hAnsi="仿宋" w:eastAsia="仿宋" w:cs="仿宋"/>
          <w:sz w:val="32"/>
          <w:szCs w:val="32"/>
        </w:rPr>
        <w:t xml:space="preserve"> 进境拆解的废旧船舶，由口岸动植物检疫机关实施检疫。发现病虫害的，在口岸动植物检疫机关监督下作除害处理。发现有禁止进境的动植物、动植物产品和其他检疫物的，在口岸动植物检疫机关的监督下作销毁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第五十条</w:t>
      </w:r>
      <w:r>
        <w:rPr>
          <w:rFonts w:hint="eastAsia" w:ascii="仿宋" w:hAnsi="仿宋" w:eastAsia="仿宋" w:cs="仿宋"/>
          <w:sz w:val="32"/>
          <w:szCs w:val="32"/>
        </w:rPr>
        <w:t xml:space="preserve"> 来自动植物疫区的进境运输工具经检疫或者经消毒处理合格后，运输工具负责人或者其代理人要求出证的，由口岸动植物检疫机关签发《运输工具检疫证书》或者《运输工具消毒证书》。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第五十一条</w:t>
      </w:r>
      <w:r>
        <w:rPr>
          <w:rFonts w:hint="eastAsia" w:ascii="仿宋" w:hAnsi="仿宋" w:eastAsia="仿宋" w:cs="仿宋"/>
          <w:sz w:val="32"/>
          <w:szCs w:val="32"/>
        </w:rPr>
        <w:t xml:space="preserve"> 进境、过境运输工具在中国境内停留期间，交通员工和其他人员不得将所装载的动植物、动植物产品和其他检疫物带离运输工具；需要带离时，应当向口岸动植物检疫机关报检。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第五十二条</w:t>
      </w:r>
      <w:r>
        <w:rPr>
          <w:rFonts w:hint="eastAsia" w:ascii="仿宋" w:hAnsi="仿宋" w:eastAsia="仿宋" w:cs="仿宋"/>
          <w:sz w:val="32"/>
          <w:szCs w:val="32"/>
        </w:rPr>
        <w:t xml:space="preserve"> 装载动物出境的运输工具，装载前应当在口岸动植物检疫机关监督下进行消毒处理。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装载植物、动植物产品和其他检疫物出境的运输工具，应当符合国家有关动植物防疫和检疫的规定。发现危险性病虫害或者超过规定标准的一般性病虫害的，作除害处理后方可装运。</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检疫监督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第五十三条</w:t>
      </w:r>
      <w:r>
        <w:rPr>
          <w:rFonts w:hint="eastAsia" w:ascii="仿宋" w:hAnsi="仿宋" w:eastAsia="仿宋" w:cs="仿宋"/>
          <w:sz w:val="32"/>
          <w:szCs w:val="32"/>
        </w:rPr>
        <w:t xml:space="preserve"> 国家动植物检疫局和口岸动植物检疫机关对进出境动植物、动植物产品的生产、加工、存放过程，实行检疫监督制度。具体办法由国务院农业行政主管部门制定。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第五十四条</w:t>
      </w:r>
      <w:r>
        <w:rPr>
          <w:rFonts w:hint="eastAsia" w:ascii="仿宋" w:hAnsi="仿宋" w:eastAsia="仿宋" w:cs="仿宋"/>
          <w:sz w:val="32"/>
          <w:szCs w:val="32"/>
        </w:rPr>
        <w:t xml:space="preserve"> 进出境动物和植物种子、种苗及其他繁殖材料，需要隔离饲养、隔离种植的，在隔离期间，应当接受口岸动植物检疫机关的检疫监督。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第五十五条</w:t>
      </w:r>
      <w:r>
        <w:rPr>
          <w:rFonts w:hint="eastAsia" w:ascii="仿宋" w:hAnsi="仿宋" w:eastAsia="仿宋" w:cs="仿宋"/>
          <w:sz w:val="32"/>
          <w:szCs w:val="32"/>
        </w:rPr>
        <w:t xml:space="preserve"> 从事进出境动植物检疫熏蒸、消毒处理业务的单位和人员，必须经口岸动植物检疫机关考核合格。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口岸动植物检疫机关对熏蒸、消毒工作进行监督、指导，并负责出具熏蒸、消毒证书。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第五十六条 </w:t>
      </w:r>
      <w:r>
        <w:rPr>
          <w:rFonts w:hint="eastAsia" w:ascii="仿宋" w:hAnsi="仿宋" w:eastAsia="仿宋" w:cs="仿宋"/>
          <w:sz w:val="32"/>
          <w:szCs w:val="32"/>
        </w:rPr>
        <w:t>口岸动植物检疫机关可以根据需要，在机场、港口、车站、仓库、加工厂、农场等生产、加工、存放进出境动植物、动植物产品和其他检疫物的场所实施动植物疫情监测，有关单位应当配合。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未经口岸动植物检疫机关许可，不得移动或者损坏动植物疫情监测器具。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第五十七条</w:t>
      </w:r>
      <w:r>
        <w:rPr>
          <w:rFonts w:hint="eastAsia" w:ascii="仿宋" w:hAnsi="仿宋" w:eastAsia="仿宋" w:cs="仿宋"/>
          <w:sz w:val="32"/>
          <w:szCs w:val="32"/>
        </w:rPr>
        <w:t xml:space="preserve"> 口岸动植物检疫机关根据需要，可以对运载进出境动植物、动植物产品和其他检疫物的运输工具、装载容器加施动植物检疫封识或者标志；未经口岸动植物检疫机关许可，不得开拆或者损毁检疫封识、标志。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动植物检疫封识和标志由国家动植物检疫局统一制发。</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第五十八条</w:t>
      </w:r>
      <w:r>
        <w:rPr>
          <w:rFonts w:hint="eastAsia" w:ascii="仿宋" w:hAnsi="仿宋" w:eastAsia="仿宋" w:cs="仿宋"/>
          <w:sz w:val="32"/>
          <w:szCs w:val="32"/>
        </w:rPr>
        <w:t xml:space="preserve"> 进境动植物、动植物产品和其他检疫物，装载动植物、动植物产品和其他检疫物的装载容器、包装物，运往保税区（含保税工厂、保税仓库等）的，在进境口岸依法实施检疫；口岸动植物检疫机关可以根据具体情况实施检疫监督；经加工复运出境的，依照进出境动植物检疫法和本条例有关出境检疫的规定办理。</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第五十九条</w:t>
      </w:r>
      <w:r>
        <w:rPr>
          <w:rFonts w:hint="eastAsia" w:ascii="仿宋" w:hAnsi="仿宋" w:eastAsia="仿宋" w:cs="仿宋"/>
          <w:sz w:val="32"/>
          <w:szCs w:val="32"/>
        </w:rPr>
        <w:t xml:space="preserve"> 有下列违法行为之一的，由口岸动植物检疫机关处</w:t>
      </w:r>
      <w:r>
        <w:rPr>
          <w:rFonts w:hint="eastAsia" w:ascii="仿宋" w:hAnsi="仿宋" w:eastAsia="仿宋" w:cs="仿宋"/>
          <w:sz w:val="32"/>
          <w:szCs w:val="32"/>
          <w:lang w:val="en-US" w:eastAsia="zh-CN"/>
        </w:rPr>
        <w:t>5000</w:t>
      </w:r>
      <w:r>
        <w:rPr>
          <w:rFonts w:hint="eastAsia" w:ascii="仿宋" w:hAnsi="仿宋" w:eastAsia="仿宋" w:cs="仿宋"/>
          <w:sz w:val="32"/>
          <w:szCs w:val="32"/>
        </w:rPr>
        <w:t>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（一）未报检或者未依法办理检疫审批手续或者未按检疫审批的规定执行的；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（二）报检的动植物、动植物产品和其他检疫物与实际不符的。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有前款第（二）项所列行为，已取得检疫单证的，予以吊销。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第六十条</w:t>
      </w:r>
      <w:r>
        <w:rPr>
          <w:rFonts w:hint="eastAsia" w:ascii="仿宋" w:hAnsi="仿宋" w:eastAsia="仿宋" w:cs="仿宋"/>
          <w:sz w:val="32"/>
          <w:szCs w:val="32"/>
        </w:rPr>
        <w:t xml:space="preserve"> 有下列违法行为之一的，由口岸动植物检疫机关处</w:t>
      </w:r>
      <w:r>
        <w:rPr>
          <w:rFonts w:hint="eastAsia" w:ascii="仿宋" w:hAnsi="仿宋" w:eastAsia="仿宋" w:cs="仿宋"/>
          <w:sz w:val="32"/>
          <w:szCs w:val="32"/>
          <w:lang w:val="en-US" w:eastAsia="zh-CN"/>
        </w:rPr>
        <w:t>3000</w:t>
      </w:r>
      <w:r>
        <w:rPr>
          <w:rFonts w:hint="eastAsia" w:ascii="仿宋" w:hAnsi="仿宋" w:eastAsia="仿宋" w:cs="仿宋"/>
          <w:sz w:val="32"/>
          <w:szCs w:val="32"/>
        </w:rPr>
        <w:t>元以上</w:t>
      </w:r>
      <w:r>
        <w:rPr>
          <w:rFonts w:hint="eastAsia" w:ascii="仿宋" w:hAnsi="仿宋" w:eastAsia="仿宋" w:cs="仿宋"/>
          <w:sz w:val="32"/>
          <w:szCs w:val="32"/>
          <w:lang w:val="en-US" w:eastAsia="zh-CN"/>
        </w:rPr>
        <w:t>3</w:t>
      </w:r>
      <w:r>
        <w:rPr>
          <w:rFonts w:hint="eastAsia" w:ascii="仿宋" w:hAnsi="仿宋" w:eastAsia="仿宋" w:cs="仿宋"/>
          <w:sz w:val="32"/>
          <w:szCs w:val="32"/>
        </w:rPr>
        <w:t>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（一）未经口岸动植物检疫机关许可擅自将进境、过境动植物、动植物产品和其他检疫物卸离运输工具或者运递的；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（二）擅自调离或者处理在口岸动植物检疫机关指定的隔离场所中隔离检疫的动植物的；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（三）擅自开拆过境动植物、动植物产品和其他检疫的包装，或者擅自开拆、损毁动植物检疫封识或者标志的；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（四）擅自抛弃过境动物的尸体、排泄物、铺垫材料或者其他废弃物，或者未按规定处理运输工具上的泔水、动植物性废弃物的。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第六十一条</w:t>
      </w:r>
      <w:r>
        <w:rPr>
          <w:rFonts w:hint="eastAsia" w:ascii="仿宋" w:hAnsi="仿宋" w:eastAsia="仿宋" w:cs="仿宋"/>
          <w:sz w:val="32"/>
          <w:szCs w:val="32"/>
        </w:rPr>
        <w:t xml:space="preserve"> 依照本法第十七条、第三十二条的规定注册登记的生产、加工、存放动植物、动植物产品和其他检疫物的单位，进出境的上述物品经检疫不合格的，除依照本法有关规定作退回、销毁或者除害处理外，情节严重的，由口岸动植物检疫机关注销注册登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第六十二条</w:t>
      </w:r>
      <w:r>
        <w:rPr>
          <w:rFonts w:hint="eastAsia" w:ascii="仿宋" w:hAnsi="仿宋" w:eastAsia="仿宋" w:cs="仿宋"/>
          <w:sz w:val="32"/>
          <w:szCs w:val="32"/>
        </w:rPr>
        <w:t xml:space="preserve"> 有下列违法行为之一的，依法追究刑事责任；尚不构成犯罪或者犯罪情节显著轻微依法不需要判处刑罚的，由口岸动植物检疫机关处</w:t>
      </w:r>
      <w:r>
        <w:rPr>
          <w:rFonts w:hint="eastAsia" w:ascii="仿宋" w:hAnsi="仿宋" w:eastAsia="仿宋" w:cs="仿宋"/>
          <w:sz w:val="32"/>
          <w:szCs w:val="32"/>
          <w:lang w:val="en-US" w:eastAsia="zh-CN"/>
        </w:rPr>
        <w:t>2</w:t>
      </w:r>
      <w:r>
        <w:rPr>
          <w:rFonts w:hint="eastAsia" w:ascii="仿宋" w:hAnsi="仿宋" w:eastAsia="仿宋" w:cs="仿宋"/>
          <w:sz w:val="32"/>
          <w:szCs w:val="32"/>
        </w:rPr>
        <w:t>万元以上</w:t>
      </w:r>
      <w:r>
        <w:rPr>
          <w:rFonts w:hint="eastAsia" w:ascii="仿宋" w:hAnsi="仿宋" w:eastAsia="仿宋" w:cs="仿宋"/>
          <w:sz w:val="32"/>
          <w:szCs w:val="32"/>
          <w:lang w:val="en-US" w:eastAsia="zh-CN"/>
        </w:rPr>
        <w:t>5</w:t>
      </w:r>
      <w:r>
        <w:rPr>
          <w:rFonts w:hint="eastAsia" w:ascii="仿宋" w:hAnsi="仿宋" w:eastAsia="仿宋" w:cs="仿宋"/>
          <w:sz w:val="32"/>
          <w:szCs w:val="32"/>
        </w:rPr>
        <w:t>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（一）引起重大动植物疫情的；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（二）伪造、变造动植物检疫单证、印章、标志、封识的。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第六十三条</w:t>
      </w:r>
      <w:r>
        <w:rPr>
          <w:rFonts w:hint="eastAsia" w:ascii="仿宋" w:hAnsi="仿宋" w:eastAsia="仿宋" w:cs="仿宋"/>
          <w:sz w:val="32"/>
          <w:szCs w:val="32"/>
        </w:rPr>
        <w:t xml:space="preserve"> 从事进出境动植物检疫熏蒸、消毒处理业务的单位和人员，不按照规定进行熏蒸和消毒处理的，口岸动植物检疫机关可以视情节取消其熏蒸、消毒资格。</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第十章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第六十四条</w:t>
      </w:r>
      <w:r>
        <w:rPr>
          <w:rFonts w:hint="eastAsia" w:ascii="仿宋" w:hAnsi="仿宋" w:eastAsia="仿宋" w:cs="仿宋"/>
          <w:sz w:val="32"/>
          <w:szCs w:val="32"/>
        </w:rPr>
        <w:t xml:space="preserve"> 进出境动植物检疫法和本条例下列用语的含义：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植物种子、种苗及其他繁殖材料”，是指栽培、野生的可供繁殖的植物全株或者部分，如植株、苗木（含试管苗）、果实、种子、砧木、接穗、插条、叶片、芽体、块根、块茎、鳞茎、球茎、花粉、细胞培养材料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（二）“装载容器”，是指可以多次使用、易受病虫害污染并用于装载进出境货物的容器，如笼、箱、桶、筐等；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其他有害生物”，是指动物传染病、寄生虫病和植物危险性病、虫、杂草以外的各种危害动植物的生物有机体、病原微生物，以及软体类、啮齿类、螨类、多足虫类动物和危险性病虫的中间寄主、媒介生物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检疫证书”，是指动植物检疫机关出具的关于动植物、动植物产品和其他检疫物健康或者卫生状况的具有法律效力的文件，如《动物检疫证书》、《植物检疫证书》、《动物健康证书》、《兽医卫生证书》、《熏蒸／消毒证书》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第六十五条</w:t>
      </w:r>
      <w:r>
        <w:rPr>
          <w:rFonts w:hint="eastAsia" w:ascii="仿宋" w:hAnsi="仿宋" w:eastAsia="仿宋" w:cs="仿宋"/>
          <w:sz w:val="32"/>
          <w:szCs w:val="32"/>
        </w:rPr>
        <w:t xml:space="preserve"> 对进出境动植物、动植物产品和其他检疫物因实施检疫或者按照规定作熏蒸、消毒、退回、销毁等处理所需费用或者招致的损失，由货主、物主或者其代理人承担。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第六十六条</w:t>
      </w:r>
      <w:r>
        <w:rPr>
          <w:rFonts w:hint="eastAsia" w:ascii="仿宋" w:hAnsi="仿宋" w:eastAsia="仿宋" w:cs="仿宋"/>
          <w:sz w:val="32"/>
          <w:szCs w:val="32"/>
        </w:rPr>
        <w:t xml:space="preserve"> 口岸动植物检疫机关依法实施检疫，需要采取样品时，应当出具采样凭单；验余的样品，货主、物主或者其代理人应当在规定的期限内领回；逾期不领回的，由口岸动植物检疫机关按照规定处理。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第六十七条</w:t>
      </w:r>
      <w:r>
        <w:rPr>
          <w:rFonts w:hint="eastAsia" w:ascii="仿宋" w:hAnsi="仿宋" w:eastAsia="仿宋" w:cs="仿宋"/>
          <w:sz w:val="32"/>
          <w:szCs w:val="32"/>
        </w:rPr>
        <w:t xml:space="preserve"> 贸易性动物产品出境的检疫机关，由国务院根据情况规定。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第六十八条 </w:t>
      </w:r>
      <w:r>
        <w:rPr>
          <w:rFonts w:hint="eastAsia" w:ascii="仿宋" w:hAnsi="仿宋" w:eastAsia="仿宋" w:cs="仿宋"/>
          <w:sz w:val="32"/>
          <w:szCs w:val="32"/>
        </w:rPr>
        <w:t>本条例自</w:t>
      </w:r>
      <w:r>
        <w:rPr>
          <w:rFonts w:hint="eastAsia" w:ascii="仿宋" w:hAnsi="仿宋" w:eastAsia="仿宋" w:cs="仿宋"/>
          <w:sz w:val="32"/>
          <w:szCs w:val="32"/>
          <w:lang w:val="en-US" w:eastAsia="zh-CN"/>
        </w:rPr>
        <w:t>1997</w:t>
      </w:r>
      <w:r>
        <w:rPr>
          <w:rFonts w:hint="eastAsia" w:ascii="仿宋" w:hAnsi="仿宋" w:eastAsia="仿宋" w:cs="仿宋"/>
          <w:sz w:val="32"/>
          <w:szCs w:val="32"/>
        </w:rPr>
        <w:t>年</w:t>
      </w:r>
      <w:r>
        <w:rPr>
          <w:rFonts w:hint="eastAsia" w:ascii="仿宋" w:hAnsi="仿宋" w:eastAsia="仿宋" w:cs="仿宋"/>
          <w:sz w:val="32"/>
          <w:szCs w:val="32"/>
          <w:lang w:val="en-US" w:eastAsia="zh-CN"/>
        </w:rPr>
        <w:t>1</w:t>
      </w:r>
      <w:r>
        <w:rPr>
          <w:rFonts w:hint="eastAsia" w:ascii="仿宋" w:hAnsi="仿宋" w:eastAsia="仿宋" w:cs="仿宋"/>
          <w:sz w:val="32"/>
          <w:szCs w:val="32"/>
        </w:rPr>
        <w:t>月</w:t>
      </w:r>
      <w:r>
        <w:rPr>
          <w:rFonts w:hint="eastAsia" w:ascii="仿宋" w:hAnsi="仿宋" w:eastAsia="仿宋" w:cs="仿宋"/>
          <w:sz w:val="32"/>
          <w:szCs w:val="32"/>
          <w:lang w:val="en-US" w:eastAsia="zh-CN"/>
        </w:rPr>
        <w:t>1</w:t>
      </w:r>
      <w:r>
        <w:rPr>
          <w:rFonts w:hint="eastAsia" w:ascii="仿宋" w:hAnsi="仿宋" w:eastAsia="仿宋" w:cs="仿宋"/>
          <w:sz w:val="32"/>
          <w:szCs w:val="32"/>
        </w:rPr>
        <w:t>日起施行。</w:t>
      </w: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Arial"/>
          <w:bCs/>
          <w:sz w:val="44"/>
          <w:szCs w:val="44"/>
        </w:rPr>
      </w:pPr>
      <w:bookmarkStart w:id="233" w:name="_Toc19031"/>
      <w:r>
        <w:rPr>
          <w:rFonts w:hint="eastAsia" w:ascii="宋体" w:hAnsi="宋体" w:eastAsia="宋体" w:cs="Arial"/>
          <w:bCs/>
          <w:sz w:val="44"/>
          <w:szCs w:val="44"/>
        </w:rPr>
        <w:t>突发公共卫生事件应急条例</w:t>
      </w:r>
      <w:bookmarkEnd w:id="233"/>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（2003年5月9日中华人民共和国国务院令第376号公布  根据2011年1月8日《国务院关于废止和修改部分行政法规的决定》修</w:t>
      </w:r>
      <w:r>
        <w:rPr>
          <w:rFonts w:hint="eastAsia" w:ascii="宋体" w:hAnsi="宋体" w:eastAsia="楷体_GB2312" w:cs="Arial"/>
          <w:szCs w:val="32"/>
          <w:lang w:val="en-US" w:eastAsia="zh-CN"/>
        </w:rPr>
        <w:t>订</w:t>
      </w:r>
      <w:r>
        <w:rPr>
          <w:rFonts w:hint="eastAsia" w:ascii="宋体" w:hAnsi="宋体" w:eastAsia="楷体_GB2312" w:cs="Arial"/>
          <w:szCs w:val="32"/>
        </w:rPr>
        <w:t>）</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预防与应急准备</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报告与信息发布</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应急处理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numPr>
          <w:ilvl w:val="0"/>
          <w:numId w:val="0"/>
        </w:numPr>
        <w:wordWrap/>
        <w:overflowPunct w:val="0"/>
        <w:spacing w:beforeAutospacing="0" w:afterAutospacing="0" w:line="560" w:lineRule="exact"/>
        <w:textAlignment w:val="auto"/>
        <w:rPr>
          <w:rFonts w:hint="eastAsia" w:ascii="宋体" w:hAnsi="宋体" w:cs="Arial"/>
          <w:kern w:val="0"/>
          <w:szCs w:val="32"/>
        </w:rPr>
      </w:pPr>
      <w:r>
        <w:rPr>
          <w:rFonts w:hint="eastAsia" w:ascii="黑体" w:hAnsi="黑体" w:eastAsia="黑体" w:cs="黑体"/>
          <w:kern w:val="0"/>
          <w:szCs w:val="32"/>
          <w:lang w:val="en-US" w:eastAsia="zh-CN"/>
        </w:rPr>
        <w:t xml:space="preserve">    </w:t>
      </w:r>
      <w:r>
        <w:rPr>
          <w:rFonts w:hint="eastAsia" w:ascii="黑体" w:hAnsi="黑体" w:eastAsia="黑体" w:cs="黑体"/>
          <w:kern w:val="0"/>
          <w:szCs w:val="32"/>
          <w:lang w:eastAsia="zh-CN"/>
        </w:rPr>
        <w:t>第一条</w:t>
      </w:r>
      <w:r>
        <w:rPr>
          <w:rFonts w:hint="eastAsia" w:ascii="黑体" w:hAnsi="黑体" w:eastAsia="黑体" w:cs="黑体"/>
          <w:kern w:val="0"/>
          <w:szCs w:val="32"/>
          <w:lang w:val="en-US" w:eastAsia="zh-CN"/>
        </w:rPr>
        <w:t xml:space="preserve">  </w:t>
      </w:r>
      <w:r>
        <w:rPr>
          <w:rFonts w:hint="eastAsia" w:ascii="宋体" w:hAnsi="宋体" w:cs="Arial"/>
          <w:kern w:val="0"/>
          <w:szCs w:val="32"/>
        </w:rPr>
        <w:t>为了有效预防、及时控制和消除突发公共卫生事件的危害，保障公众身体健康与生命安全，维护正常的社会秩序，制定本条例。</w:t>
      </w:r>
    </w:p>
    <w:p>
      <w:pPr>
        <w:widowControl w:val="0"/>
        <w:numPr>
          <w:ilvl w:val="0"/>
          <w:numId w:val="0"/>
        </w:numPr>
        <w:wordWrap/>
        <w:overflowPunct w:val="0"/>
        <w:spacing w:beforeAutospacing="0" w:afterAutospacing="0" w:line="560" w:lineRule="exact"/>
        <w:textAlignment w:val="auto"/>
        <w:rPr>
          <w:rFonts w:ascii="宋体" w:hAnsi="宋体" w:cs="Arial"/>
          <w:kern w:val="0"/>
          <w:szCs w:val="32"/>
        </w:rPr>
      </w:pPr>
      <w:r>
        <w:rPr>
          <w:rFonts w:hint="eastAsia" w:ascii="宋体" w:hAnsi="宋体" w:cs="Arial"/>
          <w:kern w:val="0"/>
          <w:szCs w:val="32"/>
          <w:lang w:val="en-US" w:eastAsia="zh-CN"/>
        </w:rPr>
        <w:t xml:space="preserve">    </w:t>
      </w:r>
      <w:r>
        <w:rPr>
          <w:rFonts w:hint="eastAsia" w:ascii="黑体" w:hAnsi="黑体" w:eastAsia="黑体" w:cs="黑体"/>
          <w:kern w:val="0"/>
          <w:szCs w:val="32"/>
        </w:rPr>
        <w:t>第二条</w:t>
      </w:r>
      <w:r>
        <w:rPr>
          <w:rFonts w:hint="eastAsia" w:ascii="宋体" w:hAnsi="宋体" w:cs="Arial"/>
          <w:kern w:val="0"/>
          <w:szCs w:val="32"/>
        </w:rPr>
        <w:t>　本条例所称突发公共卫生事件（以下简称突发事件），是指突然发生，造成或者可能造成社会公众健康严重损害的重大传染病疫情、群体性不明原因疾病、重大食物和职业中毒以及其他严重影响公众健康的事件。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突发事件发生后，国务院设立全国突发事件应急处理指挥部，由国务院有关部门和军队有关部门组成，国务院主管领导人担任总指挥，负责对全国突发事件应急处理的统一领导、统一指挥。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国务院卫生行政主管部门和其他有关部门，在各自的职责范围内做好突发事件应急处理的有关工作。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突发事件发生后，省、自治区、直辖市人民政府成立地方突发事件应急处理指挥部，省、自治区、直辖市人民政府主要领导人担任总指挥，负责领导、指挥本行政区域内突发事件应急处理工作。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县级以上地方人民政府卫生行政主管部门，具体负责组织突发事件的调查、控制和医疗救治工作。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县级以上地方人民政府有关部门，在各自的职责范围内做好突发事件应急处理的有关工作。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突发事件应急工作，应当遵循预防为主、常备不懈的方针，贯彻统一领导、分级负责、反应及时、措施果断、依靠科学、加强合作的原则。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县级以上各级人民政府应当组织开展防治突发事件相关科学研究，建立突发事件应急流行病学调查、传染源隔离、医疗救护、现场处置、监督检查、监测检验、卫生防护等有关物资、设备、设施、技术与人才资源储备，所需经费列入本级政府财政预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国家对边远贫困地区突发事件应急工作给予财政支持。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国家鼓励、支持开展突发事件监测、预警、反应处理有关技术的国际交流与合作。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国务院有关部门和县级以上地方人民政府及其有关部门，应当建立严格的突发事件防范和应急处理责任制，切实履行各自的职责，保证突发事件应急处理工作的正常进行。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县级以上各级人民政府及其卫生行政主管部门，应当对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预防与应急准备</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国务院卫生行政主管部门按照分类指导、快速反应的要求，制定全国突发事件应急预案，报请国务院批准。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省、自治区、直辖市人民政府根据全国突发事件应急预案，结合本地实际情况，制定本行政区域的突发事件应急预案。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全国突发事件应急预案应当包括以下主要内容：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（一）突发事件应急处理指挥部的组成和相关部门的职责；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（二）突发事件的监测与预警；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（三）突发事件信息的收集、分析、报告、通报制度；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（四）突发事件应急处理技术和监测机构及其任务；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（五）突发事件的分级和应急处理工作方案；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（六）突发事件预防、现场控制，应急设施、设备、救治药品和医疗器械以及其他物资和技术的储备与调度；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（七）突发事件应急处理专业队伍的建设和培训。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突发事件应急预案应当根据突发事件的变化和实施中发现的问题及时进行修订、补充。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地方各级人民政府应当依照法律、行政法规的规定，做好传染病预防和其他公共卫生工作，防范突发事件的发生。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县级以上各级人民政府卫生行政主管部门和其他有关部门，应当对公众开展突发事件应急知识的专门教育，增强全社会对突发事件的防范意识和应对能力。</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国家建立统一的突发事件预防控制体系。县级以上地方人民政府应当建立和完善突发事件监测与预警系统。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县级以上各级人民政府卫生行政主管部门，应当指定机构负责开展突发事件的日常监测，并确保监测与预警系统的正常运行。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监测与预警工作应当根据突发事件的类别，制定监测计划，科学分析、综合评价监测数据。对早期发现的潜在隐患以及可能发生的突发事件，应当依照本条例规定的报告程序和时限及时报告。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国务院有关部门和县级以上地方人民政府及其有关部门，应当根据突发事件应急预案的要求，保证应急设施、设备、救治药品和医疗器械等物资储备。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县级以上各级人民政府应当加强急救医疗服务网络的建设，配备相应的医疗救治药物、技术、设备和人员，提高医疗卫生机构应对各类突发事件的救治能力。</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设区的市级以上地方人民政府应当设置与传染病防治工作需要相适应的传染病专科医院，或者指定具备传染病防治条件和能力的医疗机构承担传染病防治任务。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县级以上地方人民政府卫生行政主管部门，应当定期对医疗卫生机构和人员开展突发事件应急处理相关知识、技能的培训，定期组织医疗卫生机构进行突发事件应急演练，推广最新知识和先进技术。</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报告与信息发布</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国家建立突发事件应急报告制度。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国务院卫生行政主管部门制定突发事件应急报告规范，建立重大、紧急疫情信息报告系统。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有下列情形之一的，省、自治区、直辖市人民政府应当在接到报告1小时内，向国务院卫生行政主管部门报告：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（一）发生或者可能发生传染病暴发、流行的；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（二）发生或者发现不明原因的群体性疾病的；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（三）发生传染病菌种、毒种丢失的；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（四）发生或者可能发生重大食物和职业中毒事件的。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国务院卫生行政主管部门对可能造成重大社会影响的突发事件，应当立即向国务院报告。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突发事件监测机构、医疗卫生机构和有关单位发现有本条例第十九条规定情形之一的，应当在2小时内向所在地县级人民政府卫生行政主管部门报告；接到报告的卫生行政主管部门应当在2小时内向本级人民政府报告，并同时向上级人民政府卫生行政主管部门和国务院卫生行政主管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县级人民政府应当在接到报告后2小时内向设区的市级人民政府或者上一级人民政府报告；设区的市级人民政府应当在接到报告后2小时内向省、自治区、直辖市人民政府报告。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任何单位和个人对突发事件，不得隐瞒、缓报、谎报或者授意他人隐瞒、缓报、谎报。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接到报告的地方人民政府、卫生行政主管部门依照本条例规定报告的同时，应当立即组织力量对报告事项调查核实、确证，采取必要的控制措施，并及时报告调查情况。</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国务院卫生行政主管部门应当根据发生突发事件的情况，及时向国务院有关部门和各省、自治区、直辖市人民政府卫生行政主管部门以及军队有关部门通报。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突发事件发生地的省、自治区、直辖市人民政府卫生行政主管部门，应当及时向毗邻省、自治区、直辖市人民政府卫生行政主管部门通报。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接到通报的省、自治区、直辖市人民政府卫生行政主管部门，必要时应当及时通知本行政区域内的医疗卫生机构。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县级以上地方人民政府有关部门，已经发生或者发现可能引起突发事件的情形时，应当及时向同级人民政府卫生行政主管部门通报。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国家建立突发事件举报制度，公布统一的突发事件报告、举报电话。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任何单位和个人有权向人民政府及其有关部门报告突发事件隐患，有权向上级人民政府及其有关部门举报地方人民政府及其有关部门不履行突发事件应急处理职责，或者不按照规定履行职责的情况。接到报告、举报的有关人民政府及其有关部门，应当立即组织对突发事件隐患、不履行或者不按照规定履行突发事件应急处理职责的情况进行调查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对举报突发事件有功的单位和个人，县级以上各级人民政府及其有关部门应当予以奖励。</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国家建立突发事件的信息发布制度。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国务院卫生行政主管部门负责向社会发布突发事件的信息。必要时，可以授权省、自治区、直辖市人民政府卫生行政主管部门向社会发布本行政区域内突发事件的信息。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信息发布应当及时、准确、全面。</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应急处理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突发事件发生后，卫生行政主管部门应当组织专家对突发事件进行综合评估，初步判断突发事件的类型，提出是否启动突发事件应急预案的建议。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在全国范围内或者跨省、自治区、直辖市范围内启动全国突发事件应急预案，由国务院卫生行政主管部门报国务院批准后实施。省、自治区、直辖市启动突发事件应急预案，由省、自治区、直辖市人民政府决定，并向国务院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全国突发事件应急处理指挥部对突发事件应急处理工作进行督察和指导，地方各级人民政府及其有关部门应当予以配合。省、自治区、直辖市突发事件应急处理指挥部对本行政区域内突发事件应急处理工作进行督察和指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省级以上人民政府卫生行政主管部门或者其他有关部门指定的突发事件应急处理专业技术机构，负责突发事件的技术调查、确证、处置、控制和评价工作。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国务院卫生行政主管部门对新发现的突发传染病，根据危害程度、流行强度，依照《中华人民共和国传染病防治法》的规定及时宣布为法定传染病；宣布为甲类传染病的，由国务院决定。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应急预案启动前，县级以上各级人民政府有关部门应当根据突发事件的实际情况，做好应急处理准备，采取必要的应急措施。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应急预案启动后，突发事件发生地的人民政府有关部门，应当根据预案规定的职责要求，服从突发事件应急处理指挥部的统一指挥，立即到达规定岗位，采取有关的控制措施。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医疗卫生机构、监测机构和科学研究机构，应当服从突发事件应急处理指挥部的统一指挥，相互配合、协作，集中力量开展相关的科学研究工作。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突发事件发生后，国务院有关部门和县级以上地方人民政府及其有关部门，应当保证突发事件应急处理所需的医疗救护设备、救治药品、医疗器械等物资的生产、供应；铁路、交通、民用航空行政主管部门应当保证及时运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根据突发事件应急处理的需要，突发事件应急处理指挥部有权紧急调集人员、储备的物资、交通工具以及相关设施、设备；必要时，对人员进行疏散或者隔离，并可以依法对传染病疫区实行封锁。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突发事件应急处理指挥部根据突发事件应急处理的需要，可以对食物和水源采取控制措施。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县级以上地方人民政府卫生行政主管部门应当对突发事件现场等采取控制措施，宣传突发事件防治知识，及时对易受感染的人群和其他易受损害的人群采取应急接种、预防性投药、群体防护等措施。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参加突发事件应急处理的工作人员，应当按照预案的规定，采取卫生防护措施，并在专业人员的指导下进行工作。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国务院卫生行政主管部门或者其他有关部门指定的专业技术机构，有权进入突发事件现场进行调查、采样、技术分析和检验，对地方突发事件的应急处理工作进行技术指导，有关单位和个人应当予以配合；任何单位和个人不得以任何理由予以拒绝。</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对新发现的突发传染病、不明原因的群体性疾病、重大食物和职业中毒事件，国务院卫生行政主管部门应当尽快组织力量制定相关的技术标准、规范和控制措施。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交通工具上发现根据国务院卫生行政主管部门的规定需要采取应急控制措施的传染病病人、疑似传染病病人，其负责人应当以最快的方式通知前方停靠点，并向交通工具的营运单位报告。交通工具的前方停靠点和营运单位应当立即向交通工具营运单位行政主管部门和县级以上地方人民政府卫生行政主管部门报告。卫生行政主管部门接到报告后，应当立即组织有关人员采取相应的医学处置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交通工具上的传染病病人密切接触者，由交通工具停靠点的县级以上各级人民政府卫生行政主管部门或者铁路、交通、民用航空行政主管部门，根据各自的职责，依照传染病防治法律、行政法规的规定，采取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涉及国境口岸和入出境的人员、交通工具、货物、集装箱、行李、邮包等需要采取传染病应急控制措施的，依照国境卫生检疫法律、行政法规的规定办理。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医疗卫生机构应当对因突发事件致病的人员提供医疗救护和现场救援，对就诊病人必须接诊治疗，并书写详细、完整的病历记录；对需要转送的病人，应当按照规定将病人及其病历记录的复印件转送至接诊的或者指定的医疗机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医疗卫生机构内应当采取卫生防护措施，防止交叉感染和污染。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医疗卫生机构应当对传染病病人密切接触者采取医学观察措施，传染病病人密切接触者应当予以配合。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医疗机构收治传染病病人、疑似传染病病人，应当依法报告所在地的疾病预防控制机构。接到报告的疾病预防控制机构应当立即对可能受到危害的人员进行调查，根据需要采取必要的控制措施。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传染病暴发、流行时，街道、乡镇以及居民委员会、村民委员会应当组织力量，团结协作，群防群治，协助卫生行政主管部门和其他有关部门、医疗卫生机构做好疫情信息的收集和报告、人员的分散隔离、公共卫生措施的落实工作，向居民、村民宣传传染病防治的相关知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对传染病暴发、流行区域内流动人口，突发事件发生地的县级以上地方人民政府应当做好预防工作，落实有关卫生控制措施；对传染病病人和疑似传染病病人，应当采取就地隔离、就地观察、就地治疗的措施。对需要治疗和转诊的，应当依照本条例第三十九条第一款的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有关部门、医疗卫生机构应当对传染病做到早发现、早报告、早隔离、早治疗，切断传播途径，防止扩散。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县级以上各级人民政府应当提供必要资金，保障因突发事件致病、致残的人员得到及时、有效的救治。具体办法由国务院财政部门、卫生行政主管部门和劳动保障行政主管部门制定。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在突发事件中需要接受隔离治疗、医学观察措施的病人、疑似病人和传染病病人密切接触者在卫生行政主管部门或者有关机构采取医学措施时应当予以配合；拒绝配合的，由公安机关依法协助强制执行。</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县级以上地方人民政府及其卫生行政主管部门未依照本条例的规定履行报告职责，对突发事件隐瞒、缓报、谎报或者授意他人隐瞒、缓报、谎报的，对政府主要领导人及其卫生行政主管部门主要负责人，依法给予降级或者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国务院有关部门、县级以上地方人民政府及其有关部门未依照本条例的规定，完成突发事件应急处理所需要的设施、设备、药品和医疗器械等物资的生产、供应、运输和储备的，对政府主要领导人和政府部门主要负责人依法给予降级或者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突发事件发生后，县级以上地方人民政府及其有关部门对上级人民政府有关部门的调查不予配合，或者采取其他方式阻碍、干涉调查的，对政府主要领导人和政府部门主要负责人依法给予降级或者撤职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县级以上各级人民政府卫生行政主管部门和其他有关部门在突发事件调查、控制、医疗救治工作中玩忽职守、失职、渎职的，由本级人民政府或者上级人民政府有关部门责令改正、通报批评、给予警告；对主要负责人、负有责任的主管人员和其他责任人员依法给予降级、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县级以上各级人民政府有关部门拒不履行应急处理职责的，由同级人民政府或者上级人民政府有关部门责令改正、通报批评、给予警告；对主要 负责人、负有责任的主管人员和其他责任人员依法给予降级、撤职的行政处分；造成传染病传播、流行或者对社会公众健康造成其他严重危害后果的，依法给予开除的行政处分；构成犯罪的，依法追究刑事责任。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卫生机构有下列行为之一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（一）未依照本条例的规定履行报告职责，隐瞒、缓报或者谎报的；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（二）未依照本条例的规定及时采取控制措施的；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（三）未依照本条例的规定履行突发事件监测职责的；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（四）拒绝接诊病人的；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（五）拒不服从突发事件应急处理指挥部调度的。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在突发事件应急处理工作中，有关单位和个人未依照本条例的规定履行报告职责，隐瞒、缓报或者谎报，阻碍突发事件应急处理工作人员执行职务，拒绝国务院卫生行政主管部门或者其他有关部门指定的专业技术机构进入突发事件现场，或者不配合调查、采样、技术分析和检验的，对有关责任人员依法给予行政处分或者纪律处分；触犯《中华人民共和国治安管理处罚法》（注：原文为：“《中华人民共和国治安管理处罚条例》”），构成违反治安管理行为的，由公安机关依法予以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在突发事件发生期间，散布谣言、哄抬物价、欺骗消费者，扰乱社会秩序、市场秩序的，由公安机关或者工商行政管理部门依法给予行政处罚；构成犯罪的，依法追究刑事责任。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中国人民解放军、武装警察部队医疗卫生机构参与突发事件应急处理的，依照本条例的规定和军队的相关规定执行。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本条例自公布之日起施行。</w:t>
      </w: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Arial"/>
          <w:bCs/>
          <w:sz w:val="44"/>
          <w:szCs w:val="44"/>
        </w:rPr>
      </w:pPr>
      <w:bookmarkStart w:id="234" w:name="_Toc18072"/>
      <w:r>
        <w:rPr>
          <w:rFonts w:hint="eastAsia" w:ascii="宋体" w:hAnsi="宋体" w:eastAsia="宋体" w:cs="Arial"/>
          <w:bCs/>
          <w:sz w:val="44"/>
          <w:szCs w:val="44"/>
        </w:rPr>
        <w:t>医疗纠纷预防和处理条例</w:t>
      </w:r>
      <w:bookmarkEnd w:id="234"/>
    </w:p>
    <w:p>
      <w:pPr>
        <w:widowControl w:val="0"/>
        <w:wordWrap/>
        <w:adjustRightInd/>
        <w:snapToGrid/>
        <w:spacing w:line="560" w:lineRule="exact"/>
        <w:textAlignment w:val="auto"/>
        <w:rPr>
          <w:rFonts w:hint="eastAsia" w:ascii="宋体" w:hAnsi="宋体" w:eastAsia="宋体" w:cs="Arial"/>
          <w:bCs/>
          <w:sz w:val="44"/>
          <w:szCs w:val="44"/>
        </w:rPr>
      </w:pPr>
    </w:p>
    <w:p>
      <w:pPr>
        <w:widowControl w:val="0"/>
        <w:wordWrap/>
        <w:overflowPunct w:val="0"/>
        <w:adjustRightInd/>
        <w:snapToGrid/>
        <w:spacing w:beforeAutospacing="0" w:afterAutospacing="0" w:line="560" w:lineRule="exact"/>
        <w:ind w:left="640" w:leftChars="200" w:right="640" w:rightChars="200"/>
        <w:textAlignment w:val="auto"/>
        <w:rPr>
          <w:rFonts w:hint="eastAsia" w:ascii="宋体" w:hAnsi="宋体" w:eastAsia="楷体_GB2312" w:cs="Arial"/>
          <w:szCs w:val="32"/>
          <w:lang w:eastAsia="zh-CN"/>
        </w:rPr>
      </w:pPr>
      <w:r>
        <w:rPr>
          <w:rFonts w:hint="eastAsia" w:ascii="宋体" w:hAnsi="宋体" w:eastAsia="楷体_GB2312" w:cs="Arial"/>
          <w:szCs w:val="32"/>
          <w:lang w:eastAsia="zh-CN"/>
        </w:rPr>
        <w:t>（</w:t>
      </w:r>
      <w:r>
        <w:rPr>
          <w:rFonts w:hint="eastAsia" w:ascii="宋体" w:hAnsi="宋体" w:eastAsia="楷体_GB2312" w:cs="Arial"/>
          <w:szCs w:val="32"/>
        </w:rPr>
        <w:t>经2018年6月20日国务院第13次常务会议通过，中华人民共和国国务院令第701号公布，自2018年10月1日起施行</w:t>
      </w:r>
      <w:r>
        <w:rPr>
          <w:rFonts w:hint="eastAsia" w:ascii="宋体" w:hAnsi="宋体" w:eastAsia="楷体_GB2312" w:cs="Arial"/>
          <w:szCs w:val="32"/>
          <w:lang w:eastAsia="zh-CN"/>
        </w:rPr>
        <w:t>）</w:t>
      </w:r>
    </w:p>
    <w:p>
      <w:pPr>
        <w:widowControl w:val="0"/>
        <w:wordWrap/>
        <w:adjustRightInd/>
        <w:snapToGrid/>
        <w:spacing w:line="560" w:lineRule="exact"/>
        <w:jc w:val="center"/>
        <w:textAlignment w:val="auto"/>
        <w:rPr>
          <w:rFonts w:hint="eastAsia" w:ascii="黑体" w:hAnsi="黑体" w:eastAsia="黑体" w:cs="黑体"/>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第一条</w:t>
      </w:r>
      <w:r>
        <w:rPr>
          <w:rFonts w:hint="eastAsia" w:ascii="仿宋" w:hAnsi="仿宋" w:eastAsia="仿宋" w:cs="仿宋"/>
          <w:bCs/>
          <w:sz w:val="32"/>
          <w:szCs w:val="32"/>
        </w:rPr>
        <w:t xml:space="preserve"> 为了预防和妥善处理医疗纠纷，保护医患双方的合法权益，维护医疗秩序，保障医疗安全，制定本条例。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第二条 </w:t>
      </w:r>
      <w:r>
        <w:rPr>
          <w:rFonts w:hint="eastAsia" w:ascii="仿宋" w:hAnsi="仿宋" w:eastAsia="仿宋" w:cs="仿宋"/>
          <w:bCs/>
          <w:sz w:val="32"/>
          <w:szCs w:val="32"/>
        </w:rPr>
        <w:t>本条例所称医疗纠纷，是指医患双方因诊疗活动引发的争议。</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第三条</w:t>
      </w:r>
      <w:r>
        <w:rPr>
          <w:rFonts w:hint="eastAsia" w:ascii="仿宋" w:hAnsi="仿宋" w:eastAsia="仿宋" w:cs="仿宋"/>
          <w:bCs/>
          <w:sz w:val="32"/>
          <w:szCs w:val="32"/>
        </w:rPr>
        <w:t xml:space="preserve"> 国家建立医疗质量安全管理体系，深化医药卫生体制改革，规范诊疗活动，改善医疗服务，提高医疗质量，预防、减少医疗纠纷。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在诊疗活动中，医患双方应当互相尊重，维护自身权益应当遵守有关法律、法规的规定。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第四条 </w:t>
      </w:r>
      <w:r>
        <w:rPr>
          <w:rFonts w:hint="eastAsia" w:ascii="仿宋" w:hAnsi="仿宋" w:eastAsia="仿宋" w:cs="仿宋"/>
          <w:bCs/>
          <w:sz w:val="32"/>
          <w:szCs w:val="32"/>
        </w:rPr>
        <w:t>处理医疗纠纷，应当遵循公平、公正、及时的原则，实事求是，依法处理。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第五条</w:t>
      </w:r>
      <w:r>
        <w:rPr>
          <w:rFonts w:hint="eastAsia" w:ascii="仿宋" w:hAnsi="仿宋" w:eastAsia="仿宋" w:cs="仿宋"/>
          <w:bCs/>
          <w:sz w:val="32"/>
          <w:szCs w:val="32"/>
        </w:rPr>
        <w:t xml:space="preserve"> 县级以上人民政府应当加强对医疗纠纷预防和处理工作的领导、协调，将其纳入社会治安综合治理体系，建立部门分工协作机制，督促部门依法履行职责。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第六条 </w:t>
      </w:r>
      <w:r>
        <w:rPr>
          <w:rFonts w:hint="eastAsia" w:ascii="仿宋" w:hAnsi="仿宋" w:eastAsia="仿宋" w:cs="仿宋"/>
          <w:bCs/>
          <w:sz w:val="32"/>
          <w:szCs w:val="32"/>
        </w:rPr>
        <w:t>卫生主管部门负责指导、监督医疗机构做好医疗纠纷的预防和处理工作，引导医患双方依法解决医疗纠纷。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司法行政部门负责指导医疗纠纷人民调解工作。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公安机关依法维护医疗机构治安秩序，查处、打击侵害患者和医务人员合法权益以及扰乱医疗秩序等违法犯罪行为。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财政、民政、保险监督管理等部门和机构按照各自职责做好医疗纠纷预防和处理的有关工作。</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第七条</w:t>
      </w:r>
      <w:r>
        <w:rPr>
          <w:rFonts w:hint="eastAsia" w:ascii="仿宋" w:hAnsi="仿宋" w:eastAsia="仿宋" w:cs="仿宋"/>
          <w:bCs/>
          <w:sz w:val="32"/>
          <w:szCs w:val="32"/>
        </w:rPr>
        <w:t xml:space="preserve"> 国家建立完善医疗风险分担机制，发挥保险机制在医疗纠纷处理中的第三方赔付和医疗风险社会化分担的作用，鼓励医疗机构参加医疗责任保险，鼓励患者参加医疗意外保险。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第八条</w:t>
      </w:r>
      <w:r>
        <w:rPr>
          <w:rFonts w:hint="eastAsia" w:ascii="仿宋" w:hAnsi="仿宋" w:eastAsia="仿宋" w:cs="仿宋"/>
          <w:bCs/>
          <w:sz w:val="32"/>
          <w:szCs w:val="32"/>
        </w:rPr>
        <w:t xml:space="preserve"> 新闻媒体应当加强医疗卫生法律、法规和医疗卫生常识的宣传，引导公众理性对待医疗风险；报道医疗纠纷，应当遵守有关法律、法规的规定，恪守职业道德，做到真实、客观、公正。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第二章　医疗纠纷预防</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第九条</w:t>
      </w:r>
      <w:r>
        <w:rPr>
          <w:rFonts w:hint="eastAsia" w:ascii="仿宋" w:hAnsi="仿宋" w:eastAsia="仿宋" w:cs="仿宋"/>
          <w:bCs/>
          <w:sz w:val="32"/>
          <w:szCs w:val="32"/>
        </w:rPr>
        <w:t xml:space="preserve"> 医疗机构及其医务人员在诊疗活动中应当以患者为中心，加强人文关怀，严格遵守医疗卫生法律、法规、规章和诊疗相关规范、常规，恪守职业道德。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医疗机构应当对其医务人员进行医疗卫生法律、法规、规章和诊疗相关规范、常规的培训，并加强职业道德教育。</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第十条</w:t>
      </w:r>
      <w:r>
        <w:rPr>
          <w:rFonts w:hint="eastAsia" w:ascii="仿宋" w:hAnsi="仿宋" w:eastAsia="仿宋" w:cs="仿宋"/>
          <w:bCs/>
          <w:sz w:val="32"/>
          <w:szCs w:val="32"/>
        </w:rPr>
        <w:t xml:space="preserve"> 医疗机构应当制定并实施医疗质量安全管理制度，设置医疗服务质量监控部门或者配备专（兼）职人员，加强对诊断、治疗、护理、药事、检查等工作的规范化管理，优化服务流程，提高服务水平。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医疗机构应当加强医疗风险管理，完善医疗风险的识别、评估和防控措施，定期检查措施落实情况，及时消除隐患。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第十一条 </w:t>
      </w:r>
      <w:r>
        <w:rPr>
          <w:rFonts w:hint="eastAsia" w:ascii="仿宋" w:hAnsi="仿宋" w:eastAsia="仿宋" w:cs="仿宋"/>
          <w:bCs/>
          <w:sz w:val="32"/>
          <w:szCs w:val="32"/>
        </w:rPr>
        <w:t>医疗机构应当按照国务院卫生主管部门制定的医疗技术临床应用管理规定，开展与其技术能力相适应的医疗技术服务，保障临床应用安全，降低医疗风险；采用医疗新技术的，应当开展技术评估和伦理审查，确保安全有效、符合伦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第十二条</w:t>
      </w:r>
      <w:r>
        <w:rPr>
          <w:rFonts w:hint="eastAsia" w:ascii="仿宋" w:hAnsi="仿宋" w:eastAsia="仿宋" w:cs="仿宋"/>
          <w:bCs/>
          <w:sz w:val="32"/>
          <w:szCs w:val="32"/>
        </w:rPr>
        <w:t xml:space="preserve"> 医疗机构应当依照有关法律、法规的规定，严格执行药品、医疗器械、消毒药剂、血液等的进货查验、保管等制度。禁止使用无合格证明文件、过期等不合格的药品、医疗器械、消毒药剂、血液等。</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第十三条</w:t>
      </w:r>
      <w:r>
        <w:rPr>
          <w:rFonts w:hint="eastAsia" w:ascii="仿宋" w:hAnsi="仿宋" w:eastAsia="仿宋" w:cs="仿宋"/>
          <w:bCs/>
          <w:sz w:val="32"/>
          <w:szCs w:val="32"/>
        </w:rPr>
        <w:t xml:space="preserve"> 医务人员在诊疗活动中应当向患者说明病情和医疗措施。需要实施手术，或者开展临床试验等存在一定危险性、可能产生不良后果的特殊检查、特殊治疗的，医务人员应当及时向患者说明医疗风险、替代医疗方案等情况，并取得其书面同意；在患者处于昏迷等无法自主作出决定的状态或者病情不宜向患者说明等情形下，应当向患者的近亲属说明，并取得其书面同意。</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紧急情况下不能取得患者或者其近亲属意见的，经医疗机构负责人或者授权的负责人批准，可以立即实施相应的医疗措施。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第十四条</w:t>
      </w:r>
      <w:r>
        <w:rPr>
          <w:rFonts w:hint="eastAsia" w:ascii="仿宋" w:hAnsi="仿宋" w:eastAsia="仿宋" w:cs="仿宋"/>
          <w:bCs/>
          <w:sz w:val="32"/>
          <w:szCs w:val="32"/>
        </w:rPr>
        <w:t xml:space="preserve"> 开展手术、特殊检查、特殊治疗等具有较高医疗风险的诊疗活动，医疗机构应当提前预备应对方案，主动防范突发风险。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第十五条</w:t>
      </w:r>
      <w:r>
        <w:rPr>
          <w:rFonts w:hint="eastAsia" w:ascii="仿宋" w:hAnsi="仿宋" w:eastAsia="仿宋" w:cs="仿宋"/>
          <w:bCs/>
          <w:sz w:val="32"/>
          <w:szCs w:val="32"/>
        </w:rPr>
        <w:t xml:space="preserve"> 医疗机构及其医务人员应当按照国务院卫生主管部门的规定，填写并妥善保管病历资料。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因紧急抢救未能及时填写病历的，医务人员应当在抢救结束后6小时内据实补记，并加以注明。</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任何单位和个人不得篡改、伪造、隐匿、毁灭或者抢夺病历资料。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第十六条</w:t>
      </w:r>
      <w:r>
        <w:rPr>
          <w:rFonts w:hint="eastAsia" w:ascii="仿宋" w:hAnsi="仿宋" w:eastAsia="仿宋" w:cs="仿宋"/>
          <w:bCs/>
          <w:sz w:val="32"/>
          <w:szCs w:val="32"/>
        </w:rPr>
        <w:t xml:space="preserve"> 患者有权查阅、复制其门诊病历、住院志、体温单、医嘱单、化验单（检验报告）、医学影像检查资料、特殊检查同意书、手术同意书、手术及麻醉记录、病理资料、护理记录、医疗费用以及国务院卫生主管部门规定的其他属于病历的全部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患者要求复制病历资料的，医疗机构应当提供复制服务，并在复制的病历资料上加盖证明印记。复制病历资料时，应当有患者或者其近亲属在场。医疗机构应患者的要求为其复制病历资料，可以收取工本费，收费标准应当公开。</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患者死亡的，其近亲属可以依照本条例的规定，查阅、复制病历资料。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第十七条</w:t>
      </w:r>
      <w:r>
        <w:rPr>
          <w:rFonts w:hint="eastAsia" w:ascii="仿宋" w:hAnsi="仿宋" w:eastAsia="仿宋" w:cs="仿宋"/>
          <w:bCs/>
          <w:sz w:val="32"/>
          <w:szCs w:val="32"/>
        </w:rPr>
        <w:t xml:space="preserve"> 医疗机构应当建立健全医患沟通机制，对患者在诊疗过程中提出的咨询、意见和建议，应当耐心解释、说明，并按照规定进行处理；对患者就诊疗行为提出的疑问，应当及时予以核实、自查，并指定有关人员与患者或者其近亲属沟通，如实说明情况。</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第十八条</w:t>
      </w:r>
      <w:r>
        <w:rPr>
          <w:rFonts w:hint="eastAsia" w:ascii="仿宋" w:hAnsi="仿宋" w:eastAsia="仿宋" w:cs="仿宋"/>
          <w:bCs/>
          <w:sz w:val="32"/>
          <w:szCs w:val="32"/>
        </w:rPr>
        <w:t xml:space="preserve"> 医疗机构应当建立健全投诉接待制度，设置统一的投诉管理部门或者配备专（兼）职人员，在医疗机构显著位置公布医疗纠纷解决途径、程序和联系方式等，方便患者投诉或者咨询。</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第十九条 </w:t>
      </w:r>
      <w:r>
        <w:rPr>
          <w:rFonts w:hint="eastAsia" w:ascii="仿宋" w:hAnsi="仿宋" w:eastAsia="仿宋" w:cs="仿宋"/>
          <w:bCs/>
          <w:sz w:val="32"/>
          <w:szCs w:val="32"/>
        </w:rPr>
        <w:t>卫生主管部门应当督促医疗机构落实医疗质量安全管理制度，组织开展医疗质量安全评估，分析医疗质量安全信息，针对发现的风险制定防范措施。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第二十条 </w:t>
      </w:r>
      <w:r>
        <w:rPr>
          <w:rFonts w:hint="eastAsia" w:ascii="仿宋" w:hAnsi="仿宋" w:eastAsia="仿宋" w:cs="仿宋"/>
          <w:bCs/>
          <w:sz w:val="32"/>
          <w:szCs w:val="32"/>
        </w:rPr>
        <w:t>患者应当遵守医疗秩序和医疗机构有关就诊、治疗、检查的规定，如实提供与病情有关的信息，配合医务人员开展诊疗活动。</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第二十一条 </w:t>
      </w:r>
      <w:r>
        <w:rPr>
          <w:rFonts w:hint="eastAsia" w:ascii="仿宋" w:hAnsi="仿宋" w:eastAsia="仿宋" w:cs="仿宋"/>
          <w:bCs/>
          <w:sz w:val="32"/>
          <w:szCs w:val="32"/>
        </w:rPr>
        <w:t>各级人民政府应当加强健康促进与教育工作，普及健康科学知识，提高公众对疾病治疗等医学科学知识的认知水平。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第三章　医疗纠纷处理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第二十二条</w:t>
      </w:r>
      <w:r>
        <w:rPr>
          <w:rFonts w:hint="eastAsia" w:ascii="仿宋" w:hAnsi="仿宋" w:eastAsia="仿宋" w:cs="仿宋"/>
          <w:bCs/>
          <w:sz w:val="32"/>
          <w:szCs w:val="32"/>
        </w:rPr>
        <w:t xml:space="preserve"> 发生医疗纠纷，医患双方可以通过下列途径解决：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（一）双方自愿协商；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（二）申请人民调解；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（三）申请行政调解；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（四）向人民法院提起诉讼；</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（五）法律、法规规定的其他途径。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第二十三条</w:t>
      </w:r>
      <w:r>
        <w:rPr>
          <w:rFonts w:hint="eastAsia" w:ascii="仿宋" w:hAnsi="仿宋" w:eastAsia="仿宋" w:cs="仿宋"/>
          <w:bCs/>
          <w:sz w:val="32"/>
          <w:szCs w:val="32"/>
        </w:rPr>
        <w:t xml:space="preserve"> 发生医疗纠纷，医疗机构应当告知患者或者其近亲属下列事项：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（一）解决医疗纠纷的合法途径；</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（二）有关病历资料、现场实物封存和启封的规定；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（三）有关病历资料查阅、复制的规定。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患者死亡的，还应当告知其近亲属有关尸检的规定。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第二十四条 </w:t>
      </w:r>
      <w:r>
        <w:rPr>
          <w:rFonts w:hint="eastAsia" w:ascii="仿宋" w:hAnsi="仿宋" w:eastAsia="仿宋" w:cs="仿宋"/>
          <w:bCs/>
          <w:sz w:val="32"/>
          <w:szCs w:val="32"/>
        </w:rPr>
        <w:t>发生医疗纠纷需要封存、启封病历资料的，应当在医患双方在场的情况下进行。封存的病历资料可以是原件，也可以是复制件，由医疗机构保管。病历尚未完成需要封存的，对已完成病历先行封存；病历按照规定完成后，再对后续完成部分进行封存。医疗机构应当对封存的病历开列封存清单，由医患双方签字或者盖章，各执一份。</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病历资料封存后医疗纠纷已经解决，或者患者在病历资料封存满3年未再提出解决医疗纠纷要求的，医疗机构可以自行启封。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第二十五条 </w:t>
      </w:r>
      <w:r>
        <w:rPr>
          <w:rFonts w:hint="eastAsia" w:ascii="仿宋" w:hAnsi="仿宋" w:eastAsia="仿宋" w:cs="仿宋"/>
          <w:bCs/>
          <w:sz w:val="32"/>
          <w:szCs w:val="32"/>
        </w:rPr>
        <w:t>疑似输液、输血、注射、用药等引起不良后果的，医患双方应当共同对现场实物进行封存、启封，封存的现场实物由医疗机构保管。需要检验的，应当由双方共同委托依法具有检验资格的检验机构进行检验；双方无法共同委托的，由医疗机构所在地县级人民政府卫生主管部门指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疑似输血引起不良后果，需要对血液进行封存保留的，医疗机构应当通知提供该血液的血站派员到场。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现场实物封存后医疗纠纷已经解决，或者患者在现场实物封存满3年未再提出解决医疗纠纷要求的，医疗机构可以自行启封。</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第二十六条</w:t>
      </w:r>
      <w:r>
        <w:rPr>
          <w:rFonts w:hint="eastAsia" w:ascii="仿宋" w:hAnsi="仿宋" w:eastAsia="仿宋" w:cs="仿宋"/>
          <w:bCs/>
          <w:sz w:val="32"/>
          <w:szCs w:val="32"/>
        </w:rPr>
        <w:t xml:space="preserve"> 患者死亡，医患双方对死因有异议的，应当在患者死亡后48小时内进行尸检；具备尸体冻存条件的，可以延长至7日。尸检应当经死者近亲属同意并签字，拒绝签字的，视为死者近亲属不同意进行尸检。不同意或者拖延尸检，超过规定时间，影响对死因判定的，由不同意或者拖延的一方承担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尸检应当由按照国家有关规定取得相应资格的机构和专业技术人员进行。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医患双方可以委派代表观察尸检过程。</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第二十七条</w:t>
      </w:r>
      <w:r>
        <w:rPr>
          <w:rFonts w:hint="eastAsia" w:ascii="仿宋" w:hAnsi="仿宋" w:eastAsia="仿宋" w:cs="仿宋"/>
          <w:bCs/>
          <w:sz w:val="32"/>
          <w:szCs w:val="32"/>
        </w:rPr>
        <w:t xml:space="preserve"> 患者在医疗机构内死亡的，尸体应当立即移放太平间或者指定的场所，死者尸体存放时间一般不得超过14日。逾期不处理的尸体，由医疗机构在向所在地县级人民政府卫生主管部门和公安机关报告后，按照规定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第二十八条</w:t>
      </w:r>
      <w:r>
        <w:rPr>
          <w:rFonts w:hint="eastAsia" w:ascii="仿宋" w:hAnsi="仿宋" w:eastAsia="仿宋" w:cs="仿宋"/>
          <w:bCs/>
          <w:sz w:val="32"/>
          <w:szCs w:val="32"/>
        </w:rPr>
        <w:t xml:space="preserve"> 发生重大医疗纠纷的，医疗机构应当按照规定向所在地县级以上地方人民政府卫生主管部门报告。卫生主管部门接到报告后，应当及时了解掌握情况，引导医患双方通过合法途径解决纠纷。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第二十九条</w:t>
      </w:r>
      <w:r>
        <w:rPr>
          <w:rFonts w:hint="eastAsia" w:ascii="仿宋" w:hAnsi="仿宋" w:eastAsia="仿宋" w:cs="仿宋"/>
          <w:bCs/>
          <w:sz w:val="32"/>
          <w:szCs w:val="32"/>
        </w:rPr>
        <w:t xml:space="preserve"> 医患双方应当依法维护医疗秩序。任何单位和个人不得实施危害患者和医务人员人身安全、扰乱医疗秩序的行为。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医疗纠纷中发生涉嫌违反治安管理行为或者犯罪行为的，医疗机构应当立即向所在地公安机关报案。公安机关应当及时采取措施，依法处置，维护医疗秩序。</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第三十条</w:t>
      </w:r>
      <w:r>
        <w:rPr>
          <w:rFonts w:hint="eastAsia" w:ascii="仿宋" w:hAnsi="仿宋" w:eastAsia="仿宋" w:cs="仿宋"/>
          <w:bCs/>
          <w:sz w:val="32"/>
          <w:szCs w:val="32"/>
        </w:rPr>
        <w:t xml:space="preserve"> 医患双方选择协商解决医疗纠纷的，应当在专门场所协商，不得影响正常医疗秩序。医患双方人数较多的，应当推举代表进行协商，每方代表人数不超过5人。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协商解决医疗纠纷应当坚持自愿、合法、平等的原则，尊重当事人的权利，尊重客观事实。医患双方应当文明、理性表达意见和要求，不得有违法行为。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协商确定赔付金额应当以事实为依据，防止畸高或者畸低。对分歧较大或者索赔数额较高的医疗纠纷，鼓励医患双方通过人民调解的途径解决。</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医患双方经协商达成一致的，应当签署书面和解协议书。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第三十一条</w:t>
      </w:r>
      <w:r>
        <w:rPr>
          <w:rFonts w:hint="eastAsia" w:ascii="仿宋" w:hAnsi="仿宋" w:eastAsia="仿宋" w:cs="仿宋"/>
          <w:bCs/>
          <w:sz w:val="32"/>
          <w:szCs w:val="32"/>
        </w:rPr>
        <w:t xml:space="preserve"> 申请医疗纠纷人民调解的，由医患双方共同向医疗纠纷人民调解委员会提出申请；一方申请调解的，医疗纠纷人民调解委员会在征得另一方同意后进行调解。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申请人可以以书面或者口头形式申请调解。书面申请的，申请书应当载明申请人的基本情况、申请调解的争议事项和理由等；口头申请的，医疗纠纷人民调解员应当当场记录申请人的基本情况、申请调解的争议事项和理由等，并经申请人签字确认。</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医疗纠纷人民调解委员会获悉医疗机构内发生重大医疗纠纷，可以主动开展工作，引导医患双方申请调解。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当事人已经向人民法院提起诉讼并且已被受理，或者已经申请卫生主管部门调解并且已被受理的，医疗纠纷人民调解委员会不予受理；已经受理的，终止调解。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第三十二条</w:t>
      </w:r>
      <w:r>
        <w:rPr>
          <w:rFonts w:hint="eastAsia" w:ascii="仿宋" w:hAnsi="仿宋" w:eastAsia="仿宋" w:cs="仿宋"/>
          <w:bCs/>
          <w:sz w:val="32"/>
          <w:szCs w:val="32"/>
        </w:rPr>
        <w:t xml:space="preserve"> 设立医疗纠纷人民调解委员会，应当遵守《中华人民共和国人民调解法》的规定，并符合本地区实际需要。医疗纠纷人民调解委员会应当自设立之日起30个工作日内向所在地县级以上地方人民政府司法行政部门备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医疗纠纷人民调解委员会应当根据具体情况，聘任一定数量的具有医学、法学等专业知识且热心调解工作的人员担任专（兼）职医疗纠纷人民调解员。</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医疗纠纷人民调解委员会调解医疗纠纷，不得收取费用。医疗纠纷人民调解工作所需经费按照国务院财政、司法行政部门的有关规定执行。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第三十三条</w:t>
      </w:r>
      <w:r>
        <w:rPr>
          <w:rFonts w:hint="eastAsia" w:ascii="仿宋" w:hAnsi="仿宋" w:eastAsia="仿宋" w:cs="仿宋"/>
          <w:bCs/>
          <w:sz w:val="32"/>
          <w:szCs w:val="32"/>
        </w:rPr>
        <w:t xml:space="preserve"> 医疗纠纷人民调解委员会调解医疗纠纷时，可以根据需要咨询专家，并可以从本条例第三十五条规定的专家库中选取专家。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第三十四条 </w:t>
      </w:r>
      <w:r>
        <w:rPr>
          <w:rFonts w:hint="eastAsia" w:ascii="仿宋" w:hAnsi="仿宋" w:eastAsia="仿宋" w:cs="仿宋"/>
          <w:bCs/>
          <w:sz w:val="32"/>
          <w:szCs w:val="32"/>
        </w:rPr>
        <w:t>医疗纠纷人民调解委员会调解医疗纠纷，需要进行医疗损害鉴定以明确责任的，由医患双方共同委托医学会或者司法鉴定机构进行鉴定，也可以经医患双方同意，由医疗纠纷人民调解委员会委托鉴定。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学会或者司法鉴定机构接受委托从事医疗损害鉴定，应当由鉴定事项所涉专业的临床医学、法医学等专业人员进行鉴定；医学会或者司法鉴定机构没有相关专业人员的，应当从本条例第三十五条规定的专家库中抽取相关专业专家进行鉴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学会或者司法鉴定机构开展医疗损害鉴定，应当执行规定的标准和程序，尊重科学，恪守职业道德，对出具的医疗损害鉴定意见负责，不得出具虚假鉴定意见。医疗损害鉴定的具体管理办法由国务院卫生、司法行政部门共同制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鉴定费预先向医患双方收取，最终按照责任比例承担。</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第三十五条</w:t>
      </w:r>
      <w:r>
        <w:rPr>
          <w:rFonts w:hint="eastAsia" w:ascii="仿宋" w:hAnsi="仿宋" w:eastAsia="仿宋" w:cs="仿宋"/>
          <w:bCs/>
          <w:sz w:val="32"/>
          <w:szCs w:val="32"/>
        </w:rPr>
        <w:t xml:space="preserve"> 医疗损害鉴定专家库由设区的市级以上人民政府卫生、司法行政部门共同设立。专家库应当包含医学、法学、法医学等领域的专家。聘请专家进入专家库，不受行政区域的限制。</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第三十六条</w:t>
      </w:r>
      <w:r>
        <w:rPr>
          <w:rFonts w:hint="eastAsia" w:ascii="仿宋" w:hAnsi="仿宋" w:eastAsia="仿宋" w:cs="仿宋"/>
          <w:bCs/>
          <w:sz w:val="32"/>
          <w:szCs w:val="32"/>
        </w:rPr>
        <w:t xml:space="preserve"> 医学会、司法鉴定机构作出的医疗损害鉴定意见应当载明并详细论述下列内容：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（一）是否存在医疗损害以及损害程度；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（二）是否存在医疗过错；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（三）医疗过错与医疗损害是否存在因果关系；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（四）医疗过错在医疗损害中的责任程度。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第三十七条 </w:t>
      </w:r>
      <w:r>
        <w:rPr>
          <w:rFonts w:hint="eastAsia" w:ascii="仿宋" w:hAnsi="仿宋" w:eastAsia="仿宋" w:cs="仿宋"/>
          <w:bCs/>
          <w:sz w:val="32"/>
          <w:szCs w:val="32"/>
        </w:rPr>
        <w:t>咨询专家、鉴定人员有下列情形之一的，应当回避，当事人也可以以口头或者书面形式申请其回避：</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（一）是医疗纠纷当事人或者当事人的近亲属；</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（二）与医疗纠纷有利害关系；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（三）与医疗纠纷当事人有其他关系，可能影响医疗纠纷公正处理。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第三十八条</w:t>
      </w:r>
      <w:r>
        <w:rPr>
          <w:rFonts w:hint="eastAsia" w:ascii="仿宋" w:hAnsi="仿宋" w:eastAsia="仿宋" w:cs="仿宋"/>
          <w:bCs/>
          <w:sz w:val="32"/>
          <w:szCs w:val="32"/>
        </w:rPr>
        <w:t xml:space="preserve"> 医疗纠纷人民调解委员会应当自受理之日起30个工作日内完成调解。需要鉴定的，鉴定时间不计入调解期限。因特殊情况需要延长调解期限的，医疗纠纷人民调解委员会和医患双方可以约定延长调解期限。超过调解期限未达成调解协议的，视为调解不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第三十九条</w:t>
      </w:r>
      <w:r>
        <w:rPr>
          <w:rFonts w:hint="eastAsia" w:ascii="仿宋" w:hAnsi="仿宋" w:eastAsia="仿宋" w:cs="仿宋"/>
          <w:bCs/>
          <w:sz w:val="32"/>
          <w:szCs w:val="32"/>
        </w:rPr>
        <w:t xml:space="preserve"> 医患双方经人民调解达成一致的，医疗纠纷人民调解委员会应当制作调解协议书。调解协议书经医患双方签字或者盖章，人民调解员签字并加盖医疗纠纷人民调解委员会印章后生效。</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达成调解协议的，医疗纠纷人民调解委员会应当告知医患双方可以依法向人民法院申请司法确认。</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第四十条</w:t>
      </w:r>
      <w:r>
        <w:rPr>
          <w:rFonts w:hint="eastAsia" w:ascii="仿宋" w:hAnsi="仿宋" w:eastAsia="仿宋" w:cs="仿宋"/>
          <w:bCs/>
          <w:sz w:val="32"/>
          <w:szCs w:val="32"/>
        </w:rPr>
        <w:t xml:space="preserve"> 医患双方申请医疗纠纷行政调解的，应当参照本条例第三十一条第一款、第二款的规定向医疗纠纷发生地县级人民政府卫生主管部门提出申请。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主管部门应当自收到申请之日起5个工作日内作出是否受理的决定。当事人已经向人民法院提起诉讼并且已被受理，或者已经申请医疗纠纷人民调解委员会调解并且已被受理的，卫生主管部门不予受理；已经受理的，终止调解。</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卫生主管部门应当自受理之日起30个工作日内完成调解。需要鉴定的，鉴定时间不计入调解期限。超过调解期限未达成调解协议的，视为调解不成。</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第四十一条 </w:t>
      </w:r>
      <w:r>
        <w:rPr>
          <w:rFonts w:hint="eastAsia" w:ascii="仿宋" w:hAnsi="仿宋" w:eastAsia="仿宋" w:cs="仿宋"/>
          <w:bCs/>
          <w:sz w:val="32"/>
          <w:szCs w:val="32"/>
        </w:rPr>
        <w:t>卫生主管部门调解医疗纠纷需要进行专家咨询的，可以从本条例第三十五条规定的专家库中抽取专家；医患双方认为需要进行医疗损害鉴定以明确责任的，参照本条例第三十四条的规定进行鉴定。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医患双方经卫生主管部门调解达成一致的，应当签署调解协议书。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第四十二条</w:t>
      </w:r>
      <w:r>
        <w:rPr>
          <w:rFonts w:hint="eastAsia" w:ascii="仿宋" w:hAnsi="仿宋" w:eastAsia="仿宋" w:cs="仿宋"/>
          <w:bCs/>
          <w:sz w:val="32"/>
          <w:szCs w:val="32"/>
        </w:rPr>
        <w:t xml:space="preserve"> 医疗纠纷人民调解委员会及其人民调解员、卫生主管部门及其工作人员应当对医患双方的个人隐私等事项予以保密。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未经医患双方同意，医疗纠纷人民调解委员会、卫生主管部门不得公开进行调解，也不得公开调解协议的内容。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第四十三条</w:t>
      </w:r>
      <w:r>
        <w:rPr>
          <w:rFonts w:hint="eastAsia" w:ascii="仿宋" w:hAnsi="仿宋" w:eastAsia="仿宋" w:cs="仿宋"/>
          <w:bCs/>
          <w:sz w:val="32"/>
          <w:szCs w:val="32"/>
        </w:rPr>
        <w:t xml:space="preserve"> 发生医疗纠纷，当事人协商、调解不成的，可以依法向人民法院提起诉讼。当事人也可以直接向人民法院提起诉讼。</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第四十四条 </w:t>
      </w:r>
      <w:r>
        <w:rPr>
          <w:rFonts w:hint="eastAsia" w:ascii="仿宋" w:hAnsi="仿宋" w:eastAsia="仿宋" w:cs="仿宋"/>
          <w:bCs/>
          <w:sz w:val="32"/>
          <w:szCs w:val="32"/>
        </w:rPr>
        <w:t>发生医疗纠纷，需要赔偿的，赔付金额依照法律的规定确定。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第四章　法律责任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第四十五条</w:t>
      </w:r>
      <w:r>
        <w:rPr>
          <w:rFonts w:hint="eastAsia" w:ascii="仿宋" w:hAnsi="仿宋" w:eastAsia="仿宋" w:cs="仿宋"/>
          <w:bCs/>
          <w:sz w:val="32"/>
          <w:szCs w:val="32"/>
        </w:rPr>
        <w:t xml:space="preserve"> 医疗机构篡改、伪造、隐匿、毁灭病历资料的，对直接负责的主管人员和其他直接责任人员，由县级以上人民政府卫生主管部门给予或者责令给予降低岗位等级或者撤职的处分，对有关医务人员责令暂停6个月以上1年以下执业活动；造成严重后果的，对直接负责的主管人员和其他直接责任人员给予或者责令给予开除的处分，对有关医务人员由原发证部门吊销执业证书；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第四十六条</w:t>
      </w:r>
      <w:r>
        <w:rPr>
          <w:rFonts w:hint="eastAsia" w:ascii="仿宋" w:hAnsi="仿宋" w:eastAsia="仿宋" w:cs="仿宋"/>
          <w:bCs/>
          <w:sz w:val="32"/>
          <w:szCs w:val="32"/>
        </w:rPr>
        <w:t xml:space="preserve"> 医疗机构将未通过技术评估和伦理审查的医疗新技术应用于临床的，由县级以上人民政府卫生主管部门没收违法所得，并处5万元以上10万元以下罚款，对直接负责的主管人员和其他直接责任人员给予或者责令给予降低岗位等级或者撤职的处分，对有关医务人员责令暂停6个月以上1年以下执业活动；情节严重的，对直接负责的主管人员和其他直接责任人员给予或者责令给予开除的处分，对有关医务人员由原发证部门吊销执业证书；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第四十七条</w:t>
      </w:r>
      <w:r>
        <w:rPr>
          <w:rFonts w:hint="eastAsia" w:ascii="仿宋" w:hAnsi="仿宋" w:eastAsia="仿宋" w:cs="仿宋"/>
          <w:bCs/>
          <w:sz w:val="32"/>
          <w:szCs w:val="32"/>
        </w:rPr>
        <w:t xml:space="preserve"> 医疗机构及其医务人员有下列情形之一的，由县级以上人民政府卫生主管部门责令改正，给予警告，并处1万元以上5万元以下罚款；情节严重的，对直接负责的主管人员和其他直接责任人员给予或者责令给予降低岗位等级或者撤职的处分，对有关医务人员可以责令暂停1个月以上6个月以下执业活动；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（一）未按规定制定和实施医疗质量安全管理制度；</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（二）未按规定告知患者病情、医疗措施、医疗风险、替代医疗方案等；</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（三）开展具有较高医疗风险的诊疗活动，未提前预备应对方案防范突发风险；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（四）未按规定填写、保管病历资料，或者未按规定补记抢救病历；</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（五）拒绝为患者提供查阅、复制病历资料服务；</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（六）未建立投诉接待制度、设置统一投诉管理部门或者配备专（兼）职人员；</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（七）未按规定封存、保管、启封病历资料和现场实物；</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（八）未按规定向卫生主管部门报告重大医疗纠纷；</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（九）其他未履行本条例规定义务的情形。</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第四十八条</w:t>
      </w:r>
      <w:r>
        <w:rPr>
          <w:rFonts w:hint="eastAsia" w:ascii="仿宋" w:hAnsi="仿宋" w:eastAsia="仿宋" w:cs="仿宋"/>
          <w:bCs/>
          <w:sz w:val="32"/>
          <w:szCs w:val="32"/>
        </w:rPr>
        <w:t xml:space="preserve"> 医学会、司法鉴定机构出具虚假医疗损害鉴定意见的，由县级以上人民政府卫生、司法行政部门依据职责没收违法所得，并处5万元以上10万元以下罚款，对该医学会、司法鉴定机构和有关鉴定人员责令暂停3个月以上1年以下医疗损害鉴定业务，对直接负责的主管人员和其他直接责任人员给予或者责令给予降低岗位等级或者撤职的处分；情节严重的，该医学会、司法鉴定机构和有关鉴定人员5年内不得从事医疗损害鉴定业务或者撤销登记，对直接负责的主管人员和其他直接责任人员给予或者责令给予开除的处分；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第四十九条 </w:t>
      </w:r>
      <w:r>
        <w:rPr>
          <w:rFonts w:hint="eastAsia" w:ascii="仿宋" w:hAnsi="仿宋" w:eastAsia="仿宋" w:cs="仿宋"/>
          <w:bCs/>
          <w:sz w:val="32"/>
          <w:szCs w:val="32"/>
        </w:rPr>
        <w:t>尸检机构出具虚假尸检报告的，由县级以上人民政府卫生、司法行政部门依据职责没收违法所得，并处5万元以上10万元以下罚款，对该尸检机构和有关尸检专业技术人员责令暂停3个月以上1年以下尸检业务，对直接负责的主管人员和其他直接责任人员给予或者责令给予降低岗位等级或者撤职的处分；情节严重的，撤销该尸检机构和有关尸检专业技术人员的尸检资格，对直接负责的主管人员和其他直接责任人员给予或者责令给予开除的处分；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第五十条</w:t>
      </w:r>
      <w:r>
        <w:rPr>
          <w:rFonts w:hint="eastAsia" w:ascii="仿宋" w:hAnsi="仿宋" w:eastAsia="仿宋" w:cs="仿宋"/>
          <w:bCs/>
          <w:sz w:val="32"/>
          <w:szCs w:val="32"/>
        </w:rPr>
        <w:t xml:space="preserve"> 医疗纠纷人民调解员有下列行为之一的，由医疗纠纷人民调解委员会给予批评教育、责令改正；情节严重的，依法予以解聘：</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（一）偏袒一方当事人；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（二）侮辱当事人；</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（三）索取、收受财物或者牟取其他不正当利益；</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bCs/>
          <w:sz w:val="32"/>
          <w:szCs w:val="32"/>
        </w:rPr>
        <w:t>（四）泄露医患双方个人隐私等事项。</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第五十一条</w:t>
      </w:r>
      <w:r>
        <w:rPr>
          <w:rFonts w:hint="eastAsia" w:ascii="仿宋" w:hAnsi="仿宋" w:eastAsia="仿宋" w:cs="仿宋"/>
          <w:bCs/>
          <w:sz w:val="32"/>
          <w:szCs w:val="32"/>
        </w:rPr>
        <w:t xml:space="preserve"> 新闻媒体编造、散布虚假医疗纠纷信息的，由有关主管部门依法给予处罚；给公民、法人或者其他组织的合法权益造成损害的，依法承担消除影响、恢复名誉、赔偿损失、赔礼道歉等民事责任。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第五十二条</w:t>
      </w:r>
      <w:r>
        <w:rPr>
          <w:rFonts w:hint="eastAsia" w:ascii="仿宋" w:hAnsi="仿宋" w:eastAsia="仿宋" w:cs="仿宋"/>
          <w:bCs/>
          <w:sz w:val="32"/>
          <w:szCs w:val="32"/>
        </w:rPr>
        <w:t xml:space="preserve"> 县级以上人民政府卫生主管部门和其他有关部门及其工作人员在医疗纠纷预防和处理工作中，不履行职责或者滥用职权、玩忽职守、徇私舞弊的，由上级人民政府卫生等有关部门或者监察机关责令改正；依法对直接负责的主管人员和其他直接责任人员给予处分；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第五十三条</w:t>
      </w:r>
      <w:r>
        <w:rPr>
          <w:rFonts w:hint="eastAsia" w:ascii="仿宋" w:hAnsi="仿宋" w:eastAsia="仿宋" w:cs="仿宋"/>
          <w:bCs/>
          <w:sz w:val="32"/>
          <w:szCs w:val="32"/>
        </w:rPr>
        <w:t xml:space="preserve"> 医患双方在医疗纠纷处理中，造成人身、财产或者其他损害的，依法承担民事责任；构成违反治安管理行为的，由公安机关依法给予治安管理处罚；构成犯罪的，依法追究刑事责任。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jc w:val="center"/>
        <w:textAlignment w:val="auto"/>
        <w:rPr>
          <w:rFonts w:hint="eastAsia" w:ascii="黑体" w:hAnsi="黑体" w:eastAsia="黑体" w:cs="黑体"/>
          <w:bCs/>
          <w:sz w:val="32"/>
          <w:szCs w:val="32"/>
        </w:rPr>
      </w:pPr>
      <w:r>
        <w:rPr>
          <w:rFonts w:hint="eastAsia" w:ascii="黑体" w:hAnsi="黑体" w:eastAsia="黑体" w:cs="黑体"/>
          <w:bCs/>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第五十四条</w:t>
      </w:r>
      <w:r>
        <w:rPr>
          <w:rFonts w:hint="eastAsia" w:ascii="仿宋" w:hAnsi="仿宋" w:eastAsia="仿宋" w:cs="仿宋"/>
          <w:bCs/>
          <w:sz w:val="32"/>
          <w:szCs w:val="32"/>
        </w:rPr>
        <w:t xml:space="preserve"> 军队医疗机构的医疗纠纷预防和处理办法，由中央军委机关有关部门会同国务院卫生主管部门依据本条例制定。</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第五十五条</w:t>
      </w:r>
      <w:r>
        <w:rPr>
          <w:rFonts w:hint="eastAsia" w:ascii="仿宋" w:hAnsi="仿宋" w:eastAsia="仿宋" w:cs="仿宋"/>
          <w:bCs/>
          <w:sz w:val="32"/>
          <w:szCs w:val="32"/>
        </w:rPr>
        <w:t xml:space="preserve"> 对诊疗活动中医疗事故的行政调查处理，依照《医疗事故处理条例》的相关规定执行。</w:t>
      </w:r>
    </w:p>
    <w:p>
      <w:pPr>
        <w:widowControl w:val="0"/>
        <w:wordWrap/>
        <w:adjustRightInd/>
        <w:snapToGrid/>
        <w:spacing w:line="560" w:lineRule="exact"/>
        <w:ind w:firstLine="640" w:firstLineChars="200"/>
        <w:textAlignment w:val="auto"/>
        <w:rPr>
          <w:rFonts w:hint="eastAsia" w:ascii="仿宋" w:hAnsi="仿宋" w:eastAsia="仿宋" w:cs="仿宋"/>
          <w:bCs/>
          <w:sz w:val="32"/>
          <w:szCs w:val="32"/>
        </w:rPr>
      </w:pPr>
      <w:r>
        <w:rPr>
          <w:rFonts w:hint="eastAsia" w:ascii="黑体" w:hAnsi="黑体" w:eastAsia="黑体" w:cs="黑体"/>
          <w:bCs/>
          <w:sz w:val="32"/>
          <w:szCs w:val="32"/>
        </w:rPr>
        <w:t xml:space="preserve">第五十六条 </w:t>
      </w:r>
      <w:r>
        <w:rPr>
          <w:rFonts w:hint="eastAsia" w:ascii="仿宋" w:hAnsi="仿宋" w:eastAsia="仿宋" w:cs="仿宋"/>
          <w:bCs/>
          <w:sz w:val="32"/>
          <w:szCs w:val="32"/>
        </w:rPr>
        <w:t>本条例自2018年10月1日起施行。</w:t>
      </w: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Arial"/>
          <w:bCs/>
          <w:sz w:val="44"/>
          <w:szCs w:val="44"/>
        </w:rPr>
      </w:pPr>
      <w:bookmarkStart w:id="235" w:name="_Toc935"/>
      <w:r>
        <w:rPr>
          <w:rFonts w:hint="eastAsia" w:ascii="宋体" w:hAnsi="宋体" w:eastAsia="宋体" w:cs="Arial"/>
          <w:bCs/>
          <w:sz w:val="44"/>
          <w:szCs w:val="44"/>
        </w:rPr>
        <w:t>医疗事故处理条例</w:t>
      </w:r>
      <w:bookmarkEnd w:id="235"/>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（2002年2月20日国务院第55次常务会议通过  2002年4月4日中华人民共和国国务院令第351号公布  自2002年9月1日起施行）</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医疗事故的预防与处置</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医疗事故的技术鉴定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医疗事故的行政处理与监督</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医疗事故的赔偿</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为了正确处理医疗事故，保护患者和医疗机构及其医务人员的合法权益，维护医疗秩序，保障医疗安全，促进医学科学的发展，制定本条例。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本条例所称医疗事故，是指医疗机构及其医务人员在医疗活动中，违反医疗卫生管理法律、行政法规、部门规章和诊疗护理规范、常规，过失造成患者人身损害的事故。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处理医疗事故，应当遵循公开、公平、公正、及时、便民的原则，坚持实事求是的科学态度，做到事实清楚、定性准确、责任明确、处理恰当。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根据对患者人身造成的损害程度，医疗事故分为四级：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一级医疗事故：造成患者死亡、重度残疾的；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二级医疗事故：造成患者中度残疾、器官组织损伤导致严重功能障碍的；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三级医疗事故：造成患者轻度残疾、器官组织损伤导致一般功能障碍的；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四级医疗事故：造成患者明显人身损害的其他后果的。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具体分级标准由国务院卫生行政部门制定。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医疗事故的预防与处置</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医疗机构及其医务人员在医疗活动中，必须严格遵守医疗卫生管理法律、行政法规、部门规章和诊疗护理规范、常规，恪守医疗服务职业道德。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医疗机构应当对其医务人员进行医疗卫生管理法律、行政法规、部门规章和诊疗护理规范、常规的培训和医疗服务职业道德教育。</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医疗机构应当设置医疗服务质量监控部门或者配备专（兼）职人员，具体负责监督本医疗机构的医务人员的医疗服务工作，检查医务人员执业情况，接受患者对医疗服务的投诉，向其提供咨询服务。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医疗机构应当按照国务院卫生行政部门规定的要求，书写并妥善保管病历资料。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因抢救急危患者，未能及时书写病历的，有关医务人员应当在抢救结束后６小时内据实补记，并加以注明。</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严禁涂改、伪造、隐匿、销毁或者抢夺病历资料。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患者有权复印或者复制其门诊病历、住院志、体温单、医嘱单、化验单（检验报告）、医学影像检查资料、特殊检查同意书、手术同意书、手术及麻醉记录单、病理资料、护理记录以及国务院卫生行政部门规定的其他病历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患者依照前款规定要求复印或者复制病历资料的，医疗机构应当提供复印或者复制服务并在复印或者复制的病历资料上加盖证明印记。复印或者复制病历资料时，应当有患者在场。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医疗机构应患者的要求，为其复印或者复制病历资料，可以按照规定收取工本费。具体收费标准由省、自治区、直辖市人民政府价格主管部门会同同级卫生行政部门规定。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在医疗活动中，医疗机构及其医务人员应当将患者的病情、医疗措施、医疗风险等如实告知患者，及时解答其咨询；但是，应当避免对患者产生不利后果。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医疗机构应当制定防范、处理医疗事故的预案，预防医疗事故的发生，减轻医疗事故的损害。</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医务人员在医疗活动中发生或者发现医疗事故、可能引起医疗事故的医疗过失行为或者发生医疗事故争议的，应当立即向所在科室负责人报告，科室负责人应当及时向本医疗机构负责医疗服务质量监控的部门或者专（兼）职人员报告；负责医疗服务质量监控的部门或者专（兼）职人员接到报告后，应当立即进行调查、核实，将有关情况如实向本医疗机构的负责人报告，并向患者通报、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发生医疗事故的，医疗机构应当按照规定向所在地卫生行政部门报告。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发生下列重大医疗过失行为的，医疗机构应当在１２小时内向所在地卫生行政部门报告：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（一）导致患者死亡或者可能为二级以上的医疗事故；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（二）导致３人以上人身损害后果；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（三）国务院卫生行政部门和省、自治区、直辖市人民政府卫生行政部门规定的其他情形。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发生或者发现医疗过失行为，医疗机构及其医务人员应当立即采取有效措施，避免或者减轻对患者身体健康的损害，防止损害扩大。</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发生医疗事故争议时，死亡病例讨论记录、疑难病例讨论记录、上级医师查房记录、会诊意见、病程记录应当在医患双方在场的情况下封存和启封。封存的病历资料可以是复印件，由医疗机构保管。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疑似输液、输血、注射、药物等引起不良后果的，医患双方应当共同对现场实物进行封存和启封，封存的现场实物由医疗机构保管；需要检验的，应当由双方共同指定的、依法具有检验资格的检验机构进行检验；双方无法共同指定时，由卫生行政部门指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疑似输血引起不良后果，需要对血液进行封存保留的，医疗机构应当通知提供该血液的采供血机构派员到场。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患者死亡，医患双方当事人不能确定死因或者对死因有异议的，应当在患者死亡后４８小时内进行尸检；具备尸体冻存条件的，可以延长至７日。尸检应当经死者近亲属同意并签字。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尸检应当由按照国家有关规定取得相应资格的机构和病理解剖专业技术人员进行。承担尸检任务的机构和病理解剖专业技术人员有进行尸检的义务。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医疗事故争议双方当事人可以请法医病理学人员参加尸检，也可以委派代表观察尸检过程。拒绝或者拖延尸检，超过规定时间，影响对死因判定的，由拒绝或者拖延的一方承担责任。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患者在医疗机构内死亡的，尸体应当立即移放太平间。死者尸体存放时间一般不得超过２周。逾期不处理的尸体，经医疗机构所在地卫生行政部门批准，并报经同级公安部门备案后，由医疗机构按照规定进行处理。</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医疗事故的技术鉴定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卫生行政部门接到医疗机构关于重大医疗过失行为的报告或者医疗事故争议当事人要求处理医疗事故争议的申请后，对需要进行医疗事故技术鉴定的，应当交由负责医疗事故技术鉴定工作的医学会组织鉴定；医患双方协商解决医疗事故争议，需要进行医疗事故技术鉴定的，由双方当事人共同委托负责医疗事故技术鉴定工作的医学会组织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设区的市级地方医学会和省、自治区、直辖市直接管辖的县（市）地方医学会负责组织首次医疗事故技术鉴定工作。省、自治区、直辖市地方医学会负责组织再次鉴定工作。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必要时，中华医学会可以组织疑难、复杂并在全国有重大影响的医疗事故争议的技术鉴定工作。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当事人对首次医疗事故技术鉴定结论不服的，可以自收到首次鉴定结论之日起１５日内向医疗机构所在地卫生行政部门提出再次鉴定的申请。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负责组织医疗事故技术鉴定工作的医学会应当建立专家库。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专家库由具备下列条件的医疗卫生专业技术人员组成：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（一）有良好的业务素质和执业品德；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（二）受聘于医疗卫生机构或者医学教学、科研机构并担任相应专业高级技术职务３年以上。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符合前款第（一）项规定条件并具备高级技术任职资格的法医可以受聘进入专家库。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负责组织医疗事故技术鉴定工作的医学会依照本条例规定聘请医疗卫生专业技术人员和法医进入专家库，可以不受行政区域的限制。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医疗事故技术鉴定，由负责组织医疗事故技术鉴定工作的医学会组织专家鉴定组进行。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参加医疗事故技术鉴定的相关专业的专家，由医患双方在医学会主持下从专家库中随机抽取。在特殊情况下，医学会根据医疗事故技术鉴定工作的需要，可以组织医患双方在其他医学会建立的专家库中随机抽取相关专业的专家参加鉴定或者函件咨询。</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符合本条例第二十三条规定条件的医疗卫生专业技术人员和法医有义务受聘进入专家库，并承担医疗事故技术鉴定工作。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专家鉴定组进行医疗事故技术鉴定，实行合议制。专家鉴定组人数为单数，涉及的主要学科的专家一般不得少于鉴定组成员的二分之一；涉及死因、伤残等级鉴定的，并应当从专家库中随机抽取法医参加专家鉴定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专家鉴定组成员有下列情形之一的，应当回避，当事人也可以以口头或者书面的方式申请其回避：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（一）是医疗事故争议当事人或者当事人的近亲属的；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（二）与医疗事故争议有利害关系的；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（三）与医疗事故争议当事人有其他关系，可能影响公正鉴定的。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专家鉴定组依照医疗卫生管理法律、行政法规、部门规章和诊疗护理规范、常规，运用医学科学原理和专业知识，独立进行医疗事故技术鉴定，对医疗事故进行鉴别和判定，为处理医疗事故争议提供医学依据。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任何单位或者个人不得干扰医疗事故技术鉴定工作，不得威胁、利诱、辱骂、殴打专家鉴定组成员。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专家鉴定组成员不得接受双方当事人的财物或者其他利益。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负责组织医疗事故技术鉴定工作的医学会应当自受理医疗事故技术鉴定之日起５日内通知医疗事故争议双方当事人提交进行医疗事故技术鉴定所需的材料。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当事人应当自收到医学会的通知之日起１０日内提交有关医疗事故技术鉴定的材料、书面陈述及答辩。医疗机构提交的有关医疗事故技术鉴定的材料应当包括下列内容：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（一）住院患者的病程记录、死亡病例讨论记录、疑难病例讨论记录、会诊意见、上级医师查房记录等病历资料原件；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（二）住院患者的住院志、体温单、医嘱单、化验单（检验报告）、医学影像检查资料、特殊检查同意书、手术同意书、手术及麻醉记录单、病理资料、护理记录等病历资料原件；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（三）抢救急危患者，在规定时间内补记的病历资料原件；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（四）封存保留的输液、注射用物品和血液、药物等实物，或者依法具有检验资格的检验机构对这些物品、实物作出的检验报告；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（五）与医疗事故技术鉴定有关的其他材料。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在医疗机构建有病历档案的门诊、急诊患者，其病历资料由医疗机构提供；没有在医疗机构建立病历档案的，由患者提供。</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医患双方应当依照本条例的规定提交相关材料。医疗机构无正当理由未依照本条例的规定如实提供相关材料，导致医疗事故技术鉴定不能进行的，应当承担责任。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负责组织医疗事故技术鉴定工作的医学会应当自接到当事人提交的有关医疗事故技术鉴定的材料、书面陈述及答辩之日起４５日内组织鉴定并出具医疗事故技术鉴定书。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负责组织医疗事故技术鉴定工作的医学会可以向双方当事人调查取证。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专家鉴定组应当认真审查双方当事人提交的材料，听取双方当事人的陈述及答辩并进行核实。</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双方当事人应当按照本条例的规定如实提交进行医疗事故技术鉴定所需要的材料，并积极配合调查。当事人任何一方不予配合，影响医疗事故技术鉴定的，由不予配合的一方承担责任。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专家鉴定组应当在事实清楚、证据确凿的基础上，综合分析患者的病情和个体差异，作出鉴定结论，并制作医疗事故技术鉴定书。鉴定结论以专家鉴定组成员的过半数通过。鉴定过程应当如实记载。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医疗事故技术鉴定书应当包括下列主要内容：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（一）双方当事人的基本情况及要求；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（二）当事人提交的材料和负责组织医疗事故技术鉴定工作的医学会的调查材料；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（三）对鉴定过程的说明；</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（四）医疗行为是否违反医疗卫生管理法律、行政法规、部门规章和诊疗护理规范、常规；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（五）医疗过失行为与人身损害后果之间是否存在因果关系；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（六）医疗过失行为在医疗事故损害后果中的责任程度；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（七）医疗事故等级；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（八）对医疗事故患者的医疗护理医学建议。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医疗事故技术鉴定办法由国务院卫生行政部门制定。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有下列情形之一的，不属于医疗事故：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（一）在紧急情况下为抢救垂危患者生命而采取紧急医学措施造成不良后果的；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（二）在医疗活动中由于患者病情异常或者患者体质特殊而发生医疗意外的；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（三）在现有医学科学技术条件下，发生无法预料或者不能防范的不良后果的；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（四）无过错输血感染造成不良后果的；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（五）因患方原因延误诊疗导致不良后果的；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（六）因不可抗力造成不良后果的。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医疗事故技术鉴定，可以收取鉴定费用。经鉴定，属于医疗事故的，鉴定费用由医疗机构支付；不属于医疗事故的，鉴定费用由提出医疗事故处理申请的一方支付。鉴定费用标准由省、自治区、直辖市人民政府价格主管部门会同同级财政部门、卫生行政部门规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医疗事故的行政处理与监督</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卫生行政部门应当依照本条例和有关法律、行政法规、部门规章的规定，对发生医疗事故的医疗机构和医务人员作出行政处理。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卫生行政部门接到医疗机构关于重大医疗过失行为的报告后，除责令医疗机构及时采取必要的医疗救治措施，防止损害后果扩大外，应当组织调查，判定是否属于医疗事故；对不能判定是否属于医疗事故的，应当依照本条例的有关规定交由负责医疗事故技术鉴定工作的医学会组织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发生医疗事故争议，当事人申请卫生行政部门处理的，应当提出书面申请。申请书应当载明申请人的基本情况、有关事实、具体请求及理由等。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当事人自知道或者应当知道其身体健康受到损害之日起１年内，可以向卫生行政部门提出医疗事故争议处理申请。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发生医疗事故争议，当事人申请卫生行政部门处理的，由医疗机构所在地的县级人民政府卫生行政部门受理。医疗机构所在地是直辖市的，由医疗机构所在地的区、县人民政府卫生行政部门受理。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有下列情形之一的，县级人民政府卫生行政部门应当自接到医疗机构的报告或者当事人提出医疗事故争议处理申请之日起７日内移送上一级人民政府卫生行政部门处理：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（一）患者死亡；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（二）可能为二级以上的医疗事故；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（三）国务院卫生行政部门和省、自治区、直辖市人民政府卫生行政部门规定的其他情形。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卫生行政部门应当自收到医疗事故争议处理申请之日起１０日内进行审查，作出是否受理的决定。对符合本条例规定，予以受理，需要进行医疗事故技术鉴定的，应当自作出受理决定之日起５日内将有关材料交由负责医疗事故技术鉴定工作的医学会组织鉴定并书面通知申请人；对不符合本条例规定，不予受理的，应当书面通知申请人并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当事人对首次医疗事故技术鉴定结论有异议，申请再次鉴定的，卫生行政部门应当自收到申请之日起７日内交由省、自治区、直辖市地方医学会组织再次鉴定。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当事人既向卫生行政部门提出医疗事故争议处理申请，又向人民法院提起诉讼的，卫生行政部门不予受理；卫生行政部门已经受理的，应当终止处理。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卫生行政部门收到负责组织医疗事故技术鉴定工作的医学会出具的医疗事故技术鉴定书后，应当对参加鉴定的人员资格和专业类别、鉴定程序进行审核；必要时，可以组织调查，听取医疗事故争议双方当事人的意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卫生行政部门经审核，对符合本条例规定作出的医疗事故技术鉴定结论，应当作为对发生医疗事故的医疗机构和医务人员作出行政处理以及进行医疗事故赔偿调解的依据；经审核，发现医疗事故技术鉴定不符合本条例规定的，应当要求重新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医疗事故争议由双方当事人自行协商解决的，医疗机构应当自协商解决之日起７日内向所在地卫生行政部门作出书面报告，并附具协议书。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医疗事故争议经人民法院调解或者判决解决的，医疗机构应当自收到生效的人民法院的调解书或者判决书之日起７日内向所在地卫生行政部门作出书面报告，并附具调解书或者判决书。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县级以上地方人民政府卫生行政部门应当按照规定逐级将当地发生的医疗事故以及依法对发生医疗事故的医疗机构和医务人员作出行政处理的情况，上报国务院卫生行政部门。</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医疗事故的赔偿</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发生医疗事故的赔偿等民事责任争议，医患双方可以协商解决；不愿意协商或者协商不成的，当事人可以向卫生行政部门提出调解申请，也可以直接向人民法院提起民事诉讼。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双方当事人协商解决医疗事故的赔偿等民事责任争议的，应当制作协议书。协议书应当载明双方当事人的基本情况和医疗事故的原因、双方当事人共同认定的医疗事故等级以及协商确定的赔偿数额等，并由双方当事人在协议书上签名。</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已确定为医疗事故的，卫生行政部门应医疗事故争议双方当事人请求，可以进行医疗事故赔偿调解。调解时，应当遵循当事人双方自愿原则，并应当依据本条例的规定计算赔偿数额。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经调解，双方当事人就赔偿数额达成协议的，制作调解书，双方当事人应当履行；调解不成或者经调解达成协议后一方反悔的，卫生行政部门不再调解。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医疗事故赔偿，应当考虑下列因素，确定具体赔偿数额：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（一）医疗事故等级；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（二）医疗过失行为在医疗事故损害后果中的责任程度；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（三）医疗事故损害后果与患者原有疾病状况之间的关系。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不属于医疗事故的，医疗机构不承担赔偿责任。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医疗事故赔偿，按照下列项目和标准计算：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（一）医疗费：按照医疗事故对患者造成的人身损害进行治疗所发生的医疗费用计算，凭据支付，但不包括原发病医疗费用。结案后确实需要继续治疗的，按照基本医疗费用支付。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误工费：患者有固定收入的，按照本人因误工减少的固定收入计算，对收入高于医疗事故发生地上一年度职工年平均工资３倍以上的，按照３倍计算；无固定收入的，按照医疗事故发生地上一年度职工年平均工资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（三）住院伙食补助费：按照医疗事故发生地国家机关一般工作人员的出差伙食补助标准计算。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（四）陪护费：患者住院期间需要专人陪护的，按照医疗事故发生地上一年度职工年平均工资计算。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（五）残疾生活补助费：根据伤残等级，按照医疗事故发生地居民年平均生活费计算，自定残之月起最长赔偿３０年；但是，６０周岁以上的，不超过１５年；７０周岁以上的，不超过５年。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（六）残疾用具费：因残疾需要配置补偿功能器具的，凭医疗机构证明，按照普及型器具的费用计算。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（七）丧葬费：按照医疗事故发生地规定的丧葬费补助标准计算。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被扶养人生活费：以死者生前或者残疾者丧失劳动能力前实际扶养且没有劳动能力的人为限，按照其户籍所在地或者居所地居民最低生活保障标准计算。对不满１６周岁的，扶养到１６周岁。对年满１６周岁但无劳动能力的，扶养２０年；但是，６０周岁以上的，不超过１５年；７０周岁以上的，不超过５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（九）交通费：按照患者实际必需的交通费用计算，凭据支付。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（十）住宿费：按照医疗事故发生地国家机关一般工作人员的出差住宿补助标准计算，凭据支付。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（十一）精神损害抚慰金：按照医疗事故发生地居民年平均生活费计算。造成患者死亡的，赔偿年限最长不超过６年；造成患者残疾的，赔偿年限最长不超过３年。</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参加医疗事故处理的患者近亲属所需交通费、误工费、住宿费，参照本条例第五十条的有关规定计算，计算费用的人数不超过２人。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医疗事故造成患者死亡的，参加丧葬活动的患者的配偶和直系亲属所需交通费、误工费、住宿费，参照本条例第五十条的有关规定计算，计算费用的人数不超过２人。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医疗事故赔偿费用，实行一次性结算，由承担医疗事故责任的医疗机构支付。</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卫生行政部门的工作人员在处理医疗事故过程中违反本条例的规定，利用职务上的便利收受他人财物或者其他利益，滥用职权，玩忽职守，或者发现违法行为不予查处，造成严重后果的，依照刑法关于受贿罪、滥用职权罪、玩忽职守罪或者其他有关罪的规定，依法追究刑事责任；尚不够刑事处罚的，依法给予降级或者撤职的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卫生行政部门违反本条例的规定，有下列情形之一的，由上级卫生行政部门给予警告并责令限期改正；情节严重的，对负有责任的主管人员和其他直接责任人员依法给予行政处分：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（一）接到医疗机构关于重大医疗过失行为的报告后，未及时组织调查的；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（二）接到医疗事故争议处理申请后，未在规定时间内审查或者移送上一级人民政府卫生行政部门处理的；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（三）未将应当进行医疗事故技术鉴定的重大医疗过失行为或者医疗事故争议移交医学会组织鉴定的；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（四）未按照规定逐级将当地发生的医疗事故以及依法对发生医疗事故的医疗机构和医务人员的行政处理情况上报的；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（五）未依照本条例规定审核医疗事故技术鉴定书的。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医疗机构发生医疗事故的，由卫生行政部门根据医疗事故等级和情节，给予警告；情节严重的，责令限期停业整顿直至由原发证部门吊销执业许可证，对负有责任的医务人员依照刑法关于医疗事故罪的规定，依法追究刑事责任；尚不够刑事处罚的，依法给予行政处分或者纪律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对发生医疗事故的有关医务人员，除依照前款处罚外，卫生行政部门并可以责令暂停６个月以上１年以下执业活动；情节严重的，吊销其执业证书。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医疗机构违反本条例的规定，有下列情形之一的，由卫生行政部门责令改正；情节严重的，对负有责任的主管人员和其他直接责任人员依法给予行政处分或者纪律处分：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（一）未如实告知患者病情、医疗措施和医疗风险的；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（二）没有正当理由，拒绝为患者提供复印或者复制病历资料服务的；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（三）未按照国务院卫生行政部门规定的要求书写和妥善保管病历资料的；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（四）未在规定时间内补记抢救工作病历内容的；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（五）未按照本条例的规定封存、保管和启封病历资料和实物的；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（六）未设置医疗服务质量监控部门或者配备专（兼）职人员的；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（七）未制定有关医疗事故防范和处理预案的；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（八）未在规定时间内向卫生行政部门报告重大医疗过失行为的；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（九）未按照本条例的规定向卫生行政部门报告医疗事故的；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（十）未按照规定进行尸检和保存、处理尸体的。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参加医疗事故技术鉴定工作的人员违反本条例的规定，接受申请鉴定双方或者一方当事人的财物或者其他利益，出具虚假医疗事故技术鉴定书，造成严重后果的，依照刑法关于受贿罪的规定，依法追究刑事责任；尚不够刑事处罚的，由原发证部门吊销其执业证书或者资格证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医疗机构或者其他有关机构违反本条例的规定，有下列情形之一的，由卫生行政部门责令改正，给予警告；对负有责任的主管人员和其他直接责任人员依法给予行政处分或者纪律处分；情节严重的，由原发证部门吊销其执业证书或者资格证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（一）承担尸检任务的机构没有正当理由，拒绝进行尸检的；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（二）涂改、伪造、隐匿、销毁病历资料的。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以医疗事故为由，寻衅滋事、抢夺病历资料，扰乱医疗机构正常医疗秩序和医疗事故技术鉴定工作，依照刑法关于扰乱社会秩序罪的规定，依法追究刑事责任；尚不够刑事处罚的，依法给予治安管理处罚。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本条例所称医疗机构，是指依照《医疗机构管理条例》的规定取得《医疗机构执业许可证》的机构。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城市从事计划生育技术服务的机构依照《计划生育技术服务管理条例》的规定开展与计划生育有关的临床医疗服务，发生的计划生育技术服务事故，依照本条例的有关规定处理；但是，其中不属于医疗机构的县级以上城市从事计划生育技术服务的机构发生的计划生育技术服务事故，由计划生育行政部门行使依照本条例有关规定由卫生行政部门承担的受理、交由负责医疗事故技术鉴定工作的医学会组织鉴定和赔偿调解的职能；对发生计划生育技术服务事故的该机构及其有关责任人员，依法进行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非法行医，造成患者人身损害，不属于医疗事故，触犯刑律的，依法追究刑事责任；有关赔偿，由受害人直接向人民法院提起诉讼。</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军队医疗机构的医疗事故处理办法，由中国人民解放军卫生主管部门会同国务院卫生行政部门依据本条例制定。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本条例自２００２年９月１日起施行。１９８７年６月２９日国务院发布的《医疗事故处理办法》同时废止。本条例施行前已经处理结案的医疗事故争议，不再重新处理。</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ascii="宋体" w:hAnsi="宋体" w:eastAsia="宋体" w:cs="Arial"/>
          <w:bCs/>
          <w:sz w:val="44"/>
          <w:szCs w:val="44"/>
        </w:rPr>
      </w:pPr>
      <w:bookmarkStart w:id="236" w:name="_Toc31803"/>
      <w:r>
        <w:rPr>
          <w:rFonts w:hint="eastAsia" w:ascii="宋体" w:hAnsi="宋体" w:eastAsia="宋体" w:cs="Arial"/>
          <w:bCs/>
          <w:sz w:val="44"/>
          <w:szCs w:val="44"/>
        </w:rPr>
        <w:t>医疗机构管理条例</w:t>
      </w:r>
      <w:bookmarkEnd w:id="236"/>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（1994年2月26日中华人民共和国国务院令第149号公布 根据2016年2月6日《国务院关于修改部分行政法规的决定》修订）</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规划布局和设置审批</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登记</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执业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监督管理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为了加强对医疗机构的管理，促进医疗卫生事业的发展，保障公民健康，制定本条例。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本条例适用于从事疾病诊断、治疗活动的医院、卫生院、疗养院、门诊部、诊所、卫生所（室）以及急救站等医疗机构。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医疗机构以救死扶伤，防病治病，为公民的健康服务为宗旨。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国家扶持医疗机构的发展，鼓励多种形式兴办医疗机构。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国务院卫生行政部门负责全国医疗机构的监督管理工作。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县级以上地方人民政府卫生行政部门负责本行政区域内医疗机构的监督管理工作。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中国人民解放军卫生主管部门依照本条例和国家有关规定，对军队的医疗机构实施监督管理。</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规划布局和设置审批</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县级以上地方人民政府卫生行政部门应当根据本行政区域内的人口、医疗资源、医疗需求和现有医疗机构的分布状况，制定本行政区域医疗机构设置规划。</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机关、企业和事业单位可以根据需要设置医疗机构，并纳入当地医疗机构的设置规划。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县级以上地方人民政府应当把医疗机构设置规划纳入当地的区域卫生发展规划和城乡建设发展总体规划。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设置医疗机构应当符合医疗机构设置规划和医疗机构基本标准。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医疗机构基本标准由国务院卫生行政部门制定。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单位或者个人设置医疗机构，必须经县级以上地方人民政府卫生行政部门审查批准，并取得设置医疗机构批准书。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申请设置医疗机构，应当提交下列文件：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（一）设置申请书；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（二）设置可行性研究报告；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（三）选址报告和建筑设计平面图。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单位或者个人设置医疗机构，应当按照以下规定提出设置申请：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（一）不设床位或者床位不满１００张的医疗机构，向所在地的县级人民政府卫生行政部门申请；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（二）床位在１００张以上的医疗机构和专科医院按照省级人民政府卫生行政部门的规定申请。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县级以上地方人民政府卫生行政部门应当自受理设置申请之日起３０日内，作出批准或者不批准的书面答复；批准设置的，发给设置医疗机构批准书。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国家统一规划的医疗机构的设置，由国务院卫生行政部门决定。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机关、企业和事业单位按照国家医疗机构基本标准设置为内部职工服务的门诊部、诊所、卫生所（室），报所在地的县级人民政府卫生行政部门备案。</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登记</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医疗机构执业，必须进行登记，领取《医疗机构执业许可证》。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申请医疗机构执业登记，应当具备下列条件：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（一）有设置医疗机构批准书；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（二）符合医疗机构的基本标准；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（三）有适合的名称、组织机构和场所；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（四）有与其开展的业务相适应的经费、设施、设备和专业卫生技术人员；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（五）有相应的规章制度；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（六）能够独立承担民事责任。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医疗机构的执业登记，由批准其设置的人民政府卫生行政部门办理。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按照本条例第十三条规定设置的医疗机构的执业登记，由所在地的省、自治区、直辖市人民政府卫生行政部门办理。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机关、企业和事业单位设置的为内部职工服务的门诊部、诊所、卫生所（室）的执业登记，由所在地的县级人民政府卫生行政部门办理。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医疗机构执业登记的主要事项：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（一）名称、地址、主要负责人；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（二）所有制形式；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（三）诊疗科目、床位；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（四）注册资金。</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县级以上地方人民政府卫生行政部门自受理执业登记申请之日起４５日内，根据本条例和医疗机构基本标准进行审核。审核合格的，予以登记，发给《医疗机构执业许可证》；审核不合格的，将审核结果以书面形式通知申请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医疗机构改变名称、场所、主要负责人、诊疗科目、床位，必须向原登记机关办理变更登记。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医疗机构歇业，必须向原登记机关办理注销登记。经登记机关核准后，收缴《医疗机构执业许可证》。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医疗机构非因改建、扩建、迁建原因停业超过１年的，视为歇业。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床位不满１００张的医疗机构，其《医疗机构执业许可证》每年校验１次；床位在１００张以上的医疗机构，其《医疗机构执业许可证》每３年校验１次。校验由原登记机关办理。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《医疗机构执业许可证》不得伪造、涂改、出卖、转让、出借。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《医疗机构执业许可证》遗失的，应当及时申明，并向原登记机关申请补发。</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执业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任何单位或者个人，未取得《医疗机构执业许可证》，不得开展诊疗活动。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医疗机构执业，必须遵守有关法律、法规和医疗技术规范。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医疗机构必须将《医疗机构执业许可证》、诊疗科目、诊疗时间和收费标准悬挂于明显处所。</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医疗机构必须按照核准登记的诊疗科目开展诊疗活动。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医疗机构不得使用非卫生技术人员从事医疗卫生技术工作。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医疗机构应当加强对医务人员的医德教育。</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医疗机构工作人员上岗工作，必须佩带载有本人姓名、职务或者职称的标牌。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医疗机构对危重病人应当立即抢救。对限于设备或者技术条件不能诊治的病人，应当及时转诊。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未经医师（士）亲自诊查病人，医疗机构不得出具疾病诊断书、健康证明书或者死亡证明书等证明文件；未经医师（士）、助产人员亲自接产，医疗机构不得出具出生证明书或者死产报告书。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医疗机构施行手术、特殊检查或者特殊治疗时，必须征得患者同意，并应当取得其家属或者关系人同意并签字；无法取得患者意见时，应当取得家属或者关系人同意并签字；无法取得患者意见又无家属或者关系人在场，或者遇到其他特殊情况时，经治医师应当提出医疗处置方案，在取得医疗机构负责人或者被授权负责人员的批准后实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医疗机构发生医疗事故，按照国家有关规定处理。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医疗机构对传染病、精神病、职业病等患者的特殊诊治和处理，应当按照国家有关法律、法规的规定办理。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医疗机构必须按照有关药品管理的法律、法规，加强药品管理。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医疗机构必须按照人民政府或者物价部门的有关规定收取医疗费用，详列细项，并出具收据。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医疗机构必须承担相应的预防保健工作，承担县级以上人民政府卫生行政部门委托的支援农村、指导基层医疗卫生工作等任务。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发生重大灾害、事故、疾病流行或者其他意外情况时，医疗机构及其卫生技术人员必须服从县级以上人民政府卫生行政部门的调遣。</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监督管理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县级以上人民政府卫生行政部门行使下列监督管理职权：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（一）负责医疗机构的设置审批、执业登记和校验；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（二）对医疗机构的执业活动进行检查指导；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（三）负责组织对医疗机构的评审；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（四）对违反本条例的行为给予处罚。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国家实行医疗机构评审制度，由专家组成的评审委员会按照医疗机构评审办法和评审标准，对医疗机构的执业活动、医疗服务质量等进行综合评价。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医疗机构评审办法和评审标准由国务院卫生行政部门制定。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县级以上地方人民政府卫生行政部门负责组织本行政区域医疗机构评审委员会。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医疗机构评审委员会由医院管理、医学教育、医疗、医技、护理和财务等有关专家组成。评审委员会成员由县级以上地方人民政府卫生行政部门聘任。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县级以上地方人民政府卫生行政部门根据评审委员会的评审意见，对达到评审标准的医疗机构，发给评审合格证书；对未达到评审标准的医疗机构，提出处理意见。</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违反本条例第二十四条规定，未取得《医疗机构执业许可证》擅自执业的，由县级以上人民政府卫生行政部门责令其停止执业活动，没收非法所得和药品、器械，并可以根据情节处以１万元以下的罚款。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违反本条例第二十二条规定，逾期不校验《医疗机构执业许可证》仍从事诊疗活动的，由县级以上人民政府卫生行政部门责令其限期补办校验手续；拒不校验的，吊销其《医疗机构执业许可证》。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违反本条例第二十三条规定，出卖、转让、出借《医疗机构执业许可证》的，由县级以上人民政府卫生行政部门没收非法所得，并可以处以５０００元以下的罚款；情节严重的，吊销其《医疗机构执业许可证》。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违反本条例第二十七条规定，诊疗活动超出登记范围的，由县级以上人民政府卫生行政部门予以警告、责令其改正，并可以根据情节处以３０００元以下的罚款；情节严重的，吊销其《医疗机构执业许可证》。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违反本条例第二十八条规定，使用非卫生技术人员从事医疗卫生技术工作的，由县级以上人民政府卫生行政部门责令其限期改正，并可以处以５０００元以下的罚款；情节严重的，吊销其《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违反本条例第三十二条规定，出具虚假证明文件的，由县级以上人民政府卫生行政部门予以警告；对造成危害后果的，可以处以１０００元以下的罚款；对直接责任人员由所在单位或者上级机关给予行政处分。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没收的财物和罚款全部上交国库。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当事人对行政处罚决定不服的，可以依照国家法律、法规的规定申请行政复议或者提起行政诉讼。当事人对罚款及没收药品、器械的处罚决定未在法定期限内申请复议或者提起诉讼又不履行的，县级以上人民政府卫生行政部门可以申请人民法院强制执行。</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本条例实施前已经执业的医疗机构，应当在条例实施后的６个月内，按照本条例第三章的规定，补办登记手续，领取《医疗机构执业许可证》。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外国人在中华人民共和国境内开设医疗机构及香港、澳门、台湾居民在内地开设医疗机构的管理办法，由国务院卫生行政部门另行制定。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本条例由国务院卫生行政部门负责解释。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本条例自１９９４年９月１日起施行。１９５１年政务院批准发布的《医院诊所管理暂行条例》同时废止。</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Arial"/>
          <w:bCs/>
          <w:sz w:val="44"/>
          <w:szCs w:val="44"/>
        </w:rPr>
      </w:pPr>
      <w:bookmarkStart w:id="237" w:name="_Toc29609"/>
      <w:r>
        <w:rPr>
          <w:rFonts w:hint="eastAsia" w:ascii="宋体" w:hAnsi="宋体" w:eastAsia="宋体" w:cs="Arial"/>
          <w:bCs/>
          <w:sz w:val="44"/>
          <w:szCs w:val="44"/>
        </w:rPr>
        <w:t>医疗器械监督管理条例</w:t>
      </w:r>
      <w:bookmarkEnd w:id="237"/>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（2000年1月4日国务院令第276号公布  2014年2月12日国务院第39次常务会议修订通过</w:t>
      </w:r>
      <w:r>
        <w:rPr>
          <w:rFonts w:hint="eastAsia" w:ascii="宋体" w:hAnsi="宋体" w:eastAsia="楷体_GB2312" w:cs="Arial"/>
          <w:szCs w:val="32"/>
          <w:lang w:val="en-US" w:eastAsia="zh-CN"/>
        </w:rPr>
        <w:t xml:space="preserve">  </w:t>
      </w:r>
      <w:r>
        <w:rPr>
          <w:rFonts w:hint="eastAsia" w:ascii="楷体_GB2312" w:hAnsi="楷体_GB2312" w:eastAsia="楷体_GB2312" w:cs="楷体_GB2312"/>
          <w:b w:val="0"/>
          <w:bCs w:val="0"/>
          <w:sz w:val="32"/>
          <w:szCs w:val="32"/>
        </w:rPr>
        <w:t>根据</w:t>
      </w:r>
      <w:r>
        <w:rPr>
          <w:rFonts w:hint="eastAsia" w:ascii="宋体" w:hAnsi="宋体" w:eastAsia="宋体" w:cs="宋体"/>
          <w:sz w:val="32"/>
          <w:szCs w:val="32"/>
        </w:rPr>
        <w:t>2017</w:t>
      </w:r>
      <w:r>
        <w:rPr>
          <w:rFonts w:hint="eastAsia" w:ascii="楷体_GB2312" w:hAnsi="楷体_GB2312" w:eastAsia="楷体_GB2312" w:cs="楷体_GB2312"/>
          <w:b w:val="0"/>
          <w:bCs w:val="0"/>
          <w:sz w:val="32"/>
          <w:szCs w:val="32"/>
        </w:rPr>
        <w:t>年</w:t>
      </w:r>
      <w:r>
        <w:rPr>
          <w:rFonts w:hint="eastAsia" w:ascii="宋体" w:hAnsi="宋体" w:eastAsia="宋体" w:cs="宋体"/>
          <w:sz w:val="32"/>
          <w:szCs w:val="32"/>
        </w:rPr>
        <w:t>5</w:t>
      </w:r>
      <w:r>
        <w:rPr>
          <w:rFonts w:hint="eastAsia" w:ascii="楷体_GB2312" w:hAnsi="楷体_GB2312" w:eastAsia="楷体_GB2312" w:cs="楷体_GB2312"/>
          <w:b w:val="0"/>
          <w:bCs w:val="0"/>
          <w:sz w:val="32"/>
          <w:szCs w:val="32"/>
        </w:rPr>
        <w:t>月</w:t>
      </w:r>
      <w:r>
        <w:rPr>
          <w:rFonts w:hint="eastAsia" w:ascii="宋体" w:hAnsi="宋体" w:eastAsia="宋体" w:cs="宋体"/>
          <w:sz w:val="32"/>
          <w:szCs w:val="32"/>
        </w:rPr>
        <w:t>4</w:t>
      </w:r>
      <w:r>
        <w:rPr>
          <w:rFonts w:hint="eastAsia" w:ascii="楷体_GB2312" w:hAnsi="楷体_GB2312" w:eastAsia="楷体_GB2312" w:cs="楷体_GB2312"/>
          <w:b w:val="0"/>
          <w:bCs w:val="0"/>
          <w:sz w:val="32"/>
          <w:szCs w:val="32"/>
        </w:rPr>
        <w:t>日《国务院关于修改〈医疗器械监督管理条例〉的决定》修订</w:t>
      </w:r>
      <w:r>
        <w:rPr>
          <w:rFonts w:hint="eastAsia" w:ascii="宋体" w:hAnsi="宋体" w:eastAsia="楷体_GB2312" w:cs="Arial"/>
          <w:szCs w:val="32"/>
        </w:rPr>
        <w:t>）</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医疗器械产品注册与备案</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医疗器械生产</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医疗器械经营与使用</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不良事件的处理与医疗器械的召回</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监督检查</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第八章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为了保证医疗器械的安全、有效，保障人体健康和生命安全，制定本条例。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在中华人民共和国境内从事医疗器械的研制、生产、经营、使用活动及其监督管理，应当遵守本条例。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国务院食品药品监督管理部门负责全国医疗器械监督管理工作。国务院有关部门在各自的职责范围内负责与医疗器械有关的监督管理工作。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县级以上地方人民政府食品药品监督管理部门负责本行政区域的医疗器械监督管理工作。县级以上地方人民政府有关部门在各自的职责范围内负责与医疗器械有关的监督管理工作。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国务院食品药品监督管理部门应当配合国务院有关部门，贯彻实施国家医疗器械产业规划和政策。</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国家对医疗器械按照风险程度实行分类管理。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第一类是风险程度低，实行常规管理可以保证其安全、有效的医疗器械。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第二类是具有中度风险，需要严格控制管理以保证其安全、有效的医疗器械。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第三类是具有较高风险，需要采取特别措施严格控制管理以保证其安全、有效的医疗器械。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评价医疗器械风险程度，应当考虑医疗器械的预期目的、结构特征、使用方法等因素。</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负责制定医疗器械的分类规则和分类目录，并根据医疗器械生产、经营、使用情况，及时对医疗器械的风险变化进行分析、评价，对分类目录进行调整。制定、调整分类目录，应当充分听取医疗器械生产经营企业以及使用单位、行业组织的意见，并参考国际医疗器械分类实践。医疗器械分类目录应当向社会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医疗器械的研制应当遵循安全、有效和节约的原则。国家鼓励医疗器械的研究与创新，发挥市场机制的作用，促进医疗器械新技术的推广和应用，推动医疗器械产业的发展。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医疗器械产品应当符合医疗器械强制性国家标准；尚无强制性国家标准的，应当符合医疗器械强制性行业标准。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次性使用的医疗器械目录由国务院食品药品监督管理部门会同国务院卫生计生主管部门制定、调整并公布。重复使用可以保证安全、有效的医疗器械，不列入一次性使用的医疗器械目录。对因设计、生产工艺、消毒灭菌技术等改进后重复使用可以保证安全、有效的医疗器械，应当调整出一次性使用的医疗器械目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医疗器械行业组织应当加强行业自律，推进诚信体系建设，督促企业依法开展生产经营活动，引导企业诚实守信。</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医疗器械产品注册与备案</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第一类医疗器械实行产品备案管理，第二类、第三类医疗器械实行产品注册管理。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第一类医疗器械产品备案和申请第二类、第三类医疗器械产品注册，应当提交下列资料：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（一）产品风险分析资料；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（二）产品技术要求；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（三）产品检验报告；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（四）临床评价资料；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（五）产品说明书及标签样稿；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（六）与产品研制、生产有关的质量管理体系文件；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（七）证明产品安全、有效所需的其他资料。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医疗器械注册申请人、备案人应当对所提交资料的真实性负责。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第一类医疗器械产品备案，由备案人向所在地设区的市级人民政府食品药品监督管理部门提交备案资料。其中，产品检验报告可以是备案人的自检报告；临床评价资料不包括临床试验报告，可以是通过文献、同类产品临床使用获得的数据证明该医疗器械安全、有效的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向我国境内出口第一类医疗器械的境外生产企业，由其在我国境内设立的代表机构或者指定我国境内的企业法人作为代理人，向国务院食品药品监督管理部门提交备案资料和备案人所在国（地区）主管部门准许该医疗器械上市销售的证明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备案资料载明的事项发生变化的，应当向原备案部门变更备案。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申请第二类医疗器械产品注册，注册申请人应当向所在地省、自治区、直辖市人民政府食品药品监督管理部门提交注册申请资料。申请第三类医疗器械产品注册，注册申请人应当向国务院食品药品监督管理部门提交注册申请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向我国境内出口第二类、第三类医疗器械的境外生产企业，应当由其在我国境内设立的代表机构或者指定我国境内的企业法人作为代理人，向国务院食品药品监督管理部门提交注册申请资料和注册申请人所在国（地区）主管部门准许该医疗器械上市销售的证明文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第二类、第三类医疗器械产品注册申请资料中的产品检验报告应当是医疗器械检验机构出具的检验报告；临床评价资料应当包括临床试验报告，但依照本条例第十七条的规定免于进行临床试验的医疗器械除外。</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受理注册申请的食品药品监督管理部门应当自受理之日起3个工作日内将注册申请资料转交技术审评机构。技术审评机构应当在完成技术审评后向食品药品监督管理部门提交审评意见。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受理注册申请的食品药品监督管理部门应当自收到审评意见之日起20个工作日内作出决定。对符合安全、有效要求的，准予注册并发给医疗器械注册证；对不符合要求的，不予注册并书面说明理由。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国务院食品药品监督管理部门在组织对进口医疗器械的技术审评时认为有必要对质量管理体系进行核查的，应当组织质量管理体系检查技术机构开展质量管理体系核查。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已注册的第二类、第三类医疗器械产品，其设计、原材料、生产工艺、适用范围、使用方法等发生实质性变化，有可能影响该医疗器械安全、有效的，注册人应当向原注册部门申请办理变更注册手续；发生非实质性变化，不影响该医疗器械安全、有效的，应当将变化情况向原注册部门备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医疗器械注册证有效期为5年。有效期届满需要延续注册的，应当在有效期届满6个月前向原注册部门提出延续注册的申请。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除有本条第三款规定情形外，接到延续注册申请的食品药品监督管理部门应当在医疗器械注册证有效期届满前作出准予延续的决定。逾期未作决定的，视为准予延续。</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有下列情形之一的，不予延续注册：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（一）注册人未在规定期限内提出延续注册申请的；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（二）医疗器械强制性标准已经修订，申请延续注册的医疗器械不能达到新要求的；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（三）对用于治疗罕见疾病以及应对突发公共卫生事件急需的医疗器械，未在规定期限内完成医疗器械注册证载明事项的。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对新研制的尚未列入分类目录的医疗器械，申请人可以依照本条例有关第三类医疗器械产品注册的规定直接申请产品注册，也可以依据分类规则判断产品类别并向国务院食品药品监督管理部门申请类别确认后依照本条例的规定申请注册或者进行产品备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直接申请第三类医疗器械产品注册的，国务院食品药品监督管理部门应当按照风险程度确定类别，对准予注册的医疗器械及时纳入分类目录。申请类别确认的，国务院食品药品监督管理部门应当自受理申请之日起20个工作日内对该医疗器械的类别进行判定并告知申请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第一类医疗器械产品备案，不需要进行临床试验。申请第二类、第三类医疗器械产品注册，应当进行临床试验；但是，有下列情形之一的，可以免于进行临床试验：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（一）工作机理明确、设计定型，生产工艺成熟，已上市的同品种医疗器械临床应用多年且无严重不良事件记录，不改变常规用途的；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（二）通过非临床评价能够证明该医疗器械安全、有效的；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（三）通过对同品种医疗器械临床试验或者临床使用获得的数据进行分析评价，能够证明该医疗器械安全、有效的。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免于进行临床试验的医疗器械目录由国务院食品药品监督管理部门制定、调整并公布。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开展医疗器械临床试验，应当按照医疗器械临床试验质量管理规范的要求，在有资质的临床试验机构进行，并向临床试验提出者所在地省、自治区、直辖市人民政府食品药品监督管理部门备案。接受临床试验备案的食品药品监督管理部门应当将备案情况通报临床试验机构所在地的同级食品药品监督管理部门和卫生计生主管部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临床试验机构资质认定条件和临床试验质量管理规范，由国务院食品药品监督管理部门会同国务院卫生计生主管部门制定并公布；医疗器械临床试验机构由国务院食品药品监督管理部门会同国务院卫生计生主管部门认定并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第三类医疗器械进行临床试验对人体具有较高风险的，应当经国务院食品药品监督管理部门批准。临床试验对人体具有较高风险的第三类医疗器械目录由国务院食品药品监督管理部门制定、调整并公布。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审批临床试验，应当对拟承担医疗器械临床试验的机构的设备、专业人员等条件，该医疗器械的风险程度，临床试验实施方案，临床受益与风险对比分析报告等进行综合分析。准予开展临床试验的，应当通报临床试验提出者以及临床试验机构所在地省、自治区、直辖市人民政府食品药品监督管理部门和卫生计生主管部门。</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医疗器械生产</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从事医疗器械生产活动，应当具备下列条件：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（一）有与生产的医疗器械相适应的生产场地、环境条件、生产设备以及专业技术人员；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（二）有对生产的医疗器械进行质量检验的机构或者专职检验人员以及检验设备；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（三）有保证医疗器械质量的管理制度；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（四）有与生产的医疗器械相适应的售后服务能力；</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（五）产品研制、生产工艺文件规定的要求。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从事第一类医疗器械生产的，由生产企业向所在地设区的市级人民政府食品药品监督管理部门备案并提交其符合本条例第二十条规定条件的证明资料。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从事第二类、第三类医疗器械生产的，生产企业应当向所在地省、自治区、直辖市人民政府食品药品监督管理部门申请生产许可并提交其符合本条例第二十条规定条件的证明资料以及所生产医疗器械的注册证。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理生产许可申请的食品药品监督管理部门应当自受理之日起30个工作日内对申请资料进行审核，按照国务院食品药品监督管理部门制定的医疗器械生产质量管理规范的要求进行核查。对符合规定条件的，准予许可并发给医疗器械生产许可证；对不符合规定条件的，不予许可并书面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医疗器械生产许可证有效期为5年。有效期届满需要延续的，依照有关行政许可的法律规定办理延续手续。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医疗器械生产质量管理规范应当对医疗器械的设计开发、生产设备条件、原材料采购、生产过程控制、企业的机构设置和人员配备等影响医疗器械安全、有效的事项作出明确规定。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医疗器械生产企业应当按照医疗器械生产质量管理规范的要求，建立健全与所生产医疗器械相适应的质量管理体系并保证其有效运行；严格按照经注册或者备案的产品技术要求组织生产，保证出厂的医疗器械符合强制性标准以及经注册或者备案的产品技术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医疗器械生产企业应当定期对质量管理体系的运行情况进行自查，并向所在地省、自治区、直辖市人民政府食品药品监督管理部门提交自查报告。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医疗器械生产企业的生产条件发生变化，不再符合医疗器械质量管理体系要求的，医疗器械生产企业应当立即采取整改措施；可能影响医疗器械安全、有效的，应当立即停止生产活动，并向所在地县级人民政府食品药品监督管理部门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医疗器械应当使用通用名称。通用名称应当符合国务院食品药品监督管理部门制定的医疗器械命名规则。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医疗器械应当有说明书、标签。说明书、标签的内容应当与经注册或者备案的相关内容一致。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医疗器械的说明书、标签应当标明下列事项：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（一）通用名称、型号、规格；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（二）生产企业的名称和住所、生产地址及联系方式；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（三）产品技术要求的编号；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（四）生产日期和使用期限或者失效日期；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（五）产品性能、主要结构、适用范围；</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（六）禁忌症、注意事项以及其他需要警示或者提示的内容；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（七）安装和使用说明或者图示；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（八）维护和保养方法，特殊储存条件、方法；</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（九）产品技术要求规定应当标明的其他内容。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第二类、第三类医疗器械还应当标明医疗器械注册证编号和医疗器械注册人的名称、地址及联系方式。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由消费者个人自行使用的医疗器械还应当具有安全使用的特别说明。</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委托生产医疗器械，由委托方对所委托生产的医疗器械质量负责。受托方应当是符合本条例规定、具备相应生产条件的医疗器械生产企业。委托方应当加强对受托方生产行为的管理，保证其按照法定要求进行生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具有高风险的植入性医疗器械不得委托生产，具体目录由国务院食品药品监督管理部门制定、调整并公布。</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医疗器械经营与使用</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从事医疗器械经营活动，应当有与经营规模和经营范围相适应的经营场所和贮存条件，以及与经营的医疗器械相适应的质量管理制度和质量管理机构或者人员。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从事第二类医疗器械经营的，由经营企业向所在地设区的市级人民政府食品药品监督管理部门备案并提交其符合本条例第二十九条规定条件的证明资料。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从事第三类医疗器械经营的，经营企业应当向所在地设区的市级人民政府食品药品监督管理部门申请经营许可并提交其符合本条例第二十九条规定条件的证明资料。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受理经营许可申请的食品药品监督管理部门应当自受理之日起30个工作日内进行审查，必要时组织核查。对符合规定条件的，准予许可并发给医疗器械经营许可证；对不符合规定条件的，不予许可并书面说明理由。</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医疗器械经营许可证有效期为5年。有效期届满需要延续的，依照有关行政许可的法律规定办理延续手续。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医疗器械经营企业、使用单位购进医疗器械，应当查验供货者的资质和医疗器械的合格证明文件，建立进货查验记录制度。从事第二类、第三类医疗器械批发业务以及第三类医疗器械零售业务的经营企业，还应当建立销售记录制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记录事项包括：</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（一）医疗器械的名称、型号、规格、数量；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（二）医疗器械的生产批号、有效期、销售日期；</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（三）生产企业的名称；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（四）供货者或者购货者的名称、地址及联系方式；</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（五）相关许可证明文件编号等。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进货查验记录和销售记录应当真实，并按照国务院食品药品监督管理部门规定的期限予以保存。国家鼓励采用先进技术手段进行记录。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运输、贮存医疗器械，应当符合医疗器械说明书和标签标示的要求；对温度、湿度等环境条件有特殊要求的，应当采取相应措施，保证医疗器械的安全、有效。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医疗器械使用单位应当有与在用医疗器械品种、数量相适应的贮存场所和条件。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医疗器械使用单位应当加强对工作人员的技术培训，按照产品说明书、技术操作规范等要求使用医疗器械。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医疗器械使用单位对重复使用的医疗器械，应当按照国务院卫生计生主管部门制定的消毒和管理的规定进行处理。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一次性使用的医疗器械不得重复使用，对使用过的应当按照国家有关规定销毁并记录。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医疗器械使用单位对需要定期检查、检验、校准、保养、维护的医疗器械，应当按照产品说明书的要求进行检查、检验、校准、保养、维护并予以记录，及时进行分析、评估，确保医疗器械处于良好状态，保障使用质量；对使用期限长的大型医疗器械，应当逐台建立使用档案，记录其使用、维护、转让、实际使用时间等事项。记录保存期限不得少于医疗器械规定使用期限终止后5年。</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医疗器械使用单位应当妥善保存购入第三类医疗器械的原始资料，并确保信息具有可追溯性。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使用大型医疗器械以及植入和介入类医疗器械的，应当将医疗器械的名称、关键性技术参数等信息以及与使用质量安全密切相关的必要信息记载到病历等相关记录中。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发现使用的医疗器械存在安全隐患的，医疗器械使用单位应当立即停止使用，并通知生产企业或者其他负责产品质量的机构进行检修；经检修仍不能达到使用安全标准的医疗器械，不得继续使用。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食品药品监督管理部门和卫生计生主管部门依据各自职责，分别对使用环节的医疗器械质量和医疗器械使用行为进行监督管理。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医疗器械经营企业、使用单位不得经营、使用未依法注册、无合格证明文件以及过期、失效、淘汰的医疗器械。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医疗器械使用单位之间转让在用医疗器械，转让方应当确保所转让的医疗器械安全、有效，不得转让过期、失效、淘汰以及检验不合格的医疗器械。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进口的医疗器械应当是依照本条例第二章的规定已注册或者已备案的医疗器械。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进口的医疗器械应当有中文说明书、中文标签。说明书、标签应当符合本条例规定以及相关强制性标准的要求，并在说明书中载明医疗器械的原产地以及代理人的名称、地址、联系方式。没有中文说明书、中文标签或者说明书、标签不符合本条规定的，不得进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出入境检验检疫机构依法对进口的医疗器械实施检验；检验不合格的，不得进口。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务院食品药品监督管理部门应当及时向国家出入境检验检疫部门通报进口医疗器械的注册和备案情况。进口口岸所在地出入境检验检疫机构应当及时向所在地设区的市级人民政府食品药品监督管理部门通报进口医疗器械的通关情况。</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出口医疗器械的企业应当保证其出口的医疗器械符合进口国（地区）的要求。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医疗器械广告应当真实合法，不得含有虚假、夸大、误导性的内容。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广告应当经医疗器械生产企业或者进口医疗器械代理人所在地省、自治区、直辖市人民政府食品药品监督管理部门审查批准，并取得医疗器械广告批准文件。广告发布者发布医疗器械广告，应当事先核查广告的批准文件及其真实性；不得发布未取得批准文件、批准文件的真实性未经核实或者广告内容与批准文件不一致的医疗器械广告。省、自治区、直辖市人民政府食品药品监督管理部门应当公布并及时更新已经批准的医疗器械广告目录以及批准的广告内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省级以上人民政府食品药品监督管理部门责令暂停生产、销售、进口和使用的医疗器械，在暂停期间不得发布涉及该医疗器械的广告。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医疗器械广告的审查办法由国务院食品药品监督管理部门会同国务院工商行政管理部门制定。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不良事件的处理与医疗器械的召回</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国家建立医疗器械不良事件监测制度，对医疗器械不良事件及时进行收集、分析、评价、控制。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医疗器械生产经营企业、使用单位应当对所生产经营或者使用的医疗器械开展不良事件监测；发现医疗器械不良事件或者可疑不良事件，应当按照国务院食品药品监督管理部门的规定，向医疗器械不良事件监测技术机构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任何单位和个人发现医疗器械不良事件或者可疑不良事件，有权向食品药品监督管理部门或者医疗器械不良事件监测技术机构报告。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国务院食品药品监督管理部门应当加强医疗器械不良事件监测信息网络建设。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不良事件监测技术机构应当加强医疗器械不良事件信息监测，主动收集不良事件信息；发现不良事件或者接到不良事件报告的，应当及时进行核实、调查、分析，对不良事件进行评估，并向食品药品监督管理部门和卫生计生主管部门提出处理建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医疗器械不良事件监测技术机构应当公布联系方式，方便医疗器械生产经营企业、使用单位等报告医疗器械不良事件。</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食品药品监督管理部门应当根据医疗器械不良事件评估结果及时采取发布警示信息以及责令暂停生产、销售、进口和使用等控制措施。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省级以上人民政府食品药品监督管理部门应当会同同级卫生计生主管部门和相关部门组织对引起突发、群发的严重伤害或者死亡的医疗器械不良事件及时进行调查和处理，并组织对同类医疗器械加强监测。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医疗器械生产经营企业、使用单位应当对医疗器械不良事件监测技术机构、食品药品监督管理部门开展的医疗器械不良事件调查予以配合。</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有下列情形之一的，省级以上人民政府食品药品监督管理部门应当对已注册的医疗器械组织开展再评价：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（一）根据科学研究的发展，对医疗器械的安全、有效有认识上的改变的；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（二）医疗器械不良事件监测、评估结果表明医疗器械可能存在缺陷的；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（三）国务院食品药品监督管理部门规定的其他需要进行再评价的情形。</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再评价结果表明已注册的医疗器械不能保证安全、有效的，由原发证部门注销医疗器械注册证，并向社会公布。被注销医疗器械注册证的医疗器械不得生产、进口、经营、使用。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医疗器械生产企业发现其生产的医疗器械不符合强制性标准、经注册或者备案的产品技术要求或者存在其他缺陷的，应当立即停止生产，通知相关生产经营企业、使用单位和消费者停止经营和使用，召回已经上市销售的医疗器械，采取补救、销毁等措施，记录相关情况，发布相关信息，并将医疗器械召回和处理情况向食品药品监督管理部门和卫生计生主管部门报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经营企业发现其经营的医疗器械存在前款规定情形的，应当立即停止经营，通知相关生产经营企业、使用单位、消费者，并记录停止经营和通知情况。医疗器械生产企业认为属于依照前款规定需要召回的医疗器械，应当立即召回。</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医疗器械生产经营企业未依照本条规定实施召回或者停止经营的，食品药品监督管理部门可以责令其召回或者停止经营。</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监督检查</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食品药品监督管理部门应当对医疗器械的注册、备案、生产、经营、使用活动加强监督检查，并对下列事项进行重点监督检查：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（一）医疗器械生产企业是否按照经注册或者备案的产品技术要求组织生产；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（二）医疗器械生产企业的质量管理体系是否保持有效运行；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（三）医疗器械生产经营企业的生产经营条件是否持续符合法定要求。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食品药品监督管理部门在监督检查中有下列职权：</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（一）进入现场实施检查、抽取样品；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（二）查阅、复制、查封、扣押有关合同、票据、账簿以及其他有关资料；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（三）查封、扣押不符合法定要求的医疗器械，违法使用的零配件、原材料以及用于违法生产医疗器械的工具、设备；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（四）查封违反本条例规定从事医疗器械生产经营活动的场所。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食品药品监督管理部门进行监督检查，应当出示执法证件，保守被检查单位的商业秘密。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有关单位和个人应当对食品药品监督管理部门的监督检查予以配合，不得隐瞒有关情况。</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对人体造成伤害或者有证据证明可能危害人体健康的医疗器械，食品药品监督管理部门可以采取暂停生产、进口、经营、使用的紧急控制措施。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食品药品监督管理部门应当加强对医疗器械生产经营企业和使用单位生产、经营、使用的医疗器械的抽查检验。抽查检验不得收取检验费和其他任何费用，所需费用纳入本级政府预算。</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省级以上人民政府食品药品监督管理部门应当根据抽查检验结论及时发布医疗器械质量公告。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医疗器械检验机构资质认定工作按照国家有关规定实行统一管理。经国务院认证认可监督管理部门会同国务院食品药品监督管理部门认定的检验机构，方可对医疗器械实施检验。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食品药品监督管理部门在执法工作中需要对医疗器械进行检验的，应当委托有资质的医疗器械检验机构进行，并支付相关费用。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当事人对检验结论有异议的，可以自收到检验结论之日起7个工作日内选择有资质的医疗器械检验机构进行复检。承担复检工作的医疗器械检验机构应当在国务院食品药品监督管理部门规定的时间内作出复检结论。复检结论为最终检验结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对可能存在有害物质或者擅自改变医疗器械设计、原材料和生产工艺并存在安全隐患的医疗器械，按照医疗器械国家标准、行业标准规定的检验项目和检验方法无法检验的，医疗器械检验机构可以补充检验项目和检验方法进行检验；使用补充检验项目、检验方法得出的检验结论，经国务院食品药品监督管理部门批准，可以作为食品药品监督管理部门认定医疗器械质量的依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设区的市级和县级人民政府食品药品监督管理部门应当加强对医疗器械广告的监督检查；发现未经批准、篡改经批准的广告内容的医疗器械广告，应当向所在地省、自治区、直辖市人民政府食品药品监督管理部门报告，由其向社会公告。</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商行政管理部门应当依照有关广告管理的法律、行政法规的规定，对医疗器械广告进行监督检查，查处违法行为。食品药品监督管理部门发现医疗器械广告违法发布行为，应当提出处理建议并按照有关程序移交所在地同级工商行政管理部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国务院食品药品监督管理部门建立统一的医疗器械监督管理信息平台。食品药品监督管理部门应当通过信息平台依法及时公布医疗器械许可、备案、抽查检验、违法行为查处情况等日常监督管理信息。但是，不得泄露当事人的商业秘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食品药品监督管理部门对医疗器械注册人和备案人、生产经营企业、使用单位建立信用档案，对有不良信用记录的增加监督检查频次。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食品药品监督管理等部门应当公布本单位的联系方式，接受咨询、投诉、举报。食品药品监督管理等部门接到与医疗器械监督管理有关的咨询，应当及时答复；接到投诉、举报，应当及时核实、处理、答复。对咨询、投诉、举报情况及其答复、核实、处理情况，应当予以记录、保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有关医疗器械研制、生产、经营、使用行为的举报经调查属实的，食品药品监督管理等部门对举报人应当给予奖励。</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国务院食品药品监督管理部门制定、调整、修改本条例规定的目录以及与医疗器械监督管理有关的规范，应当公开征求意见；采取听证会、论证会等形式，听取专家、医疗器械生产经营企业和使用单位、消费者以及相关组织等方面的意见。</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有下列情形之一的，由县级以上人民政府食品药品监督管理部门没收违法所得、违法生产经营的医疗器械和用于违法生产经营的工具、设备、原材料等物品；违法生产经营的医疗器械货值金额不足1万元的，并处5万元以上10万元以下罚款；货值金额1万元以上的，并处货值金额10倍以上20倍以下罚款；情节严重的，5年内不受理相关责任人及企业提出的医疗器械许可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（一）生产、经营未取得医疗器械注册证的第二类、第三类医疗器械的；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（二）未经许可从事第二类、第三类医疗器械生产活动的；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（三）未经许可从事第三类医疗器械经营活动的。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有前款第一项情形、情节严重的，由原发证部门吊销医疗器械生产许可证或者医疗器械经营许可证。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第六十四条　</w:t>
      </w:r>
      <w:r>
        <w:rPr>
          <w:rFonts w:hint="eastAsia" w:ascii="宋体" w:hAnsi="宋体" w:cs="Arial"/>
          <w:kern w:val="0"/>
          <w:szCs w:val="32"/>
        </w:rPr>
        <w:t>提供虚假资料或者采取其他欺骗手段取得医疗器械注册证、医疗器械生产许可证、医疗器械经营许可证、广告批准文件等许可证件的，由原发证部门撤销已经取得的许可证件，并处5万元以上10万元以下罚款，5年内不受理相关责任人及企业提出的医疗器械许可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伪造、变造、买卖、出租、出借相关医疗器械许可证件的，由原发证部门予以收缴或者吊销，没收违法所得；违法所得不足1万元的，处1万元以上3万元以下罚款；违法所得1万元以上的，处违法所得3倍以上5倍以下罚款；构成违反治安管理行为的，由公安机关依法予以治安管理处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第六十五条　</w:t>
      </w:r>
      <w:r>
        <w:rPr>
          <w:rFonts w:hint="eastAsia" w:ascii="宋体" w:hAnsi="宋体" w:cs="Arial"/>
          <w:kern w:val="0"/>
          <w:szCs w:val="32"/>
        </w:rPr>
        <w:t>未依照本条例规定备案的，由县级以上人民政府食品药品监督管理部门责令限期改正；逾期不改正的，向社会公告未备案单位和产品名称，可以处1万元以下罚款。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备案时提供虚假资料的，由县级以上人民政府食品药品监督管理部门向社会公告备案单位和产品名称；情节严重的，直接责任人员5年内不得从事医疗器械生产经营活动。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第六十六条　</w:t>
      </w:r>
      <w:r>
        <w:rPr>
          <w:rFonts w:hint="eastAsia" w:ascii="宋体" w:hAnsi="宋体" w:cs="Arial"/>
          <w:kern w:val="0"/>
          <w:szCs w:val="32"/>
        </w:rPr>
        <w:t>有下列情形之一的，由县级以上人民政府食品药品监督管理部门责令改正，没收违法生产、经营或者使用的医疗器械；违法生产、经营或者使用的医疗器械货值金额不足1万元的，并处2万元以上5万元以下罚款；货值金额1万元以上的，并处货值金额5倍以上10倍以下罚款；情节严重的，责令停产停业，直至由原发证部门吊销医疗器械注册证、医疗器械生产许可证、医疗器械经营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（一）生产、经营、使用不符合强制性标准或者不符合经注册或者备案的产品技术要求的医疗器械的；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（二）医疗器械生产企业未按照经注册或者备案的产品技术要求组织生产，或者未依照本条例规定建立质量管理体系并保持有效运行的；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（三）经营、使用无合格证明文件、过期、失效、淘汰的医疗器械，或者使用未依法注册的医疗器械的；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（四）食品药品监督管理部门责令其依照本条例规定实施召回或者停止经营后，仍拒不召回或者停止经营医疗器械的；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（五）委托不具备本条例规定条件的企业生产医疗器械，或者未对受托方的生产行为进行管理的。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第六十七条　</w:t>
      </w:r>
      <w:r>
        <w:rPr>
          <w:rFonts w:hint="eastAsia" w:ascii="宋体" w:hAnsi="宋体" w:cs="Arial"/>
          <w:kern w:val="0"/>
          <w:szCs w:val="32"/>
        </w:rPr>
        <w:t>有下列情形之一的，由县级以上人民政府食品药品监督管理部门责令改正，处1万元以上3万元以下罚款；情节严重的，责令停产停业，直至由原发证部门吊销医疗器械生产许可证、医疗器械经营许可证：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（一）医疗器械生产企业的生产条件发生变化、不再符合医疗器械质量管理体系要求，未依照本条例规定整改、停止生产、报告的；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（二）生产、经营说明书、标签不符合本条例规定的医疗器械的；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（三）未按照医疗器械说明书和标签标示要求运输、贮存医疗器械的；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（四）转让过期、失效、淘汰或者检验不合格的在用医疗器械的。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第六十八条　</w:t>
      </w:r>
      <w:r>
        <w:rPr>
          <w:rFonts w:hint="eastAsia" w:ascii="宋体" w:hAnsi="宋体" w:cs="Arial"/>
          <w:kern w:val="0"/>
          <w:szCs w:val="32"/>
        </w:rPr>
        <w:t>有下列情形之一的，由县级以上人民政府食品药品监督管理部门和卫生计生主管部门依据各自职责责令改正，给予警告；拒不改正的，处5000元以上2万元以下罚款；情节严重的，责令停产停业，直至由原发证部门吊销医疗器械生产许可证、医疗器械经营许可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（一）医疗器械生产企业未按照要求提交质量管理体系自查报告的；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（二）医疗器械经营企业、使用单位未依照本条例规定建立并执行医疗器械进货查验记录制度的；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（三）从事第二类、第三类医疗器械批发业务以及第三类医疗器械零售业务的经营企业未依照本条例规定建立并执行销售记录制度的；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（四）对重复使用的医疗器械，医疗器械使用单位未按照消毒和管理的规定进行处理的；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（五）医疗器械使用单位重复使用一次性使用的医疗器械，或者未按照规定销毁使用过的一次性使用的医疗器械的；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（六）对需要定期检查、检验、校准、保养、维护的医疗器械，医疗器械使用单位未按照产品说明书要求检查、检验、校准、保养、维护并予以记录，及时进行分析、评估，确保医疗器械处于良好状态的；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（七）医疗器械使用单位未妥善保存购入第三类医疗器械的原始资料，或者未按照规定将大型医疗器械以及植入和介入类医疗器械的信息记载到病历等相关记录中的；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（八）医疗器械使用单位发现使用的医疗器械存在安全隐患未立即停止使用、通知检修，或者继续使用经检修仍不能达到使用安全标准的医疗器械的；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九）医疗器械生产经营企业、使用单位未依照本条例规定开展医疗器械不良事件监测，未按照要求报告不良事件，或者对医疗器械不良事件监测技术机构、食品药品监督管理部门开展的不良事件调查不予配合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第六十九条　</w:t>
      </w:r>
      <w:r>
        <w:rPr>
          <w:rFonts w:hint="eastAsia" w:ascii="宋体" w:hAnsi="宋体" w:cs="Arial"/>
          <w:kern w:val="0"/>
          <w:szCs w:val="32"/>
        </w:rPr>
        <w:t>违反本条例规定开展医疗器械临床试验的，由县级以上人民政府食品药品监督管理部门责令改正或者立即停止临床试验，可以处5万元以下罚款；造成严重后果的，依法对直接负责的主管人员和其他直接责任人员给予降级、撤职或者开除的处分；有医疗器械临床试验机构资质的，由授予其资质的主管部门撤销医疗器械临床试验机构资质，5年内不受理其资质认定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临床试验机构出具虚假报告的，由授予其资质的主管部门撤销医疗器械临床试验机构资质，10年内不受理其资质认定申请；由县级以上人民政府食品药品监督管理部门处5万元以上10万元以下罚款；有违法所得的，没收违法所得；对直接负责的主管人员和其他直接责任人员，依法给予撤职或者开除的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第七十条　</w:t>
      </w:r>
      <w:r>
        <w:rPr>
          <w:rFonts w:hint="eastAsia" w:ascii="宋体" w:hAnsi="宋体" w:cs="Arial"/>
          <w:kern w:val="0"/>
          <w:szCs w:val="32"/>
        </w:rPr>
        <w:t>医疗器械检验机构出具虚假检验报告的，由授予其资质的主管部门撤销检验资质，10年内不受理其资质认定申请；处5万元以上10万元以下罚款；有违法所得的，没收违法所得；对直接负责的主管人员和其他直接责任人员，依法给予撤职或者开除的处分；受到开除处分的，自处分决定作出之日起10年内不得从事医疗器械检验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第七十一条　</w:t>
      </w:r>
      <w:r>
        <w:rPr>
          <w:rFonts w:hint="eastAsia" w:ascii="宋体" w:hAnsi="宋体" w:cs="Arial"/>
          <w:kern w:val="0"/>
          <w:szCs w:val="32"/>
        </w:rPr>
        <w:t>违反本条例规定，发布未取得批准文件的医疗器械广告，未事先核实批准文件的真实性即发布医疗器械广告，或者发布广告内容与批准文件不一致的医疗器械广告的，由工商行政管理部门依照有关广告管理的法律、行政法规的规定给予处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篡改经批准的医疗器械广告内容的，由原发证部门撤销该医疗器械的广告批准文件，2年内不受理其广告审批申请。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布虚假医疗器械广告的，由省级以上人民政府食品药品监督管理部门决定暂停销售该医疗器械，并向社会公布；仍然销售该医疗器械的，由县级以上人民政府食品药品监督管理部门没收违法销售的医疗器械，并处2万元以上5万元以下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第七十二条　</w:t>
      </w:r>
      <w:r>
        <w:rPr>
          <w:rFonts w:hint="eastAsia" w:ascii="宋体" w:hAnsi="宋体" w:cs="Arial"/>
          <w:kern w:val="0"/>
          <w:szCs w:val="32"/>
        </w:rPr>
        <w:t>医疗器械技术审评机构、医疗器械不良事件监测技术机构未依照本条例规定履行职责，致使审评、监测工作出现重大失误的，由县级以上人民政府食品药品监督管理部门责令改正，通报批评，给予警告；造成严重后果的，对直接负责的主管人员和其他直接责任人员，依法给予降级、撤职或者开除的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第七十三条　</w:t>
      </w:r>
      <w:r>
        <w:rPr>
          <w:rFonts w:hint="eastAsia" w:ascii="宋体" w:hAnsi="宋体" w:cs="Arial"/>
          <w:kern w:val="0"/>
          <w:szCs w:val="32"/>
        </w:rPr>
        <w:t>食品药品监督管理部门及其工作人员应当严格依照本条例规定的处罚种类和幅度，根据违法行为的性质和具体情节行使行政处罚权，具体办法由国务院食品药品监督管理部门制定。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第七十四条　</w:t>
      </w:r>
      <w:r>
        <w:rPr>
          <w:rFonts w:hint="eastAsia" w:ascii="宋体" w:hAnsi="宋体" w:cs="Arial"/>
          <w:kern w:val="0"/>
          <w:szCs w:val="32"/>
        </w:rPr>
        <w:t>违反本条例规定，县级以上人民政府食品药品监督管理部门或者其他有关部门不履行医疗器械监督管理职责或者滥用职权、玩忽职守、徇私舞弊的，由监察机关或者任免机关对直接负责的主管人员和其他直接责任人员依法给予警告、记过或者记大过的处分；造成严重后果的，给予降级、撤职或者开除的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第七十五条　</w:t>
      </w:r>
      <w:r>
        <w:rPr>
          <w:rFonts w:hint="eastAsia" w:ascii="宋体" w:hAnsi="宋体" w:cs="Arial"/>
          <w:kern w:val="0"/>
          <w:szCs w:val="32"/>
        </w:rPr>
        <w:t>违反本条例规定，构成犯罪的，依法追究刑事责任；造成人身、财产或者其他损害的，依法承担赔偿责任。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第八章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第七十六条　</w:t>
      </w:r>
      <w:r>
        <w:rPr>
          <w:rFonts w:hint="eastAsia" w:ascii="宋体" w:hAnsi="宋体" w:cs="Arial"/>
          <w:kern w:val="0"/>
          <w:szCs w:val="32"/>
        </w:rPr>
        <w:t>本条例下列用语的含义：</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是指直接或者间接用于人体的仪器、设备、器具、体外诊断试剂及校准物、材料以及其他类似或者相关的物品，包括所需要的计算机软件；其效用主要通过物理等方式获得，不是通过药理学、免疫学或者代谢的方式获得，或者虽然有这些方式参与但是只起辅助作用；其目的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（一）疾病的诊断、预防、监护、治疗或者缓解；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（二）损伤的诊断、监护、治疗、缓解或者功能补偿；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（三）生理结构或者生理过程的检验、替代、调节或者支持；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（四）生命的支持或者维持；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（五）妊娠控制；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（六）通过对来自人体的样本进行检查，为医疗或者诊断目的提供信息。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器械使用单位，是指使用医疗器械为他人提供医疗等技术服务的机构，包括取得医疗机构执业许可证的医疗机构，取得计划生育技术服务机构执业许可证的计划生育技术服务机构，以及依法不需要取得医疗机构执业许可证的血站、单采血浆站、康复辅助器具适配机构等。</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第七十七条　</w:t>
      </w:r>
      <w:r>
        <w:rPr>
          <w:rFonts w:hint="eastAsia" w:ascii="宋体" w:hAnsi="宋体" w:cs="Arial"/>
          <w:kern w:val="0"/>
          <w:szCs w:val="32"/>
        </w:rPr>
        <w:t>医疗器械产品注册可以收取费用。具体收费项目、标准分别由国务院财政、价格主管部门按照国家有关规定制定。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第七十八条　</w:t>
      </w:r>
      <w:r>
        <w:rPr>
          <w:rFonts w:hint="eastAsia" w:ascii="宋体" w:hAnsi="宋体" w:cs="Arial"/>
          <w:kern w:val="0"/>
          <w:szCs w:val="32"/>
        </w:rPr>
        <w:t>非营利的避孕医疗器械管理办法以及医疗卫生机构为应对突发公共卫生事件而研制的医疗器械的管理办法，由国务院食品药品监督管理部门会同国务院卫生计生主管部门制定。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医医疗器械的管理办法，由国务院食品药品监督管理部门会同国务院中医药管理部门依据本条例的规定制定；康复辅助器具类医疗器械的范围及其管理办法，由国务院食品药品监督管理部门会同国务院民政部门依据本条例的规定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第七十九条　</w:t>
      </w:r>
      <w:r>
        <w:rPr>
          <w:rFonts w:hint="eastAsia" w:ascii="宋体" w:hAnsi="宋体" w:cs="Arial"/>
          <w:kern w:val="0"/>
          <w:szCs w:val="32"/>
        </w:rPr>
        <w:t>军队医疗器械使用的监督管理，由军队卫生主管部门依据本条例和军队有关规定组织实施。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第八十条　</w:t>
      </w:r>
      <w:r>
        <w:rPr>
          <w:rFonts w:hint="eastAsia" w:ascii="宋体" w:hAnsi="宋体" w:cs="Arial"/>
          <w:kern w:val="0"/>
          <w:szCs w:val="32"/>
        </w:rPr>
        <w:t>本条例自2014年6月1日起施行。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overflowPunct w:val="0"/>
        <w:spacing w:beforeAutospacing="0" w:afterAutospacing="0" w:line="560" w:lineRule="exact"/>
        <w:jc w:val="center"/>
        <w:textAlignment w:val="auto"/>
        <w:outlineLvl w:val="0"/>
        <w:rPr>
          <w:rFonts w:hint="eastAsia" w:ascii="宋体" w:hAnsi="宋体" w:eastAsia="宋体" w:cs="Arial"/>
          <w:bCs/>
          <w:sz w:val="44"/>
          <w:szCs w:val="44"/>
        </w:rPr>
      </w:pPr>
      <w:bookmarkStart w:id="238" w:name="_Toc22667"/>
      <w:r>
        <w:rPr>
          <w:rFonts w:hint="eastAsia" w:ascii="宋体" w:hAnsi="宋体" w:eastAsia="宋体" w:cs="Arial"/>
          <w:bCs/>
          <w:sz w:val="44"/>
          <w:szCs w:val="44"/>
        </w:rPr>
        <w:t>医疗废物管理条例</w:t>
      </w:r>
      <w:bookmarkEnd w:id="238"/>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ascii="宋体" w:hAnsi="宋体" w:cs="Arial"/>
          <w:szCs w:val="32"/>
        </w:rPr>
      </w:pPr>
      <w:r>
        <w:rPr>
          <w:rFonts w:hint="eastAsia" w:ascii="宋体" w:hAnsi="宋体" w:eastAsia="楷体_GB2312" w:cs="Arial"/>
          <w:szCs w:val="32"/>
        </w:rPr>
        <w:t>（2003年6月16日中华人民共和国国务院令第3</w:t>
      </w:r>
      <w:r>
        <w:rPr>
          <w:rFonts w:hint="eastAsia" w:ascii="宋体" w:hAnsi="宋体" w:eastAsia="楷体_GB2312" w:cs="Arial"/>
          <w:szCs w:val="32"/>
          <w:lang w:val="en-US" w:eastAsia="zh-CN"/>
        </w:rPr>
        <w:t>80</w:t>
      </w:r>
      <w:r>
        <w:rPr>
          <w:rFonts w:hint="eastAsia" w:ascii="宋体" w:hAnsi="宋体" w:eastAsia="楷体_GB2312" w:cs="Arial"/>
          <w:szCs w:val="32"/>
        </w:rPr>
        <w:t>号公布  根据2011年1月8日《国务院关于废止和修改部分行政法规的决定》修</w:t>
      </w:r>
      <w:r>
        <w:rPr>
          <w:rFonts w:hint="eastAsia" w:ascii="宋体" w:hAnsi="宋体" w:eastAsia="楷体_GB2312" w:cs="Arial"/>
          <w:szCs w:val="32"/>
          <w:lang w:val="en-US" w:eastAsia="zh-CN"/>
        </w:rPr>
        <w:t>订</w:t>
      </w:r>
      <w:r>
        <w:rPr>
          <w:rFonts w:hint="eastAsia" w:ascii="宋体" w:hAnsi="宋体" w:eastAsia="楷体_GB2312" w:cs="Arial"/>
          <w:szCs w:val="32"/>
        </w:rPr>
        <w:t>）</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医疗废物管理的一般规定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医疗卫生机构对医疗废物的管理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医疗废物的集中处置</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监督管理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第六章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为了加强医疗废物的安全管理，防止疾病传播，保护环境，保障人体健康，根据《中华人民共和国传染病防治法》和《中华人民共和国固体废物污染环境防治法》，制定本条例。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本条例所称医疗废物，是指医疗卫生机构在医疗、预防、保健以及其他相关活动中产生的具有直接或者间接感染性、毒性以及其他危害性的废物。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医疗废物分类目录，由国务院卫生行政主管部门和环境保护行政主管部门共同制定、公布。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本条例适用于医疗废物的收集、运送、贮存、处置以及监督管理等活动。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收治的传染病病人或者疑似传染病病人产生的生活垃圾，按照医疗废物进行管理和处置。医疗卫生机构废弃的麻醉、精神、放射性、毒性等药品及其相关的废物的管理，依照有关法律、行政法规和国家有关规定、标准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国家推行医疗废物集中无害化处置，鼓励有关医疗废物安全处置技术的研究与开发。</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县级以上地方人民政府负责组织建设医疗废物集中处置设施。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国家对边远贫困地区建设医疗废物集中处置设施给予适当的支持。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县级以上各级人民政府卫生行政主管部门，对医疗废物收集、运送、贮存、处置活动中的疾病防治工作实施统一监督管理；环境保护行政主管部门，对医疗废物收集、运送、贮存、处置活动中的环境污染防治工作实施统一监督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县级以上各级人民政府其他有关部门在各自的职责范围内负责与医疗废物处置有关的监督管理工作。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任何单位和个人有权对医疗卫生机构、医疗废物集中处置单位和监督管理部门及其工作人员的违法行为进行举报、投诉、检举和控告。</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医疗废物管理的一般规定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医疗卫生机构和医疗废物集中处置单位，应当建立、健全医疗废物管理责任制，其法定代表人为第一责任人，切实履行职责，防止因医疗废物导致传染病传播和环境污染事故。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医疗卫生机构和医疗废物集中处置单位，应当对本单位从事医疗废物收集、运送、贮存、处置等工作的人员和管理人员，进行相关法律和专业技术、安全防护以及紧急处理等知识的培训。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医疗卫生机构和医疗废物集中处置单位，应当采取有效的职业卫生防护措施，为从事医疗废物收集、运送、贮存、</w:t>
      </w:r>
      <w:r>
        <w:rPr>
          <w:rFonts w:hint="eastAsia" w:ascii="宋体" w:hAnsi="宋体" w:cs="Arial"/>
          <w:spacing w:val="-6"/>
          <w:kern w:val="0"/>
          <w:szCs w:val="32"/>
        </w:rPr>
        <w:t>处置等工作的人员和管理人员，配备必要的防护用品，定期进行健康检查；必要时，对有关人员进行免疫接种，防止其受到健康损害。</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医疗卫生机构和医疗废物集中处置单位，应当依照《中华人民共和国固体废物污染环境防治法》的规定，执行危险废物转移联单管理制度。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医疗卫生机构和医疗废物集中处置单位，应当对医疗废物进行登记，登记内容应当包括医疗废物的来源、种类、重量或者数量、交接时间、处置方法、最终去向以及经办人签名等项目。登记资料至少保存3年。</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医疗卫生机构和医疗废物集中处置单位，应当采取有效措施，防止医疗废物流失、泄漏、扩散。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发生医疗废物流失、泄漏、扩散时，医疗卫生机构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禁止任何单位和个人转让、买卖医疗废物。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禁止在运送过程中丢弃医疗废物；禁止在非贮存地点倾倒、堆放医疗废物或者将医疗废物混入其他废物和生活垃圾。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禁止邮寄医疗废物。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禁止通过铁路、航空运输医疗废物。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有陆路通道的，禁止通过水路运输医疗废物；没有陆路通道必需经水路运输医疗废物的，应当经设区的市级以上人民政府环境保护行政主管部门批准，并采取严格的环境保护措施后，方可通过水路运输。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禁止将医疗废物与旅客在同一运输工具上载运。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禁止在饮用水源保护区的水体上运输医疗废物。</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医疗卫生机构对医疗废物的管理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医疗卫生机构应当及时收集本单位产生的医疗废物，并按照类别分置于防渗漏、防锐器穿透的专用包装物或者密闭的容器内。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医疗废物专用包装物、容器，应当有明显的警示标识和警示说明。医疗废物专用包装物、容器的标准和警示标识的规定，由国务院卫生行政主管部门和环境保护行政主管部门共同制定。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医疗卫生机构应当建立医疗废物的暂时贮存设施、设备，不得露天存放医疗废物；医疗废物暂时贮存的时间不得超过2天。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医疗废物的暂时贮存设施、设备，应当远离医疗区、食品加工区和人员活动区以及生活垃圾存放场所，并设置明显的警示标识和防渗漏、防鼠、防蚊蝇、防蟑螂、防盗以及预防儿童接触等安全措施。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医疗废物的暂时贮存设施、设备应当定期消毒和清洁。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医疗卫生机构应当使用防渗漏、防遗撒的专用运送工具，按照本单位确定的内部医疗废物运送时间、路线，将医疗废物收集、运送至暂时贮存地点。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运送工具使用后应当在医疗卫生机构内指定的地点及时消毒和清洁。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医疗卫生机构应当根据就近集中处置的原则，及时将医疗废物交由医疗废物集中处置单位处置。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医疗废物中病原体的培养基、标本和菌种、毒种保存液等高危险废物，在交医疗废物集中处置单位处置前应当就地消毒。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医疗卫生机构产生的污水、传染病病人或者疑似传染病病人的排泄物，应当按照国家规定严格消毒；达到国家规定的排放标准后，方可排入污水处理系统。</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不具备集中处置医疗废物条件的农村，医疗卫生机构应当按照县级人民政府卫生行政主管部门、环境保护行政主管部门的要求，自行就地处置其产生的医疗废物。自行处置医疗废物的，应当符合下列基本要求：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（一）使用后的一次性医疗器具和容易致人损伤的医疗废物，应当消毒并作毁形处理；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（二）能够焚烧的，应当及时焚烧；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（三）不能焚烧的，消毒后集中填埋。</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医疗废物的集中处置</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从事医疗废物集中处置活动的单位，应当向县级以上人民政府环境保护行政主管部门申请领取经营许可证；未取得经营许可证的单位，不得从事有关医疗废物集中处置的活动。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医疗废物集中处置单位，应当符合下列条件：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（一）具有符合环境保护和卫生要求的医疗废物贮存、处置设施或者设备；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（二）具有经过培训的技术人员以及相应的技术工人；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（三）具有负责医疗废物处置效果检测、评价工作的机构和人员；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（四）具有保证医疗废物安全处置的规章制度。</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医疗废物集中处置单位的贮存、处置设施，应当远离居（村）民居住区、水源保护区和交通干道，与工厂、企业等工作场所有适当的安全防护距离，并符合国务院环境保护行政主管部门的规定。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医疗废物集中处置单位应当至少每2天到医疗卫生机构收集、运送一次医疗废物，并负责医疗废物的贮存、处置。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医疗废物集中处置单位运送医疗废物，应当遵守国家有关危险货物运输管理的规定，使用有明显医疗废物标识的专用车辆。医疗废物专用车辆应当达到防渗漏、防遗撒以及其他环境保护和卫生要求。</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运送医疗废物的专用车辆使用后，应当在医疗废物集中处置场所内及时进行消毒和清洁。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运送医疗废物的专用车辆不得运送其他物品。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医疗废物集中处置单位在运送医疗废物过程中应当确保安全，不得丢弃、遗撒医疗废物。</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医疗废物集中处置单位应当安装污染物排放在线监控装置，并确保监控装置经常处于正常运行状态。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医疗废物集中处置单位处置医疗废物，应当符合国家规定的环境保护、卫生标准、规范。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医疗废物集中处置单位应当按照环境保护行政主管部门和卫生行政主管部门的规定，定期对医疗废物处置设施的环境污染防治和卫生学效果进行检测、评价。检测、评价结果存入医疗废物集中处置单位档案，每半年向所在地环境保护行政主管部门和卫生行政主管部门报告一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医疗废物集中处置单位处置医疗废物，按照国家有关规定向医疗卫生机构收取医疗废物处置费用。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医疗卫生机构按照规定支付的医疗废物处置费用，可以纳入医疗成本。</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各地区应当利用和改造现有固体废物处置设施和其他设施，对医疗废物集中处置，并达到基本的环境保护和卫生要求。</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尚无集中处置设施或者处置能力不足的城市，自本条例施行之日起，设区的市级以上城市应当在1年内建成医疗废物集中处置设施；县级市应当在2年内建成医疗废物集中处置设施。县（旗）医疗废物集中处置设施的建设，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在尚未建成医疗废物集中处置设施期间，有关地方人民政府应当组织制定符合环境保护和卫生要求的医疗废物过渡性处置方案，确定医疗废物收集、运送、处置方式和处置单位。</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监督管理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县级以上地方人民政府卫生行政主管部门、环境保护行政主管部门，应当依照本条例的规定，按照职责分工，对医疗卫生机构和医疗废物集中处置单位进行监督检查。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县级以上地方人民政府卫生行政主管部门，应当对医疗卫生机构和医疗废物集中处置单位从事医疗废物的收集、运送、贮存、处置中的疾病防治工作，以及工作人员的卫生防护等情况进行定期监督检查或者不定期的抽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县级以上地方人民政府环境保护行政主管部门，应当对医疗卫生机构和医疗废物集中处置单位从事医疗废物收集、运送、贮存、处置中的环境污染防治工作进行定期监督检查或者不定期的抽查。</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卫生行政主管部门、环境保护行政主管部门应当定期交换监督检查和抽查结果。在监督检查或者抽查中发现医疗卫生机构和医疗废物集中处置单位存在隐患时，应当责令立即消除隐患。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卫生行政主管部门、环境保护行政主管部门接到对医疗卫生机构、医疗废物集中处置单位和监督管理部门及其工作人员违反本条例行为的举报、投诉、检举和控告后，应当及时核实，依法作出处理，并将处理结果予以公布。</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卫生行政主管部门、环境保护行政主管部门履行监督检查职责时，有权采取下列措施：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（一）对有关单位进行实地检查，了解情况，现场监测，调查取证；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（二）查阅或者复制医疗废物管理的有关资料，采集样品；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（三）责令违反本条例规定的单位和个人停止违法行为；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（四）查封或者暂扣涉嫌违反本条例规定的场所、设备、运输工具和物品；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（五）对违反本条例规定的行为进行查处。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发生因医疗废物管理不当导致传染病传播或者环境污染事故，或者有证据证明传染病传播或者环境污染的事故有可能发生时，卫生行政主管部门、环境保护行政主管部门应当采取临时控制措施，疏散人员，控制现场，并根据需要责令暂停导致或者可能导致传染病传播或者环境污染事故的作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医疗卫生机构和医疗废物集中处置单位，对有关部门的检查、监测、调查取证，应当予以配合，不得拒绝和阻碍，不得提供虚假材料。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第六章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县级以上地方人民政府未依照本条例的规定，组织建设医疗废物集中处置设施或者组织制定医疗废物过渡性处置方案的，由上级人民政府通报批评，责令限期建成医疗废物集中处置设施或者组织制定医疗废物过渡性处置方案；并可以对政府主要领导人、负有责任的主管人员，依法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县级以上各级人民政府卫生行政主管部门、环境保护行政主管部门或者其他有关部门，未按照本条例的规定履行监督检查职责，发现医疗卫生机构和医疗废物集中处置单位的违法行为不及时处理，发生或者可能发生传染病传播或者环境污染事故时未及时采取减少危害措施，以及有其他玩忽职守、失职、渎职行为的，由本级人民政府或者上级人民政府有关部门责令改正，通报批评；造成传染病传播或者环境污染事故的，对主要负责人、负有责任的主管人员和其他直接责任人员依法给予降级、撤职、开除的行政处分；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县级以上人民政府环境保护行政主管部门，违反本条例的规定发给医疗废物集中处置单位经营许可证的，由本级人民政府或者上级人民政府环境保护行政主管部门通报批评，责令收回违法发给的证书；并可以对主要负责人、负有责任的主管人员和其他直接责任人员依法给予行政处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（一）未建立、健全医疗废物管理制度，或者未设置监控部门或者专（兼）职人员的；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（二）未对有关人员进行相关法律和专业技术、安全防护以及紧急处理等知识的培训的；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（三）未对从事医疗废物收集、运送、贮存、处置等工作的人员和管理人员采取职业卫生防护措施的；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（四）未对医疗废物进行登记或者未保存登记资料的；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（五）对使用后的医疗废物运送工具或者运送车辆未在指定地点及时进行消毒和清洁的；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（六）未及时收集、运送医疗废物的；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（七）未定期对医疗废物处置设施的环境污染防治和卫生学效果进行检测、评价，或者未将检测、评价效果存档、报告的。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（一）贮存设施或者设备不符合环境保护、卫生要求的；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（二）未将医疗废物按照类别分置于专用包装物或者容器的；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（三）未使用符合标准的专用车辆运送医疗废物或者使用运送医疗废物的车辆运送其他物品的；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（四）未安装污染物排放在线监控装置或者监控装置未经常处于正常运行状态的。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（一）在运送过程中丢弃医疗废物，在非贮存地点倾倒、堆放医疗废物或者将医疗废物混入其他废物和生活垃圾的；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（二）未执行危险废物转移联单管理制度的；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（三）将医疗废物交给未取得经营许可证的单位或者个人收集、运送、贮存、处置的；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（四）对医疗废物的处置不符合国家规定的环境保护、卫生标准、规范的；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（五）未按照本条例的规定对污水、传染病病人或者疑似传染病病人的排泄物，进行严格消毒，或者未达到国家规定的排放标准，排入污水处理系统的；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（六）对收治的传染病病人或者疑似传染病病人产生的生活垃圾，未按照医疗废物进行管理和处置的。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医疗卫生机构违反本条例规定，将未达到国家规定标准的污水、传染病病人或者疑似传染病病人的排泄物排入城市排水管网的，由县级以上地方人民政府建设行政主管部门责令限期改正，给予警告，并处5000元以上1万元以下的罚款；逾期不改正的，处1万元以上3万元以下的罚款；造成传染病传播或者环境污染事故的，由原发证部门暂扣或者吊销执业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1万元以上3万元以下的罚款；造成传染病传播或者环境污染事故的，由原发证部门暂扣或者吊销执业许可证件或者经营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医疗卫生机构、医疗废物集中处置单位，无正当理由，阻碍卫生行政主管部门或者环境保护行政主管部门执法人员执行职务，拒绝执法人员进入现场，或者不配合执法部门的检查、监测、调查取证的，由县级以上地方人民政府卫生行政主管部门或者环境保护行政主管部门按照各自的职责责令改正，给予警告；拒不改正的，由原发证部门暂扣或者吊销执业许可证件或者经营许可证件；触犯《中华人民共和国治安管理处罚法》，构成违反治安管理行为的，由公安机关依法予以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不具备集中处置医疗废物条件的农村，医疗卫生机构未按照本条例的要求处置医疗废物的，由县级人民政府卫生行政主管部门或者环境保护行政主管部门按照各自的职责责令限期改正，给予警告；逾期不改正的，处1000元以上5000元以下的罚款；造成传染病传播或者环境污染事故的，由原发证部门暂扣或者吊销执业许可证件；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未取得经营许可证从事医疗废物的收集、运送、贮存、处置等活动的，由县级以上地方人民政府环境保护行政主管部门责令立即停止违法行为，没收违法所得，可以并处违法所得1倍以下的罚款。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转让、买卖医疗废物，邮寄或者通过铁路、航空运输医疗废物，或者违反本条例规定通过水路运输医疗废物的，由县级以上地方人民政府环境保护行政主管部门责令转让、买卖双方、邮寄人、托运人立即停止违法行为，给予警告，没收违法所得；违法所得5000元以上的，并处违法所得2倍以上5倍以下的罚款；没有违法所得或者违法所得不足5000元的，并处5000元以上2万元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承运人明知托运人违反本条例的规定运输医疗废物，仍予以运输的，或者承运人将医疗废物与旅客在同一工具上载运的，按照前款的规定予以处罚。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医疗卫生机构、医疗废物集中处置单位违反本条例规定，导致传染病传播或者发生环境污染事故，给他人造成损害的，依法承担民事赔偿责任。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计划生育技术服务、医学科研、教学、尸体检查和其他相关活动中产生的具有直接或者间接感染性、毒性以及其他危害性废物的管理，依照本条例执行。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军队医疗卫生机构医疗废物的管理由中国人民解放军卫生主管部门参照本条例制定管理办法。</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本条例自公布之日起施行。</w:t>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r>
        <w:rPr>
          <w:rFonts w:hint="eastAsia" w:ascii="宋体" w:hAnsi="宋体" w:cs="Arial"/>
          <w:kern w:val="0"/>
          <w:szCs w:val="32"/>
        </w:rPr>
        <w:br w:type="page"/>
      </w:r>
      <w:bookmarkStart w:id="239" w:name="_Toc15440"/>
      <w:bookmarkStart w:id="240" w:name="_Toc13545"/>
      <w:bookmarkStart w:id="241" w:name="_Toc30948"/>
      <w:bookmarkStart w:id="242" w:name="_Toc31730"/>
      <w:bookmarkStart w:id="243" w:name="_Toc8860"/>
      <w:bookmarkStart w:id="244" w:name="_Toc27527"/>
      <w:bookmarkStart w:id="245" w:name="_Toc31888"/>
      <w:bookmarkStart w:id="246" w:name="_Toc28470"/>
      <w:bookmarkStart w:id="247" w:name="_Toc5029"/>
      <w:bookmarkStart w:id="248" w:name="_Toc4800"/>
      <w:r>
        <w:rPr>
          <w:rFonts w:hint="eastAsia" w:ascii="宋体" w:hAnsi="宋体" w:eastAsia="宋体" w:cs="Arial"/>
          <w:bCs/>
          <w:sz w:val="44"/>
          <w:szCs w:val="44"/>
        </w:rPr>
        <w:t>重大动物疫情应急条例</w:t>
      </w:r>
      <w:bookmarkEnd w:id="239"/>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（2005年11月18日国务院令第450号发布　根据2017年10月7日国务院令第687号《国务院关于修改部分行政法规的决定》修正）</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第一条</w:t>
      </w:r>
      <w:r>
        <w:rPr>
          <w:rFonts w:hint="eastAsia" w:ascii="仿宋_GB2312" w:hAnsi="仿宋_GB2312" w:eastAsia="仿宋_GB2312" w:cs="仿宋_GB2312"/>
          <w:sz w:val="32"/>
          <w:szCs w:val="32"/>
        </w:rPr>
        <w:t>　为了迅速控制、扑灭重大动物疫情，保障养殖业生产安全，保护公众身体健康与生命安全，维护正常的社会秩序，根据《中华人民共和国动物防疫法》，制定本条例。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本条例所称重大动物疫情，是指高致病性禽流感等发病率或者死亡率高的动物疫病突然发生，迅速传播，给养殖业生产安全造成严重威胁、危害，以及可能对公众身体健康与生命安全造成危害的情形，包括特别重大动物疫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第三条</w:t>
      </w:r>
      <w:r>
        <w:rPr>
          <w:rFonts w:hint="eastAsia" w:ascii="仿宋_GB2312" w:hAnsi="仿宋_GB2312" w:eastAsia="仿宋_GB2312" w:cs="仿宋_GB2312"/>
          <w:sz w:val="32"/>
          <w:szCs w:val="32"/>
        </w:rPr>
        <w:t>　重大动物疫情应急工作应当坚持加强领导、密切配合，依靠科学、依法防治，群防群控、果断处置的方针，及时发现，快速反应，严格处理，减少损失。</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重大动物疫情应急工作按照属地管理的原则，实行政府统一领导、部门分工负责，逐级建立责任制。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县级以上人民政府兽医主管部门具体负责组织重大动物疫情的监测、调查、控制、扑灭等应急工作。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县级以上人民政府林业主管部门、兽医主管部门按照职责分工，加强对陆生野生动物疫源疫病的监测。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县级以上人民政府其他有关部门在各自的职责范围内，做好重大动物疫情的应急工作。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第五条</w:t>
      </w:r>
      <w:r>
        <w:rPr>
          <w:rFonts w:hint="eastAsia" w:ascii="仿宋_GB2312" w:hAnsi="仿宋_GB2312" w:eastAsia="仿宋_GB2312" w:cs="仿宋_GB2312"/>
          <w:sz w:val="32"/>
          <w:szCs w:val="32"/>
        </w:rPr>
        <w:t>　出入境检验检疫机关应当及时收集境外重大动物疫情信息，加强进出境动物及其产品的检验检疫工作，防止动物疫病传入和传出。兽医主管部门要及时向出入境检验检疫机关通报国内重大动物疫情。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第六条</w:t>
      </w:r>
      <w:r>
        <w:rPr>
          <w:rFonts w:hint="eastAsia" w:ascii="仿宋_GB2312" w:hAnsi="仿宋_GB2312" w:eastAsia="仿宋_GB2312" w:cs="仿宋_GB2312"/>
          <w:sz w:val="32"/>
          <w:szCs w:val="32"/>
        </w:rPr>
        <w:t>　国家鼓励、支持开展重大动物疫情监测、预防、应急处理等有关技术的科学研究和国际交流与合作。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县级以上人民政府应当对参加重大动物疫情应急处理的人员给予适当补助，对作出贡献的人员给予表彰和奖励。</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第八条</w:t>
      </w:r>
      <w:r>
        <w:rPr>
          <w:rFonts w:hint="eastAsia" w:ascii="仿宋_GB2312" w:hAnsi="仿宋_GB2312" w:eastAsia="仿宋_GB2312" w:cs="仿宋_GB2312"/>
          <w:sz w:val="32"/>
          <w:szCs w:val="32"/>
        </w:rPr>
        <w:t>　对不履行或者不按照规定履行重大动物疫情应急处理职责的行为，任何单位和个人有权检举控告。</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应急准备</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第九条</w:t>
      </w:r>
      <w:r>
        <w:rPr>
          <w:rFonts w:hint="eastAsia" w:ascii="仿宋_GB2312" w:hAnsi="仿宋_GB2312" w:eastAsia="仿宋_GB2312" w:cs="仿宋_GB2312"/>
          <w:sz w:val="32"/>
          <w:szCs w:val="32"/>
        </w:rPr>
        <w:t>　国务院兽医主管部门应当制定全国重大动物疫情应急预案，报国务院批准，并按照不同动物疫病病种及其流行特点和危害程度，分别制定实施方案，报国务院备案。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地方人民政府根据本地区的实际情况，制定本行政区域的重大动物疫情应急预案，报上一级人民政府兽医主管部门备案。县级以上地方人民政府兽医主管部门，应当按照不同动物疫病病种及其流行特点和危害程度，分别制定实施方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重大动物疫情应急预案及其实施方案应当根据疫情的发展变化和实施情况，及时修改、完善。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第十条</w:t>
      </w:r>
      <w:r>
        <w:rPr>
          <w:rFonts w:hint="eastAsia" w:ascii="仿宋_GB2312" w:hAnsi="仿宋_GB2312" w:eastAsia="仿宋_GB2312" w:cs="仿宋_GB2312"/>
          <w:sz w:val="32"/>
          <w:szCs w:val="32"/>
        </w:rPr>
        <w:t>　重大动物疫情应急预案主要包括下列内容：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（一）应急指挥部的职责、组成以及成员单位的分工；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（二）重大动物疫情的监测、信息收集、报告和通报；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（三）动物疫病的确认、重大动物疫情的分级和相应的应急处理工作方案；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（四）重大动物疫情疫源的追踪和流行病学调查分析；</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（五）预防、控制、扑灭重大动物疫情所需资金的来源、物资和技术的储备与调度；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（六）重大动物疫情应急处理设施和专业队伍建设。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国务院有关部门和县级以上地方人民政府及其有关部门，应当根据重大动物疫情应急预案的要求，确保应急处理所需的疫苗、药品、设施设备和防护用品等物资的储备。</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县级以上人民政府应当建立和完善重大动物疫情监测网络和预防控制体系，加强动物防疫基础设施和乡镇动物防疫组织建设，并保证其正常运行，提高对重大动物疫情的应急处理能力。</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第十三条</w:t>
      </w:r>
      <w:r>
        <w:rPr>
          <w:rFonts w:hint="eastAsia" w:ascii="仿宋_GB2312" w:hAnsi="仿宋_GB2312" w:eastAsia="仿宋_GB2312" w:cs="仿宋_GB2312"/>
          <w:sz w:val="32"/>
          <w:szCs w:val="32"/>
        </w:rPr>
        <w:t>　县级以上地方人民政府根据重大动物疫情应急需要，可以成立应急预备队，在重大动物疫情应急指挥部的指挥下，具体承担疫情的控制和扑灭任务。</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应急预备队由当地兽医行政管理人员、动物防疫工作人员、有关专家、执业兽医等组成；必要时，可以组织动员社会上有一定专业知识的人员参加。公安机关、中国人民武装警察部队应当依法协助其执行任务。</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应急预备队应当定期进行技术培训和应急演练。</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县级以上人民政府及其兽医主管部门应当加强对重大动物疫情应急知识和重大动物疫病科普知识的宣传，增强全社会的重大动物疫情防范意识。</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监测、报告和公布</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第十五条</w:t>
      </w:r>
      <w:r>
        <w:rPr>
          <w:rFonts w:hint="eastAsia" w:ascii="仿宋_GB2312" w:hAnsi="仿宋_GB2312" w:eastAsia="仿宋_GB2312" w:cs="仿宋_GB2312"/>
          <w:sz w:val="32"/>
          <w:szCs w:val="32"/>
        </w:rPr>
        <w:t>　动物防疫监督机构负责重大动物疫情的监测，饲养、经营动物和生产、经营动物产品的单位和个人应当配合，不得拒绝和阻碍。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从事动物隔离、疫情监测、疫病研究与诊疗、检验检疫以及动物饲养、屠宰加工、运输、经营等活动的有关单位和个人，发现动物出现群体发病或者死亡的，应当立即向所在地的县（市）动物防疫监督机构报告。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第十七条</w:t>
      </w:r>
      <w:r>
        <w:rPr>
          <w:rFonts w:hint="eastAsia" w:ascii="仿宋_GB2312" w:hAnsi="仿宋_GB2312" w:eastAsia="仿宋_GB2312" w:cs="仿宋_GB2312"/>
          <w:sz w:val="32"/>
          <w:szCs w:val="32"/>
        </w:rPr>
        <w:t>　县（市）动物防疫监督机构接到报告后，应当立即赶赴现场调查核实。初步认为属于重大动物疫情的，应当在2小时内将情况逐级报省、自治区、直辖市动物防疫监督机构，并同时报所在地人民政府兽医主管部门；兽医主管部门应当及时通报同级卫生主管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省、自治区、直辖市动物防疫监督机构应当在接到报告后1小时内，向省、自治区、直辖市人民政府兽医主管部门和国务院兽医主管部门所属的动物防疫监督机构报告。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省、自治区、直辖市人民政府兽医主管部门应当在接到报告后1小时内报本级人民政府和国务院兽医主管部门。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重大动物疫情发生后，省、自治区、直辖市人民政府和国务院兽医主管部门应当在4小时内向国务院报告。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第十八条</w:t>
      </w:r>
      <w:r>
        <w:rPr>
          <w:rFonts w:hint="eastAsia" w:ascii="仿宋_GB2312" w:hAnsi="仿宋_GB2312" w:eastAsia="仿宋_GB2312" w:cs="仿宋_GB2312"/>
          <w:sz w:val="32"/>
          <w:szCs w:val="32"/>
        </w:rPr>
        <w:t>　重大动物疫情报告包括下列内容：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（一）疫情发生的时间、地点；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（二）染疫、疑似染疫动物种类和数量、同群动物数量、免疫情况、死亡数量、临床症状、病理变化、诊断情况；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（三）流行病学和疫源追踪情况；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（四）已采取的控制措施；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（五）疫情报告的单位、负责人、报告人及联系方式。</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第十九条</w:t>
      </w:r>
      <w:r>
        <w:rPr>
          <w:rFonts w:hint="eastAsia" w:ascii="仿宋_GB2312" w:hAnsi="仿宋_GB2312" w:eastAsia="仿宋_GB2312" w:cs="仿宋_GB2312"/>
          <w:sz w:val="32"/>
          <w:szCs w:val="32"/>
        </w:rPr>
        <w:t>　重大动物疫情由省、自治区、直辖市人民政府兽医主管部门认定；必要时，由国务院兽医主管部门认定。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第二十条</w:t>
      </w:r>
      <w:r>
        <w:rPr>
          <w:rFonts w:hint="eastAsia" w:ascii="仿宋_GB2312" w:hAnsi="仿宋_GB2312" w:eastAsia="仿宋_GB2312" w:cs="仿宋_GB2312"/>
          <w:sz w:val="32"/>
          <w:szCs w:val="32"/>
        </w:rPr>
        <w:t>　重大动物疫情由国务院兽医主管部门按照国家规定的程序，及时准确公布；其他任何单位和个人不得公布重大动物疫情。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第二十一条</w:t>
      </w:r>
      <w:r>
        <w:rPr>
          <w:rFonts w:hint="eastAsia" w:ascii="仿宋_GB2312" w:hAnsi="仿宋_GB2312" w:eastAsia="仿宋_GB2312" w:cs="仿宋_GB2312"/>
          <w:sz w:val="32"/>
          <w:szCs w:val="32"/>
        </w:rPr>
        <w:t>　重大动物疫病应当由动物防疫监督机构采集病料。其他单位和个人采集病料的，应当具备以下条件：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（一）重大动物疫病病料采集目的、病原微生物的用途应当符合国务院兽医主管部门的规定；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（二）具有与采集病料相适应的动物病原微生物实验室条件；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（三）具有与采集病料所需要的生物安全防护水平相适应的设备，以及防止病原感染和扩散的有效措施。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从事重大动物疫病病原分离的，应当遵守国家有关生物安全管理规定，防止病原扩散。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第二十二条</w:t>
      </w:r>
      <w:r>
        <w:rPr>
          <w:rFonts w:hint="eastAsia" w:ascii="仿宋_GB2312" w:hAnsi="仿宋_GB2312" w:eastAsia="仿宋_GB2312" w:cs="仿宋_GB2312"/>
          <w:sz w:val="32"/>
          <w:szCs w:val="32"/>
        </w:rPr>
        <w:t>　国务院兽医主管部门应当及时向国务院有关部门和军队有关部门以及各省、自治区、直辖市人民政府兽医主管部门通报重大动物疫情的发生和处理情况。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第二十三条</w:t>
      </w:r>
      <w:r>
        <w:rPr>
          <w:rFonts w:hint="eastAsia" w:ascii="仿宋_GB2312" w:hAnsi="仿宋_GB2312" w:eastAsia="仿宋_GB2312" w:cs="仿宋_GB2312"/>
          <w:sz w:val="32"/>
          <w:szCs w:val="32"/>
        </w:rPr>
        <w:t>　发生重大动物疫情可能感染人群时，卫生主管部门应当对疫区内易受感染的人群进行监测，并采取相应的预防、控制措施。卫生主管部门和兽医主管部门应当及时相互通报情况。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第二十四条</w:t>
      </w:r>
      <w:r>
        <w:rPr>
          <w:rFonts w:hint="eastAsia" w:ascii="仿宋_GB2312" w:hAnsi="仿宋_GB2312" w:eastAsia="仿宋_GB2312" w:cs="仿宋_GB2312"/>
          <w:sz w:val="32"/>
          <w:szCs w:val="32"/>
        </w:rPr>
        <w:t>　有关单位和个人对重大动物疫情不得瞒报、谎报、迟报，不得授意他人瞒报、谎报、迟报，不得阻碍他人报告。</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第二十五条</w:t>
      </w:r>
      <w:r>
        <w:rPr>
          <w:rFonts w:hint="eastAsia" w:ascii="仿宋_GB2312" w:hAnsi="仿宋_GB2312" w:eastAsia="仿宋_GB2312" w:cs="仿宋_GB2312"/>
          <w:sz w:val="32"/>
          <w:szCs w:val="32"/>
        </w:rPr>
        <w:t>　在重大动物疫情报告期间，有关动物防疫监督机构应当立即采取临时隔离控制措施；必要时，当地县级以上地方人民政府可以作出封锁决定并采取扑杀、销毁等措施。有关单位和个人应当执行。</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应急处理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第二十六条　</w:t>
      </w:r>
      <w:r>
        <w:rPr>
          <w:rFonts w:hint="eastAsia" w:ascii="仿宋_GB2312" w:hAnsi="仿宋_GB2312" w:eastAsia="仿宋_GB2312" w:cs="仿宋_GB2312"/>
          <w:sz w:val="32"/>
          <w:szCs w:val="32"/>
        </w:rPr>
        <w:t>重大动物疫情发生后，国务院和有关地方人民政府设立的重大动物疫情应急指挥部统一领导、指挥重大动物疫情应急工作。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第二十七条</w:t>
      </w:r>
      <w:r>
        <w:rPr>
          <w:rFonts w:hint="eastAsia" w:ascii="仿宋_GB2312" w:hAnsi="仿宋_GB2312" w:eastAsia="仿宋_GB2312" w:cs="仿宋_GB2312"/>
          <w:sz w:val="32"/>
          <w:szCs w:val="32"/>
        </w:rPr>
        <w:t>　重大动物疫情发生后，县级以上地方人民政府兽医主管部门应当立即划定疫点、疫区和受威胁区，调查疫源，向本级人民政府提出启动重大动物疫情应急指挥系统、应急预案和对疫区实行封锁的建议，有关人民政府应当立即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疫点、疫区和受威胁区的范围应当按照不同动物疫病病种及其流行特点和危害程度划定，具体划定标准由国务院兽医主管部门制定。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第二十八条</w:t>
      </w:r>
      <w:r>
        <w:rPr>
          <w:rFonts w:hint="eastAsia" w:ascii="仿宋_GB2312" w:hAnsi="仿宋_GB2312" w:eastAsia="仿宋_GB2312" w:cs="仿宋_GB2312"/>
          <w:sz w:val="32"/>
          <w:szCs w:val="32"/>
        </w:rPr>
        <w:t>　国家对重大动物疫情应急处理实行分级管理，按照应急预案确定的疫情等级，由有关人民政府采取相应的应急控制措施。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第二十九条</w:t>
      </w:r>
      <w:r>
        <w:rPr>
          <w:rFonts w:hint="eastAsia" w:ascii="仿宋_GB2312" w:hAnsi="仿宋_GB2312" w:eastAsia="仿宋_GB2312" w:cs="仿宋_GB2312"/>
          <w:sz w:val="32"/>
          <w:szCs w:val="32"/>
        </w:rPr>
        <w:t>　对疫点应当采取下列措施：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（一）扑杀并销毁染疫动物和易感染的动物及其产品；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（二）对病死的动物、动物排泄物、被污染饲料、垫料、污水进行无害化处理；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（三）对被污染的物品、用具、动物圈舍、场地进行严格消毒。</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第三十条</w:t>
      </w:r>
      <w:r>
        <w:rPr>
          <w:rFonts w:hint="eastAsia" w:ascii="仿宋_GB2312" w:hAnsi="仿宋_GB2312" w:eastAsia="仿宋_GB2312" w:cs="仿宋_GB2312"/>
          <w:sz w:val="32"/>
          <w:szCs w:val="32"/>
        </w:rPr>
        <w:t>　对疫区应当采取下列措施：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（一）在疫区周围设置警示标志，在出入疫区的交通路口设置临时动物检疫消毒站，对出入的人员和车辆进行消毒；</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（二）扑杀并销毁染疫和疑似染疫动物及其同群动物，销毁染疫和疑似染疫的动物产品，对其他易感染的动物实行圈养或者在指定地点放养，役用动物限制在疫区内使役；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（三）对易感染的动物进行监测，并按照国务院兽医主管部门的规定实施紧急免疫接种，必要时对易感染的动物进行扑杀；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（四）关闭动物及动物产品交易市场，禁止动物进出疫区和动物产品运出疫区；</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（五）对动物圈舍、动物排泄物、垫料、污水和其他可能受污染的物品、场地，进行消毒或者无害化处理。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第三十一条</w:t>
      </w:r>
      <w:r>
        <w:rPr>
          <w:rFonts w:hint="eastAsia" w:ascii="仿宋_GB2312" w:hAnsi="仿宋_GB2312" w:eastAsia="仿宋_GB2312" w:cs="仿宋_GB2312"/>
          <w:sz w:val="32"/>
          <w:szCs w:val="32"/>
        </w:rPr>
        <w:t>　对受威胁区应当采取下列措施：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（一）对易感染的动物进行监测；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（二）对易感染的动物根据需要实施紧急免疫接种。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重大动物疫情应急处理中设置临时动物检疫消毒站以及采取隔离、扑杀、销毁、消毒、紧急免疫接种等控制、扑灭措施的，由有关重大动物疫情应急指挥部决定，有关单位和个人必须服从；拒不服从的，由公安机关协助执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第三十三条</w:t>
      </w:r>
      <w:r>
        <w:rPr>
          <w:rFonts w:hint="eastAsia" w:ascii="仿宋_GB2312" w:hAnsi="仿宋_GB2312" w:eastAsia="仿宋_GB2312" w:cs="仿宋_GB2312"/>
          <w:sz w:val="32"/>
          <w:szCs w:val="32"/>
        </w:rPr>
        <w:t>　国家对疫区、受威胁区内易感染的动物免费实施紧急免疫接种；对因采取扑杀、销毁等措施给当事人造成的已经证实的损失，给予合理补偿。紧急免疫接种和补偿所需费用，由中央财政和地方财政分担。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第三十四条</w:t>
      </w:r>
      <w:r>
        <w:rPr>
          <w:rFonts w:hint="eastAsia" w:ascii="仿宋_GB2312" w:hAnsi="仿宋_GB2312" w:eastAsia="仿宋_GB2312" w:cs="仿宋_GB2312"/>
          <w:sz w:val="32"/>
          <w:szCs w:val="32"/>
        </w:rPr>
        <w:t>　重大动物疫情应急指挥部根据应急处理需要，有权紧急调集人员、物资、运输工具以及相关设施、设备。</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单位和个人的物资、运输工具以及相关设施、设备被征集使用的，有关人民政府应当及时归还并给予合理补偿。</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第三十五条</w:t>
      </w:r>
      <w:r>
        <w:rPr>
          <w:rFonts w:hint="eastAsia" w:ascii="仿宋_GB2312" w:hAnsi="仿宋_GB2312" w:eastAsia="仿宋_GB2312" w:cs="仿宋_GB2312"/>
          <w:sz w:val="32"/>
          <w:szCs w:val="32"/>
        </w:rPr>
        <w:t>　重大动物疫情发生后，县级以上人民政府兽医主管部门应当及时提出疫点、疫区、受威胁区的处理方案，加强疫情监测、流行病学调查、疫源追踪工作，对染疫和疑似染疫动物及其同群动物和其他易感染动物的扑杀、销毁进行技术指导，并组织实施检验检疫、消毒、无害化处理和紧急免疫接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第三十六条</w:t>
      </w:r>
      <w:r>
        <w:rPr>
          <w:rFonts w:hint="eastAsia" w:ascii="仿宋_GB2312" w:hAnsi="仿宋_GB2312" w:eastAsia="仿宋_GB2312" w:cs="仿宋_GB2312"/>
          <w:sz w:val="32"/>
          <w:szCs w:val="32"/>
        </w:rPr>
        <w:t>　重大动物疫情应急处理中，县级以上人民政府有关部门应当在各自的职责范围内，做好重大动物疫情应急所需的物资紧急调度和运输、应急经费安排、疫区群众救济、人的疫病防治、肉食品供应、动物及其产品市场监管、出入境检验检疫和社会治安维护等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中国人民解放军、中国人民武装警察部队应当支持配合驻地人民政府做好重大动物疫情的应急工作。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第三十七条</w:t>
      </w:r>
      <w:r>
        <w:rPr>
          <w:rFonts w:hint="eastAsia" w:ascii="仿宋_GB2312" w:hAnsi="仿宋_GB2312" w:eastAsia="仿宋_GB2312" w:cs="仿宋_GB2312"/>
          <w:sz w:val="32"/>
          <w:szCs w:val="32"/>
        </w:rPr>
        <w:t>　重大动物疫情应急处理中，乡镇人民政府、村民委员会、居民委员会应当组织力量，向村民、居民宣传动物疫病防治的相关知识，协助做好疫情信息的收集、报告和各项应急处理措施的落实工作。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第三十八条</w:t>
      </w:r>
      <w:r>
        <w:rPr>
          <w:rFonts w:hint="eastAsia" w:ascii="仿宋_GB2312" w:hAnsi="仿宋_GB2312" w:eastAsia="仿宋_GB2312" w:cs="仿宋_GB2312"/>
          <w:sz w:val="32"/>
          <w:szCs w:val="32"/>
        </w:rPr>
        <w:t>　重大动物疫情发生地的人民政府和毗邻地区的人民政府应当通力合作，相互配合，做好重大动物疫情的控制、扑灭工作。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第三十九条</w:t>
      </w:r>
      <w:r>
        <w:rPr>
          <w:rFonts w:hint="eastAsia" w:ascii="仿宋_GB2312" w:hAnsi="仿宋_GB2312" w:eastAsia="仿宋_GB2312" w:cs="仿宋_GB2312"/>
          <w:sz w:val="32"/>
          <w:szCs w:val="32"/>
        </w:rPr>
        <w:t>　有关人民政府及其有关部门对参加重大动物疫情应急处理的人员，应当采取必要的卫生防护和技术指导等措施。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第四十条</w:t>
      </w:r>
      <w:r>
        <w:rPr>
          <w:rFonts w:hint="eastAsia" w:ascii="仿宋_GB2312" w:hAnsi="仿宋_GB2312" w:eastAsia="仿宋_GB2312" w:cs="仿宋_GB2312"/>
          <w:sz w:val="32"/>
          <w:szCs w:val="32"/>
        </w:rPr>
        <w:t>　自疫区内最后一头（只）发病动物及其同群动物处理完毕起，经过一个潜伏期以上的监测，未出现新的病例的，彻底消毒后，经上一级动物防疫监督机构验收合格，由原发布封锁令的人民政府宣布解除封锁，撤销疫区；由原批准机关撤销在该疫区设立的临时动物检疫消毒站。</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第四十一条</w:t>
      </w:r>
      <w:r>
        <w:rPr>
          <w:rFonts w:hint="eastAsia" w:ascii="仿宋_GB2312" w:hAnsi="仿宋_GB2312" w:eastAsia="仿宋_GB2312" w:cs="仿宋_GB2312"/>
          <w:sz w:val="32"/>
          <w:szCs w:val="32"/>
        </w:rPr>
        <w:t>　县级以上人民政府应当将重大动物疫情确认、疫区封锁、扑杀及其补偿、消毒、无害化处理、疫源追踪、疫情监测以及应急物资储备等应急经费列入本级财政预算。</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8"/>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法律责任</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第四十二条</w:t>
      </w:r>
      <w:r>
        <w:rPr>
          <w:rFonts w:hint="eastAsia" w:ascii="仿宋_GB2312" w:hAnsi="仿宋_GB2312" w:eastAsia="仿宋_GB2312" w:cs="仿宋_GB2312"/>
          <w:sz w:val="32"/>
          <w:szCs w:val="32"/>
        </w:rPr>
        <w:t>　违反本条例规定，兽医主管部门及其所属的动物防疫监督机构有下列行为之一的，由本级人民政府或者上级人民政府有关部门责令立即改正、通报批评、给予警告；对主要负责人、负有责任的主管人员和其他责任人员，依法给予记大过、降级、撤职直至开除的行政处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（一）不履行疫情报告职责，瞒报、谎报、迟报或者授意他人瞒报、谎报、迟报，阻碍他人报告重大动物疫情的；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（二）在重大动物疫情报告期间，不采取临时隔离控制措施，导致动物疫情扩散的；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（三）不及时划定疫点、疫区和受威胁区，不及时向本级人民政府提出应急处理建议，或者不按照规定对疫点、疫区和受威胁区采取预防、控制、扑灭措施的；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（四）不向本级人民政府提出启动应急指挥系统、应急预案和对疫区的封锁建议的；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（五）对动物扑杀、销毁不进行技术指导或者指导不力，或者不组织实施检验检疫、消毒、无害化处理和紧急免疫接种的；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（六）其他不履行本条例规定的职责，导致动物疫病传播、流行，或者对养殖业生产安全和公众身体健康与生命安全造成严重危害的。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第四十三条</w:t>
      </w:r>
      <w:r>
        <w:rPr>
          <w:rFonts w:hint="eastAsia" w:ascii="仿宋_GB2312" w:hAnsi="仿宋_GB2312" w:eastAsia="仿宋_GB2312" w:cs="仿宋_GB2312"/>
          <w:sz w:val="32"/>
          <w:szCs w:val="32"/>
        </w:rPr>
        <w:t>　违反本条例规定，县级以上人民政府有关部门不履行应急处理职责，不执行对疫点、疫区和受威胁区采取的措施，或者对上级人民政府有关部门的疫情调查不予配合或者阻碍、拒绝的，由本级人民政府或者上级人民政府有关部门责令立即改正、通报批评、给予警告；对主要负责人、负有责任的主管人员和其他责任人员，依法给予记大过、降级、撤职直至开除的行政处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第四十四条</w:t>
      </w:r>
      <w:r>
        <w:rPr>
          <w:rFonts w:hint="eastAsia" w:ascii="仿宋_GB2312" w:hAnsi="仿宋_GB2312" w:eastAsia="仿宋_GB2312" w:cs="仿宋_GB2312"/>
          <w:sz w:val="32"/>
          <w:szCs w:val="32"/>
        </w:rPr>
        <w:t>　违反本条例规定，有关地方人民政府阻碍报告重大动物疫情，不履行应急处理职责，不按照规定对疫点、疫区和受威胁区采取预防、控制、扑灭措施，或者对上级人民政府有关部门的疫情调查不予配合或者阻碍、拒绝的，由上级人民政府责令立即改正、通报批评、给予警告；对政府主要领导人依法给予记大过、降级、撤职直至开除的行政处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第四十五条</w:t>
      </w:r>
      <w:r>
        <w:rPr>
          <w:rFonts w:hint="eastAsia" w:ascii="仿宋_GB2312" w:hAnsi="仿宋_GB2312" w:eastAsia="仿宋_GB2312" w:cs="仿宋_GB2312"/>
          <w:sz w:val="32"/>
          <w:szCs w:val="32"/>
        </w:rPr>
        <w:t>　截留、挪用重大动物疫情应急经费，或者侵占、挪用应急储备物资的，按照《财政违法行为处罚处分条例》的规定处理；构成犯罪的，依法追究刑事责任。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第四十六条</w:t>
      </w:r>
      <w:r>
        <w:rPr>
          <w:rFonts w:hint="eastAsia" w:ascii="仿宋_GB2312" w:hAnsi="仿宋_GB2312" w:eastAsia="仿宋_GB2312" w:cs="仿宋_GB2312"/>
          <w:sz w:val="32"/>
          <w:szCs w:val="32"/>
        </w:rPr>
        <w:t>　违反本条例规定，拒绝、阻碍动物防疫监督机构进行重大动物疫情监测，或者发现动物出现群体发病或者死亡，不向当地动物防疫监督机构报告的，由动物防疫监督机构给予警告，并处2000元以上5000元以下的罚款；构成犯罪的，依法追究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第四十七条</w:t>
      </w:r>
      <w:r>
        <w:rPr>
          <w:rFonts w:hint="eastAsia" w:ascii="仿宋_GB2312" w:hAnsi="仿宋_GB2312" w:eastAsia="仿宋_GB2312" w:cs="仿宋_GB2312"/>
          <w:sz w:val="32"/>
          <w:szCs w:val="32"/>
        </w:rPr>
        <w:t>　违反本条例规定，不符合相应条件采集重大动物疫病病料，或者在重大动物疫病病原分离时不遵守国家有关生物安全管理规定的，由动物防疫监督机构给予警告，并处5000元以下的罚款；构成犯罪的，依法追究刑事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第四十八条</w:t>
      </w:r>
      <w:r>
        <w:rPr>
          <w:rFonts w:hint="eastAsia" w:ascii="仿宋_GB2312" w:hAnsi="仿宋_GB2312" w:eastAsia="仿宋_GB2312" w:cs="仿宋_GB2312"/>
          <w:sz w:val="32"/>
          <w:szCs w:val="32"/>
        </w:rPr>
        <w:t>　在重大动物疫情发生期间，哄抬物价、欺骗消费者，散布谣言、扰乱社会秩序和市场秩序的，由价格主管部门、工商行政管理部门或者公安机关依法给予行政处罚；构成犯罪的，依法追究刑事责任。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0"/>
        </w:numPr>
        <w:wordWrap/>
        <w:adjustRightInd/>
        <w:snapToGrid/>
        <w:spacing w:after="0" w:line="560" w:lineRule="exact"/>
        <w:ind w:left="0" w:leftChars="0"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eastAsia="zh-CN"/>
        </w:rPr>
        <w:t>第六章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numPr>
          <w:ilvl w:val="0"/>
          <w:numId w:val="0"/>
        </w:numPr>
        <w:wordWrap/>
        <w:adjustRightInd/>
        <w:snapToGrid/>
        <w:spacing w:after="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第四十九条</w:t>
      </w:r>
      <w:r>
        <w:rPr>
          <w:rFonts w:hint="eastAsia" w:ascii="仿宋_GB2312" w:hAnsi="仿宋_GB2312" w:eastAsia="仿宋_GB2312" w:cs="仿宋_GB2312"/>
          <w:sz w:val="32"/>
          <w:szCs w:val="32"/>
        </w:rPr>
        <w:t>　本条例自公布之日起施行。</w:t>
      </w:r>
    </w:p>
    <w:p>
      <w:pPr>
        <w:wordWrap/>
        <w:spacing w:line="560" w:lineRule="exact"/>
        <w:textAlignment w:val="auto"/>
        <w:rPr>
          <w:rFonts w:hint="eastAsia" w:ascii="仿宋_GB2312" w:hAnsi="仿宋_GB2312" w:eastAsia="仿宋_GB2312" w:cs="仿宋_GB2312"/>
          <w:sz w:val="32"/>
          <w:szCs w:val="32"/>
        </w:rPr>
      </w:pPr>
    </w:p>
    <w:p>
      <w:pPr>
        <w:rPr>
          <w:rFonts w:hint="eastAsia" w:ascii="宋体" w:hAnsi="宋体" w:cs="Arial"/>
          <w:kern w:val="0"/>
          <w:szCs w:val="32"/>
        </w:rPr>
      </w:pPr>
    </w:p>
    <w:p>
      <w:pPr>
        <w:rPr>
          <w:rFonts w:hint="eastAsia" w:ascii="宋体" w:hAnsi="宋体" w:eastAsia="宋体" w:cs="宋体"/>
          <w:b w:val="0"/>
          <w:bCs w:val="0"/>
          <w:lang w:eastAsia="zh-CN"/>
        </w:rPr>
      </w:pPr>
      <w:r>
        <w:rPr>
          <w:rFonts w:hint="eastAsia" w:ascii="宋体" w:hAnsi="宋体" w:eastAsia="宋体" w:cs="宋体"/>
          <w:b w:val="0"/>
          <w:bCs w:val="0"/>
          <w:lang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49" w:name="_Toc15856"/>
      <w:r>
        <w:rPr>
          <w:rFonts w:hint="eastAsia" w:ascii="宋体" w:hAnsi="宋体" w:eastAsia="宋体" w:cs="宋体"/>
          <w:sz w:val="44"/>
          <w:szCs w:val="44"/>
        </w:rPr>
        <w:t>畜禽规模养殖污染防治条例</w:t>
      </w:r>
      <w:bookmarkEnd w:id="249"/>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both"/>
        <w:textAlignment w:val="auto"/>
        <w:rPr>
          <w:rFonts w:hint="eastAsia" w:ascii="楷体" w:hAnsi="楷体" w:eastAsia="楷体" w:cs="楷体"/>
          <w:sz w:val="32"/>
          <w:szCs w:val="32"/>
        </w:rPr>
      </w:pPr>
      <w:r>
        <w:rPr>
          <w:rFonts w:hint="eastAsia" w:ascii="楷体" w:hAnsi="楷体" w:eastAsia="楷体" w:cs="楷体"/>
          <w:sz w:val="32"/>
          <w:szCs w:val="32"/>
        </w:rPr>
        <w:t>（2013年10月8日国务院第26次常务会议通过 2013年11月11日中华人民共和国国务院令第643号公布 自2014年1月1日起施行）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为了防治畜禽养殖污染，推进畜禽养殖废弃物的综合利用和无害化处理，保护和改善环境，保障公众身体健康，促进畜牧业持续健康发展，制定本条例。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本条例适用于畜禽养殖场、养殖小区的养殖污染防治。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畜禽养殖场、养殖小区的规模标准根据畜牧业发展状况和畜禽养殖污染防治要求确定。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牧区放牧养殖污染防治，不适用本条例。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畜禽养殖污染防治，应当统筹考虑保护环境与促进畜牧业发展的需要，坚持预防为主、防治结合的原则，实行统筹规划、合理布局、综合利用、激励引导。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各级人民政府应当加强对畜禽养殖污染防治工作的组织领导，采取有效措施，加大资金投入，扶持畜禽养殖污染防治以及畜禽养殖废弃物综合利用。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县级以上人民政府环境保护主管部门负责畜禽养殖污染防治的统一监督管理。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县级以上人民政府农牧主管部门负责畜禽养殖废弃物综合利用的指导和服务。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县级以上人民政府循环经济发展综合管理部门负责畜禽养殖循环经济工作的组织协调。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县级以上人民政府其他有关部门依照本条例规定和各自职责，负责畜禽养殖污染防治相关工作。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乡镇人民政府应当协助有关部门做好本行政区域的畜禽养殖污染防治工作。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从事畜禽养殖以及畜禽养殖废弃物综合利用和无害化处理活动，应当符合国家有关畜禽养殖污染防治的要求，并依法接受有关主管部门的监督检查。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国家鼓励和支持畜禽养殖污染防治以及畜禽养殖废弃物综合利用和无害化处理的科学技术研究和装备研发。各级人民政府应当支持先进适用技术的推广，促进畜禽养殖污染防治水平的提高。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任何单位和个人对违反本条例规定的行为，有权向县级以上人民政府环境保护等有关部门举报。接到举报的部门应当及时调查处理。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对在畜禽养殖污染防治中作出突出贡献的单位和个人，按照国家有关规定给予表彰和奖励。</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预防</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县级以上人民政府农牧主管部门编制畜牧业发展规划，报本级人民政府或者其授权的部门批准实施。畜牧业发展规划应当统筹考虑环境承载能力以及畜禽养殖污染防治要求，合理布局，科学确定畜禽养殖的品种、规模、总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县级以上人民政府环境保护主管部门会同农牧主管部门编制畜禽养殖污染防治规划，报本级人民政府或者其授权的部门批准实施。畜禽养殖污染防治规划应当与畜牧业发展规划相衔接，统筹考虑畜禽养殖生产布局，明确畜禽养殖污染防治目标、任务、重点区域，明确污染治理重点设施建设，以及废弃物综合利用等污染防治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禁止在下列区域内建设畜禽养殖场、养殖小区：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（一）饮用水水源保护区，风景名胜区；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（二）自然保护区的核心区和缓冲区；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（三）城镇居民区、文化教育科学研究区等人口集中区域；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（四）法律、法规规定的其他禁止养殖区域。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新建、改建、扩建畜禽养殖场、养殖小区，应当符合畜牧业发展规划、畜禽养殖污染防治规划，满足动物防疫条件，并进行环境影响评价。对环境可能造成重大影响的大型畜禽养殖场、养殖小区，应当编制环境影响报告书；其他畜禽养殖场、养殖小区应当填报环境影响登记表。大型畜禽养殖场、养殖小区的管理目录，由国务院环境保护主管部门商国务院农牧主管部门确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环境影响评价的重点应当包括：畜禽养殖产生的废弃物种类和数量，废弃物综合利用和无害化处理方案和措施，废弃物的消纳和处理情况以及向环境直接排放的情况，最终可能对水体、土壤等环境和人体健康产生的影响以及控制和减少影响的方案和措施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未建设污染防治配套设施、自行建设的配套设施不合格，或者未委托他人对畜禽养殖废弃物进行综合利用和无害化处理的，畜禽养殖场、养殖小区不得投入生产或者使用。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畜禽养殖场、养殖小区自行建设污染防治配套设施的，应当确保其正常运行。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从事畜禽养殖活动，应当采取科学的饲养方式和废弃物处理工艺等有效措施，减少畜禽养殖废弃物的产生量和向环境的排放量。</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综合利用与治理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国家鼓励和支持采取粪肥还田、制取沼气、制造有机肥等方法，对畜禽养殖废弃物进行综合利用。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国家鼓励和支持采取种植和养殖相结合的方式消纳利用畜禽养殖废弃物，促进畜禽粪便、污水等废弃物就地就近利用。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国家鼓励和支持沼气制取、有机肥生产等废弃物综合利用以及沼渣沼液输送和施用、沼气发电等相关配套设施建设。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将畜禽粪便、污水、沼渣、沼液等用作肥料的，应当与土地的消纳能力相适应，并采取有效措施，消除可能引起传染病的微生物，防止污染环境和传播疫病。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从事畜禽养殖活动和畜禽养殖废弃物处理活动，应当及时对畜禽粪便、畜禽尸体、污水等进行收集、贮存、清运，防止恶臭和畜禽养殖废弃物渗出、泄漏。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向环境排放经过处理的畜禽养殖废弃物，应当符合国家和地方规定的污染物排放标准和总量控制指标。畜禽养殖废弃物未经处理，不得直接向环境排放。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染疫畜禽以及染疫畜禽排泄物、染疫畜禽产品、病死或者死因不明的畜禽尸体等病害畜禽养殖废弃物，应当按照有关法律、法规和国务院农牧主管部门的规定，进行深埋、化制、焚烧等无害化处理，不得随意处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畜禽养殖场、养殖小区应当定期将畜禽养殖品种、规模以及畜禽养殖废弃物的产生、排放和综合利用等情况，报县级人民政府环境保护主管部门备案。环境保护主管部门应当定期将备案情况抄送同级农牧主管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县级以上人民政府环境保护主管部门应当依据职责对畜禽养殖污染防治情况进行监督检查，并加强对畜禽养殖环境污染的监测。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乡镇人民政府、基层群众自治组织发现畜禽养殖环境污染行为的，应当及时制止和报告。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对污染严重的畜禽养殖密集区域，市、县人民政府应当制定综合整治方案，采取组织建设畜禽养殖废弃物综合利用和无害化处理设施、有计划搬迁或者关闭畜禽养殖场所等措施，对畜禽养殖污染进行治理。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因畜牧业发展规划、土地利用总体规划、城乡规划调整以及划定禁止养殖区域，或者因对污染严重的畜禽养殖密集区域进行综合整治，确需关闭或者搬迁现有畜禽养殖场所，致使畜禽养殖者遭受经济损失的，由县级以上地方人民政府依法予以补偿。</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激励措施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县级以上人民政府应当采取示范奖励等措施，扶持规模化、标准化畜禽养殖，支持畜禽养殖场、养殖小区进行标准化改造和污染防治设施建设与改造，鼓励分散饲养向集约饲养方式转变。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县级以上地方人民政府在组织编制土地利用总体规划过程中，应当统筹安排，将规模化畜禽养殖用地纳入规划，落实养殖用地。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国家鼓励利用废弃地和荒山、荒沟、荒丘、荒滩等未利用地开展规模化、标准化畜禽养殖。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畜禽养殖用地按农用地管理，并按照国家有关规定确定生产设施用地和必要的污染防治等附属设施用地。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建设和改造畜禽养殖污染防治设施，可以按照国家规定申请包括污染治理贷款贴息补助在内的环境保护等相关资金支持。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进行畜禽养殖污染防治，从事利用畜禽养殖废弃物进行有机肥产品生产经营等畜禽养殖废弃物综合利用活动的，享受国家规定的相关税收优惠政策。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利用畜禽养殖废弃物生产有机肥产品的，享受国家关于化肥运力安排等支持政策；购买使用有机肥产品的，享受不低于国家关于化肥的使用补贴等优惠政策。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畜禽养殖场、养殖小区的畜禽养殖污染防治设施运行用电执行农业用电价格。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国家鼓励和支持利用畜禽养殖废弃物进行沼气发电，自发自用、多余电量接入电网。电网企业应当依照法律和国家有关规定为沼气发电提供无歧视的电网接入服务，并全额收购其电网覆盖范围内符合并网技术标准的多余电量。</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利用畜禽养殖废弃物进行沼气发电的，依法享受国家规定的上网电价优惠政策。利用畜禽养殖废弃物制取沼气或进而制取天然气的，依法享受新能源优惠政策。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地方各级人民政府可以根据本地区实际，对畜禽养殖场、养殖小区支出的建设项目环境影响咨询费用给予补助。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国家鼓励和支持对染疫畜禽、病死或者死因不明畜禽尸体进行集中无害化处理，并按照国家有关规定对处理费用、养殖损失给予适当补助。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畜禽养殖场、养殖小区排放污染物符合国家和地方规定的污染物排放标准和总量控制指标，自愿与环境保护主管部门签订进一步削减污染物排放量协议的，由县级人民政府按照国家有关规定给予奖励，并优先列入县级以上人民政府安排的环境保护和畜禽养殖发展相关财政资金扶持范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畜禽养殖户自愿建设综合利用和无害化处理设施、采取措施减少污染物排放的，可以依照本条例规定享受相关激励和扶持政策。</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各级人民政府环境保护主管部门、农牧主管部门以及其他有关部门未依照本条例规定履行职责的，对直接负责的主管人员和其他直接责任人员依法给予处分；直接负责的主管人员和其他直接责任人员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违反本条例规定，在禁止养殖区域内建设畜禽养殖场、养殖小区的，由县级以上地方人民政府环境保护主管部门责令停止违法行为；拒不停止违法行为的，处3万元以上10万元以下的罚款，并报县级以上人民政府责令拆除或者关闭。在饮用水水源保护区建设畜禽养殖场、养殖小区的，由县级以上地方人民政府环境保护主管部门责令停止违法行为，处10万元以上50万元以下的罚款，并报经有批准权的人民政府批准，责令拆除或者关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违反本条例规定，畜禽养殖场、养殖小区依法应当进行环境影响评价而未进行的，由有权审批该项目环境影响评价文件的环境保护主管部门责令停止建设，限期补办手续；逾期不补办手续的，处5万元以上20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违反本条例规定，未建设污染防治配套设施或者自行建设的配套设施不合格，也未委托他人对畜禽养殖废弃物进行综合利用和无害化处理，畜禽养殖场、养殖小区即投入生产、使用，或者建设的污染防治配套设施未正常运行的，由县级以上人民政府环境保护主管部门责令停止生产或者使用，可以处10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违反本条例规定，有下列行为之一的，由县级以上地方人民政府环境保护主管部门责令停止违法行为，限期采取治理措施消除污染，依照《中华人民共和国水污染防治法》、《中华人民共和国固体废物污染环境防治法》的有关规定予以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（一）将畜禽养殖废弃物用作肥料，超出土地消纳能力，造成环境污染的；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（二）从事畜禽养殖活动或者畜禽养殖废弃物处理活动，未采取有效措施，导致畜禽养殖废弃物渗出、泄漏的。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排放畜禽养殖废弃物不符合国家或者地方规定的污染物排放标准或者总量控制指标，或者未经无害化处理直接向环境排放畜禽养殖废弃物的，由县级以上地方人民政府环境保护主管部门责令限期治理，可以处5万元以下的罚款。县级以上地方人民政府环境保护主管部门作出限期治理决定后，应当会同同级人民政府农牧等有关部门对整改措施的落实情况及时进行核查，并向社会公布核查结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未按照规定对染疫畜禽和病害畜禽养殖废弃物进行无害化处理的，由动物卫生监督机构责令无害化处理，所需处理费用由违法行为人承担，可以处3000元以下的罚款。</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第四十三条 </w:t>
      </w:r>
      <w:r>
        <w:rPr>
          <w:rFonts w:hint="eastAsia" w:ascii="仿宋" w:hAnsi="仿宋" w:eastAsia="仿宋" w:cs="仿宋"/>
          <w:sz w:val="32"/>
          <w:szCs w:val="32"/>
        </w:rPr>
        <w:t>畜禽养殖场、养殖小区的具体规模标准由省级人民政府确定，并报国务院环境保护主管部门和国务院农牧主管部门备案。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本条例自2014年1月1日起施行。</w:t>
      </w:r>
    </w:p>
    <w:p>
      <w:pPr>
        <w:rPr>
          <w:rFonts w:hint="eastAsia" w:ascii="宋体" w:hAnsi="宋体" w:eastAsia="宋体" w:cs="宋体"/>
          <w:b w:val="0"/>
          <w:bCs w:val="0"/>
          <w:lang w:eastAsia="zh-CN"/>
        </w:rPr>
      </w:pPr>
    </w:p>
    <w:p>
      <w:pPr>
        <w:rPr>
          <w:rFonts w:hint="eastAsia" w:ascii="宋体" w:hAnsi="宋体" w:eastAsia="宋体" w:cs="宋体"/>
          <w:b w:val="0"/>
          <w:bCs w:val="0"/>
          <w:lang w:eastAsia="zh-CN"/>
        </w:rPr>
      </w:pPr>
      <w:r>
        <w:rPr>
          <w:rFonts w:hint="eastAsia" w:ascii="宋体" w:hAnsi="宋体" w:eastAsia="宋体" w:cs="宋体"/>
          <w:b w:val="0"/>
          <w:bCs w:val="0"/>
          <w:lang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50" w:name="_Toc17846"/>
      <w:r>
        <w:rPr>
          <w:rFonts w:hint="eastAsia" w:ascii="宋体" w:hAnsi="宋体" w:eastAsia="宋体" w:cs="宋体"/>
          <w:sz w:val="44"/>
          <w:szCs w:val="44"/>
        </w:rPr>
        <w:t>生猪屠宰管理条例</w:t>
      </w:r>
      <w:bookmarkEnd w:id="250"/>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（1997年12月19日中华人民共和国国务院令第238号公布　2007年12月19日国务院第201次常务会议修订通过　根据2011年1月8日《国务院关于废止和修改部分行政法规的决定》第一次修订　根据2016年2月6日《国务院关于修改部分行政法规的决定》第二次修订）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为了加强生猪屠宰管理，保证生猪产品质量安全，保障人民身体健康，制定本条例。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国家实行生猪定点屠宰、集中检疫制度。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未经定点，任何单位和个人不得从事生猪屠宰活动。但是，农村地区个人自宰自食的除外。</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在边远和交通不便的农村地区，可以设置仅限于向本地市场供应生猪产品的小型生猪屠宰场点，具体管理办法由省、自治区、直辖市制定。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国务院畜牧兽医行政主管部门负责全国生猪屠宰的行业管理工作。县级以上地方人民政府畜牧兽医行政主管部门负责本行政区域内生猪屠宰活动的监督管理。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县级以上人民政府有关部门在各自职责范围内负责生猪屠宰活动的相关管理工作。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国家根据生猪定点屠宰厂（场）的规模、生产和技术条件以及质量安全管理状况，推行生猪定点屠宰厂（场）分级管理制度，鼓励、引导、扶持生猪定点屠宰厂（场）改善生产和技术条件，加强质量安全管理，提高生猪产品质量安全水平。生猪定点屠宰厂（场）分级管理的具体办法由国务院畜牧兽医行政主管部门制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生猪定点屠宰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生猪定点屠宰厂（场）的设置规划（以下简称设置规划），由省、自治区、直辖市人民政府畜牧兽医行政主管部门会同环境保护主管部门以及其他有关部门，按照合理布局、适当集中、有利流通、方便群众的原则，结合本地实际情况制订，报本级人民政府批准后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第六条 </w:t>
      </w:r>
      <w:r>
        <w:rPr>
          <w:rFonts w:hint="eastAsia" w:ascii="仿宋" w:hAnsi="仿宋" w:eastAsia="仿宋" w:cs="仿宋"/>
          <w:sz w:val="32"/>
          <w:szCs w:val="32"/>
        </w:rPr>
        <w:t>生猪定点屠宰厂（场）由设区的市级人民政府根据设置规划，组织畜牧兽医行政主管部门、环境保护主管部门以及其他有关部门，依照本条例规定的条件进行审查，经征求省、自治区、直辖市人民政府畜牧兽医行政主管部门的意见确定，并颁发生猪定点屠宰证书和生猪定点屠宰标志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设区的市级人民政府应当将其确定的生猪定点屠宰厂（场）名单及时向社会公布，并报省、自治区、直辖市人民政府备案。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生猪定点屠宰厂（场）应当将生猪定点屠宰标志牌悬挂于厂（场）区的显著位置。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生猪定点屠宰证书和生猪定点屠宰标志牌不得出借、转让。任何单位和个人不得冒用或者使用伪造的生猪定点屠宰证书和生猪定点屠宰标志牌。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生猪定点屠宰厂（场）应当具备下列条件：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（一）有与屠宰规模相适应、水质符合国家规定标准的水源条件；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（二）有符合国家规定要求的待宰间、屠宰间、急宰间以及生猪屠宰设备和运载工具；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（三）有依法取得健康证明的屠宰技术人员；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（四）有经考核合格的肉品品质检验人员；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（五）有符合国家规定要求的检验设备、消毒设施以及符合环境保护要求的污染防治设施；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（六）有病害生猪及生猪产品无害化处理设施；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（七）依法取得动物防疫条件合格证。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生猪屠宰的检疫及其监督，依照动物防疫法和国务院的有关规定执行。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生猪屠宰的卫生检验及其监督，依照食品安全法的规定执行。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生猪定点屠宰厂（场）屠宰的生猪，应当依法经动物卫生监督机构检疫合格，并附有检疫证明。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生猪定点屠宰厂（场）屠宰生猪，应当符合国家规定的操作规程和技术要求。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生猪定点屠宰厂（场）应当如实记录其屠宰的生猪来源和生猪产品流向。生猪来源和生猪产品流向记录保存期限不得少于2年。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第十三条 </w:t>
      </w:r>
      <w:r>
        <w:rPr>
          <w:rFonts w:hint="eastAsia" w:ascii="仿宋" w:hAnsi="仿宋" w:eastAsia="仿宋" w:cs="仿宋"/>
          <w:sz w:val="32"/>
          <w:szCs w:val="32"/>
        </w:rPr>
        <w:t>生猪定点屠宰厂（场）应当建立严格的肉品品质检验管理制度。肉品品质检验应当与生猪屠宰同步进行，并如实记录检验结果。检验结果记录保存期限不得少于2年。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经肉品品质检验合格的生猪产品，生猪定点屠宰厂（场）应当加盖肉品品质检验合格验讫印章或者附具肉品品质检验合格标志。经肉品品质检验不合格的生猪产品，应当在肉品品质检验人员的监督下，按照国家有关规定处理，并如实记录处理情况；处理情况记录保存期限不得少于2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生猪定点屠宰厂（场）的生猪产品未经肉品品质检验或者经肉品品质检验不合格的，不得出厂（场）。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生猪定点屠宰厂（场）对病害生猪及生猪产品进行无害化处理的费用和损失，按照国务院财政部门的规定，由国家财政予以适当补助。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生猪定点屠宰厂（场）以及其他任何单位和个人不得对生猪或者生猪产品注水或者注入其他物质。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生猪定点屠宰厂（场）不得屠宰注水或者注入其他物质的生猪。</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生猪定点屠宰厂（场）对未能及时销售或者及时出厂（场）的生猪产品，应当采取冷冻或者冷藏等必要措施予以储存。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任何单位和个人不得为未经定点违法从事生猪屠宰活动的单位或者个人提供生猪屠宰场所或者生猪产品储存设施，不得为对生猪或者生猪产品注水或者注入其他物质的单位或者个人提供场所。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从事生猪产品销售、肉食品生产加工的单位和个人以及餐饮服务经营者、集体伙食单位销售、使用的生猪产品，应当是生猪定点屠宰厂（场）经检疫和肉品品质检验合格的生猪产品。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地方人民政府及其有关部门不得限制外地生猪定点屠宰厂（场）经检疫和肉品品质检验合格的生猪产品进入本地市场。</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县级以上地方人民政府应当加强对生猪屠宰监督管理工作的领导，及时协调、解决生猪屠宰监督管理工作中的重大问题。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畜牧兽医行政主管部门应当依照本条例的规定严格履行职责，加强对生猪屠宰活动的日常监督检查。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畜牧兽医行政主管部门依法进行监督检查，可以采取下列措施：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（一）进入生猪屠宰等有关场所实施现场检查；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（二）向有关单位和个人了解情况；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（三）查阅、复制有关记录、票据以及其他资料；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（四）查封与违法生猪屠宰活动有关的场所、设施，扣押与违法生猪屠宰活动有关的生猪、生猪产品以及屠宰工具和设备。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畜牧兽医行政主管部门进行监督检查时，监督检查人员不得少于2人，并应当出示执法证件。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对畜牧兽医行政主管部门依法进行的监督检查，有关单位和个人应当予以配合，不得拒绝、阻挠。</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畜牧兽医行政主管部门应当建立举报制度，公布举报电话、信箱或者电子邮箱，受理对违反本条例规定行为的举报，并及时依法处理。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第二十三条 </w:t>
      </w:r>
      <w:r>
        <w:rPr>
          <w:rFonts w:hint="eastAsia" w:ascii="仿宋" w:hAnsi="仿宋" w:eastAsia="仿宋" w:cs="仿宋"/>
          <w:sz w:val="32"/>
          <w:szCs w:val="32"/>
        </w:rPr>
        <w:t>畜牧兽医行政主管部门在监督检查中发现生猪定点屠宰厂（场）不再具备本条例规定条件的，应当责令其限期整改；逾期仍达不到本条例规定条件的，由设区的市级人民政府取消其生猪定点屠宰厂（场）资格。</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违反本条例规定，未经定点从事生猪屠宰活动的，由畜牧兽医行政主管部门予以取缔，没收生猪、生猪产品、屠宰工具和设备以及违法所得，并处货值金额3倍以上5倍以下的罚款；货值金额难以确定的，对单位并处10万元以上20万元以下的罚款，对个人并处5000元以上1万元以下的罚款；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冒用或者使用伪造的生猪定点屠宰证书或者生猪定点屠宰标志牌的，依照前款的规定处罚。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生猪定点屠宰厂（场）出借、转让生猪定点屠宰证书或者生猪定点屠宰标志牌的，由设区的市级人民政府取消其生猪定点屠宰厂（场）资格；有违法所得的，由畜牧兽医行政主管部门没收违法所得。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生猪定点屠宰厂（场）有下列情形之一的，由畜牧兽医行政主管部门责令限期改正，处2万元以上5万元以下的罚款；逾期不改正的，责令停业整顿，对其主要负责人处5000元以上1万元以下的罚款：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（一）屠宰生猪不符合国家规定的操作规程和技术要求的；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（二）未如实记录其屠宰的生猪来源和生猪产品流向的；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（三）未建立或者实施肉品品质检验制度的；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（四）对经肉品品质检验不合格的生猪产品未按照国家有关规定处理并如实记录处理情况的。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生猪定点屠宰厂（场）出厂（场）未经肉品品质检验或者经肉品品质检验不合格的生猪产品的，由畜牧兽医行政主管部门责令停业整顿，没收生猪产品和违法所得，并处货值金额1倍以上3倍以下的罚款，对其主要负责人处1万元以上2万元以下的罚款；货值金额难以确定的，并处5万元以上10万元以下的罚款；造成严重后果的，由设区的市级人民政府取消其生猪定点屠宰厂（场）资格；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生猪定点屠宰厂（场）、其他单位或者个人对生猪、生猪产品注水或者注入其他物质的，由畜牧兽医行政主管部门没收注水或者注入其他物质的生猪、生猪产品、注水工具和设备以及违法所得，并处货值金额3倍以上5倍以下的罚款，对生猪定点屠宰厂（场）或者其他单位的主要负责人处1万元以上2万元以下的罚款；货值金额难以确定的，对生猪定点屠宰厂（场）或者其他单位并处5万元以上10万元以下的罚款，对个人并处1万元以上2万元以下的罚款；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猪定点屠宰厂（场）对生猪、生猪产品注水或者注入其他物质的，除依照前款的规定处罚外，还应当由畜牧兽医行政主管部门责令停业整顿；造成严重后果，或者两次以上对生猪、生猪产品注水或者注入其他物质的，由设区的市级人民政府取消其生猪定点屠宰厂（场）资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生猪定点屠宰厂（场）屠宰注水或者注入其他物质的生猪的，由畜牧兽医行政主管部门责令改正，没收注水或者注入其他物质的生猪、生猪产品以及违法所得，并处货值金额1倍以上3倍以下的罚款，对其主要负责人处1万元以上2万元以下的罚款；货值金额难以确定的，并处2万元以上5万元以下的罚款；拒不改正的，责令停业整顿；造成严重后果的，由设区的市级人民政府取消其生猪定点屠宰厂（场）资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从事生猪产品销售、肉食品生产加工的单位和个人以及餐饮服务经营者、集体伙食单位，销售、使用非生猪定点屠宰厂（场）屠宰的生猪产品、未经肉品品质检验或者经肉品品质检验不合格的生猪产品以及注水或者注入其他物质的生猪产品的，由食品药品监督管理部门没收尚未销售、使用的相关生猪产品以及违法所得，并处货值金额3倍以上5倍以下的罚款；货值金额难以确定的，对单位处5万元以上10万元以下的罚款，对个人处1万元以上2万元以下的罚款；情节严重的，由发证（照）机关吊销有关证照；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为未经定点违法从事生猪屠宰活动的单位或者个人提供生猪屠宰场所或者生猪产品储存设施，或者为对生猪、生猪产品注水或者注入其他物质的单位或者个人提供场所的，由畜牧兽医行政主管部门责令改正，没收违法所得，对单位并处2万元以上5万元以下的罚款，对个人并处5000元以上1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畜牧兽医行政主管部门和其他有关部门的工作人员在生猪屠宰监督管理工作中滥用职权、玩忽职守、徇私舞弊，构成犯罪的，依法追究刑事责任；尚不构成犯罪的，依法给予处分。</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省、自治区、直辖市人民政府确定实行定点屠宰的其他动物的屠宰管理办法，由省、自治区、直辖市根据本地区的实际情况，参照本条例制定。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本条例所称生猪产品，是指生猪屠宰后未经加工的胴体、肉、脂、脏器、血液、骨、头、蹄、皮。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本条例施行前设立的生猪定点屠宰厂（场），自本条例施行之日起180日内，由设区的市级人民政府换发生猪定点屠宰标志牌，并发给生猪定点屠宰证书。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生猪定点屠宰证书、生猪定点屠宰标志牌以及肉品品质检验合格验讫印章和肉品品质检验合格标志的式样，由国务院畜牧兽医行政主管部门统一规定。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本条例自2008年8月1日起施行。</w:t>
      </w:r>
    </w:p>
    <w:p>
      <w:pPr>
        <w:rPr>
          <w:rFonts w:hint="eastAsia" w:ascii="宋体" w:hAnsi="宋体" w:eastAsia="宋体" w:cs="宋体"/>
          <w:b w:val="0"/>
          <w:bCs w:val="0"/>
          <w:lang w:eastAsia="zh-CN"/>
        </w:rPr>
      </w:pPr>
      <w:r>
        <w:rPr>
          <w:rFonts w:hint="eastAsia" w:ascii="宋体" w:hAnsi="宋体" w:eastAsia="宋体" w:cs="宋体"/>
          <w:b w:val="0"/>
          <w:bCs w:val="0"/>
          <w:lang w:eastAsia="zh-CN"/>
        </w:rPr>
        <w:br w:type="page"/>
      </w:r>
    </w:p>
    <w:p>
      <w:pPr>
        <w:pStyle w:val="4"/>
        <w:widowControl w:val="0"/>
        <w:wordWrap/>
        <w:adjustRightInd/>
        <w:snapToGrid/>
        <w:spacing w:before="0" w:after="0" w:line="560" w:lineRule="exact"/>
        <w:jc w:val="center"/>
        <w:textAlignment w:val="auto"/>
        <w:outlineLvl w:val="0"/>
        <w:rPr>
          <w:rFonts w:hint="eastAsia" w:ascii="Times New Roman" w:hAnsi="Times New Roman"/>
          <w:lang w:eastAsia="zh-CN"/>
        </w:rPr>
      </w:pPr>
      <w:bookmarkStart w:id="251" w:name="_Toc17555"/>
      <w:r>
        <w:rPr>
          <w:rFonts w:hint="eastAsia" w:ascii="宋体" w:hAnsi="宋体" w:eastAsia="宋体" w:cs="宋体"/>
          <w:b w:val="0"/>
          <w:bCs w:val="0"/>
          <w:lang w:eastAsia="zh-CN"/>
        </w:rPr>
        <w:t>病原微生物实验室生物安全管理条例</w:t>
      </w:r>
      <w:bookmarkEnd w:id="240"/>
      <w:bookmarkEnd w:id="241"/>
      <w:bookmarkEnd w:id="242"/>
      <w:bookmarkEnd w:id="243"/>
      <w:bookmarkEnd w:id="244"/>
      <w:bookmarkEnd w:id="245"/>
      <w:bookmarkEnd w:id="246"/>
      <w:bookmarkEnd w:id="247"/>
      <w:bookmarkEnd w:id="248"/>
      <w:bookmarkEnd w:id="251"/>
    </w:p>
    <w:p>
      <w:pPr>
        <w:widowControl w:val="0"/>
        <w:wordWrap/>
        <w:adjustRightInd/>
        <w:snapToGrid/>
        <w:spacing w:line="560" w:lineRule="exact"/>
        <w:jc w:val="center"/>
        <w:textAlignment w:val="auto"/>
        <w:rPr>
          <w:rFonts w:hint="eastAsia"/>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lang w:eastAsia="zh-CN"/>
        </w:rPr>
        <w:t>（</w:t>
      </w:r>
      <w:r>
        <w:rPr>
          <w:rFonts w:hint="eastAsia" w:ascii="楷体" w:hAnsi="楷体" w:eastAsia="楷体" w:cs="楷体"/>
          <w:szCs w:val="32"/>
        </w:rPr>
        <w:t>2004年11月</w:t>
      </w:r>
      <w:r>
        <w:rPr>
          <w:rFonts w:hint="eastAsia" w:ascii="楷体" w:hAnsi="楷体" w:eastAsia="楷体" w:cs="楷体"/>
          <w:szCs w:val="32"/>
          <w:lang w:val="en-US" w:eastAsia="zh-CN"/>
        </w:rPr>
        <w:t>12</w:t>
      </w:r>
      <w:r>
        <w:rPr>
          <w:rFonts w:hint="eastAsia" w:ascii="楷体" w:hAnsi="楷体" w:eastAsia="楷体" w:cs="楷体"/>
          <w:szCs w:val="32"/>
        </w:rPr>
        <w:t>日国务院</w:t>
      </w:r>
      <w:r>
        <w:rPr>
          <w:rFonts w:hint="eastAsia" w:ascii="楷体" w:hAnsi="楷体" w:eastAsia="楷体" w:cs="楷体"/>
          <w:szCs w:val="32"/>
          <w:lang w:eastAsia="zh-CN"/>
        </w:rPr>
        <w:t>令</w:t>
      </w:r>
      <w:r>
        <w:rPr>
          <w:rFonts w:hint="eastAsia" w:ascii="楷体" w:hAnsi="楷体" w:eastAsia="楷体" w:cs="楷体"/>
          <w:szCs w:val="32"/>
        </w:rPr>
        <w:t>第424号</w:t>
      </w:r>
      <w:r>
        <w:rPr>
          <w:rFonts w:hint="eastAsia" w:ascii="楷体" w:hAnsi="楷体" w:eastAsia="楷体" w:cs="楷体"/>
          <w:szCs w:val="32"/>
          <w:lang w:eastAsia="zh-CN"/>
        </w:rPr>
        <w:t>公布</w:t>
      </w:r>
      <w:r>
        <w:rPr>
          <w:rFonts w:hint="eastAsia" w:ascii="楷体" w:hAnsi="楷体" w:eastAsia="楷体" w:cs="楷体"/>
          <w:szCs w:val="32"/>
          <w:lang w:val="en-US" w:eastAsia="zh-CN"/>
        </w:rPr>
        <w:t xml:space="preserve"> 根据2016年2月6日《国务院关于修改部分行政法规的决定》第一次修正　根据2018年3月19日《国务院关于修改和废止部分行政法规的决定》第二次修正</w:t>
      </w:r>
      <w:r>
        <w:rPr>
          <w:rFonts w:hint="eastAsia" w:ascii="楷体" w:hAnsi="楷体" w:eastAsia="楷体" w:cs="楷体"/>
          <w:szCs w:val="32"/>
          <w:lang w:eastAsia="zh-CN"/>
        </w:rPr>
        <w:t>）</w:t>
      </w:r>
    </w:p>
    <w:p>
      <w:pPr>
        <w:widowControl w:val="0"/>
        <w:wordWrap/>
        <w:adjustRightInd/>
        <w:snapToGrid/>
        <w:spacing w:line="560" w:lineRule="exact"/>
        <w:jc w:val="right"/>
        <w:textAlignment w:val="auto"/>
        <w:rPr>
          <w:rFonts w:hint="eastAsia"/>
        </w:rPr>
      </w:pPr>
    </w:p>
    <w:p>
      <w:pPr>
        <w:widowControl w:val="0"/>
        <w:wordWrap/>
        <w:adjustRightInd/>
        <w:snapToGrid/>
        <w:spacing w:line="560" w:lineRule="exact"/>
        <w:ind w:right="0"/>
        <w:jc w:val="center"/>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第一章 总 则</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为了加强病原微生物实验室（以下称实验室）生物安全管理，保护实验室工作人员和公众的健康，制定本条例。</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第二条</w:t>
      </w:r>
      <w:r>
        <w:rPr>
          <w:rFonts w:hint="eastAsia" w:ascii="仿宋_GB2312" w:hAnsi="仿宋_GB2312" w:eastAsia="仿宋_GB2312" w:cs="仿宋_GB2312"/>
          <w:sz w:val="32"/>
          <w:szCs w:val="32"/>
        </w:rPr>
        <w:t>　对中华人民共和国境内的实验室及其从事实验活动的生物安全管理，适用本条例。</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本条例所称病原微生物，是指能够使人或者动物致病的微生物。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本条例所称实验活动，是指实验室从事与病原微生物菌（毒）种、样本有关的研究、教学、检测、诊断等活动。</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第三条</w:t>
      </w:r>
      <w:r>
        <w:rPr>
          <w:rFonts w:hint="eastAsia" w:ascii="仿宋_GB2312" w:hAnsi="仿宋_GB2312" w:eastAsia="仿宋_GB2312" w:cs="仿宋_GB2312"/>
          <w:sz w:val="32"/>
          <w:szCs w:val="32"/>
        </w:rPr>
        <w:t>　国务院卫生主管部门主管与人体健康有关的实验室及其实验活动的生物安全监督工作。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国务院兽医主管部门主管与动物有关的实验室及其实验活动的生物安全监督工作。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国务院其他有关部门在各自职责范围内负责实验室及其实验活动的生物安全管理工作。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县级以上地方人民政府及其有关部门在各自职责范围内负责实验室及其实验活动的生物安全管理工作。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第四条</w:t>
      </w:r>
      <w:r>
        <w:rPr>
          <w:rFonts w:hint="eastAsia" w:ascii="仿宋_GB2312" w:hAnsi="仿宋_GB2312" w:eastAsia="仿宋_GB2312" w:cs="仿宋_GB2312"/>
          <w:sz w:val="32"/>
          <w:szCs w:val="32"/>
        </w:rPr>
        <w:t>　国家对病原微生物实行分类管理，对实验室实行分级管理。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国家实行统一的实验室生物安全标准。实验室应当符合国家标准和要求。</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第六条</w:t>
      </w:r>
      <w:r>
        <w:rPr>
          <w:rFonts w:hint="eastAsia" w:ascii="仿宋_GB2312" w:hAnsi="仿宋_GB2312" w:eastAsia="仿宋_GB2312" w:cs="仿宋_GB2312"/>
          <w:sz w:val="32"/>
          <w:szCs w:val="32"/>
        </w:rPr>
        <w:t>　实验室的设立单位及其主管部门负责实验室日常活动的管理，承担建立健全安全管理制度，检查、维护实验设施、设备，控制实验室感染的职责。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第二章 病原微生物的分类和管理</w:t>
      </w:r>
    </w:p>
    <w:p>
      <w:pPr>
        <w:widowControl w:val="0"/>
        <w:wordWrap/>
        <w:adjustRightInd/>
        <w:snapToGrid/>
        <w:spacing w:line="560" w:lineRule="exact"/>
        <w:ind w:left="0" w:leftChars="0" w:right="0" w:firstLine="640" w:firstLineChars="200"/>
        <w:jc w:val="left"/>
        <w:textAlignment w:val="auto"/>
        <w:outlineLvl w:val="9"/>
        <w:rPr>
          <w:rFonts w:hint="eastAsia" w:ascii="黑体" w:hAnsi="黑体" w:eastAsia="黑体" w:cs="黑体"/>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第七条</w:t>
      </w:r>
      <w:r>
        <w:rPr>
          <w:rFonts w:hint="eastAsia" w:ascii="仿宋_GB2312" w:hAnsi="仿宋_GB2312" w:eastAsia="仿宋_GB2312" w:cs="仿宋_GB2312"/>
          <w:sz w:val="32"/>
          <w:szCs w:val="32"/>
        </w:rPr>
        <w:t>　国家根据病原微生物的传染性、感染后对个体或者群体的危害程度，将病原微生物分为四类：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第一类病原微生物，是指能够引起人类或者动物非常严重疾病的微生物，以及我国尚未发现或者已经宣布消灭的微生物。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第二类病原微生物，是指能够引起人类或者动物严重疾病，比较容易直接或者间接在人与人、动物与人、动物与动物间传播的微生物。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第三类病原微生物，是指能够引起人类或者动物疾病，但一般情况下对人、动物或者环境不构成严重危害，传播风险有限，实验室感染后很少引起严重疾病，并且具备有效治疗和预防措施的微生物。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第四类病原微生物，是指在通常情况下不会引起人类或者动物疾病的微生物。</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第一类、第二类病原微生物统称为高致病性病原微生物。 </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第八条</w:t>
      </w:r>
      <w:r>
        <w:rPr>
          <w:rFonts w:hint="eastAsia" w:ascii="仿宋_GB2312" w:hAnsi="仿宋_GB2312" w:eastAsia="仿宋_GB2312" w:cs="仿宋_GB2312"/>
          <w:sz w:val="32"/>
          <w:szCs w:val="32"/>
        </w:rPr>
        <w:t>　人间传染的病原微生物名录由国务院卫生主管部门商国务院有关部门后制定、调整并予以公布；动物间传染的病原微生物名录由国务院兽医主管部门商国务院有关部门后制定、调整并予以公布。 </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采集病原微生物样本应当具备下列条件：</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（一）具有与采集病原微生物样本所需要的生物安全防护水平相适应的设备；</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（二）具有掌握相关专业知识和操作技能的工作人员；</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（三）具有有效的防止病原微生物扩散和感染的措施；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（四）具有保证病原微生物样本质量的技术方法和手段。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采集高致病性病原微生物样本的工作人员在采集过程中应当防止病原微生物扩散和感染，并对样本的来源、采集过程和方法等作详细记录。</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第十条　运输高致病性病原微生物菌（毒）种或者样本，应当通过陆路运输；没有陆路通道，必须经水路运输的，可以通过水路运输；紧急情况下或者需要将高致病性病原微生物菌（毒）种或者样本运往国外的，可以通过民用航空运输。</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第十一条　运输高致病性病原微生物菌（毒）种或者样本，应当具备下列条件：</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（一）运输目的、高致病性病原微生物的用途和接收单位符合国务院卫生主管部门或者兽医主管部门的规定；</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（二）高致病性病原微生物菌（毒）种或者样本的容器应当密封，容器或者包装材料还应当符合防水、防破损、防外泄、耐高（低）温、耐高压的要求；</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（三）容器或者包装材料上应当印有国务院卫生主管部门或者兽医主管部门规定的生物危险标识、警告用语和提示用语。</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运输高致病性病原微生物菌（毒）种或者样本，应当经省级以上人民政府卫生主管部门或者兽医主管部门批准。在省、自治区、直辖市行政区域内运输的，由省、自治区、直辖市人民政府卫生主管部门或者兽医主管部门批准；需要跨省、自治区、直辖市运输或者运往国外的，由出发地的省、自治区、直辖市人民政府卫生主管部门或者兽医主管部门进行初审后，分别报国务院卫生主管部门或者兽医主管部门批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出入境检验检疫机构在检验检疫过程中需要运输病原微生物样本的，由国务院出入境检验检疫部门批准，并同时向国务院卫生主管部门或者兽医主管部门通报。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通过民用航空运输高致病性病原微生物菌（毒）种或者样本的，除依照本条第二款、第三款规定取得批准外，还应当经国务院民用航空主管部门批准。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有关主管部门应当对申请人提交的关于运输高致病性病原微生物菌（毒）种或者样本的申请材料进行审查，对符合本条第一款规定条件的，应当即时批准。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第十二条</w:t>
      </w:r>
      <w:r>
        <w:rPr>
          <w:rFonts w:hint="eastAsia" w:ascii="仿宋_GB2312" w:hAnsi="仿宋_GB2312" w:eastAsia="仿宋_GB2312" w:cs="仿宋_GB2312"/>
          <w:sz w:val="32"/>
          <w:szCs w:val="32"/>
        </w:rPr>
        <w:t>　运输高致病性病原微生物菌（毒）种或者样本，应当由不少于2人的专人护送，并采取相应的防护措施。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有关单位或者个人不得通过公共电（汽）车和城市铁路运输病原微生物菌（毒）种或者样本。</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第十三条</w:t>
      </w:r>
      <w:r>
        <w:rPr>
          <w:rFonts w:hint="eastAsia" w:ascii="仿宋_GB2312" w:hAnsi="仿宋_GB2312" w:eastAsia="仿宋_GB2312" w:cs="仿宋_GB2312"/>
          <w:sz w:val="32"/>
          <w:szCs w:val="32"/>
        </w:rPr>
        <w:t>　需要通过铁路、公路、民用航空等公共交通工具运输高致病性病原微生物菌（毒）种或者样本的，承运单位应当凭本条例第十一条规定的批准文件予以运输。</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承运单位应当与护送人共同采取措施，确保所运输的高致病性病原微生物菌（毒）种或者样本的安全，严防发生被盗、被抢、丢失、泄漏事件。</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第十四条</w:t>
      </w:r>
      <w:r>
        <w:rPr>
          <w:rFonts w:hint="eastAsia" w:ascii="仿宋_GB2312" w:hAnsi="仿宋_GB2312" w:eastAsia="仿宋_GB2312" w:cs="仿宋_GB2312"/>
          <w:sz w:val="32"/>
          <w:szCs w:val="32"/>
        </w:rPr>
        <w:t>　国务院卫生主管部门或者兽医主管部门指定的菌（毒）种保藏中心或者专业实验室（以下称保藏机构），承担集中储存病原微生物菌（毒）种和样本的任务。</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保藏机构应当依照国务院卫生主管部门或者兽医主管部门的规定，储存实验室送交的病原微生物菌（毒）种和样本，并向实验室提供病原微生物菌（毒）种和样本。</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保藏机构应当制定严格的安全保管制度，作好病原微生物菌（毒）种和样本进出和储存的记录，建立档案制度，并指定专人负责。对高致病性病原微生物菌（毒）种和样本应当设专库或者专柜单独储存。</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保藏机构储存、提供病原微生物菌（毒）种和样本，不得收取任何费用，其经费由同级财政在单位预算中予以保障。</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保藏机构的管理办法由国务院卫生主管部门会同国务院兽医主管部门制定。</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第十五条</w:t>
      </w:r>
      <w:r>
        <w:rPr>
          <w:rFonts w:hint="eastAsia" w:ascii="仿宋_GB2312" w:hAnsi="仿宋_GB2312" w:eastAsia="仿宋_GB2312" w:cs="仿宋_GB2312"/>
          <w:sz w:val="32"/>
          <w:szCs w:val="32"/>
        </w:rPr>
        <w:t>　保藏机构应当凭实验室依照本条例的规定取得的从事高致病性病原微生物相关实验活动的批准文件，向实验室提供高致病性病原微生物菌（毒）种和样本，并予以登记。</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第十六条</w:t>
      </w:r>
      <w:r>
        <w:rPr>
          <w:rFonts w:hint="eastAsia" w:ascii="仿宋_GB2312" w:hAnsi="仿宋_GB2312" w:eastAsia="仿宋_GB2312" w:cs="仿宋_GB2312"/>
          <w:sz w:val="32"/>
          <w:szCs w:val="32"/>
        </w:rPr>
        <w:t>　实验室在相关实验活动结束后，应当依照国务院卫生主管部门或者兽医主管部门的规定，及时将病原微生物菌（毒）种和样本就地销毁或者送交保藏机构保管。</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保藏机构接受实验室送交的病原微生物菌（毒）种和样本，应当予以登记，并开具接收证明。</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第十七条</w:t>
      </w:r>
      <w:r>
        <w:rPr>
          <w:rFonts w:hint="eastAsia" w:ascii="仿宋_GB2312" w:hAnsi="仿宋_GB2312" w:eastAsia="仿宋_GB2312" w:cs="仿宋_GB2312"/>
          <w:sz w:val="32"/>
          <w:szCs w:val="32"/>
        </w:rPr>
        <w:t>　高致病性病原微生物菌（毒）种或者样本在运输、储存中被盗、被抢、丢失、泄漏的，承运单位、护送人、保藏机构应当采取必要的控制措施，并在2小时内分别向承运单位的主管部门、护送人所在单位和保藏机构的主管部门报告，同时向所在地的县级人民政府卫生主管部门或者兽医主管部门报告，发生被盗、被抢、丢失的，还应当向公安机关报告；接到报告的卫生主管部门或者兽医主管部门应当在2小时内向本级人民政府报告，并同时向上级人民政府卫生主管部门或者兽医主管部门和国务院卫生主管部门或者兽医主管部门报告。</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人民政府应当在接到报告后2小时内向设区的市级人民政府或者上一级人民政府报告；设区的市级人民政府应当在接到报告后2小时内向省、自治区、直辖市人民政府报告。省、自治区、直辖市人民政府应当在接到报告后1小时内，向国务院卫生主管部门或者兽医主管部门报告。</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单位和个人发现高致病性病原微生物菌（毒）种或者样本的容器或者包装材料，应当及时向附近的卫生主管部门或者兽医主管部门报告；接到报告的卫生主管部门或者兽医主管部门应当及时组织调查核实，并依法采取必要的控制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第三章 实验室的设立与管理</w:t>
      </w:r>
    </w:p>
    <w:p>
      <w:pPr>
        <w:widowControl w:val="0"/>
        <w:wordWrap/>
        <w:adjustRightInd/>
        <w:snapToGrid/>
        <w:spacing w:line="560" w:lineRule="exact"/>
        <w:ind w:left="0" w:leftChars="0" w:right="0" w:firstLine="640" w:firstLineChars="200"/>
        <w:jc w:val="left"/>
        <w:textAlignment w:val="auto"/>
        <w:outlineLvl w:val="9"/>
        <w:rPr>
          <w:rFonts w:hint="eastAsia" w:ascii="黑体" w:hAnsi="黑体" w:eastAsia="黑体" w:cs="黑体"/>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第十八条</w:t>
      </w:r>
      <w:r>
        <w:rPr>
          <w:rFonts w:hint="eastAsia" w:ascii="仿宋_GB2312" w:hAnsi="仿宋_GB2312" w:eastAsia="仿宋_GB2312" w:cs="仿宋_GB2312"/>
          <w:sz w:val="32"/>
          <w:szCs w:val="32"/>
        </w:rPr>
        <w:t>　国家根据实验室对病原微生物的生物安全防护水平，并依照实验室生物安全国家标准的规定，将实验室分为一级、二级、三级、四级。</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第十九条</w:t>
      </w:r>
      <w:r>
        <w:rPr>
          <w:rFonts w:hint="eastAsia" w:ascii="仿宋_GB2312" w:hAnsi="仿宋_GB2312" w:eastAsia="仿宋_GB2312" w:cs="仿宋_GB2312"/>
          <w:sz w:val="32"/>
          <w:szCs w:val="32"/>
        </w:rPr>
        <w:t>　新建、改建、扩建三级、四级实验室或者生产、进口移动式三级、四级实验室应当遵守下列规定：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（一）符合国家生物安全实验室体系规划并依法履行有关审批手续；</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（二）经国务院科技主管部门审查同意；</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（三）符合国家生物安全实验室建筑技术规范；</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（四）依照《中华人民共和国环境影响评价法》的规定进行环境影响评价并经环境保护主管部门审查批准；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（五）生物安全防护级别与其拟从事的实验活动相适应。</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前款规定所称国家生物安全实验室体系规划，由国务院投资主管部门会同国务院有关部门制定。制定国家生物安全实验室体系规划应当遵循总量控制、合理布局、资源共享的原则，并应当召开听证会或者论证会，听取公共卫生、环境保护、投资管理和实验室管理等方面专家的意见。</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第二十条</w:t>
      </w:r>
      <w:r>
        <w:rPr>
          <w:rFonts w:hint="eastAsia" w:ascii="仿宋_GB2312" w:hAnsi="仿宋_GB2312" w:eastAsia="仿宋_GB2312" w:cs="仿宋_GB2312"/>
          <w:sz w:val="32"/>
          <w:szCs w:val="32"/>
        </w:rPr>
        <w:t>　三级、四级实验室应当通过实验室国家认可。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认证认可监督管理部门确定的认可机构应当依照实验室生物安全国家标准以及本条例的有关规定，对三级、四级实验室进行认可；实验室通过认可的，颁发相应级别的生物安全实验室证书。证书有效期为5年。</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第二十一条</w:t>
      </w:r>
      <w:r>
        <w:rPr>
          <w:rFonts w:hint="eastAsia" w:ascii="仿宋_GB2312" w:hAnsi="仿宋_GB2312" w:eastAsia="仿宋_GB2312" w:cs="仿宋_GB2312"/>
          <w:sz w:val="32"/>
          <w:szCs w:val="32"/>
        </w:rPr>
        <w:t>　一级、二级实验室不得从事高致病性病原微生物实验活动。三级、四级实验室从事高致病性病原微生物实验活动，应当具备下列条件：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（一）实验目的和拟从事的实验活动符合国务院卫生主管部门或者兽医主管部门的规定；</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（二）具有与拟从事的实验活动相适应的工作人员；</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（三）工程质量经建筑主管部门依法检测验收合格。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国务院卫生主管部门或者兽医主管部门依照各自职责对三级、四级实验室是否符合上述条件进行审查；对符合条件的，发给从事高致病性病原微生物实验活动的资格证书。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第二十二条</w:t>
      </w:r>
      <w:r>
        <w:rPr>
          <w:rFonts w:hint="eastAsia" w:ascii="仿宋_GB2312" w:hAnsi="仿宋_GB2312" w:eastAsia="仿宋_GB2312" w:cs="仿宋_GB2312"/>
          <w:sz w:val="32"/>
          <w:szCs w:val="32"/>
        </w:rPr>
        <w:t>　三级、四级实验室，需要从事某种高致病性病原微生物或者疑似高致病性病原微生物实验活动的，应当依照国务院卫生主管部门或者兽医主管部门的规定报省级以上人民政府卫生主管部门或者兽医主管部门批准。实验活动结果以及工作情况应当向原批准部门报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申报或者接受与高致病性病原微生物有关的科研项目，应当符合科研需要和生物安全要求，具有相应的生物安全防护水平。与动物间传染的高致病性病原微生物有关的科研项目，应当经国务院兽医主管部门同意；与人体健康有关的高致病性病原微生物科研项目，实验室应当将立项结果告知省级以上人民政府卫生主管部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第二十三条</w:t>
      </w:r>
      <w:r>
        <w:rPr>
          <w:rFonts w:hint="eastAsia" w:ascii="仿宋_GB2312" w:hAnsi="仿宋_GB2312" w:eastAsia="仿宋_GB2312" w:cs="仿宋_GB2312"/>
          <w:sz w:val="32"/>
          <w:szCs w:val="32"/>
        </w:rPr>
        <w:t>　出入境检验检疫机构、医疗卫生机构、动物防疫机构在实验室开展检测、诊断工作时，发现高致病性病原微生物或者疑似高致病性病原微生物，需要进一步从事这类高致病性病原微生物相关实验活动的，应当依照本条例的规定经批准同意，并在具备相应条件的实验室中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专门从事检测、诊断的实验室应当严格依照国务院卫生主管部门或者兽医主管部门的规定，建立健全规章制度，保证实验室生物安全。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第二十四条　</w:t>
      </w:r>
      <w:r>
        <w:rPr>
          <w:rFonts w:hint="eastAsia" w:ascii="仿宋_GB2312" w:hAnsi="仿宋_GB2312" w:eastAsia="仿宋_GB2312" w:cs="仿宋_GB2312"/>
          <w:sz w:val="32"/>
          <w:szCs w:val="32"/>
        </w:rPr>
        <w:t>省级以上人民政府卫生主管部门或者兽医主管部门应当自收到需要从事高致病性病原微生物相关实验活动的申请之日起15日内作出是否批准的决定。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出入境检验检疫机构为了检验检疫工作的紧急需要，申请在实验室对高致病性病原微生物或者疑似高致病性病原微生物开展进一步实验活动的，省级以上人民政府卫生主管部门或者兽医主管部门应当自收到申请之时起2小时内作出是否批准的决定；2小时内未作出决定的，实验室可以从事相应的实验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省级以上人民政府卫生主管部门或者兽医主管部门应当为申请人通过电报、电传、传真、电子数据交换和电子邮件等方式提出申请提供方便。</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第二十五条　</w:t>
      </w:r>
      <w:r>
        <w:rPr>
          <w:rFonts w:hint="eastAsia" w:ascii="仿宋_GB2312" w:hAnsi="仿宋_GB2312" w:eastAsia="仿宋_GB2312" w:cs="仿宋_GB2312"/>
          <w:sz w:val="32"/>
          <w:szCs w:val="32"/>
        </w:rPr>
        <w:t>新建、改建或者扩建一级、二级实验室，应当向设区的市级人民政府卫生主管部门或者兽医主管部门备案。设区的市级人民政府卫生主管部门或者兽医主管部门应当每年将备案情况汇总后报省、自治区、直辖市人民政府卫生主管部门或者兽医主管部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第二十六条　</w:t>
      </w:r>
      <w:r>
        <w:rPr>
          <w:rFonts w:hint="eastAsia" w:ascii="仿宋_GB2312" w:hAnsi="仿宋_GB2312" w:eastAsia="仿宋_GB2312" w:cs="仿宋_GB2312"/>
          <w:sz w:val="32"/>
          <w:szCs w:val="32"/>
        </w:rPr>
        <w:t>国务院卫生主管部门和兽医主管部门应当定期汇总并互相通报实验室数量和实验室设立、分布情况，以及三级、四级实验室从事高致病性病原微生物实验活动的情况。。</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第二十七条</w:t>
      </w:r>
      <w:r>
        <w:rPr>
          <w:rFonts w:hint="eastAsia" w:ascii="仿宋_GB2312" w:hAnsi="仿宋_GB2312" w:eastAsia="仿宋_GB2312" w:cs="仿宋_GB2312"/>
          <w:sz w:val="32"/>
          <w:szCs w:val="32"/>
        </w:rPr>
        <w:t>　已经建成并通过实验室国家认可的三级、四级实验室应当向所在地的县级人民政府环境保护主管部门备案。环境保护主管部门依照法律、行政法规的规定对实验室排放的废水、废气和其他废物处置情况进行监督检查。</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第二十八条</w:t>
      </w:r>
      <w:r>
        <w:rPr>
          <w:rFonts w:hint="eastAsia" w:ascii="仿宋_GB2312" w:hAnsi="仿宋_GB2312" w:eastAsia="仿宋_GB2312" w:cs="仿宋_GB2312"/>
          <w:sz w:val="32"/>
          <w:szCs w:val="32"/>
        </w:rPr>
        <w:t>　对我国尚未发现或者已经宣布消灭的病原微生物，任何单位和个人未经批准不得从事相关实验活动。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为了预防、控制传染病，需要从事前款所指病原微生物相关实验活动的，应当经国务院卫生主管部门或者兽医主管部门批准，并在批准部门指定的专业实验室中进行。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第二十九条</w:t>
      </w:r>
      <w:r>
        <w:rPr>
          <w:rFonts w:hint="eastAsia" w:ascii="仿宋_GB2312" w:hAnsi="仿宋_GB2312" w:eastAsia="仿宋_GB2312" w:cs="仿宋_GB2312"/>
          <w:sz w:val="32"/>
          <w:szCs w:val="32"/>
        </w:rPr>
        <w:t>　实验室使用新技术、新方法从事高致病性病原微生物相关实验活动的，应当符合防止高致病性病原微生物扩散、保证生物安全和操作者人身安全的要求，并经国家病原微生物实验室生物安全专家委员会论证；经论证可行的，方可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第三十条</w:t>
      </w:r>
      <w:r>
        <w:rPr>
          <w:rFonts w:hint="eastAsia" w:ascii="仿宋_GB2312" w:hAnsi="仿宋_GB2312" w:eastAsia="仿宋_GB2312" w:cs="仿宋_GB2312"/>
          <w:sz w:val="32"/>
          <w:szCs w:val="32"/>
        </w:rPr>
        <w:t>　需要在动物体上从事高致病性病原微生物相关实验活动的，应当在符合动物实验室生物安全国家标准的三级以上实验室进行。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第三十一条</w:t>
      </w:r>
      <w:r>
        <w:rPr>
          <w:rFonts w:hint="eastAsia" w:ascii="仿宋_GB2312" w:hAnsi="仿宋_GB2312" w:eastAsia="仿宋_GB2312" w:cs="仿宋_GB2312"/>
          <w:sz w:val="32"/>
          <w:szCs w:val="32"/>
        </w:rPr>
        <w:t>　实验室的设立单位负责实验室的生物安全管理。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实验室的设立单位应当依照本条例的规定制定科学、严格的管理制度，并定期对有关生物安全规定的落实情况进行检查，定期对实验室设施、设备、材料等进行检查、维护和更新，以确保其符合国家标准。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实验室的设立单位及其主管部门应当加强对实验室日常活动的管理。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实验室负责人为实验室生物安全的第一责任人。</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实验室从事实验活动应当严格遵守有关国家标准和实验室技术规范、操作规程。实验室负责人应当指定专人监督检查实验室技术规范和操作规程的落实情况。</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第三十三条</w:t>
      </w:r>
      <w:r>
        <w:rPr>
          <w:rFonts w:hint="eastAsia" w:ascii="仿宋_GB2312" w:hAnsi="仿宋_GB2312" w:eastAsia="仿宋_GB2312" w:cs="仿宋_GB2312"/>
          <w:sz w:val="32"/>
          <w:szCs w:val="32"/>
        </w:rPr>
        <w:t>　从事高致病性病原微生物相关实验活动的实验室的设立单位，应当建立健全安全保卫制度，采取安全保卫措施，严防高致病性病原微生物被盗、被抢、丢失、泄漏，保障实验室及其病原微生物的安全。实验室发生高致病性病原微生物被盗、被抢、丢失、泄漏的，实验室的设立单位应当依照本条例第十七条的规定进行报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从事高致病性病原微生物相关实验活动的实验室应当向当地公安机关备案，并接受公安机关有关实验室安全保卫工作的监督指导。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第三十四条</w:t>
      </w:r>
      <w:r>
        <w:rPr>
          <w:rFonts w:hint="eastAsia" w:ascii="仿宋_GB2312" w:hAnsi="仿宋_GB2312" w:eastAsia="仿宋_GB2312" w:cs="仿宋_GB2312"/>
          <w:sz w:val="32"/>
          <w:szCs w:val="32"/>
        </w:rPr>
        <w:t>　实验室或者实验室的设立单位应当每年定期对工作人员进行培训，保证其掌握实验室技术规范、操作规程、生物安全防护知识和实际操作技能，并进行考核。工作人员经考核合格的，方可上岗。</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从事高致病性病原微生物相关实验活动的实验室，应当每半年将培训、考核其工作人员的情况和实验室运行情况向省、自治区、直辖市人民政府卫生主管部门或者兽医主管部门报告。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第三十五条</w:t>
      </w:r>
      <w:r>
        <w:rPr>
          <w:rFonts w:hint="eastAsia" w:ascii="仿宋_GB2312" w:hAnsi="仿宋_GB2312" w:eastAsia="仿宋_GB2312" w:cs="仿宋_GB2312"/>
          <w:sz w:val="32"/>
          <w:szCs w:val="32"/>
        </w:rPr>
        <w:t>　从事高致病性病原微生物相关实验活动应当有2名以上的工作人员共同进行。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从事高致病性病原微生物相关实验活动的实验室的工作人员或者其他有关人员，应当经实验室负责人批准。实验室应当为其提供符合防护要求的防护用品并采取其他职业防护措施。从事高致病性病原微生物相关实验活动的实验室，还应当对实验室工作人员进行健康监测，每年组织对其进行体检，并建立健康档案；必要时，应当对实验室工作人员进行预防接种。</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第三十六条</w:t>
      </w:r>
      <w:r>
        <w:rPr>
          <w:rFonts w:hint="eastAsia" w:ascii="仿宋_GB2312" w:hAnsi="仿宋_GB2312" w:eastAsia="仿宋_GB2312" w:cs="仿宋_GB2312"/>
          <w:sz w:val="32"/>
          <w:szCs w:val="32"/>
        </w:rPr>
        <w:t>　在同一个实验室的同一个独立安全区域内，只能同时从事一种高致病性病原微生物的相关实验活动。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第三十七条</w:t>
      </w:r>
      <w:r>
        <w:rPr>
          <w:rFonts w:hint="eastAsia" w:ascii="仿宋_GB2312" w:hAnsi="仿宋_GB2312" w:eastAsia="仿宋_GB2312" w:cs="仿宋_GB2312"/>
          <w:sz w:val="32"/>
          <w:szCs w:val="32"/>
        </w:rPr>
        <w:t>　实验室应当建立实验档案，记录实验室使用情况和安全监督情况。实验室从事高致病性病原微生物相关实验活动的实验档案保存期，不得少于20年。</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第三十八条　</w:t>
      </w:r>
      <w:r>
        <w:rPr>
          <w:rFonts w:hint="eastAsia" w:ascii="仿宋_GB2312" w:hAnsi="仿宋_GB2312" w:eastAsia="仿宋_GB2312" w:cs="仿宋_GB2312"/>
          <w:sz w:val="32"/>
          <w:szCs w:val="32"/>
        </w:rPr>
        <w:t>实验室应当依照环境保护的有关法律、行政法规和国务院有关部门的规定，对废水、废气以及其他废物进行处置，并制定相应的环境保护措施，防止环境污染。</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第三十九条</w:t>
      </w:r>
      <w:r>
        <w:rPr>
          <w:rFonts w:hint="eastAsia" w:ascii="仿宋_GB2312" w:hAnsi="仿宋_GB2312" w:eastAsia="仿宋_GB2312" w:cs="仿宋_GB2312"/>
          <w:sz w:val="32"/>
          <w:szCs w:val="32"/>
        </w:rPr>
        <w:t>　三级、四级实验室应当在明显位置标示国务院卫生主管部门和兽医主管部门规定的生物危险标识和生物安全实验室级别标志。</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第四十条</w:t>
      </w:r>
      <w:r>
        <w:rPr>
          <w:rFonts w:hint="eastAsia" w:ascii="仿宋_GB2312" w:hAnsi="仿宋_GB2312" w:eastAsia="仿宋_GB2312" w:cs="仿宋_GB2312"/>
          <w:sz w:val="32"/>
          <w:szCs w:val="32"/>
        </w:rPr>
        <w:t>　从事高致病性病原微生物相关实验活动的实验室应当制定实验室感染应急处置预案，并向该实验室所在地的省、自治区、直辖市人民政府卫生主管部门或者兽医主管部门备案。</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第四十一条</w:t>
      </w:r>
      <w:r>
        <w:rPr>
          <w:rFonts w:hint="eastAsia" w:ascii="仿宋_GB2312" w:hAnsi="仿宋_GB2312" w:eastAsia="仿宋_GB2312" w:cs="仿宋_GB2312"/>
          <w:sz w:val="32"/>
          <w:szCs w:val="32"/>
        </w:rPr>
        <w:t>　国务院卫生主管部门和兽医主管部门会同国务院有关部门组织病原学、免疫学、检验医学、流行病学、预防兽医学、环境保护和实验室管理等方面的专家，组成国家病原微生物实验室生物安全专家委员会。该委员会承担从事高致病性病原微生物相关实验活动的实验室的设立与运行的生物安全评估和技术咨询、论证工作。</w:t>
      </w:r>
    </w:p>
    <w:p>
      <w:pPr>
        <w:widowControl w:val="0"/>
        <w:wordWrap/>
        <w:adjustRightInd/>
        <w:snapToGrid/>
        <w:spacing w:line="560" w:lineRule="exact"/>
        <w:ind w:left="0" w:leftChars="0" w:right="0" w:firstLine="640" w:firstLineChars="200"/>
        <w:jc w:val="both"/>
        <w:textAlignment w:val="auto"/>
        <w:outlineLvl w:val="9"/>
        <w:rPr>
          <w:rFonts w:hint="eastAsia" w:ascii="微软雅黑" w:hAnsi="微软雅黑" w:eastAsia="微软雅黑" w:cs="微软雅黑"/>
          <w:i w:val="0"/>
          <w:caps w:val="0"/>
          <w:color w:val="000000"/>
          <w:spacing w:val="0"/>
          <w:szCs w:val="24"/>
        </w:rPr>
      </w:pPr>
      <w:r>
        <w:rPr>
          <w:rFonts w:hint="eastAsia" w:ascii="仿宋_GB2312" w:hAnsi="仿宋_GB2312" w:eastAsia="仿宋_GB2312" w:cs="仿宋_GB2312"/>
          <w:sz w:val="32"/>
          <w:szCs w:val="32"/>
        </w:rPr>
        <w:t>省、自治区、直辖市人民政府卫生主管部门和兽医主管部门会同同级人民政府有关部门组织病原学、免疫学、检验医学、流行病学、预防兽医学、环境保护和实验室管理等方面的专家，组成本地区病原微生物实验室生物安全专家委员会。该委员会承担本地区实验室设立和运行的技术咨询工作</w:t>
      </w:r>
      <w:r>
        <w:rPr>
          <w:rFonts w:hint="eastAsia" w:ascii="宋体" w:hAnsi="宋体" w:eastAsia="宋体" w:cs="宋体"/>
          <w:i w:val="0"/>
          <w:caps w:val="0"/>
          <w:color w:val="000000"/>
          <w:spacing w:val="0"/>
          <w:szCs w:val="24"/>
          <w:shd w:val="clear" w:color="060000" w:fill="FFFFFF"/>
        </w:rPr>
        <w:t>。</w:t>
      </w: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第四章 实验室感染控制</w:t>
      </w:r>
    </w:p>
    <w:p>
      <w:pPr>
        <w:widowControl w:val="0"/>
        <w:wordWrap/>
        <w:adjustRightInd/>
        <w:snapToGrid/>
        <w:spacing w:line="560" w:lineRule="exact"/>
        <w:ind w:left="0" w:leftChars="0" w:right="0" w:firstLine="640" w:firstLineChars="200"/>
        <w:jc w:val="left"/>
        <w:textAlignment w:val="auto"/>
        <w:outlineLvl w:val="9"/>
        <w:rPr>
          <w:rFonts w:hint="eastAsia" w:ascii="黑体" w:hAnsi="黑体" w:eastAsia="黑体" w:cs="黑体"/>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第四十二条</w:t>
      </w:r>
      <w:r>
        <w:rPr>
          <w:rFonts w:hint="eastAsia" w:ascii="仿宋_GB2312" w:hAnsi="仿宋_GB2312" w:eastAsia="仿宋_GB2312" w:cs="仿宋_GB2312"/>
          <w:sz w:val="32"/>
          <w:szCs w:val="32"/>
        </w:rPr>
        <w:t>　实验室的设立单位应当指定专门的机构或者人员承担实验室感染控制工作，定期检查实验室的生物安全防护、病原微生物菌（毒）种和样本保存与使用、安全操作、实验室排放的废水和废气以及其他废物处置等规章制度的实施情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负责实验室感染控制工作的机构或者人员应当具有与该实验室中的病原微生物有关的传染病防治知识，并定期调查、了解实验室工作人员的健康状况。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第四十三条</w:t>
      </w:r>
      <w:r>
        <w:rPr>
          <w:rFonts w:hint="eastAsia" w:ascii="仿宋_GB2312" w:hAnsi="仿宋_GB2312" w:eastAsia="仿宋_GB2312" w:cs="仿宋_GB2312"/>
          <w:sz w:val="32"/>
          <w:szCs w:val="32"/>
        </w:rPr>
        <w:t>　实验室工作人员出现与本实验室从事的高致病性病原微生物相关实验活动有关的感染临床症状或者体征时，实验室负责人应当向负责实验室感染控制工作的机构或者人员报告，同时派专人陪同及时就诊；实验室工作人员应当将近期所接触的病原微生物的种类和危险程度如实告知诊治医疗机构。接诊的医疗机构应当及时救治；不具备相应救治条件的，应当依照规定将感染的实验室工作人员转诊至具备相应传染病救治条件的医疗机构；具备相应传染病救治条件的医疗机构应当接诊治疗，不得拒绝救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第四十四条　</w:t>
      </w:r>
      <w:r>
        <w:rPr>
          <w:rFonts w:hint="eastAsia" w:ascii="仿宋_GB2312" w:hAnsi="仿宋_GB2312" w:eastAsia="仿宋_GB2312" w:cs="仿宋_GB2312"/>
          <w:sz w:val="32"/>
          <w:szCs w:val="32"/>
        </w:rPr>
        <w:t>实验室发生高致病性病原微生物泄漏时，实验室工作人员应当立即采取控制措施，防止高致病性病原微生物扩散，并同时向负责实验室感染控制工作的机构或者人员报告。</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第四十五条　</w:t>
      </w:r>
      <w:r>
        <w:rPr>
          <w:rFonts w:hint="eastAsia" w:ascii="仿宋_GB2312" w:hAnsi="仿宋_GB2312" w:eastAsia="仿宋_GB2312" w:cs="仿宋_GB2312"/>
          <w:sz w:val="32"/>
          <w:szCs w:val="32"/>
        </w:rPr>
        <w:t>负责实验室感染控制工作的机构或者人员接到本条例第四十三条、第四十四条规定的报告后，应当立即启动实验室感染应急处置预案，并组织人员对该实验室生物安全状况等情况进行调查；确认发生实验室感染或者高致病性病原微生物泄漏的，应当依照本条例第十七条的规定进行报告，并同时采取控制措施，对有关人员进行医学观察或者隔离治疗，封闭实验室，防止扩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第四十六条　</w:t>
      </w:r>
      <w:r>
        <w:rPr>
          <w:rFonts w:hint="eastAsia" w:ascii="仿宋_GB2312" w:hAnsi="仿宋_GB2312" w:eastAsia="仿宋_GB2312" w:cs="仿宋_GB2312"/>
          <w:sz w:val="32"/>
          <w:szCs w:val="32"/>
        </w:rPr>
        <w:t>卫生主管部门或者兽医主管部门接到关于实验室发生工作人员感染事故或者病原微生物泄漏事件的报告，或者发现实验室从事病原微生物相关实验活动造成实验室感染事故的，应当立即组织疾病预防控制机构、动物防疫监督机构和医疗机构以及其他有关机构依法采取下列预防、控制措施：</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（一）封闭被病原微生物污染的实验室或者可能造成病原微生物扩散的场所；</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（二）开展流行病学调查；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（三）对病人进行隔离治疗，对相关人员进行医学检查；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（四）对密切接触者进行医学观察；</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（五）进行现场消毒；</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（六）对染疫或者疑似染疫的动物采取隔离、扑杀等措施；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（七）其他需要采取的预防、控制措施。</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第四十七条</w:t>
      </w:r>
      <w:r>
        <w:rPr>
          <w:rFonts w:hint="eastAsia" w:ascii="仿宋_GB2312" w:hAnsi="仿宋_GB2312" w:eastAsia="仿宋_GB2312" w:cs="仿宋_GB2312"/>
          <w:sz w:val="32"/>
          <w:szCs w:val="32"/>
        </w:rPr>
        <w:t>　医疗机构或者兽医医疗机构及其执行职务的医务人员发现由于实验室感染而引起的与高致病性病原微生物相关的传染病病人、疑似传染病病人或者患有疫病、疑似患有疫病的动物，诊治的医疗机构或者兽医医疗机构应当在2小时内报告所在地的县级人民政府卫生主管部门或者兽医主管部门；接到报告的卫生主管部门或者兽医主管部门应当在2小时内通报实验室所在地的县级人民政府卫生主管部门或者兽医主管部门。接到通报的卫生主管部门或者兽医主管部门应当依照本条例第四十六条的规定采取预防、控制措施。</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第四十八条</w:t>
      </w:r>
      <w:r>
        <w:rPr>
          <w:rFonts w:hint="eastAsia" w:ascii="仿宋_GB2312" w:hAnsi="仿宋_GB2312" w:eastAsia="仿宋_GB2312" w:cs="仿宋_GB2312"/>
          <w:sz w:val="32"/>
          <w:szCs w:val="32"/>
        </w:rPr>
        <w:t>　发生病原微生物扩散，有可能造成传染病暴发、流行时，县级以上人民政府卫生主管部门或者兽医主管部门应当依照有关法律、行政法规的规定以及实验室感染应急处置预案进行处理。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第五章 监督管理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第四十九条　</w:t>
      </w:r>
      <w:r>
        <w:rPr>
          <w:rFonts w:hint="eastAsia" w:ascii="仿宋_GB2312" w:hAnsi="仿宋_GB2312" w:eastAsia="仿宋_GB2312" w:cs="仿宋_GB2312"/>
          <w:sz w:val="32"/>
          <w:szCs w:val="32"/>
        </w:rPr>
        <w:t>县级以上地方人民政府卫生主管部门、兽医主管部门依照各自分工，履行下列职责：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（一）对病原微生物菌（毒）种、样本的采集、运输、储存进行监督检查；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（二）对从事高致病性病原微生物相关实验活动的实验室是否符合本条例规定的条件进行监督检查；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（三）对实验室或者实验室的设立单位培训、考核其工作人员以及上岗人员的情况进行监督检查；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（四）对实验室是否按照有关国家标准、技术规范和操作规程从事病原微生物相关实验活动进行监督检查。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县级以上地方人民政府卫生主管部门、兽医主管部门，应当主要通过检查反映实验室执行国家有关法律、行政法规以及国家标准和要求的记录、档案、报告，切实履行监督管理职责。</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第五十条</w:t>
      </w:r>
      <w:r>
        <w:rPr>
          <w:rFonts w:hint="eastAsia" w:ascii="仿宋_GB2312" w:hAnsi="仿宋_GB2312" w:eastAsia="仿宋_GB2312" w:cs="仿宋_GB2312"/>
          <w:sz w:val="32"/>
          <w:szCs w:val="32"/>
        </w:rPr>
        <w:t>　县级以上人民政府卫生主管部门、兽医主管部门、环境保护主管部门在履行监督检查职责时，有权进入被检查单位和病原微生物泄漏或者扩散现场调查取证、采集样品，查阅复制有关资料。需要进入从事高致病性病原微生物相关实验活动的实验室调查取证、采集样品的，应当指定或者委托专业机构实施。被检查单位应当予以配合，不得拒绝、阻挠。</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黑体" w:hAnsi="黑体" w:eastAsia="黑体" w:cs="黑体"/>
          <w:sz w:val="32"/>
          <w:szCs w:val="32"/>
        </w:rPr>
        <w:t>五十一条　</w:t>
      </w:r>
      <w:r>
        <w:rPr>
          <w:rFonts w:hint="eastAsia" w:ascii="仿宋_GB2312" w:hAnsi="仿宋_GB2312" w:eastAsia="仿宋_GB2312" w:cs="仿宋_GB2312"/>
          <w:sz w:val="32"/>
          <w:szCs w:val="32"/>
        </w:rPr>
        <w:t>国务院认证认可监督管理部门依照《中华人民共和国认证认可条例》的规定对实验室认可活动进行监督检查。</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第五十二条　</w:t>
      </w:r>
      <w:r>
        <w:rPr>
          <w:rFonts w:hint="eastAsia" w:ascii="仿宋_GB2312" w:hAnsi="仿宋_GB2312" w:eastAsia="仿宋_GB2312" w:cs="仿宋_GB2312"/>
          <w:sz w:val="32"/>
          <w:szCs w:val="32"/>
        </w:rPr>
        <w:t>卫生主管部门、兽医主管部门、环境保护主管部门应当依据法定的职权和程序履行职责，做到公正、公平、公开、文明、高效。</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第五十三条　</w:t>
      </w:r>
      <w:r>
        <w:rPr>
          <w:rFonts w:hint="eastAsia" w:ascii="仿宋_GB2312" w:hAnsi="仿宋_GB2312" w:eastAsia="仿宋_GB2312" w:cs="仿宋_GB2312"/>
          <w:sz w:val="32"/>
          <w:szCs w:val="32"/>
        </w:rPr>
        <w:t>卫生主管部门、兽医主管部门、环境保护主管部门的执法人员执行职务时，应当有2名以上执法人员参加，出示执法证件，并依照规定填写执法文书。</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现场检查笔录、采样记录等文书经核对无误后，应当由执法人员和被检查人、被采样人签名。被检查人、被采样人拒绝签名的，执法人员应当在自己签名后注明情况。</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第五十四条</w:t>
      </w:r>
      <w:r>
        <w:rPr>
          <w:rFonts w:hint="eastAsia" w:ascii="仿宋_GB2312" w:hAnsi="仿宋_GB2312" w:eastAsia="仿宋_GB2312" w:cs="仿宋_GB2312"/>
          <w:sz w:val="32"/>
          <w:szCs w:val="32"/>
        </w:rPr>
        <w:t>　卫生主管部门、兽医主管部门、环境保护主管部门及其执法人员执行职务，应当自觉接受社会和公民的监督。公民、法人和其他组织有权向上级人民政府及其卫生主管部门、兽医主管部门、环境保护主管部门举报地方人民政府及其有关主管部门不依照规定履行职责的情况。接到举报的有关人民政府或者其卫生主管部门、兽医主管部门、环境保护主管部门，应当及时调查处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第五十五条　</w:t>
      </w:r>
      <w:r>
        <w:rPr>
          <w:rFonts w:hint="eastAsia" w:ascii="仿宋_GB2312" w:hAnsi="仿宋_GB2312" w:eastAsia="仿宋_GB2312" w:cs="仿宋_GB2312"/>
          <w:sz w:val="32"/>
          <w:szCs w:val="32"/>
        </w:rPr>
        <w:t>上级人民政府卫生主管部门、兽医主管部门、环境保护主管部门发现属于下级人民政府卫生主管部门、兽医主管部门、环境保护主管部门职责范围内需要处理的事项的，应当及时告知该部门处理；下级人民政府卫生主管部门、兽医主管部门、环境保护主管部门不及时处理或者不积极履行本部门职责的，上级人民政府卫生主管部门、兽医主管部门、环境保护主管部门应当责令其限期改正；逾期不改正的，上级人民政府卫生主管部门、兽医主管部门、环境保护主管部门有权直接予以处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第六章 法律责任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第五十六条</w:t>
      </w:r>
      <w:r>
        <w:rPr>
          <w:rFonts w:hint="eastAsia" w:ascii="仿宋_GB2312" w:hAnsi="仿宋_GB2312" w:eastAsia="仿宋_GB2312" w:cs="仿宋_GB2312"/>
          <w:sz w:val="32"/>
          <w:szCs w:val="32"/>
        </w:rPr>
        <w:t>　三级、四级实验室未经批准从事某种高致病性病原微生物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黑体" w:hAnsi="黑体" w:eastAsia="黑体" w:cs="黑体"/>
          <w:sz w:val="32"/>
          <w:szCs w:val="32"/>
        </w:rPr>
        <w:t>五十七条</w:t>
      </w:r>
      <w:r>
        <w:rPr>
          <w:rFonts w:hint="eastAsia" w:ascii="仿宋_GB2312" w:hAnsi="仿宋_GB2312" w:eastAsia="仿宋_GB2312" w:cs="仿宋_GB2312"/>
          <w:sz w:val="32"/>
          <w:szCs w:val="32"/>
        </w:rPr>
        <w:t>　卫生主管部门或者兽医主管部门违反本条例的规定，准予不符合本条例规定条件的实验室从事高致病性病原微生物相关实验活动的，由作出批准决定的卫生主管部门或者兽医主管部门撤销原批准决定，责令有关实验室立即停止有关活动，并监督其将用于实验活动的病原微生物销毁或者送交保藏机构，对直接负责的主管人员和其他直接责任人员依法给予行政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因违法作出批准决定给当事人的合法权益造成损害的，作出批准决定的卫生主管部门或者兽医主管部门应当依法承担赔偿责任。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第五十八条</w:t>
      </w:r>
      <w:r>
        <w:rPr>
          <w:rFonts w:hint="eastAsia" w:ascii="仿宋_GB2312" w:hAnsi="仿宋_GB2312" w:eastAsia="仿宋_GB2312" w:cs="仿宋_GB2312"/>
          <w:sz w:val="32"/>
          <w:szCs w:val="32"/>
        </w:rPr>
        <w:t>　卫生主管部门或者兽医主管部门对出入境检验检疫机构为了检验检疫工作的紧急需要，申请在实验室对高致病性病原微生物或者疑似高致病性病原微生物开展进一步检测活动，不在法定期限内作出是否批准决定的，由其上级行政机关或者监察机关责令改正，给予警告；造成传染病传播、流行或者其他严重后果的，对直接负责的主管人员和其他直接责任人员依法给予撤职、开除的行政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第五十九条　</w:t>
      </w:r>
      <w:r>
        <w:rPr>
          <w:rFonts w:hint="eastAsia" w:ascii="仿宋_GB2312" w:hAnsi="仿宋_GB2312" w:eastAsia="仿宋_GB2312" w:cs="仿宋_GB2312"/>
          <w:sz w:val="32"/>
          <w:szCs w:val="32"/>
        </w:rPr>
        <w:t>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第六十条</w:t>
      </w:r>
      <w:r>
        <w:rPr>
          <w:rFonts w:hint="eastAsia" w:ascii="仿宋_GB2312" w:hAnsi="仿宋_GB2312" w:eastAsia="仿宋_GB2312" w:cs="仿宋_GB2312"/>
          <w:sz w:val="32"/>
          <w:szCs w:val="32"/>
        </w:rPr>
        <w:t>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（一）未依照规定在明显位置标示国务院卫生主管部门和兽医主管部门规定的生物危险标识和生物安全实验室级别标志的；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（二）未向原批准部门报告实验活动结果以及工作情况的；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（三）未依照规定采集病原微生物样本，或者对所采集样本的来源、采集过程和方法等未作详细记录的；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（四）新建、改建或者扩建一级、二级实验室未向设区的市级人民政府卫生主管部门或者兽医主管部门备案的；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（五）未依照规定定期对工作人员进行培训，或者工作人员考核不合格允许其上岗，或者批准未采取防护措施的人员进入实验室的；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（六）实验室工作人员未遵守实验室生物安全技术规范和操作规程的；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（七）未依照规定建立或者保存实验档案的；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（八）未依照规定制定实验室感染应急处置预案并备案的。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第六十一条　</w:t>
      </w:r>
      <w:r>
        <w:rPr>
          <w:rFonts w:hint="eastAsia" w:ascii="仿宋_GB2312" w:hAnsi="仿宋_GB2312" w:eastAsia="仿宋_GB2312" w:cs="仿宋_GB2312"/>
          <w:sz w:val="32"/>
          <w:szCs w:val="32"/>
        </w:rPr>
        <w:t>经依法批准从事高致病性病原微生物相关实验活动的实验室的设立单位未建立健全安全保卫制度，或者未采取安全保卫措施的，由县级以上地方人民政府卫生主管部门、兽医主管部门依照各自职责，责令限期改正；逾期不改正，导致高致病性病原微生物菌（毒）种、样本被盗、被抢或者造成其他严重后果的，责令停止该项实验活动，该实验室2年内不得申请从事高致病性病原微生物实验活动；造成传染病传播、流行的，该实验室设立单位的主管部门还应当对该实验室的设立单位的直接负责的主管人员和其他直接责任人员，依法给予降级、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第六十二条　</w:t>
      </w:r>
      <w:r>
        <w:rPr>
          <w:rFonts w:hint="eastAsia" w:ascii="仿宋_GB2312" w:hAnsi="仿宋_GB2312" w:eastAsia="仿宋_GB2312" w:cs="仿宋_GB2312"/>
          <w:sz w:val="32"/>
          <w:szCs w:val="32"/>
        </w:rPr>
        <w:t>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造成传染病传播、流行或者其他严重后果的，由托运单位和承运单位的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第六十三条　</w:t>
      </w:r>
      <w:r>
        <w:rPr>
          <w:rFonts w:hint="eastAsia" w:ascii="仿宋_GB2312" w:hAnsi="仿宋_GB2312" w:eastAsia="仿宋_GB2312" w:cs="仿宋_GB2312"/>
          <w:sz w:val="32"/>
          <w:szCs w:val="32"/>
        </w:rPr>
        <w:t>有下列行为之一的，由实验室所在地的设区的市级以上地方人民政府卫生主管部门、兽医主管部门依照各自职责，责令有关单位立即停止违法活动，监督其将病原微生物销毁或者送交保藏机构；造成传染病传播、流行或者其他严重后果的，由其所在单位或者其上级主管部门对主要负责人、直接负责的主管人员和其他直接责任人员，依法给予撤职、开除的处分；有许可证件的，并由原发证部门吊销有关许可证件；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（一）实验室在相关实验活动结束后，未依照规定及时将病原微生物菌（毒）种和样本就地销毁或者送交保藏机构保管的；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（二）实验室使用新技术、新方法从事高致病性病原微生物相关实验活动未经国家病原微生物实验室生物安全专家委员会论证的；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（三）未经批准擅自从事在我国尚未发现或者已经宣布消灭的病原微生物相关实验活动的；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（四）在未经指定的专业实验室从事在我国尚未发现或者已经宣布消灭的病原微生物相关实验活动的；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（五）在同一个实验室的同一个独立安全区域内同时从事两种或者两种以上高致病性病原微生物的相关实验活动的。</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第六十四条　</w:t>
      </w:r>
      <w:r>
        <w:rPr>
          <w:rFonts w:hint="eastAsia" w:ascii="仿宋_GB2312" w:hAnsi="仿宋_GB2312" w:eastAsia="仿宋_GB2312" w:cs="仿宋_GB2312"/>
          <w:sz w:val="32"/>
          <w:szCs w:val="32"/>
        </w:rPr>
        <w:t>认可机构对不符合实验室生物安全国家标准以及本条例规定条件的实验室予以认可，或者对符合实验室生物安全国家标准以及本条例规定条件的实验室不予认可的，由国务院认证认可监督管理部门责令限期改正，给予警告；造成传染病传播、流行或者其他严重后果的，由国务院认证认可监督管理部门撤销其认可资格，有上级主管部门的，由其上级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第六十五条</w:t>
      </w:r>
      <w:r>
        <w:rPr>
          <w:rFonts w:hint="eastAsia" w:ascii="仿宋_GB2312" w:hAnsi="仿宋_GB2312" w:eastAsia="仿宋_GB2312" w:cs="仿宋_GB2312"/>
          <w:sz w:val="32"/>
          <w:szCs w:val="32"/>
        </w:rPr>
        <w:t>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第六十六条　</w:t>
      </w:r>
      <w:r>
        <w:rPr>
          <w:rFonts w:hint="eastAsia" w:ascii="仿宋_GB2312" w:hAnsi="仿宋_GB2312" w:eastAsia="仿宋_GB2312" w:cs="仿宋_GB2312"/>
          <w:sz w:val="32"/>
          <w:szCs w:val="32"/>
        </w:rPr>
        <w:t>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第六十七条　</w:t>
      </w:r>
      <w:r>
        <w:rPr>
          <w:rFonts w:hint="eastAsia" w:ascii="仿宋_GB2312" w:hAnsi="仿宋_GB2312" w:eastAsia="仿宋_GB2312" w:cs="仿宋_GB2312"/>
          <w:sz w:val="32"/>
          <w:szCs w:val="32"/>
        </w:rPr>
        <w:t>发生病原微生物被盗、被抢、丢失、泄漏，承运单位、护送人、保藏机构和实验室的设立单位未依照本条例的规定报告的，由所在地的县级人民政府卫生主管部门或者兽医主管部门给予警告；造成传染病传播、流行或者其他严重后果的，由实验室的设立单位或者承运单位、保藏机构的上级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第六十八条　</w:t>
      </w:r>
      <w:r>
        <w:rPr>
          <w:rFonts w:hint="eastAsia" w:ascii="仿宋_GB2312" w:hAnsi="仿宋_GB2312" w:eastAsia="仿宋_GB2312" w:cs="仿宋_GB2312"/>
          <w:sz w:val="32"/>
          <w:szCs w:val="32"/>
        </w:rPr>
        <w:t>保藏机构未依照规定储存实验室送交的菌（毒）种和样本，或者未依照规定提供菌（毒）种和样本的，由其指定部门责令限期改正，收回违法提供的菌（毒）种和样本，并给予警告；造成传染病传播、流行或者其他严重后果的，由其所在单位或者其上级主管部门对主要负责人、直接负责的主管人员和其他直接责任人员，依法给予撤职、开除的处分；构成犯罪的，依法追究刑事责任。</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第六十九条　</w:t>
      </w:r>
      <w:r>
        <w:rPr>
          <w:rFonts w:hint="eastAsia" w:ascii="仿宋_GB2312" w:hAnsi="仿宋_GB2312" w:eastAsia="仿宋_GB2312" w:cs="仿宋_GB2312"/>
          <w:sz w:val="32"/>
          <w:szCs w:val="32"/>
        </w:rPr>
        <w:t>县级以上人民政府有关主管部门，未依照本条例的规定履行实验室及其实验活动监督检查职责的，由有关人民政府在各自职责范围内责令改正，通报批评；造成传染病传播、流行或者其他严重后果的，对直接负责的主管人员，依法给予行政处分；构成犯罪的，依法追究刑事责任。</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第七章 附 则</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第七十条 </w:t>
      </w:r>
      <w:r>
        <w:rPr>
          <w:rFonts w:hint="eastAsia" w:ascii="仿宋_GB2312" w:hAnsi="仿宋_GB2312" w:eastAsia="仿宋_GB2312" w:cs="仿宋_GB2312"/>
          <w:sz w:val="32"/>
          <w:szCs w:val="32"/>
        </w:rPr>
        <w:t>军队实验室由中国人民解放军卫生主管部门参照本条例负责监督管理。</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第七十一条 </w:t>
      </w:r>
      <w:r>
        <w:rPr>
          <w:rFonts w:hint="eastAsia" w:ascii="仿宋_GB2312" w:hAnsi="仿宋_GB2312" w:eastAsia="仿宋_GB2312" w:cs="仿宋_GB2312"/>
          <w:sz w:val="32"/>
          <w:szCs w:val="32"/>
        </w:rPr>
        <w:t>本条例施行前设立的实验室，应当自本条例施行之日起6个月内，依照本条例的规定，办理有关手续。</w:t>
      </w:r>
    </w:p>
    <w:p>
      <w:pPr>
        <w:widowControl w:val="0"/>
        <w:wordWrap/>
        <w:adjustRightInd/>
        <w:snapToGrid/>
        <w:spacing w:line="560" w:lineRule="exact"/>
        <w:ind w:left="0" w:leftChars="0" w:right="0" w:firstLine="640" w:firstLineChars="200"/>
        <w:jc w:val="left"/>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第七十二条 </w:t>
      </w:r>
      <w:r>
        <w:rPr>
          <w:rFonts w:hint="eastAsia" w:ascii="仿宋_GB2312" w:hAnsi="仿宋_GB2312" w:eastAsia="仿宋_GB2312" w:cs="仿宋_GB2312"/>
          <w:sz w:val="32"/>
          <w:szCs w:val="32"/>
        </w:rPr>
        <w:t>本条例自公布之日起施行。</w:t>
      </w:r>
    </w:p>
    <w:p>
      <w:pPr>
        <w:wordWrap/>
        <w:spacing w:line="560" w:lineRule="exact"/>
        <w:textAlignment w:val="auto"/>
        <w:rPr>
          <w:rFonts w:hint="eastAsia" w:ascii="宋体" w:hAnsi="宋体" w:cs="Arial"/>
          <w:kern w:val="0"/>
          <w:szCs w:val="32"/>
        </w:rPr>
      </w:pPr>
    </w:p>
    <w:p>
      <w:pPr>
        <w:wordWrap/>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宋体"/>
          <w:sz w:val="44"/>
          <w:szCs w:val="44"/>
        </w:rPr>
      </w:pPr>
      <w:bookmarkStart w:id="252" w:name="_Toc9559"/>
      <w:r>
        <w:rPr>
          <w:rFonts w:hint="eastAsia" w:ascii="宋体" w:hAnsi="宋体" w:eastAsia="宋体" w:cs="Arial"/>
          <w:bCs/>
          <w:sz w:val="44"/>
          <w:szCs w:val="44"/>
        </w:rPr>
        <w:t>中华人民共和国食品安全法实施条例</w:t>
      </w:r>
      <w:bookmarkEnd w:id="252"/>
    </w:p>
    <w:p>
      <w:pPr>
        <w:widowControl w:val="0"/>
        <w:wordWrap/>
        <w:adjustRightInd/>
        <w:snapToGrid/>
        <w:spacing w:after="0" w:line="560" w:lineRule="exact"/>
        <w:ind w:left="0" w:leftChars="0" w:right="0"/>
        <w:jc w:val="center"/>
        <w:textAlignment w:val="auto"/>
        <w:outlineLvl w:val="9"/>
        <w:rPr>
          <w:rFonts w:hint="eastAsia" w:ascii="宋体" w:hAnsi="宋体" w:eastAsia="宋体" w:cs="宋体"/>
          <w:sz w:val="44"/>
          <w:szCs w:val="44"/>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（2009年7月20日中华人民共和国国务院令第557号公布 根据2016年2月6日《国务院关于修改部分行政法规的决定》修订</w:t>
      </w:r>
      <w:r>
        <w:rPr>
          <w:rFonts w:hint="eastAsia" w:ascii="楷体" w:hAnsi="楷体" w:eastAsia="楷体" w:cs="楷体"/>
          <w:szCs w:val="32"/>
          <w:lang w:val="en-US" w:eastAsia="zh-CN"/>
        </w:rPr>
        <w:t xml:space="preserve">  </w:t>
      </w:r>
      <w:r>
        <w:rPr>
          <w:rFonts w:hint="eastAsia" w:ascii="楷体" w:hAnsi="楷体" w:eastAsia="楷体" w:cs="楷体"/>
          <w:szCs w:val="32"/>
        </w:rPr>
        <w:t>2019年3月26日国务院第42次常务会议修订通过）</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第一条</w:t>
      </w:r>
      <w:r>
        <w:rPr>
          <w:rFonts w:hint="eastAsia" w:ascii="仿宋_GB2312" w:hAnsi="仿宋_GB2312" w:eastAsia="仿宋_GB2312" w:cs="仿宋_GB2312"/>
          <w:sz w:val="32"/>
          <w:szCs w:val="32"/>
        </w:rPr>
        <w:t>　根据《中华人民共和国食品安全法》（以下简称食品安全法），制定本条例。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食品生产经营者应当依照法律、法规和食品安全标准从事生产经营活动，建立健全食品安全管理制度，采取有效措施预防和控制食品安全风险，保证食品安全。</w:t>
      </w:r>
    </w:p>
    <w:p>
      <w:pPr>
        <w:widowControl w:val="0"/>
        <w:wordWrap/>
        <w:adjustRightInd/>
        <w:snapToGrid/>
        <w:spacing w:after="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第三条</w:t>
      </w:r>
      <w:r>
        <w:rPr>
          <w:rFonts w:hint="eastAsia" w:ascii="仿宋_GB2312" w:hAnsi="仿宋_GB2312" w:eastAsia="仿宋_GB2312" w:cs="仿宋_GB2312"/>
          <w:sz w:val="32"/>
          <w:szCs w:val="32"/>
        </w:rPr>
        <w:t>　国务院食品安全委员会负责分析食品安全形势，研究部署、统筹指导食品安全工作，提出食品安全监督管理的重大政策措施，督促落实食品安全监督管理责任。县级以上地方人民政府食品安全委员会按照本级人民政府规定的职责开展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县级以上人民政府建立统一权威的食品安全监督管理体制，加强食品安全监督管理能力建设。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县级以上人民政府食品安全监督管理部门和其他有关部门应当依法履行职责，加强协调配合，做好食品安全监督管理工作。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乡镇人民政府和街道办事处应当支持、协助县级人民政府食品安全监督管理部门及其派出机构依法开展食品安全监督管理工作。</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第五条</w:t>
      </w:r>
      <w:r>
        <w:rPr>
          <w:rFonts w:hint="eastAsia" w:ascii="仿宋_GB2312" w:hAnsi="仿宋_GB2312" w:eastAsia="仿宋_GB2312" w:cs="仿宋_GB2312"/>
          <w:sz w:val="32"/>
          <w:szCs w:val="32"/>
        </w:rPr>
        <w:t>　国家将食品安全知识纳入国民素质教育内容，普及食品安全科学常识和法律知识，提高全社会的食品安全意识。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食品安全风险监测和评估</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第六条</w:t>
      </w:r>
      <w:r>
        <w:rPr>
          <w:rFonts w:hint="eastAsia" w:ascii="仿宋_GB2312" w:hAnsi="仿宋_GB2312" w:eastAsia="仿宋_GB2312" w:cs="仿宋_GB2312"/>
          <w:sz w:val="32"/>
          <w:szCs w:val="32"/>
        </w:rPr>
        <w:t>　县级以上人民政府卫生行政部门会同同级食品安全监督管理等部门建立食品安全风险监测会商机制，汇总、分析风险监测数据，研判食品安全风险，形成食品安全风险监测分析报告，报本级人民政府；县级以上地方人民政府卫生行政部门还应当将食品安全风险监测分析报告同时报上一级人民政府卫生行政部门。食品安全风险监测会商的具体办法由国务院卫生行政部门会同国务院食品安全监督管理等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食品安全风险监测结果表明存在食品安全隐患，食品安全监督管理等部门经进一步调查确认有必要通知相关食品生产经营者的，应当及时通知。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接到通知的食品生产经营者应当立即进行自查，发现食品不符合食品安全标准或者有证据证明可能危害人体健康的，应当依照食品安全法第六十三条的规定停止生产、经营，实施食品召回，并报告相关情况。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第八条</w:t>
      </w:r>
      <w:r>
        <w:rPr>
          <w:rFonts w:hint="eastAsia" w:ascii="仿宋_GB2312" w:hAnsi="仿宋_GB2312" w:eastAsia="仿宋_GB2312" w:cs="仿宋_GB2312"/>
          <w:sz w:val="32"/>
          <w:szCs w:val="32"/>
        </w:rPr>
        <w:t>　国务院卫生行政、食品安全监督管理等部门发现需要对农药、肥料、兽药、饲料和饲料添加剂等进行安全性评估的，应当向国务院农业行政部门提出安全性评估建议。国务院农业行政部门应当及时组织评估，并向国务院有关部门通报评估结果。</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国务院食品安全监督管理部门和其他有关部门建立食品安全风险信息交流机制，明确食品安全风险信息交流的内容、程序和要求。</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食品安全标准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第十条</w:t>
      </w:r>
      <w:r>
        <w:rPr>
          <w:rFonts w:hint="eastAsia" w:ascii="仿宋_GB2312" w:hAnsi="仿宋_GB2312" w:eastAsia="仿宋_GB2312" w:cs="仿宋_GB2312"/>
          <w:sz w:val="32"/>
          <w:szCs w:val="32"/>
        </w:rPr>
        <w:t>　国务院卫生行政部门会同国务院食品安全监督管理、农业行政等部门制定食品安全国家标准规划及其年度实施计划。国务院卫生行政部门应当在其网站上公布食品安全国家标准规划及其年度实施计划的草案，公开征求意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省、自治区、直辖市人民政府卫生行政部门依照食品安全法第二十九条的规定制定食品安全地方标准，应当公开征求意见。省、自治区、直辖市人民政府卫生行政部门应当自食品安全地方标准公布之日起30个工作日内，将地方标准报国务院卫生行政部门备案。国务院卫生行政部门发现备案的食品安全地方标准违反法律、法规或者食品安全国家标准的，应当及时予以纠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食品安全地方标准依法废止的，省、自治区、直辖市人民政府卫生行政部门应当及时在其网站上公布废止情况。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保健食品、特殊医学用途配方食品、婴幼儿配方食品等特殊食品不属于地方特色食品，不得对其制定食品安全地方标准。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第十三条</w:t>
      </w:r>
      <w:r>
        <w:rPr>
          <w:rFonts w:hint="eastAsia" w:ascii="仿宋_GB2312" w:hAnsi="仿宋_GB2312" w:eastAsia="仿宋_GB2312" w:cs="仿宋_GB2312"/>
          <w:sz w:val="32"/>
          <w:szCs w:val="32"/>
        </w:rPr>
        <w:t>　食品安全标准公布后，食品生产经营者可以在食品安全标准规定的实施日期之前实施并公开提前实施情况。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第十四条</w:t>
      </w:r>
      <w:r>
        <w:rPr>
          <w:rFonts w:hint="eastAsia" w:ascii="仿宋_GB2312" w:hAnsi="仿宋_GB2312" w:eastAsia="仿宋_GB2312" w:cs="仿宋_GB2312"/>
          <w:sz w:val="32"/>
          <w:szCs w:val="32"/>
        </w:rPr>
        <w:t>　食品生产企业不得制定低于食品安全国家标准或者地方标准要求的企业标准。食品生产企业制定食品安全指标严于食品安全国家标准或者地方标准的企业标准的，应当报省、自治区、直辖市人民政府卫生行政部门备案。</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食品生产企业制定企业标准的，应当公开，供公众免费查阅。</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食品生产经营</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第十五条</w:t>
      </w:r>
      <w:r>
        <w:rPr>
          <w:rFonts w:hint="eastAsia" w:ascii="仿宋_GB2312" w:hAnsi="仿宋_GB2312" w:eastAsia="仿宋_GB2312" w:cs="仿宋_GB2312"/>
          <w:sz w:val="32"/>
          <w:szCs w:val="32"/>
        </w:rPr>
        <w:t>　食品生产经营许可的有效期为5年。</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食品生产经营者的生产经营条件发生变化，不再符合食品生产经营要求的，食品生产经营者应当立即采取整改措施；需要重新办理许可手续的，应当依法办理。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国务院卫生行政部门应当及时公布新的食品原料、食品添加剂新品种和食品相关产品新品种目录以及所适用的食品安全国家标准。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对按照传统既是食品又是中药材的物质目录，国务院卫生行政部门会同国务院食品安全监督管理部门应当及时更新。</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第十七条</w:t>
      </w:r>
      <w:r>
        <w:rPr>
          <w:rFonts w:hint="eastAsia" w:ascii="仿宋_GB2312" w:hAnsi="仿宋_GB2312" w:eastAsia="仿宋_GB2312" w:cs="仿宋_GB2312"/>
          <w:sz w:val="32"/>
          <w:szCs w:val="32"/>
        </w:rPr>
        <w:t>　国务院食品安全监督管理部门会同国务院农业行政等有关部门明确食品安全全程追溯基本要求，指导食品生产经营者通过信息化手段建立、完善食品安全追溯体系。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食品安全监督管理等部门应当将婴幼儿配方食品等针对特定人群的食品以及其他食品安全风险较高或者销售量大的食品的追溯体系建设作为监督检查的重点。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第十八条</w:t>
      </w:r>
      <w:r>
        <w:rPr>
          <w:rFonts w:hint="eastAsia" w:ascii="仿宋_GB2312" w:hAnsi="仿宋_GB2312" w:eastAsia="仿宋_GB2312" w:cs="仿宋_GB2312"/>
          <w:sz w:val="32"/>
          <w:szCs w:val="32"/>
        </w:rPr>
        <w:t>　食品生产经营者应当建立食品安全追溯体系，依照食品安全法的规定如实记录并保存进货查验、出厂检验、食品销售等信息，保证食品可追溯。</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第十九条</w:t>
      </w:r>
      <w:r>
        <w:rPr>
          <w:rFonts w:hint="eastAsia" w:ascii="仿宋_GB2312" w:hAnsi="仿宋_GB2312" w:eastAsia="仿宋_GB2312" w:cs="仿宋_GB2312"/>
          <w:sz w:val="32"/>
          <w:szCs w:val="32"/>
        </w:rPr>
        <w:t>　食品生产经营企业的主要负责人对本企业的食品安全工作全面负责，建立并落实本企业的食品安全责任制，加强供货者管理、进货查验和出厂检验、生产经营过程控制、食品安全自查等工作。食品生产经营企业的食品安全管理人员应当协助企业主要负责人做好食品安全管理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第二十条</w:t>
      </w:r>
      <w:r>
        <w:rPr>
          <w:rFonts w:hint="eastAsia" w:ascii="仿宋_GB2312" w:hAnsi="仿宋_GB2312" w:eastAsia="仿宋_GB2312" w:cs="仿宋_GB2312"/>
          <w:sz w:val="32"/>
          <w:szCs w:val="32"/>
        </w:rPr>
        <w:t>　食品生产经营企业应当加强对食品安全管理人员的培训和考核。食品安全管理人员应当掌握与其岗位相适应的食品安全法律、法规、标准和专业知识，具备食品安全管理能力。食品安全监督管理部门应当对企业食品安全管理人员进行随机监督抽查考核。考核指南由国务院食品安全监督管理部门制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第二十一条　</w:t>
      </w:r>
      <w:r>
        <w:rPr>
          <w:rFonts w:hint="eastAsia" w:ascii="仿宋_GB2312" w:hAnsi="仿宋_GB2312" w:eastAsia="仿宋_GB2312" w:cs="仿宋_GB2312"/>
          <w:sz w:val="32"/>
          <w:szCs w:val="32"/>
        </w:rPr>
        <w:t>食品、食品添加剂生产经营者委托生产食品、食品添加剂的，应当委托取得食品生产许可、食品添加剂生产许可的生产者生产，并对其生产行为进行监督，对委托生产的食品、食品添加剂的安全负责。受托方应当依照法律、法规、食品安全标准以及合同约定进行生产，对生产行为负责，并接受委托方的监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第二十二条</w:t>
      </w:r>
      <w:r>
        <w:rPr>
          <w:rFonts w:hint="eastAsia" w:ascii="仿宋_GB2312" w:hAnsi="仿宋_GB2312" w:eastAsia="仿宋_GB2312" w:cs="仿宋_GB2312"/>
          <w:sz w:val="32"/>
          <w:szCs w:val="32"/>
        </w:rPr>
        <w:t>　食品生产经营者不得在食品生产、加工场所贮存依照本条例第六十三条规定制定的名录中的物质。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第二十三条</w:t>
      </w:r>
      <w:r>
        <w:rPr>
          <w:rFonts w:hint="eastAsia" w:ascii="仿宋_GB2312" w:hAnsi="仿宋_GB2312" w:eastAsia="仿宋_GB2312" w:cs="仿宋_GB2312"/>
          <w:sz w:val="32"/>
          <w:szCs w:val="32"/>
        </w:rPr>
        <w:t>　对食品进行辐照加工，应当遵守食品安全国家标准，并按照食品安全国家标准的要求对辐照加工食品进行检验和标注。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第二十四条</w:t>
      </w:r>
      <w:r>
        <w:rPr>
          <w:rFonts w:hint="eastAsia" w:ascii="仿宋_GB2312" w:hAnsi="仿宋_GB2312" w:eastAsia="仿宋_GB2312" w:cs="仿宋_GB2312"/>
          <w:sz w:val="32"/>
          <w:szCs w:val="32"/>
        </w:rPr>
        <w:t>　贮存、运输对温度、湿度等有特殊要求的食品，应当具备保温、冷藏或者冷冻等设备设施，并保持有效运行。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第二十五条</w:t>
      </w:r>
      <w:r>
        <w:rPr>
          <w:rFonts w:hint="eastAsia" w:ascii="仿宋_GB2312" w:hAnsi="仿宋_GB2312" w:eastAsia="仿宋_GB2312" w:cs="仿宋_GB2312"/>
          <w:sz w:val="32"/>
          <w:szCs w:val="32"/>
        </w:rPr>
        <w:t>　食品生产经营者委托贮存、运输食品的，应当对受托方的食品安全保障能力进行审核，并监督受托方按照保证食品安全的要求贮存、运输食品。受托方应当保证食品贮存、运输条件符合食品安全的要求，加强食品贮存、运输过程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接受食品生产经营者委托贮存、运输食品的，应当如实记录委托方和收货方的名称、地址、联系方式等内容。记录保存期限不得少于贮存、运输结束后2年。</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非食品生产经营者从事对温度、湿度等有特殊要求的食品贮存业务的，应当自取得营业执照之日起30个工作日内向所在地县级人民政府食品安全监督管理部门备案。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第二十六条</w:t>
      </w:r>
      <w:r>
        <w:rPr>
          <w:rFonts w:hint="eastAsia" w:ascii="仿宋_GB2312" w:hAnsi="仿宋_GB2312" w:eastAsia="仿宋_GB2312" w:cs="仿宋_GB2312"/>
          <w:sz w:val="32"/>
          <w:szCs w:val="32"/>
        </w:rPr>
        <w:t>　餐饮服务提供者委托餐具饮具集中消毒服务单位提供清洗消毒服务的，应当查验、留存餐具饮具集中消毒服务单位的营业执照复印件和消毒合格证明。保存期限不得少于消毒餐具饮具使用期限到期后6个月。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第二十七条</w:t>
      </w:r>
      <w:r>
        <w:rPr>
          <w:rFonts w:hint="eastAsia" w:ascii="仿宋_GB2312" w:hAnsi="仿宋_GB2312" w:eastAsia="仿宋_GB2312" w:cs="仿宋_GB2312"/>
          <w:sz w:val="32"/>
          <w:szCs w:val="32"/>
        </w:rPr>
        <w:t>　餐具饮具集中消毒服务单位应当建立餐具饮具出厂检验记录制度，如实记录出厂餐具饮具的数量、消毒日期和批号、使用期限、出厂日期以及委托方名称、地址、联系方式等内容。出厂检验记录保存期限不得少于消毒餐具饮具使用期限到期后6个月。消毒后的餐具饮具应当在独立包装上标注单位名称、地址、联系方式、消毒日期和批号以及使用期限等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第二十八条　</w:t>
      </w:r>
      <w:r>
        <w:rPr>
          <w:rFonts w:hint="eastAsia" w:ascii="仿宋_GB2312" w:hAnsi="仿宋_GB2312" w:eastAsia="仿宋_GB2312" w:cs="仿宋_GB2312"/>
          <w:sz w:val="32"/>
          <w:szCs w:val="32"/>
        </w:rPr>
        <w:t>学校、托幼机构、养老机构、建筑工地等集中用餐单位的食堂应当执行原料控制、餐具饮具清洗消毒、食品留样等制度，并依照食品安全法第四十七条的规定定期开展食堂食品安全自查。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承包经营集中用餐单位食堂的，应当依法取得食品经营许可，并对食堂的食品安全负责。集中用餐单位应当督促承包方落实食品安全管理制度，承担管理责任。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第二十九条</w:t>
      </w:r>
      <w:r>
        <w:rPr>
          <w:rFonts w:hint="eastAsia" w:ascii="仿宋_GB2312" w:hAnsi="仿宋_GB2312" w:eastAsia="仿宋_GB2312" w:cs="仿宋_GB2312"/>
          <w:sz w:val="32"/>
          <w:szCs w:val="32"/>
        </w:rPr>
        <w:t>　食品生产经营者应当对变质、超过保质期或者回收的食品进行显著标示或者单独存放在有明确标志的场所，及时采取无害化处理、销毁等措施并如实记录。</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食品安全法所称回收食品，是指已经售出，因违反法律、法规、食品安全标准或者超过保质期等原因，被召回或者退回的食品，不包括依照食品安全法第六十三条第三款的规定可以继续销售的食品。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第三十条</w:t>
      </w:r>
      <w:r>
        <w:rPr>
          <w:rFonts w:hint="eastAsia" w:ascii="仿宋_GB2312" w:hAnsi="仿宋_GB2312" w:eastAsia="仿宋_GB2312" w:cs="仿宋_GB2312"/>
          <w:sz w:val="32"/>
          <w:szCs w:val="32"/>
        </w:rPr>
        <w:t>　县级以上地方人民政府根据需要建设必要的食品无害化处理和销毁设施。食品生产经营者可以按照规定使用政府建设的设施对食品进行无害化处理或者予以销毁。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第三十一条</w:t>
      </w:r>
      <w:r>
        <w:rPr>
          <w:rFonts w:hint="eastAsia" w:ascii="仿宋_GB2312" w:hAnsi="仿宋_GB2312" w:eastAsia="仿宋_GB2312" w:cs="仿宋_GB2312"/>
          <w:sz w:val="32"/>
          <w:szCs w:val="32"/>
        </w:rPr>
        <w:t>　食品集中交易市场的开办者、食品展销会的举办者应当在市场开业或者展销会举办前向所在地县级人民政府食品安全监督管理部门报告。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网络食品交易第三方平台提供者应当妥善保存入网食品经营者的登记信息和交易信息。县级以上人民政府食品安全监督管理部门开展食品安全监督检查、食品安全案件调查处理、食品安全事故处置确需了解有关信息的，经其负责人批准，可以要求网络食品交易第三方平台提供者提供，网络食品交易第三方平台提供者应当按照要求提供。县级以上人民政府食品安全监督管理部门及其工作人员对网络食品交易第三方平台提供者提供的信息依法负有保密义务。</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第三十三条</w:t>
      </w:r>
      <w:r>
        <w:rPr>
          <w:rFonts w:hint="eastAsia" w:ascii="仿宋_GB2312" w:hAnsi="仿宋_GB2312" w:eastAsia="仿宋_GB2312" w:cs="仿宋_GB2312"/>
          <w:sz w:val="32"/>
          <w:szCs w:val="32"/>
        </w:rPr>
        <w:t>　生产经营转基因食品应当显著标示，标示办法由国务院食品安全监督管理部门会同国务院农业行政部门制定。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第三十四条</w:t>
      </w:r>
      <w:r>
        <w:rPr>
          <w:rFonts w:hint="eastAsia" w:ascii="仿宋_GB2312" w:hAnsi="仿宋_GB2312" w:eastAsia="仿宋_GB2312" w:cs="仿宋_GB2312"/>
          <w:sz w:val="32"/>
          <w:szCs w:val="32"/>
        </w:rPr>
        <w:t>　禁止利用包括会议、讲座、健康咨询在内的任何方式对食品进行虚假宣传。食品安全监督管理部门发现虚假宣传行为的，应当依法及时处理。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第三十五条</w:t>
      </w:r>
      <w:r>
        <w:rPr>
          <w:rFonts w:hint="eastAsia" w:ascii="仿宋_GB2312" w:hAnsi="仿宋_GB2312" w:eastAsia="仿宋_GB2312" w:cs="仿宋_GB2312"/>
          <w:sz w:val="32"/>
          <w:szCs w:val="32"/>
        </w:rPr>
        <w:t>　保健食品生产工艺有原料提取、纯化等前处理工序的，生产企业应当具备相应的原料前处理能力。</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第三十六条</w:t>
      </w:r>
      <w:r>
        <w:rPr>
          <w:rFonts w:hint="eastAsia" w:ascii="仿宋_GB2312" w:hAnsi="仿宋_GB2312" w:eastAsia="仿宋_GB2312" w:cs="仿宋_GB2312"/>
          <w:sz w:val="32"/>
          <w:szCs w:val="32"/>
        </w:rPr>
        <w:t>　特殊医学用途配方食品生产企业应当按照食品安全国家标准规定的检验项目对出厂产品实施逐批检验。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特殊医学用途配方食品中的特定全营养配方食品应当通过医疗机构或者药品零售企业向消费者销售。医疗机构、药品零售企业销售特定全营养配方食品的，不需要取得食品经营许可，但是应当遵守食品安全法和本条例关于食品销售的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第三十七条</w:t>
      </w:r>
      <w:r>
        <w:rPr>
          <w:rFonts w:hint="eastAsia" w:ascii="仿宋_GB2312" w:hAnsi="仿宋_GB2312" w:eastAsia="仿宋_GB2312" w:cs="仿宋_GB2312"/>
          <w:sz w:val="32"/>
          <w:szCs w:val="32"/>
        </w:rPr>
        <w:t>　特殊医学用途配方食品中的特定全营养配方食品广告按照处方药广告管理，其他类别的特殊医学用途配方食品广告按照非处方药广告管理。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第三十八条</w:t>
      </w:r>
      <w:r>
        <w:rPr>
          <w:rFonts w:hint="eastAsia" w:ascii="仿宋_GB2312" w:hAnsi="仿宋_GB2312" w:eastAsia="仿宋_GB2312" w:cs="仿宋_GB2312"/>
          <w:sz w:val="32"/>
          <w:szCs w:val="32"/>
        </w:rPr>
        <w:t>　对保健食品之外的其他食品，不得声称具有保健功能。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对添加食品安全国家标准规定的选择性添加物质的婴幼儿配方食品，不得以选择性添加物质命名。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第三十九条</w:t>
      </w:r>
      <w:r>
        <w:rPr>
          <w:rFonts w:hint="eastAsia" w:ascii="仿宋_GB2312" w:hAnsi="仿宋_GB2312" w:eastAsia="仿宋_GB2312" w:cs="仿宋_GB2312"/>
          <w:sz w:val="32"/>
          <w:szCs w:val="32"/>
        </w:rPr>
        <w:t>　特殊食品的标签、说明书内容应当与注册或者备案的标签、说明书一致。销售特殊食品，应当核对食品标签、说明书内容是否与注册或者备案的标签、说明书一致，不一致的不得销售。省级以上人民政府食品安全监督管理部门应当在其网站上公布注册或者备案的特殊食品的标签、说明书。</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特殊食品不得与普通食品或者药品混放销售。</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食品检验</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第四十条</w:t>
      </w:r>
      <w:r>
        <w:rPr>
          <w:rFonts w:hint="eastAsia" w:ascii="仿宋_GB2312" w:hAnsi="仿宋_GB2312" w:eastAsia="仿宋_GB2312" w:cs="仿宋_GB2312"/>
          <w:sz w:val="32"/>
          <w:szCs w:val="32"/>
        </w:rPr>
        <w:t>　对食品进行抽样检验，应当按照食品安全标准、注册或者备案的特殊食品的产品技术要求以及国家有关规定确定的检验项目和检验方法进行。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第四十一条</w:t>
      </w:r>
      <w:r>
        <w:rPr>
          <w:rFonts w:hint="eastAsia" w:ascii="仿宋_GB2312" w:hAnsi="仿宋_GB2312" w:eastAsia="仿宋_GB2312" w:cs="仿宋_GB2312"/>
          <w:sz w:val="32"/>
          <w:szCs w:val="32"/>
        </w:rPr>
        <w:t>　对可能掺杂掺假的食品，按照现有食品安全标准规定的检验项目和检验方法以及依照食品安全法第一百一十一条和本条例第六十三条规定制定的检验项目和检验方法无法检验的，国务院食品安全监督管理部门可以制定补充检验项目和检验方法，用于对食品的抽样检验、食品安全案件调查处理和食品安全事故处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第四十二条</w:t>
      </w:r>
      <w:r>
        <w:rPr>
          <w:rFonts w:hint="eastAsia" w:ascii="仿宋_GB2312" w:hAnsi="仿宋_GB2312" w:eastAsia="仿宋_GB2312" w:cs="仿宋_GB2312"/>
          <w:sz w:val="32"/>
          <w:szCs w:val="32"/>
        </w:rPr>
        <w:t>　依照食品安全法第八十八条的规定申请复检的，申请人应当向复检机构先行支付复检费用。复检结论表明食品不合格的，复检费用由复检申请人承担；复检结论表明食品合格的，复检费用由实施抽样检验的食品安全监督管理部门承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复检机构无正当理由不得拒绝承担复检任务。</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第四十三条</w:t>
      </w:r>
      <w:r>
        <w:rPr>
          <w:rFonts w:hint="eastAsia" w:ascii="仿宋_GB2312" w:hAnsi="仿宋_GB2312" w:eastAsia="仿宋_GB2312" w:cs="仿宋_GB2312"/>
          <w:sz w:val="32"/>
          <w:szCs w:val="32"/>
        </w:rPr>
        <w:t>　任何单位和个人不得发布未依法取得资质认定的食品检验机构出具的食品检验信息，不得利用上述检验信息对食品、食品生产经营者进行等级评定，欺骗、误导消费者。</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食品进出口</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第四十四条</w:t>
      </w:r>
      <w:r>
        <w:rPr>
          <w:rFonts w:hint="eastAsia" w:ascii="仿宋_GB2312" w:hAnsi="仿宋_GB2312" w:eastAsia="仿宋_GB2312" w:cs="仿宋_GB2312"/>
          <w:sz w:val="32"/>
          <w:szCs w:val="32"/>
        </w:rPr>
        <w:t>　进口商进口食品、食品添加剂，应当按照规定向出入境检验检疫机构报检，如实申报产品相关信息，并随附法律、行政法规规定的合格证明材料。</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第四十五条</w:t>
      </w:r>
      <w:r>
        <w:rPr>
          <w:rFonts w:hint="eastAsia" w:ascii="仿宋_GB2312" w:hAnsi="仿宋_GB2312" w:eastAsia="仿宋_GB2312" w:cs="仿宋_GB2312"/>
          <w:sz w:val="32"/>
          <w:szCs w:val="32"/>
        </w:rPr>
        <w:t>　进口食品运达口岸后，应当存放在出入境检验检疫机构指定或者认可的场所；需要移动的，应当按照出入境检验检疫机构的要求采取必要的安全防护措施。大宗散装进口食品应当在卸货口岸进行检验。</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第四十六条</w:t>
      </w:r>
      <w:r>
        <w:rPr>
          <w:rFonts w:hint="eastAsia" w:ascii="仿宋_GB2312" w:hAnsi="仿宋_GB2312" w:eastAsia="仿宋_GB2312" w:cs="仿宋_GB2312"/>
          <w:sz w:val="32"/>
          <w:szCs w:val="32"/>
        </w:rPr>
        <w:t>　国家出入境检验检疫部门根据风险管理需要，可以对部分食品实行指定口岸进口。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第四十七条</w:t>
      </w:r>
      <w:r>
        <w:rPr>
          <w:rFonts w:hint="eastAsia" w:ascii="仿宋_GB2312" w:hAnsi="仿宋_GB2312" w:eastAsia="仿宋_GB2312" w:cs="仿宋_GB2312"/>
          <w:sz w:val="32"/>
          <w:szCs w:val="32"/>
        </w:rPr>
        <w:t>　国务院卫生行政部门依照食品安全法第九十三条的规定对境外出口商、境外生产企业或者其委托的进口商提交的相关国家（地区）标准或者国际标准进行审查，认为符合食品安全要求的，决定暂予适用并予以公布；暂予适用的标准公布前，不得进口尚无食品安全国家标准的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食品安全国家标准中通用标准已经涵盖的食品不属于食品安全法第九十三条规定的尚无食品安全国家标准的食品。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第四十八条</w:t>
      </w:r>
      <w:r>
        <w:rPr>
          <w:rFonts w:hint="eastAsia" w:ascii="仿宋_GB2312" w:hAnsi="仿宋_GB2312" w:eastAsia="仿宋_GB2312" w:cs="仿宋_GB2312"/>
          <w:sz w:val="32"/>
          <w:szCs w:val="32"/>
        </w:rPr>
        <w:t>　进口商应当建立境外出口商、境外生产企业审核制度，重点审核境外出口商、境外生产企业制定和执行食品安全风险控制措施的情况以及向我国出口的食品是否符合食品安全法、本条例和其他有关法律、行政法规的规定以及食品安全国家标准的要求。</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第四十九条</w:t>
      </w:r>
      <w:r>
        <w:rPr>
          <w:rFonts w:hint="eastAsia" w:ascii="仿宋_GB2312" w:hAnsi="仿宋_GB2312" w:eastAsia="仿宋_GB2312" w:cs="仿宋_GB2312"/>
          <w:sz w:val="32"/>
          <w:szCs w:val="32"/>
        </w:rPr>
        <w:t>　进口商依照食品安全法第九十四条第三款的规定召回进口食品的，应当将食品召回和处理情况向所在地县级人民政府食品安全监督管理部门和所在地出入境检验检疫机构报告。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第五十条</w:t>
      </w:r>
      <w:r>
        <w:rPr>
          <w:rFonts w:hint="eastAsia" w:ascii="仿宋_GB2312" w:hAnsi="仿宋_GB2312" w:eastAsia="仿宋_GB2312" w:cs="仿宋_GB2312"/>
          <w:sz w:val="32"/>
          <w:szCs w:val="32"/>
        </w:rPr>
        <w:t>　国家出入境检验检疫部门发现已经注册的境外食品生产企业不再符合注册要求的，应当责令其在规定期限内整改，整改期间暂停进口其生产的食品；经整改仍不符合注册要求的，国家出入境检验检疫部门应当撤销境外食品生产企业注册并公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第五十一条</w:t>
      </w:r>
      <w:r>
        <w:rPr>
          <w:rFonts w:hint="eastAsia" w:ascii="仿宋_GB2312" w:hAnsi="仿宋_GB2312" w:eastAsia="仿宋_GB2312" w:cs="仿宋_GB2312"/>
          <w:sz w:val="32"/>
          <w:szCs w:val="32"/>
        </w:rPr>
        <w:t>　对通过我国良好生产规范、危害分析与关键控制点体系认证的境外生产企业，认证机构应当依法实施跟踪调查。对不再符合认证要求的企业，认证机构应当依法撤销认证并向社会公布。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第五十二条</w:t>
      </w:r>
      <w:r>
        <w:rPr>
          <w:rFonts w:hint="eastAsia" w:ascii="仿宋_GB2312" w:hAnsi="仿宋_GB2312" w:eastAsia="仿宋_GB2312" w:cs="仿宋_GB2312"/>
          <w:sz w:val="32"/>
          <w:szCs w:val="32"/>
        </w:rPr>
        <w:t>　境外发生的食品安全事件可能对我国境内造成影响，或者在进口食品、食品添加剂、食品相关产品中发现严重食品安全问题的，国家出入境检验检疫部门应当及时进行风险预警，并可以对相关的食品、食品添加剂、食品相关产品采取下列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（一）退货或者销毁处理；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（二）有条件地限制进口；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（三）暂停或者禁止进口。</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第五十三条</w:t>
      </w:r>
      <w:r>
        <w:rPr>
          <w:rFonts w:hint="eastAsia" w:ascii="仿宋_GB2312" w:hAnsi="仿宋_GB2312" w:eastAsia="仿宋_GB2312" w:cs="仿宋_GB2312"/>
          <w:sz w:val="32"/>
          <w:szCs w:val="32"/>
        </w:rPr>
        <w:t>　出口食品、食品添加剂的生产企业应当保证其出口食品、食品添加剂符合进口国家（地区）的标准或者合同要求；我国缔结或者参加的国际条约、协定有要求的，还应当符合国际条约、协定的要求。</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食品安全事故处置</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第五十四条</w:t>
      </w:r>
      <w:r>
        <w:rPr>
          <w:rFonts w:hint="eastAsia" w:ascii="仿宋_GB2312" w:hAnsi="仿宋_GB2312" w:eastAsia="仿宋_GB2312" w:cs="仿宋_GB2312"/>
          <w:sz w:val="32"/>
          <w:szCs w:val="32"/>
        </w:rPr>
        <w:t>　食品安全事故按照国家食品安全事故应急预案实行分级管理。县级以上人民政府食品安全监督管理部门会同同级有关部门负责食品安全事故调查处理。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县级以上人民政府应当根据实际情况及时修改、完善食品安全事故应急预案。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第五十五条</w:t>
      </w:r>
      <w:r>
        <w:rPr>
          <w:rFonts w:hint="eastAsia" w:ascii="仿宋_GB2312" w:hAnsi="仿宋_GB2312" w:eastAsia="仿宋_GB2312" w:cs="仿宋_GB2312"/>
          <w:sz w:val="32"/>
          <w:szCs w:val="32"/>
        </w:rPr>
        <w:t>　县级以上人民政府应当完善食品安全事故应急管理机制，改善应急装备，做好应急物资储备和应急队伍建设，加强应急培训、演练。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第五十六条</w:t>
      </w:r>
      <w:r>
        <w:rPr>
          <w:rFonts w:hint="eastAsia" w:ascii="仿宋_GB2312" w:hAnsi="仿宋_GB2312" w:eastAsia="仿宋_GB2312" w:cs="仿宋_GB2312"/>
          <w:sz w:val="32"/>
          <w:szCs w:val="32"/>
        </w:rPr>
        <w:t>　发生食品安全事故的单位应当对导致或者可能导致食品安全事故的食品及原料、工具、设备、设施等，立即采取封存等控制措施。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第五十七条</w:t>
      </w:r>
      <w:r>
        <w:rPr>
          <w:rFonts w:hint="eastAsia" w:ascii="仿宋_GB2312" w:hAnsi="仿宋_GB2312" w:eastAsia="仿宋_GB2312" w:cs="仿宋_GB2312"/>
          <w:sz w:val="32"/>
          <w:szCs w:val="32"/>
        </w:rPr>
        <w:t>　县级以上人民政府食品安全监督管理部门接到食品安全事故报告后，应当立即会同同级卫生行政、农业行政等部门依照食品安全法第一百零五条的规定进行调查处理。食品安全监督管理部门应当对事故单位封存的食品及原料、工具、设备、设施等予以保护，需要封存而事故单位尚未封存的应当直接封存或者责令事故单位立即封存，并通知疾病预防控制机构对与事故有关的因素开展流行病学调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疾病预防控制机构应当在调查结束后向同级食品安全监督管理、卫生行政部门同时提交流行病学调查报告。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任何单位和个人不得拒绝、阻挠疾病预防控制机构开展流行病学调查。有关部门应当对疾病预防控制机构开展流行病学调查予以协助。</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第五十八条</w:t>
      </w:r>
      <w:r>
        <w:rPr>
          <w:rFonts w:hint="eastAsia" w:ascii="仿宋_GB2312" w:hAnsi="仿宋_GB2312" w:eastAsia="仿宋_GB2312" w:cs="仿宋_GB2312"/>
          <w:sz w:val="32"/>
          <w:szCs w:val="32"/>
        </w:rPr>
        <w:t>　国务院食品安全监督管理部门会同国务院卫生行政、农业行政等部门定期对全国食品安全事故情况进行分析，完善食品安全监督管理措施，预防和减少事故的发生。</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监督管理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第五十九条</w:t>
      </w:r>
      <w:r>
        <w:rPr>
          <w:rFonts w:hint="eastAsia" w:ascii="仿宋_GB2312" w:hAnsi="仿宋_GB2312" w:eastAsia="仿宋_GB2312" w:cs="仿宋_GB2312"/>
          <w:sz w:val="32"/>
          <w:szCs w:val="32"/>
        </w:rPr>
        <w:t>　设区的市级以上人民政府食品安全监督管理部门根据监督管理工作需要，可以对由下级人民政府食品安全监督管理部门负责日常监督管理的食品生产经营者实施随机监督检查，也可以组织下级人民政府食品安全监督管理部门对食品生产经营者实施异地监督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设区的市级以上人民政府食品安全监督管理部门认为必要的，可以直接调查处理下级人民政府食品安全监督管理部门管辖的食品安全违法案件，也可以指定其他下级人民政府食品安全监督管理部门调查处理。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第六十条</w:t>
      </w:r>
      <w:r>
        <w:rPr>
          <w:rFonts w:hint="eastAsia" w:ascii="仿宋_GB2312" w:hAnsi="仿宋_GB2312" w:eastAsia="仿宋_GB2312" w:cs="仿宋_GB2312"/>
          <w:sz w:val="32"/>
          <w:szCs w:val="32"/>
        </w:rPr>
        <w:t>　国家建立食品安全检查员制度，依托现有资源加强职业化检查员队伍建设，强化考核培训，提高检查员专业化水平。</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第六十一条</w:t>
      </w:r>
      <w:r>
        <w:rPr>
          <w:rFonts w:hint="eastAsia" w:ascii="仿宋_GB2312" w:hAnsi="仿宋_GB2312" w:eastAsia="仿宋_GB2312" w:cs="仿宋_GB2312"/>
          <w:sz w:val="32"/>
          <w:szCs w:val="32"/>
        </w:rPr>
        <w:t>　县级以上人民政府食品安全监督管理部门依照食品安全法第一百一十条的规定实施查封、扣押措施，查封、扣押的期限不得超过30日；情况复杂的，经实施查封、扣押措施的食品安全监督管理部门负责人批准，可以延长，延长期限不得超过45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第六十二条</w:t>
      </w:r>
      <w:r>
        <w:rPr>
          <w:rFonts w:hint="eastAsia" w:ascii="仿宋_GB2312" w:hAnsi="仿宋_GB2312" w:eastAsia="仿宋_GB2312" w:cs="仿宋_GB2312"/>
          <w:sz w:val="32"/>
          <w:szCs w:val="32"/>
        </w:rPr>
        <w:t>　网络食品交易第三方平台多次出现入网食品经营者违法经营或者入网食品经营者的违法经营行为造成严重后果的，县级以上人民政府食品安全监督管理部门可以对网络食品交易第三方平台提供者的法定代表人或者主要负责人进行责任约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第六十三条</w:t>
      </w:r>
      <w:r>
        <w:rPr>
          <w:rFonts w:hint="eastAsia" w:ascii="仿宋_GB2312" w:hAnsi="仿宋_GB2312" w:eastAsia="仿宋_GB2312" w:cs="仿宋_GB2312"/>
          <w:sz w:val="32"/>
          <w:szCs w:val="32"/>
        </w:rPr>
        <w:t>　国务院食品安全监督管理部门会同国务院卫生行政等部门根据食源性疾病信息、食品安全风险监测信息和监督管理信息等，对发现的添加或者可能添加到食品中的非食品用化学物质和其他可能危害人体健康的物质，制定名录及检测方法并予以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第六十四条</w:t>
      </w:r>
      <w:r>
        <w:rPr>
          <w:rFonts w:hint="eastAsia" w:ascii="仿宋_GB2312" w:hAnsi="仿宋_GB2312" w:eastAsia="仿宋_GB2312" w:cs="仿宋_GB2312"/>
          <w:sz w:val="32"/>
          <w:szCs w:val="32"/>
        </w:rPr>
        <w:t>　县级以上地方人民政府卫生行政部门应当对餐具饮具集中消毒服务单位进行监督检查，发现不符合法律、法规、国家相关标准以及相关卫生规范等要求的，应当及时调查处理。监督检查的结果应当向社会公布。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第六十五条</w:t>
      </w:r>
      <w:r>
        <w:rPr>
          <w:rFonts w:hint="eastAsia" w:ascii="仿宋_GB2312" w:hAnsi="仿宋_GB2312" w:eastAsia="仿宋_GB2312" w:cs="仿宋_GB2312"/>
          <w:sz w:val="32"/>
          <w:szCs w:val="32"/>
        </w:rPr>
        <w:t>　国家实行食品安全违法行为举报奖励制度，对查证属实的举报，给予举报人奖励。举报人举报所在企业食品安全重大违法犯罪行为的，应当加大奖励力度。有关部门应当对举报人的信息予以保密，保护举报人的合法权益。食品安全违法行为举报奖励办法由国务院食品安全监督管理部门会同国务院财政等有关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食品安全违法行为举报奖励资金纳入各级人民政府预算。</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第六十六条</w:t>
      </w:r>
      <w:r>
        <w:rPr>
          <w:rFonts w:hint="eastAsia" w:ascii="仿宋_GB2312" w:hAnsi="仿宋_GB2312" w:eastAsia="仿宋_GB2312" w:cs="仿宋_GB2312"/>
          <w:sz w:val="32"/>
          <w:szCs w:val="32"/>
        </w:rPr>
        <w:t>　国务院食品安全监督管理部门应当会同国务院有关部门建立守信联合激励和失信联合惩戒机制，结合食品生产经营者信用档案，建立严重违法生产经营者黑名单制度，将食品安全信用状况与准入、融资、信贷、征信等相衔接，及时向社会公布。</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9"/>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法律责任</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第六十七条</w:t>
      </w:r>
      <w:r>
        <w:rPr>
          <w:rFonts w:hint="eastAsia" w:ascii="仿宋_GB2312" w:hAnsi="仿宋_GB2312" w:eastAsia="仿宋_GB2312" w:cs="仿宋_GB2312"/>
          <w:sz w:val="32"/>
          <w:szCs w:val="32"/>
        </w:rPr>
        <w:t>　有下列情形之一的，属于食品安全法第一百二十三条至第一百二十六条、第一百三十二条以及本条例第七十二条、第七十三条规定的情节严重情形：</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（一）违法行为涉及的产品货值金额2万元以上或者违法行为持续时间3个月以上；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（二）造成食源性疾病并出现死亡病例，或者造成30人以上食源性疾病但未出现死亡病例；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（三）故意提供虚假信息或者隐瞒真实情况；</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（四）拒绝、逃避监督检查；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（五）因违反食品安全法律、法规受到行政处罚后1年内又实施同一性质的食品安全违法行为，或者因违反食品安全法律、法规受到刑事处罚后又实施食品安全违法行为；</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（六）其他情节严重的情形。</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对情节严重的违法行为处以罚款时，应当依法从重从严。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第六十八条</w:t>
      </w:r>
      <w:r>
        <w:rPr>
          <w:rFonts w:hint="eastAsia" w:ascii="仿宋_GB2312" w:hAnsi="仿宋_GB2312" w:eastAsia="仿宋_GB2312" w:cs="仿宋_GB2312"/>
          <w:sz w:val="32"/>
          <w:szCs w:val="32"/>
        </w:rPr>
        <w:t>　有下列情形之一的，依照食品安全法第一百二十五条第一款、本条例第七十五条的规定给予处罚：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（一）在食品生产、加工场所贮存依照本条例第六十三条规定制定的名录中的物质；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（二）生产经营的保健食品之外的食品的标签、说明书声称具有保健功能；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（三）以食品安全国家标准规定的选择性添加物质命名婴幼儿配方食品；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（四）生产经营的特殊食品的标签、说明书内容与注册或者备案的标签、说明书不一致。</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第六十九条</w:t>
      </w:r>
      <w:r>
        <w:rPr>
          <w:rFonts w:hint="eastAsia" w:ascii="仿宋_GB2312" w:hAnsi="仿宋_GB2312" w:eastAsia="仿宋_GB2312" w:cs="仿宋_GB2312"/>
          <w:sz w:val="32"/>
          <w:szCs w:val="32"/>
        </w:rPr>
        <w:t>　有下列情形之一的，依照食品安全法第一百二十六条第一款、本条例第七十五条的规定给予处罚：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（一）接受食品生产经营者委托贮存、运输食品，未按照规定记录保存信息；</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（二）餐饮服务提供者未查验、留存餐具饮具集中消毒服务单位的营业执照复印件和消毒合格证明；</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（三）食品生产经营者未按照规定对变质、超过保质期或者回收的食品进行标示或者存放，或者未及时对上述食品采取无害化处理、销毁等措施并如实记录；</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（四）医疗机构和药品零售企业之外的单位或者个人向消费者销售特殊医学用途配方食品中的特定全营养配方食品；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（五）将特殊食品与普通食品或者药品混放销售。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第七十条</w:t>
      </w:r>
      <w:r>
        <w:rPr>
          <w:rFonts w:hint="eastAsia" w:ascii="仿宋_GB2312" w:hAnsi="仿宋_GB2312" w:eastAsia="仿宋_GB2312" w:cs="仿宋_GB2312"/>
          <w:sz w:val="32"/>
          <w:szCs w:val="32"/>
        </w:rPr>
        <w:t>　除食品安全法第一百二十五条第一款、第一百二十六条规定的情形外，食品生产经营者的生产经营行为不符合食品安全法第三十三条第一款第五项、第七项至第十项的规定，或者不符合有关食品生产经营过程要求的食品安全国家标准的，依照食品安全法第一百二十六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第七十一条</w:t>
      </w:r>
      <w:r>
        <w:rPr>
          <w:rFonts w:hint="eastAsia" w:ascii="仿宋_GB2312" w:hAnsi="仿宋_GB2312" w:eastAsia="仿宋_GB2312" w:cs="仿宋_GB2312"/>
          <w:sz w:val="32"/>
          <w:szCs w:val="32"/>
        </w:rPr>
        <w:t>　餐具饮具集中消毒服务单位未按照规定建立并遵守出厂检验记录制度的，由县级以上人民政府卫生行政部门依照食品安全法第一百二十六条第一款、本条例第七十五条的规定给予处罚。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第七十二条</w:t>
      </w:r>
      <w:r>
        <w:rPr>
          <w:rFonts w:hint="eastAsia" w:ascii="仿宋_GB2312" w:hAnsi="仿宋_GB2312" w:eastAsia="仿宋_GB2312" w:cs="仿宋_GB2312"/>
          <w:sz w:val="32"/>
          <w:szCs w:val="32"/>
        </w:rPr>
        <w:t>　从事对温度、湿度等有特殊要求的食品贮存业务的非食品生产经营者，食品集中交易市场的开办者、食品展销会的举办者，未按照规定备案或者报告的，由县级以上人民政府食品安全监督管理部门责令改正，给予警告；拒不改正的，处1万元以上5万元以下罚款；情节严重的，责令停产停业，并处5万元以上20万元以下罚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第七十三条</w:t>
      </w:r>
      <w:r>
        <w:rPr>
          <w:rFonts w:hint="eastAsia" w:ascii="仿宋_GB2312" w:hAnsi="仿宋_GB2312" w:eastAsia="仿宋_GB2312" w:cs="仿宋_GB2312"/>
          <w:sz w:val="32"/>
          <w:szCs w:val="32"/>
        </w:rPr>
        <w:t>　利用会议、讲座、健康咨询等方式对食品进行虚假宣传的，由县级以上人民政府食品安全监督管理部门责令消除影响，有违法所得的，没收违法所得；情节严重的，依照食品安全法第一百四十条第五款的规定进行处罚；属于单位违法的，还应当依照本条例第七十五条的规定对单位的法定代表人、主要负责人、直接负责的主管人员和其他直接责任人员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第七十四条</w:t>
      </w:r>
      <w:r>
        <w:rPr>
          <w:rFonts w:hint="eastAsia" w:ascii="仿宋_GB2312" w:hAnsi="仿宋_GB2312" w:eastAsia="仿宋_GB2312" w:cs="仿宋_GB2312"/>
          <w:sz w:val="32"/>
          <w:szCs w:val="32"/>
        </w:rPr>
        <w:t>　食品生产经营者生产经营的食品符合食品安全标准但不符合食品所标注的企业标准规定的食品安全指标的，由县级以上人民政府食品安全监督管理部门给予警告，并责令食品经营者停止经营该食品，责令食品生产企业改正；拒不停止经营或者改正的，没收不符合企业标准规定的食品安全指标的食品，货值金额不足1万元的，并处1万元以上5万元以下罚款，货值金额1万元以上的，并处货值金额5倍以上10倍以下罚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第七十五条</w:t>
      </w:r>
      <w:r>
        <w:rPr>
          <w:rFonts w:hint="eastAsia" w:ascii="仿宋_GB2312" w:hAnsi="仿宋_GB2312" w:eastAsia="仿宋_GB2312" w:cs="仿宋_GB2312"/>
          <w:sz w:val="32"/>
          <w:szCs w:val="32"/>
        </w:rPr>
        <w:t>　食品生产经营企业等单位有食品安全法规定的违法情形，除依照食品安全法的规定给予处罚外，有下列情形之一的，对单位的法定代表人、主要负责人、直接负责的主管人员和其他直接责任人员处以其上一年度从本单位取得收入的1倍以上10倍以下罚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（一）故意实施违法行为；</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（二）违法行为性质恶劣；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（三）违法行为造成严重后果。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属于食品安全法第一百二十五条第二款规定情形的，不适用前款规定。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第七十六条</w:t>
      </w:r>
      <w:r>
        <w:rPr>
          <w:rFonts w:hint="eastAsia" w:ascii="仿宋_GB2312" w:hAnsi="仿宋_GB2312" w:eastAsia="仿宋_GB2312" w:cs="仿宋_GB2312"/>
          <w:sz w:val="32"/>
          <w:szCs w:val="32"/>
        </w:rPr>
        <w:t>　食品生产经营者依照食品安全法第六十三条第一款、第二款的规定停止生产、经营，实施食品召回，或者采取其他有效措施减轻或者消除食品安全风险，未造成危害后果的，可以从轻或者减轻处罚。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第七十七条</w:t>
      </w:r>
      <w:r>
        <w:rPr>
          <w:rFonts w:hint="eastAsia" w:ascii="仿宋_GB2312" w:hAnsi="仿宋_GB2312" w:eastAsia="仿宋_GB2312" w:cs="仿宋_GB2312"/>
          <w:sz w:val="32"/>
          <w:szCs w:val="32"/>
        </w:rPr>
        <w:t>　县级以上地方人民政府食品安全监督管理等部门对有食品安全法第一百二十三条规定的违法情形且情节严重，可能需要行政拘留的，应当及时将案件及有关材料移送同级公安机关。公安机关认为需要补充材料的，食品安全监督管理等部门应当及时提供。公安机关经审查认为不符合行政拘留条件的，应当及时将案件及有关材料退回移送的食品安全监督管理等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第七十八条</w:t>
      </w:r>
      <w:r>
        <w:rPr>
          <w:rFonts w:hint="eastAsia" w:ascii="仿宋_GB2312" w:hAnsi="仿宋_GB2312" w:eastAsia="仿宋_GB2312" w:cs="仿宋_GB2312"/>
          <w:sz w:val="32"/>
          <w:szCs w:val="32"/>
        </w:rPr>
        <w:t>　公安机关对发现的食品安全违法行为，经审查没有犯罪事实或者立案侦查后认为不需要追究刑事责任，但依法应当予以行政拘留的，应当及时作出行政拘留的处罚决定；不需要予以行政拘留但依法应当追究其他行政责任的，应当及时将案件及有关材料移送同级食品安全监督管理等部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第七十九条</w:t>
      </w:r>
      <w:r>
        <w:rPr>
          <w:rFonts w:hint="eastAsia" w:ascii="仿宋_GB2312" w:hAnsi="仿宋_GB2312" w:eastAsia="仿宋_GB2312" w:cs="仿宋_GB2312"/>
          <w:sz w:val="32"/>
          <w:szCs w:val="32"/>
        </w:rPr>
        <w:t>　复检机构无正当理由拒绝承担复检任务的，由县级以上人民政府食品安全监督管理部门给予警告，无正当理由1年内2次拒绝承担复检任务的，由国务院有关部门撤销其复检机构资质并向社会公布。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第八十条</w:t>
      </w:r>
      <w:r>
        <w:rPr>
          <w:rFonts w:hint="eastAsia" w:ascii="仿宋_GB2312" w:hAnsi="仿宋_GB2312" w:eastAsia="仿宋_GB2312" w:cs="仿宋_GB2312"/>
          <w:sz w:val="32"/>
          <w:szCs w:val="32"/>
        </w:rPr>
        <w:t>　发布未依法取得资质认定的食品检验机构出具的食品检验信息，或者利用上述检验信息对食品、食品生产经营者进行等级评定，欺骗、误导消费者的，由县级以上人民政府食品安全监督管理部门责令改正，有违法所得的，没收违法所得，并处10万元以上50万元以下罚款；拒不改正的，处50万元以上100万元以下罚款；构成违反治安管理行为的，由公安机关依法给予治安管理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第八十一条</w:t>
      </w:r>
      <w:r>
        <w:rPr>
          <w:rFonts w:hint="eastAsia" w:ascii="仿宋_GB2312" w:hAnsi="仿宋_GB2312" w:eastAsia="仿宋_GB2312" w:cs="仿宋_GB2312"/>
          <w:sz w:val="32"/>
          <w:szCs w:val="32"/>
        </w:rPr>
        <w:t>　食品安全监督管理部门依照食品安全法、本条例对违法单位或者个人处以30万元以上罚款的，由设区的市级以上人民政府食品安全监督管理部门决定。罚款具体处罚权限由国务院食品安全监督管理部门规定。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第八十二条</w:t>
      </w:r>
      <w:r>
        <w:rPr>
          <w:rFonts w:hint="eastAsia" w:ascii="仿宋_GB2312" w:hAnsi="仿宋_GB2312" w:eastAsia="仿宋_GB2312" w:cs="仿宋_GB2312"/>
          <w:sz w:val="32"/>
          <w:szCs w:val="32"/>
        </w:rPr>
        <w:t>　阻碍食品安全监督管理等部门工作人员依法执行职务，构成违反治安管理行为的，由公安机关依法给予治安管理处罚。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第八十三条</w:t>
      </w:r>
      <w:r>
        <w:rPr>
          <w:rFonts w:hint="eastAsia" w:ascii="仿宋_GB2312" w:hAnsi="仿宋_GB2312" w:eastAsia="仿宋_GB2312" w:cs="仿宋_GB2312"/>
          <w:sz w:val="32"/>
          <w:szCs w:val="32"/>
        </w:rPr>
        <w:t>　县级以上人民政府食品安全监督管理等部门发现单位或者个人违反食品安全法第一百二十条第一款规定，编造、散布虚假食品安全信息，涉嫌构成违反治安管理行为的，应当将相关情况通报同级公安机关。</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第八十四条</w:t>
      </w:r>
      <w:r>
        <w:rPr>
          <w:rFonts w:hint="eastAsia" w:ascii="仿宋_GB2312" w:hAnsi="仿宋_GB2312" w:eastAsia="仿宋_GB2312" w:cs="仿宋_GB2312"/>
          <w:sz w:val="32"/>
          <w:szCs w:val="32"/>
        </w:rPr>
        <w:t>　县级以上人民政府食品安全监督管理部门及其工作人员违法向他人提供网络食品交易第三方平台提供者提供的信息的，依照食品安全法第一百四十五条的规定给予处分。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第八十五条</w:t>
      </w:r>
      <w:r>
        <w:rPr>
          <w:rFonts w:hint="eastAsia" w:ascii="仿宋_GB2312" w:hAnsi="仿宋_GB2312" w:eastAsia="仿宋_GB2312" w:cs="仿宋_GB2312"/>
          <w:sz w:val="32"/>
          <w:szCs w:val="32"/>
        </w:rPr>
        <w:t>　违反本条例规定，构成犯罪的，依法追究刑事责任。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第十章　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第八十六条</w:t>
      </w:r>
      <w:r>
        <w:rPr>
          <w:rFonts w:hint="eastAsia" w:ascii="仿宋_GB2312" w:hAnsi="仿宋_GB2312" w:eastAsia="仿宋_GB2312" w:cs="仿宋_GB2312"/>
          <w:sz w:val="32"/>
          <w:szCs w:val="32"/>
        </w:rPr>
        <w:t>　本条例自</w:t>
      </w:r>
      <w:r>
        <w:rPr>
          <w:rFonts w:hint="eastAsia" w:ascii="宋体" w:hAnsi="宋体" w:eastAsia="宋体" w:cs="宋体"/>
          <w:sz w:val="32"/>
          <w:szCs w:val="32"/>
        </w:rPr>
        <w:t>2019</w:t>
      </w:r>
      <w:r>
        <w:rPr>
          <w:rFonts w:hint="eastAsia" w:ascii="仿宋_GB2312" w:hAnsi="仿宋_GB2312" w:eastAsia="仿宋_GB2312" w:cs="仿宋_GB2312"/>
          <w:sz w:val="32"/>
          <w:szCs w:val="32"/>
        </w:rPr>
        <w:t>年</w:t>
      </w:r>
      <w:r>
        <w:rPr>
          <w:rFonts w:hint="eastAsia" w:ascii="宋体" w:hAnsi="宋体" w:eastAsia="宋体" w:cs="宋体"/>
          <w:sz w:val="32"/>
          <w:szCs w:val="32"/>
        </w:rPr>
        <w:t>12</w:t>
      </w:r>
      <w:r>
        <w:rPr>
          <w:rFonts w:hint="eastAsia" w:ascii="仿宋_GB2312" w:hAnsi="仿宋_GB2312" w:eastAsia="仿宋_GB2312" w:cs="仿宋_GB2312"/>
          <w:sz w:val="32"/>
          <w:szCs w:val="32"/>
        </w:rPr>
        <w:t>月</w:t>
      </w:r>
      <w:r>
        <w:rPr>
          <w:rFonts w:hint="eastAsia" w:ascii="宋体" w:hAnsi="宋体" w:eastAsia="宋体" w:cs="宋体"/>
          <w:sz w:val="32"/>
          <w:szCs w:val="32"/>
        </w:rPr>
        <w:t>1</w:t>
      </w:r>
      <w:r>
        <w:rPr>
          <w:rFonts w:hint="eastAsia" w:ascii="仿宋_GB2312" w:hAnsi="仿宋_GB2312" w:eastAsia="仿宋_GB2312" w:cs="仿宋_GB2312"/>
          <w:sz w:val="32"/>
          <w:szCs w:val="32"/>
        </w:rPr>
        <w:t>日起施行。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3" w:name="_Toc7478"/>
      <w:r>
        <w:rPr>
          <w:rFonts w:hint="eastAsia" w:ascii="宋体" w:hAnsi="宋体" w:eastAsia="宋体" w:cs="Arial"/>
          <w:bCs/>
          <w:sz w:val="44"/>
          <w:szCs w:val="44"/>
        </w:rPr>
        <w:t>中华人民共和国药品管理法实施条例</w:t>
      </w:r>
      <w:bookmarkEnd w:id="253"/>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（2002年8月4日中华人民共和国国务院令第360号公布　根据2016年2月6日《国务院关于修改部分行政法规的决定》修订　根据2019年3月2日《国务院关于修改部分行政法规的决定》修正）</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10"/>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第一条</w:t>
      </w:r>
      <w:r>
        <w:rPr>
          <w:rFonts w:hint="eastAsia" w:ascii="仿宋_GB2312" w:hAnsi="仿宋_GB2312" w:eastAsia="仿宋_GB2312" w:cs="仿宋_GB2312"/>
          <w:sz w:val="32"/>
          <w:szCs w:val="32"/>
        </w:rPr>
        <w:t>　根据《中华人民共和国药品管理法》（以下简称《药品管理法》），制定本条例。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国务院药品监督管理部门设置国家药品检验机构。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人民政府药品监督管理部门可以在本行政区域内设置药品检验机构。地方药品检验机构的设置规划由省、自治区、直辖市人民政府药品监督管理部门提出，报省、自治区、直辖市人民政府批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国务院和省、自治区、直辖市人民政府的药品监督管理部门可以根据需要，确定符合药品检验条件的检验机构承担药品检验工作。</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第二章　药品生产企业管理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第三条</w:t>
      </w:r>
      <w:r>
        <w:rPr>
          <w:rFonts w:hint="eastAsia" w:ascii="仿宋_GB2312" w:hAnsi="仿宋_GB2312" w:eastAsia="仿宋_GB2312" w:cs="仿宋_GB2312"/>
          <w:sz w:val="32"/>
          <w:szCs w:val="32"/>
        </w:rPr>
        <w:t>　开办药品生产企业，申办人应当向拟办企业所在地省、自治区、直辖市人民政府药品监督管理部门提出申请。省、自治区、直辖市人民政府药品监督管理部门应当自收到申请之日起30个工作日内，依据《药品管理法》第八条规定的开办条件组织验收；验收合格的，发给《药品生产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药品生产企业变更《药品生产许可证》许可事项的，应当在许可事项发生变更30日前，向原发证机关申请《药品生产许可证》变更登记；未经批准，不得变更许可事项。原发证机关应当自收到申请之日起15个工作日内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第五条</w:t>
      </w:r>
      <w:r>
        <w:rPr>
          <w:rFonts w:hint="eastAsia" w:ascii="仿宋_GB2312" w:hAnsi="仿宋_GB2312" w:eastAsia="仿宋_GB2312" w:cs="仿宋_GB2312"/>
          <w:sz w:val="32"/>
          <w:szCs w:val="32"/>
        </w:rPr>
        <w:t>　省级以上人民政府药品监督管理部门应当按照《药品生产质量管理规范》和国务院药品监督管理部门规定的实施办法和实施步骤，组织对药品生产企业的认证工作；符合《药品生产质量管理规范》的，发给认证证书。其中，生产注射剂、放射性药品和国务院药品监督管理部门规定的生物制品的药品生产企业的认证工作，由国务院药品监督管理部门负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《药品生产质量管理规范》认证证书的格式由国务院药品监督管理部门统一规定。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第六条</w:t>
      </w:r>
      <w:r>
        <w:rPr>
          <w:rFonts w:hint="eastAsia" w:ascii="仿宋_GB2312" w:hAnsi="仿宋_GB2312" w:eastAsia="仿宋_GB2312" w:cs="仿宋_GB2312"/>
          <w:sz w:val="32"/>
          <w:szCs w:val="32"/>
        </w:rPr>
        <w:t>　新开办药品生产企业、药品生产企业新建药品生产车间或者新增生产剂型的，应当自取得药品生产证明文件或者经批准正式生产之日起30日内，按照规定向药品监督管理部门申请《药品生产质量管理规范》认证。受理申请的药品监督管理部门应当自收到企业申请之日起6个月内，组织对申请企业是否符合《药品生产质量管理规范》进行认证；认证合格的，发给认证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国务院药品监督管理部门应当设立《药品生产质量管理规范》认证检查员库。《药品生产质量管理规范》认证检查员必须符合国务院药品监督管理部门规定的条件。进行《药品生产质量管理规范》认证，必须按照国务院药品监督管理部门的规定，从《药品生产质量管理规范》认证检查员库中随机抽取认证检查员组成认证检查组进行认证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第八条</w:t>
      </w:r>
      <w:r>
        <w:rPr>
          <w:rFonts w:hint="eastAsia" w:ascii="仿宋_GB2312" w:hAnsi="仿宋_GB2312" w:eastAsia="仿宋_GB2312" w:cs="仿宋_GB2312"/>
          <w:sz w:val="32"/>
          <w:szCs w:val="32"/>
        </w:rPr>
        <w:t>　《药品生产许可证》有效期为5年。有效期届满，需要继续生产药品的，持证企业应当在许可证有效期届满前6个月，按照国务院药品监督管理部门的规定申请换发《药品生产许可证》。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药品生产企业终止生产药品或者关闭的，《药品生产许可证》由原发证部门缴销。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第九条</w:t>
      </w:r>
      <w:r>
        <w:rPr>
          <w:rFonts w:hint="eastAsia" w:ascii="仿宋_GB2312" w:hAnsi="仿宋_GB2312" w:eastAsia="仿宋_GB2312" w:cs="仿宋_GB2312"/>
          <w:sz w:val="32"/>
          <w:szCs w:val="32"/>
        </w:rPr>
        <w:t>　药品生产企业生产药品所使用的原料药，必须具有国务院药品监督管理部门核发的药品批准文号或者进口药品注册证书、医药产品注册证书；但是，未实施批准文号管理的中药材、中药饮片除外。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第十条</w:t>
      </w:r>
      <w:r>
        <w:rPr>
          <w:rFonts w:hint="eastAsia" w:ascii="仿宋_GB2312" w:hAnsi="仿宋_GB2312" w:eastAsia="仿宋_GB2312" w:cs="仿宋_GB2312"/>
          <w:sz w:val="32"/>
          <w:szCs w:val="32"/>
        </w:rPr>
        <w:t>　依据《药品管理法》第十三条规定，接受委托生产药品的，受托方必须是持有与其受托生产的药品相适应的《药品生产质量管理规范》认证证书的药品生产企业。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疫苗、血液制品和国务院药品监督管理部门规定的其他药品，不得委托生产。</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药品经营企业管理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开办药品批发企业，申办人应当向拟办企业所在地省、自治区、直辖市人民政府药品监督管理部门提出申请。省、自治区、直辖市人民政府药品监督管理部门应当自收到申请之日起30个工作日内，依据国务院药品监督管理部门规定的设置标准作出是否同意筹建的决定。申办人完成拟办企业筹建后，应当向原审批部门申请验收。原审批部门应当自收到申请之日起30个工作日内，依据《药品管理法》第十五条规定的开办条件组织验收；符合条件的，发给《药品经营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开办药品零售企业，申办人应当向拟办企业所在地设区的市级药品监督管理机构或者省、自治区、直辖市人民政府药品监督管理部门直接设置的县级药品监督管理机构提出申请。受理申请的药品监督管理机构应当自收到申请之日起30个工作日内，依据国务院药品监督管理部门的规定，结合当地常住人口数量、地域、交通状况和实际需要进行审查，作出是否同意筹建的决定。申办人完成拟办企业筹建后，应当向原审批机构申请验收。原审批机构应当自收到申请之日起15个工作日内，依据《药品管理法》第十五条规定的开办条件组织验收；符合条件的，发给《药品经营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第十三条</w:t>
      </w:r>
      <w:r>
        <w:rPr>
          <w:rFonts w:hint="eastAsia" w:ascii="仿宋_GB2312" w:hAnsi="仿宋_GB2312" w:eastAsia="仿宋_GB2312" w:cs="仿宋_GB2312"/>
          <w:sz w:val="32"/>
          <w:szCs w:val="32"/>
        </w:rPr>
        <w:t>　省、自治区、直辖市人民政府药品监督管理部门和设区的市级药品监督管理机构负责组织药品经营企业的认证工作。药品经营企业应当按照国务院药品监督管理部门规定的实施办法和实施步骤，通过省、自治区、直辖市人民政府药品监督管理部门或者设区的市级药品监督管理机构组织的《药品经营质量管理规范》的认证，取得认证证书。《药品经营质量管理规范》认证证书的格式由国务院药品监督管理部门统一规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新开办药品批发企业和药品零售企业，应当自取得《药品经营许可证》之日起30日内，向发给其《药品经营许可证》的药品监督管理部门或者药品监督管理机构申请《药品经营质量管理规范》认证。受理申请的药品监督管理部门或者药品监督管理机构应当自收到申请之日起3个月内，按照国务院药品监督管理部门的规定，组织对申请认证的药品批发企业或者药品零售企业是否符合《药品经营质量管理规范》进行认证；认证合格的，发给认证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第十四条</w:t>
      </w:r>
      <w:r>
        <w:rPr>
          <w:rFonts w:hint="eastAsia" w:ascii="仿宋_GB2312" w:hAnsi="仿宋_GB2312" w:eastAsia="仿宋_GB2312" w:cs="仿宋_GB2312"/>
          <w:sz w:val="32"/>
          <w:szCs w:val="32"/>
        </w:rPr>
        <w:t>　省、自治区、直辖市人民政府药品监督管理部门应当设立《药品经营质量管理规范》认证检查员库。《药品经营质量管理规范》认证检查员必须符合国务院药品监督管理部门规定的条件。进行《药品经营质量管理规范》认证，必须按照国务院药品监督管理部门的规定，从《药品经营质量管理规范》认证检查员库中随机抽取认证检查员组成认证检查组进行认证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第十五条</w:t>
      </w:r>
      <w:r>
        <w:rPr>
          <w:rFonts w:hint="eastAsia" w:ascii="仿宋_GB2312" w:hAnsi="仿宋_GB2312" w:eastAsia="仿宋_GB2312" w:cs="仿宋_GB2312"/>
          <w:sz w:val="32"/>
          <w:szCs w:val="32"/>
        </w:rPr>
        <w:t>　国家实行处方药和非处方药分类管理制度。国家根据非处方药品的安全性，将非处方药分为甲类非处方药和乙类非处方药。</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药品经营企业变更《药品经营许可证》许可事项的，应当在许可事项发生变更30日前，向原发证机关申请《药品经营许可证》变更登记；未经批准，不得变更许可事项。原发证机关应当自收到企业申请之日起15个工作日内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第十七条</w:t>
      </w:r>
      <w:r>
        <w:rPr>
          <w:rFonts w:hint="eastAsia" w:ascii="仿宋_GB2312" w:hAnsi="仿宋_GB2312" w:eastAsia="仿宋_GB2312" w:cs="仿宋_GB2312"/>
          <w:sz w:val="32"/>
          <w:szCs w:val="32"/>
        </w:rPr>
        <w:t>　《药品经营许可证》有效期为5年。有效期届满，需要继续经营药品的，持证企业应当在许可证有效期届满前6个月，按照国务院药品监督管理部门的规定申请换发《药品经营许可证》。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药品经营企业终止经营药品或者关闭的，《药品经营许可证》由原发证机关缴销。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第十八条</w:t>
      </w:r>
      <w:r>
        <w:rPr>
          <w:rFonts w:hint="eastAsia" w:ascii="仿宋_GB2312" w:hAnsi="仿宋_GB2312" w:eastAsia="仿宋_GB2312" w:cs="仿宋_GB2312"/>
          <w:sz w:val="32"/>
          <w:szCs w:val="32"/>
        </w:rPr>
        <w:t>　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第十九条</w:t>
      </w:r>
      <w:r>
        <w:rPr>
          <w:rFonts w:hint="eastAsia" w:ascii="仿宋_GB2312" w:hAnsi="仿宋_GB2312" w:eastAsia="仿宋_GB2312" w:cs="仿宋_GB2312"/>
          <w:sz w:val="32"/>
          <w:szCs w:val="32"/>
        </w:rPr>
        <w:t>　通过互联网进行药品交易的药品生产企业、药品经营企业、医疗机构及其交易的药品，必须符合《药品管理法》和本条例的规定。互联网药品交易服务的管理办法，由国务院药品监督管理部门会同国务院有关部门制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医疗机构的药剂管理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第二十条　</w:t>
      </w:r>
      <w:r>
        <w:rPr>
          <w:rFonts w:hint="eastAsia" w:ascii="仿宋_GB2312" w:hAnsi="仿宋_GB2312" w:eastAsia="仿宋_GB2312" w:cs="仿宋_GB2312"/>
          <w:sz w:val="32"/>
          <w:szCs w:val="32"/>
        </w:rPr>
        <w:t>医疗机构设立制剂室，应当向所在地省、自治区、直辖市人民政府卫生行政部门提出申请，经审核同意后，报同级人民政府药品监督管理部门审批；省、自治区、直辖市人民政府药品监督管理部门验收合格的，予以批准，发给《医疗机构制剂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省、自治区、直辖市人民政府卫生行政部门和药品监督管理部门应当在各自收到申请之日起30个工作日内，作出是否同意或者批准的决定。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第二十一条</w:t>
      </w:r>
      <w:r>
        <w:rPr>
          <w:rFonts w:hint="eastAsia" w:ascii="仿宋_GB2312" w:hAnsi="仿宋_GB2312" w:eastAsia="仿宋_GB2312" w:cs="仿宋_GB2312"/>
          <w:sz w:val="32"/>
          <w:szCs w:val="32"/>
        </w:rPr>
        <w:t>　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医疗机构新增配制剂型或者改变配制场所的，应当经所在地省、自治区、直辖市人民政府药品监督管理部门验收合格后，依照前款规定办理《医疗机构制剂许可证》变更登记。</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第二十二条</w:t>
      </w:r>
      <w:r>
        <w:rPr>
          <w:rFonts w:hint="eastAsia" w:ascii="仿宋_GB2312" w:hAnsi="仿宋_GB2312" w:eastAsia="仿宋_GB2312" w:cs="仿宋_GB2312"/>
          <w:sz w:val="32"/>
          <w:szCs w:val="32"/>
        </w:rPr>
        <w:t>　《医疗机构制剂许可证》有效期为5年。有效期届满，需要继续配制制剂的，医疗机构应当在许可证有效期届满前6个月，按照国务院药品监督管理部门的规定申请换发《医疗机构制剂许可证》。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医疗机构终止配制制剂或者关闭的，《医疗机构制剂许可证》由原发证机关缴销。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第二十三条</w:t>
      </w:r>
      <w:r>
        <w:rPr>
          <w:rFonts w:hint="eastAsia" w:ascii="仿宋_GB2312" w:hAnsi="仿宋_GB2312" w:eastAsia="仿宋_GB2312" w:cs="仿宋_GB2312"/>
          <w:sz w:val="32"/>
          <w:szCs w:val="32"/>
        </w:rPr>
        <w:t>　医疗机构配制制剂，必须按照国务院药品监督管理部门的规定报送有关资料和样品，经所在地省、自治区、直辖市人民政府药品监督管理部门批准，并发给制剂批准文号后，方可配制。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第二十四条</w:t>
      </w:r>
      <w:r>
        <w:rPr>
          <w:rFonts w:hint="eastAsia" w:ascii="仿宋_GB2312" w:hAnsi="仿宋_GB2312" w:eastAsia="仿宋_GB2312" w:cs="仿宋_GB2312"/>
          <w:sz w:val="32"/>
          <w:szCs w:val="32"/>
        </w:rPr>
        <w:t>　医疗机构配制的制剂不得在市场上销售或者变相销售，不得发布医疗机构制剂广告。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发生灾情、疫情、突发事件或者临床急需而市场没有供应时，经国务院或者省、自治区、直辖市人民政府的药品监督管理部门批准，在规定期限内，医疗机构配制的制剂可以在指定的医疗机构之间调剂使用。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国务院药品监督管理部门规定的特殊制剂的调剂使用以及省、自治区、直辖市之间医疗机构制剂的调剂使用，必须经国务院药品监督管理部门批准。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第二十五条</w:t>
      </w:r>
      <w:r>
        <w:rPr>
          <w:rFonts w:hint="eastAsia" w:ascii="仿宋_GB2312" w:hAnsi="仿宋_GB2312" w:eastAsia="仿宋_GB2312" w:cs="仿宋_GB2312"/>
          <w:sz w:val="32"/>
          <w:szCs w:val="32"/>
        </w:rPr>
        <w:t>　医疗机构审核和调配处方的药剂人员必须是依法经资格认定的药学技术人员。</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第二十六条</w:t>
      </w:r>
      <w:r>
        <w:rPr>
          <w:rFonts w:hint="eastAsia" w:ascii="仿宋_GB2312" w:hAnsi="仿宋_GB2312" w:eastAsia="仿宋_GB2312" w:cs="仿宋_GB2312"/>
          <w:sz w:val="32"/>
          <w:szCs w:val="32"/>
        </w:rPr>
        <w:t>　医疗机构购进药品，必须有真实、完整的药品购进记录。药品购进记录必须注明药品的通用名称、剂型、规格、批号、有效期、生产厂商、供货单位、购货数量、购进价格、购货日期以及国务院药品监督管理部门规定的其他内容。</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第二十七条</w:t>
      </w:r>
      <w:r>
        <w:rPr>
          <w:rFonts w:hint="eastAsia" w:ascii="仿宋_GB2312" w:hAnsi="仿宋_GB2312" w:eastAsia="仿宋_GB2312" w:cs="仿宋_GB2312"/>
          <w:sz w:val="32"/>
          <w:szCs w:val="32"/>
        </w:rPr>
        <w:t>　医疗机构向患者提供的药品应当与诊疗范围相适应，并凭执业医师或者执业助理医师的处方调配。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计划生育技术服务机构采购和向患者提供药品，其范围应当与经批准的服务范围相一致，并凭执业医师或者执业助理医师的处方调配。</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设置的门诊部、诊所等医疗机构不得配备常用药品和急救药品以外的其他药品。常用药品和急救药品的范围和品种，由所在地的省、自治区、直辖市人民政府卫生行政部门会同同级人民政府药品监督管理部门规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第二十八条</w:t>
      </w:r>
      <w:r>
        <w:rPr>
          <w:rFonts w:hint="eastAsia" w:ascii="仿宋_GB2312" w:hAnsi="仿宋_GB2312" w:eastAsia="仿宋_GB2312" w:cs="仿宋_GB2312"/>
          <w:sz w:val="32"/>
          <w:szCs w:val="32"/>
        </w:rPr>
        <w:t>　药物非临床安全性评价研究机构必须执行《药物非临床研究质量管理规范》，药物临床试验机构必须执行《药物临床试验质量管理规范》。《药物非临床研究质量管理规范》、《药物临床试验质量管理规范》由国务院药品监督管理部门分别商国务院科学技术行政部门和国务院卫生行政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第二十九条</w:t>
      </w:r>
      <w:r>
        <w:rPr>
          <w:rFonts w:hint="eastAsia" w:ascii="仿宋_GB2312" w:hAnsi="仿宋_GB2312" w:eastAsia="仿宋_GB2312" w:cs="仿宋_GB2312"/>
          <w:sz w:val="32"/>
          <w:szCs w:val="32"/>
        </w:rPr>
        <w:t>　药物临床试验、生产药品和进口药品，应当符合《药品管理法》及本条例的规定，经国务院药品监督管理部门审查批准；国务院药品监督管理部门可以委托省、自治区、直辖市人民政府药品监督管理部门对申报药物的研制情况及条件进行审查，对申报资料进行形式审查，并对试制的样品进行检验。具体办法由国务院药品监督管理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第三十条</w:t>
      </w:r>
      <w:r>
        <w:rPr>
          <w:rFonts w:hint="eastAsia" w:ascii="仿宋_GB2312" w:hAnsi="仿宋_GB2312" w:eastAsia="仿宋_GB2312" w:cs="仿宋_GB2312"/>
          <w:sz w:val="32"/>
          <w:szCs w:val="32"/>
        </w:rPr>
        <w:t>　研制新药，需要进行临床试验的，应当依照《药品管理法》第二十九条的规定，经国务院药品监督管理部门批准。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物临床试验申请经国务院药品监督管理部门批准后，申报人应当在经依法认定的具有药物临床试验资格的机构中选择承担药物临床试验的机构，并将该临床试验机构报国务院药品监督管理部门和国务院卫生行政部门备案。</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药物临床试验机构进行药物临床试验，应当事先告知受试者或者其监护人真实情况，并取得其书面同意。</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第三十一条</w:t>
      </w:r>
      <w:r>
        <w:rPr>
          <w:rFonts w:hint="eastAsia" w:ascii="仿宋_GB2312" w:hAnsi="仿宋_GB2312" w:eastAsia="仿宋_GB2312" w:cs="仿宋_GB2312"/>
          <w:sz w:val="32"/>
          <w:szCs w:val="32"/>
        </w:rPr>
        <w:t>　生产已有国家标准的药品，应当按照国务院药品监督管理部门的规定，向省、自治区、直辖市人民政府药品监督管理部门或者国务院药品监督管理部门提出申请，报送有关技术资料并提供相关证明文件。省、自治区、直辖市人民政府药品监督管理部门应当自受理申请之日起30个工作日内进行审查，提出意见后报送国务院药品监督管理部门审核，并同时将审查意见通知申报方。国务院药品监督管理部门经审核符合规定的，发给药品批准文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第三十二条</w:t>
      </w:r>
      <w:r>
        <w:rPr>
          <w:rFonts w:hint="eastAsia" w:ascii="仿宋_GB2312" w:hAnsi="仿宋_GB2312" w:eastAsia="仿宋_GB2312" w:cs="仿宋_GB2312"/>
          <w:sz w:val="32"/>
          <w:szCs w:val="32"/>
        </w:rPr>
        <w:t>　变更研制新药、生产药品和进口药品已获批准证明文件及其附件中载明事项的，应当向国务院药品监督管理部门提出补充申请；国务院药品监督管理部门经审核符合规定的，应当予以批准。其中，不改变药品内在质量的，应当向省、自治区、直辖市人民政府药品监督管理部门提出补充申请；省、自治区、直辖市人民政府药品监督管理部门经审核符合规定的，应当予以批准，并报国务院药品监督管理部门备案。不改变药品内在质量的补充申请事项由国务院药品监督管理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第三十三条</w:t>
      </w:r>
      <w:r>
        <w:rPr>
          <w:rFonts w:hint="eastAsia" w:ascii="仿宋_GB2312" w:hAnsi="仿宋_GB2312" w:eastAsia="仿宋_GB2312" w:cs="仿宋_GB2312"/>
          <w:sz w:val="32"/>
          <w:szCs w:val="32"/>
        </w:rPr>
        <w:t>　国务院药品监督管理部门根据保护公众健康的要求，可以对药品生产企业生产的新药品种设立不超过5年的监测期；在监测期内，不得批准其他企业生产和进口。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第三十四条</w:t>
      </w:r>
      <w:r>
        <w:rPr>
          <w:rFonts w:hint="eastAsia" w:ascii="仿宋_GB2312" w:hAnsi="仿宋_GB2312" w:eastAsia="仿宋_GB2312" w:cs="仿宋_GB2312"/>
          <w:sz w:val="32"/>
          <w:szCs w:val="32"/>
        </w:rPr>
        <w:t>　国家对获得生产或者销售含有新型化学成份药品许可的生产者或者销售者提交的自行取得且未披露的试验数据和其他数据实施保护，任何人不得对该未披露的试验数据和其他数据进行不正当的商业利用。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自药品生产者或者销售者获得生产、销售新型化学成份药品的许可证明文件之日起6年内，对其他申请人未经已获得许可的申请人同意，使用前款数据申请生产、销售新型化学成份药品许可的，药品监督管理部门不予许可；但是，其他申请人提交自行取得数据的除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除下列情形外，药品监督管理部门不得披露本条第一款规定的数据：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（一）公共利益需要；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（二）已采取措施确保该类数据不会被不正当地进行商业利用。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第三十五条</w:t>
      </w:r>
      <w:r>
        <w:rPr>
          <w:rFonts w:hint="eastAsia" w:ascii="仿宋_GB2312" w:hAnsi="仿宋_GB2312" w:eastAsia="仿宋_GB2312" w:cs="仿宋_GB2312"/>
          <w:sz w:val="32"/>
          <w:szCs w:val="32"/>
        </w:rPr>
        <w:t>　申请进口的药品，应当是在生产国家或者地区获得上市许可的药品；未在生产国家或者地区获得上市许可的，经国务院药品监督管理部门确认该药品品种安全、有效而且临床需要的，可以依照《药品管理法》及本条例的规定批准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进口药品，应当按照国务院药品监督管理部门的规定申请注册。国外企业生产的药品取得《进口药品注册证》，中国香港、澳门和台湾地区企业生产的药品取得《医药产品注册证》后，方可进口。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第三十六条</w:t>
      </w:r>
      <w:r>
        <w:rPr>
          <w:rFonts w:hint="eastAsia" w:ascii="仿宋_GB2312" w:hAnsi="仿宋_GB2312" w:eastAsia="仿宋_GB2312" w:cs="仿宋_GB2312"/>
          <w:sz w:val="32"/>
          <w:szCs w:val="32"/>
        </w:rPr>
        <w:t>　医疗机构因临床急需进口少量药品的，应当持《医疗机构执业许可证》向国务院药品监督管理部门提出申请；经批准后，方可进口。进口的药品应当在指定医疗机构内用于特定医疗目的。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第三十七条</w:t>
      </w:r>
      <w:r>
        <w:rPr>
          <w:rFonts w:hint="eastAsia" w:ascii="仿宋_GB2312" w:hAnsi="仿宋_GB2312" w:eastAsia="仿宋_GB2312" w:cs="仿宋_GB2312"/>
          <w:sz w:val="32"/>
          <w:szCs w:val="32"/>
        </w:rPr>
        <w:t>　进口药品到岸后，进口单位应当持《进口药品注册证》或者《医药产品注册证》以及产地证明原件、购货合同副本、装箱单、运单、货运发票、出厂检验报告书、说明书等材料，向口岸所在地药品监督管理部门备案。口岸所在地药品监督管理部门经审查，提交的材料符合要求的，发给《进口药品通关单》。进口单位凭《进口药品通关单》向海关办理报关验放手续。</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口岸所在地药品监督管理部门应当通知药品检验机构对进口药品逐批进行抽查检验；但是，有《药品管理法》第四十一条规定情形的除外。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第三十八条</w:t>
      </w:r>
      <w:r>
        <w:rPr>
          <w:rFonts w:hint="eastAsia" w:ascii="仿宋_GB2312" w:hAnsi="仿宋_GB2312" w:eastAsia="仿宋_GB2312" w:cs="仿宋_GB2312"/>
          <w:sz w:val="32"/>
          <w:szCs w:val="32"/>
        </w:rPr>
        <w:t>　疫苗类制品、血液制品、用于血源筛查的体外诊断试剂以及国务院药品监督管理部门规定的其他生物制品在销售前或者进口时，应当按照国务院药品监督管理部门的规定进行检验或者审核批准；检验不合格或者未获批准的，不得销售或者进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第三十九条</w:t>
      </w:r>
      <w:r>
        <w:rPr>
          <w:rFonts w:hint="eastAsia" w:ascii="仿宋_GB2312" w:hAnsi="仿宋_GB2312" w:eastAsia="仿宋_GB2312" w:cs="仿宋_GB2312"/>
          <w:sz w:val="32"/>
          <w:szCs w:val="32"/>
        </w:rPr>
        <w:t>　国家鼓励培育中药材。对集中规模化栽培养殖、质量可以控制并符合国务院药品监督管理部门规定条件的中药材品种，实行批准文号管理。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第四十条</w:t>
      </w:r>
      <w:r>
        <w:rPr>
          <w:rFonts w:hint="eastAsia" w:ascii="仿宋_GB2312" w:hAnsi="仿宋_GB2312" w:eastAsia="仿宋_GB2312" w:cs="仿宋_GB2312"/>
          <w:sz w:val="32"/>
          <w:szCs w:val="32"/>
        </w:rPr>
        <w:t>　国务院药品监督管理部门对已批准生产、销售的药品进行再评价，根据药品再评价结果，可以采取责令修改药品说明书，暂停生产、销售和使用的措施；对不良反应大或者其他原因危害人体健康的药品，应当撤销该药品批准证明文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第四十一条</w:t>
      </w:r>
      <w:r>
        <w:rPr>
          <w:rFonts w:hint="eastAsia" w:ascii="仿宋_GB2312" w:hAnsi="仿宋_GB2312" w:eastAsia="仿宋_GB2312" w:cs="仿宋_GB2312"/>
          <w:sz w:val="32"/>
          <w:szCs w:val="32"/>
        </w:rPr>
        <w:t>　国务院药品监督管理部门核发的药品批准文号、《进口药品注册证》、《医药产品注册证》的有效期为5年。有效期届满，需要继续生产或者进口的，应当在有效期届满前6个月申请再注册。药品再注册时，应当按照国务院药品监督管理部门的规定报送相关资料。有效期届满，未申请再注册或者经审查不符合国务院药品监督管理部门关于再注册的规定的，注销其药品批准文号、《进口药品注册证》或者《医药产品注册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药品批准文号的再注册由省、自治区、直辖市人民政府药品监督管理部门审批，并报国务院药品监督管理部门备案；《进口药品注册证》、《医药产品注册证》的再注册由国务院药品监督管理部门审批。</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第四十二条</w:t>
      </w:r>
      <w:r>
        <w:rPr>
          <w:rFonts w:hint="eastAsia" w:ascii="仿宋_GB2312" w:hAnsi="仿宋_GB2312" w:eastAsia="仿宋_GB2312" w:cs="仿宋_GB2312"/>
          <w:sz w:val="32"/>
          <w:szCs w:val="32"/>
        </w:rPr>
        <w:t>　非药品不得在其包装、标签、说明书及有关宣传资料上进行含有预防、治疗、诊断人体疾病等有关内容的宣传；但是，法律、行政法规另有规定的除外。</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药品包装的管理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第四十三条</w:t>
      </w:r>
      <w:r>
        <w:rPr>
          <w:rFonts w:hint="eastAsia" w:ascii="仿宋_GB2312" w:hAnsi="仿宋_GB2312" w:eastAsia="仿宋_GB2312" w:cs="仿宋_GB2312"/>
          <w:sz w:val="32"/>
          <w:szCs w:val="32"/>
        </w:rPr>
        <w:t>　药品生产企业使用的直接接触药品的包装材料和容器，必须符合药用要求和保障人体健康、安全的标准。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直接接触药品的包装材料和容器的管理办法、产品目录和药用要求与标准，由国务院药品监督管理部门组织制定并公布。</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第四十四条</w:t>
      </w:r>
      <w:r>
        <w:rPr>
          <w:rFonts w:hint="eastAsia" w:ascii="仿宋_GB2312" w:hAnsi="仿宋_GB2312" w:eastAsia="仿宋_GB2312" w:cs="仿宋_GB2312"/>
          <w:sz w:val="32"/>
          <w:szCs w:val="32"/>
        </w:rPr>
        <w:t>　生产中药饮片，应当选用与药品性质相适应的包装材料和容器；包装不符合规定的中药饮片，不得销售。中药饮片包装必须印有或者贴有标签。</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中药饮片的标签必须注明品名、规格、产地、生产企业、产品批号、生产日期，实施批准文号管理的中药饮片还必须注明药品批准文号。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第四十五条</w:t>
      </w:r>
      <w:r>
        <w:rPr>
          <w:rFonts w:hint="eastAsia" w:ascii="仿宋_GB2312" w:hAnsi="仿宋_GB2312" w:eastAsia="仿宋_GB2312" w:cs="仿宋_GB2312"/>
          <w:sz w:val="32"/>
          <w:szCs w:val="32"/>
        </w:rPr>
        <w:t>　药品包装、标签、说明书必须依照《药品管理法》第五十四条和国务院药品监督管理部门的规定印制。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药品商品名称应当符合国务院药品监督管理部门的规定。</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第四十六条</w:t>
      </w:r>
      <w:r>
        <w:rPr>
          <w:rFonts w:hint="eastAsia" w:ascii="仿宋_GB2312" w:hAnsi="仿宋_GB2312" w:eastAsia="仿宋_GB2312" w:cs="仿宋_GB2312"/>
          <w:sz w:val="32"/>
          <w:szCs w:val="32"/>
        </w:rPr>
        <w:t>　医疗机构配制制剂所使用的直接接触药品的包装材料和容器、制剂的标签和说明书应当符合《药品管理法》第六章和本条例的有关规定，并经省、自治区、直辖市人民政府药品监督管理部门批准。</w:t>
      </w:r>
    </w:p>
    <w:p>
      <w:pPr>
        <w:widowControl w:val="0"/>
        <w:wordWrap/>
        <w:adjustRightInd/>
        <w:snapToGrid/>
        <w:spacing w:after="0" w:line="560" w:lineRule="exact"/>
        <w:ind w:left="0" w:leftChars="0" w:right="0" w:firstLine="665"/>
        <w:jc w:val="center"/>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药品价格和广告的管理</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第四十七条　</w:t>
      </w:r>
      <w:r>
        <w:rPr>
          <w:rFonts w:hint="eastAsia" w:ascii="仿宋_GB2312" w:hAnsi="仿宋_GB2312" w:eastAsia="仿宋_GB2312" w:cs="仿宋_GB2312"/>
          <w:sz w:val="32"/>
          <w:szCs w:val="32"/>
        </w:rPr>
        <w:t>政府价格主管部门依照《价格法》第二十八条的规定实行药品价格监测时，为掌握、分析药品价格变动和趋势，可以指定部分药品生产企业、药品经营企业和医疗机构作为价格监测定点单位；定点单位应当给予配合、支持，如实提供有关信息资料。</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第四十八条</w:t>
      </w:r>
      <w:r>
        <w:rPr>
          <w:rFonts w:hint="eastAsia" w:ascii="仿宋_GB2312" w:hAnsi="仿宋_GB2312" w:eastAsia="仿宋_GB2312" w:cs="仿宋_GB2312"/>
          <w:sz w:val="32"/>
          <w:szCs w:val="32"/>
        </w:rPr>
        <w:t>　发布药品广告，应当向药品生产企业所在地省、自治区、直辖市人民政府药品监督管理部门报送有关材料。省、自治区、直辖市人民政府药品监督管理部门应当自收到有关材料之日起10个工作日内作出是否核发药品广告批准文号的决定；核发药品广告批准文号的，应当同时报国务院药品监督管理部门备案。具体办法由国务院药品监督管理部门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发布进口药品广告，应当依照前款规定向进口药品代理机构所在地省、自治区、直辖市人民政府药品监督管理部门申请药品广告批准文号。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在药品生产企业所在地和进口药品代理机构所在地以外的省、自治区、直辖市发布药品广告的，发布广告的企业应当在发布前向发布地省、自治区、直辖市人民政府药品监督管理部门备案。接受备案的省、自治区、直辖市人民政府药品监督管理部门发现药品广告批准内容不符合药品广告管理规定的，应当交由原核发部门处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第四十九条</w:t>
      </w:r>
      <w:r>
        <w:rPr>
          <w:rFonts w:hint="eastAsia" w:ascii="仿宋_GB2312" w:hAnsi="仿宋_GB2312" w:eastAsia="仿宋_GB2312" w:cs="仿宋_GB2312"/>
          <w:sz w:val="32"/>
          <w:szCs w:val="32"/>
        </w:rPr>
        <w:t>　经国务院或者省、自治区、直辖市人民政府的药品监督管理部门决定，责令暂停生产、销售和使用的药品，在暂停期间不得发布该品种药品广告；已经发布广告的，必须立即停止。</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第五十条</w:t>
      </w:r>
      <w:r>
        <w:rPr>
          <w:rFonts w:hint="eastAsia" w:ascii="仿宋_GB2312" w:hAnsi="仿宋_GB2312" w:eastAsia="仿宋_GB2312" w:cs="仿宋_GB2312"/>
          <w:sz w:val="32"/>
          <w:szCs w:val="32"/>
        </w:rPr>
        <w:t>　未经省、自治区、直辖市人民政府药品监督管理部门批准的药品广告，使用伪造、冒用、失效的药品广告批准文号的广告，或者因其他广告违法活动被撤销药品广告批准文号的广告，发布广告的企业、广告经营者、广告发布者必须立即停止该药品广告的发布。</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对违法发布药品广告，情节严重的，省、自治区、直辖市人民政府药品监督管理部门可以予以公告。</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1"/>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药品监督</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第五十一条　</w:t>
      </w:r>
      <w:r>
        <w:rPr>
          <w:rFonts w:hint="eastAsia" w:ascii="仿宋_GB2312" w:hAnsi="仿宋_GB2312" w:eastAsia="仿宋_GB2312" w:cs="仿宋_GB2312"/>
          <w:sz w:val="32"/>
          <w:szCs w:val="32"/>
        </w:rPr>
        <w:t>药品监督管理部门（含省级人民政府药品监督管理部门依法设立的药品监督管理机构，下同）依法对药品的研制、生产、经营、使用实施监督检查。</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第五十二条</w:t>
      </w:r>
      <w:r>
        <w:rPr>
          <w:rFonts w:hint="eastAsia" w:ascii="仿宋_GB2312" w:hAnsi="仿宋_GB2312" w:eastAsia="仿宋_GB2312" w:cs="仿宋_GB2312"/>
          <w:sz w:val="32"/>
          <w:szCs w:val="32"/>
        </w:rPr>
        <w:t>　药品抽样必须由两名以上药品监督检查人员实施，并按照国务院药品监督管理部门的规定进行抽样；被抽检方应当提供抽检样品，不得拒绝。</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药品被抽检单位没有正当理由，拒绝抽查检验的，国务院药品监督管理部门和被抽检单位所在地省、自治区、直辖市人民政府药品监督管理部门可以宣布停止该单位拒绝抽检的药品上市销售和使用。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第五十三条</w:t>
      </w:r>
      <w:r>
        <w:rPr>
          <w:rFonts w:hint="eastAsia" w:ascii="仿宋_GB2312" w:hAnsi="仿宋_GB2312" w:eastAsia="仿宋_GB2312" w:cs="仿宋_GB2312"/>
          <w:sz w:val="32"/>
          <w:szCs w:val="32"/>
        </w:rPr>
        <w:t>　对有掺杂、掺假嫌疑的药品，在国家药品标准规定的检验方法和检验项目不能检验时，药品检验机构可以补充检验方法和检验项目进行药品检验；经国务院药品监督管理部门批准后，使用补充检验方法和检验项目所得出的检验结果，可以作为药品监督管理部门认定药品质量的依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第五十四条</w:t>
      </w:r>
      <w:r>
        <w:rPr>
          <w:rFonts w:hint="eastAsia" w:ascii="仿宋_GB2312" w:hAnsi="仿宋_GB2312" w:eastAsia="仿宋_GB2312" w:cs="仿宋_GB2312"/>
          <w:sz w:val="32"/>
          <w:szCs w:val="32"/>
        </w:rPr>
        <w:t>　国务院和省、自治区、直辖市人民政府的药品监督管理部门应当根据药品质量抽查检验结果，定期发布药品质量公告。药品质量公告应当包括抽验药品的品名、检品来源、生产企业、生产批号、药品规格、检验机构、检验依据、检验结果、不合格项目等内容。药品质量公告不当的，发布部门应当自确认公告不当之日起5日内，在原公告范围内予以更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当事人对药品检验机构的检验结果有异议，申请复验的，应当向负责复验的药品检验机构提交书面申请、原药品检验报告书。复验的样品从原药品检验机构留样中抽取。</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第五十五条</w:t>
      </w:r>
      <w:r>
        <w:rPr>
          <w:rFonts w:hint="eastAsia" w:ascii="仿宋_GB2312" w:hAnsi="仿宋_GB2312" w:eastAsia="仿宋_GB2312" w:cs="仿宋_GB2312"/>
          <w:sz w:val="32"/>
          <w:szCs w:val="32"/>
        </w:rPr>
        <w:t>　药品监督管理部门依法对有证据证明可能危害人体健康的药品及其有关证据材料采取查封、扣押的行政强制措施的，应当自采取行政强制措施之日起7日内作出是否立案的决定；需要检验的，应当自检验报告书发出之日起15日内作出是否立案的决定；不符合立案条件的，应当解除行政强制措施；需要暂停销售和使用的，应当由国务院或者省、自治区、直辖市人民政府的药品监督管理部门作出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第五十六条</w:t>
      </w:r>
      <w:r>
        <w:rPr>
          <w:rFonts w:hint="eastAsia" w:ascii="仿宋_GB2312" w:hAnsi="仿宋_GB2312" w:eastAsia="仿宋_GB2312" w:cs="仿宋_GB2312"/>
          <w:sz w:val="32"/>
          <w:szCs w:val="32"/>
        </w:rPr>
        <w:t>　药品抽查检验，不得收取任何费用。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当事人对药品检验结果有异议，申请复验的，应当按照国务院有关部门或者省、自治区、直辖市人民政府有关部门的规定，向复验机构预先支付药品检验费用。复验结论与原检验结论不一致的，复验检验费用由原药品检验机构承担。</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第五十七条</w:t>
      </w:r>
      <w:r>
        <w:rPr>
          <w:rFonts w:hint="eastAsia" w:ascii="仿宋_GB2312" w:hAnsi="仿宋_GB2312" w:eastAsia="仿宋_GB2312" w:cs="仿宋_GB2312"/>
          <w:sz w:val="32"/>
          <w:szCs w:val="32"/>
        </w:rPr>
        <w:t>　依据《药品管理法》和本条例的规定核发证书、进行药品注册、药品认证和实施药品审批检验及其强制性检验，可以收取费用。具体收费标准由国务院财政部门、国务院价格主管部门制定。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第九章　法律责任</w:t>
      </w:r>
    </w:p>
    <w:p>
      <w:pPr>
        <w:pStyle w:val="3"/>
        <w:rPr>
          <w:rFonts w:hint="eastAsia"/>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第五十八条</w:t>
      </w:r>
      <w:r>
        <w:rPr>
          <w:rFonts w:hint="eastAsia" w:ascii="仿宋_GB2312" w:hAnsi="仿宋_GB2312" w:eastAsia="仿宋_GB2312" w:cs="仿宋_GB2312"/>
          <w:sz w:val="32"/>
          <w:szCs w:val="32"/>
        </w:rPr>
        <w:t>　药品生产企业、药品经营企业有下列情形之一的，由药品监督管理部门依照《药品管理法》第七十九条的规定给予处罚：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（一）开办药品生产企业、药品生产企业新建药品生产车间、新增生产剂型，在国务院药品监督管理部门规定的时间内未通过《药品生产质量管理规范》认证，仍进行药品生产的；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（二）开办药品经营企业，在国务院药品监督管理部门规定的时间内未通过《药品经营质量管理规范》认证，仍进行药品经营的。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第五十九条</w:t>
      </w:r>
      <w:r>
        <w:rPr>
          <w:rFonts w:hint="eastAsia" w:ascii="仿宋_GB2312" w:hAnsi="仿宋_GB2312" w:eastAsia="仿宋_GB2312" w:cs="仿宋_GB2312"/>
          <w:sz w:val="32"/>
          <w:szCs w:val="32"/>
        </w:rPr>
        <w:t>　违反《药品管理法》第十三条的规定，擅自委托或者接受委托生产药品的，对委托方和受托方均依照《药品管理法》第七十四条的规定给予处罚。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第六十条</w:t>
      </w:r>
      <w:r>
        <w:rPr>
          <w:rFonts w:hint="eastAsia" w:ascii="仿宋_GB2312" w:hAnsi="仿宋_GB2312" w:eastAsia="仿宋_GB2312" w:cs="仿宋_GB2312"/>
          <w:sz w:val="32"/>
          <w:szCs w:val="32"/>
        </w:rPr>
        <w:t>　未经批准，擅自在城乡集市贸易市场设点销售药品或者在城乡集市贸易市场设点销售的药品超出批准经营的药品范围的，依照《药品管理法》第七十三条的规定给予处罚。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第六十一条</w:t>
      </w:r>
      <w:r>
        <w:rPr>
          <w:rFonts w:hint="eastAsia" w:ascii="仿宋_GB2312" w:hAnsi="仿宋_GB2312" w:eastAsia="仿宋_GB2312" w:cs="仿宋_GB2312"/>
          <w:sz w:val="32"/>
          <w:szCs w:val="32"/>
        </w:rPr>
        <w:t>　未经批准，医疗机构擅自使用其他医疗机构配制的制剂的，依照《药品管理法》第八十条的规定给予处罚。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第六十二条</w:t>
      </w:r>
      <w:r>
        <w:rPr>
          <w:rFonts w:hint="eastAsia" w:ascii="仿宋_GB2312" w:hAnsi="仿宋_GB2312" w:eastAsia="仿宋_GB2312" w:cs="仿宋_GB2312"/>
          <w:sz w:val="32"/>
          <w:szCs w:val="32"/>
        </w:rPr>
        <w:t>　个人设置的门诊部、诊所等医疗机构向患者提供的药品超出规定的范围和品种的，依照《药品管理法》第七十三条的规定给予处罚。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第六十三条</w:t>
      </w:r>
      <w:r>
        <w:rPr>
          <w:rFonts w:hint="eastAsia" w:ascii="仿宋_GB2312" w:hAnsi="仿宋_GB2312" w:eastAsia="仿宋_GB2312" w:cs="仿宋_GB2312"/>
          <w:sz w:val="32"/>
          <w:szCs w:val="32"/>
        </w:rPr>
        <w:t>　医疗机构使用假药、劣药的，依照《药品管理法》第七十四条、第七十五条的规定给予处罚。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第六十四条</w:t>
      </w:r>
      <w:r>
        <w:rPr>
          <w:rFonts w:hint="eastAsia" w:ascii="仿宋_GB2312" w:hAnsi="仿宋_GB2312" w:eastAsia="仿宋_GB2312" w:cs="仿宋_GB2312"/>
          <w:sz w:val="32"/>
          <w:szCs w:val="32"/>
        </w:rPr>
        <w:t>　违反《药品管理法》第二十九条的规定，擅自进行临床试验的，对承担药物临床试验的机构，依照《药品管理法》第七十九条的规定给予处罚。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第六十五条</w:t>
      </w:r>
      <w:r>
        <w:rPr>
          <w:rFonts w:hint="eastAsia" w:ascii="仿宋_GB2312" w:hAnsi="仿宋_GB2312" w:eastAsia="仿宋_GB2312" w:cs="仿宋_GB2312"/>
          <w:sz w:val="32"/>
          <w:szCs w:val="32"/>
        </w:rPr>
        <w:t>　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第六十六条</w:t>
      </w:r>
      <w:r>
        <w:rPr>
          <w:rFonts w:hint="eastAsia" w:ascii="仿宋_GB2312" w:hAnsi="仿宋_GB2312" w:eastAsia="仿宋_GB2312" w:cs="仿宋_GB2312"/>
          <w:sz w:val="32"/>
          <w:szCs w:val="32"/>
        </w:rPr>
        <w:t>　生产没有国家药品标准的中药饮片，不符合省、自治区、直辖市人民政府药品监督管理部门制定的炮制规范的；医疗机构不按照省、自治区、直辖市人民政府药品监督管理部门批准的标准配制制剂的，依照《药品管理法》第七十五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第六十七条</w:t>
      </w:r>
      <w:r>
        <w:rPr>
          <w:rFonts w:hint="eastAsia" w:ascii="仿宋_GB2312" w:hAnsi="仿宋_GB2312" w:eastAsia="仿宋_GB2312" w:cs="仿宋_GB2312"/>
          <w:sz w:val="32"/>
          <w:szCs w:val="32"/>
        </w:rPr>
        <w:t>　药品监督管理部门及其工作人员违反规定，泄露生产者、销售者为获得生产、销售含有新型化学成份药品许可而提交的未披露试验数据或者其他数据，造成申请人损失的，由药品监督管理部门依法承担赔偿责任；药品监督管理部门赔偿损失后，应当责令故意或者有重大过失的工作人员承担部分或者全部赔偿费用，并对直接责任人员依法给予行政处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第六十八条</w:t>
      </w:r>
      <w:r>
        <w:rPr>
          <w:rFonts w:hint="eastAsia" w:ascii="仿宋_GB2312" w:hAnsi="仿宋_GB2312" w:eastAsia="仿宋_GB2312" w:cs="仿宋_GB2312"/>
          <w:sz w:val="32"/>
          <w:szCs w:val="32"/>
        </w:rPr>
        <w:t>　药品生产企业、药品经营企业生产、经营的药品及医疗机构配制的制剂，其包装、标签、说明书违反《药品管理法》及本条例规定的，依照《药品管理法》第八十六条的规定给予处罚。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第六十九条</w:t>
      </w:r>
      <w:r>
        <w:rPr>
          <w:rFonts w:hint="eastAsia" w:ascii="仿宋_GB2312" w:hAnsi="仿宋_GB2312" w:eastAsia="仿宋_GB2312" w:cs="仿宋_GB2312"/>
          <w:sz w:val="32"/>
          <w:szCs w:val="32"/>
        </w:rPr>
        <w:t>　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三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第七十条</w:t>
      </w:r>
      <w:r>
        <w:rPr>
          <w:rFonts w:hint="eastAsia" w:ascii="仿宋_GB2312" w:hAnsi="仿宋_GB2312" w:eastAsia="仿宋_GB2312" w:cs="仿宋_GB2312"/>
          <w:sz w:val="32"/>
          <w:szCs w:val="32"/>
        </w:rPr>
        <w:t>　篡改经批准的药品广告内容的，由药品监督管理部门责令广告主立即停止该药品广告的发布，并由原审批的药品监督管理部门依照《药品管理法》第九十二条的规定给予处罚。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监督管理部门撤销药品广告批准文号后，应当自作出行政处理决定之日起5个工作日内通知广告监督管理机关。广告监督管理机关应当自收到药品监督管理部门通知之日起15个工作日内，依照《中华人民共和国广告法》的有关规定作出行政处理决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第七十一条</w:t>
      </w:r>
      <w:r>
        <w:rPr>
          <w:rFonts w:hint="eastAsia" w:ascii="仿宋_GB2312" w:hAnsi="仿宋_GB2312" w:eastAsia="仿宋_GB2312" w:cs="仿宋_GB2312"/>
          <w:sz w:val="32"/>
          <w:szCs w:val="32"/>
        </w:rPr>
        <w:t>　发布药品广告的企业在药品生产企业所在地或者进口药品代理机构所在地以外的省、自治区、直辖市发布药品广告，未按照规定向发布地省、自治区、直辖市人民政府药品监督管理部门备案的，由发布地的药品监督管理部门责令限期改正；逾期不改正的，停止该药品品种在发布地的广告发布活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第七十二条</w:t>
      </w:r>
      <w:r>
        <w:rPr>
          <w:rFonts w:hint="eastAsia" w:ascii="仿宋_GB2312" w:hAnsi="仿宋_GB2312" w:eastAsia="仿宋_GB2312" w:cs="仿宋_GB2312"/>
          <w:sz w:val="32"/>
          <w:szCs w:val="32"/>
        </w:rPr>
        <w:t>　未经省、自治区、直辖市人民政府药品监督管理部门批准，擅自发布药品广告的，药品监督管理部门发现后，应当通知广告监督管理部门依法查处。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第七十三条</w:t>
      </w:r>
      <w:r>
        <w:rPr>
          <w:rFonts w:hint="eastAsia" w:ascii="仿宋_GB2312" w:hAnsi="仿宋_GB2312" w:eastAsia="仿宋_GB2312" w:cs="仿宋_GB2312"/>
          <w:sz w:val="32"/>
          <w:szCs w:val="32"/>
        </w:rPr>
        <w:t>　违反《药品管理法》和本条例的规定，有下列行为之一的，由药品监督管理部门在《药品管理法》和本条例规定的处罚幅度内从重处罚：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（一）以麻醉药品、精神药品、医疗用毒性药品、放射性药品冒充其他药品，或者以其他药品冒充上述药品的；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（二）生产、销售以孕产妇、婴幼儿及儿童为主要使用对象的假药、劣药的；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（三）生产、销售的生物制品、血液制品属于假药、劣药的；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（四）生产、销售、使用假药、劣药，造成人员伤害后果的；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（五）生产、销售、使用假药、劣药，经处理后重犯的；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（六）拒绝、逃避监督检查，或者伪造、销毁、隐匿有关证据材料的，或者擅自动用查封、扣押物品的。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第七十四条</w:t>
      </w:r>
      <w:r>
        <w:rPr>
          <w:rFonts w:hint="eastAsia" w:ascii="仿宋_GB2312" w:hAnsi="仿宋_GB2312" w:eastAsia="仿宋_GB2312" w:cs="仿宋_GB2312"/>
          <w:sz w:val="32"/>
          <w:szCs w:val="32"/>
        </w:rPr>
        <w:t>　药品监督管理部门设置的派出机构，有权作出《药品管理法》和本条例规定的警告、罚款、没收违法生产、销售的药品和违法所得的行政处罚。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第七十五条</w:t>
      </w:r>
      <w:r>
        <w:rPr>
          <w:rFonts w:hint="eastAsia" w:ascii="仿宋_GB2312" w:hAnsi="仿宋_GB2312" w:eastAsia="仿宋_GB2312" w:cs="仿宋_GB2312"/>
          <w:sz w:val="32"/>
          <w:szCs w:val="32"/>
        </w:rPr>
        <w:t>　药品经营企业、医疗机构未违反《药品管理法》和本条例的有关规定，并有充分证据证明其不知道所销售或者使用的药品是假药、劣药的，应当没收其销售或者使用的假药、劣药和违法所得；但是，可以免除其他行政处罚。</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第七十六条</w:t>
      </w:r>
      <w:r>
        <w:rPr>
          <w:rFonts w:hint="eastAsia" w:ascii="仿宋_GB2312" w:hAnsi="仿宋_GB2312" w:eastAsia="仿宋_GB2312" w:cs="仿宋_GB2312"/>
          <w:sz w:val="32"/>
          <w:szCs w:val="32"/>
        </w:rPr>
        <w:t>　依照《药品管理法》和本条例的规定没收的物品，由药品监督管理部门按照规定监督处理。</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2"/>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附则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第七十七条</w:t>
      </w:r>
      <w:r>
        <w:rPr>
          <w:rFonts w:hint="eastAsia" w:ascii="仿宋_GB2312" w:hAnsi="仿宋_GB2312" w:eastAsia="仿宋_GB2312" w:cs="仿宋_GB2312"/>
          <w:sz w:val="32"/>
          <w:szCs w:val="32"/>
        </w:rPr>
        <w:t>　本条例下列用语的含义：</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药品合格证明和其他标识，是指药品生产批准证明文件、药品检验报告书、药品的包装、标签和说明书。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新药，是指未曾在中国境内上市销售的药品。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处方药，是指凭执业医师和执业助理医师处方方可购买、调配和使用的药品。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非处方药，是指由国务院药品监督管理部门公布的，不需要凭执业医师和执业助理医师处方，消费者可以自行判断、购买和使用的药品。</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医疗机构制剂，是指医疗机构根据本单位临床需要经批准而配制、自用的固定处方制剂。</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药品认证，是指药品监督管理部门对药品研制、生产、经营、使用单位实施相应质量管理规范进行检查、评价并决定是否发给相应认证证书的过程。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药品经营方式，是指药品批发和药品零售。</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药品经营范围，是指经药品监督管理部门核准经营药品的品种类别。</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药品批发企业，是指将购进的药品销售给药品生产企业、药品经营企业、医疗机构的药品经营企业。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药品零售企业，是指将购进的药品直接销售给消费者的药品经营企业。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第七十八条</w:t>
      </w:r>
      <w:r>
        <w:rPr>
          <w:rFonts w:hint="eastAsia" w:ascii="仿宋_GB2312" w:hAnsi="仿宋_GB2312" w:eastAsia="仿宋_GB2312" w:cs="仿宋_GB2312"/>
          <w:sz w:val="32"/>
          <w:szCs w:val="32"/>
        </w:rPr>
        <w:t>《药品管理法》第四十一条中“首次在中国销售的药品”，是指国内或者国外药品生产企业第一次在中国销售的药品，包括不同药品生产企业生产的相同品种。</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第七十九条</w:t>
      </w:r>
      <w:r>
        <w:rPr>
          <w:rFonts w:hint="eastAsia" w:ascii="仿宋_GB2312" w:hAnsi="仿宋_GB2312" w:eastAsia="仿宋_GB2312" w:cs="仿宋_GB2312"/>
          <w:sz w:val="32"/>
          <w:szCs w:val="32"/>
        </w:rPr>
        <w:t>《药品管理法》第五十九条第二款“禁止药品的生产企业、经营企业或者其代理人以任何名义给予使用其药品的医疗机构的负责人、药品采购人员、医师等有关人员以财物或者其他利益”中的“财物或者其他利益”，是指药品的生产企业、经营企业或者其代理人向医疗机构的负责人、药品采购人员、医师等有关人员提供的目的在于影响其药品采购或者药品处方行为的不正当利益。</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第八十条</w:t>
      </w:r>
      <w:r>
        <w:rPr>
          <w:rFonts w:hint="eastAsia" w:ascii="仿宋_GB2312" w:hAnsi="仿宋_GB2312" w:eastAsia="仿宋_GB2312" w:cs="仿宋_GB2312"/>
          <w:sz w:val="32"/>
          <w:szCs w:val="32"/>
        </w:rPr>
        <w:t>　本条例自</w:t>
      </w:r>
      <w:r>
        <w:rPr>
          <w:rFonts w:hint="eastAsia" w:ascii="宋体" w:hAnsi="宋体" w:eastAsia="宋体" w:cs="宋体"/>
          <w:sz w:val="32"/>
          <w:szCs w:val="32"/>
        </w:rPr>
        <w:t>2002</w:t>
      </w:r>
      <w:r>
        <w:rPr>
          <w:rFonts w:hint="eastAsia" w:ascii="仿宋_GB2312" w:hAnsi="仿宋_GB2312" w:eastAsia="仿宋_GB2312" w:cs="仿宋_GB2312"/>
          <w:sz w:val="32"/>
          <w:szCs w:val="32"/>
        </w:rPr>
        <w:t>年</w:t>
      </w:r>
      <w:r>
        <w:rPr>
          <w:rFonts w:hint="eastAsia" w:ascii="宋体" w:hAnsi="宋体" w:eastAsia="宋体" w:cs="宋体"/>
          <w:sz w:val="32"/>
          <w:szCs w:val="32"/>
        </w:rPr>
        <w:t>9</w:t>
      </w:r>
      <w:r>
        <w:rPr>
          <w:rFonts w:hint="eastAsia" w:ascii="仿宋_GB2312" w:hAnsi="仿宋_GB2312" w:eastAsia="仿宋_GB2312" w:cs="仿宋_GB2312"/>
          <w:sz w:val="32"/>
          <w:szCs w:val="32"/>
        </w:rPr>
        <w:t>月</w:t>
      </w:r>
      <w:r>
        <w:rPr>
          <w:rFonts w:hint="eastAsia" w:ascii="宋体" w:hAnsi="宋体" w:eastAsia="宋体" w:cs="宋体"/>
          <w:sz w:val="32"/>
          <w:szCs w:val="32"/>
        </w:rPr>
        <w:t>15</w:t>
      </w:r>
      <w:r>
        <w:rPr>
          <w:rFonts w:hint="eastAsia" w:ascii="仿宋_GB2312" w:hAnsi="仿宋_GB2312" w:eastAsia="仿宋_GB2312" w:cs="仿宋_GB2312"/>
          <w:sz w:val="32"/>
          <w:szCs w:val="32"/>
        </w:rPr>
        <w:t>日起施行。</w:t>
      </w:r>
    </w:p>
    <w:p>
      <w:pPr>
        <w:widowControl w:val="0"/>
        <w:wordWrap/>
        <w:overflowPunct w:val="0"/>
        <w:spacing w:beforeAutospacing="0" w:afterAutospacing="0" w:line="560" w:lineRule="exact"/>
        <w:textAlignment w:val="auto"/>
        <w:rPr>
          <w:rFonts w:ascii="宋体" w:hAnsi="宋体" w:cs="Arial"/>
          <w:kern w:val="0"/>
          <w:szCs w:val="32"/>
        </w:rPr>
      </w:pPr>
    </w:p>
    <w:p>
      <w:pPr>
        <w:rPr>
          <w:rFonts w:hint="eastAsia" w:ascii="宋体" w:hAnsi="宋体" w:cs="Arial"/>
          <w:kern w:val="0"/>
          <w:szCs w:val="32"/>
        </w:rPr>
      </w:pPr>
      <w:r>
        <w:rPr>
          <w:rFonts w:ascii="宋体" w:hAnsi="宋体" w:cs="Arial"/>
          <w:kern w:val="0"/>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宋体"/>
          <w:sz w:val="32"/>
          <w:szCs w:val="32"/>
        </w:rPr>
      </w:pPr>
      <w:bookmarkStart w:id="254" w:name="_Toc13253"/>
      <w:r>
        <w:rPr>
          <w:rFonts w:hint="eastAsia" w:ascii="宋体" w:hAnsi="宋体" w:eastAsia="宋体" w:cs="Arial"/>
          <w:bCs/>
          <w:sz w:val="44"/>
          <w:szCs w:val="44"/>
        </w:rPr>
        <w:t>公共场所卫生管理条例</w:t>
      </w:r>
      <w:bookmarkEnd w:id="254"/>
    </w:p>
    <w:p>
      <w:pPr>
        <w:widowControl w:val="0"/>
        <w:wordWrap/>
        <w:adjustRightInd/>
        <w:snapToGrid/>
        <w:spacing w:after="0" w:line="560" w:lineRule="exact"/>
        <w:ind w:left="0" w:leftChars="0" w:right="0"/>
        <w:jc w:val="center"/>
        <w:textAlignment w:val="auto"/>
        <w:outlineLvl w:val="9"/>
        <w:rPr>
          <w:rFonts w:hint="eastAsia" w:ascii="宋体" w:hAnsi="宋体" w:eastAsia="宋体" w:cs="宋体"/>
          <w:sz w:val="32"/>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（1987年4月1日国务院发布　根据2016年2月6日《国务院关于修改部分行政法规的决定》修订　根据2019年4月23日国务院令第714号《国务院关于修改部分行政法规的决定》修正）</w:t>
      </w:r>
    </w:p>
    <w:p>
      <w:pPr>
        <w:widowControl w:val="0"/>
        <w:wordWrap/>
        <w:adjustRightInd/>
        <w:snapToGrid/>
        <w:spacing w:after="0" w:line="560" w:lineRule="exact"/>
        <w:ind w:left="0" w:leftChars="0" w:right="0"/>
        <w:textAlignment w:val="auto"/>
        <w:outlineLvl w:val="9"/>
        <w:rPr>
          <w:rFonts w:hint="eastAsia" w:ascii="楷体_GB2312" w:hAnsi="楷体_GB2312" w:eastAsia="楷体_GB2312" w:cs="楷体_GB2312"/>
          <w:sz w:val="32"/>
          <w:szCs w:val="32"/>
        </w:rPr>
      </w:pPr>
    </w:p>
    <w:p>
      <w:pPr>
        <w:widowControl w:val="0"/>
        <w:numPr>
          <w:ilvl w:val="0"/>
          <w:numId w:val="13"/>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第一条</w:t>
      </w:r>
      <w:r>
        <w:rPr>
          <w:rFonts w:hint="eastAsia" w:ascii="仿宋_GB2312" w:hAnsi="仿宋_GB2312" w:eastAsia="仿宋_GB2312" w:cs="仿宋_GB2312"/>
          <w:sz w:val="32"/>
          <w:szCs w:val="32"/>
        </w:rPr>
        <w:t>　为创造良好的公共场所卫生条件，预防疾病，保障人体健康，制定本条例。</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第二条</w:t>
      </w:r>
      <w:r>
        <w:rPr>
          <w:rFonts w:hint="eastAsia" w:ascii="仿宋_GB2312" w:hAnsi="仿宋_GB2312" w:eastAsia="仿宋_GB2312" w:cs="仿宋_GB2312"/>
          <w:sz w:val="32"/>
          <w:szCs w:val="32"/>
        </w:rPr>
        <w:t>　本条例适用于下列公共场所：</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（一）宾馆、饭馆、旅店、招待所、车马店、咖啡馆、酒吧、茶座；</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（二）公共浴室、理发店、美容店；</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（三）影剧院、录像厅（室）、游艺厅（室）、舞厅、音乐厅；</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（四）体育场（馆）、游泳场（馆）、公园；</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（五）展览馆、博物馆、美术馆、图书馆；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（六）商场（店）、书店；</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（七）候诊室、候车（机、船）室、公共交通工具。</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第三条</w:t>
      </w:r>
      <w:r>
        <w:rPr>
          <w:rFonts w:hint="eastAsia" w:ascii="仿宋_GB2312" w:hAnsi="仿宋_GB2312" w:eastAsia="仿宋_GB2312" w:cs="仿宋_GB2312"/>
          <w:sz w:val="32"/>
          <w:szCs w:val="32"/>
        </w:rPr>
        <w:t>　公共场所的下列项目应符合国家卫生标准和要求：</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（一）空气、微小气候（湿度、温度、风速）；</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（二）水质；</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（三）采光、照明；</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（四）噪音；</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（五）顾客用具和卫生设施。</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公共场所的卫生标准和要求，由国务院卫生行政部门负责制定。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第四条</w:t>
      </w:r>
      <w:r>
        <w:rPr>
          <w:rFonts w:hint="eastAsia" w:ascii="仿宋_GB2312" w:hAnsi="仿宋_GB2312" w:eastAsia="仿宋_GB2312" w:cs="仿宋_GB2312"/>
          <w:sz w:val="32"/>
          <w:szCs w:val="32"/>
        </w:rPr>
        <w:t>　国家对公共场所实行“卫生许可证”制度。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“卫生许可证”由县以上卫生行政部门签发。</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第二章　卫 生 管 理</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第五条</w:t>
      </w:r>
      <w:r>
        <w:rPr>
          <w:rFonts w:hint="eastAsia" w:ascii="仿宋_GB2312" w:hAnsi="仿宋_GB2312" w:eastAsia="仿宋_GB2312" w:cs="仿宋_GB2312"/>
          <w:sz w:val="32"/>
          <w:szCs w:val="32"/>
        </w:rPr>
        <w:t>　公共场所的主管部门应当建立卫生管理制度，配备专职或者兼职卫生管理人员，对所属经营单位（包括个体经营者，下同）的卫生状况进行经常性检查，并提供必要的条件。</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第六条</w:t>
      </w:r>
      <w:r>
        <w:rPr>
          <w:rFonts w:hint="eastAsia" w:ascii="仿宋_GB2312" w:hAnsi="仿宋_GB2312" w:eastAsia="仿宋_GB2312" w:cs="仿宋_GB2312"/>
          <w:sz w:val="32"/>
          <w:szCs w:val="32"/>
        </w:rPr>
        <w:t>　经营单位应当负责所经营的公共场所的卫生管理，建立卫生责任制度，对本单位的从业人员进行卫生知识的培训和考核工作。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第七条</w:t>
      </w:r>
      <w:r>
        <w:rPr>
          <w:rFonts w:hint="eastAsia" w:ascii="仿宋_GB2312" w:hAnsi="仿宋_GB2312" w:eastAsia="仿宋_GB2312" w:cs="仿宋_GB2312"/>
          <w:sz w:val="32"/>
          <w:szCs w:val="32"/>
        </w:rPr>
        <w:t>　公共场所直接为顾客服务的人员，持有“健康合格证”方能从事本职工作。患有痢疾、伤寒、病毒性肝炎、活动期肺结核、化脓性或者渗出性皮肤病以及其他有碍公共卫生的疾病的，治愈前不得从事直接为顾客服务的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第八条</w:t>
      </w:r>
      <w:r>
        <w:rPr>
          <w:rFonts w:hint="eastAsia" w:ascii="仿宋_GB2312" w:hAnsi="仿宋_GB2312" w:eastAsia="仿宋_GB2312" w:cs="仿宋_GB2312"/>
          <w:sz w:val="32"/>
          <w:szCs w:val="32"/>
        </w:rPr>
        <w:t>　除公园、体育场（馆）、公共交通工具外的公共场所，经营单位应当及时向卫生行政部门申请办理“卫生许可证”。“卫生许可证”两年复核一次。</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第九条</w:t>
      </w:r>
      <w:r>
        <w:rPr>
          <w:rFonts w:hint="eastAsia" w:ascii="仿宋_GB2312" w:hAnsi="仿宋_GB2312" w:eastAsia="仿宋_GB2312" w:cs="仿宋_GB2312"/>
          <w:sz w:val="32"/>
          <w:szCs w:val="32"/>
        </w:rPr>
        <w:t>　公共场所因不符合卫生标准和要求造成危害健康事故的，经营单位应妥善处理，并及时报告卫生防疫机构。</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14"/>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卫生监督</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第十条　</w:t>
      </w:r>
      <w:r>
        <w:rPr>
          <w:rFonts w:hint="eastAsia" w:ascii="仿宋_GB2312" w:hAnsi="仿宋_GB2312" w:eastAsia="仿宋_GB2312" w:cs="仿宋_GB2312"/>
          <w:sz w:val="32"/>
          <w:szCs w:val="32"/>
        </w:rPr>
        <w:t>各级卫生防疫机构，负责管辖范围内的公共场所卫生监督工作。</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民航、铁路、交通、厂（场）矿卫生防疫机构对管辖范围内的公共场所，施行卫生监督，并接受当地卫生防疫机构的业务指导。</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第十一条</w:t>
      </w:r>
      <w:r>
        <w:rPr>
          <w:rFonts w:hint="eastAsia" w:ascii="仿宋_GB2312" w:hAnsi="仿宋_GB2312" w:eastAsia="仿宋_GB2312" w:cs="仿宋_GB2312"/>
          <w:sz w:val="32"/>
          <w:szCs w:val="32"/>
        </w:rPr>
        <w:t>　卫生防疫机构根据需要设立公共场所卫生监督员，执行卫生防疫机构交给的任务。公共场所卫生监督员由同级人民政府发给证书。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民航、铁路、交通、工矿企业卫生防疫机构的公共场所卫生监督员，由其上级主管部门发给证书。</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第十二条</w:t>
      </w:r>
      <w:r>
        <w:rPr>
          <w:rFonts w:hint="eastAsia" w:ascii="仿宋_GB2312" w:hAnsi="仿宋_GB2312" w:eastAsia="仿宋_GB2312" w:cs="仿宋_GB2312"/>
          <w:sz w:val="32"/>
          <w:szCs w:val="32"/>
        </w:rPr>
        <w:t>　卫生防疫机构对公共场所的卫生监督职责：</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（一）对公共场所进行卫生监测和卫生技术指导；</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（二）监督从业人员健康检查，指导有关部门对从业人员进行卫生知识的教育和培训；</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第十三条</w:t>
      </w:r>
      <w:r>
        <w:rPr>
          <w:rFonts w:hint="eastAsia" w:ascii="仿宋_GB2312" w:hAnsi="仿宋_GB2312" w:eastAsia="仿宋_GB2312" w:cs="仿宋_GB2312"/>
          <w:sz w:val="32"/>
          <w:szCs w:val="32"/>
        </w:rPr>
        <w:t>　卫生监督员有权对公共场所进行现场检查，索取有关资料，经营单位不得拒绝或隐瞒。卫生监督员对所提供的技术资料有保密的责任。</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公共场所卫生监督员在执行任务时，应佩戴证章、出示证件。</w:t>
      </w:r>
    </w:p>
    <w:p>
      <w:pPr>
        <w:widowControl w:val="0"/>
        <w:wordWrap/>
        <w:adjustRightInd/>
        <w:snapToGrid/>
        <w:spacing w:after="0" w:line="560" w:lineRule="exact"/>
        <w:ind w:left="0" w:leftChars="0" w:right="0" w:firstLine="640"/>
        <w:textAlignment w:val="auto"/>
        <w:outlineLvl w:val="9"/>
        <w:rPr>
          <w:rFonts w:hint="eastAsia" w:ascii="仿宋_GB2312" w:hAnsi="仿宋_GB2312" w:eastAsia="仿宋_GB2312" w:cs="仿宋_GB2312"/>
          <w:sz w:val="32"/>
          <w:szCs w:val="32"/>
        </w:rPr>
      </w:pPr>
    </w:p>
    <w:p>
      <w:pPr>
        <w:widowControl w:val="0"/>
        <w:numPr>
          <w:ilvl w:val="0"/>
          <w:numId w:val="14"/>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罚则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第十四条</w:t>
      </w:r>
      <w:r>
        <w:rPr>
          <w:rFonts w:hint="eastAsia" w:ascii="仿宋_GB2312" w:hAnsi="仿宋_GB2312" w:eastAsia="仿宋_GB2312" w:cs="仿宋_GB2312"/>
          <w:sz w:val="32"/>
          <w:szCs w:val="32"/>
        </w:rPr>
        <w:t>　凡有下列行为之一的单位或者个人，卫生防疫机构可以根据情节轻重，给予警告、罚款、停业整顿、吊销“卫生许可证”的行政处罚：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（一）卫生质量不符合国家卫生标准和要求，而继续营业的；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（二）未获得“健康合格证”，而从事直接为顾客服务的；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（三）拒绝卫生监督的；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（四）未取得“卫生许可证”，擅自营业的。</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罚款一律上交国库。</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第十五条　</w:t>
      </w:r>
      <w:r>
        <w:rPr>
          <w:rFonts w:hint="eastAsia" w:ascii="仿宋_GB2312" w:hAnsi="仿宋_GB2312" w:eastAsia="仿宋_GB2312" w:cs="仿宋_GB2312"/>
          <w:sz w:val="32"/>
          <w:szCs w:val="32"/>
        </w:rPr>
        <w:t>违反本条例的规定造成严重危害公民健康的事故或中毒事故的单位或者个人，应当对受害人赔偿损失。</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违反本条例致人残疾或者死亡，构成犯罪的，应由司法机关依法追究直接责任人员的刑事责任。</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第十六条</w:t>
      </w:r>
      <w:r>
        <w:rPr>
          <w:rFonts w:hint="eastAsia" w:ascii="仿宋_GB2312" w:hAnsi="仿宋_GB2312" w:eastAsia="仿宋_GB2312" w:cs="仿宋_GB2312"/>
          <w:sz w:val="32"/>
          <w:szCs w:val="32"/>
        </w:rPr>
        <w:t>　对罚款、停业整顿及吊销“卫生许可证”的行政处罚不服的，在接到处罚通知之日起15天内，可以向当地人民法院起诉。但对公共场所卫生质量控制的决定应立即执行。对处罚的决定不履行又逾期不起诉的，由卫生防疫机构向人民法院申请强制执行。</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第十七条</w:t>
      </w:r>
      <w:r>
        <w:rPr>
          <w:rFonts w:hint="eastAsia" w:ascii="仿宋_GB2312" w:hAnsi="仿宋_GB2312" w:eastAsia="仿宋_GB2312" w:cs="仿宋_GB2312"/>
          <w:sz w:val="32"/>
          <w:szCs w:val="32"/>
        </w:rPr>
        <w:t>　公共场所卫生监督机构和卫生监督员必须尽职尽责，依法办事。对玩忽职守，滥用职权，收取贿赂的，由上级主管部门给予直接责任人员行政处分。构成犯罪的，由司法机关依法追究直接责任人员的刑事责任。</w:t>
      </w:r>
    </w:p>
    <w:p>
      <w:pPr>
        <w:widowControl w:val="0"/>
        <w:wordWrap/>
        <w:adjustRightInd/>
        <w:snapToGrid/>
        <w:spacing w:after="0" w:line="560" w:lineRule="exact"/>
        <w:ind w:left="0" w:leftChars="0" w:right="0" w:firstLine="665"/>
        <w:textAlignment w:val="auto"/>
        <w:outlineLvl w:val="9"/>
        <w:rPr>
          <w:rFonts w:hint="eastAsia" w:ascii="仿宋_GB2312" w:hAnsi="仿宋_GB2312" w:eastAsia="仿宋_GB2312" w:cs="仿宋_GB2312"/>
          <w:sz w:val="32"/>
          <w:szCs w:val="32"/>
        </w:rPr>
      </w:pPr>
    </w:p>
    <w:p>
      <w:pPr>
        <w:widowControl w:val="0"/>
        <w:numPr>
          <w:ilvl w:val="0"/>
          <w:numId w:val="14"/>
        </w:numPr>
        <w:wordWrap/>
        <w:adjustRightInd/>
        <w:snapToGrid/>
        <w:spacing w:after="0" w:line="560" w:lineRule="exact"/>
        <w:ind w:left="0" w:leftChars="0" w:right="0"/>
        <w:jc w:val="center"/>
        <w:textAlignment w:val="auto"/>
        <w:outlineLvl w:val="9"/>
        <w:rPr>
          <w:rFonts w:hint="eastAsia" w:ascii="黑体" w:hAnsi="黑体" w:eastAsia="黑体" w:cs="黑体"/>
          <w:sz w:val="32"/>
          <w:szCs w:val="32"/>
        </w:rPr>
      </w:pPr>
      <w:r>
        <w:rPr>
          <w:rFonts w:hint="eastAsia" w:ascii="黑体" w:hAnsi="黑体" w:eastAsia="黑体" w:cs="黑体"/>
          <w:sz w:val="32"/>
          <w:szCs w:val="32"/>
        </w:rPr>
        <w:t>　附则</w:t>
      </w:r>
    </w:p>
    <w:p>
      <w:pPr>
        <w:widowControl w:val="0"/>
        <w:numPr>
          <w:ilvl w:val="0"/>
          <w:numId w:val="0"/>
        </w:numPr>
        <w:wordWrap/>
        <w:adjustRightInd/>
        <w:snapToGrid/>
        <w:spacing w:after="0" w:line="560" w:lineRule="exact"/>
        <w:ind w:left="0" w:leftChars="0" w:right="0"/>
        <w:jc w:val="both"/>
        <w:textAlignment w:val="auto"/>
        <w:outlineLvl w:val="9"/>
        <w:rPr>
          <w:rFonts w:hint="eastAsia" w:ascii="黑体" w:hAnsi="黑体" w:eastAsia="黑体" w:cs="黑体"/>
          <w:sz w:val="32"/>
          <w:szCs w:val="32"/>
        </w:rPr>
      </w:pP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第十八条　</w:t>
      </w:r>
      <w:r>
        <w:rPr>
          <w:rFonts w:hint="eastAsia" w:ascii="仿宋_GB2312" w:hAnsi="仿宋_GB2312" w:eastAsia="仿宋_GB2312" w:cs="仿宋_GB2312"/>
          <w:sz w:val="32"/>
          <w:szCs w:val="32"/>
        </w:rPr>
        <w:t>本条例的实施细则由国务院卫生行政部门负责制定。</w:t>
      </w:r>
    </w:p>
    <w:p>
      <w:pPr>
        <w:widowControl w:val="0"/>
        <w:wordWrap/>
        <w:adjustRightInd/>
        <w:snapToGrid/>
        <w:spacing w:after="0" w:line="560" w:lineRule="exact"/>
        <w:ind w:left="0" w:leftChars="0"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第十九条</w:t>
      </w:r>
      <w:r>
        <w:rPr>
          <w:rFonts w:hint="eastAsia" w:ascii="仿宋_GB2312" w:hAnsi="仿宋_GB2312" w:eastAsia="仿宋_GB2312" w:cs="仿宋_GB2312"/>
          <w:sz w:val="32"/>
          <w:szCs w:val="32"/>
        </w:rPr>
        <w:t>　本条例自发布之日起施行。</w:t>
      </w:r>
    </w:p>
    <w:p>
      <w:pPr>
        <w:wordWrap/>
        <w:spacing w:line="560" w:lineRule="exact"/>
        <w:textAlignment w:val="auto"/>
        <w:rPr>
          <w:rFonts w:hint="eastAsia" w:ascii="仿宋_GB2312" w:hAnsi="仿宋_GB2312" w:eastAsia="仿宋_GB2312" w:cs="仿宋_GB2312"/>
          <w:sz w:val="32"/>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5" w:name="_Toc20353"/>
      <w:r>
        <w:rPr>
          <w:rFonts w:hint="eastAsia" w:ascii="宋体" w:hAnsi="宋体" w:eastAsia="宋体" w:cs="Arial"/>
          <w:bCs/>
          <w:sz w:val="44"/>
          <w:szCs w:val="44"/>
        </w:rPr>
        <w:t>国内交通卫生检疫条例</w:t>
      </w:r>
      <w:bookmarkEnd w:id="255"/>
    </w:p>
    <w:p>
      <w:pPr>
        <w:widowControl w:val="0"/>
        <w:wordWrap/>
        <w:overflowPunct w:val="0"/>
        <w:spacing w:beforeAutospacing="0" w:afterAutospacing="0" w:line="560" w:lineRule="exact"/>
        <w:ind w:left="640" w:leftChars="200" w:right="640" w:rightChars="200"/>
        <w:textAlignment w:val="auto"/>
        <w:rPr>
          <w:rFonts w:hint="eastAsia" w:ascii="宋体" w:hAnsi="宋体" w:eastAsia="楷体_GB2312"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（1998年11月28日中华人民共和国国务院令第254号发布</w:t>
      </w:r>
      <w:r>
        <w:rPr>
          <w:rFonts w:hint="eastAsia" w:ascii="楷体" w:hAnsi="楷体" w:eastAsia="楷体" w:cs="楷体"/>
          <w:szCs w:val="32"/>
          <w:lang w:val="en-US" w:eastAsia="zh-CN"/>
        </w:rPr>
        <w:t xml:space="preserve"> 自1999年3月1日起施行</w:t>
      </w:r>
      <w:r>
        <w:rPr>
          <w:rFonts w:hint="eastAsia" w:ascii="楷体" w:hAnsi="楷体" w:eastAsia="楷体" w:cs="楷体"/>
          <w:szCs w:val="32"/>
        </w:rPr>
        <w:t>）</w:t>
      </w:r>
    </w:p>
    <w:p>
      <w:pPr>
        <w:pStyle w:val="3"/>
        <w:rPr>
          <w:rFonts w:hint="eastAsia" w:ascii="宋体" w:hAnsi="宋体" w:eastAsia="宋体" w:cs="Arial"/>
          <w:bCs/>
          <w:sz w:val="44"/>
          <w:szCs w:val="44"/>
        </w:rPr>
      </w:pP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第一条</w:t>
      </w:r>
      <w:r>
        <w:rPr>
          <w:rFonts w:hint="eastAsia" w:ascii="宋体" w:hAnsi="宋体" w:cs="Arial"/>
          <w:kern w:val="0"/>
          <w:szCs w:val="32"/>
        </w:rPr>
        <w:t xml:space="preserve"> 为了控制检疫传染病通过交通工具及其乘运的人员、物资传播，防止检疫传染病流行，保障人体健康，依照《中华人民共和国传染病防治法》（以下简称传染病防治法）的规定，制定本条例。</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xml:space="preserve">　第二条 </w:t>
      </w:r>
      <w:r>
        <w:rPr>
          <w:rFonts w:hint="eastAsia" w:ascii="宋体" w:hAnsi="宋体" w:cs="Arial"/>
          <w:kern w:val="0"/>
          <w:szCs w:val="32"/>
        </w:rPr>
        <w:t>列车、船舶、航空器和其他车辆（以下简称交通工具）出入检疫传染病疫区和在非检疫传染病疫区的交通工具上发现检疫传染病疫情时，依照本条例对交通工具及其乘运的人员、物资实施交通卫生检疫。</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在中华人民共和国国际通航的港口、机场以及陆地边境和国界江河口岸的国境卫生检疫，依照《中华人民共和国国境卫生检疫法》的规定执行。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第三条</w:t>
      </w:r>
      <w:r>
        <w:rPr>
          <w:rFonts w:hint="eastAsia" w:ascii="宋体" w:hAnsi="宋体" w:cs="Arial"/>
          <w:kern w:val="0"/>
          <w:szCs w:val="32"/>
        </w:rPr>
        <w:t xml:space="preserve"> 本条例所称检疫传染病，是指鼠疫、霍乱以及国务院确定并公布的其他传染病。</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检疫传染病的诊断标准，按照国家有关卫生标准和国务院卫生行政部门的规定执行。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第四条</w:t>
      </w:r>
      <w:r>
        <w:rPr>
          <w:rFonts w:hint="eastAsia" w:ascii="宋体" w:hAnsi="宋体" w:cs="Arial"/>
          <w:kern w:val="0"/>
          <w:szCs w:val="32"/>
        </w:rPr>
        <w:t xml:space="preserve"> 国务院卫生行政部门主管全国国内交通卫生检疫监督管理工作。</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县级以上地方人民政府卫生行政部门负责本行政区域内的国内交通卫生检疫监督管理工作。</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铁路、交通、民用航空行政主管部门的卫生主管机构，根据有关法律、法规和国务院卫生行政部门分别会同国务院铁路、交通、民用航空行政主管部门规定的职责划分，负责各自职责范围内的国内交通卫生检疫工作。</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第五条</w:t>
      </w:r>
      <w:r>
        <w:rPr>
          <w:rFonts w:hint="eastAsia" w:ascii="宋体" w:hAnsi="宋体" w:cs="Arial"/>
          <w:kern w:val="0"/>
          <w:szCs w:val="32"/>
        </w:rPr>
        <w:t xml:space="preserve"> 省、自治区、直辖市人民政府依照传染病防治法的规定，确定检疫传染病疫区，并决定对出入疫区的交通工具及其乘运的人员、物资实施交通卫生检疫。</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第六条</w:t>
      </w:r>
      <w:r>
        <w:rPr>
          <w:rFonts w:hint="eastAsia" w:ascii="宋体" w:hAnsi="宋体" w:cs="Arial"/>
          <w:kern w:val="0"/>
          <w:szCs w:val="32"/>
        </w:rPr>
        <w:t xml:space="preserve"> 对出入检疫传染病疫区的交通工具及其乘运的人员、物资，县级以上地方人民政府卫生行政部门或者铁路、交通、民用航空行政主管部门的卫生主管机构根据各自的职责，有权采取下列相应的交通卫生检疫措施：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（一）对出入检疫传染病疫区的人员、交通工具及其承运的物资进行查验；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（二）对检疫传染病病人、病原携带者、疑似检疫传染病病人和与其密切接触者，实施临时隔离、医学检查及其他应急医学措施；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（三）对被检疫传染病病原体污染或者可能被污染的物品，实施控制和卫生处理；</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（四）对通过该疫区的交通工具及其停靠场所，实施紧急卫生处理；</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（五）需要采取的其他卫生检疫措施。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采取前款所列交通卫生检疫措施的期间自决定实施时起至决定解除时止。</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第七条</w:t>
      </w:r>
      <w:r>
        <w:rPr>
          <w:rFonts w:hint="eastAsia" w:ascii="宋体" w:hAnsi="宋体" w:cs="Arial"/>
          <w:kern w:val="0"/>
          <w:szCs w:val="32"/>
        </w:rPr>
        <w:t xml:space="preserve"> 非检疫传染病疫区的交通工具上发现下列情形之一时，县级以上地方人民政府卫生行政部门或者铁路、交通、民用航空行政主管部门的卫生主管机构根据各自的职责，有权对交通工具及其乘运的人员、物资实施交通卫生检疫：</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（一）发现有感染鼠疫的啮齿类动物或者啮齿类动物反常死亡，并且死因不明；</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（二）发现鼠疫、霍乱病人、病原携带者和疑似鼠疫、霍乱病人；</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（三）发现国务院确定并公布的需要实施国内交通卫生检疫的其他传染病。</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跨省、自治区、直辖市在非检疫传染病疫区运行的列车、船舶、航空器上发现前款所列情列之一时，国务院卫生行政部门分别会同国务院铁路、交通、民用航空行政主管部门，可以决定对该列车、船舶、航空器实施交通卫生检疫和指令列车、船舶、航空器不得停靠或者通过港口、机场、车站；但是，因实施交通卫生检疫导致中断干线交通或者封锁国境的，须由国务院决定。</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第八条</w:t>
      </w:r>
      <w:r>
        <w:rPr>
          <w:rFonts w:hint="eastAsia" w:ascii="宋体" w:hAnsi="宋体" w:cs="Arial"/>
          <w:kern w:val="0"/>
          <w:szCs w:val="32"/>
        </w:rPr>
        <w:t xml:space="preserve"> 在非检疫传染病疫区的交通工具上，发现检疫传染病病人、病原携带者、疑似检疫传染病病人时，交通工具负责人应当组织有关人员采取下列临时措施：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（一）以最快的方式通知前方停靠点，并向交通工具营运单位的主管部门报告；</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（二）对检疫传染病病人、病原携带者、疑似检疫传染病病人和与其密切接触者实施隔离；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（三）封锁已经污染或者可能污染的区域，采取禁止向外排放污物等卫生处理措施；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（四）在指定的停靠点将检疫传染病病人、病原携带者、疑似检疫传染病病人和与其密切接触者以及其他需要跟踪观察的旅客名单，移交当地县级以上地方人民政府卫生行政部门；</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（五）对承运过检疫传染病病人、病原携带者、疑似检疫传染病病人的交通工具和可能被污染的环境实施卫生处理。</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交通工具停靠地的县级以上地方人民政府卫生行政部门或者铁路、交通、民用航空行政主管部门的卫生主管机构，应当根据各自的职责，依照传染病防治法的规定，采取控制措施。</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第九条</w:t>
      </w:r>
      <w:r>
        <w:rPr>
          <w:rFonts w:hint="eastAsia" w:ascii="宋体" w:hAnsi="宋体" w:cs="Arial"/>
          <w:kern w:val="0"/>
          <w:szCs w:val="32"/>
        </w:rPr>
        <w:t xml:space="preserve"> 县级以上地方人民政府卫生行政部门或者铁路、交通、民用航空行政主管部门的卫生主管机构，根据各自的职责，对出入检疫传染病疫区的或者在非检疫传染病疫区发现检疫传染病疫情的交通工具及其乘运的人员、物资，实施交通卫生检疫；经检疫合格的，签发检疫合格证明。交通工具及其乘运的人员、物资凭检疫合格证明，方可通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检疫合格证明的格式，由国务院卫生行政部门商国务院铁路、交通、民用航空行政主管部门制定。</w:t>
      </w:r>
    </w:p>
    <w:p>
      <w:pPr>
        <w:widowControl w:val="0"/>
        <w:wordWrap/>
        <w:overflowPunct w:val="0"/>
        <w:adjustRightInd/>
        <w:snapToGrid/>
        <w:spacing w:beforeAutospacing="0" w:afterAutospacing="0" w:line="560" w:lineRule="exact"/>
        <w:ind w:firstLine="640" w:firstLineChars="200"/>
        <w:textAlignment w:val="auto"/>
        <w:rPr>
          <w:rFonts w:hint="eastAsia" w:ascii="宋体" w:hAnsi="宋体" w:cs="Arial"/>
          <w:kern w:val="0"/>
          <w:szCs w:val="32"/>
        </w:rPr>
      </w:pPr>
      <w:r>
        <w:rPr>
          <w:rFonts w:hint="eastAsia" w:ascii="黑体" w:hAnsi="黑体" w:eastAsia="黑体" w:cs="黑体"/>
          <w:kern w:val="0"/>
          <w:szCs w:val="32"/>
        </w:rPr>
        <w:t>第十条</w:t>
      </w:r>
      <w:r>
        <w:rPr>
          <w:rFonts w:hint="eastAsia" w:ascii="宋体" w:hAnsi="宋体" w:cs="Arial"/>
          <w:kern w:val="0"/>
          <w:szCs w:val="32"/>
        </w:rPr>
        <w:t xml:space="preserve"> 对拒绝隔离、治疗、留验的检疫传染病病人、病原携带者、疑似检疫传染病病人和与其密切接触者，以及拒绝检查和卫生处理的可能传播检疫传染病的交通工具、停靠场所及物资，县级以上地方人民政府卫生行政部门或者铁路、交通、民用航空行政主管部门的卫生主管机构根据各自的职责，应当依照传染病防治法的规定，采取强制检疫措施；必要时，由当地县级以上人民政府组织公安部门予以协助。</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xml:space="preserve">第十一条 </w:t>
      </w:r>
      <w:r>
        <w:rPr>
          <w:rFonts w:hint="eastAsia" w:ascii="宋体" w:hAnsi="宋体" w:cs="Arial"/>
          <w:kern w:val="0"/>
          <w:szCs w:val="32"/>
        </w:rPr>
        <w:t>检疫传染病疫情发生后，疫区所在地的省、自治区、直辖市人民政府卫生行政部门应当向有关铁路、交通、民用航空行政主管部门的卫生主管机构通报疫情。铁路、交通、民用航空行政主管部门的卫生主管机构接到疫情通报后，应当及时通知有关交通工具的营运单位。</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检疫传染病疫情的报告、通报和公布，依照传染病防治法及其实施办法的规定执行。</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 xml:space="preserve">　第十二条 </w:t>
      </w:r>
      <w:r>
        <w:rPr>
          <w:rFonts w:hint="eastAsia" w:ascii="宋体" w:hAnsi="宋体" w:cs="Arial"/>
          <w:kern w:val="0"/>
          <w:szCs w:val="32"/>
        </w:rPr>
        <w:t>国务院卫生行政部门应当依照传染病防治法的规定，加强对检疫传染病防治的监督管理，会同国务院铁路、交通、民用航空行政主管部门，依照本条例的规定，拟订国内交通卫生检疫实施方案。</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xml:space="preserve">　　第十三条 </w:t>
      </w:r>
      <w:r>
        <w:rPr>
          <w:rFonts w:hint="eastAsia" w:ascii="宋体" w:hAnsi="宋体" w:cs="Arial"/>
          <w:kern w:val="0"/>
          <w:szCs w:val="32"/>
        </w:rPr>
        <w:t>检疫传染病病人、病原携带者、疑似检疫传染病病人和与其密切接触者隐瞒真实情况、逃避交通卫生检疫的，由县级以上地方人民政府卫生行政部门或者铁路、交通、民用航空行政主管部门的卫生主管机构，根据各自的职责分工，责令限期改正，给予警告，可以并处1000元以下的罚款；拒绝接受查验和卫生处理的，给予警告，并处1000元以上5000元以下的罚款；情节严重，引起检疫传染病传播或者有传播严重危险，构成犯罪的，依法追究刑事责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第十四条</w:t>
      </w:r>
      <w:r>
        <w:rPr>
          <w:rFonts w:hint="eastAsia" w:ascii="宋体" w:hAnsi="宋体" w:cs="Arial"/>
          <w:kern w:val="0"/>
          <w:szCs w:val="32"/>
        </w:rPr>
        <w:t xml:space="preserve"> 在非检疫传染病疫区的交通工具上发现检疫传染病病人、病原携带者、疑似检疫传染病病人时，交通工具负责人未依照本条例规定采取措施的，由县级以上地方人民政府卫生行政部门或者铁路、交通、民用航空行政主管部门的卫生主管机构，根据各自的职责，责令改正，给予警告，并处1000元以上5000元以下的罚款；情节严重，引起检疫传染病传播或者有传播严重危险，构成犯罪的，依法追究刑事责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黑体" w:hAnsi="黑体" w:eastAsia="黑体" w:cs="黑体"/>
          <w:kern w:val="0"/>
          <w:szCs w:val="32"/>
        </w:rPr>
        <w:t>　　第十五条</w:t>
      </w:r>
      <w:r>
        <w:rPr>
          <w:rFonts w:hint="eastAsia" w:ascii="宋体" w:hAnsi="宋体" w:cs="Arial"/>
          <w:kern w:val="0"/>
          <w:szCs w:val="32"/>
        </w:rPr>
        <w:t xml:space="preserve"> 县级以上地方人民政府卫生行政部门或者铁路、交通、民用航空行政主管部门的卫生主管机构，对发现的检疫传染病病人、病原携带者、疑似检疫传染病病人和与其密切接触者，未依法实施临时隔离、医学检查和其他应急医学措施的，以及对被检疫传染病病原体污染或者可能被污染的物品、交通工具及其停靠场所未依法进行必要的控制和卫生处理的，由其上级行政主管部门责令限期改正，对直接负责的主管人员和其他直接责任人员依法给予行政处分；情节严重，引起检疫传染病传播或者有传播严重危险，构成犯罪的，依法追究刑事责任。</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r>
        <w:rPr>
          <w:rFonts w:hint="eastAsia" w:ascii="宋体" w:hAnsi="宋体" w:cs="Arial"/>
          <w:kern w:val="0"/>
          <w:szCs w:val="32"/>
        </w:rPr>
        <w:t>　　</w:t>
      </w:r>
      <w:r>
        <w:rPr>
          <w:rFonts w:hint="eastAsia" w:ascii="黑体" w:hAnsi="黑体" w:eastAsia="黑体" w:cs="黑体"/>
          <w:kern w:val="0"/>
          <w:szCs w:val="32"/>
        </w:rPr>
        <w:t>第十六条</w:t>
      </w:r>
      <w:r>
        <w:rPr>
          <w:rFonts w:hint="eastAsia" w:ascii="宋体" w:hAnsi="宋体" w:cs="Arial"/>
          <w:kern w:val="0"/>
          <w:szCs w:val="32"/>
        </w:rPr>
        <w:t xml:space="preserve"> 本条例自1999年3月1日起施行。1985年9月19日国务院批准、1985年10月12日铁道部、卫生部公布的《铁路交通检疫管理办法》同时废止。</w:t>
      </w:r>
    </w:p>
    <w:p>
      <w:pPr>
        <w:widowControl w:val="0"/>
        <w:wordWrap/>
        <w:overflowPunct w:val="0"/>
        <w:adjustRightInd/>
        <w:snapToGrid/>
        <w:spacing w:beforeAutospacing="0" w:afterAutospacing="0" w:line="560" w:lineRule="exact"/>
        <w:ind w:firstLine="0" w:firstLineChars="0"/>
        <w:textAlignment w:val="auto"/>
        <w:rPr>
          <w:rFonts w:hint="eastAsia" w:ascii="宋体" w:hAnsi="宋体" w:cs="Arial"/>
          <w:kern w:val="0"/>
          <w:szCs w:val="32"/>
        </w:rPr>
      </w:pPr>
    </w:p>
    <w:p>
      <w:pPr>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6" w:name="_Toc4168"/>
      <w:r>
        <w:rPr>
          <w:rFonts w:hint="eastAsia" w:ascii="宋体" w:hAnsi="宋体" w:eastAsia="宋体" w:cs="Arial"/>
          <w:bCs/>
          <w:sz w:val="44"/>
          <w:szCs w:val="44"/>
        </w:rPr>
        <w:t>城市市容和环境卫生管理条例</w:t>
      </w:r>
      <w:bookmarkEnd w:id="256"/>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（1992年5月20日国务院第104次常务会议通过 1992年6月28日中华人民共和国国务院令第101号公布 自1992年8月1日起施行 根据2011年1月8日《国务院关于废止和修改部分行政法规的决定》第一次修订 根据2017年3月1日《国务院关于修改和废止部分行政法规的决定》第二次修订）</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城市市容管理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城市环境卫生管理</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罚则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为了加强城市市容和环境卫生管理，创造清洁、优美的城市工作、生活环境，促进城市社会主义物质文明和精神文明建设，制定本条例。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在中华人民共和国城市内，一切单位和个人都必须遵守本条例。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城市市容和环境卫生工作，实行统一领导、分区负责、专业人员管理与群众管理相结合的原则。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国务院城市建设行政主管部门主管全国城市市容和环境卫生工作。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省、自治区人民政府城市建设行政主管部门负责本行政区域的城市市容和环境卫生管理工作。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城市人民政府市容环境卫生行政主管部门负责本行政区域的城市市容和环境卫生管理工作。</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城市人民政府应当把城市市容和环境卫生事业纳入国民经济和社会发展计划，并组织实施。</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城市人民政府应当结合本地的实际情况，积极推行环境卫生用工制度的改革，并采取措施，逐步提高环境卫生工作人员的工资福利待遇。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城市人民政府应当加强城市市容和环境卫生科学知识的宣传，提高公民的环境卫生意识，养成良好的卫生习惯。</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一切单位和个人，都应当尊重市容和环境卫生工作人员的劳动，不得妨碍、阻挠市容和环境卫生工作人员履行职务。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国家鼓励城市市容和环境卫生的科学技术研究，推广先进技术，提高城市市容和环境卫生水平。</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对在城市市容和环境卫生工作中成绩显著的单位和个人，由人民政府给予奖励。</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城市市容管理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城市中的建筑物和设施，应当符合国家规定的城市容貌标准。对外开放城市、风景旅游城市和有条件的其他城市，可以结合本地具体情况，制定严于国家规定的城市容貌标准；建制镇可以参照国家规定的城市容貌标准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一切单位和个人都应当保持建筑物的整洁、美观。在城市人民政府规定的街道的临街建筑物的阳台和窗外，不得堆放、吊挂有碍市容的物品。搭建或者封闭阳台必须符合城市人民政府市容环境卫生行政主管部门的有关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在城市中设置户外广告、标语牌、画廊、橱窗等，应当内容健康、外形美观，并定期维修、油饰或者拆除。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大型户外广告的设置必须征得城市人民政府市容环境卫生行政主管部门同意后，按照有关规定办理审批手续。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城市中的市政公用设施，应当与周围环境相协调，并维护和保持设施完好、整洁。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主要街道两侧的建筑物前，应当根据需要与可能，选用透景、半透景的围墙、栅栏或者绿篱、花坛（池）、草坪等作为分界。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临街树木、绿篱、花坛（池）、草坪等，应当保持整洁、美观。栽培、整修或者其他作业留下的渣土、枝叶等，管理单位、个人或者作业者应当及时清除。</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任何单位和个人都不得在街道两侧和公共场地堆放物料，搭建建筑物、构筑物或者其他设施。因建设等特殊需要，在街道两侧和公共场地临时堆放物料，搭建非永久性建筑物、构筑物或者其他设施的，必须征得城市人民政府市容环境卫生行政主管部门同意后，按照有关规定办理审批手续。</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在市区运行的交通运输工具，应当保持外形完好、整洁，货运车辆运输的液体、散装货物，应当密封、包扎、覆盖，避免泄漏、遗撒。</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城市的工程施工现场的材料、机具应当堆放整齐，渣土应当及时清运；临街工地应当设置护栏或者围布遮挡；停工场地应当及时整理并作必要的覆盖；竣工后，应当及时清理和平整场地。</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一切单位和个人，都不得在城市建筑物、设施以及树木上涂写、刻画。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单位和个人在城市建筑物、设施上张挂、张贴宣传品等，须经城市人民政府市容环境卫生行政主管部门或者其他有关部门批准。</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城市环境卫生管理</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城市中的环境卫生设施，应当符合国家规定的城市环境卫生标准。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城市人民政府在进行城市新区开发或者旧区改造时，应当依照国家有关规定，建设生活废弃物的清扫、收集、运输和处理等环境卫生设施，所需经费应当纳入建设工程概算。</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城市人民政府市容环境卫生行政主管部门，应当根据城市居住人口密度和流动人口数量以及公共场所等特定地区的需要，制定公共厕所建设规划，并按照规定的标准，建设、改造或者支持有关单位建设、改造公共厕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人民政府市容环境卫生行政主管部门，应当配备专业人员或者委托有关单位和个人负责公共厕所的保洁和管理；有关单位和个人也可以承包公共厕所的保洁和管理。公共厕所的管理者可以适当收费，具体办法由省、自治区、直辖市人民政府制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对不符合规定标准的公共厕所，城市人民政府应当责令有关单位限期改造。</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公共厕所的粪便应当排入贮（化）粪池或者城市污水系统。</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多层和高层建筑应当设置封闭式垃圾通道或者垃圾贮存设施，并修建清运车辆通道。</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城市街道两侧、居住区或者人流密集地区，应当设置封闭式垃圾容器、果皮箱等设施。</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一切单位和个人都不得擅自拆除环境卫生设施；因建设需要必须拆除的，建设单位必须事先提出拆迁方案，报城市人民政府市容环境卫生行政主管部门批准。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按国家行政建制设立的市的主要街道、广场和公共水域的环境卫生，由环境卫生专业单位负责。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居住区、街巷等地方，由街道办事处负责组织专人清扫保洁。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飞机场、火车站、公共汽车始末站、港口、影剧院、博物馆、展览馆、纪念馆、体育馆（场）和公园等公共场所，由本单位负责清扫保洁。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机关、团体、部队、企事业单位，应当按照城市人民政府市容环境卫生行政主管部门划分的卫生责任区负责清扫保洁。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城市集贸市场，由主管部门负责组织专人清扫保洁。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各种摊点，由从业者负责清扫保洁。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城市港口客货码头作业范围内的水面，由港口客货码头经营单位责成作业者清理保洁。</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在市区水域行驶或者停泊的各类船舶上的垃圾、粪便，由船上负责人依照规定处理。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城市人民政府市容环境卫生行政主管部门对城市生活废弃物的收集、运输和处理实施监督管理。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一切单位和个人，都应当依照城市人民政府市容环境卫生行政主管部门规定的时间、地点、方式，倾倒垃圾、粪便。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对垃圾、粪便应当及时清运，并逐步做到垃圾、粪便的无害化处理和综合利用。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对城市生活废弃物应当逐步做到分类收集、运输和处理。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环境卫生管理应当逐步实行社会化服务。有条件的城市，可以成立环境卫生服务公司。</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凡委托环境卫生专业单位清扫、收集、运输和处理废弃物的，应当交纳服务费。具体办法由省、自治区、直辖市人民政府制定。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城市人民政府应当有计划地发展城市煤气、天然气、液化气，改变燃料结构；鼓励和支持有关部门组织净菜进城和回收利用废旧物资，减少城市垃圾。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医院、疗养院、屠宰场、生物制品厂产生的废弃物，必须依照有关规定处理。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公民应当爱护公共卫生环境，不随地吐痰、便溺，不乱扔果皮、纸屑和烟头等废弃物。</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按国家行政建制设立的市的市区内，禁止饲养鸡、鸭、鹅、兔、羊、猪等家畜家禽；因教学、科研以及其他特殊需要饲养的除外。</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罚则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有下列行为之一者，城市人民政府市容环境卫生行政主管部门或者其委托的单位除责令其纠正违法行为、采取补救措施外，可以并处警告、罚款：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（一）随地吐痰、便溺，乱扔果皮、纸屑和烟头等废弃物的；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（二）在城市建筑物、设施以及树木上涂写、刻画或者未经批准张挂、张贴宣传品等的；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（三）在城市人民政府规定的街道的临街建筑物的阳台和窗外，堆放、吊挂有碍市容的物品的；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（四）不按规定的时间、地点、方式，倾倒垃圾、粪便的；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（五）不履行卫生责任区清扫保洁义务或者不按规定清运、处理垃圾和粪便的；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（六）运输液体、散装货物不作密封、包扎、覆盖，造成泄漏、遗撒的；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（七）临街工地不设置护栏或者不作遮挡、停工场地不及时整理并作必要覆盖或者竣工后不及时清理和平整场地，影响市容和环境卫生的。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饲养家畜家禽影响市容和环境卫生的，由城市人民政府市容环境卫生行政主管部门或者其委托的单位，责令其限期处理或者予以没收，并可处以罚款。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有下列行为之一者，由城市人民政府市容环境卫生行政主管部门或者其委托的单位责令其停止违法行为，限期清理、拆除或者采取其他补救措施，并可处以罚款：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（一）未经城市人民政府市容环境卫生行政主管部门同意，擅自设置大型户外广告，影响市容的；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（二）未经城市人民政府市容环境卫生行政主管部门批准，擅自在街道两侧和公共场地堆放物料，搭建建筑物、构筑物或者其他设施，影响市容的；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（三）未经批准擅自拆除环境卫生设施或者未按批准的拆迁方案进行拆迁的。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凡不符合城市容貌标准、环境卫生标准的建筑物或者设施，由城市人民政府市容环境卫生行政主管部门会同城市规划行政主管部门，责令有关单位和个人限期改造或者拆除；逾期未改造或者未拆除的，经县级以上人民政府批准，由城市人民政府市容环境卫生行政主管部门或者城市规划行政主管部门组织强制拆除，并可处以罚款。</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损坏各类环境卫生设施及其附属设施的，城市人民政府市容环境卫生行政主管部门或者其委托的单位除责令其恢复原状外，可以并处罚款；盗窃、损坏各类环境卫生设施及其附属设施，应当给予治安管理处罚的，依照《中华人民共和国治安管理处罚法》的规定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侮辱、殴打市容和环境卫生工作人员或者阻挠其执行公务的，依照《中华人民共和国治安管理处罚法》的规定处罚；构成犯罪的，依法追究刑事责任。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当事人对行政处罚决定不服的，可以自接到处罚通知之日起15日内，向作出处罚决定机关的上一级机关申请复议；对复议决定不服的，可以自接到复议决定书之日起15日内向人民法院起诉。当事人也可以自接到处罚通知之日起15日内直接向人民法院起诉。期满不申请复议、也不向人民法院起诉、又不履行处罚决定的，由作出处罚决定的机关申请人民法院强制执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对治安管理处罚不服的，依照《中华人民共和国治安管理处罚法》的规定办理。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城市人民政府市容环境卫生行政主管部门工作人员玩忽职守、滥用职权、徇私舞弊的，由其所在单位或者上级主管机关给予行政处分；构成犯罪的，依法追究刑事责任。</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未设镇建制的城市型居民区可以参照本条例执行。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省、自治区、直辖市人民政府可以根据本条例制定实施办法。</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本条例由国务院城市建设行政主管部门负责解释。</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本条例自1992年8月1日起施行。</w:t>
      </w: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7" w:name="_Toc15216"/>
      <w:r>
        <w:rPr>
          <w:rFonts w:hint="eastAsia" w:ascii="宋体" w:hAnsi="宋体" w:eastAsia="宋体" w:cs="Arial"/>
          <w:bCs/>
          <w:sz w:val="44"/>
          <w:szCs w:val="44"/>
        </w:rPr>
        <w:t>护士条例</w:t>
      </w:r>
      <w:bookmarkEnd w:id="257"/>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（2008年1月23日国务院第206次常务会议通过 2008年1月31日中华人民共和国国务院令第517号公布 自2008年5月12日起施行）</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第一章　总则</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第一条</w:t>
      </w:r>
      <w:r>
        <w:rPr>
          <w:rFonts w:hint="eastAsia" w:ascii="宋体" w:hAnsi="宋体" w:eastAsia="仿宋_GB2312" w:cs="Arial"/>
          <w:kern w:val="0"/>
          <w:sz w:val="32"/>
          <w:szCs w:val="32"/>
          <w:lang w:val="en-US" w:eastAsia="zh-CN" w:bidi="ar-SA"/>
        </w:rPr>
        <w:t xml:space="preserve"> 为了维护护士的合法权益，规范护理行为，促进护理事业发展，保障医疗安全和人体健康，制定本条例。</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第二条 </w:t>
      </w:r>
      <w:r>
        <w:rPr>
          <w:rFonts w:hint="eastAsia" w:ascii="宋体" w:hAnsi="宋体" w:eastAsia="仿宋_GB2312" w:cs="Arial"/>
          <w:kern w:val="0"/>
          <w:sz w:val="32"/>
          <w:szCs w:val="32"/>
          <w:lang w:val="en-US" w:eastAsia="zh-CN" w:bidi="ar-SA"/>
        </w:rPr>
        <w:t>本条例所称护士，是指经执业注册取得护士执业证书，依照本条例规定从事护理活动，履行保护生命、减轻痛苦、增进健康职责的卫生技术人员。</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第三条</w:t>
      </w:r>
      <w:r>
        <w:rPr>
          <w:rFonts w:hint="eastAsia" w:ascii="宋体" w:hAnsi="宋体" w:eastAsia="仿宋_GB2312" w:cs="Arial"/>
          <w:kern w:val="0"/>
          <w:sz w:val="32"/>
          <w:szCs w:val="32"/>
          <w:lang w:val="en-US" w:eastAsia="zh-CN" w:bidi="ar-SA"/>
        </w:rPr>
        <w:t xml:space="preserve"> 护士人格尊严、人身安全不受侵犯。护士依法履行职责，受法律保护。</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全社会应当尊重护士。</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第四条</w:t>
      </w:r>
      <w:r>
        <w:rPr>
          <w:rFonts w:hint="eastAsia" w:ascii="宋体" w:hAnsi="宋体" w:eastAsia="仿宋_GB2312" w:cs="Arial"/>
          <w:kern w:val="0"/>
          <w:sz w:val="32"/>
          <w:szCs w:val="32"/>
          <w:lang w:val="en-US" w:eastAsia="zh-CN" w:bidi="ar-SA"/>
        </w:rPr>
        <w:t xml:space="preserve"> 国务院有关部门、县级以上地方人民政府及其有关部门以及乡（镇）人民政府应当采取措施，改善护士的工作条件，保障护士待遇，加强护士队伍建设，促进护理事业健康发展。</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国务院有关部门和县级以上地方人民政府应当采取措施，鼓励护士到农村、基层医疗卫生机构工作。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第五条</w:t>
      </w:r>
      <w:r>
        <w:rPr>
          <w:rFonts w:hint="eastAsia" w:ascii="宋体" w:hAnsi="宋体" w:eastAsia="仿宋_GB2312" w:cs="Arial"/>
          <w:kern w:val="0"/>
          <w:sz w:val="32"/>
          <w:szCs w:val="32"/>
          <w:lang w:val="en-US" w:eastAsia="zh-CN" w:bidi="ar-SA"/>
        </w:rPr>
        <w:t xml:space="preserve"> 国务院卫生主管部门负责全国的护士监督管理工作。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县级以上地方人民政府卫生主管部门负责本行政区域的护士监督管理工作。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第六条</w:t>
      </w:r>
      <w:r>
        <w:rPr>
          <w:rFonts w:hint="eastAsia" w:ascii="宋体" w:hAnsi="宋体" w:eastAsia="仿宋_GB2312" w:cs="Arial"/>
          <w:kern w:val="0"/>
          <w:sz w:val="32"/>
          <w:szCs w:val="32"/>
          <w:lang w:val="en-US" w:eastAsia="zh-CN" w:bidi="ar-SA"/>
        </w:rPr>
        <w:t xml:space="preserve"> 国务院有关部门对在护理工作中做出杰出贡献的护士，应当授予全国卫生系统先进工作者荣誉称号或者颁发白求恩奖章，受到表彰、奖励的护士享受省部级劳动模范、先进工作者待遇；对长期从事护理工作的护士应当颁发荣誉证书。具体办法由国务院有关部门制定。</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县级以上地方人民政府及其有关部门对本行政区域内做出突出贡献的护士，按照省、自治区、直辖市人民政府的有关规定给予表彰、奖励。</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第二章　执业注册</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第七条 </w:t>
      </w:r>
      <w:r>
        <w:rPr>
          <w:rFonts w:hint="eastAsia" w:ascii="宋体" w:hAnsi="宋体" w:eastAsia="仿宋_GB2312" w:cs="Arial"/>
          <w:kern w:val="0"/>
          <w:sz w:val="32"/>
          <w:szCs w:val="32"/>
          <w:lang w:val="en-US" w:eastAsia="zh-CN" w:bidi="ar-SA"/>
        </w:rPr>
        <w:t>护士执业，应当经执业注册取得护士执业证书。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申请护士执业注册，应当具备下列条件：</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（一）具有完全民事行为能力；</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在中等职业学校、高等学校完成国务院教育主管部门和国务院卫生主管部门规定的普通全日制3年以上的护理、助产专业课程学习，包括在教学、综合医院完成8个月以上护理临床实习，并取得相应学历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（三）通过国务院卫生主管部门组织的护士执业资格考试；</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（四）符合国务院卫生主管部门规定的健康标准。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注册申请，应当自通过护士执业资格考试之日起3年内提出；逾期提出申请的，除应当具备前款第（一）项、第（二）项和第（四）项规定条件外，还应当在符合国务院卫生主管部门规定条件的医疗卫生机构接受3个月临床护理培训并考核合格。</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护士执业资格考试办法由国务院卫生主管部门会同国务院人事部门制定。</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第八条</w:t>
      </w:r>
      <w:r>
        <w:rPr>
          <w:rFonts w:hint="eastAsia" w:ascii="宋体" w:hAnsi="宋体" w:eastAsia="仿宋_GB2312" w:cs="Arial"/>
          <w:kern w:val="0"/>
          <w:sz w:val="32"/>
          <w:szCs w:val="32"/>
          <w:lang w:val="en-US" w:eastAsia="zh-CN" w:bidi="ar-SA"/>
        </w:rPr>
        <w:t xml:space="preserve"> 申请护士执业注册的，应当向拟执业地省、自治区、直辖市人民政府卫生主管部门提出申请。收到申请的卫生主管部门应当自收到申请之日起20个工作日内做出决定，对具备本条例规定条件的，准予注册，并发给护士执业证书；对不具备本条例规定条件的，不予注册，并书面说明理由。</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护士执业注册有效期为5年。</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第九条</w:t>
      </w:r>
      <w:r>
        <w:rPr>
          <w:rFonts w:hint="eastAsia" w:ascii="宋体" w:hAnsi="宋体" w:eastAsia="仿宋_GB2312" w:cs="Arial"/>
          <w:kern w:val="0"/>
          <w:sz w:val="32"/>
          <w:szCs w:val="32"/>
          <w:lang w:val="en-US" w:eastAsia="zh-CN" w:bidi="ar-SA"/>
        </w:rPr>
        <w:t xml:space="preserve"> 护士在其执业注册有效期内变更执业地点的，应当向拟执业地省、自治区、直辖市人民政府卫生主管部门报告。收到报告的卫生主管部门应当自收到报告之日起7个工作日内为其办理变更手续。护士跨省、自治区、直辖市变更执业地点的，收到报告的卫生主管部门还应当向其原执业地省、自治区、直辖市人民政府卫生主管部门通报。</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第十条</w:t>
      </w:r>
      <w:r>
        <w:rPr>
          <w:rFonts w:hint="eastAsia" w:ascii="宋体" w:hAnsi="宋体" w:eastAsia="仿宋_GB2312" w:cs="Arial"/>
          <w:kern w:val="0"/>
          <w:sz w:val="32"/>
          <w:szCs w:val="32"/>
          <w:lang w:val="en-US" w:eastAsia="zh-CN" w:bidi="ar-SA"/>
        </w:rPr>
        <w:t xml:space="preserve"> 护士执业注册有效期届满需要继续执业的，应当在护士执业注册有效期届满前30日向执业地省、自治区、直辖市人民政府卫生主管部门申请延续注册。收到申请的卫生主管部门对具备本条例规定条件的，准予延续，延续执业注册有效期为5年；对不具备本条例规定条件的，不予延续，并书面说明理由。</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护士有行政许可法规定的应当予以注销执业注册情形的，原注册部门应当依照行政许可法的规定注销其执业注册。</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第十一条</w:t>
      </w:r>
      <w:r>
        <w:rPr>
          <w:rFonts w:hint="eastAsia" w:ascii="宋体" w:hAnsi="宋体" w:eastAsia="仿宋_GB2312" w:cs="Arial"/>
          <w:kern w:val="0"/>
          <w:sz w:val="32"/>
          <w:szCs w:val="32"/>
          <w:lang w:val="en-US" w:eastAsia="zh-CN" w:bidi="ar-SA"/>
        </w:rPr>
        <w:t xml:space="preserve"> 县级以上地方人民政府卫生主管部门应当建立本行政区域的护士执业良好记录和不良记录，并将该记录记入护士执业信息系统。</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执业良好记录包括护士受到的表彰、奖励以及完成政府指令性任务的情况等内容。护士执业不良记录包括护士因违反本条例以及其他卫生管理法律、法规、规章或者诊疗技术规范的规定受到行政处罚、处分的情况等内容。</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第三章　权利和义务</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第十二条</w:t>
      </w:r>
      <w:r>
        <w:rPr>
          <w:rFonts w:hint="eastAsia" w:ascii="宋体" w:hAnsi="宋体" w:eastAsia="仿宋_GB2312" w:cs="Arial"/>
          <w:kern w:val="0"/>
          <w:sz w:val="32"/>
          <w:szCs w:val="32"/>
          <w:lang w:val="en-US" w:eastAsia="zh-CN" w:bidi="ar-SA"/>
        </w:rPr>
        <w:t xml:space="preserve"> 护士执业，有按照国家有关规定获取工资报酬、享受福利待遇、参加社会保险的权利。任何单位或者个人不得克扣护士工资，降低或者取消护士福利等待遇。</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第十三条</w:t>
      </w:r>
      <w:r>
        <w:rPr>
          <w:rFonts w:hint="eastAsia" w:ascii="宋体" w:hAnsi="宋体" w:eastAsia="仿宋_GB2312" w:cs="Arial"/>
          <w:kern w:val="0"/>
          <w:sz w:val="32"/>
          <w:szCs w:val="32"/>
          <w:lang w:val="en-US" w:eastAsia="zh-CN" w:bidi="ar-SA"/>
        </w:rPr>
        <w:t xml:space="preserve"> 护士执业，有获得与其所从事的护理工作相适应的卫生防护、医疗保健服务的权利。从事直接接触有毒有害物质、有感染传染病危险工作的护士，有依照有关法律、行政法规的规定接受职业健康监护的权利；患职业病的，有依照有关法律、行政法规的规定获得赔偿的权利。</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第十四条</w:t>
      </w:r>
      <w:r>
        <w:rPr>
          <w:rFonts w:hint="eastAsia" w:ascii="宋体" w:hAnsi="宋体" w:eastAsia="仿宋_GB2312" w:cs="Arial"/>
          <w:kern w:val="0"/>
          <w:sz w:val="32"/>
          <w:szCs w:val="32"/>
          <w:lang w:val="en-US" w:eastAsia="zh-CN" w:bidi="ar-SA"/>
        </w:rPr>
        <w:t xml:space="preserve"> 护士有按照国家有关规定获得与本人业务能力和学术水平相应的专业技术职务、职称的权利；有参加专业培训、从事学术研究和交流、参加行业协会和专业学术团体的权利。</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第十五条 </w:t>
      </w:r>
      <w:r>
        <w:rPr>
          <w:rFonts w:hint="eastAsia" w:ascii="宋体" w:hAnsi="宋体" w:eastAsia="仿宋_GB2312" w:cs="Arial"/>
          <w:kern w:val="0"/>
          <w:sz w:val="32"/>
          <w:szCs w:val="32"/>
          <w:lang w:val="en-US" w:eastAsia="zh-CN" w:bidi="ar-SA"/>
        </w:rPr>
        <w:t>护士有获得疾病诊疗、护理相关信息的权利和其他与履行护理职责相关的权利，可以对医疗卫生机构和卫生主管部门的工作提出意见和建议。</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第十六条</w:t>
      </w:r>
      <w:r>
        <w:rPr>
          <w:rFonts w:hint="eastAsia" w:ascii="宋体" w:hAnsi="宋体" w:eastAsia="仿宋_GB2312" w:cs="Arial"/>
          <w:kern w:val="0"/>
          <w:sz w:val="32"/>
          <w:szCs w:val="32"/>
          <w:lang w:val="en-US" w:eastAsia="zh-CN" w:bidi="ar-SA"/>
        </w:rPr>
        <w:t xml:space="preserve"> 护士执业，应当遵守法律、法规、规章和诊疗技术规范的规定。</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第十七条</w:t>
      </w:r>
      <w:r>
        <w:rPr>
          <w:rFonts w:hint="eastAsia" w:ascii="宋体" w:hAnsi="宋体" w:eastAsia="仿宋_GB2312" w:cs="Arial"/>
          <w:kern w:val="0"/>
          <w:sz w:val="32"/>
          <w:szCs w:val="32"/>
          <w:lang w:val="en-US" w:eastAsia="zh-CN" w:bidi="ar-SA"/>
        </w:rPr>
        <w:t xml:space="preserve"> 护士在执业活动中，发现患者病情危急，应当立即通知医师；在紧急情况下为抢救垂危患者生命，应当先行实施必要的紧急救护。</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护士发现医嘱违反法律、法规、规章或者诊疗技术规范规定的，应当及时向开具医嘱的医师提出；必要时，应当向该医师所在科室的负责人或者医疗卫生机构负责医疗服务管理的人员报告。</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第十八条</w:t>
      </w:r>
      <w:r>
        <w:rPr>
          <w:rFonts w:hint="eastAsia" w:ascii="宋体" w:hAnsi="宋体" w:eastAsia="仿宋_GB2312" w:cs="Arial"/>
          <w:kern w:val="0"/>
          <w:sz w:val="32"/>
          <w:szCs w:val="32"/>
          <w:lang w:val="en-US" w:eastAsia="zh-CN" w:bidi="ar-SA"/>
        </w:rPr>
        <w:t xml:space="preserve"> 护士应当尊重、关心、爱护患者，保护患者的隐私。</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第十九条</w:t>
      </w:r>
      <w:r>
        <w:rPr>
          <w:rFonts w:hint="eastAsia" w:ascii="宋体" w:hAnsi="宋体" w:eastAsia="仿宋_GB2312" w:cs="Arial"/>
          <w:kern w:val="0"/>
          <w:sz w:val="32"/>
          <w:szCs w:val="32"/>
          <w:lang w:val="en-US" w:eastAsia="zh-CN" w:bidi="ar-SA"/>
        </w:rPr>
        <w:t xml:space="preserve"> 护士有义务参与公共卫生和疾病预防控制工作。发生自然灾害、公共卫生事件等严重威胁公众生命健康的突发事件，护士应当服从县级以上人民政府卫生主管部门或者所在医疗卫生机构的安排，参加医疗救护。</w:t>
      </w: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第四章　医疗卫生机构的职责</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第二十条</w:t>
      </w:r>
      <w:r>
        <w:rPr>
          <w:rFonts w:hint="eastAsia" w:ascii="宋体" w:hAnsi="宋体" w:eastAsia="仿宋_GB2312" w:cs="Arial"/>
          <w:kern w:val="0"/>
          <w:sz w:val="32"/>
          <w:szCs w:val="32"/>
          <w:lang w:val="en-US" w:eastAsia="zh-CN" w:bidi="ar-SA"/>
        </w:rPr>
        <w:t xml:space="preserve"> 医疗卫生机构配备护士的数量不得低于国务院卫生主管部门规定的护士配备标准。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第二十一条</w:t>
      </w:r>
      <w:r>
        <w:rPr>
          <w:rFonts w:hint="eastAsia" w:ascii="宋体" w:hAnsi="宋体" w:eastAsia="仿宋_GB2312" w:cs="Arial"/>
          <w:kern w:val="0"/>
          <w:sz w:val="32"/>
          <w:szCs w:val="32"/>
          <w:lang w:val="en-US" w:eastAsia="zh-CN" w:bidi="ar-SA"/>
        </w:rPr>
        <w:t xml:space="preserve"> 医疗卫生机构不得允许下列人员在本机构从事诊疗技术规范规定的护理活动：</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（一）未取得护士执业证书的人员；</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（二）未依照本条例第九条的规定办理执业地点变更手续的护士；</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（三）护士执业注册有效期届满未延续执业注册的护士。</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在教学、综合医院进行护理临床实习的人员应当在护士指导下开展有关工作。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第二十二条</w:t>
      </w:r>
      <w:r>
        <w:rPr>
          <w:rFonts w:hint="eastAsia" w:ascii="宋体" w:hAnsi="宋体" w:eastAsia="仿宋_GB2312" w:cs="Arial"/>
          <w:kern w:val="0"/>
          <w:sz w:val="32"/>
          <w:szCs w:val="32"/>
          <w:lang w:val="en-US" w:eastAsia="zh-CN" w:bidi="ar-SA"/>
        </w:rPr>
        <w:t xml:space="preserve"> 医疗卫生机构应当为护士提供卫生防护用品，并采取有效的卫生防护措施和医疗保健措施。</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第二十三条 医疗卫生机构应当执行国家有关工资、福利待遇等规定，按照国家有关规定为在本机构从事护理工作的护士足额缴纳社会保险费用，保障护士的合法权益。</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对在艰苦边远地区工作，或者从事直接接触有毒有害物质、有感染传染病危险工作的护士，所在医疗卫生机构应当按照国家有关规定给予津贴。</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第二十四条</w:t>
      </w:r>
      <w:r>
        <w:rPr>
          <w:rFonts w:hint="eastAsia" w:ascii="宋体" w:hAnsi="宋体" w:eastAsia="仿宋_GB2312" w:cs="Arial"/>
          <w:kern w:val="0"/>
          <w:sz w:val="32"/>
          <w:szCs w:val="32"/>
          <w:lang w:val="en-US" w:eastAsia="zh-CN" w:bidi="ar-SA"/>
        </w:rPr>
        <w:t xml:space="preserve"> 医疗卫生机构应当制定、实施本机构护士在职培训计划，并保证护士接受培训。</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护士培训应当注重新知识、新技术的应用；根据临床专科护理发展和专科护理岗位的需要，开展对护士的专科护理培训。</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第二十五条</w:t>
      </w:r>
      <w:r>
        <w:rPr>
          <w:rFonts w:hint="eastAsia" w:ascii="宋体" w:hAnsi="宋体" w:eastAsia="仿宋_GB2312" w:cs="Arial"/>
          <w:kern w:val="0"/>
          <w:sz w:val="32"/>
          <w:szCs w:val="32"/>
          <w:lang w:val="en-US" w:eastAsia="zh-CN" w:bidi="ar-SA"/>
        </w:rPr>
        <w:t xml:space="preserve"> 医疗卫生机构应当按照国务院卫生主管部门的规定，设置专门机构或者配备专（兼）职人员负责护理管理工作。</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第二十六条</w:t>
      </w:r>
      <w:r>
        <w:rPr>
          <w:rFonts w:hint="eastAsia" w:ascii="宋体" w:hAnsi="宋体" w:eastAsia="仿宋_GB2312" w:cs="Arial"/>
          <w:kern w:val="0"/>
          <w:sz w:val="32"/>
          <w:szCs w:val="32"/>
          <w:lang w:val="en-US" w:eastAsia="zh-CN" w:bidi="ar-SA"/>
        </w:rPr>
        <w:t xml:space="preserve"> 医疗卫生机构应当建立护士岗位责任制并进行监督检查。</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护士因不履行职责或者违反职业道德受到投诉的，其所在医疗卫生机构应当进行调查。经查证属实的，医疗卫生机构应当对护士做出处理，并将调查处理情况告知投诉人。</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第五章　法律责任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第二十七条</w:t>
      </w:r>
      <w:r>
        <w:rPr>
          <w:rFonts w:hint="eastAsia" w:ascii="宋体" w:hAnsi="宋体" w:eastAsia="仿宋_GB2312" w:cs="Arial"/>
          <w:kern w:val="0"/>
          <w:sz w:val="32"/>
          <w:szCs w:val="32"/>
          <w:lang w:val="en-US" w:eastAsia="zh-CN" w:bidi="ar-SA"/>
        </w:rPr>
        <w:t xml:space="preserve"> 卫生主管部门的工作人员未依照本条例规定履行职责，在护士监督管理工作中滥用职权、徇私舞弊，或者有其他失职、渎职行为的，依法给予处分；构成犯罪的，依法追究刑事责任。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第二十八条</w:t>
      </w:r>
      <w:r>
        <w:rPr>
          <w:rFonts w:hint="eastAsia" w:ascii="宋体" w:hAnsi="宋体" w:eastAsia="仿宋_GB2312" w:cs="Arial"/>
          <w:kern w:val="0"/>
          <w:sz w:val="32"/>
          <w:szCs w:val="32"/>
          <w:lang w:val="en-US" w:eastAsia="zh-CN" w:bidi="ar-SA"/>
        </w:rPr>
        <w:t xml:space="preserve"> 医疗卫生机构有下列情形之一的，由县级以上地方人民政府卫生主管部门依据职责分工责令限期改正，给予警告；逾期不改正的，根据国务院卫生主管部门规定的护士配备标准和在医疗卫生机构合法执业的护士数量核减其诊疗科目，或者暂停其6个月以上1年以下执业活动；国家举办的医疗卫生机构有下列情形之一、情节严重的，还应当对负有责任的主管人员和其他直接责任人员依法给予处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（一）违反本条例规定，护士的配备数量低于国务院卫生主管部门规定的护士配备标准的；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（二）允许未取得护士执业证书的人员或者允许未依照本条例规定办理执业地点变更手续、延续执业注册有效期的护士在本机构从事诊疗技术规范规定的护理活动的。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第二十九条</w:t>
      </w:r>
      <w:r>
        <w:rPr>
          <w:rFonts w:hint="eastAsia" w:ascii="宋体" w:hAnsi="宋体" w:eastAsia="仿宋_GB2312" w:cs="Arial"/>
          <w:kern w:val="0"/>
          <w:sz w:val="32"/>
          <w:szCs w:val="32"/>
          <w:lang w:val="en-US" w:eastAsia="zh-CN" w:bidi="ar-SA"/>
        </w:rPr>
        <w:t xml:space="preserve"> 医疗卫生机构有下列情形之一的，依照有关法律、行政法规的规定给予处罚；国家举办的医疗卫生机构有下列情形之一、情节严重的，还应当对负有责任的主管人员和其他直接责任人员依法给予处分：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（一）未执行国家有关工资、福利待遇等规定的；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（二）对在本机构从事护理工作的护士，未按照国家有关规定足额缴纳社会保险费用的；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（三）未为护士提供卫生防护用品，或者未采取有效的卫生防护措施、医疗保健措施的；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（四）对在艰苦边远地区工作，或者从事直接接触有毒有害物质、有感染传染病危险工作的护士，未按照国家有关规定给予津贴的。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第三十条</w:t>
      </w:r>
      <w:r>
        <w:rPr>
          <w:rFonts w:hint="eastAsia" w:ascii="宋体" w:hAnsi="宋体" w:eastAsia="仿宋_GB2312" w:cs="Arial"/>
          <w:kern w:val="0"/>
          <w:sz w:val="32"/>
          <w:szCs w:val="32"/>
          <w:lang w:val="en-US" w:eastAsia="zh-CN" w:bidi="ar-SA"/>
        </w:rPr>
        <w:t xml:space="preserve"> 医疗卫生机构有下列情形之一的，由县级以上地方人民政府卫生主管部门依据职责分工责令限期改正，给予警告：</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（一）未制定、实施本机构护士在职培训计划或者未保证护士接受培训的；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（二）未依照本条例规定履行护士管理职责的。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第三十一条</w:t>
      </w:r>
      <w:r>
        <w:rPr>
          <w:rFonts w:hint="eastAsia" w:ascii="宋体" w:hAnsi="宋体" w:eastAsia="仿宋_GB2312" w:cs="Arial"/>
          <w:kern w:val="0"/>
          <w:sz w:val="32"/>
          <w:szCs w:val="32"/>
          <w:lang w:val="en-US" w:eastAsia="zh-CN" w:bidi="ar-SA"/>
        </w:rPr>
        <w:t xml:space="preserve"> 护士在执业活动中有下列情形之一的，由县级以上地方人民政府卫生主管部门依据职责分工责令改正，给予警告；情节严重的，暂停其6个月以上1年以下执业活动，直至由原发证部门吊销其护士执业证书：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（一）发现患者病情危急未立即通知医师的；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（二）发现医嘱违反法律、法规、规章或者诊疗技术规范的规定，未依照本条例第十七条的规定提出或者报告的；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（三）泄露患者隐私的；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（四）发生自然灾害、公共卫生事件等严重威胁公众生命健康的突发事件，不服从安排参加医疗救护的。</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护士在执业活动中造成医疗事故的，依照医疗事故处理的有关规定承担法律责任。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第三十二条 </w:t>
      </w:r>
      <w:r>
        <w:rPr>
          <w:rFonts w:hint="eastAsia" w:ascii="宋体" w:hAnsi="宋体" w:eastAsia="仿宋_GB2312" w:cs="Arial"/>
          <w:kern w:val="0"/>
          <w:sz w:val="32"/>
          <w:szCs w:val="32"/>
          <w:lang w:val="en-US" w:eastAsia="zh-CN" w:bidi="ar-SA"/>
        </w:rPr>
        <w:t>护士被吊销执业证书的，自执业证书被吊销之日起2年内不得申请执业注册。</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 xml:space="preserve">第三十三条 </w:t>
      </w:r>
      <w:r>
        <w:rPr>
          <w:rFonts w:hint="eastAsia" w:ascii="宋体" w:hAnsi="宋体" w:eastAsia="仿宋_GB2312" w:cs="Arial"/>
          <w:kern w:val="0"/>
          <w:sz w:val="32"/>
          <w:szCs w:val="32"/>
          <w:lang w:val="en-US" w:eastAsia="zh-CN" w:bidi="ar-SA"/>
        </w:rPr>
        <w:t>扰乱医疗秩序，阻碍护士依法开展执业活动，侮辱、威胁、殴打护士，或者有其他侵犯护士合法权益行为的，由公安机关依照治安管理处罚法的规定给予处罚；构成犯罪的，依法追究刑事责任。</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right="0"/>
        <w:jc w:val="center"/>
        <w:textAlignment w:val="auto"/>
        <w:outlineLvl w:val="9"/>
        <w:rPr>
          <w:rFonts w:hint="eastAsia" w:ascii="黑体" w:hAnsi="黑体" w:eastAsia="黑体" w:cs="黑体"/>
          <w:kern w:val="0"/>
          <w:sz w:val="32"/>
          <w:szCs w:val="32"/>
          <w:lang w:val="en-US" w:eastAsia="zh-CN" w:bidi="ar-SA"/>
        </w:rPr>
      </w:pPr>
      <w:r>
        <w:rPr>
          <w:rFonts w:hint="eastAsia" w:ascii="黑体" w:hAnsi="黑体" w:eastAsia="黑体" w:cs="黑体"/>
          <w:kern w:val="0"/>
          <w:sz w:val="32"/>
          <w:szCs w:val="32"/>
          <w:lang w:val="en-US" w:eastAsia="zh-CN" w:bidi="ar-SA"/>
        </w:rPr>
        <w:t>第六章　附则</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第三十四条</w:t>
      </w:r>
      <w:r>
        <w:rPr>
          <w:rFonts w:hint="eastAsia" w:ascii="宋体" w:hAnsi="宋体" w:eastAsia="仿宋_GB2312" w:cs="Arial"/>
          <w:kern w:val="0"/>
          <w:sz w:val="32"/>
          <w:szCs w:val="32"/>
          <w:lang w:val="en-US" w:eastAsia="zh-CN" w:bidi="ar-SA"/>
        </w:rPr>
        <w:t xml:space="preserve"> 本条例施行前按照国家有关规定已经取得护士执业证书或者护理专业技术职称、从事护理活动的人员，经执业地省、自治区、直辖市人民政府卫生主管部门审核合格，换领护士执业证书。</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本条例施行前，尚未达到护士配备标准的医疗卫生机构，应当按照国务院卫生主管部门规定的实施步骤，自本条例施行之日起3年内达到护士配备标准。</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黑体" w:hAnsi="黑体" w:eastAsia="黑体" w:cs="黑体"/>
          <w:kern w:val="0"/>
          <w:sz w:val="32"/>
          <w:szCs w:val="32"/>
          <w:lang w:val="en-US" w:eastAsia="zh-CN" w:bidi="ar-SA"/>
        </w:rPr>
        <w:t>第三十五条</w:t>
      </w:r>
      <w:r>
        <w:rPr>
          <w:rFonts w:hint="eastAsia" w:ascii="宋体" w:hAnsi="宋体" w:eastAsia="仿宋_GB2312" w:cs="Arial"/>
          <w:kern w:val="0"/>
          <w:sz w:val="32"/>
          <w:szCs w:val="32"/>
          <w:lang w:val="en-US" w:eastAsia="zh-CN" w:bidi="ar-SA"/>
        </w:rPr>
        <w:t xml:space="preserve"> 本条例自2008年5月12日起施行。</w:t>
      </w:r>
      <w:r>
        <w:rPr>
          <w:rFonts w:hint="eastAsia" w:ascii="宋体" w:hAnsi="宋体" w:eastAsia="仿宋_GB2312" w:cs="Arial"/>
          <w:kern w:val="0"/>
          <w:sz w:val="32"/>
          <w:szCs w:val="32"/>
          <w:lang w:val="en-US" w:eastAsia="zh-CN" w:bidi="ar-SA"/>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8" w:name="_Toc13616"/>
      <w:r>
        <w:rPr>
          <w:rFonts w:hint="eastAsia" w:ascii="宋体" w:hAnsi="宋体" w:eastAsia="宋体" w:cs="Arial"/>
          <w:bCs/>
          <w:sz w:val="44"/>
          <w:szCs w:val="44"/>
        </w:rPr>
        <w:t>职工带薪年休假条例</w:t>
      </w:r>
      <w:bookmarkEnd w:id="258"/>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（2007年12月7日国务院第198次常务会议通过  2007年12月14日中华人民共和国国务院令第514号公布  自2008年1月1日起施行）</w:t>
      </w:r>
    </w:p>
    <w:p>
      <w:pPr>
        <w:widowControl w:val="0"/>
        <w:wordWrap/>
        <w:overflowPunct w:val="0"/>
        <w:spacing w:beforeAutospacing="0" w:afterAutospacing="0" w:line="560" w:lineRule="exact"/>
        <w:textAlignment w:val="auto"/>
        <w:rPr>
          <w:rFonts w:ascii="宋体" w:hAnsi="宋体" w:cs="Arial"/>
          <w:szCs w:val="32"/>
        </w:rPr>
      </w:pP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ascii="宋体" w:hAnsi="宋体"/>
        </w:rPr>
        <w:t>　</w:t>
      </w: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第一条</w:t>
      </w:r>
      <w:r>
        <w:rPr>
          <w:rFonts w:hint="eastAsia" w:ascii="宋体" w:hAnsi="宋体" w:eastAsia="仿宋_GB2312" w:cs="Arial"/>
          <w:kern w:val="0"/>
          <w:sz w:val="32"/>
          <w:szCs w:val="32"/>
          <w:lang w:val="en-US" w:eastAsia="zh-CN" w:bidi="ar-SA"/>
        </w:rPr>
        <w:t xml:space="preserve"> 为了维护职工休息休假权利，调动职工工作积极性，根据劳动法和公务员法，制定本条例。</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第二条</w:t>
      </w:r>
      <w:r>
        <w:rPr>
          <w:rFonts w:hint="eastAsia" w:ascii="宋体" w:hAnsi="宋体" w:eastAsia="仿宋_GB2312" w:cs="Arial"/>
          <w:kern w:val="0"/>
          <w:sz w:val="32"/>
          <w:szCs w:val="32"/>
          <w:lang w:val="en-US" w:eastAsia="zh-CN" w:bidi="ar-SA"/>
        </w:rPr>
        <w:t xml:space="preserve"> 机关、团体、企业、事业单位、民办非企业单位、有雇工的个体工商户等单位的职工连续工作1年以上的，享受带薪年休假（以下简称年休假）。单位应当保证职工享受年休假。职工在年休假期间享受与正常工作期间相同的工资收入。</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第三条</w:t>
      </w:r>
      <w:r>
        <w:rPr>
          <w:rFonts w:hint="eastAsia" w:ascii="宋体" w:hAnsi="宋体" w:eastAsia="仿宋_GB2312" w:cs="Arial"/>
          <w:kern w:val="0"/>
          <w:sz w:val="32"/>
          <w:szCs w:val="32"/>
          <w:lang w:val="en-US" w:eastAsia="zh-CN" w:bidi="ar-SA"/>
        </w:rPr>
        <w:t xml:space="preserve"> 职工累计工作已满1年不满10年的，年休假5天；已满10年不满20年的，年休假10天；已满20年的，年休假15天。</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国家法定休假日、休息日不计入年休假的假期。</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第四条</w:t>
      </w:r>
      <w:r>
        <w:rPr>
          <w:rFonts w:hint="eastAsia" w:ascii="宋体" w:hAnsi="宋体" w:eastAsia="仿宋_GB2312" w:cs="Arial"/>
          <w:kern w:val="0"/>
          <w:sz w:val="32"/>
          <w:szCs w:val="32"/>
          <w:lang w:val="en-US" w:eastAsia="zh-CN" w:bidi="ar-SA"/>
        </w:rPr>
        <w:t xml:space="preserve"> 职工有下列情形之一的，不享受当年的年休假：</w:t>
      </w:r>
    </w:p>
    <w:p>
      <w:pPr>
        <w:pStyle w:val="37"/>
        <w:widowControl w:val="0"/>
        <w:wordWrap/>
        <w:overflowPunct w:val="0"/>
        <w:adjustRightInd/>
        <w:snapToGrid/>
        <w:spacing w:before="0" w:beforeAutospacing="0" w:after="0" w:afterAutospacing="0" w:line="560" w:lineRule="exact"/>
        <w:ind w:left="0" w:leftChars="0" w:right="0" w:firstLine="640" w:firstLineChars="20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（一）职工依法享受寒暑假，其休假天数多于年休假天数的；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（二）职工请事假累计20天以上且单位按照规定不扣工资的；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（三）累计工作满1年不满10年的职工，请病假累计2个月以上的；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（四）累计工作满10年不满20年的职工，请病假累计3个月以上的；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（五）累计工作满20年以上的职工，请病假累计4个月以上的。</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第五条</w:t>
      </w:r>
      <w:r>
        <w:rPr>
          <w:rFonts w:hint="eastAsia" w:ascii="宋体" w:hAnsi="宋体" w:eastAsia="仿宋_GB2312" w:cs="Arial"/>
          <w:kern w:val="0"/>
          <w:sz w:val="32"/>
          <w:szCs w:val="32"/>
          <w:lang w:val="en-US" w:eastAsia="zh-CN" w:bidi="ar-SA"/>
        </w:rPr>
        <w:t xml:space="preserve"> 单位根据生产、工作的具体情况，并考虑职工本人意愿，统筹安排职工年休假。</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年休假在1个年度内可以集中安排，也可以分段安排，一般不跨年度安排。单位因生产、工作特点确有必要跨年度安排职工年休假的，可以跨1个年度安排。</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单位确因工作需要不能安排职工休年休假的，经职工本人同意，可以不安排职工休年休假。对职工应休未休的年休假天数，单位应当按照该职工日工资收入的300%支付年休假工资报酬。</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第六条</w:t>
      </w:r>
      <w:r>
        <w:rPr>
          <w:rFonts w:hint="eastAsia" w:ascii="宋体" w:hAnsi="宋体" w:eastAsia="仿宋_GB2312" w:cs="Arial"/>
          <w:kern w:val="0"/>
          <w:sz w:val="32"/>
          <w:szCs w:val="32"/>
          <w:lang w:val="en-US" w:eastAsia="zh-CN" w:bidi="ar-SA"/>
        </w:rPr>
        <w:t xml:space="preserve"> 县级以上地方人民政府人事部门、劳动保障部门应当依据职权对单位执行本条例的情况主动进行监督检查。</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工会组织依法维护职工的年休假权利。</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第七条</w:t>
      </w:r>
      <w:r>
        <w:rPr>
          <w:rFonts w:hint="eastAsia" w:ascii="宋体" w:hAnsi="宋体" w:eastAsia="仿宋_GB2312" w:cs="Arial"/>
          <w:kern w:val="0"/>
          <w:sz w:val="32"/>
          <w:szCs w:val="32"/>
          <w:lang w:val="en-US" w:eastAsia="zh-CN" w:bidi="ar-SA"/>
        </w:rPr>
        <w:t xml:space="preserve"> 单位不安排职工休年休假又不依照本条例规定给予年休假工资报酬的，由县级以上地方人民政府人事部门或者劳动保障部门依据职权责令限期改正；对逾期不改正的，除责令该单位支付年休假工资报酬外，单位还应当按照年休假工资报酬的数额向职工加付赔偿金；对拒不支付年休假工资报酬、赔偿金的，属于公务员和参照公务员法管理的人员所在单位的，对直接负责的主管人员以及其他直接责任人员依法给予处分；属于其他单位的，由劳动保障部门、人事部门或者职工申请人民法院强制执行。</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 xml:space="preserve">第八条 </w:t>
      </w:r>
      <w:r>
        <w:rPr>
          <w:rFonts w:hint="eastAsia" w:ascii="宋体" w:hAnsi="宋体" w:eastAsia="仿宋_GB2312" w:cs="Arial"/>
          <w:kern w:val="0"/>
          <w:sz w:val="32"/>
          <w:szCs w:val="32"/>
          <w:lang w:val="en-US" w:eastAsia="zh-CN" w:bidi="ar-SA"/>
        </w:rPr>
        <w:t>职工与单位因年休假发生的争议，依照国家有关法律、行政法规的规定处理。</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 xml:space="preserve">第九条 </w:t>
      </w:r>
      <w:r>
        <w:rPr>
          <w:rFonts w:hint="eastAsia" w:ascii="宋体" w:hAnsi="宋体" w:eastAsia="仿宋_GB2312" w:cs="Arial"/>
          <w:kern w:val="0"/>
          <w:sz w:val="32"/>
          <w:szCs w:val="32"/>
          <w:lang w:val="en-US" w:eastAsia="zh-CN" w:bidi="ar-SA"/>
        </w:rPr>
        <w:t>国务院人事部门、国务院劳动保障部门依据职权，分别制定本条例的实施办法。</w:t>
      </w:r>
    </w:p>
    <w:p>
      <w:pPr>
        <w:pStyle w:val="37"/>
        <w:widowControl w:val="0"/>
        <w:wordWrap/>
        <w:overflowPunct w:val="0"/>
        <w:adjustRightInd/>
        <w:snapToGrid/>
        <w:spacing w:before="0" w:beforeAutospacing="0" w:after="0" w:afterAutospacing="0" w:line="560" w:lineRule="exact"/>
        <w:ind w:left="0" w:leftChars="0" w:right="0" w:firstLine="0" w:firstLineChars="0"/>
        <w:jc w:val="left"/>
        <w:textAlignment w:val="auto"/>
        <w:outlineLvl w:val="9"/>
        <w:rPr>
          <w:rFonts w:hint="eastAsia" w:ascii="宋体" w:hAnsi="宋体" w:eastAsia="仿宋_GB2312" w:cs="Arial"/>
          <w:kern w:val="0"/>
          <w:sz w:val="32"/>
          <w:szCs w:val="32"/>
          <w:lang w:val="en-US" w:eastAsia="zh-CN" w:bidi="ar-SA"/>
        </w:rPr>
      </w:pPr>
      <w:r>
        <w:rPr>
          <w:rFonts w:hint="eastAsia" w:ascii="宋体" w:hAnsi="宋体" w:eastAsia="仿宋_GB2312" w:cs="Arial"/>
          <w:kern w:val="0"/>
          <w:sz w:val="32"/>
          <w:szCs w:val="32"/>
          <w:lang w:val="en-US" w:eastAsia="zh-CN" w:bidi="ar-SA"/>
        </w:rPr>
        <w:t>　</w:t>
      </w:r>
      <w:r>
        <w:rPr>
          <w:rFonts w:hint="eastAsia" w:ascii="宋体" w:hAnsi="宋体" w:eastAsia="黑体" w:cs="黑体"/>
          <w:kern w:val="0"/>
          <w:sz w:val="32"/>
          <w:szCs w:val="32"/>
          <w:lang w:val="en-US" w:eastAsia="zh-CN" w:bidi="ar-SA"/>
        </w:rPr>
        <w:t>　第十条</w:t>
      </w:r>
      <w:r>
        <w:rPr>
          <w:rFonts w:hint="eastAsia" w:ascii="宋体" w:hAnsi="宋体" w:eastAsia="仿宋_GB2312" w:cs="Arial"/>
          <w:kern w:val="0"/>
          <w:sz w:val="32"/>
          <w:szCs w:val="32"/>
          <w:lang w:val="en-US" w:eastAsia="zh-CN" w:bidi="ar-SA"/>
        </w:rPr>
        <w:t xml:space="preserve"> 本条例自2008年1月1日起施行。</w:t>
      </w:r>
    </w:p>
    <w:p>
      <w:pPr>
        <w:widowControl w:val="0"/>
        <w:wordWrap/>
        <w:overflowPunct w:val="0"/>
        <w:adjustRightInd/>
        <w:snapToGrid/>
        <w:spacing w:beforeAutospacing="0" w:afterAutospacing="0" w:line="560" w:lineRule="exact"/>
        <w:ind w:left="0" w:leftChars="0" w:right="0" w:firstLine="0" w:firstLineChars="0"/>
        <w:jc w:val="both"/>
        <w:textAlignment w:val="auto"/>
        <w:outlineLvl w:val="9"/>
        <w:rPr>
          <w:rFonts w:hint="eastAsia" w:ascii="宋体" w:hAnsi="宋体" w:eastAsia="楷体_GB2312" w:cs="Arial"/>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textAlignment w:val="auto"/>
        <w:rPr>
          <w:rFonts w:ascii="宋体" w:hAnsi="宋体" w:cs="Arial"/>
          <w:kern w:val="0"/>
          <w:szCs w:val="32"/>
        </w:rPr>
      </w:pPr>
    </w:p>
    <w:p>
      <w:pPr>
        <w:widowControl w:val="0"/>
        <w:wordWrap/>
        <w:overflowPunct w:val="0"/>
        <w:spacing w:beforeAutospacing="0" w:afterAutospacing="0" w:line="560" w:lineRule="exact"/>
        <w:jc w:val="center"/>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59" w:name="_Toc19254"/>
      <w:r>
        <w:rPr>
          <w:rFonts w:hint="eastAsia" w:ascii="宋体" w:hAnsi="宋体" w:eastAsia="宋体" w:cs="Arial"/>
          <w:bCs/>
          <w:sz w:val="44"/>
          <w:szCs w:val="44"/>
        </w:rPr>
        <w:t>工伤保险条例</w:t>
      </w:r>
      <w:bookmarkEnd w:id="259"/>
    </w:p>
    <w:p>
      <w:pPr>
        <w:widowControl w:val="0"/>
        <w:wordWrap/>
        <w:overflowPunct w:val="0"/>
        <w:spacing w:beforeAutospacing="0" w:afterAutospacing="0" w:line="560" w:lineRule="exact"/>
        <w:ind w:firstLine="640" w:firstLineChars="200"/>
        <w:textAlignment w:val="auto"/>
        <w:rPr>
          <w:rFonts w:ascii="宋体" w:hAnsi="宋体" w:cs="Arial"/>
          <w:szCs w:val="32"/>
        </w:rPr>
      </w:pPr>
    </w:p>
    <w:p>
      <w:pPr>
        <w:widowControl w:val="0"/>
        <w:wordWrap/>
        <w:overflowPunct w:val="0"/>
        <w:spacing w:beforeAutospacing="0" w:afterAutospacing="0" w:line="560" w:lineRule="exact"/>
        <w:ind w:left="640" w:leftChars="200" w:right="640" w:rightChars="200"/>
        <w:textAlignment w:val="auto"/>
        <w:rPr>
          <w:rFonts w:hint="eastAsia" w:ascii="楷体" w:hAnsi="楷体" w:eastAsia="楷体" w:cs="楷体"/>
          <w:szCs w:val="32"/>
        </w:rPr>
      </w:pPr>
      <w:r>
        <w:rPr>
          <w:rFonts w:hint="eastAsia" w:ascii="楷体" w:hAnsi="楷体" w:eastAsia="楷体" w:cs="楷体"/>
          <w:szCs w:val="32"/>
        </w:rPr>
        <w:t xml:space="preserve">（2010年12月20日中华人民共和国国务院令第586号公布 </w:t>
      </w:r>
      <w:r>
        <w:rPr>
          <w:rFonts w:hint="eastAsia" w:ascii="楷体" w:hAnsi="楷体" w:eastAsia="楷体" w:cs="楷体"/>
          <w:szCs w:val="32"/>
          <w:lang w:val="en-US" w:eastAsia="zh-CN"/>
        </w:rPr>
        <w:t>根据</w:t>
      </w:r>
      <w:r>
        <w:rPr>
          <w:rFonts w:hint="eastAsia" w:ascii="楷体" w:hAnsi="楷体" w:eastAsia="楷体" w:cs="楷体"/>
          <w:szCs w:val="32"/>
        </w:rPr>
        <w:t>2010年12月20日《国务院关于修改〈工伤保险条例〉的决定》修订）</w:t>
      </w:r>
    </w:p>
    <w:p>
      <w:pPr>
        <w:widowControl w:val="0"/>
        <w:wordWrap/>
        <w:overflowPunct w:val="0"/>
        <w:spacing w:beforeAutospacing="0" w:afterAutospacing="0" w:line="560" w:lineRule="exact"/>
        <w:textAlignment w:val="auto"/>
        <w:rPr>
          <w:rFonts w:ascii="宋体" w:hAnsi="宋体" w:cs="Arial"/>
          <w:szCs w:val="32"/>
        </w:rPr>
      </w:pPr>
    </w:p>
    <w:p>
      <w:pPr>
        <w:widowControl w:val="0"/>
        <w:wordWrap/>
        <w:overflowPunct w:val="0"/>
        <w:spacing w:beforeAutospacing="0" w:afterAutospacing="0" w:line="560" w:lineRule="exact"/>
        <w:jc w:val="center"/>
        <w:textAlignment w:val="auto"/>
        <w:rPr>
          <w:rFonts w:ascii="宋体" w:hAnsi="宋体" w:eastAsia="楷体_GB2312" w:cs="Arial"/>
          <w:szCs w:val="32"/>
        </w:rPr>
      </w:pPr>
      <w:r>
        <w:rPr>
          <w:rFonts w:hint="eastAsia" w:ascii="宋体" w:hAnsi="宋体" w:eastAsia="楷体_GB2312" w:cs="Arial"/>
          <w:szCs w:val="32"/>
        </w:rPr>
        <w:t>目  录</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第一章　总则</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第二章　工伤保险基金</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第三章　工伤认定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第四章　劳动能力鉴定</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第五章　工伤保险待遇</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第七章　法律责任</w:t>
      </w:r>
    </w:p>
    <w:p>
      <w:pPr>
        <w:widowControl w:val="0"/>
        <w:wordWrap/>
        <w:overflowPunct w:val="0"/>
        <w:spacing w:beforeAutospacing="0" w:afterAutospacing="0" w:line="560" w:lineRule="exact"/>
        <w:ind w:firstLine="640" w:firstLineChars="200"/>
        <w:textAlignment w:val="auto"/>
        <w:rPr>
          <w:rFonts w:ascii="宋体" w:hAnsi="宋体" w:eastAsia="楷体_GB2312" w:cs="Arial"/>
          <w:szCs w:val="32"/>
        </w:rPr>
      </w:pPr>
      <w:r>
        <w:rPr>
          <w:rFonts w:hint="eastAsia" w:ascii="宋体" w:hAnsi="宋体" w:eastAsia="楷体_GB2312" w:cs="Arial"/>
          <w:szCs w:val="32"/>
        </w:rPr>
        <w:t>第八章　附则</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第一章　总则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第一条　</w:t>
      </w:r>
      <w:r>
        <w:rPr>
          <w:rFonts w:hint="eastAsia" w:ascii="宋体" w:hAnsi="宋体" w:cs="Arial"/>
          <w:kern w:val="0"/>
          <w:szCs w:val="32"/>
        </w:rPr>
        <w:t>为了保障因工作遭受事故伤害或者患职业病的职工获得医疗救治和经济补偿，促进工伤预防和职业康复，分散用人单位的工伤风险，制定本条例。</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第二条　</w:t>
      </w:r>
      <w:r>
        <w:rPr>
          <w:rFonts w:hint="eastAsia" w:ascii="宋体" w:hAnsi="宋体" w:cs="Arial"/>
          <w:kern w:val="0"/>
          <w:szCs w:val="32"/>
        </w:rPr>
        <w:t>中华人民共和国境内的各类企业、有雇工的个体工商户（以下称用人单位）应当依照本条例规定参加工伤保险，为本单位全部职工或者雇工（以下称职工）缴纳工伤保险费。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中华人民共和国境内的各类企业的职工和个体工商户的雇工，均有依照本条例的规定享受工伤保险待遇的权利。</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有雇工的个体工商户参加工伤保险的具体步骤和实施办法，由省、自治区、直辖市人民政府规定。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第三条　</w:t>
      </w:r>
      <w:r>
        <w:rPr>
          <w:rFonts w:hint="eastAsia" w:ascii="宋体" w:hAnsi="宋体" w:cs="Arial"/>
          <w:kern w:val="0"/>
          <w:szCs w:val="32"/>
        </w:rPr>
        <w:t>工伤保险费的征缴按照《社会保险费征缴暂行条例》关于基本养老保险费、基本医疗保险费、失业保险费的征缴规定执行。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第四条　</w:t>
      </w:r>
      <w:r>
        <w:rPr>
          <w:rFonts w:hint="eastAsia" w:ascii="宋体" w:hAnsi="宋体" w:cs="Arial"/>
          <w:kern w:val="0"/>
          <w:szCs w:val="32"/>
        </w:rPr>
        <w:t>用人单位应当将参加工伤保险的有关情况在本单位内公示。用人单位和职工应当遵守有关安全生产和职业病防治的法律法规，执行安全卫生规程和标准，预防工伤事故发生，避免和减少职业病危害。</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职工发生工伤时，用人单位应当采取措施使工伤职工得到及时救治。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第五条　</w:t>
      </w:r>
      <w:r>
        <w:rPr>
          <w:rFonts w:hint="eastAsia" w:ascii="宋体" w:hAnsi="宋体" w:cs="Arial"/>
          <w:kern w:val="0"/>
          <w:szCs w:val="32"/>
        </w:rPr>
        <w:t>国务院劳动保障行政部门负责全国的工伤保险工作。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县级以上地方各级人民政府劳动保障行政部门负责本行政区域内的工伤保险工作。</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劳动保障行政部门按照国务院有关规定设立的社会保险经办机构（以下称经办机构）具体承办工伤保险事务。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第六条　</w:t>
      </w:r>
      <w:r>
        <w:rPr>
          <w:rFonts w:hint="eastAsia" w:ascii="宋体" w:hAnsi="宋体" w:cs="Arial"/>
          <w:kern w:val="0"/>
          <w:szCs w:val="32"/>
        </w:rPr>
        <w:t>劳动保障行政部门等部门制定工伤保险的政策、标准，应当征求工会组织、用人单位代表的意见。</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第二章　工伤保险基金</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第七条　</w:t>
      </w:r>
      <w:r>
        <w:rPr>
          <w:rFonts w:hint="eastAsia" w:ascii="宋体" w:hAnsi="宋体" w:cs="Arial"/>
          <w:kern w:val="0"/>
          <w:szCs w:val="32"/>
        </w:rPr>
        <w:t>工伤保险基金由用人单位缴纳的工伤保险费、工伤保险基金的利息和依法纳入工伤保险基金的其他资金构成。</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第八条　</w:t>
      </w:r>
      <w:r>
        <w:rPr>
          <w:rFonts w:hint="eastAsia" w:ascii="宋体" w:hAnsi="宋体" w:cs="Arial"/>
          <w:kern w:val="0"/>
          <w:szCs w:val="32"/>
        </w:rPr>
        <w:t>工伤保险费根据以支定收、收支平衡的原则，确定费率。国家根据不同行业的工伤风险程度确定行业的差别费率，并根据工伤保险费使用、工伤发生率等情况在每个行业内确定若干费率档次。行业差别费率及行业内费率档次由国务院劳动保障行政部门会同国务院财政部门、卫生行政部门、安全生产监督管理部门制定，报国务院批准后公布施行。</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统筹地区经办机构根据用人单位工伤保险费使用、工伤发生率等情况，适用所属行业内相应的费率档次确定单位缴费费率。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第九条　</w:t>
      </w:r>
      <w:r>
        <w:rPr>
          <w:rFonts w:hint="eastAsia" w:ascii="宋体" w:hAnsi="宋体" w:cs="Arial"/>
          <w:kern w:val="0"/>
          <w:szCs w:val="32"/>
        </w:rPr>
        <w:t>国务院劳动保障行政部门应当定期了解全国各统筹地区工伤保险基金收支情况，及时会同国务院财政部门、卫生行政部门、安全生产监督管理部门提出调整行业差别费率及行业内费率档次的方案，报国务院批准后公布施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第十条　</w:t>
      </w:r>
      <w:r>
        <w:rPr>
          <w:rFonts w:hint="eastAsia" w:ascii="宋体" w:hAnsi="宋体" w:cs="Arial"/>
          <w:kern w:val="0"/>
          <w:szCs w:val="32"/>
        </w:rPr>
        <w:t>用人单位应当按时缴纳工伤保险费。职工个人不缴纳工伤保险费。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用人单位缴纳工伤保险费的数额为本单位职工工资总额乘以单位缴费费率之积。</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第十一条　</w:t>
      </w:r>
      <w:r>
        <w:rPr>
          <w:rFonts w:hint="eastAsia" w:ascii="宋体" w:hAnsi="宋体" w:cs="Arial"/>
          <w:kern w:val="0"/>
          <w:szCs w:val="32"/>
        </w:rPr>
        <w:t>工伤保险基金在直辖市和设区的市实行全市统筹，其他地区的统筹层次由省、自治区人民政府确定。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跨地区、生产流动性较大的行业，可以采取相对集中的方式异地参加统筹地区的工伤保险。具体办法由国务院劳动保障行政部门会同有关行业的主管部门制定。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第十二条　</w:t>
      </w:r>
      <w:r>
        <w:rPr>
          <w:rFonts w:hint="eastAsia" w:ascii="宋体" w:hAnsi="宋体" w:cs="Arial"/>
          <w:kern w:val="0"/>
          <w:szCs w:val="32"/>
        </w:rPr>
        <w:t>工伤保险基金存入社会保障基金财政专户，用于本条例规定的工伤保险待遇、劳动能力鉴定以及法律、法规规定的用于工伤保险的其他费用的支付。任何单位或者个人不得将工伤保险基金用于投资运营、兴建或者改建办公场所、发放奖金，或者挪作其他用途。</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第十三条　</w:t>
      </w:r>
      <w:r>
        <w:rPr>
          <w:rFonts w:hint="eastAsia" w:ascii="宋体" w:hAnsi="宋体" w:cs="Arial"/>
          <w:kern w:val="0"/>
          <w:szCs w:val="32"/>
        </w:rPr>
        <w:t>工伤保险基金应当留有一定比例的储备金，用于统筹地区重大事故的工伤保险待遇支付；储备金不足支付的，由统筹地区的人民政府垫付。储备金占基金总额的具体比例和储备金的使用办法，由省、自治区、直辖市人民政府规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第三章　工伤认定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第十四条　</w:t>
      </w:r>
      <w:r>
        <w:rPr>
          <w:rFonts w:hint="eastAsia" w:ascii="宋体" w:hAnsi="宋体" w:cs="Arial"/>
          <w:kern w:val="0"/>
          <w:szCs w:val="32"/>
        </w:rPr>
        <w:t>职工有下列情形之一的，应当认定为工伤：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（一）在工作时间和工作场所内，因工作原因受到事故伤害的；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（二）工作时间前后在工作场所内，从事与工作有关的预备性或者收尾性工作受到事故伤害的；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（三）在工作时间和工作场所内，因履行工作职责受到暴力等意外伤害的；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（四）患职业病的；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（五）因工外出期间，由于工作原因受到伤害或者发生事故下落不明的；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（六）在上下班途中，受到机动车事故伤害的；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（七）法律、行政法规规定应当认定为工伤的其他情形。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第十五条　</w:t>
      </w:r>
      <w:r>
        <w:rPr>
          <w:rFonts w:hint="eastAsia" w:ascii="宋体" w:hAnsi="宋体" w:cs="Arial"/>
          <w:kern w:val="0"/>
          <w:szCs w:val="32"/>
        </w:rPr>
        <w:t>职工有下列情形之一的，视同工伤：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（一）在工作时间和工作岗位，突发疾病死亡或者在48小时之内经抢救无效死亡的；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（二）在抢险救灾等维护国家利益、公共利益活动中受到伤害的；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（三）职工原在军队服役，因战、因公负伤致残，已取得革命伤残军人证，到用人单位后旧伤复发的。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职工有前款第（一）项、第（二）项情形的，按照本条例的有关规定享受工伤保险待遇；职工有前款第（三）项情形的，按照本条例的有关规定享受除一次性伤残补助金以外的工伤保险待遇。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第十六条　</w:t>
      </w:r>
      <w:r>
        <w:rPr>
          <w:rFonts w:hint="eastAsia" w:ascii="宋体" w:hAnsi="宋体" w:cs="Arial"/>
          <w:kern w:val="0"/>
          <w:szCs w:val="32"/>
        </w:rPr>
        <w:t>职工有下列情形之一的，不得认定为工伤或者视同工伤：</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（一）因犯罪或者违反治安管理伤亡的；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（二）醉酒导致伤亡的；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（三）自残或者自杀的。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第十七条　</w:t>
      </w:r>
      <w:r>
        <w:rPr>
          <w:rFonts w:hint="eastAsia" w:ascii="宋体" w:hAnsi="宋体" w:cs="Arial"/>
          <w:kern w:val="0"/>
          <w:szCs w:val="32"/>
        </w:rPr>
        <w:t>职工发生事故伤害或者按照职业病防治法规定被诊断、鉴定为职业病，所在单位应当自事故伤害发生之日或者被诊断、鉴定为职业病之日起30日内，向统筹地区劳动保障行政部门提出工伤认定申请。遇有特殊情况，经报劳动保障行政部门同意，申请时限可以适当延长。</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未按前款规定提出工伤认定申请的，工伤职工或者其直系亲属、工会组织在事故伤害发生之日或者被诊断、鉴定为职业病之日起1年内，可以直接向用人单位所在地统筹地区劳动保障行政部门提出工伤认定申请。</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按照本条第一款规定应当由省级劳动保障行政部门进行工伤认定的事项，根据属地原则由用人单位所在地的设区的市级劳动保障行政部门办理。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用人单位未在本条第一款规定的时限内提交工伤认定申请，在此期间发生符合本条例规定的工伤待遇等有关费用由该用人单位负担。</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第十八条　</w:t>
      </w:r>
      <w:r>
        <w:rPr>
          <w:rFonts w:hint="eastAsia" w:ascii="宋体" w:hAnsi="宋体" w:cs="Arial"/>
          <w:kern w:val="0"/>
          <w:szCs w:val="32"/>
        </w:rPr>
        <w:t>提出工伤认定申请应当提交下列材料：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（一）工伤认定申请表；</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（二）与用人单位存在劳动关系（包括事实劳动关系）的证明材料；</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（三）医疗诊断证明或者职业病诊断证明书（或者职业病诊断鉴定书）。</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工伤认定申请表应当包括事故发生的时间、地点、原因以及职工伤害程度等基本情况。</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工伤认定申请人提供材料不完整的，劳动保障行政部门应当一次性书面告知工伤认定申请人需要补正的全部材料。申请人按照书面告知要求补正材料后，劳动保障行政部门应当受理。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第十九条　</w:t>
      </w:r>
      <w:r>
        <w:rPr>
          <w:rFonts w:hint="eastAsia" w:ascii="宋体" w:hAnsi="宋体" w:cs="Arial"/>
          <w:kern w:val="0"/>
          <w:szCs w:val="32"/>
        </w:rPr>
        <w:t>劳动保障行政部门受理工伤认定申请后，根据审核需要可以对事故伤害进行调查核实，用人单位、职工、工会组织、医疗机构以及有关部门应当予以协助。职业病诊断和诊断争议的鉴定，依照职业病防治法的有关规定执行。对依法取得职业病诊断证明书或者职业病诊断鉴定书的，劳动保障行政部门不再进行调查核实。</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职工或者其直系亲属认为是工伤，用人单位不认为是工伤的，由用人单位承担举证责任。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第二十条　</w:t>
      </w:r>
      <w:r>
        <w:rPr>
          <w:rFonts w:hint="eastAsia" w:ascii="宋体" w:hAnsi="宋体" w:cs="Arial"/>
          <w:kern w:val="0"/>
          <w:szCs w:val="32"/>
        </w:rPr>
        <w:t>劳动保障行政部门应当自受理工伤认定申请之日起60日内作出工伤认定的决定，并书面通知申请工伤认定的职工或者其直系亲属和该职工所在单位。</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劳动保障行政部门工作人员与工伤认定申请人有利害关系的，应当回避。</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第四章　劳动能力鉴定</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第二十一条　</w:t>
      </w:r>
      <w:r>
        <w:rPr>
          <w:rFonts w:hint="eastAsia" w:ascii="宋体" w:hAnsi="宋体" w:cs="Arial"/>
          <w:kern w:val="0"/>
          <w:szCs w:val="32"/>
        </w:rPr>
        <w:t>职工发生工伤，经治疗伤情相对稳定后存在残疾、影响劳动能力的，应当进行劳动能力鉴定。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第二十二条　</w:t>
      </w:r>
      <w:r>
        <w:rPr>
          <w:rFonts w:hint="eastAsia" w:ascii="宋体" w:hAnsi="宋体" w:cs="Arial"/>
          <w:kern w:val="0"/>
          <w:szCs w:val="32"/>
        </w:rPr>
        <w:t>劳动能力鉴定是指劳动功能障碍程度和生活自理障碍程度的等级鉴定。劳动功能障碍分为十个伤残等级，最重的为一级，最轻的为十级。</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生活自理障碍分为三个等级：生活完全不能自理、生活大部分不能自理和生活部分不能自理。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劳动能力鉴定标准由国务院劳动保障行政部门会同国务院卫生行政部门等部门制定。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第二十三条　</w:t>
      </w:r>
      <w:r>
        <w:rPr>
          <w:rFonts w:hint="eastAsia" w:ascii="宋体" w:hAnsi="宋体" w:cs="Arial"/>
          <w:kern w:val="0"/>
          <w:szCs w:val="32"/>
        </w:rPr>
        <w:t>劳动能力鉴定由用人单位、工伤职工或者其直系亲属向设区的市级劳动能力鉴定委员会提出申请，并提供工伤认定决定和职工工伤医疗的有关资料。</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第二十四条　</w:t>
      </w:r>
      <w:r>
        <w:rPr>
          <w:rFonts w:hint="eastAsia" w:ascii="宋体" w:hAnsi="宋体" w:cs="Arial"/>
          <w:kern w:val="0"/>
          <w:szCs w:val="32"/>
        </w:rPr>
        <w:t>省、自治区、直辖市劳动能力鉴定委员会和设区的市级劳动能力鉴定委员会分别由省、自治区、直辖市和设区的市级劳动保障行政部门、人事行政部门、卫生行政部门、工会组织、经办机构代表以及用人单位代表组成。</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劳动能力鉴定委员会建立医疗卫生专家库。列入专家库的医疗卫生专业技术人员应当具备下列条件：</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（一）具有医疗卫生高级专业技术职务任职资格；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（二）掌握劳动能力鉴定的相关知识；</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（三）具有良好的职业品德。</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第二十五条　</w:t>
      </w:r>
      <w:r>
        <w:rPr>
          <w:rFonts w:hint="eastAsia" w:ascii="宋体" w:hAnsi="宋体" w:cs="Arial"/>
          <w:kern w:val="0"/>
          <w:szCs w:val="32"/>
        </w:rPr>
        <w:t>设区的市级劳动能力鉴定委员会收到劳动能力鉴定申请后，应当从其建立的医疗卫生专家库中随机抽取3名或者5名相关专家组成专家组，由专家组提出鉴定意见。设区的市级劳动能力鉴定委员会根据专家组的鉴定意见作出工伤职工劳动能力鉴定结论；必要时，可以委托具备资格的医疗机构协助进行有关的诊断。</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设区的市级劳动能力鉴定委员会应当自收到劳动能力鉴定申请之日起60日内作出劳动能力鉴定结论，必要时，作出劳动能力鉴定结论的期限可以延长30日。劳动能力鉴定结论应当及时送达申请鉴定的单位和个人。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第二十六条　</w:t>
      </w:r>
      <w:r>
        <w:rPr>
          <w:rFonts w:hint="eastAsia" w:ascii="宋体" w:hAnsi="宋体" w:cs="Arial"/>
          <w:kern w:val="0"/>
          <w:szCs w:val="32"/>
        </w:rPr>
        <w:t>申请鉴定的单位或者个人对设区的市级劳动能力鉴定委员会作出的鉴定结论不服的，可以在收到该鉴定结论之日起15日内向省、自治区、直辖市劳动能力鉴定委员会提出再次鉴定申请。省、自治区、直辖市劳动能力鉴定委员会作出的劳动能力鉴定结论为最终结论。</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第二十七条　</w:t>
      </w:r>
      <w:r>
        <w:rPr>
          <w:rFonts w:hint="eastAsia" w:ascii="宋体" w:hAnsi="宋体" w:cs="Arial"/>
          <w:kern w:val="0"/>
          <w:szCs w:val="32"/>
        </w:rPr>
        <w:t>劳动能力鉴定工作应当客观、公正。劳动能力鉴定委员会组成人员或者参加鉴定的专家与当事人有利害关系的，应当回避。</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第二十八条　</w:t>
      </w:r>
      <w:r>
        <w:rPr>
          <w:rFonts w:hint="eastAsia" w:ascii="宋体" w:hAnsi="宋体" w:cs="Arial"/>
          <w:kern w:val="0"/>
          <w:szCs w:val="32"/>
        </w:rPr>
        <w:t>自劳动能力鉴定结论作出之日起1年后，工伤职工或者其直系亲属、所在单位或者经办机构认为伤残情况发生变化的，可以申请劳动能力复查鉴定。</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第五章　工伤保险待遇</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第二十九条　</w:t>
      </w:r>
      <w:r>
        <w:rPr>
          <w:rFonts w:hint="eastAsia" w:ascii="宋体" w:hAnsi="宋体" w:cs="Arial"/>
          <w:kern w:val="0"/>
          <w:szCs w:val="32"/>
        </w:rPr>
        <w:t>职工因工作遭受事故伤害或者患职业病进行治疗，享受工伤医疗待遇。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职工治疗工伤应当在签订服务协议的医疗机构就医，情况紧急时可以先到就近的医疗机构急救。</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治疗工伤所需费用符合工伤保险诊疗项目目录、工伤保险药品目录、工伤保险住院服务标准的，从工伤保险基金支付。工伤保险诊疗项目目录、工伤保险药品目录、工伤保险住院服务标准，由国务院劳动保障行政部门会同国务院卫生行政部门、药品监督管理部门等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住院治疗工伤的，由所在单位按照本单位因公出差伙食补助标准的70%发给住院伙食补助费；经医疗机构出具证明，报经办机构同意，工伤职工到统筹地区以外就医的，所需交通、食宿费用由所在单位按照本单位职工因公出差标准报销。</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工伤职工治疗非工伤引发的疾病，不享受工伤医疗待遇，按照基本医疗保险办法处理。工伤职工到签订服务协议的医疗机构进行康复性治疗的费用，符合本条第三款规定的，从工伤保险基金支付。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第三十条　</w:t>
      </w:r>
      <w:r>
        <w:rPr>
          <w:rFonts w:hint="eastAsia" w:ascii="宋体" w:hAnsi="宋体" w:cs="Arial"/>
          <w:kern w:val="0"/>
          <w:szCs w:val="32"/>
        </w:rPr>
        <w:t>工伤职工因日常生活或者就业需要，经劳动能力鉴定委员会确认，可以安装假肢、矫形器、假眼、假牙和配置轮椅等辅助器具，所需费用按照国家规定的标准从工伤保险基金支付。</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第三十一条　</w:t>
      </w:r>
      <w:r>
        <w:rPr>
          <w:rFonts w:hint="eastAsia" w:ascii="宋体" w:hAnsi="宋体" w:cs="Arial"/>
          <w:kern w:val="0"/>
          <w:szCs w:val="32"/>
        </w:rPr>
        <w:t>职工因工作遭受事故伤害或者患职业病需要暂停工作接受工伤医疗的，在停工留薪期内，原工资福利待遇不变，由所在单位按月支付。</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停工留薪期一般不超过12个月。伤情严重或者情况特殊，经设区的市级劳动能力鉴定委员会确认，可以适当延长，但延长不得超过12个月。工伤职工评定伤残等级后，停发原待遇，按照本章的有关规定享受伤残待遇。工伤职工在停工留薪期满后仍需治疗的，继续享受工伤医疗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生活不能自理的工伤职工在停工留薪期需要护理的，由所在单位负责。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第三十二条　</w:t>
      </w:r>
      <w:r>
        <w:rPr>
          <w:rFonts w:hint="eastAsia" w:ascii="宋体" w:hAnsi="宋体" w:cs="Arial"/>
          <w:kern w:val="0"/>
          <w:szCs w:val="32"/>
        </w:rPr>
        <w:t>工伤职工已经评定伤残等级并经劳动能力鉴定委员会确认需要生活护理的，从工伤保险基金按月支付生活护理费。生活护理费按照生活完全不能自理、生活大部分不能自理或者生活部分不能自理3个不同等级支付，其标准分别为统筹地区上年度职工月平均工资的50%、40%或者30%。</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第三十三条　</w:t>
      </w:r>
      <w:r>
        <w:rPr>
          <w:rFonts w:hint="eastAsia" w:ascii="宋体" w:hAnsi="宋体" w:cs="Arial"/>
          <w:kern w:val="0"/>
          <w:szCs w:val="32"/>
        </w:rPr>
        <w:t>职工因工致残被鉴定为一级至四级伤残的，保留劳动关系，退出工作岗位，享受以下待遇：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（一）从工伤保险基金按伤残等级支付一次性伤残补助金，标准为：一级伤残为24个月的本人工资，二级伤残为22个月的本人工资，三级伤残为20个月的本人工资，四级伤残为18个月的本人工资；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从工伤保险基金按月支付伤残津贴，标准为：一级伤残为本人工资的90%，二级伤残为本人工资的85%，三级伤残为本人工资的80%，四级伤残为本人工资的75%。伤残津贴实际金额低于当地最低工资标准的，由工伤保险基金补足差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（三）工伤职工达到退休年龄并办理退休手续后，停发伤残津贴，享受基本养老保险待遇。基本养老保险待遇低于伤残津贴的，由工伤保险基金补足差额。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职工因工致残被鉴定为一级至四级伤残的，由用人单位和职工个人以伤残津贴为基数，缴纳基本医疗保险费。</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第三十四条　</w:t>
      </w:r>
      <w:r>
        <w:rPr>
          <w:rFonts w:hint="eastAsia" w:ascii="宋体" w:hAnsi="宋体" w:cs="Arial"/>
          <w:kern w:val="0"/>
          <w:szCs w:val="32"/>
        </w:rPr>
        <w:t>职工因工致残被鉴定为五级、六级伤残的，享受以下待遇：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（一）从工伤保险基金按伤残等级支付一次性伤残补助金，标准为：五级伤残为16个月的本人工资，六级伤残为14个月的本人工资；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保留与用人单位的劳动关系，由用人单位安排适当工作。难以安排工作的，由用人单位按月发给伤残津贴，标准为：五级伤残为本人工资的70%，六级伤残为本人工资的60%，并由用人单位按照规定为其缴纳应缴纳的各项社会保险费。伤残津贴实际金额低于当地最低工资标准的，由用人单位补足差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经工伤职工本人提出，该职工可以与用人单位解除或者终止劳动关系，由用人单位支付一次性工伤医疗补助金和伤残就业补助金。具体标准由省、自治区、直辖市人民政府规定。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第三十五条　</w:t>
      </w:r>
      <w:r>
        <w:rPr>
          <w:rFonts w:hint="eastAsia" w:ascii="宋体" w:hAnsi="宋体" w:cs="Arial"/>
          <w:kern w:val="0"/>
          <w:szCs w:val="32"/>
        </w:rPr>
        <w:t>职工因工致残被鉴定为七级至十级伤残的，享受以下待遇：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（一）从工伤保险基金按伤残等级支付一次性伤残补助金，标准为：七级伤残为12个月的本人工资，八级伤残为10个月的本人工资，九级伤残为8个月的本人工资，十级伤残为6个月的本人工资；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（二）劳动合同期满终止，或者职工本人提出解除劳动合同的，由用人单位支付一次性工伤医疗补助金和伤残就业补助金。具体标准由省、自治区、直辖市人民政府规定。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第三十六条　</w:t>
      </w:r>
      <w:r>
        <w:rPr>
          <w:rFonts w:hint="eastAsia" w:ascii="宋体" w:hAnsi="宋体" w:cs="Arial"/>
          <w:kern w:val="0"/>
          <w:szCs w:val="32"/>
        </w:rPr>
        <w:t>工伤职工工伤复发，确认需要治疗的，享受本条例第二十九条、第三十条和第三十一条规定的工伤待遇。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第三十七条　</w:t>
      </w:r>
      <w:r>
        <w:rPr>
          <w:rFonts w:hint="eastAsia" w:ascii="宋体" w:hAnsi="宋体" w:cs="Arial"/>
          <w:kern w:val="0"/>
          <w:szCs w:val="32"/>
        </w:rPr>
        <w:t>职工因工死亡，其直系亲属按照下列规定从工伤保险基金领取丧葬补助金、供养亲属抚恤金和一次性工亡补助金：</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（一）丧葬补助金为6个月的统筹地区上年度职工月平均工资；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供养亲属抚恤金按照职工本人工资的一定比例发给由因工死亡职工生前提供主要生活来源、无劳动能力的亲属。标准为：配偶每月40%，其他亲属每人每月30%，孤寡老人或者孤儿每人每月在上述标准的基础上增加10%。核定的各供养亲属的抚恤金之和不应高于因工死亡职工生前的工资。供养亲属的具体范围由国务院劳动保障行政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（三）一次性工亡补助金标准为48个月至60个月的统筹地区上年度职工月平均工资。具体标准由统筹地区的人民政府根据当地经济、社会发展状况规定，报省、自治区、直辖市人民政府备案。</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伤残职工在停工留薪期内因工伤导致死亡的，其直系亲属享受本条第一款规定的待遇。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一级至四级伤残职工在停工留薪期满后死亡的，其直系亲属可以享受本条第一款第（一）项、第（二）项规定的待遇。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第三十八条　</w:t>
      </w:r>
      <w:r>
        <w:rPr>
          <w:rFonts w:hint="eastAsia" w:ascii="宋体" w:hAnsi="宋体" w:cs="Arial"/>
          <w:kern w:val="0"/>
          <w:szCs w:val="32"/>
        </w:rPr>
        <w:t>伤残津贴、供养亲属抚恤金、生活护理费由统筹地区劳动保障行政部门根据职工平均工资和生活费用变化等情况适时调整。调整办法由省、自治区、直辖市人民政府规定。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第三十九条　</w:t>
      </w:r>
      <w:r>
        <w:rPr>
          <w:rFonts w:hint="eastAsia" w:ascii="宋体" w:hAnsi="宋体" w:cs="Arial"/>
          <w:kern w:val="0"/>
          <w:szCs w:val="32"/>
        </w:rPr>
        <w:t>职工因工外出期间发生事故或者在抢险救灾中下落不明的，从事故发生当月起3个月内照发工资，从第4个月起停发工资，由工伤保险基金向其供养亲属按月支付供养亲属抚恤金。生活有困难的，可以预支一次性工亡补助金的50%。职工被人民法院宣告死亡的，按照本条例第三十七条职工因工死亡的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第四十条　</w:t>
      </w:r>
      <w:r>
        <w:rPr>
          <w:rFonts w:hint="eastAsia" w:ascii="宋体" w:hAnsi="宋体" w:cs="Arial"/>
          <w:kern w:val="0"/>
          <w:szCs w:val="32"/>
        </w:rPr>
        <w:t>工伤职工有下列情形之一的，停止享受工伤保险待遇：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（一）丧失享受待遇条件的；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（二）拒不接受劳动能力鉴定的；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（三）拒绝治疗的；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（四）被判刑正在收监执行的。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第四十一条　</w:t>
      </w:r>
      <w:r>
        <w:rPr>
          <w:rFonts w:hint="eastAsia" w:ascii="宋体" w:hAnsi="宋体" w:cs="Arial"/>
          <w:kern w:val="0"/>
          <w:szCs w:val="32"/>
        </w:rPr>
        <w:t>用人单位分立、合并、转让的，承继单位应当承担原用人单位的工伤保险责任；原用人单位已经参加工伤保险的，承继单位应当到当地经办机构办理工伤保险变更登记。</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用人单位实行承包经营的，工伤保险责任由职工劳动关系所在单位承担。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职工被借调期间受到工伤事故伤害的，由原用人单位承担工伤保险责任，但原用人单位与借调单位可以约定补偿办法。</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企业破产的，在破产清算时优先拨付依法应由单位支付的工伤保险待遇费用。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第四十二条　</w:t>
      </w:r>
      <w:r>
        <w:rPr>
          <w:rFonts w:hint="eastAsia" w:ascii="宋体" w:hAnsi="宋体" w:cs="Arial"/>
          <w:kern w:val="0"/>
          <w:szCs w:val="32"/>
        </w:rPr>
        <w:t>职工被派遣出境工作，依据前往国家或者地区的法律应当参加当地工伤保险的，参加当地工伤保险，其国内工伤保险关系中止；不能参加当地工伤保险的，其国内工伤保险关系不中止。</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第四十三条　</w:t>
      </w:r>
      <w:r>
        <w:rPr>
          <w:rFonts w:hint="eastAsia" w:ascii="宋体" w:hAnsi="宋体" w:cs="Arial"/>
          <w:kern w:val="0"/>
          <w:szCs w:val="32"/>
        </w:rPr>
        <w:t>职工再次发生工伤，根据规定应当享受伤残津贴的，按照新认定的伤残等级享受伤残津贴待遇。</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第四十四条　</w:t>
      </w:r>
      <w:r>
        <w:rPr>
          <w:rFonts w:hint="eastAsia" w:ascii="宋体" w:hAnsi="宋体" w:cs="Arial"/>
          <w:kern w:val="0"/>
          <w:szCs w:val="32"/>
        </w:rPr>
        <w:t>经办机构具体承办工伤保险事务，履行下列职责：</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（一）根据省、自治区、直辖市人民政府规定，征收工伤保险费；</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（二）核查用人单位的工资总额和职工人数，办理工伤保险登记，并负责保存用人单位缴费和职工享受工伤保险待遇情况的记录；</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（三）进行工伤保险的调查、统计；</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（四）按照规定管理工伤保险基金的支出；</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（五）按照规定核定工伤保险待遇；</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（六）为工伤职工或者其直系亲属免费提供咨询服务。</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第四十五条　</w:t>
      </w:r>
      <w:r>
        <w:rPr>
          <w:rFonts w:hint="eastAsia" w:ascii="宋体" w:hAnsi="宋体" w:cs="Arial"/>
          <w:kern w:val="0"/>
          <w:szCs w:val="32"/>
        </w:rPr>
        <w:t>经办机构与医疗机构、辅助器具配置机构在平等协商的基础上签订服务协议，并公布签订服务协议的医疗机构、辅助器具配置机构的名单。具体办法由国务院劳动保障行政部门分别会同国务院卫生行政部门、民政部门等部门制定。</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第四十六条　</w:t>
      </w:r>
      <w:r>
        <w:rPr>
          <w:rFonts w:hint="eastAsia" w:ascii="宋体" w:hAnsi="宋体" w:cs="Arial"/>
          <w:kern w:val="0"/>
          <w:szCs w:val="32"/>
        </w:rPr>
        <w:t>经办机构按照协议和国家有关目录、标准对工伤职工医疗费用、康复费用、辅助器具费用的使用情况进行核查，并按时足额结算费用。</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第四十七条　</w:t>
      </w:r>
      <w:r>
        <w:rPr>
          <w:rFonts w:hint="eastAsia" w:ascii="宋体" w:hAnsi="宋体" w:cs="Arial"/>
          <w:kern w:val="0"/>
          <w:szCs w:val="32"/>
        </w:rPr>
        <w:t>经办机构应当定期公布工伤保险基金的收支情况，及时向劳动保障行政部门提出调整费率的建议。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第四十八条　</w:t>
      </w:r>
      <w:r>
        <w:rPr>
          <w:rFonts w:hint="eastAsia" w:ascii="宋体" w:hAnsi="宋体" w:cs="Arial"/>
          <w:kern w:val="0"/>
          <w:szCs w:val="32"/>
        </w:rPr>
        <w:t>劳动保障行政部门、经办机构应当定期听取工伤职工、医疗机构、辅助器具配置机构以及社会各界对改进工伤保险工作的意见。</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第四十九条　</w:t>
      </w:r>
      <w:r>
        <w:rPr>
          <w:rFonts w:hint="eastAsia" w:ascii="宋体" w:hAnsi="宋体" w:cs="Arial"/>
          <w:kern w:val="0"/>
          <w:szCs w:val="32"/>
        </w:rPr>
        <w:t>劳动保障行政部门依法对工伤保险费的征缴和工伤保险基金的支付情况进行监督检查。</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财政部门和审计机关依法对工伤保险基金的收支、管理情况进行监督。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第五十条　</w:t>
      </w:r>
      <w:r>
        <w:rPr>
          <w:rFonts w:hint="eastAsia" w:ascii="宋体" w:hAnsi="宋体" w:cs="Arial"/>
          <w:kern w:val="0"/>
          <w:szCs w:val="32"/>
        </w:rPr>
        <w:t>任何组织和个人对有关工伤保险的违法行为，有权举报。劳动保障行政部门对举报应当及时调查，按照规定处理，并为举报人保密。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第五十一条　</w:t>
      </w:r>
      <w:r>
        <w:rPr>
          <w:rFonts w:hint="eastAsia" w:ascii="宋体" w:hAnsi="宋体" w:cs="Arial"/>
          <w:kern w:val="0"/>
          <w:szCs w:val="32"/>
        </w:rPr>
        <w:t>工会组织依法维护工伤职工的合法权益，对用人单位的工伤保险工作实行监督。</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第五十二条　</w:t>
      </w:r>
      <w:r>
        <w:rPr>
          <w:rFonts w:hint="eastAsia" w:ascii="宋体" w:hAnsi="宋体" w:cs="Arial"/>
          <w:kern w:val="0"/>
          <w:szCs w:val="32"/>
        </w:rPr>
        <w:t>职工与用人单位发生工伤待遇方面的争议，按照处理劳动争议的有关规定处理。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第五十三条　</w:t>
      </w:r>
      <w:r>
        <w:rPr>
          <w:rFonts w:hint="eastAsia" w:ascii="宋体" w:hAnsi="宋体" w:cs="Arial"/>
          <w:kern w:val="0"/>
          <w:szCs w:val="32"/>
        </w:rPr>
        <w:t>有下列情形之一的，有关单位和个人可以依法申请行政复议；对复议决定不服的，可以依法提起行政诉讼：</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（一）申请工伤认定的职工或者其直系亲属、该职工所在单位对工伤认定结论不服的；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（二）用人单位对经办机构确定的单位缴费费率不服的；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（三）签订服务协议的医疗机构、辅助器具配置机构认为经办机构未履行有关协议或者规定的；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（四）工伤职工或者其直系亲属对经办机构核定的工伤保险待遇有异议的。</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第七章　法律责任</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第五十四条　</w:t>
      </w:r>
      <w:r>
        <w:rPr>
          <w:rFonts w:hint="eastAsia" w:ascii="宋体" w:hAnsi="宋体" w:cs="Arial"/>
          <w:kern w:val="0"/>
          <w:szCs w:val="32"/>
        </w:rPr>
        <w:t>单位或者个人违反本条例第十二条规定挪用工伤保险基金，构成犯罪的，依法追究刑事责任；尚不构成犯罪的，依法给予行政处分或者纪律处分。被挪用的基金由劳动保障行政部门追回，并入工伤保险基金；没收的违法所得依法上缴国库。</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第五十五条　</w:t>
      </w:r>
      <w:r>
        <w:rPr>
          <w:rFonts w:hint="eastAsia" w:ascii="宋体" w:hAnsi="宋体" w:cs="Arial"/>
          <w:kern w:val="0"/>
          <w:szCs w:val="32"/>
        </w:rPr>
        <w:t>劳动保障行政部门工作人员有下列情形之一的，依法给予行政处分；情节严重，构成犯罪的，依法追究刑事责任：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（一）无正当理由不受理工伤认定申请，或者弄虚作假将不符合工伤条件的人员认定为工伤职工的；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（二）未妥善保管申请工伤认定的证据材料，致使有关证据灭失的；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（三）收受当事人财物的。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第五十六条　</w:t>
      </w:r>
      <w:r>
        <w:rPr>
          <w:rFonts w:hint="eastAsia" w:ascii="宋体" w:hAnsi="宋体" w:cs="Arial"/>
          <w:kern w:val="0"/>
          <w:szCs w:val="32"/>
        </w:rPr>
        <w:t>经办机构有下列行为之一的，由劳动保障行政部门责令改正，对直接负责的主管人员和其他责任人员依法给予纪律处分；情节严重，构成犯罪的，依法追究刑事责任；造成当事人经济损失的，由经办机构依法承担赔偿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（一）未按规定保存用人单位缴费和职工享受工伤保险待遇情况记录的；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（二）不按规定核定工伤保险待遇的；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（三）收受当事人财物的。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第五十七条　</w:t>
      </w:r>
      <w:r>
        <w:rPr>
          <w:rFonts w:hint="eastAsia" w:ascii="宋体" w:hAnsi="宋体" w:cs="Arial"/>
          <w:kern w:val="0"/>
          <w:szCs w:val="32"/>
        </w:rPr>
        <w:t>医疗机构、辅助器具配置机构不按服务协议提供服务的，经办机构可以解除服务协议。</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经办机构不按时足额结算费用的，由劳动保障行政部门责令改正；医疗机构、辅助器具配置机构可以解除服务协议。</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第五十八条　</w:t>
      </w:r>
      <w:r>
        <w:rPr>
          <w:rFonts w:hint="eastAsia" w:ascii="宋体" w:hAnsi="宋体" w:cs="Arial"/>
          <w:kern w:val="0"/>
          <w:szCs w:val="32"/>
        </w:rPr>
        <w:t>用人单位瞒报工资总额或者职工人数的，由劳动保障行政部门责令改正，并处瞒报工资数额1倍以上3倍以下的罚款。</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用人单位、工伤职工或者其直系亲属骗取工伤保险待遇，医疗机构、辅助器具配置机构骗取工伤保险基金支出的，由劳动保障行政部门责令退还，并处骗取金额1倍以上3倍以下的罚款；情节严重，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第五十九条　</w:t>
      </w:r>
      <w:r>
        <w:rPr>
          <w:rFonts w:hint="eastAsia" w:ascii="宋体" w:hAnsi="宋体" w:cs="Arial"/>
          <w:kern w:val="0"/>
          <w:szCs w:val="32"/>
        </w:rPr>
        <w:t>从事劳动能力鉴定的组织或者个人有下列情形之一的，由劳动保障行政部门责令改正，并处2000元以上1万元以下的罚款；情节严重，构成犯罪的，依法追究刑事责任：</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（一）提供虚假鉴定意见的；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（二）提供虚假诊断证明的；</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（三）收受当事人财物的。</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第六十条　</w:t>
      </w:r>
      <w:r>
        <w:rPr>
          <w:rFonts w:hint="eastAsia" w:ascii="宋体" w:hAnsi="宋体" w:cs="Arial"/>
          <w:kern w:val="0"/>
          <w:szCs w:val="32"/>
        </w:rPr>
        <w:t>用人单位依照本条例规定应当参加工伤保险而未参加的，由劳动保障行政部门责令改正；未参加工伤保险期间用人单位职工发生工伤的，由该用人单位按照本条例规定的工伤保险待遇项目和标准支付费用。</w:t>
      </w:r>
    </w:p>
    <w:p>
      <w:pPr>
        <w:widowControl w:val="0"/>
        <w:wordWrap/>
        <w:overflowPunct w:val="0"/>
        <w:spacing w:beforeAutospacing="0" w:afterAutospacing="0" w:line="560" w:lineRule="exact"/>
        <w:textAlignment w:val="auto"/>
        <w:rPr>
          <w:rFonts w:ascii="宋体" w:hAnsi="宋体" w:cs="Arial"/>
          <w:b/>
          <w:bCs/>
          <w:kern w:val="0"/>
          <w:szCs w:val="32"/>
        </w:rPr>
      </w:pPr>
    </w:p>
    <w:p>
      <w:pPr>
        <w:widowControl w:val="0"/>
        <w:wordWrap/>
        <w:overflowPunct w:val="0"/>
        <w:spacing w:beforeAutospacing="0" w:afterAutospacing="0" w:line="560" w:lineRule="exact"/>
        <w:jc w:val="center"/>
        <w:textAlignment w:val="auto"/>
        <w:rPr>
          <w:rFonts w:ascii="宋体" w:hAnsi="宋体" w:eastAsia="黑体" w:cs="Arial"/>
          <w:bCs/>
          <w:kern w:val="0"/>
          <w:szCs w:val="32"/>
        </w:rPr>
      </w:pPr>
      <w:r>
        <w:rPr>
          <w:rFonts w:hint="eastAsia" w:ascii="宋体" w:hAnsi="宋体" w:eastAsia="黑体" w:cs="Arial"/>
          <w:bCs/>
          <w:kern w:val="0"/>
          <w:szCs w:val="32"/>
        </w:rPr>
        <w:t>第八章　附则</w:t>
      </w:r>
    </w:p>
    <w:p>
      <w:pPr>
        <w:widowControl w:val="0"/>
        <w:wordWrap/>
        <w:overflowPunct w:val="0"/>
        <w:spacing w:beforeAutospacing="0" w:afterAutospacing="0" w:line="560" w:lineRule="exact"/>
        <w:textAlignment w:val="auto"/>
        <w:rPr>
          <w:rFonts w:ascii="宋体" w:hAnsi="宋体" w:eastAsia="黑体" w:cs="Arial"/>
          <w:bCs/>
          <w:kern w:val="0"/>
          <w:szCs w:val="32"/>
        </w:rPr>
      </w:pP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第六十一条　</w:t>
      </w:r>
      <w:r>
        <w:rPr>
          <w:rFonts w:hint="eastAsia" w:ascii="宋体" w:hAnsi="宋体" w:cs="Arial"/>
          <w:kern w:val="0"/>
          <w:szCs w:val="32"/>
        </w:rPr>
        <w:t>本条例所称职工，是指与用人单位存在劳动关系（包括事实劳动关系）的各种用工形式、各种用工期限的劳动者。</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本条例所称工资总额，是指用人单位直接支付给本单位全部职工的劳动报酬总额。</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本条例所称本人工资，是指工伤职工因工作遭受事故伤害或者患职业病前12个月平均月缴费工资。本人工资高于统筹地区职工平均工资300%的，按照统筹地区职工平均工资的300%计算；本人工资低于统筹地区职工平均工资60%的，按照统筹地区职工平均工资的60%计算。</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第六十二条　</w:t>
      </w:r>
      <w:r>
        <w:rPr>
          <w:rFonts w:hint="eastAsia" w:ascii="宋体" w:hAnsi="宋体" w:cs="Arial"/>
          <w:kern w:val="0"/>
          <w:szCs w:val="32"/>
        </w:rPr>
        <w:t>国家机关和依照或者参照国家公务员制度进行人事管理的事业单位、社会团体的工作人员因工作遭受事故伤害或者患职业病的，由所在单位支付费用。具体办法由国务院劳动保障行政部门会同国务院人事行政部门、财政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其他事业单位、社会团体以及各类民办非企业单位的工伤保险等办法，由国务院劳动保障行政部门会同国务院人事行政部门、民政部门、财政部门等部门参照本条例另行规定，报国务院批准后施行。</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第六十三条　</w:t>
      </w:r>
      <w:r>
        <w:rPr>
          <w:rFonts w:hint="eastAsia" w:ascii="宋体" w:hAnsi="宋体" w:cs="Arial"/>
          <w:kern w:val="0"/>
          <w:szCs w:val="32"/>
        </w:rPr>
        <w:t>无营业执照或者未经依法登记、备案的单位以及被依法吊销营业执照或者撤销登记、备案的单位的职工受到事故伤害或者患职业病的，由该单位向伤残职工或者死亡职工的直系亲属给予一次性赔偿，赔偿标准不得低于本条例规定的工伤保险待遇；用人单位不得使用童工，用人单位使用童工造成童工伤残、死亡的，由该单位向童工或者童工的直系亲属给予一次性赔偿，赔偿标准不得低于本条例规定的工伤保险待遇。具体办法由国务院劳动保障行政部门规定。</w:t>
      </w:r>
    </w:p>
    <w:p>
      <w:pPr>
        <w:widowControl w:val="0"/>
        <w:wordWrap/>
        <w:overflowPunct w:val="0"/>
        <w:spacing w:beforeAutospacing="0" w:afterAutospacing="0" w:line="560" w:lineRule="exact"/>
        <w:ind w:firstLine="640" w:firstLineChars="200"/>
        <w:textAlignment w:val="auto"/>
        <w:rPr>
          <w:rFonts w:ascii="宋体" w:hAnsi="宋体"/>
        </w:rPr>
      </w:pPr>
      <w:r>
        <w:rPr>
          <w:rFonts w:hint="eastAsia" w:ascii="宋体" w:hAnsi="宋体" w:cs="Arial"/>
          <w:kern w:val="0"/>
          <w:szCs w:val="32"/>
        </w:rPr>
        <w:t>前款规定的伤残职工或者死亡职工的直系亲属就赔偿数额与单位发生争议的，以及前款规定的童工或者童工的直系亲属就赔偿数额与单位发生争议的，按照处理劳动争议的有关规定处理。</w:t>
      </w:r>
    </w:p>
    <w:p>
      <w:pPr>
        <w:widowControl w:val="0"/>
        <w:wordWrap/>
        <w:overflowPunct w:val="0"/>
        <w:spacing w:beforeAutospacing="0" w:afterAutospacing="0" w:line="560" w:lineRule="exact"/>
        <w:ind w:firstLine="640" w:firstLineChars="200"/>
        <w:textAlignment w:val="auto"/>
        <w:rPr>
          <w:rFonts w:ascii="宋体" w:hAnsi="宋体" w:cs="Arial"/>
          <w:kern w:val="0"/>
          <w:szCs w:val="32"/>
        </w:rPr>
      </w:pPr>
      <w:r>
        <w:rPr>
          <w:rFonts w:hint="eastAsia" w:ascii="宋体" w:hAnsi="宋体" w:eastAsia="黑体" w:cs="Arial"/>
          <w:kern w:val="0"/>
          <w:szCs w:val="32"/>
        </w:rPr>
        <w:t>第六十四条　</w:t>
      </w:r>
      <w:r>
        <w:rPr>
          <w:rFonts w:hint="eastAsia" w:ascii="宋体" w:hAnsi="宋体" w:cs="Arial"/>
          <w:kern w:val="0"/>
          <w:szCs w:val="32"/>
        </w:rPr>
        <w:t>本条例自2004年1月1日起施行。本条例施行前已受到事故伤害或者患职业病的职工尚未完成工伤认定的，按照本条例的规定执行。</w:t>
      </w:r>
    </w:p>
    <w:p>
      <w:pPr>
        <w:widowControl w:val="0"/>
        <w:wordWrap/>
        <w:overflowPunct w:val="0"/>
        <w:spacing w:beforeAutospacing="0" w:afterAutospacing="0" w:line="560" w:lineRule="exact"/>
        <w:ind w:firstLine="640" w:firstLineChars="200"/>
        <w:textAlignment w:val="auto"/>
        <w:rPr>
          <w:rFonts w:hint="eastAsia" w:ascii="宋体" w:hAnsi="宋体" w:cs="Arial"/>
          <w:kern w:val="0"/>
          <w:szCs w:val="32"/>
          <w:lang w:val="en-US" w:eastAsia="zh-CN"/>
        </w:rPr>
      </w:pPr>
    </w:p>
    <w:p>
      <w:pPr>
        <w:widowControl w:val="0"/>
        <w:wordWrap/>
        <w:overflowPunct w:val="0"/>
        <w:spacing w:beforeAutospacing="0" w:afterAutospacing="0" w:line="560" w:lineRule="exact"/>
        <w:ind w:firstLine="880" w:firstLineChars="200"/>
        <w:jc w:val="center"/>
        <w:textAlignment w:val="auto"/>
        <w:rPr>
          <w:rFonts w:hint="eastAsia" w:ascii="宋体" w:hAnsi="宋体" w:eastAsia="宋体" w:cs="宋体"/>
          <w:kern w:val="0"/>
          <w:sz w:val="44"/>
          <w:szCs w:val="44"/>
          <w:lang w:val="en-US" w:eastAsia="zh-CN"/>
        </w:rPr>
      </w:pPr>
      <w:r>
        <w:rPr>
          <w:rFonts w:hint="eastAsia" w:ascii="宋体" w:hAnsi="宋体" w:eastAsia="宋体" w:cs="宋体"/>
          <w:kern w:val="0"/>
          <w:sz w:val="44"/>
          <w:szCs w:val="44"/>
          <w:lang w:val="en-US" w:eastAsia="zh-CN"/>
        </w:rPr>
        <w:br w:type="page"/>
      </w:r>
    </w:p>
    <w:p>
      <w:pPr>
        <w:widowControl w:val="0"/>
        <w:wordWrap/>
        <w:overflowPunct w:val="0"/>
        <w:spacing w:beforeAutospacing="0" w:afterAutospacing="0" w:line="560" w:lineRule="exact"/>
        <w:ind w:left="0" w:leftChars="0" w:firstLine="0" w:firstLineChars="0"/>
        <w:jc w:val="center"/>
        <w:textAlignment w:val="auto"/>
        <w:outlineLvl w:val="0"/>
        <w:rPr>
          <w:rFonts w:hint="eastAsia" w:ascii="宋体" w:hAnsi="宋体" w:cs="Arial"/>
          <w:kern w:val="0"/>
          <w:szCs w:val="32"/>
          <w:lang w:val="en-US" w:eastAsia="zh-CN"/>
        </w:rPr>
      </w:pPr>
      <w:bookmarkStart w:id="260" w:name="_Toc24704"/>
      <w:r>
        <w:rPr>
          <w:rFonts w:hint="eastAsia" w:ascii="宋体" w:hAnsi="宋体" w:eastAsia="宋体" w:cs="Arial"/>
          <w:bCs/>
          <w:sz w:val="44"/>
          <w:szCs w:val="44"/>
          <w:lang w:val="en-US" w:eastAsia="zh-CN"/>
        </w:rPr>
        <w:fldChar w:fldCharType="begin"/>
      </w:r>
      <w:r>
        <w:rPr>
          <w:rFonts w:hint="eastAsia" w:ascii="宋体" w:hAnsi="宋体" w:eastAsia="宋体" w:cs="Arial"/>
          <w:bCs/>
          <w:sz w:val="44"/>
          <w:szCs w:val="44"/>
          <w:lang w:val="en-US" w:eastAsia="zh-CN"/>
        </w:rPr>
        <w:instrText xml:space="preserve"> HYPERLINK "http://172.17.252.5/FullText/fulltext_form.aspx?db=chl&amp;gid=331244&amp;ix=0&amp;w=H4sIAAAAAAAEAABJAbb+AAEAAAD/////AQAAAAAAAAAMAgAAADxDbGlWNSwgVmVyc2lvbj0xLjAuMC4wLCBDdWx0dXJlPW5ldXRyYWwsIFB1YmxpY0tleVRva2VuPW51bGwFAQAAACtDbGlWNS5Db21tb25DbGFzcy5TZXJpYWxQYXJhbStTZWFyY2hfU3RydWN0BgAAAAhEYXRhYmFzZQVXaGVyZQRTb3J0B0tleXdvcmQHSXNHcm91cAlJc1N1bW1hcnkBAQEBAAABAQIAAAAGAwAAAANjaGwGBAAAAETmlYjlipvnuqfliKs9WEMwMiUgYW5kICAo5rOV6KeE5qCH6aKYPScl5pS/5bqc5L+h5oGv5YWs5byA5p2h5L6LJScpIAYFAAAADS3lj5HluIPml6XmnJ8GBgAAABjmlL/lupzkv6Hmga/lhazlvIDmnaHkvosAAAsBAAD//javascript:SLC(90387,0)" </w:instrText>
      </w:r>
      <w:r>
        <w:rPr>
          <w:rFonts w:hint="eastAsia" w:ascii="宋体" w:hAnsi="宋体" w:eastAsia="宋体" w:cs="Arial"/>
          <w:bCs/>
          <w:sz w:val="44"/>
          <w:szCs w:val="44"/>
          <w:lang w:val="en-US" w:eastAsia="zh-CN"/>
        </w:rPr>
        <w:fldChar w:fldCharType="separate"/>
      </w:r>
      <w:r>
        <w:rPr>
          <w:rFonts w:hint="eastAsia" w:ascii="宋体" w:hAnsi="宋体" w:eastAsia="宋体" w:cs="Arial"/>
          <w:bCs/>
          <w:sz w:val="44"/>
          <w:szCs w:val="44"/>
        </w:rPr>
        <w:t>中华人民共和国政府信息公开条例</w:t>
      </w:r>
      <w:r>
        <w:rPr>
          <w:rFonts w:hint="eastAsia" w:ascii="宋体" w:hAnsi="宋体" w:eastAsia="宋体" w:cs="Arial"/>
          <w:bCs/>
          <w:sz w:val="44"/>
          <w:szCs w:val="44"/>
          <w:lang w:val="en-US" w:eastAsia="zh-CN"/>
        </w:rPr>
        <w:fldChar w:fldCharType="end"/>
      </w:r>
      <w:r>
        <w:rPr>
          <w:rFonts w:hint="eastAsia" w:ascii="宋体" w:hAnsi="宋体" w:cs="Arial"/>
          <w:kern w:val="0"/>
          <w:szCs w:val="32"/>
          <w:lang w:val="en-US" w:eastAsia="zh-CN"/>
        </w:rPr>
        <w:br w:type="textWrapping"/>
      </w:r>
      <w:bookmarkEnd w:id="260"/>
    </w:p>
    <w:p>
      <w:pPr>
        <w:widowControl w:val="0"/>
        <w:wordWrap/>
        <w:overflowPunct w:val="0"/>
        <w:spacing w:beforeAutospacing="0" w:afterAutospacing="0" w:line="560" w:lineRule="exact"/>
        <w:ind w:left="640" w:leftChars="200" w:right="525" w:rightChars="164" w:firstLine="0" w:firstLineChars="0"/>
        <w:jc w:val="left"/>
        <w:textAlignment w:val="auto"/>
        <w:rPr>
          <w:rFonts w:hint="eastAsia" w:ascii="楷体" w:hAnsi="楷体" w:eastAsia="楷体" w:cs="楷体"/>
          <w:kern w:val="0"/>
          <w:szCs w:val="32"/>
        </w:rPr>
      </w:pPr>
      <w:r>
        <w:rPr>
          <w:rFonts w:hint="eastAsia" w:ascii="楷体" w:hAnsi="楷体" w:eastAsia="楷体" w:cs="楷体"/>
          <w:kern w:val="0"/>
          <w:szCs w:val="32"/>
          <w:lang w:val="en-US" w:eastAsia="zh-CN"/>
        </w:rPr>
        <w:t>（2007年4月5日中华人民共和国国务院令第492号2019年4月3日中华人民共和国国务院令第711号修订）</w:t>
      </w: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第一章　总</w:t>
      </w:r>
      <w:r>
        <w:rPr>
          <w:rFonts w:hint="eastAsia" w:ascii="宋体" w:hAnsi="宋体" w:eastAsia="黑体" w:cs="黑体"/>
          <w:kern w:val="0"/>
          <w:szCs w:val="32"/>
          <w:lang w:val="en-US" w:eastAsia="zh-CN"/>
        </w:rPr>
        <w:t xml:space="preserve"> </w:t>
      </w:r>
      <w:r>
        <w:rPr>
          <w:rFonts w:hint="eastAsia" w:ascii="宋体" w:hAnsi="宋体" w:eastAsia="黑体" w:cs="黑体"/>
          <w:kern w:val="0"/>
          <w:szCs w:val="32"/>
        </w:rPr>
        <w:t>则</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lang w:val="en-US" w:eastAsia="zh-CN"/>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第一条</w:t>
      </w:r>
      <w:r>
        <w:rPr>
          <w:rFonts w:hint="eastAsia" w:ascii="宋体" w:hAnsi="宋体" w:cs="Arial"/>
          <w:kern w:val="0"/>
          <w:szCs w:val="32"/>
          <w:lang w:val="en-US" w:eastAsia="zh-CN"/>
        </w:rPr>
        <w:t>　为了保障公民、法人和其他组织依法获取政府信息，提高政府工作的透明度，建设法治政府，充分发挥政府信息对人民群众生产、生活和经济社会活动的服务作用，制定本条例。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第二条　</w:t>
      </w:r>
      <w:r>
        <w:rPr>
          <w:rFonts w:hint="eastAsia" w:ascii="宋体" w:hAnsi="宋体" w:cs="Arial"/>
          <w:kern w:val="0"/>
          <w:szCs w:val="32"/>
          <w:lang w:val="en-US" w:eastAsia="zh-CN"/>
        </w:rPr>
        <w:t>本条例所称政府信息，是指行政机关在履行行政管理职能过程中制作或者获取的，以一定形式记录、保存的信息。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第三条</w:t>
      </w:r>
      <w:r>
        <w:rPr>
          <w:rFonts w:hint="eastAsia" w:ascii="宋体" w:hAnsi="宋体" w:cs="Arial"/>
          <w:kern w:val="0"/>
          <w:szCs w:val="32"/>
          <w:lang w:val="en-US" w:eastAsia="zh-CN"/>
        </w:rPr>
        <w:t>　各级人民政府应当加强对政府信息公开工作的组织领导。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国务院办公厅是全国政府信息公开工作的主管部门，负责推进、指导、协调、监督全国的政府信息公开工作。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县级以上地方人民政府办公厅（室）是本行政区域的政府信息公开工作主管部门，负责推进、指导、协调、监督本行政区域的政府信息公开工作。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实行垂直领导的部门的办公厅（室）主管本系统的政府信息公开工作。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第四条</w:t>
      </w:r>
      <w:r>
        <w:rPr>
          <w:rFonts w:hint="eastAsia" w:ascii="宋体" w:hAnsi="宋体" w:cs="Arial"/>
          <w:kern w:val="0"/>
          <w:szCs w:val="32"/>
          <w:lang w:val="en-US" w:eastAsia="zh-CN"/>
        </w:rPr>
        <w:t>　各级人民政府及县级以上人民政府部门应当建立健全本行政机关的政府信息公开工作制度，并指定机构（以下统称政府信息公开工作机构）负责本行政机关政府信息公开的日常工作。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政府信息公开工作机构的具体职能是：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（一）办理本行政机关的政府信息公开事宜；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（二）维护和更新本行政机关公开的政府信息；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（三）组织编制本行政机关的政府信息公开指南、政府信息公开目录和政府信息公开工作年度报告；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（四）组织开展对拟公开政府信息的审查；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（五）本行政机关规定的与政府信息公开有关的其他职能。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第五条</w:t>
      </w:r>
      <w:r>
        <w:rPr>
          <w:rFonts w:hint="eastAsia" w:ascii="宋体" w:hAnsi="宋体" w:cs="Arial"/>
          <w:kern w:val="0"/>
          <w:szCs w:val="32"/>
          <w:lang w:val="en-US" w:eastAsia="zh-CN"/>
        </w:rPr>
        <w:t>　行政机关公开政府信息，应当坚持以公开为常态、不公开为例外，遵循公正、公平、合法、便民的原则。</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第六条</w:t>
      </w:r>
      <w:r>
        <w:rPr>
          <w:rFonts w:hint="eastAsia" w:ascii="宋体" w:hAnsi="宋体" w:cs="Arial"/>
          <w:kern w:val="0"/>
          <w:szCs w:val="32"/>
          <w:lang w:val="en-US" w:eastAsia="zh-CN"/>
        </w:rPr>
        <w:t>　行政机关应当及时、准确地公开政府信息。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行政机关发现影响或者可能影响社会稳定、扰乱社会和经济管理秩序的虚假或者不完整信息的，应当发布准确的政府信息予以澄清。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第七条</w:t>
      </w:r>
      <w:r>
        <w:rPr>
          <w:rFonts w:hint="eastAsia" w:ascii="宋体" w:hAnsi="宋体" w:cs="Arial"/>
          <w:kern w:val="0"/>
          <w:szCs w:val="32"/>
          <w:lang w:val="en-US" w:eastAsia="zh-CN"/>
        </w:rPr>
        <w:t>　各级人民政府应当积极推进政府信息公开工作，逐步增加政府信息公开的内容。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第八条</w:t>
      </w:r>
      <w:r>
        <w:rPr>
          <w:rFonts w:hint="eastAsia" w:ascii="宋体" w:hAnsi="宋体" w:cs="Arial"/>
          <w:kern w:val="0"/>
          <w:szCs w:val="32"/>
          <w:lang w:val="en-US" w:eastAsia="zh-CN"/>
        </w:rPr>
        <w:t>　各级人民政府应当加强政府信息资源的规范化、标准化、信息化管理，加强互联网政府信息公开平台建设，推进政府信息公开平台与政务服务平台融合，提高政府信息公开在线办理水平。</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第九条</w:t>
      </w:r>
      <w:r>
        <w:rPr>
          <w:rFonts w:hint="eastAsia" w:ascii="宋体" w:hAnsi="宋体" w:cs="Arial"/>
          <w:kern w:val="0"/>
          <w:szCs w:val="32"/>
          <w:lang w:val="en-US" w:eastAsia="zh-CN"/>
        </w:rPr>
        <w:t>　公民、法人和其他组织有权对行政机关的政府信息公开工作进行监督，并提出批评和建议。</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第二章　公开的主体和范围</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第十条</w:t>
      </w:r>
      <w:r>
        <w:rPr>
          <w:rFonts w:hint="eastAsia" w:ascii="宋体" w:hAnsi="宋体" w:cs="Arial"/>
          <w:kern w:val="0"/>
          <w:szCs w:val="32"/>
          <w:lang w:val="en-US" w:eastAsia="zh-CN"/>
        </w:rPr>
        <w:t>　行政机关制作的政府信息，由制作该政府信息的行政机关负责公开。行政机关从公民、法人和其他组织获取的政府信息，由保存该政府信息的行政机关负责公开；行政机关获取的其他行政机关的政府信息，由制作或者最初获取该政府信息的行政机关负责公开。法律、法规对政府信息公开的权限另有规定的，从其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行政机关设立的派出机构、内设机构依照法律、法规对外以自己名义履行行政管理职能的，可以由该派出机构、内设机构负责与所履行行政管理职能有关的政府信息公开工作。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两个以上行政机关共同制作的政府信息，由牵头制作的行政机关负责公开。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第十一条</w:t>
      </w:r>
      <w:r>
        <w:rPr>
          <w:rFonts w:hint="eastAsia" w:ascii="宋体" w:hAnsi="宋体" w:cs="Arial"/>
          <w:kern w:val="0"/>
          <w:szCs w:val="32"/>
          <w:lang w:val="en-US" w:eastAsia="zh-CN"/>
        </w:rPr>
        <w:t>　行政机关应当建立健全政府信息公开协调机制。行政机关公开政府信息涉及其他机关的，应当与有关机关协商、确认，保证行政机关公开的政府信息准确一致。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行政机关公开政府信息依照法律、行政法规和国家有关规定需要批准的，经批准予以公开。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第十二条</w:t>
      </w:r>
      <w:r>
        <w:rPr>
          <w:rFonts w:hint="eastAsia" w:ascii="宋体" w:hAnsi="宋体" w:cs="Arial"/>
          <w:kern w:val="0"/>
          <w:szCs w:val="32"/>
          <w:lang w:val="en-US" w:eastAsia="zh-CN"/>
        </w:rPr>
        <w:t>　行政机关编制、公布的政府信息公开指南和政府信息公开目录应当及时更新。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政府信息公开指南包括政府信息的分类、编排体系、获取方式和政府信息公开工作机构的名称、办公地址、办公时间、联系电话、传真号码、互联网联系方式等内容。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政府信息公开目录包括政府信息的索引、名称、内容概述、生成日期等内容。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第十三条　</w:t>
      </w:r>
      <w:r>
        <w:rPr>
          <w:rFonts w:hint="eastAsia" w:ascii="宋体" w:hAnsi="宋体" w:cs="Arial"/>
          <w:kern w:val="0"/>
          <w:szCs w:val="32"/>
          <w:lang w:val="en-US" w:eastAsia="zh-CN"/>
        </w:rPr>
        <w:t>除本条例第十四条、第十五条、第十六条规定的政府信息外，政府信息应当公开。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行政机关公开政府信息，采取主动公开和依申请公开的方式。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第十四条</w:t>
      </w:r>
      <w:r>
        <w:rPr>
          <w:rFonts w:hint="eastAsia" w:ascii="宋体" w:hAnsi="宋体" w:cs="Arial"/>
          <w:kern w:val="0"/>
          <w:szCs w:val="32"/>
          <w:lang w:val="en-US" w:eastAsia="zh-CN"/>
        </w:rPr>
        <w:t>　依法确定为国家秘密的政府信息，法律、行政法规禁止公开的政府信息，以及公开后可能危及国家安全、公共安全、经济安全、社会稳定的政府信息，不予公开。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第十五条</w:t>
      </w:r>
      <w:r>
        <w:rPr>
          <w:rFonts w:hint="eastAsia" w:ascii="宋体" w:hAnsi="宋体" w:cs="Arial"/>
          <w:kern w:val="0"/>
          <w:szCs w:val="32"/>
          <w:lang w:val="en-US" w:eastAsia="zh-CN"/>
        </w:rPr>
        <w:t>　涉及商业秘密、个人隐私等公开会对第三方合法权益造成损害的政府信息，行政机关不得公开。但是，第三方同意公开或者行政机关认为不公开会对公共利益造成重大影响的，予以公开。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第十六条</w:t>
      </w:r>
      <w:r>
        <w:rPr>
          <w:rFonts w:hint="eastAsia" w:ascii="宋体" w:hAnsi="宋体" w:cs="Arial"/>
          <w:kern w:val="0"/>
          <w:szCs w:val="32"/>
          <w:lang w:val="en-US" w:eastAsia="zh-CN"/>
        </w:rPr>
        <w:t>　行政机关的内部事务信息，包括人事管理、后勤管理、内部工作流程等方面的信息，可以不予公开。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行政机关在履行行政管理职能过程中形成的讨论记录、过程稿、磋商信函、请示报告等过程性信息以及行政执法案卷信息，可以不予公开。法律、法规、规章规定上述信息应当公开的，从其规定。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第十七条</w:t>
      </w:r>
      <w:r>
        <w:rPr>
          <w:rFonts w:hint="eastAsia" w:ascii="宋体" w:hAnsi="宋体" w:cs="Arial"/>
          <w:kern w:val="0"/>
          <w:szCs w:val="32"/>
          <w:lang w:val="en-US" w:eastAsia="zh-CN"/>
        </w:rPr>
        <w:t>　行政机关应当建立健全政府信息公开审查机制，明确审查的程序和责任。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行政机关应当依照《</w:t>
      </w:r>
      <w:r>
        <w:rPr>
          <w:rFonts w:hint="eastAsia" w:ascii="宋体" w:hAnsi="宋体" w:cs="Arial"/>
          <w:kern w:val="0"/>
          <w:szCs w:val="32"/>
          <w:lang w:val="en-US" w:eastAsia="zh-CN"/>
        </w:rPr>
        <w:fldChar w:fldCharType="begin"/>
      </w:r>
      <w:r>
        <w:rPr>
          <w:rFonts w:hint="eastAsia" w:ascii="宋体" w:hAnsi="宋体" w:cs="Arial"/>
          <w:kern w:val="0"/>
          <w:szCs w:val="32"/>
          <w:lang w:val="en-US" w:eastAsia="zh-CN"/>
        </w:rPr>
        <w:instrText xml:space="preserve"> HYPERLINK "http://172.17.252.5/FullText/fulltext_form.aspx?db=chl&amp;gid=331244&amp;ix=0&amp;w=H4sIAAAAAAAEAABJAbb+AAEAAAD/////AQAAAAAAAAAMAgAAADxDbGlWNSwgVmVyc2lvbj0xLjAuMC4wLCBDdWx0dXJlPW5ldXRyYWwsIFB1YmxpY0tleVRva2VuPW51bGwFAQAAACtDbGlWNS5Db21tb25DbGFzcy5TZXJpYWxQYXJhbStTZWFyY2hfU3RydWN0BgAAAAhEYXRhYmFzZQVXaGVyZQRTb3J0B0tleXdvcmQHSXNHcm91cAlJc1N1bW1hcnkBAQEBAAABAQIAAAAGAwAAAANjaGwGBAAAAETmlYjlipvnuqfliKs9WEMwMiUgYW5kICAo5rOV6KeE5qCH6aKYPScl5pS/5bqc5L+h5oGv5YWs5byA5p2h5L6LJScpIAYFAAAADS3lj5HluIPml6XmnJ8GBgAAABjmlL/lupzkv6Hmga/lhazlvIDmnaHkvosAAAsBAAD//javascript:SLC(129605,0)" </w:instrText>
      </w:r>
      <w:r>
        <w:rPr>
          <w:rFonts w:hint="eastAsia" w:ascii="宋体" w:hAnsi="宋体" w:cs="Arial"/>
          <w:kern w:val="0"/>
          <w:szCs w:val="32"/>
          <w:lang w:val="en-US" w:eastAsia="zh-CN"/>
        </w:rPr>
        <w:fldChar w:fldCharType="separate"/>
      </w:r>
      <w:r>
        <w:rPr>
          <w:rFonts w:hint="eastAsia" w:ascii="宋体" w:hAnsi="宋体" w:cs="Arial"/>
          <w:kern w:val="0"/>
          <w:szCs w:val="32"/>
        </w:rPr>
        <w:t>中华人民共和国保守国家秘密法</w:t>
      </w:r>
      <w:r>
        <w:rPr>
          <w:rFonts w:hint="eastAsia" w:ascii="宋体" w:hAnsi="宋体" w:cs="Arial"/>
          <w:kern w:val="0"/>
          <w:szCs w:val="32"/>
          <w:lang w:val="en-US" w:eastAsia="zh-CN"/>
        </w:rPr>
        <w:fldChar w:fldCharType="end"/>
      </w:r>
      <w:r>
        <w:rPr>
          <w:rFonts w:hint="eastAsia" w:ascii="宋体" w:hAnsi="宋体" w:cs="Arial"/>
          <w:kern w:val="0"/>
          <w:szCs w:val="32"/>
          <w:lang w:val="en-US" w:eastAsia="zh-CN"/>
        </w:rPr>
        <w:t>》以及其他法律、法规和国家有关规定对拟公开的政府信息进行审查。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行政机关不能确定政府信息是否可以公开的，应当依照法律、法规和国家有关规定报有关主管部门或者保密行政管理部门确定。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第十八条</w:t>
      </w:r>
      <w:r>
        <w:rPr>
          <w:rFonts w:hint="eastAsia" w:ascii="宋体" w:hAnsi="宋体" w:cs="Arial"/>
          <w:kern w:val="0"/>
          <w:szCs w:val="32"/>
          <w:lang w:val="en-US" w:eastAsia="zh-CN"/>
        </w:rPr>
        <w:t>　行政机关应当建立健全政府信息管理动态调整机制，对本行政机关不予公开的政府信息进行定期评估审查，对因情势变化可以公开的政府信息应当公开。</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第三章　主动公开</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黑体" w:hAnsi="黑体" w:eastAsia="黑体" w:cs="黑体"/>
          <w:kern w:val="0"/>
          <w:szCs w:val="32"/>
          <w:lang w:val="en-US" w:eastAsia="zh-CN"/>
        </w:rPr>
        <w:t>　　第十九条</w:t>
      </w:r>
      <w:r>
        <w:rPr>
          <w:rFonts w:hint="eastAsia" w:ascii="宋体" w:hAnsi="宋体" w:cs="Arial"/>
          <w:kern w:val="0"/>
          <w:szCs w:val="32"/>
          <w:lang w:val="en-US" w:eastAsia="zh-CN"/>
        </w:rPr>
        <w:t>　对涉及公众利益调整、需要公众广泛知晓或者需要公众参与决策的政府信息，行政机关应当主动公开。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第二十条　</w:t>
      </w:r>
      <w:r>
        <w:rPr>
          <w:rFonts w:hint="eastAsia" w:ascii="宋体" w:hAnsi="宋体" w:cs="Arial"/>
          <w:kern w:val="0"/>
          <w:szCs w:val="32"/>
          <w:lang w:val="en-US" w:eastAsia="zh-CN"/>
        </w:rPr>
        <w:t>行政机关应当依照本条例第十九条的规定，主动公开本行政机关的下列政府信息：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（一）行政法规、规章和规范性文件；</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（二）机关职能、机构设置、办公地址、办公时间、联系方式、负责人姓名；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（三）国民经济和社会发展规划、专项规划、区域规划及相关政策；</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（四）国民经济和社会发展统计信息；</w:t>
      </w:r>
      <w:r>
        <w:rPr>
          <w:rFonts w:hint="eastAsia" w:ascii="黑体" w:hAnsi="黑体" w:eastAsia="黑体" w:cs="黑体"/>
          <w:kern w:val="0"/>
          <w:szCs w:val="32"/>
          <w:lang w:val="en-US" w:eastAsia="zh-CN"/>
        </w:rPr>
        <w:br w:type="textWrapping"/>
      </w:r>
      <w:r>
        <w:rPr>
          <w:rFonts w:hint="eastAsia" w:ascii="黑体" w:hAnsi="黑体" w:eastAsia="黑体" w:cs="黑体"/>
          <w:kern w:val="0"/>
          <w:szCs w:val="32"/>
          <w:lang w:val="en-US" w:eastAsia="zh-CN"/>
        </w:rPr>
        <w:t xml:space="preserve">    （</w:t>
      </w:r>
      <w:r>
        <w:rPr>
          <w:rFonts w:hint="eastAsia" w:ascii="宋体" w:hAnsi="宋体" w:cs="Arial"/>
          <w:kern w:val="0"/>
          <w:szCs w:val="32"/>
          <w:lang w:val="en-US" w:eastAsia="zh-CN"/>
        </w:rPr>
        <w:t>五）办理行政许可和其他对外管理服务事项的依据、条件、程序以及办理结果；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（六）实施行政处罚、行政强制的依据、条件、程序以及本行政机关认为具有一定社会影响的行政处罚决定；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（七）财政预算、决算信息；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（八）行政事业性收费项目及其依据、标准；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（九）政府集中采购项目的目录、标准及实施情况；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（十）重大建设项目的批准和实施情况；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（十一）扶贫、教育、医疗、社会保障、促进就业等方面的政策、措施及其实施情况；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（十二）突发公共事件的应急预案、预警信息及应对情况；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（十三）环境保护、公共卫生、安全生产、食品药品、产品质量的监督检查情况；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（十四）公务员招考的职位、名额、报考条件等事项以及录用结果；</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（十五）法律、法规、规章和国家有关规定规定应当主动公开的其他政府信息。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第二十一条</w:t>
      </w:r>
      <w:r>
        <w:rPr>
          <w:rFonts w:hint="eastAsia" w:ascii="宋体" w:hAnsi="宋体" w:cs="Arial"/>
          <w:kern w:val="0"/>
          <w:szCs w:val="32"/>
          <w:lang w:val="en-US" w:eastAsia="zh-CN"/>
        </w:rPr>
        <w:t>　除本条例第二十条规定的政府信息外，设区的市级、县级人民政府及其部门还应当根据本地方的具体情况，主动公开涉及市政建设、公共服务、公益事业、土地征收、房屋征收、治安管理、社会救助等方面的政府信息；乡（镇）人民政府还应当根据本地方的具体情况，主动公开贯彻落实农业农村政策、农田水利工程建设运营、农村土地承包经营权流转、宅基地使用情况审核、土地征收、房屋征收、筹资筹劳、社会救助等方面的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第二十二条</w:t>
      </w:r>
      <w:r>
        <w:rPr>
          <w:rFonts w:hint="eastAsia" w:ascii="宋体" w:hAnsi="宋体" w:cs="Arial"/>
          <w:kern w:val="0"/>
          <w:szCs w:val="32"/>
          <w:lang w:val="en-US" w:eastAsia="zh-CN"/>
        </w:rPr>
        <w:t>　行政机关应当依照本条例第二十条、第二十一条的规定，确定主动公开政府信息的具体内容，并按照上级行政机关的部署，不断增加主动公开的内容。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第二十三条</w:t>
      </w:r>
      <w:r>
        <w:rPr>
          <w:rFonts w:hint="eastAsia" w:ascii="宋体" w:hAnsi="宋体" w:cs="Arial"/>
          <w:kern w:val="0"/>
          <w:szCs w:val="32"/>
          <w:lang w:val="en-US" w:eastAsia="zh-CN"/>
        </w:rPr>
        <w:t>　行政机关应当建立健全政府信息发布机制，将主动公开的政府信息通过政府公报、政府网站或者其他互联网政务媒体、新闻发布会以及报刊、广播、电视等途径予以公开。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第二十四条</w:t>
      </w:r>
      <w:r>
        <w:rPr>
          <w:rFonts w:hint="eastAsia" w:ascii="宋体" w:hAnsi="宋体" w:cs="Arial"/>
          <w:kern w:val="0"/>
          <w:szCs w:val="32"/>
          <w:lang w:val="en-US" w:eastAsia="zh-CN"/>
        </w:rPr>
        <w:t>　各级人民政府应当加强依托政府门户网站公开政府信息的工作，利用统一的政府信息公开平台集中发布主动公开的政府信息。政府信息公开平台应当具备信息检索、查阅、下载等功能。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第二十五条</w:t>
      </w:r>
      <w:r>
        <w:rPr>
          <w:rFonts w:hint="eastAsia" w:ascii="宋体" w:hAnsi="宋体" w:cs="Arial"/>
          <w:kern w:val="0"/>
          <w:szCs w:val="32"/>
          <w:lang w:val="en-US" w:eastAsia="zh-CN"/>
        </w:rPr>
        <w:t>　各级人民政府应当在国家档案馆、公共图书馆、政务服务场所设置政府信息查阅场所，并配备相应的设施、设备，为公民、法人和其他组织获取政府信息提供便利。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行政机关可以根据需要设立公共查阅室、资料索取点、信息公告栏、电子信息屏等场所、设施，公开政府信息。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行政机关应当及时向国家档案馆、公共图书馆提供主动公开的政府信息。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第二十六条</w:t>
      </w:r>
      <w:r>
        <w:rPr>
          <w:rFonts w:hint="eastAsia" w:ascii="宋体" w:hAnsi="宋体" w:cs="Arial"/>
          <w:kern w:val="0"/>
          <w:szCs w:val="32"/>
          <w:lang w:val="en-US" w:eastAsia="zh-CN"/>
        </w:rPr>
        <w:t>　属于主动公开范围的政府信息，应当自该政府信息形成或者变更之日起20个工作日内及时公开。法律、法规对政府信息公开的期限另有规定的，从其规定。</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第四章　依申请公开</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第二十七条</w:t>
      </w:r>
      <w:r>
        <w:rPr>
          <w:rFonts w:hint="eastAsia" w:ascii="宋体" w:hAnsi="宋体" w:cs="Arial"/>
          <w:kern w:val="0"/>
          <w:szCs w:val="32"/>
          <w:lang w:val="en-US" w:eastAsia="zh-CN"/>
        </w:rPr>
        <w:t>　除行政机关主动公开的政府信息外，公民、法人或者其他组织可以向地方各级人民政府、对外以自己名义履行行政管理职能的县级以上人民政府部门（含本条例第十条第二款规定的派出机构、内设机构）申请获取相关政府信息。</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第二十八条</w:t>
      </w:r>
      <w:r>
        <w:rPr>
          <w:rFonts w:hint="eastAsia" w:ascii="宋体" w:hAnsi="宋体" w:cs="Arial"/>
          <w:kern w:val="0"/>
          <w:szCs w:val="32"/>
          <w:lang w:val="en-US" w:eastAsia="zh-CN"/>
        </w:rPr>
        <w:t>　本条例第二十七条规定的行政机关应当建立完善政府信息公开申请渠道，为申请人依法申请获取政府信息提供便利。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第二十九条</w:t>
      </w:r>
      <w:r>
        <w:rPr>
          <w:rFonts w:hint="eastAsia" w:ascii="宋体" w:hAnsi="宋体" w:cs="Arial"/>
          <w:kern w:val="0"/>
          <w:szCs w:val="32"/>
          <w:lang w:val="en-US" w:eastAsia="zh-CN"/>
        </w:rPr>
        <w:t>　公民、法人或者其他组织申请获取政府信息的，应当向行政机关的政府信息公开工作机构提出，并采用包括信件、数据电文在内的书面形式；采用书面形式确有困难的，申请人可以口头提出，由受理该申请的政府信息公开工作机构代为填写政府信息公开申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政府信息公开申请应当包括下列内容：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（一）申请人的姓名或者名称、身份证明、联系方式；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（二）申请公开的政府信息的名称、文号或者便于行政机关查询的其他特征性描述；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（三）申请公开的政府信息的形式要求，包括获取信息的方式、途径。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第三十条</w:t>
      </w:r>
      <w:r>
        <w:rPr>
          <w:rFonts w:hint="eastAsia" w:ascii="宋体" w:hAnsi="宋体" w:cs="Arial"/>
          <w:kern w:val="0"/>
          <w:szCs w:val="32"/>
          <w:lang w:val="en-US" w:eastAsia="zh-CN"/>
        </w:rPr>
        <w:t>　政府信息公开申请内容不明确的，行政机关应当给予指导和释明，并自收到申请之日起7个工作日内一次性告知申请人作出补正，说明需要补正的事项和合理的补正期限。答复期限自行政机关收到补正的申请之日起计算。申请人无正当理由逾期不补正的，视为放弃申请，行政机关不再处理该政府信息公开申请。</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第三十一条　</w:t>
      </w:r>
      <w:r>
        <w:rPr>
          <w:rFonts w:hint="eastAsia" w:ascii="宋体" w:hAnsi="宋体" w:cs="Arial"/>
          <w:kern w:val="0"/>
          <w:szCs w:val="32"/>
          <w:lang w:val="en-US" w:eastAsia="zh-CN"/>
        </w:rPr>
        <w:t>行政机关收到政府信息公开申请的时间，按照下列规定确定：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（一）申请人当面提交政府信息公开申请的，以提交之日为收到申请之日；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申请人以邮寄方式提交政府信息公开申请的，以行政机关签收之日为收到申请之日；以平常信函等无需签收的邮寄方式提交政府信息公开申请的，政府信息公开工作机构应当于收到申请的当日与申请人确认，确认之日为收到申请之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（三）申请人通过互联网渠道或者政府信息公开工作机构的传真提交政府信息公开申请的，以双方确认之日为收到申请之日。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第三十二条</w:t>
      </w:r>
      <w:r>
        <w:rPr>
          <w:rFonts w:hint="eastAsia" w:ascii="宋体" w:hAnsi="宋体" w:cs="Arial"/>
          <w:kern w:val="0"/>
          <w:szCs w:val="32"/>
          <w:lang w:val="en-US" w:eastAsia="zh-CN"/>
        </w:rPr>
        <w:t>　依申请公开的政府信息公开会损害第三方合法权益的，行政机关应当书面征求第三方的意见。第三方应当自收到征求意见书之日起15个工作日内提出意见。第三方逾期未提出意见的，由行政机关依照本条例的规定决定是否公开。第三方不同意公开且有合理理由的，行政机关不予公开。行政机关认为不公开可能对公共利益造成重大影响的，可以决定予以公开，并将决定公开的政府信息内容和理由书面告知第三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第三十三条</w:t>
      </w:r>
      <w:r>
        <w:rPr>
          <w:rFonts w:hint="eastAsia" w:ascii="宋体" w:hAnsi="宋体" w:cs="Arial"/>
          <w:kern w:val="0"/>
          <w:szCs w:val="32"/>
          <w:lang w:val="en-US" w:eastAsia="zh-CN"/>
        </w:rPr>
        <w:t>　行政机关收到政府信息公开申请，能够当场答复的，应当当场予以答复。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行政机关不能当场答复的，应当自收到申请之日起20个工作日内予以答复；需要延长答复期限的，应当经政府信息公开工作机构负责人同意并告知申请人，延长的期限最长不得超过20个工作日。</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行政机关征求第三方和其他机关意见所需时间不计算在前款规定的期限内。</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第三十四条　</w:t>
      </w:r>
      <w:r>
        <w:rPr>
          <w:rFonts w:hint="eastAsia" w:ascii="宋体" w:hAnsi="宋体" w:cs="Arial"/>
          <w:kern w:val="0"/>
          <w:szCs w:val="32"/>
          <w:lang w:val="en-US" w:eastAsia="zh-CN"/>
        </w:rPr>
        <w:t>申请公开的政府信息由两个以上行政机关共同制作的，牵头制作的行政机关收到政府信息公开申请后可以征求相关行政机关的意见，被征求意见机关应当自收到征求意见书之日起15个工作日内提出意见，逾期未提出意见的视为同意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第三十五条</w:t>
      </w:r>
      <w:r>
        <w:rPr>
          <w:rFonts w:hint="eastAsia" w:ascii="宋体" w:hAnsi="宋体" w:cs="Arial"/>
          <w:kern w:val="0"/>
          <w:szCs w:val="32"/>
          <w:lang w:val="en-US" w:eastAsia="zh-CN"/>
        </w:rPr>
        <w:t>　申请人申请公开政府信息的数量、频次明显超过合理范围，行政机关可以要求申请人说明理由。行政机关认为申请理由不合理的，告知申请人不予处理；行政机关认为申请理由合理，但是无法在本条例第三十三条规定的期限内答复申请人的，可以确定延迟答复的合理期限并告知申请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第三十六条</w:t>
      </w:r>
      <w:r>
        <w:rPr>
          <w:rFonts w:hint="eastAsia" w:ascii="宋体" w:hAnsi="宋体" w:cs="Arial"/>
          <w:kern w:val="0"/>
          <w:szCs w:val="32"/>
          <w:lang w:val="en-US" w:eastAsia="zh-CN"/>
        </w:rPr>
        <w:t>　对政府信息公开申请，行政机关根据下列情况分别作出答复：</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（一）所申请公开信息已经主动公开的，告知申请人获取该政府信息的方式、途径；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（二）所申请公开信息可以公开的，向申请人提供该政府信息，或者告知申请人获取该政府信息的方式、途径和时间；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（三）行政机关依据本条例的规定决定不予公开的，告知申请人不予公开并说明理由；</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（四）经检索没有所申请公开信息的，告知申请人该政府信息不存在；</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（五）所申请公开信息不属于本行政机关负责公开的，告知申请人并说明理由；能够确定负责公开该政府信息的行政机关的，告知申请人该行政机关的名称、联系方式；</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（六）行政机关已就申请人提出的政府信息公开申请作出答复、申请人重复申请公开相同政府信息的，告知申请人不予重复处理；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（七）所申请公开信息属于工商、不动产登记资料等信息，有关法律、行政法规对信息的获取有特别规定的，告知申请人依照有关法律、行政法规的规定办理。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第三十七条</w:t>
      </w:r>
      <w:r>
        <w:rPr>
          <w:rFonts w:hint="eastAsia" w:ascii="宋体" w:hAnsi="宋体" w:cs="Arial"/>
          <w:kern w:val="0"/>
          <w:szCs w:val="32"/>
          <w:lang w:val="en-US" w:eastAsia="zh-CN"/>
        </w:rPr>
        <w:t>　申请公开的信息中含有不应当公开或者不属于政府信息的内容，但是能够作区分处理的，行政机关应当向申请人提供可以公开的政府信息内容，并对不予公开的内容说明理由。</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第三十八条　</w:t>
      </w:r>
      <w:r>
        <w:rPr>
          <w:rFonts w:hint="eastAsia" w:ascii="宋体" w:hAnsi="宋体" w:cs="Arial"/>
          <w:kern w:val="0"/>
          <w:szCs w:val="32"/>
          <w:lang w:val="en-US" w:eastAsia="zh-CN"/>
        </w:rPr>
        <w:t>行政机关向申请人提供的信息，应当是已制作或者获取的政府信息。除依照本条例第三十七条的规定能够作区分处理的外，需要行政机关对现有政府信息进行加工、分析的，行政机关可以不予提供。</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第三十九条</w:t>
      </w:r>
      <w:r>
        <w:rPr>
          <w:rFonts w:hint="eastAsia" w:ascii="宋体" w:hAnsi="宋体" w:cs="Arial"/>
          <w:kern w:val="0"/>
          <w:szCs w:val="32"/>
          <w:lang w:val="en-US" w:eastAsia="zh-CN"/>
        </w:rPr>
        <w:t>　申请人以政府信息公开申请的形式进行信访、投诉、举报等活动，行政机关应当告知申请人不作为政府信息公开申请处理并可以告知通过相应渠道提出。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申请人提出的申请内容为要求行政机关提供政府公报、报刊、书籍等公开出版物的，行政机关可以告知获取的途径。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第四十条</w:t>
      </w:r>
      <w:r>
        <w:rPr>
          <w:rFonts w:hint="eastAsia" w:ascii="宋体" w:hAnsi="宋体" w:cs="Arial"/>
          <w:kern w:val="0"/>
          <w:szCs w:val="32"/>
          <w:lang w:val="en-US" w:eastAsia="zh-CN"/>
        </w:rPr>
        <w:t>　行政机关依申请公开政府信息，应当根据申请人的要求及行政机关保存政府信息的实际情况，确定提供政府信息的具体形式；按照申请人要求的形式提供政府信息，可能危及政府信息载体安全或者公开成本过高的，可以通过电子数据以及其他适当形式提供，或者安排申请人查阅、抄录相关政府信息。</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第四十一条　</w:t>
      </w:r>
      <w:r>
        <w:rPr>
          <w:rFonts w:hint="eastAsia" w:ascii="宋体" w:hAnsi="宋体" w:cs="Arial"/>
          <w:kern w:val="0"/>
          <w:szCs w:val="32"/>
          <w:lang w:val="en-US" w:eastAsia="zh-CN"/>
        </w:rPr>
        <w:t>公民、法人或者其他组织有证据证明行政机关提供的与其自身相关的政府信息记录不准确的，可以要求行政机关更正。有权更正的行政机关审核属实的，应当予以更正并告知申请人；不属于本行政机关职能范围的，行政机关可以转送有权更正的行政机关处理并告知申请人，或者告知申请人向有权更正的行政机关提出。</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第四十二条</w:t>
      </w:r>
      <w:r>
        <w:rPr>
          <w:rFonts w:hint="eastAsia" w:ascii="宋体" w:hAnsi="宋体" w:cs="Arial"/>
          <w:kern w:val="0"/>
          <w:szCs w:val="32"/>
          <w:lang w:val="en-US" w:eastAsia="zh-CN"/>
        </w:rPr>
        <w:t>　行政机关依申请提供政府信息，不收取费用。但是，申请人申请公开政府信息的数量、频次明显超过合理范围的，行政机关可以收取信息处理费。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行政机关收取信息处理费的具体办法由国务院价格主管部门会同国务院财政部门、全国政府信息公开工作主管部门制定。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第四十三条</w:t>
      </w:r>
      <w:r>
        <w:rPr>
          <w:rFonts w:hint="eastAsia" w:ascii="宋体" w:hAnsi="宋体" w:cs="Arial"/>
          <w:kern w:val="0"/>
          <w:szCs w:val="32"/>
          <w:lang w:val="en-US" w:eastAsia="zh-CN"/>
        </w:rPr>
        <w:t>　申请公开政府信息的公民存在阅读困难或者视听障碍的，行政机关应当为其提供必要的帮助。</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第四十四条</w:t>
      </w:r>
      <w:r>
        <w:rPr>
          <w:rFonts w:hint="eastAsia" w:ascii="宋体" w:hAnsi="宋体" w:cs="Arial"/>
          <w:kern w:val="0"/>
          <w:szCs w:val="32"/>
          <w:lang w:val="en-US" w:eastAsia="zh-CN"/>
        </w:rPr>
        <w:t>　多个申请人就相同政府信息向同一行政机关提出公开申请，且该政府信息属于可以公开的，行政机关可以纳入主动公开的范围。</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对行政机关依申请公开的政府信息，申请人认为涉及公众利益调整、需要公众广泛知晓或者需要公众参与决策的，可以建议行政机关将该信息纳入主动公开的范围。行政机关经审核认为属于主动公开范围的，应当及时主动公开。</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第四十五条</w:t>
      </w:r>
      <w:r>
        <w:rPr>
          <w:rFonts w:hint="eastAsia" w:ascii="宋体" w:hAnsi="宋体" w:cs="Arial"/>
          <w:kern w:val="0"/>
          <w:szCs w:val="32"/>
          <w:lang w:val="en-US" w:eastAsia="zh-CN"/>
        </w:rPr>
        <w:t>　行政机关应当建立健全政府信息公开申请登记、审核、办理、答复、归档的工作制度，加强工作规范。</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numPr>
          <w:ilvl w:val="0"/>
          <w:numId w:val="15"/>
        </w:numPr>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监督和保障</w:t>
      </w:r>
    </w:p>
    <w:p>
      <w:pPr>
        <w:pStyle w:val="33"/>
        <w:numPr>
          <w:ilvl w:val="0"/>
          <w:numId w:val="0"/>
        </w:numPr>
        <w:wordWrap/>
        <w:spacing w:line="560" w:lineRule="exact"/>
        <w:textAlignment w:val="auto"/>
        <w:rPr>
          <w:rFonts w:hint="eastAsia"/>
        </w:rPr>
      </w:pPr>
    </w:p>
    <w:p>
      <w:pPr>
        <w:widowControl w:val="0"/>
        <w:wordWrap/>
        <w:overflowPunct w:val="0"/>
        <w:spacing w:beforeAutospacing="0" w:afterAutospacing="0" w:line="560" w:lineRule="exact"/>
        <w:ind w:left="0" w:leftChars="0" w:firstLine="0" w:firstLineChars="0"/>
        <w:textAlignment w:val="auto"/>
        <w:rPr>
          <w:rFonts w:hint="eastAsia" w:ascii="宋体" w:hAnsi="宋体" w:cs="Arial"/>
          <w:kern w:val="0"/>
          <w:szCs w:val="32"/>
        </w:rPr>
      </w:pP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第四十六条</w:t>
      </w:r>
      <w:r>
        <w:rPr>
          <w:rFonts w:hint="eastAsia" w:ascii="宋体" w:hAnsi="宋体" w:cs="Arial"/>
          <w:kern w:val="0"/>
          <w:szCs w:val="32"/>
          <w:lang w:val="en-US" w:eastAsia="zh-CN"/>
        </w:rPr>
        <w:t>　各级人民政府应当建立健全政府信息公开工作考核制度、社会评议制度和责任追究制度，定期对政府信息公开工作进行考核、评议。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第四十七条</w:t>
      </w:r>
      <w:r>
        <w:rPr>
          <w:rFonts w:hint="eastAsia" w:ascii="宋体" w:hAnsi="宋体" w:cs="Arial"/>
          <w:kern w:val="0"/>
          <w:szCs w:val="32"/>
          <w:lang w:val="en-US" w:eastAsia="zh-CN"/>
        </w:rPr>
        <w:t>　政府信息公开工作主管部门应当加强对政府信息公开工作的日常指导和监督检查，对行政机关未按照要求开展政府信息公开工作的，予以督促整改或者通报批评；需要对负有责任的领导人员和直接责任人员追究责任的，依法向有权机关提出处理建议。</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公民、法人或者其他组织认为行政机关未按照要求主动公开政府信息或者对政府信息公开申请不依法答复处理的，可以向政府信息公开工作主管部门提出。政府信息公开工作主管部门查证属实的，应当予以督促整改或者通报批评。</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第四十八条</w:t>
      </w:r>
      <w:r>
        <w:rPr>
          <w:rFonts w:hint="eastAsia" w:ascii="宋体" w:hAnsi="宋体" w:cs="Arial"/>
          <w:kern w:val="0"/>
          <w:szCs w:val="32"/>
          <w:lang w:val="en-US" w:eastAsia="zh-CN"/>
        </w:rPr>
        <w:t>　政府信息公开工作主管部门应当对行政机关的政府信息公开工作人员定期进行培训。</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第四十九条　</w:t>
      </w:r>
      <w:r>
        <w:rPr>
          <w:rFonts w:hint="eastAsia" w:ascii="宋体" w:hAnsi="宋体" w:cs="Arial"/>
          <w:kern w:val="0"/>
          <w:szCs w:val="32"/>
          <w:lang w:val="en-US" w:eastAsia="zh-CN"/>
        </w:rPr>
        <w:t>县级以上人民政府部门应当在每年1月31日前向本级政府信息公开工作主管部门提交本行政机关上一年度政府信息公开工作年度报告并向社会公布。</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县级以上地方人民政府的政府信息公开工作主管部门应当在每年3月31日前向社会公布本级政府上一年度政府信息公开工作年度报告。</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第五十条　</w:t>
      </w:r>
      <w:r>
        <w:rPr>
          <w:rFonts w:hint="eastAsia" w:ascii="宋体" w:hAnsi="宋体" w:cs="Arial"/>
          <w:kern w:val="0"/>
          <w:szCs w:val="32"/>
          <w:lang w:val="en-US" w:eastAsia="zh-CN"/>
        </w:rPr>
        <w:t>政府信息公开工作年度报告应当包括下列内容：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（一）行政机关主动公开政府信息的情况；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xml:space="preserve">    （二）行政机关收到和处理政府信息公开申请的情况；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（三）因政府信息公开工作被申请行政复议、提起行政诉讼的情况；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（四）政府信息公开工作存在的主要问题及改进情况，各级人民政府的政府信息公开工作年度报告还应当包括工作考核、社会评议和责任追究结果情况；</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（五）其他需要报告的事项。</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全国政府信息公开工作主管部门应当公布政府信息公开工作年度报告统一格式，并适时更新。</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第五十一条　</w:t>
      </w:r>
      <w:r>
        <w:rPr>
          <w:rFonts w:hint="eastAsia" w:ascii="宋体" w:hAnsi="宋体" w:cs="Arial"/>
          <w:kern w:val="0"/>
          <w:szCs w:val="32"/>
          <w:lang w:val="en-US" w:eastAsia="zh-CN"/>
        </w:rPr>
        <w:t>公民、法人或者其他组织认为行政机关在政府信息公开工作中侵犯其合法权益的，可以向上一级行政机关或者政府信息公开工作主管部门投诉、举报，也可以依法申请行政复议或者提起行政诉讼。</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　第五十二条</w:t>
      </w:r>
      <w:r>
        <w:rPr>
          <w:rFonts w:hint="eastAsia" w:ascii="宋体" w:hAnsi="宋体" w:cs="Arial"/>
          <w:kern w:val="0"/>
          <w:szCs w:val="32"/>
          <w:lang w:val="en-US" w:eastAsia="zh-CN"/>
        </w:rPr>
        <w:t>　行政机关违反本条例的规定，未建立健全政府信息公开有关制度、机制的，由上一级行政机关责令改正；情节严重的，对负有责任的领导人员和直接责任人员依法给予处分。</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第五十三条</w:t>
      </w:r>
      <w:r>
        <w:rPr>
          <w:rFonts w:hint="eastAsia" w:ascii="宋体" w:hAnsi="宋体" w:cs="Arial"/>
          <w:kern w:val="0"/>
          <w:szCs w:val="32"/>
          <w:lang w:val="en-US" w:eastAsia="zh-CN"/>
        </w:rPr>
        <w:t>　行政机关违反本条例的规定，有下列情形之一的，由上一级行政机关责令改正；情节严重的，对负有责任的领导人员和直接责任人员依法给予处分；构成犯罪的，依法追究刑事责任：</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（一）不依法履行政府信息公开职能；</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（二）不及时更新公开的政府信息内容、政府信息公开指南和政府信息公开目录；</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（三）违反本条例规定的其他情形。</w:t>
      </w: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p>
    <w:p>
      <w:pPr>
        <w:widowControl w:val="0"/>
        <w:wordWrap/>
        <w:overflowPunct w:val="0"/>
        <w:spacing w:beforeAutospacing="0" w:afterAutospacing="0" w:line="560" w:lineRule="exact"/>
        <w:ind w:left="0" w:leftChars="0" w:firstLine="0" w:firstLineChars="0"/>
        <w:jc w:val="center"/>
        <w:textAlignment w:val="auto"/>
        <w:rPr>
          <w:rFonts w:hint="eastAsia" w:ascii="宋体" w:hAnsi="宋体" w:eastAsia="黑体" w:cs="黑体"/>
          <w:kern w:val="0"/>
          <w:szCs w:val="32"/>
        </w:rPr>
      </w:pPr>
      <w:r>
        <w:rPr>
          <w:rFonts w:hint="eastAsia" w:ascii="宋体" w:hAnsi="宋体" w:eastAsia="黑体" w:cs="黑体"/>
          <w:kern w:val="0"/>
          <w:szCs w:val="32"/>
        </w:rPr>
        <w:t>第六章　附则</w:t>
      </w:r>
    </w:p>
    <w:p>
      <w:pPr>
        <w:pStyle w:val="33"/>
        <w:wordWrap/>
        <w:spacing w:line="560" w:lineRule="exact"/>
        <w:textAlignment w:val="auto"/>
        <w:rPr>
          <w:rFonts w:hint="eastAsia"/>
        </w:rPr>
      </w:pPr>
    </w:p>
    <w:p>
      <w:pPr>
        <w:widowControl w:val="0"/>
        <w:wordWrap/>
        <w:overflowPunct w:val="0"/>
        <w:spacing w:beforeAutospacing="0" w:afterAutospacing="0" w:line="560" w:lineRule="exact"/>
        <w:ind w:left="0" w:leftChars="0" w:firstLine="640" w:firstLineChars="0"/>
        <w:textAlignment w:val="auto"/>
        <w:rPr>
          <w:rFonts w:hint="eastAsia" w:ascii="宋体" w:hAnsi="宋体" w:cs="Arial"/>
          <w:kern w:val="0"/>
          <w:szCs w:val="32"/>
          <w:lang w:val="en-US" w:eastAsia="zh-CN"/>
        </w:rPr>
      </w:pPr>
      <w:r>
        <w:rPr>
          <w:rFonts w:hint="eastAsia" w:ascii="黑体" w:hAnsi="黑体" w:eastAsia="黑体" w:cs="黑体"/>
          <w:kern w:val="0"/>
          <w:szCs w:val="32"/>
          <w:lang w:val="en-US" w:eastAsia="zh-CN"/>
        </w:rPr>
        <w:t>第五十四条</w:t>
      </w:r>
      <w:r>
        <w:rPr>
          <w:rFonts w:hint="eastAsia" w:ascii="宋体" w:hAnsi="宋体" w:cs="Arial"/>
          <w:kern w:val="0"/>
          <w:szCs w:val="32"/>
          <w:lang w:val="en-US" w:eastAsia="zh-CN"/>
        </w:rPr>
        <w:t>　法律、法规授权的具有管理公共事务职能的组织公开政府信息的活动，适用本条例。</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w:t>
      </w:r>
      <w:r>
        <w:rPr>
          <w:rFonts w:hint="eastAsia" w:ascii="黑体" w:hAnsi="黑体" w:eastAsia="黑体" w:cs="黑体"/>
          <w:kern w:val="0"/>
          <w:szCs w:val="32"/>
          <w:lang w:val="en-US" w:eastAsia="zh-CN"/>
        </w:rPr>
        <w:t>第五十五条　</w:t>
      </w:r>
      <w:r>
        <w:rPr>
          <w:rFonts w:hint="eastAsia" w:ascii="宋体" w:hAnsi="宋体" w:cs="Arial"/>
          <w:kern w:val="0"/>
          <w:szCs w:val="32"/>
          <w:lang w:val="en-US" w:eastAsia="zh-CN"/>
        </w:rPr>
        <w:t>教育、卫生健康、供水、供电、供气、供热、环境保护、公共交通等与人民群众利益密切相关的公共企事业单位，公开在提供社会公共服务过程中制作、获取的信息，依照相关法律、法规和国务院有关主管部门或者机构的规定执行。全国政府信息公开工作主管部门根据实际需要可以制定专门的规定。</w:t>
      </w:r>
      <w:r>
        <w:rPr>
          <w:rFonts w:hint="eastAsia" w:ascii="宋体" w:hAnsi="宋体" w:cs="Arial"/>
          <w:kern w:val="0"/>
          <w:szCs w:val="32"/>
          <w:lang w:val="en-US" w:eastAsia="zh-CN"/>
        </w:rPr>
        <w:br w:type="textWrapping"/>
      </w:r>
      <w:r>
        <w:rPr>
          <w:rFonts w:hint="eastAsia" w:ascii="宋体" w:hAnsi="宋体" w:cs="Arial"/>
          <w:kern w:val="0"/>
          <w:szCs w:val="32"/>
          <w:lang w:val="en-US" w:eastAsia="zh-CN"/>
        </w:rPr>
        <w:t>　　前款规定的公共企事业单位未依照相关法律、法规和国务院有关主管部门或者机构的规定公开在提供社会公共服务过程中制作、获取的信息，公民、法人或者其他组织可以向有关主管部门或者机构申诉，接受申诉的部门或者机构应当及时调查处理并将处理结果告知申诉人。</w:t>
      </w:r>
      <w:r>
        <w:rPr>
          <w:rFonts w:hint="eastAsia" w:ascii="宋体" w:hAnsi="宋体" w:cs="Arial"/>
          <w:kern w:val="0"/>
          <w:szCs w:val="32"/>
          <w:lang w:val="en-US" w:eastAsia="zh-CN"/>
        </w:rPr>
        <w:br w:type="textWrapping"/>
      </w:r>
      <w:r>
        <w:rPr>
          <w:rFonts w:hint="eastAsia" w:ascii="黑体" w:hAnsi="黑体" w:eastAsia="黑体" w:cs="黑体"/>
          <w:kern w:val="0"/>
          <w:szCs w:val="32"/>
          <w:lang w:val="en-US" w:eastAsia="zh-CN"/>
        </w:rPr>
        <w:t>　　第五十六条</w:t>
      </w:r>
      <w:r>
        <w:rPr>
          <w:rFonts w:hint="eastAsia" w:ascii="宋体" w:hAnsi="宋体" w:cs="Arial"/>
          <w:kern w:val="0"/>
          <w:szCs w:val="32"/>
          <w:lang w:val="en-US" w:eastAsia="zh-CN"/>
        </w:rPr>
        <w:t>　本条例自2019年5月15日起施行。</w:t>
      </w:r>
    </w:p>
    <w:p>
      <w:pPr>
        <w:pStyle w:val="11"/>
        <w:ind w:firstLine="640" w:firstLineChars="200"/>
        <w:rPr>
          <w:rFonts w:hint="eastAsia" w:ascii="Times New Roman" w:hAnsi="Times New Roman" w:eastAsia="仿宋_GB2312" w:cs="Times New Roman"/>
          <w:sz w:val="32"/>
          <w:szCs w:val="32"/>
          <w:lang w:eastAsia="zh-CN"/>
        </w:rPr>
      </w:pPr>
    </w:p>
    <w:p>
      <w:pPr>
        <w:pStyle w:val="11"/>
        <w:jc w:val="center"/>
        <w:rPr>
          <w:rFonts w:ascii="Times New Roman" w:hAnsi="Times New Roman" w:cs="Times New Roman"/>
          <w:sz w:val="32"/>
          <w:szCs w:val="32"/>
        </w:rPr>
      </w:pPr>
      <w:r>
        <w:rPr>
          <w:rFonts w:ascii="Times New Roman" w:hAnsi="Times New Roman" w:cs="Times New Roman"/>
          <w:sz w:val="44"/>
          <w:szCs w:val="44"/>
        </w:rPr>
        <w:t>娱乐场所管理条例</w:t>
      </w:r>
    </w:p>
    <w:p>
      <w:pPr>
        <w:pStyle w:val="11"/>
        <w:ind w:firstLine="640" w:firstLineChars="200"/>
        <w:jc w:val="center"/>
        <w:rPr>
          <w:rFonts w:ascii="Times New Roman" w:hAnsi="Times New Roman" w:cs="Times New Roman"/>
          <w:sz w:val="32"/>
          <w:szCs w:val="32"/>
        </w:rPr>
      </w:pPr>
    </w:p>
    <w:p>
      <w:pPr>
        <w:pStyle w:val="11"/>
        <w:spacing w:line="560" w:lineRule="exact"/>
        <w:ind w:firstLine="596" w:firstLineChars="200"/>
        <w:rPr>
          <w:rFonts w:hint="eastAsia" w:ascii="楷体_GB2312" w:hAnsi="楷体_GB2312" w:eastAsia="楷体_GB2312" w:cs="楷体_GB2312"/>
          <w:spacing w:val="-11"/>
          <w:sz w:val="32"/>
          <w:szCs w:val="32"/>
          <w:lang w:eastAsia="zh-CN"/>
        </w:rPr>
      </w:pPr>
      <w:r>
        <w:rPr>
          <w:rFonts w:hint="eastAsia" w:ascii="楷体_GB2312" w:hAnsi="楷体_GB2312" w:eastAsia="楷体_GB2312" w:cs="楷体_GB2312"/>
          <w:spacing w:val="-11"/>
          <w:sz w:val="32"/>
          <w:szCs w:val="32"/>
          <w:lang w:eastAsia="zh-CN"/>
        </w:rPr>
        <w:t>(2006年1月29日中华人民共和国国务院令第458号公布　根据2016年2月6日《国务院关于修改部分行政法规的决定》第一次修订</w:t>
      </w:r>
      <w:r>
        <w:rPr>
          <w:rFonts w:hint="eastAsia" w:ascii="楷体_GB2312" w:hAnsi="楷体_GB2312" w:eastAsia="楷体_GB2312" w:cs="楷体_GB2312"/>
          <w:spacing w:val="-11"/>
          <w:sz w:val="32"/>
          <w:szCs w:val="32"/>
          <w:lang w:val="en-US" w:eastAsia="zh-CN"/>
        </w:rPr>
        <w:t xml:space="preserve">  </w:t>
      </w:r>
      <w:r>
        <w:rPr>
          <w:rFonts w:hint="eastAsia" w:ascii="楷体_GB2312" w:hAnsi="楷体_GB2312" w:eastAsia="楷体_GB2312" w:cs="楷体_GB2312"/>
          <w:spacing w:val="-11"/>
          <w:sz w:val="32"/>
          <w:szCs w:val="32"/>
          <w:lang w:eastAsia="zh-CN"/>
        </w:rPr>
        <w:t>根据2020年11月29日《国务院关于修改和废止部分行政法规的决定》第二次修订)</w:t>
      </w:r>
    </w:p>
    <w:p>
      <w:pPr>
        <w:pStyle w:val="5"/>
        <w:spacing w:line="560" w:lineRule="exact"/>
        <w:rPr>
          <w:sz w:val="32"/>
          <w:szCs w:val="32"/>
        </w:rPr>
      </w:pPr>
      <w:r>
        <w:rPr>
          <w:rFonts w:ascii="Times New Roman" w:hAnsi="Times New Roman" w:cs="Times New Roman"/>
          <w:sz w:val="32"/>
          <w:szCs w:val="32"/>
        </w:rPr>
        <w:t>第一章　总则</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第一条　</w:t>
      </w:r>
      <w:r>
        <w:rPr>
          <w:rFonts w:ascii="Times New Roman" w:hAnsi="Times New Roman" w:eastAsia="仿宋_GB2312" w:cs="Times New Roman"/>
          <w:sz w:val="32"/>
          <w:szCs w:val="32"/>
        </w:rPr>
        <w:t>为了加强对娱乐场所的管理，保障娱乐场所的健康发展，制定本条例。</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第二条　</w:t>
      </w:r>
      <w:r>
        <w:rPr>
          <w:rFonts w:ascii="Times New Roman" w:hAnsi="Times New Roman" w:eastAsia="仿宋_GB2312" w:cs="Times New Roman"/>
          <w:sz w:val="32"/>
          <w:szCs w:val="32"/>
        </w:rPr>
        <w:t>本条例所称娱乐场所，是指以营利为目的，并向公众开放、消费者自娱自乐的歌舞、游艺等场所。</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第三条　</w:t>
      </w:r>
      <w:r>
        <w:rPr>
          <w:rFonts w:ascii="Times New Roman" w:hAnsi="Times New Roman" w:eastAsia="仿宋_GB2312" w:cs="Times New Roman"/>
          <w:sz w:val="32"/>
          <w:szCs w:val="32"/>
        </w:rPr>
        <w:t>县级以上人民政府文化主管部门负责对娱乐场所日常经营活动的监督管理；县级以上公安部门负责对娱乐场所消防、治安状况的监督管理。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第四条　</w:t>
      </w:r>
      <w:r>
        <w:rPr>
          <w:rFonts w:ascii="Times New Roman" w:hAnsi="Times New Roman" w:eastAsia="仿宋_GB2312" w:cs="Times New Roman"/>
          <w:sz w:val="32"/>
          <w:szCs w:val="32"/>
        </w:rPr>
        <w:t>国家机关及其工作人员不得开办娱乐场所，不得参与或者变相参与娱乐场所的经营活动。</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与文化主管部门、公安部门的工作人员有夫妻关系、直系血亲关系、三代以内旁系血亲关系以及近姻亲关系的亲属，不得开办娱乐场所，不得参与或者变相参与娱乐场所的经营活动。</w:t>
      </w:r>
    </w:p>
    <w:p>
      <w:pPr>
        <w:pStyle w:val="5"/>
        <w:spacing w:line="560" w:lineRule="exact"/>
      </w:pPr>
      <w:r>
        <w:t>第二章　设立</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第五条　</w:t>
      </w:r>
      <w:r>
        <w:rPr>
          <w:rFonts w:ascii="Times New Roman" w:hAnsi="Times New Roman" w:eastAsia="仿宋_GB2312" w:cs="Times New Roman"/>
          <w:sz w:val="32"/>
          <w:szCs w:val="32"/>
        </w:rPr>
        <w:t>有下列情形之一的人员，不得开办娱乐场所或者在娱乐场所内从业：</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(一)曾犯有组织、强迫、引诱、容留、介绍卖淫罪，制作、贩卖、传播淫秽物品罪，走私、贩卖、运输、制造毒品罪，强奸罪，强制猥亵、侮辱妇女罪，赌博罪，洗钱罪，组织、领导、参加黑社会性质组织罪的；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(二)因犯罪曾被剥夺政治权利的；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(三)因吸食、注射毒品曾被强制戒毒的；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(四)因卖淫、嫖娼曾被处以行政拘留的。</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第六条　</w:t>
      </w:r>
      <w:r>
        <w:rPr>
          <w:rFonts w:hint="eastAsia" w:ascii="Times New Roman" w:hAnsi="Times New Roman" w:eastAsia="仿宋_GB2312" w:cs="Times New Roman"/>
          <w:sz w:val="32"/>
          <w:szCs w:val="32"/>
        </w:rPr>
        <w:t>外国投资者可以依法在中国境内设立娱乐场所</w:t>
      </w:r>
      <w:r>
        <w:rPr>
          <w:rFonts w:ascii="Times New Roman" w:hAnsi="Times New Roman" w:eastAsia="仿宋_GB2312" w:cs="Times New Roman"/>
          <w:sz w:val="32"/>
          <w:szCs w:val="32"/>
        </w:rPr>
        <w:t>。</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第七条　</w:t>
      </w:r>
      <w:r>
        <w:rPr>
          <w:rFonts w:ascii="Times New Roman" w:hAnsi="Times New Roman" w:eastAsia="仿宋_GB2312" w:cs="Times New Roman"/>
          <w:sz w:val="32"/>
          <w:szCs w:val="32"/>
        </w:rPr>
        <w:t>娱乐场所不得设在下列地点：</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(一)居民楼、博物馆、图书馆和被核定为文物保护单位的建筑物内；</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(二)居民住宅区和学校、医院、机关周围；</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(三)车站、机场等人群密集的场所；</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(四)建筑物地下一层以下；</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(五)与危险化学品仓库毗连的区域。</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娱乐场所的边界噪声，应当符合国家规定的环境噪声标准。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第八条　</w:t>
      </w:r>
      <w:r>
        <w:rPr>
          <w:rFonts w:ascii="Times New Roman" w:hAnsi="Times New Roman" w:eastAsia="仿宋_GB2312" w:cs="Times New Roman"/>
          <w:sz w:val="32"/>
          <w:szCs w:val="32"/>
        </w:rPr>
        <w:t>娱乐场所的使用面积，不得低于国务院文化主管部门规定的最低标准；设立含有电子游戏机的游艺娱乐场所，应当符合国务院文化主管部门关于总量和布局的要求。</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第九条　</w:t>
      </w:r>
      <w:r>
        <w:rPr>
          <w:rFonts w:ascii="Times New Roman" w:hAnsi="Times New Roman" w:eastAsia="仿宋_GB2312" w:cs="Times New Roman"/>
          <w:sz w:val="32"/>
          <w:szCs w:val="32"/>
        </w:rPr>
        <w:t>娱乐场所申请从事娱乐场所经营活动，应当向所在地县级人民政府文化主管部门提出申请；</w:t>
      </w:r>
      <w:r>
        <w:rPr>
          <w:rFonts w:hint="eastAsia" w:ascii="Times New Roman" w:hAnsi="Times New Roman" w:eastAsia="仿宋_GB2312" w:cs="Times New Roman"/>
          <w:sz w:val="32"/>
          <w:szCs w:val="32"/>
        </w:rPr>
        <w:t>外商投资</w:t>
      </w:r>
      <w:r>
        <w:rPr>
          <w:rFonts w:ascii="Times New Roman" w:hAnsi="Times New Roman" w:eastAsia="仿宋_GB2312" w:cs="Times New Roman"/>
          <w:sz w:val="32"/>
          <w:szCs w:val="32"/>
        </w:rPr>
        <w:t>的娱乐场所申请从事娱乐场所经营活动，应当向所在地省、自治区、直辖市人民政府文化主管部门提出申请。</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娱乐场所申请从事娱乐场所经营活动，应当提交投资人员、拟任的法定代表人和其他负责人没有本条例第五条规定情形的书面声明。申请人应当对书面声明内容的真实性负责。</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理申请的文化主管部门应当就书面声明向公安部门或者其他有关单位核查，公安部门或者其他有关单位应当予以配合；经核查属实的，文化主管部门应当依据本条例第七条、第八条的规定进行实地检查，作出决定。予以批准的，颁发娱乐经营许可证，并根据国务院文化主管部门的规定核定娱乐场所容纳的消费者数量；不予批准的，应当书面通知申请人并说明理由。</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有关法律、行政法规规定需要办理消防、卫生、环境保护等审批手续的，从其规定。</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第十条　</w:t>
      </w:r>
      <w:r>
        <w:rPr>
          <w:rFonts w:ascii="Times New Roman" w:hAnsi="Times New Roman" w:eastAsia="仿宋_GB2312" w:cs="Times New Roman"/>
          <w:sz w:val="32"/>
          <w:szCs w:val="32"/>
        </w:rPr>
        <w:t>文化主管部门审批娱乐场所应当举行听证。有关听证的程序，依照《中华人民共和国行政许可法》的规定执行。</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第十一条　</w:t>
      </w:r>
      <w:r>
        <w:rPr>
          <w:rFonts w:ascii="Times New Roman" w:hAnsi="Times New Roman" w:eastAsia="仿宋_GB2312" w:cs="Times New Roman"/>
          <w:sz w:val="32"/>
          <w:szCs w:val="32"/>
        </w:rPr>
        <w:t>娱</w:t>
      </w:r>
      <w:r>
        <w:rPr>
          <w:rFonts w:hint="eastAsia" w:ascii="仿宋_GB2312" w:hAnsi="仿宋_GB2312" w:eastAsia="仿宋_GB2312" w:cs="仿宋_GB2312"/>
          <w:sz w:val="32"/>
          <w:szCs w:val="32"/>
        </w:rPr>
        <w:t>乐场所依法取得营业执照和相关批准文件、许可证后，应当在15日内向所在地县级公</w:t>
      </w:r>
      <w:r>
        <w:rPr>
          <w:rFonts w:ascii="Times New Roman" w:hAnsi="Times New Roman" w:eastAsia="仿宋_GB2312" w:cs="Times New Roman"/>
          <w:sz w:val="32"/>
          <w:szCs w:val="32"/>
        </w:rPr>
        <w:t>安部门备案。</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第十二条　</w:t>
      </w:r>
      <w:r>
        <w:rPr>
          <w:rFonts w:ascii="Times New Roman" w:hAnsi="Times New Roman" w:eastAsia="仿宋_GB2312" w:cs="Times New Roman"/>
          <w:sz w:val="32"/>
          <w:szCs w:val="32"/>
        </w:rPr>
        <w:t>娱乐场所改建、扩建营业场所或者变更场地、主要设施设备、投资人员，或者变更娱乐经营许可证载明的事项的，应当向原发证机关申请重新核发娱乐经营许可证，并向公安部门备案；需要办理变更登记的，应当依法向工商行政管理部门办理变更登记。</w:t>
      </w:r>
    </w:p>
    <w:p>
      <w:pPr>
        <w:pStyle w:val="5"/>
        <w:spacing w:line="560" w:lineRule="exact"/>
      </w:pPr>
      <w:r>
        <w:t>第三章　经营</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第十三条　</w:t>
      </w:r>
      <w:r>
        <w:rPr>
          <w:rFonts w:ascii="Times New Roman" w:hAnsi="Times New Roman" w:eastAsia="仿宋_GB2312" w:cs="Times New Roman"/>
          <w:sz w:val="32"/>
          <w:szCs w:val="32"/>
        </w:rPr>
        <w:t>国家倡导弘扬民族优秀文化，禁止娱乐场所内的娱乐活动含有下列</w:t>
      </w:r>
      <w:r>
        <w:rPr>
          <w:rFonts w:hint="eastAsia" w:ascii="仿宋_GB2312" w:hAnsi="仿宋_GB2312" w:eastAsia="仿宋_GB2312" w:cs="仿宋_GB2312"/>
          <w:sz w:val="32"/>
          <w:szCs w:val="32"/>
        </w:rPr>
        <w:t>内容：</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(一)违反宪法确定的基本原则的；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(二)危害国家统一、主权或者领土完整的；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(三)危害国家安全，或者损害国家荣誉、利益的；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(四)煽动民族仇恨、民族歧视，伤害民族感情或者侵害民族风俗、习惯，破坏民族团结的；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(五)违反国家宗教政策，宣扬邪教、迷信的；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(六)宣扬淫秽、赌博、暴力以及与毒品有关的违法犯罪活动，或者教唆犯罪的；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(七)违背社会公德或者民族优秀文化传统的；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(八)侮辱、诽谤他人，侵害他人合法权益的；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(九)法律、行政法规禁止的其他内容。</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第十四条　</w:t>
      </w:r>
      <w:r>
        <w:rPr>
          <w:rFonts w:ascii="Times New Roman" w:hAnsi="Times New Roman" w:eastAsia="仿宋_GB2312" w:cs="Times New Roman"/>
          <w:sz w:val="32"/>
          <w:szCs w:val="32"/>
        </w:rPr>
        <w:t>娱乐场所及其从业人员不得实施下列行为，不得为</w:t>
      </w:r>
      <w:r>
        <w:rPr>
          <w:rFonts w:hint="eastAsia" w:ascii="仿宋_GB2312" w:hAnsi="仿宋_GB2312" w:eastAsia="仿宋_GB2312" w:cs="仿宋_GB2312"/>
          <w:sz w:val="32"/>
          <w:szCs w:val="32"/>
        </w:rPr>
        <w:t>进入娱乐场所的人员实施下列行为提供条件：</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(一)贩卖、提供毒品，或者组织、强迫、教唆、引诱、欺骗、容留他人吸食、注射毒品；</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(二)组织、强迫、引诱、容留、介绍他人卖淫、嫖娼；</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(三)制作、贩卖、传播淫秽物品；</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(四)提供或者从事以营利为目的的陪侍；</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(五)赌博；</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(六)从事邪教、迷信活动；</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(七)其他违法犯罪行为。</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娱乐场所的从业人员不得吸食、注射毒品，不得卖淫、嫖娼；娱乐场所及其从业人员不得为进入娱乐场所的人员实施上述行为提供条件。</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第十五条　</w:t>
      </w:r>
      <w:r>
        <w:rPr>
          <w:rFonts w:ascii="Times New Roman" w:hAnsi="Times New Roman" w:eastAsia="仿宋_GB2312" w:cs="Times New Roman"/>
          <w:sz w:val="32"/>
          <w:szCs w:val="32"/>
        </w:rPr>
        <w:t>歌舞娱乐场所应当按照国务院公安部门的规定在营业场所的出入口、主要通道</w:t>
      </w:r>
      <w:r>
        <w:rPr>
          <w:rFonts w:hint="eastAsia" w:ascii="仿宋_GB2312" w:hAnsi="仿宋_GB2312" w:eastAsia="仿宋_GB2312" w:cs="仿宋_GB2312"/>
          <w:sz w:val="32"/>
          <w:szCs w:val="32"/>
        </w:rPr>
        <w:t>安装闭路电视监控设备，并应当保证闭路电视监控设备在营业期间正常运行，不得中断。</w:t>
      </w:r>
    </w:p>
    <w:p>
      <w:pPr>
        <w:pStyle w:val="11"/>
        <w:spacing w:line="560"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歌舞娱乐场所应当将闭路电视监控录像资料留存30日备</w:t>
      </w:r>
      <w:r>
        <w:rPr>
          <w:rFonts w:ascii="Times New Roman" w:hAnsi="Times New Roman" w:eastAsia="仿宋_GB2312" w:cs="Times New Roman"/>
          <w:sz w:val="32"/>
          <w:szCs w:val="32"/>
        </w:rPr>
        <w:t>查，不得删改或者挪作他用。</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第十六条　</w:t>
      </w:r>
      <w:r>
        <w:rPr>
          <w:rFonts w:ascii="Times New Roman" w:hAnsi="Times New Roman" w:eastAsia="仿宋_GB2312" w:cs="Times New Roman"/>
          <w:sz w:val="32"/>
          <w:szCs w:val="32"/>
        </w:rPr>
        <w:t>歌舞娱乐场所的包厢、包间内不得设置隔断，并应当安装展现室内整体环境的透明门窗。包厢、包间的门不得有内锁装置。</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第十七条　</w:t>
      </w:r>
      <w:r>
        <w:rPr>
          <w:rFonts w:ascii="Times New Roman" w:hAnsi="Times New Roman" w:eastAsia="仿宋_GB2312" w:cs="Times New Roman"/>
          <w:sz w:val="32"/>
          <w:szCs w:val="32"/>
        </w:rPr>
        <w:t>营业期间，歌舞娱乐场所内亮度不得低于国家规定的标准。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第十八条　</w:t>
      </w:r>
      <w:r>
        <w:rPr>
          <w:rFonts w:ascii="Times New Roman" w:hAnsi="Times New Roman" w:eastAsia="仿宋_GB2312" w:cs="Times New Roman"/>
          <w:sz w:val="32"/>
          <w:szCs w:val="32"/>
        </w:rPr>
        <w:t>娱乐场所使用的音像制品或者电子游戏应当是依法出版、生产或者进口的产品。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歌舞娱乐场所播放的曲目和屏幕画面以及游艺娱乐场所的电子游戏机内的游戏项目，不得含有本条例第十三条禁止的内容；歌舞娱乐场所使用的歌曲点播系统不得与境外的曲库联接。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第十九条　</w:t>
      </w:r>
      <w:r>
        <w:rPr>
          <w:rFonts w:ascii="Times New Roman" w:hAnsi="Times New Roman" w:eastAsia="仿宋_GB2312" w:cs="Times New Roman"/>
          <w:sz w:val="32"/>
          <w:szCs w:val="32"/>
        </w:rPr>
        <w:t>游艺娱乐场所不得设置具有赌博功能的电子游戏机机型、机种、电路板等游戏设施设备，不得以现金或者有价证券作为奖品，不得回购奖品。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第二十条　</w:t>
      </w:r>
      <w:r>
        <w:rPr>
          <w:rFonts w:ascii="Times New Roman" w:hAnsi="Times New Roman" w:eastAsia="仿宋_GB2312" w:cs="Times New Roman"/>
          <w:sz w:val="32"/>
          <w:szCs w:val="32"/>
        </w:rPr>
        <w:t>娱乐场所的法定代表人或者主要负责人应当对娱乐场所的消防安全和其他安全负责。</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娱乐场所应当确保其建筑、设施符合国家安全标准和消防技术规范，定期检查消防设施状况，并及时维护、更新。</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娱乐场所应当制定安全工作方案和应急疏散预案。</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第二十一条　</w:t>
      </w:r>
      <w:r>
        <w:rPr>
          <w:rFonts w:ascii="Times New Roman" w:hAnsi="Times New Roman" w:eastAsia="仿宋_GB2312" w:cs="Times New Roman"/>
          <w:sz w:val="32"/>
          <w:szCs w:val="32"/>
        </w:rPr>
        <w:t>营业期间，娱乐场所应当保证疏散通道和安全出口畅通，不得封堵、锁闭疏散通道和安全出口，不得在疏散通道和安全出口设置栅栏等影响疏散的障碍物。</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娱乐场所应当在疏散通道和安全出口设置明显指示标志，不得遮挡、覆盖指示标志。</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第二十二条　</w:t>
      </w:r>
      <w:r>
        <w:rPr>
          <w:rFonts w:ascii="Times New Roman" w:hAnsi="Times New Roman" w:eastAsia="仿宋_GB2312" w:cs="Times New Roman"/>
          <w:sz w:val="32"/>
          <w:szCs w:val="32"/>
        </w:rPr>
        <w:t>任何人不得非法携带枪支、弹药、管制器具或者携带爆炸性、易燃性、毒害性、放射性、腐蚀性等危险物品和传染病病原体进入娱乐场所。</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迪斯科舞厅应当配备安全检查设备，对进入营业场所的人员进行安全检查。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第二十三条　</w:t>
      </w:r>
      <w:r>
        <w:rPr>
          <w:rFonts w:ascii="Times New Roman" w:hAnsi="Times New Roman" w:eastAsia="仿宋_GB2312" w:cs="Times New Roman"/>
          <w:sz w:val="32"/>
          <w:szCs w:val="32"/>
        </w:rPr>
        <w:t>歌舞娱乐场所不得接纳未成年人。除国家法定节假日外，游艺娱乐场所设置的电子游戏机不得向未成年人提供。</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第二十四条　</w:t>
      </w:r>
      <w:r>
        <w:rPr>
          <w:rFonts w:ascii="Times New Roman" w:hAnsi="Times New Roman" w:eastAsia="仿宋_GB2312" w:cs="Times New Roman"/>
          <w:sz w:val="32"/>
          <w:szCs w:val="32"/>
        </w:rPr>
        <w:t>娱乐场所不得招用未成年人；招用外国人的，应当按照国家有关规定为其办理外国人就业许可证。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第二十五条　</w:t>
      </w:r>
      <w:r>
        <w:rPr>
          <w:rFonts w:ascii="Times New Roman" w:hAnsi="Times New Roman" w:eastAsia="仿宋_GB2312" w:cs="Times New Roman"/>
          <w:sz w:val="32"/>
          <w:szCs w:val="32"/>
        </w:rPr>
        <w:t>娱乐场所应当与从业人员签订文明服务责任书，并建立从业人员名簿；从业人员名簿应当包括从业人员的真实姓名、居民身份证复印件、外国人就业许可证复印件等内容。</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仿宋_GB2312" w:cs="Times New Roman"/>
          <w:sz w:val="32"/>
          <w:szCs w:val="32"/>
        </w:rPr>
        <w:t>娱乐场所应当建</w:t>
      </w:r>
      <w:r>
        <w:rPr>
          <w:rFonts w:hint="eastAsia" w:ascii="仿宋_GB2312" w:hAnsi="仿宋_GB2312" w:eastAsia="仿宋_GB2312" w:cs="仿宋_GB2312"/>
          <w:sz w:val="32"/>
          <w:szCs w:val="32"/>
        </w:rPr>
        <w:t>立营业日志，记载营业期间从业人员的工作职责、工作时间、工作地点；营业日志不得删改，并应当留存60日备查。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第二十六条　</w:t>
      </w:r>
      <w:r>
        <w:rPr>
          <w:rFonts w:ascii="Times New Roman" w:hAnsi="Times New Roman" w:eastAsia="仿宋_GB2312" w:cs="Times New Roman"/>
          <w:sz w:val="32"/>
          <w:szCs w:val="32"/>
        </w:rPr>
        <w:t>娱乐场所应当与保安服务企业签订保安服务合同，配备专业保安人员；不得聘用其他人员从事保安工作。</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第二十七条　</w:t>
      </w:r>
      <w:r>
        <w:rPr>
          <w:rFonts w:ascii="Times New Roman" w:hAnsi="Times New Roman" w:eastAsia="仿宋_GB2312" w:cs="Times New Roman"/>
          <w:sz w:val="32"/>
          <w:szCs w:val="32"/>
        </w:rPr>
        <w:t>营业期间，娱乐场所的从业人员应当统一着工作服，佩带工作标志并携带居民身份证或者外国人就业许可证。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从业人员应当遵守职业道德和卫生规范，诚实守信，礼貌待人，不得侵害消费者的人身和财产权利。</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第二十八条　</w:t>
      </w:r>
      <w:r>
        <w:rPr>
          <w:rFonts w:ascii="Times New Roman" w:hAnsi="Times New Roman" w:eastAsia="仿宋_GB2312" w:cs="Times New Roman"/>
          <w:sz w:val="32"/>
          <w:szCs w:val="32"/>
        </w:rPr>
        <w:t>每日</w:t>
      </w:r>
      <w:r>
        <w:rPr>
          <w:rFonts w:hint="eastAsia" w:ascii="仿宋_GB2312" w:hAnsi="仿宋_GB2312" w:eastAsia="仿宋_GB2312" w:cs="仿宋_GB2312"/>
          <w:sz w:val="32"/>
          <w:szCs w:val="32"/>
        </w:rPr>
        <w:t>凌晨2时至上午8时，娱乐场所</w:t>
      </w:r>
      <w:r>
        <w:rPr>
          <w:rFonts w:ascii="Times New Roman" w:hAnsi="Times New Roman" w:eastAsia="仿宋_GB2312" w:cs="Times New Roman"/>
          <w:sz w:val="32"/>
          <w:szCs w:val="32"/>
        </w:rPr>
        <w:t>不得营业。</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第二十九条　</w:t>
      </w:r>
      <w:r>
        <w:rPr>
          <w:rFonts w:ascii="Times New Roman" w:hAnsi="Times New Roman" w:eastAsia="仿宋_GB2312" w:cs="Times New Roman"/>
          <w:sz w:val="32"/>
          <w:szCs w:val="32"/>
        </w:rPr>
        <w:t>娱乐场所提供娱乐服务项目和出售商品，应当明码标价，并向消费者出示价目表；不得强迫、欺骗消费者接受服务、购买商品。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第三十条　</w:t>
      </w:r>
      <w:r>
        <w:rPr>
          <w:rFonts w:ascii="Times New Roman" w:hAnsi="Times New Roman" w:eastAsia="仿宋_GB2312" w:cs="Times New Roman"/>
          <w:sz w:val="32"/>
          <w:szCs w:val="32"/>
        </w:rPr>
        <w:t>娱乐场所应当在营业场所的大厅、包厢、包间内的显著位置悬挂含有禁毒、禁赌、禁止卖淫嫖娼等内容的警示标志、未成年人禁入或者限入标志。标志应当注明公安部门、文化主管部门的举报电话。</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第三十一条　</w:t>
      </w:r>
      <w:r>
        <w:rPr>
          <w:rFonts w:ascii="Times New Roman" w:hAnsi="Times New Roman" w:eastAsia="仿宋_GB2312" w:cs="Times New Roman"/>
          <w:sz w:val="32"/>
          <w:szCs w:val="32"/>
        </w:rPr>
        <w:t>娱乐场所应当建立巡查制度，发现娱乐场所内有违法犯罪活动的，应当立即向所在地县级公安部门、县级人民政府文化主管部门报告。</w:t>
      </w:r>
    </w:p>
    <w:p>
      <w:pPr>
        <w:pStyle w:val="5"/>
        <w:spacing w:line="560" w:lineRule="exact"/>
      </w:pPr>
      <w:r>
        <w:t>第四章　监督管理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第三十二条　</w:t>
      </w:r>
      <w:r>
        <w:rPr>
          <w:rFonts w:ascii="Times New Roman" w:hAnsi="Times New Roman" w:eastAsia="仿宋_GB2312" w:cs="Times New Roman"/>
          <w:sz w:val="32"/>
          <w:szCs w:val="32"/>
        </w:rPr>
        <w:t>文化主管部门、公安部门和其他有关部门的工作人员依法履行监督检查职责时，有权进入娱乐场所。娱乐场所应当予以配合，不得拒绝、阻挠。</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文化主管部门、公安部门和其他有关部门的工作人员依法履行监督检查职责时，需要查阅闭路电视监控录像资料、从业人员名簿、营业日志等资料的，娱乐场所应当及时提供。</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第三十三条　</w:t>
      </w:r>
      <w:r>
        <w:rPr>
          <w:rFonts w:ascii="Times New Roman" w:hAnsi="Times New Roman" w:eastAsia="仿宋_GB2312" w:cs="Times New Roman"/>
          <w:sz w:val="32"/>
          <w:szCs w:val="32"/>
        </w:rPr>
        <w:t>文化主管部门、公安部门和其他有关部门应当记录监督检查的情况和处理结果。监督检查记录由监督检查人员签字归档。公众有权查阅监督检查记录。</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第三十四条　</w:t>
      </w:r>
      <w:r>
        <w:rPr>
          <w:rFonts w:ascii="Times New Roman" w:hAnsi="Times New Roman" w:eastAsia="仿宋_GB2312" w:cs="Times New Roman"/>
          <w:sz w:val="32"/>
          <w:szCs w:val="32"/>
        </w:rPr>
        <w:t>文化主管部门、公安部门和其他有关部门应当建立娱乐场所违法行为警示记录系统；对列入警示记录的娱乐场所，应当及时向社会公布，并加大监督检查力度。</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第三十五条　</w:t>
      </w:r>
      <w:r>
        <w:rPr>
          <w:rFonts w:ascii="Times New Roman" w:hAnsi="Times New Roman" w:eastAsia="仿宋_GB2312" w:cs="Times New Roman"/>
          <w:sz w:val="32"/>
          <w:szCs w:val="32"/>
        </w:rPr>
        <w:t>文化主管部门应当建立娱乐场所的经营活动信用监管制度，建立健全信用约束机制，并及时公布行政处罚信息。</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第三十六条　</w:t>
      </w:r>
      <w:r>
        <w:rPr>
          <w:rFonts w:ascii="Times New Roman" w:hAnsi="Times New Roman" w:eastAsia="仿宋_GB2312" w:cs="Times New Roman"/>
          <w:sz w:val="32"/>
          <w:szCs w:val="32"/>
        </w:rPr>
        <w:t>文化主管部门、公安部门和其他有关部门应当建立相互间的信息通报制度，及时通报监督检查情况和处理结果。</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第三十七条　</w:t>
      </w:r>
      <w:r>
        <w:rPr>
          <w:rFonts w:ascii="Times New Roman" w:hAnsi="Times New Roman" w:eastAsia="仿宋_GB2312" w:cs="Times New Roman"/>
          <w:sz w:val="32"/>
          <w:szCs w:val="32"/>
        </w:rPr>
        <w:t>任何单位或者个人发现娱乐场所内有违反本条例行为的，有权向文化主管部门、公安部门等有关部门举报。</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文化主管部门、公安部门等有关部门接到举报，应当记录，并及时依法调查、处理；对不属于本部门职责范围的，应当及时移送有关部门。</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第三十八条　</w:t>
      </w:r>
      <w:r>
        <w:rPr>
          <w:rFonts w:ascii="Times New Roman" w:hAnsi="Times New Roman" w:eastAsia="仿宋_GB2312" w:cs="Times New Roman"/>
          <w:sz w:val="32"/>
          <w:szCs w:val="32"/>
        </w:rPr>
        <w:t>上级人民政府文化主管部门、公安部门在必要时，可以依照本条例的规定调查、处理由下级人民政府文化主管部门、公安部门调查、处理的案件。</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下级人民政府文化主管部门、公安部门认为案件重大、复杂的，可以请求移送上级人民政府文化主管部门、公安部门调查、处理。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第三十九条　</w:t>
      </w:r>
      <w:r>
        <w:rPr>
          <w:rFonts w:ascii="Times New Roman" w:hAnsi="Times New Roman" w:eastAsia="仿宋_GB2312" w:cs="Times New Roman"/>
          <w:sz w:val="32"/>
          <w:szCs w:val="32"/>
        </w:rPr>
        <w:t>文化主管部门、公安部门和其他有关部门及其工作人员违反本条例规定的，任何单位或者个人可以向依法有权处理的本级或者上一级机关举报。接到举报的机关应当依法及时调查、处理。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第四十条　</w:t>
      </w:r>
      <w:r>
        <w:rPr>
          <w:rFonts w:ascii="Times New Roman" w:hAnsi="Times New Roman" w:eastAsia="仿宋_GB2312" w:cs="Times New Roman"/>
          <w:sz w:val="32"/>
          <w:szCs w:val="32"/>
        </w:rPr>
        <w:t>娱乐场所行业协会应当依照章程的规定，制定行业自律规范，加强对会员经营活动的指导、监督。</w:t>
      </w:r>
    </w:p>
    <w:p>
      <w:pPr>
        <w:pStyle w:val="5"/>
        <w:spacing w:line="560" w:lineRule="exact"/>
      </w:pPr>
      <w:r>
        <w:t>第五章　法律责任</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第四十一条　</w:t>
      </w:r>
      <w:r>
        <w:rPr>
          <w:rFonts w:ascii="Times New Roman" w:hAnsi="Times New Roman" w:eastAsia="仿宋_GB2312" w:cs="Times New Roman"/>
          <w:sz w:val="32"/>
          <w:szCs w:val="32"/>
        </w:rPr>
        <w:t>违反本条例规定，擅自从事娱乐场所经营活动的，由文化主管部门依法予以取缔；公安部门在查处治安、刑事案件时，发现擅自从事娱乐场所经营活动的，应当依法予以取缔。</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第四十二条　</w:t>
      </w:r>
      <w:r>
        <w:rPr>
          <w:rFonts w:ascii="Times New Roman" w:hAnsi="Times New Roman" w:eastAsia="仿宋_GB2312" w:cs="Times New Roman"/>
          <w:sz w:val="32"/>
          <w:szCs w:val="32"/>
        </w:rPr>
        <w:t>违反本条例规定，以欺骗等不正当手段取得娱乐经营许可证的，由原发证机关撤销娱乐经营许可证。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第四十三条　</w:t>
      </w:r>
      <w:r>
        <w:rPr>
          <w:rFonts w:ascii="Times New Roman" w:hAnsi="Times New Roman" w:eastAsia="仿宋_GB2312" w:cs="Times New Roman"/>
          <w:sz w:val="32"/>
          <w:szCs w:val="32"/>
        </w:rPr>
        <w:t>娱乐场所实施本</w:t>
      </w:r>
      <w:r>
        <w:rPr>
          <w:rFonts w:hint="eastAsia" w:ascii="仿宋_GB2312" w:hAnsi="仿宋_GB2312" w:eastAsia="仿宋_GB2312" w:cs="仿宋_GB2312"/>
          <w:sz w:val="32"/>
          <w:szCs w:val="32"/>
        </w:rPr>
        <w:t>条例第十四条禁止行为的，由县级公安部门没收违法所得和非法财物，责令停业整顿3个月至6个月；情节严重的，由原发证机关吊销娱乐经营许可证，对直接负责的主管人员和其他直接责任人员处1万元以上2万元以</w:t>
      </w:r>
      <w:r>
        <w:rPr>
          <w:rFonts w:ascii="Times New Roman" w:hAnsi="Times New Roman" w:eastAsia="仿宋_GB2312" w:cs="Times New Roman"/>
          <w:sz w:val="32"/>
          <w:szCs w:val="32"/>
        </w:rPr>
        <w:t>下的罚款。</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第四十四条　</w:t>
      </w:r>
      <w:r>
        <w:rPr>
          <w:rFonts w:ascii="Times New Roman" w:hAnsi="Times New Roman" w:eastAsia="仿宋_GB2312" w:cs="Times New Roman"/>
          <w:sz w:val="32"/>
          <w:szCs w:val="32"/>
        </w:rPr>
        <w:t>娱乐场所违</w:t>
      </w:r>
      <w:r>
        <w:rPr>
          <w:rFonts w:hint="eastAsia" w:ascii="仿宋_GB2312" w:hAnsi="仿宋_GB2312" w:eastAsia="仿宋_GB2312" w:cs="仿宋_GB2312"/>
          <w:sz w:val="32"/>
          <w:szCs w:val="32"/>
        </w:rPr>
        <w:t>反本条例规定，有下列情形之一的，由县级公安部门责令改正，给予警告；情节严重的，责令停业整顿1个月至3个月：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(一)照明设施、包厢、包间的设置以及门窗的使用不符合本条例规定的；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(二)未按照本条例规定安装闭路电视监控设备或者中断使用的；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(三)未按照本条例规定留存监控录像资料或者删改监控录像资料的；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(四)未按照本条例规定配备安全检查设备或者未对进入营业场所的人员进行安全检查的；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(五)未按照本条例规定配备保安人员的。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第四十五条　</w:t>
      </w:r>
      <w:r>
        <w:rPr>
          <w:rFonts w:ascii="Times New Roman" w:hAnsi="Times New Roman" w:eastAsia="仿宋_GB2312" w:cs="Times New Roman"/>
          <w:sz w:val="32"/>
          <w:szCs w:val="32"/>
        </w:rPr>
        <w:t>娱乐场所违反</w:t>
      </w:r>
      <w:r>
        <w:rPr>
          <w:rFonts w:hint="eastAsia" w:ascii="仿宋_GB2312" w:hAnsi="仿宋_GB2312" w:eastAsia="仿宋_GB2312" w:cs="仿宋_GB2312"/>
          <w:sz w:val="32"/>
          <w:szCs w:val="32"/>
        </w:rPr>
        <w:t>本条例规定，有下列情形之一的，由县级公安部门没收违法所得和非法财物，并处违法所得2倍以上5倍以下的罚款；没有违法所得或者违法所得不足1万元的，并处2万元以上5万元以下的罚款；情节严重的，责令停业整顿1个月至3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(一)设置具有赌博功能的电子游戏机机型、机种、电路板等游戏设施设备的；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(二)以现金、有价证券作为奖品，或者回购奖品的。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第四十六条　</w:t>
      </w:r>
      <w:r>
        <w:rPr>
          <w:rFonts w:ascii="Times New Roman" w:hAnsi="Times New Roman" w:eastAsia="仿宋_GB2312" w:cs="Times New Roman"/>
          <w:sz w:val="32"/>
          <w:szCs w:val="32"/>
        </w:rPr>
        <w:t>娱乐场所</w:t>
      </w:r>
      <w:r>
        <w:rPr>
          <w:rFonts w:hint="eastAsia" w:ascii="仿宋_GB2312" w:hAnsi="仿宋_GB2312" w:eastAsia="仿宋_GB2312" w:cs="仿宋_GB2312"/>
          <w:sz w:val="32"/>
          <w:szCs w:val="32"/>
        </w:rPr>
        <w:t>指使、纵容从业人员侵害消费者人身权利的，应当依法承担民事责任，并由县级公安部门责令停业整顿1个月至3个月；造成严重后果的，由原发证机关吊销娱乐经营许可证。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第四十七条　</w:t>
      </w:r>
      <w:r>
        <w:rPr>
          <w:rFonts w:ascii="Times New Roman" w:hAnsi="Times New Roman" w:eastAsia="仿宋_GB2312" w:cs="Times New Roman"/>
          <w:sz w:val="32"/>
          <w:szCs w:val="32"/>
        </w:rPr>
        <w:t>娱乐场所取得营业执照后，未按照本条例规定向公安部门备案的，由县级公安部门责令改正，给予警告。</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第四十八条　</w:t>
      </w:r>
      <w:r>
        <w:rPr>
          <w:rFonts w:ascii="Times New Roman" w:hAnsi="Times New Roman" w:eastAsia="仿宋_GB2312" w:cs="Times New Roman"/>
          <w:sz w:val="32"/>
          <w:szCs w:val="32"/>
        </w:rPr>
        <w:t>违反本条例规定，有</w:t>
      </w:r>
      <w:r>
        <w:rPr>
          <w:rFonts w:hint="eastAsia" w:ascii="仿宋_GB2312" w:hAnsi="仿宋_GB2312" w:eastAsia="仿宋_GB2312" w:cs="仿宋_GB2312"/>
          <w:sz w:val="32"/>
          <w:szCs w:val="32"/>
        </w:rPr>
        <w:t>下列情形之一的，由县级人民政府文化主管部门没收违法所得和非法财物，并处违法所得1倍以上3倍以下的罚款；没有违法所得或者违法所得不足1万元的，并处1万元以上3万元以下的罚款；情节严重的，责令停业整顿1个月至6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(一)歌舞娱乐场所的歌曲点播系统与境外的曲库联接的；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(二)歌舞娱乐场所播放的曲目、屏幕画面或者游艺娱乐场所电子游戏机内的游戏项目含有本条例第十三条禁止内容的；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(三)歌舞娱乐场所接纳未成年人的；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(四)游艺娱乐场所设置的电子游戏机在国家法定节假日外向未成年人提供的；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(五)娱乐场所容纳的消费者超过核定人数的。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第四十九条　</w:t>
      </w:r>
      <w:r>
        <w:rPr>
          <w:rFonts w:ascii="Times New Roman" w:hAnsi="Times New Roman" w:eastAsia="仿宋_GB2312" w:cs="Times New Roman"/>
          <w:sz w:val="32"/>
          <w:szCs w:val="32"/>
        </w:rPr>
        <w:t>娱</w:t>
      </w:r>
      <w:r>
        <w:rPr>
          <w:rFonts w:hint="eastAsia" w:ascii="仿宋_GB2312" w:hAnsi="仿宋_GB2312" w:eastAsia="仿宋_GB2312" w:cs="仿宋_GB2312"/>
          <w:sz w:val="32"/>
          <w:szCs w:val="32"/>
        </w:rPr>
        <w:t>乐场所违反本条例规定，有下列情形之一的，由县级人民政府文化主管部门责令改正，给予警告；情节严重的，责令停业整顿1个月至3个月：</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(一)变更有关事项，未按照本条例规定申请重新核发娱乐经营许可证的；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(二)在本条例规定的禁止营业时间内营业的；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(三)从业人员在营业期间未统一着装并佩带工作标志的。</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第五十条　</w:t>
      </w:r>
      <w:r>
        <w:rPr>
          <w:rFonts w:ascii="Times New Roman" w:hAnsi="Times New Roman" w:eastAsia="仿宋_GB2312" w:cs="Times New Roman"/>
          <w:sz w:val="32"/>
          <w:szCs w:val="32"/>
        </w:rPr>
        <w:t>娱乐场所未按照本条例规定建立从业人员名簿、营业日志，或者发现违法犯罪行为未按照本条例规定报告的，由县级人民政府文化主管部门、县</w:t>
      </w:r>
      <w:r>
        <w:rPr>
          <w:rFonts w:hint="eastAsia" w:ascii="仿宋_GB2312" w:hAnsi="仿宋_GB2312" w:eastAsia="仿宋_GB2312" w:cs="仿宋_GB2312"/>
          <w:sz w:val="32"/>
          <w:szCs w:val="32"/>
        </w:rPr>
        <w:t>级公安部门依据法定职权责令改正，给予警告；情节严重的，责令停业整顿1个月至3个月。</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第五十一条　</w:t>
      </w:r>
      <w:r>
        <w:rPr>
          <w:rFonts w:ascii="Times New Roman" w:hAnsi="Times New Roman" w:eastAsia="仿宋_GB2312" w:cs="Times New Roman"/>
          <w:sz w:val="32"/>
          <w:szCs w:val="32"/>
        </w:rPr>
        <w:t>娱乐场所未按照本条例规定悬挂警示标志、未成年人禁入或者限入标志的，由县级人民政府文化主管部门、县级公安部门依据法定职权责令改正，给予警告。</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第五十二条　</w:t>
      </w:r>
      <w:r>
        <w:rPr>
          <w:rFonts w:ascii="Times New Roman" w:hAnsi="Times New Roman" w:eastAsia="仿宋_GB2312" w:cs="Times New Roman"/>
          <w:sz w:val="32"/>
          <w:szCs w:val="32"/>
        </w:rPr>
        <w:t>娱乐场所招用未</w:t>
      </w:r>
      <w:r>
        <w:rPr>
          <w:rFonts w:hint="eastAsia" w:ascii="仿宋_GB2312" w:hAnsi="仿宋_GB2312" w:eastAsia="仿宋_GB2312" w:cs="仿宋_GB2312"/>
          <w:sz w:val="32"/>
          <w:szCs w:val="32"/>
        </w:rPr>
        <w:t>成年人的，由劳动保障行政部门责令改正，并按照每招用一名未成年人每月处5000元罚款</w:t>
      </w:r>
      <w:r>
        <w:rPr>
          <w:rFonts w:ascii="Times New Roman" w:hAnsi="Times New Roman" w:eastAsia="仿宋_GB2312" w:cs="Times New Roman"/>
          <w:sz w:val="32"/>
          <w:szCs w:val="32"/>
        </w:rPr>
        <w:t>的标准给予处罚。</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第五十三条　</w:t>
      </w:r>
      <w:r>
        <w:rPr>
          <w:rFonts w:ascii="Times New Roman" w:hAnsi="Times New Roman" w:eastAsia="仿宋_GB2312" w:cs="Times New Roman"/>
          <w:sz w:val="32"/>
          <w:szCs w:val="32"/>
        </w:rPr>
        <w:t>因擅自从事娱乐场所经营活动被依法取缔的，其投资人员和负责人终身不得投资开办娱乐场所或者担任娱乐场所的法定代表人、负责人。</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仿宋_GB2312" w:cs="Times New Roman"/>
          <w:sz w:val="32"/>
          <w:szCs w:val="32"/>
        </w:rPr>
        <w:t>娱乐场所因违反本条例规定，被吊销或者撤销娱乐经营许可证的，自被吊销或者撤销之日起</w:t>
      </w:r>
      <w:r>
        <w:rPr>
          <w:rFonts w:hint="eastAsia" w:ascii="仿宋_GB2312" w:hAnsi="仿宋_GB2312" w:eastAsia="仿宋_GB2312" w:cs="仿宋_GB2312"/>
          <w:sz w:val="32"/>
          <w:szCs w:val="32"/>
        </w:rPr>
        <w:t>，其法定代表人、负责人5年内不得担任娱乐场所的法定代表人、负责人。</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娱乐场所因违反本条例规定，2年内被处以3次警告或者罚款又有违反本条例的行为应受行政处罚的，由县级人民政府文化主管部门、县级公安部门依据法定职权责令停业整顿3个月至6个月；2年内被2次责令停业整顿又有违反本条例的行为应受行政处罚的，由原发证机关吊销娱乐经营许可证。</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第五十四条　</w:t>
      </w:r>
      <w:r>
        <w:rPr>
          <w:rFonts w:ascii="Times New Roman" w:hAnsi="Times New Roman" w:eastAsia="仿宋_GB2312" w:cs="Times New Roman"/>
          <w:sz w:val="32"/>
          <w:szCs w:val="32"/>
        </w:rPr>
        <w:t>娱乐场所违反有关治安管理或者消防管理法律、行政法规规定的，由公安部门依法予以处罚；构成犯罪的，依法追究刑事责任。</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娱乐场所违反有关卫生、环境保护、价格、劳动等法律、行政法规规定的，由有关部门依法予以处罚；构成犯罪的，依法追究刑事责任。</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娱乐场所及其从业人员与消费者发生争议的，应当依照消费者权益保护的法律规定解决；造成消费者人身、财产损害的，由娱乐场所依法予以赔偿。</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第五十五条　</w:t>
      </w:r>
      <w:r>
        <w:rPr>
          <w:rFonts w:ascii="Times New Roman" w:hAnsi="Times New Roman" w:eastAsia="仿宋_GB2312" w:cs="Times New Roman"/>
          <w:sz w:val="32"/>
          <w:szCs w:val="32"/>
        </w:rPr>
        <w:t>国家机关及其工作人员开办娱乐场所，参与或者变相参与娱乐场所经营活动的，对直接负责的主管人员和其他直接责任人员依法给予撤职或者开除的行政处分。</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文化主管部门、公安部门的工作人员明知其亲属开办娱乐场所或者发现其亲属参与、变相参与娱乐场所的经营活动，不予制止或者制止不力的，依法给予行政处分；情节严重的，依法给予撤职或者开除的行政处分。</w:t>
      </w:r>
    </w:p>
    <w:p>
      <w:pPr>
        <w:pStyle w:val="11"/>
        <w:spacing w:line="560" w:lineRule="exact"/>
        <w:ind w:firstLine="640" w:firstLineChars="200"/>
        <w:rPr>
          <w:rFonts w:hint="eastAsia" w:ascii="仿宋_GB2312" w:hAnsi="仿宋_GB2312" w:eastAsia="仿宋_GB2312" w:cs="仿宋_GB2312"/>
          <w:sz w:val="32"/>
          <w:szCs w:val="32"/>
        </w:rPr>
      </w:pPr>
      <w:r>
        <w:rPr>
          <w:rFonts w:ascii="Times New Roman" w:hAnsi="Times New Roman" w:eastAsia="黑体" w:cs="Times New Roman"/>
          <w:sz w:val="32"/>
          <w:szCs w:val="32"/>
        </w:rPr>
        <w:t>第五十六条　</w:t>
      </w:r>
      <w:r>
        <w:rPr>
          <w:rFonts w:ascii="Times New Roman" w:hAnsi="Times New Roman" w:eastAsia="仿宋_GB2312" w:cs="Times New Roman"/>
          <w:sz w:val="32"/>
          <w:szCs w:val="32"/>
        </w:rPr>
        <w:t>文化主管部门、公安部门、工商行政管理部门和其他有关部门的工作人员有下列行为之一的，对直接负责的主管人员和其他直接责任人员</w:t>
      </w:r>
      <w:r>
        <w:rPr>
          <w:rFonts w:hint="eastAsia" w:ascii="仿宋_GB2312" w:hAnsi="仿宋_GB2312" w:eastAsia="仿宋_GB2312" w:cs="仿宋_GB2312"/>
          <w:sz w:val="32"/>
          <w:szCs w:val="32"/>
        </w:rPr>
        <w:t>依法给予行政处分；构成犯罪的，依法追究刑事责任：</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(一)向不符合法定设立条件的单位颁发许可证、批准文件、营业执照的；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(二)不履行监督管理职责，或者发现擅自从事娱乐场所经营活动不依法取缔，或者发现违法行为不依法查处的；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(三)接到对违法行为的举报、通报后不依法查处的；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(四)利用职务之便，索取、收受他人财物或者谋取其他利益的；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(五)利用职务之便，参与、包庇违法行为，或者向有关单位、个人通风报信的；</w:t>
      </w:r>
    </w:p>
    <w:p>
      <w:pPr>
        <w:pStyle w:val="11"/>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(六)有其他滥用职权、玩忽职守、徇私舞弊行为的。</w:t>
      </w:r>
    </w:p>
    <w:p>
      <w:pPr>
        <w:pStyle w:val="5"/>
        <w:spacing w:line="560" w:lineRule="exact"/>
      </w:pPr>
      <w:r>
        <w:t>第六章　附则</w:t>
      </w:r>
    </w:p>
    <w:p>
      <w:pPr>
        <w:pStyle w:val="11"/>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第五十七条　</w:t>
      </w:r>
      <w:r>
        <w:rPr>
          <w:rFonts w:ascii="Times New Roman" w:hAnsi="Times New Roman" w:eastAsia="仿宋_GB2312" w:cs="Times New Roman"/>
          <w:sz w:val="32"/>
          <w:szCs w:val="32"/>
        </w:rPr>
        <w:t>本条例所称从业人员，包括娱乐场所的管理人员、服务人员、保安人员和在娱乐场所工作的其他人员。</w:t>
      </w:r>
    </w:p>
    <w:p>
      <w:pPr>
        <w:pStyle w:val="11"/>
        <w:spacing w:line="560" w:lineRule="exact"/>
        <w:ind w:firstLine="640" w:firstLineChars="200"/>
        <w:rPr>
          <w:rFonts w:hint="eastAsia" w:ascii="仿宋_GB2312" w:hAnsi="仿宋_GB2312" w:eastAsia="仿宋_GB2312" w:cs="仿宋_GB2312"/>
          <w:sz w:val="32"/>
          <w:szCs w:val="32"/>
          <w:lang w:eastAsia="zh-CN"/>
        </w:rPr>
      </w:pPr>
      <w:r>
        <w:rPr>
          <w:rFonts w:ascii="Times New Roman" w:hAnsi="Times New Roman" w:eastAsia="黑体" w:cs="Times New Roman"/>
          <w:sz w:val="32"/>
          <w:szCs w:val="32"/>
        </w:rPr>
        <w:t>第五十八条　</w:t>
      </w:r>
      <w:r>
        <w:rPr>
          <w:rFonts w:ascii="Times New Roman" w:hAnsi="Times New Roman" w:eastAsia="仿宋_GB2312" w:cs="Times New Roman"/>
          <w:sz w:val="32"/>
          <w:szCs w:val="32"/>
        </w:rPr>
        <w:t>本条例</w:t>
      </w:r>
      <w:r>
        <w:rPr>
          <w:rFonts w:hint="eastAsia" w:ascii="仿宋_GB2312" w:hAnsi="仿宋_GB2312" w:eastAsia="仿宋_GB2312" w:cs="仿宋_GB2312"/>
          <w:sz w:val="32"/>
          <w:szCs w:val="32"/>
        </w:rPr>
        <w:t>自2006年3月1日起施行。1999年3月26日国务院发布的《娱乐场所管理条例》同时废止。</w:t>
      </w:r>
    </w:p>
    <w:p>
      <w:pPr>
        <w:pStyle w:val="4"/>
        <w:ind w:firstLine="640"/>
        <w:rPr>
          <w:rFonts w:hint="eastAsia"/>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方正小标宋简体" w:cs="方正小标宋简体"/>
          <w:color w:val="000000"/>
          <w:sz w:val="32"/>
          <w:szCs w:val="32"/>
        </w:rPr>
      </w:pPr>
      <w:r>
        <w:rPr>
          <w:rFonts w:hint="eastAsia" w:ascii="宋体" w:hAnsi="宋体" w:eastAsia="方正小标宋简体" w:cs="方正小标宋简体"/>
          <w:color w:val="000000"/>
          <w:sz w:val="32"/>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61" w:name="_Toc14077"/>
      <w:r>
        <w:rPr>
          <w:rFonts w:hint="eastAsia" w:ascii="宋体" w:hAnsi="宋体" w:eastAsia="宋体" w:cs="Arial"/>
          <w:bCs/>
          <w:sz w:val="44"/>
          <w:szCs w:val="44"/>
        </w:rPr>
        <w:t>最高人民法院</w:t>
      </w:r>
      <w:r>
        <w:rPr>
          <w:rFonts w:hint="eastAsia" w:ascii="宋体" w:hAnsi="宋体" w:eastAsia="宋体" w:cs="Arial"/>
          <w:bCs/>
          <w:sz w:val="44"/>
          <w:szCs w:val="44"/>
          <w:lang w:val="en-US" w:eastAsia="zh-CN"/>
        </w:rPr>
        <w:t xml:space="preserve"> </w:t>
      </w:r>
      <w:r>
        <w:rPr>
          <w:rFonts w:hint="eastAsia" w:ascii="宋体" w:hAnsi="宋体" w:eastAsia="宋体" w:cs="Arial"/>
          <w:bCs/>
          <w:sz w:val="44"/>
          <w:szCs w:val="44"/>
        </w:rPr>
        <w:t>最高人民检察院</w:t>
      </w:r>
      <w:bookmarkEnd w:id="261"/>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62" w:name="_Toc23335"/>
      <w:r>
        <w:rPr>
          <w:rFonts w:hint="eastAsia" w:ascii="宋体" w:hAnsi="宋体" w:eastAsia="宋体" w:cs="Arial"/>
          <w:bCs/>
          <w:sz w:val="44"/>
          <w:szCs w:val="44"/>
        </w:rPr>
        <w:t>关于办理妨害预防、控制突发传染病疫情等</w:t>
      </w:r>
      <w:bookmarkEnd w:id="262"/>
    </w:p>
    <w:p>
      <w:pPr>
        <w:widowControl w:val="0"/>
        <w:wordWrap/>
        <w:adjustRightInd/>
        <w:snapToGrid/>
        <w:spacing w:after="0" w:line="560" w:lineRule="exact"/>
        <w:ind w:left="0" w:leftChars="0" w:right="0"/>
        <w:jc w:val="center"/>
        <w:textAlignment w:val="auto"/>
        <w:outlineLvl w:val="0"/>
        <w:rPr>
          <w:rFonts w:hint="eastAsia" w:ascii="楷体" w:hAnsi="楷体" w:eastAsia="楷体" w:cs="楷体"/>
          <w:color w:val="000000"/>
          <w:sz w:val="32"/>
          <w:szCs w:val="32"/>
        </w:rPr>
      </w:pPr>
      <w:bookmarkStart w:id="263" w:name="_Toc30652"/>
      <w:r>
        <w:rPr>
          <w:rFonts w:hint="eastAsia" w:ascii="宋体" w:hAnsi="宋体" w:eastAsia="宋体" w:cs="Arial"/>
          <w:bCs/>
          <w:sz w:val="44"/>
          <w:szCs w:val="44"/>
        </w:rPr>
        <w:t>灾害的刑事案件具体应用法律若干问题的解释</w:t>
      </w:r>
      <w:r>
        <w:rPr>
          <w:rFonts w:hint="eastAsia" w:ascii="宋体" w:hAnsi="宋体" w:eastAsia="宋体" w:cs="宋体"/>
          <w:color w:val="000000"/>
          <w:sz w:val="44"/>
          <w:szCs w:val="44"/>
        </w:rPr>
        <w:br w:type="textWrapping"/>
      </w:r>
      <w:bookmarkEnd w:id="263"/>
    </w:p>
    <w:p>
      <w:pPr>
        <w:widowControl w:val="0"/>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color w:val="000000"/>
          <w:sz w:val="32"/>
          <w:szCs w:val="32"/>
        </w:rPr>
      </w:pPr>
      <w:r>
        <w:rPr>
          <w:rFonts w:hint="eastAsia" w:ascii="楷体" w:hAnsi="楷体" w:eastAsia="楷体" w:cs="楷体"/>
          <w:color w:val="000000"/>
          <w:sz w:val="32"/>
          <w:szCs w:val="32"/>
        </w:rPr>
        <w:t>（2003年5月13日最高人民法院审判委员会第1269次会议　2003年5月13日最高人民检察院第十届检察委员会第3次会议通过</w:t>
      </w:r>
      <w:r>
        <w:rPr>
          <w:rFonts w:hint="eastAsia" w:ascii="楷体" w:hAnsi="楷体" w:eastAsia="楷体" w:cs="楷体"/>
          <w:color w:val="000000"/>
          <w:sz w:val="32"/>
          <w:szCs w:val="32"/>
          <w:lang w:val="en-US" w:eastAsia="zh-CN"/>
        </w:rPr>
        <w:t xml:space="preserve">   </w:t>
      </w:r>
      <w:r>
        <w:rPr>
          <w:rFonts w:hint="eastAsia" w:ascii="楷体" w:hAnsi="楷体" w:eastAsia="楷体" w:cs="楷体"/>
          <w:color w:val="000000"/>
          <w:sz w:val="32"/>
          <w:szCs w:val="32"/>
        </w:rPr>
        <w:t>自2003年5月15日起施行）</w:t>
      </w:r>
    </w:p>
    <w:p>
      <w:pPr>
        <w:widowControl w:val="0"/>
        <w:wordWrap/>
        <w:overflowPunct w:val="0"/>
        <w:adjustRightInd/>
        <w:snapToGrid/>
        <w:spacing w:beforeAutospacing="0" w:afterAutospacing="0" w:line="560" w:lineRule="exact"/>
        <w:ind w:left="0" w:leftChars="0" w:right="0" w:firstLine="0" w:firstLineChars="0"/>
        <w:jc w:val="left"/>
        <w:textAlignment w:val="auto"/>
        <w:outlineLvl w:val="9"/>
        <w:rPr>
          <w:rFonts w:hint="eastAsia" w:ascii="宋体" w:hAnsi="宋体" w:eastAsia="仿宋_GB2312" w:cs="仿宋_GB2312"/>
          <w:sz w:val="32"/>
          <w:szCs w:val="32"/>
        </w:rPr>
      </w:pP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为依法惩治妨害预防、控制突发传染病疫情等灾害的犯罪活动，保障预防、控制突发传染病疫情等灾害工作的顺利进行，切实维护人民群众的身体健康和生命安全，根据《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》等有关法律规定，现就办理相关刑事案件具体应用法律的若干问题解释如下：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第一条</w:t>
      </w:r>
      <w:r>
        <w:rPr>
          <w:rFonts w:hint="eastAsia" w:ascii="宋体" w:hAnsi="宋体" w:eastAsia="仿宋_GB2312" w:cs="仿宋_GB2312"/>
          <w:color w:val="000000"/>
          <w:sz w:val="32"/>
          <w:szCs w:val="32"/>
        </w:rPr>
        <w:t>　故意传播突发传染病病原体，危害公共安全的，依照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"javascript:SLC(17010,114)"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一百一十四条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"javascript:SLC(17010,115)"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一百一十五条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第一款的规定，按照以危险方法危害公共安全罪定罪处罚。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患有突发传染病或者疑似突发传染病而拒绝接受检疫、强制隔离或者治疗，过失造成传染病传播，情节严重，危害公共安全的，依照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"javascript:SLC(17010,115)"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一百一十五条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第二款的规定，按照过失以危险方法危害公共安全罪定罪处罚。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第二条</w:t>
      </w:r>
      <w:r>
        <w:rPr>
          <w:rFonts w:hint="eastAsia" w:ascii="宋体" w:hAnsi="宋体" w:eastAsia="仿宋_GB2312" w:cs="仿宋_GB2312"/>
          <w:color w:val="000000"/>
          <w:sz w:val="32"/>
          <w:szCs w:val="32"/>
        </w:rPr>
        <w:t>　在预防、控制突发传染病疫情等灾害期间，生产、销售伪劣的防治、防护产品、物资，或者生产、销售用于防治传染病的假药、劣药，构成犯罪的，分别依照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"javascript:SLC(17010,141)"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一百四十一条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的规定，以生产、销售伪劣产品罪，生产、销售假药罪或者生产、销售劣药罪定罪，依法从重处罚。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第三条　</w:t>
      </w:r>
      <w:r>
        <w:rPr>
          <w:rFonts w:hint="eastAsia" w:ascii="宋体" w:hAnsi="宋体" w:eastAsia="仿宋_GB2312" w:cs="仿宋_GB2312"/>
          <w:color w:val="000000"/>
          <w:sz w:val="32"/>
          <w:szCs w:val="32"/>
        </w:rPr>
        <w:t>在预防、控制突发传染病疫情等灾害期间，生产用于防治传染病的不符合保障人体健康的国家标准、行业标准的医疗器械、医用卫生材料，或者销售明知是用于防治传染病的不符合保障人体健康的国家标准、行业标准的医疗器械、医用卫生材料，不具有防护、救治功能，足以严重危害人体健康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"javascript:SLC(17010,145)"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一百四十五条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的规定，以生产、销售不符合标准的医用器材罪定罪，依法从重处罚。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医疗机构或者个人，知道或者应当知道系前款规定的不符合保障人体健康的国家标准、行业标准的医疗器械、医用卫生材料而购买并有偿使用的，以销售不符合标准的医用器材罪定罪，依法从重处罚。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第四条</w:t>
      </w:r>
      <w:r>
        <w:rPr>
          <w:rFonts w:hint="eastAsia" w:ascii="宋体" w:hAnsi="宋体" w:eastAsia="仿宋_GB2312" w:cs="仿宋_GB2312"/>
          <w:color w:val="000000"/>
          <w:sz w:val="32"/>
          <w:szCs w:val="32"/>
        </w:rPr>
        <w:t>　国有公司、企业、事业单位的工作人员，在预防、控制突发传染病疫情等灾害的工作中，由于严重不负责任或者滥用职权，造成国有公司、企业破产或者严重损失，致使国家利益遭受重大损失的，依照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"javascript:SLC(17010,168)"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一百六十八条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的规定，以国有公司、企业、事业单位人员失职罪或者国有公司、企业、事业单位人员滥用职权罪定罪处罚。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第五条　</w:t>
      </w:r>
      <w:r>
        <w:rPr>
          <w:rFonts w:hint="eastAsia" w:ascii="宋体" w:hAnsi="宋体" w:eastAsia="仿宋_GB2312" w:cs="仿宋_GB2312"/>
          <w:color w:val="000000"/>
          <w:sz w:val="32"/>
          <w:szCs w:val="32"/>
        </w:rPr>
        <w:t>广告主、广告经营者、广告发布者违反国家规定，假借预防、控制突发传染病疫情等灾害的名义，利用广告对所推销的商品或者服务作虚假宣传，致使多人上当受骗，违法所得数额较大或者有其他严重情节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"javascript:SLC(17010,222)"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二百二十二条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的规定，以虚假广告罪定罪处罚。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第六条</w:t>
      </w:r>
      <w:r>
        <w:rPr>
          <w:rFonts w:hint="eastAsia" w:ascii="宋体" w:hAnsi="宋体" w:eastAsia="仿宋_GB2312" w:cs="仿宋_GB2312"/>
          <w:color w:val="000000"/>
          <w:sz w:val="32"/>
          <w:szCs w:val="32"/>
        </w:rPr>
        <w:t>　违反国家在预防、控制突发传染病疫情等灾害期间有关市场经营、价格管理等规定，哄抬物价、牟取暴利，严重扰乱市场秩序，违法所得数额较大或者有其他严重情节的，依照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"javascript:SLC(17010,225)"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二百二十五条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第（四）项的规定，以非法经营罪定罪，依法从重处罚。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第七条</w:t>
      </w:r>
      <w:r>
        <w:rPr>
          <w:rFonts w:hint="eastAsia" w:ascii="宋体" w:hAnsi="宋体" w:eastAsia="仿宋_GB2312" w:cs="仿宋_GB2312"/>
          <w:color w:val="000000"/>
          <w:sz w:val="32"/>
          <w:szCs w:val="32"/>
        </w:rPr>
        <w:t>　在预防、控制突发传染病疫情等灾害期间，假借研制、生产或者销售用于预防、控制突发传染病疫情等灾害用品的名义，诈骗公私财物数额较大的，依照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有关诈骗罪的规定定罪，依法从重处罚。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第八条</w:t>
      </w:r>
      <w:r>
        <w:rPr>
          <w:rFonts w:hint="eastAsia" w:ascii="宋体" w:hAnsi="宋体" w:eastAsia="仿宋_GB2312" w:cs="仿宋_GB2312"/>
          <w:color w:val="000000"/>
          <w:sz w:val="32"/>
          <w:szCs w:val="32"/>
        </w:rPr>
        <w:t>　以暴力、威胁方法阻碍国家机关工作人员、红十字会工作人员依法履行为防治突发传染病疫情等灾害而采取的防疫、检疫、强制隔离、隔离治疗等预防、控制措施的，依照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"javascript:SLC(17010,277)"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二百七十七条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第一款、第三款的规定，以妨害公务罪定罪处罚。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第九条</w:t>
      </w:r>
      <w:r>
        <w:rPr>
          <w:rFonts w:hint="eastAsia" w:ascii="宋体" w:hAnsi="宋体" w:eastAsia="仿宋_GB2312" w:cs="仿宋_GB2312"/>
          <w:color w:val="000000"/>
          <w:sz w:val="32"/>
          <w:szCs w:val="32"/>
        </w:rPr>
        <w:t>　在预防、控制突发传染病疫情等灾害期间，聚众“打砸抢”，致人伤残、死亡的，依照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"javascript:SLC(17010,289)"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二百八十九条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"javascript:SLC(17010,234)"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二百三十四条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"javascript:SLC(17010,232)"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二百三十二条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的规定，以故意伤害罪或者故意杀人罪定罪，依法从重处罚。对毁坏或者抢走公私财物的首要分子，依照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"javascript:SLC(17010,289)"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二百八十九条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"javascript:SLC(17010,263)"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二百六十三条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的规定，以抢劫罪定罪，依法从重处罚。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第十条　</w:t>
      </w:r>
      <w:r>
        <w:rPr>
          <w:rFonts w:hint="eastAsia" w:ascii="宋体" w:hAnsi="宋体" w:eastAsia="仿宋_GB2312" w:cs="仿宋_GB2312"/>
          <w:color w:val="000000"/>
          <w:sz w:val="32"/>
          <w:szCs w:val="32"/>
        </w:rPr>
        <w:t>编造与突发传染病疫情等灾害有关的恐怖信息，或者明知是编造的此类恐怖信息而故意传播，严重扰乱社会秩序的，依照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"javascript:SLC(17010,291)"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二百九十一条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之一的规定，以编造、故意传播虚假恐怖信息罪定罪处罚。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利用突发传染病疫情等灾害，制造、传播谣言，煽动分裂国家、破坏国家统一，或者煽动颠覆国家政权、推翻社会主义制度的，依照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"javascript:SLC(17010,103)"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一百零三条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第二款、第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"javascript:SLC(17010,105)"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一百零五条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第二款的规定，以煽动分裂国家罪或者煽动颠覆国家政权罪定罪处罚。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第十一条</w:t>
      </w:r>
      <w:r>
        <w:rPr>
          <w:rFonts w:hint="eastAsia" w:ascii="宋体" w:hAnsi="宋体" w:eastAsia="仿宋_GB2312" w:cs="仿宋_GB2312"/>
          <w:color w:val="000000"/>
          <w:sz w:val="32"/>
          <w:szCs w:val="32"/>
        </w:rPr>
        <w:t>　在预防、控制突发传染病疫情等灾害期间，强拿硬要或者任意损毁、占用公私财物情节严重，或者在公共场所起哄闹事，造成公共场所秩序严重混乱的，依照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"javascript:SLC(17010,293)"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二百九十三条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的规定，以寻衅滋事罪定罪，依法从重处罚。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第十二条</w:t>
      </w:r>
      <w:r>
        <w:rPr>
          <w:rFonts w:hint="eastAsia" w:ascii="宋体" w:hAnsi="宋体" w:eastAsia="仿宋_GB2312" w:cs="仿宋_GB2312"/>
          <w:color w:val="000000"/>
          <w:sz w:val="32"/>
          <w:szCs w:val="32"/>
        </w:rPr>
        <w:t>　未取得医师执业资格非法行医，具有造成突发传染病病人、病原携带者、疑似突发传染病病人贻误诊治或者造成交叉感染等严重情节的，依照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"javascript:SLC(17010,336)"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三百三十六条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第一款的规定，以非法行医罪定罪，依法从重处罚。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　第十三条</w:t>
      </w:r>
      <w:r>
        <w:rPr>
          <w:rFonts w:hint="eastAsia" w:ascii="宋体" w:hAnsi="宋体" w:eastAsia="仿宋_GB2312" w:cs="仿宋_GB2312"/>
          <w:color w:val="000000"/>
          <w:sz w:val="32"/>
          <w:szCs w:val="32"/>
        </w:rPr>
        <w:t>　违反</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"javascript:SLC(4217,0)"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等国家有关规定，向土地、水体、大气排放、倾倒或者处置含传染病病原体的废物、有毒物质或者其他危险废物，造成突发传染病传播等重大环境污染事故，致使公私财产遭受重大损失或者人身伤亡的严重后果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"javascript:SLC(17010,338)"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三百三十八条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的规定，以重大环境污染事故罪定罪处罚。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第十四条</w:t>
      </w:r>
      <w:r>
        <w:rPr>
          <w:rFonts w:hint="eastAsia" w:ascii="宋体" w:hAnsi="宋体" w:eastAsia="仿宋_GB2312" w:cs="仿宋_GB2312"/>
          <w:color w:val="000000"/>
          <w:sz w:val="32"/>
          <w:szCs w:val="32"/>
        </w:rPr>
        <w:t>　贪污、侵占用于预防、控制突发传染病疫情等灾害的款物或者挪用归个人使用，构成犯罪的，分别依照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"javascript:SLC(17010,382)"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三百八十二条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"javascript:SLC(17010,383)"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三百八十三条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"javascript:SLC(17010,271)"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二百七十一条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"javascript:SLC(17010,384)"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三百八十四条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的规定，以贪污罪、职务侵占罪、挪用公款罪、挪用资金罪定罪，依法从重处罚。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挪用用于预防、控制突发传染病疫情等灾害的救灾、优抚、救济等款物，构成犯罪的，对直接责任人员，依照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"javascript:SLC(17010,273)"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二百七十三条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的规定，以挪用特定款物罪定罪处罚。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第十五条</w:t>
      </w:r>
      <w:r>
        <w:rPr>
          <w:rFonts w:hint="eastAsia" w:ascii="宋体" w:hAnsi="宋体" w:eastAsia="仿宋_GB2312" w:cs="仿宋_GB2312"/>
          <w:color w:val="000000"/>
          <w:sz w:val="32"/>
          <w:szCs w:val="32"/>
        </w:rPr>
        <w:t>　在预防、控制突发传染病疫情等灾害的工作中，负有组织、协调、指挥、灾害调查、控制、医疗救治、信息传递、交通运输、物资保障等职责的国家机关工作人员，滥用职权或者玩忽职守，致使公共财产、国家和人民利益遭受重大损失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"javascript:SLC(17010,397)"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三百九十七条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的规定，以滥用职权罪或者玩忽职守罪定罪处罚。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第十六条　</w:t>
      </w:r>
      <w:r>
        <w:rPr>
          <w:rFonts w:hint="eastAsia" w:ascii="宋体" w:hAnsi="宋体" w:eastAsia="仿宋_GB2312" w:cs="仿宋_GB2312"/>
          <w:color w:val="000000"/>
          <w:sz w:val="32"/>
          <w:szCs w:val="32"/>
        </w:rPr>
        <w:t>在预防、控制突发传染病疫情等灾害期间，从事传染病防治的政府卫生行政部门的工作人员，或者在受政府卫生行政部门委托代表政府卫生行政部门行使职权的组织中从事公务的人员，或者虽未列入政府卫生行政部门人员编制但在政府卫生行政部门从事公务的人员，在代表政府卫生行政部门行使职权时，严重不负责任，导致传染病传播或者流行，情节严重的，依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"javascript:SLC(17010,409)"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四百零九条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的规定，以传染病防治失职罪定罪处罚。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在国家对突发传染病疫情等灾害采取预防、控制措施后，具有下列情形之一的，属于</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"javascript:SLC(17010,409)"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四百零九条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规定的“情节严重”：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对发生突发传染病疫情等灾害的地区或者突发传染病病人、病原携带者、疑似突发传染病病人，未按照预防、控制突发传染病疫情等灾害工作规范的要求做好防疫、检疫、隔离、防护、救治等工作，或者采取的预防、控制措施不当，造成传染范围扩大或者疫情、灾情加重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（二）隐瞒、缓报、谎报或者授意、指使、强令他人隐瞒、缓报、谎报疫情、灾情，造成传染范围扩大或者疫情、灾情加重的；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（三）拒不执行突发传染病疫情等灾害应急处理指挥机构的决定、命令，造成传染范围扩大或者疫情、灾情加重的；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（四）具有其他严重情节的。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第十七条</w:t>
      </w:r>
      <w:r>
        <w:rPr>
          <w:rFonts w:hint="eastAsia" w:ascii="宋体" w:hAnsi="宋体" w:eastAsia="仿宋_GB2312" w:cs="仿宋_GB2312"/>
          <w:color w:val="000000"/>
          <w:sz w:val="32"/>
          <w:szCs w:val="32"/>
        </w:rPr>
        <w:t xml:space="preserve">　人民法院、人民检察院办理有关妨害预防、控制突发传染病疫情等灾害的刑事案件，对于有自首、立功等悔罪表现的，依法从轻、减轻、免除处罚或者依法作出不起诉决定。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黑体" w:hAnsi="黑体" w:eastAsia="黑体" w:cs="黑体"/>
          <w:kern w:val="0"/>
          <w:szCs w:val="32"/>
          <w:lang w:val="en-US" w:eastAsia="zh-CN"/>
        </w:rPr>
        <w:t>第十八条</w:t>
      </w:r>
      <w:r>
        <w:rPr>
          <w:rFonts w:hint="eastAsia" w:ascii="宋体" w:hAnsi="宋体" w:eastAsia="仿宋_GB2312" w:cs="仿宋_GB2312"/>
          <w:color w:val="000000"/>
          <w:sz w:val="32"/>
          <w:szCs w:val="32"/>
        </w:rPr>
        <w:t>　本解释所称“突发传染病疫情等灾害”，是指突然发生，造成或者可能造成社会公众健康严重损害的重大传染病疫情、群体性不明原因疾病以及其他严重影响公众健康的灾害。</w:t>
      </w:r>
      <w:r>
        <w:rPr>
          <w:rFonts w:hint="eastAsia" w:ascii="宋体" w:hAnsi="宋体" w:eastAsia="仿宋_GB2312" w:cs="仿宋_GB2312"/>
          <w:color w:val="000000"/>
          <w:sz w:val="32"/>
          <w:szCs w:val="32"/>
        </w:rPr>
        <w:br w:type="textWrapping"/>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宋体" w:cs="宋体"/>
          <w:b w:val="0"/>
          <w:bCs/>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val="0"/>
          <w:bCs/>
          <w:sz w:val="32"/>
          <w:szCs w:val="32"/>
        </w:rPr>
      </w:pPr>
      <w:r>
        <w:rPr>
          <w:rFonts w:hint="eastAsia" w:ascii="宋体" w:hAnsi="宋体" w:eastAsia="宋体" w:cs="宋体"/>
          <w:b w:val="0"/>
          <w:bCs/>
          <w:sz w:val="32"/>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zh-CN"/>
        </w:rPr>
      </w:pPr>
      <w:bookmarkStart w:id="264" w:name="_Toc18165"/>
      <w:r>
        <w:rPr>
          <w:rFonts w:hint="eastAsia" w:ascii="宋体" w:hAnsi="宋体" w:eastAsia="宋体" w:cs="Arial"/>
          <w:bCs/>
          <w:sz w:val="44"/>
          <w:szCs w:val="44"/>
          <w:lang w:val="zh-CN"/>
        </w:rPr>
        <w:t>最高人民法院关于审理破坏野生动物资源</w:t>
      </w:r>
      <w:bookmarkEnd w:id="264"/>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zh-CN"/>
        </w:rPr>
      </w:pPr>
      <w:bookmarkStart w:id="265" w:name="_Toc27086"/>
      <w:r>
        <w:rPr>
          <w:rFonts w:hint="eastAsia" w:ascii="宋体" w:hAnsi="宋体" w:eastAsia="宋体" w:cs="Arial"/>
          <w:bCs/>
          <w:sz w:val="44"/>
          <w:szCs w:val="44"/>
          <w:lang w:val="zh-CN"/>
        </w:rPr>
        <w:t>刑事案件具体应用法律若干问题的解释</w:t>
      </w:r>
      <w:bookmarkEnd w:id="265"/>
    </w:p>
    <w:p>
      <w:pPr>
        <w:widowControl w:val="0"/>
        <w:suppressLineNumbers/>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color w:val="000000"/>
          <w:sz w:val="32"/>
          <w:szCs w:val="32"/>
          <w:lang w:val="zh-CN"/>
        </w:rPr>
      </w:pPr>
      <w:r>
        <w:rPr>
          <w:rFonts w:hint="eastAsia" w:ascii="楷体" w:hAnsi="楷体" w:eastAsia="楷体" w:cs="楷体"/>
          <w:color w:val="000000"/>
          <w:sz w:val="32"/>
          <w:szCs w:val="32"/>
          <w:lang w:val="zh-CN"/>
        </w:rPr>
        <w:br w:type="textWrapping"/>
      </w:r>
      <w:r>
        <w:rPr>
          <w:rFonts w:hint="eastAsia" w:ascii="楷体" w:hAnsi="楷体" w:eastAsia="楷体" w:cs="楷体"/>
          <w:color w:val="000000"/>
          <w:sz w:val="32"/>
          <w:szCs w:val="32"/>
          <w:lang w:val="zh-CN"/>
        </w:rPr>
        <w:t>（</w:t>
      </w:r>
      <w:r>
        <w:rPr>
          <w:rFonts w:hint="eastAsia" w:ascii="楷体" w:hAnsi="楷体" w:eastAsia="楷体" w:cs="楷体"/>
          <w:color w:val="000000"/>
          <w:sz w:val="32"/>
          <w:szCs w:val="32"/>
          <w:lang w:val="en-US" w:eastAsia="zh-CN"/>
        </w:rPr>
        <w:t>2000年11月17日最高人民法院审判委员会第1141次会议通过</w:t>
      </w:r>
      <w:r>
        <w:rPr>
          <w:rFonts w:hint="eastAsia" w:ascii="楷体" w:hAnsi="楷体" w:eastAsia="楷体" w:cs="楷体"/>
          <w:color w:val="000000"/>
          <w:sz w:val="32"/>
          <w:szCs w:val="32"/>
          <w:lang w:val="zh-CN"/>
        </w:rPr>
        <w:t>　法释</w:t>
      </w:r>
      <w:r>
        <w:rPr>
          <w:rFonts w:hint="eastAsia" w:ascii="楷体" w:hAnsi="楷体" w:eastAsia="楷体" w:cs="楷体"/>
          <w:color w:val="000000"/>
          <w:sz w:val="32"/>
          <w:szCs w:val="32"/>
          <w:lang w:val="en-US" w:eastAsia="zh-CN"/>
        </w:rPr>
        <w:t>［2000］37号）</w:t>
      </w:r>
      <w:r>
        <w:rPr>
          <w:rFonts w:hint="eastAsia" w:ascii="楷体" w:hAnsi="楷体" w:eastAsia="楷体" w:cs="楷体"/>
          <w:color w:val="000000"/>
          <w:sz w:val="32"/>
          <w:szCs w:val="32"/>
          <w:lang w:val="zh-CN"/>
        </w:rPr>
        <w:br w:type="textWrapping"/>
      </w:r>
    </w:p>
    <w:p>
      <w:pPr>
        <w:widowControl w:val="0"/>
        <w:suppressLineNumbers/>
        <w:wordWrap/>
        <w:overflowPunct w:val="0"/>
        <w:adjustRightInd/>
        <w:snapToGrid/>
        <w:spacing w:beforeAutospacing="0" w:afterAutospacing="0" w:line="560" w:lineRule="exact"/>
        <w:ind w:left="0" w:leftChars="0" w:right="0" w:firstLine="0" w:firstLineChars="0"/>
        <w:jc w:val="left"/>
        <w:textAlignment w:val="auto"/>
        <w:outlineLvl w:val="9"/>
        <w:rPr>
          <w:rFonts w:hint="eastAsia" w:ascii="宋体" w:hAnsi="宋体" w:eastAsia="仿宋_GB2312" w:cs="仿宋_GB2312"/>
          <w:color w:val="auto"/>
          <w:sz w:val="32"/>
          <w:szCs w:val="32"/>
          <w:lang w:val="zh-CN"/>
        </w:rPr>
      </w:pPr>
      <w:r>
        <w:rPr>
          <w:rFonts w:hint="eastAsia" w:ascii="宋体" w:hAnsi="宋体" w:eastAsia="仿宋_GB2312" w:cs="仿宋_GB2312"/>
          <w:color w:val="000000"/>
          <w:sz w:val="32"/>
          <w:szCs w:val="32"/>
          <w:lang w:val="zh-CN"/>
        </w:rPr>
        <w:t>　　为依法惩处破坏野生动物资源的犯罪活动，根据刑法的有关规定，现就审理这类案件具体应用法律的若干问题解释如下：</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　第一条</w:t>
      </w:r>
      <w:r>
        <w:rPr>
          <w:rFonts w:hint="eastAsia" w:ascii="宋体" w:hAnsi="宋体" w:eastAsia="仿宋_GB2312" w:cs="仿宋_GB2312"/>
          <w:color w:val="000000"/>
          <w:sz w:val="32"/>
          <w:szCs w:val="32"/>
          <w:lang w:val="zh-CN"/>
        </w:rPr>
        <w:t>　刑法第三百四十一条第一款规定的“珍贵、濒危野生动物”，包括列入国家重点保护野生动物名录的国家一、二级保护野生动物、列入《濒危野生动植物种国际贸易公约》附录一、附录二的野生动物以及驯养繁殖的上述物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第二条　</w:t>
      </w:r>
      <w:r>
        <w:rPr>
          <w:rFonts w:hint="eastAsia" w:ascii="宋体" w:hAnsi="宋体" w:eastAsia="仿宋_GB2312" w:cs="仿宋_GB2312"/>
          <w:color w:val="000000"/>
          <w:sz w:val="32"/>
          <w:szCs w:val="32"/>
          <w:lang w:val="zh-CN"/>
        </w:rPr>
        <w:t>刑法第三百四十一条第一款规定的“收购”，包括以营利、自用等为目的的购买行为；“运输”，包括采用携带、邮寄、利用他人、使用交通工具等方法进行运送的行为；“出售”，包括出卖和以营利为目的的加工利用行为。</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第三条　</w:t>
      </w:r>
      <w:r>
        <w:rPr>
          <w:rFonts w:hint="eastAsia" w:ascii="宋体" w:hAnsi="宋体" w:eastAsia="仿宋_GB2312" w:cs="仿宋_GB2312"/>
          <w:color w:val="000000"/>
          <w:sz w:val="32"/>
          <w:szCs w:val="32"/>
          <w:lang w:val="zh-CN"/>
        </w:rPr>
        <w:t>非法猎捕、杀害、收购、运输、出售珍贵、濒危野生动物具有下列情形之一的，属于“情节严重”：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（一）达到本解释附表所列相应数量标准的；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（二）非法猎捕、杀害、收购、运输、出售不同种类的珍贵、濒危野生动物，其中两种以上分别达到附表所列“情节严重”数量标准一半以上的。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非法猎捕、杀害、收购、运输、出售珍贵、濒危野生动物具有下列情形之一的，属于“情节特别严重”：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（一）达到本解释附表所列相应数量标准的；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（二）非法猎捕、杀害、收购、运输、出售不同种类的珍贵、濒危野生动物，其中两种以上分别达到附表所列“情节特别严重”数量标准一半以上的。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第四条　</w:t>
      </w:r>
      <w:r>
        <w:rPr>
          <w:rFonts w:hint="eastAsia" w:ascii="宋体" w:hAnsi="宋体" w:eastAsia="仿宋_GB2312" w:cs="仿宋_GB2312"/>
          <w:color w:val="000000"/>
          <w:sz w:val="32"/>
          <w:szCs w:val="32"/>
          <w:lang w:val="zh-CN"/>
        </w:rPr>
        <w:t>非法猎捕、杀害、收购、运输、出售珍贵、濒危野生动物构成犯罪，具有下列情形之一的，可以认定为“情节严重”；非法猎捕、杀害、收购、运输、出售珍贵、濒危野生动物符合本解释第三条第一款的规定，并具有下列情形之一的，可以认定为“情节特别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（一）犯罪集团的首要分子；</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（二）严重影响对野生动物的科研、养殖等工作顺利进行的；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（三）以武装掩护方法实施犯罪的；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（四）使用特种车、军用车等交通工具实施犯罪的；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（五）造成其他重大损失的。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第五条</w:t>
      </w:r>
      <w:r>
        <w:rPr>
          <w:rFonts w:hint="eastAsia" w:ascii="宋体" w:hAnsi="宋体" w:eastAsia="仿宋_GB2312" w:cs="仿宋_GB2312"/>
          <w:color w:val="000000"/>
          <w:sz w:val="32"/>
          <w:szCs w:val="32"/>
          <w:lang w:val="zh-CN"/>
        </w:rPr>
        <w:t>　非法收购、运输、出售珍贵、濒危野生动物制品具有下列情形之一的，属于“情节严重”：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（一）价值在十万元以上的；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（二）非法获利五万元以上的；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（三）具有其他严重情节的。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非法收购、运输、出售珍贵、濒危野生动物制品具有下列情形之一的，属于“情节特别严重”：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（一）价值在二十万元以上的；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（二）非法获利十万元以上的；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（三）具有其他特别严重情节的。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第六条</w:t>
      </w:r>
      <w:r>
        <w:rPr>
          <w:rFonts w:hint="eastAsia" w:ascii="宋体" w:hAnsi="宋体" w:eastAsia="仿宋_GB2312" w:cs="仿宋_GB2312"/>
          <w:color w:val="000000"/>
          <w:sz w:val="32"/>
          <w:szCs w:val="32"/>
          <w:lang w:val="zh-CN"/>
        </w:rPr>
        <w:t>　违反狩猎法规，在禁猎区、禁猎期或者使用禁用的工具、方法狩猎，具有下列情形之一的，属于非法狩猎“情节严重”：</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（一）非法狩猎野生动物二十只以上的；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（二）违反狩猎法规，在禁猎区或者禁猎期使用禁用的工具、方法狩猎的；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（三）具有其他严重情节的。</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第七条</w:t>
      </w:r>
      <w:r>
        <w:rPr>
          <w:rFonts w:hint="eastAsia" w:ascii="宋体" w:hAnsi="宋体" w:eastAsia="仿宋_GB2312" w:cs="仿宋_GB2312"/>
          <w:color w:val="000000"/>
          <w:sz w:val="32"/>
          <w:szCs w:val="32"/>
          <w:lang w:val="zh-CN"/>
        </w:rPr>
        <w:t>　使用爆炸、投毒、设置电网等危险方法破坏野生动物资源，构成非法猎捕、杀害珍贵、濒危野生动物罪或者非法狩猎罪，同时构成刑法第一百一十四条或者第一百一十五条规定之罪的，依照处罚较重的规定定罪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第八条</w:t>
      </w:r>
      <w:r>
        <w:rPr>
          <w:rFonts w:hint="eastAsia" w:ascii="宋体" w:hAnsi="宋体" w:eastAsia="仿宋_GB2312" w:cs="仿宋_GB2312"/>
          <w:color w:val="000000"/>
          <w:sz w:val="32"/>
          <w:szCs w:val="32"/>
          <w:lang w:val="zh-CN"/>
        </w:rPr>
        <w:t>　实施刑法第三百四十一条规定的犯罪，又以暴力、威胁方法抗拒查处，构成其他犯罪的，依照数罪并罚的规定处罚。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　第九条　</w:t>
      </w:r>
      <w:r>
        <w:rPr>
          <w:rFonts w:hint="eastAsia" w:ascii="宋体" w:hAnsi="宋体" w:eastAsia="仿宋_GB2312" w:cs="仿宋_GB2312"/>
          <w:color w:val="000000"/>
          <w:sz w:val="32"/>
          <w:szCs w:val="32"/>
          <w:lang w:val="zh-CN"/>
        </w:rPr>
        <w:t>伪造、变造、买卖国家机关颁发的野生动物允许进出口证明书、特许猎捕证、狩猎证、驯养繁殖许可证等公文、证件构成犯罪的，依照刑法第二百八十条第一款的规定以伪造、变造、买卖国家机关公文、证件罪定罪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实施上述行为构成犯罪，同时构成刑法第二百二十五条第二项规定的非法经营罪的，依照处罚较重的规定定罪处罚。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第十条</w:t>
      </w:r>
      <w:r>
        <w:rPr>
          <w:rFonts w:hint="eastAsia" w:ascii="宋体" w:hAnsi="宋体" w:eastAsia="仿宋_GB2312" w:cs="仿宋_GB2312"/>
          <w:color w:val="000000"/>
          <w:sz w:val="32"/>
          <w:szCs w:val="32"/>
          <w:lang w:val="zh-CN"/>
        </w:rPr>
        <w:t>　非法猎捕、杀害、收购、运输、出售《濒危野生动植物种国际贸易公约》附录一、附录二所列的非原产于我国的野生动物“情节严重”、“情节特别严重”的认定标准，参照本解释第三条、第四条以及附表所列与其同属的国家一、二级保护野生动物的认定标准执行；没有与其同属的国家一、二级保护野生动物的，参照与其同科的国家一、二级保护野生动物的认定标准执行。</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第十一条</w:t>
      </w:r>
      <w:r>
        <w:rPr>
          <w:rFonts w:hint="eastAsia" w:ascii="宋体" w:hAnsi="宋体" w:eastAsia="仿宋_GB2312" w:cs="仿宋_GB2312"/>
          <w:color w:val="000000"/>
          <w:sz w:val="32"/>
          <w:szCs w:val="32"/>
          <w:lang w:val="zh-CN"/>
        </w:rPr>
        <w:t>　珍贵、濒危野生动物制品的价值，依照国家野生动物保护主管部门的规定核定；核定价值低于实际交易价格的，以实际交易价格认定。</w:t>
      </w:r>
      <w:r>
        <w:rPr>
          <w:rFonts w:hint="eastAsia" w:ascii="宋体" w:hAnsi="宋体" w:eastAsia="仿宋_GB2312" w:cs="仿宋_GB2312"/>
          <w:color w:val="000000"/>
          <w:sz w:val="32"/>
          <w:szCs w:val="32"/>
          <w:lang w:val="zh-CN"/>
        </w:rPr>
        <w:br w:type="textWrapping"/>
      </w:r>
      <w:r>
        <w:rPr>
          <w:rFonts w:hint="eastAsia" w:ascii="宋体" w:hAnsi="宋体" w:eastAsia="仿宋_GB2312" w:cs="仿宋_GB2312"/>
          <w:color w:val="000000"/>
          <w:sz w:val="32"/>
          <w:szCs w:val="32"/>
          <w:lang w:val="zh-CN"/>
        </w:rPr>
        <w:t>　　</w:t>
      </w:r>
      <w:r>
        <w:rPr>
          <w:rFonts w:hint="eastAsia" w:ascii="黑体" w:hAnsi="黑体" w:eastAsia="黑体" w:cs="黑体"/>
          <w:kern w:val="0"/>
          <w:szCs w:val="32"/>
          <w:lang w:val="zh-CN" w:eastAsia="zh-CN"/>
        </w:rPr>
        <w:t>第十二条</w:t>
      </w:r>
      <w:r>
        <w:rPr>
          <w:rFonts w:hint="eastAsia" w:ascii="宋体" w:hAnsi="宋体" w:eastAsia="仿宋_GB2312" w:cs="仿宋_GB2312"/>
          <w:color w:val="000000"/>
          <w:sz w:val="32"/>
          <w:szCs w:val="32"/>
          <w:lang w:val="zh-CN"/>
        </w:rPr>
        <w:t>　单位犯刑法第三百四十一条规定之罪，定罪量刑标准依照本解释的有关规定执行。</w:t>
      </w:r>
    </w:p>
    <w:p>
      <w:pPr>
        <w:widowControl w:val="0"/>
        <w:wordWrap/>
        <w:overflowPunct w:val="0"/>
        <w:spacing w:beforeAutospacing="0" w:afterAutospacing="0" w:line="560" w:lineRule="exact"/>
        <w:jc w:val="center"/>
        <w:textAlignment w:val="auto"/>
        <w:rPr>
          <w:rFonts w:hint="eastAsia" w:ascii="宋体" w:hAnsi="宋体" w:eastAsia="宋体" w:cs="宋体"/>
          <w:kern w:val="0"/>
          <w:sz w:val="44"/>
          <w:szCs w:val="44"/>
          <w:lang w:bidi="ar-SA"/>
        </w:rPr>
      </w:pPr>
    </w:p>
    <w:p>
      <w:pPr>
        <w:pStyle w:val="4"/>
        <w:widowControl w:val="0"/>
        <w:wordWrap/>
        <w:adjustRightInd/>
        <w:snapToGrid/>
        <w:spacing w:before="0" w:after="0" w:line="560" w:lineRule="exact"/>
        <w:jc w:val="center"/>
        <w:textAlignment w:val="auto"/>
        <w:outlineLvl w:val="0"/>
        <w:rPr>
          <w:rFonts w:hint="eastAsia" w:ascii="宋体" w:hAnsi="宋体" w:eastAsia="宋体" w:cs="Arial"/>
          <w:b w:val="0"/>
          <w:bCs/>
          <w:kern w:val="2"/>
          <w:sz w:val="44"/>
          <w:szCs w:val="44"/>
          <w:lang w:val="en-US" w:eastAsia="zh-CN" w:bidi="ar-SA"/>
        </w:rPr>
      </w:pPr>
      <w:r>
        <w:rPr>
          <w:rFonts w:hint="eastAsia" w:ascii="宋体" w:hAnsi="宋体" w:eastAsia="宋体" w:cs="Arial"/>
          <w:bCs/>
          <w:sz w:val="44"/>
          <w:szCs w:val="44"/>
        </w:rPr>
        <w:br w:type="page"/>
      </w:r>
      <w:bookmarkStart w:id="266" w:name="_Toc4452"/>
      <w:bookmarkStart w:id="267" w:name="_Toc29533"/>
      <w:bookmarkStart w:id="268" w:name="_Toc11364"/>
      <w:bookmarkStart w:id="269" w:name="_Toc17528"/>
      <w:bookmarkStart w:id="270" w:name="_Toc27046"/>
      <w:bookmarkStart w:id="271" w:name="_Toc6741"/>
      <w:bookmarkStart w:id="272" w:name="_Toc27860"/>
      <w:bookmarkStart w:id="273" w:name="_Toc16051"/>
      <w:bookmarkStart w:id="274" w:name="_Toc31051"/>
      <w:bookmarkStart w:id="275" w:name="_Toc3389"/>
      <w:r>
        <w:rPr>
          <w:rFonts w:hint="eastAsia" w:ascii="宋体" w:hAnsi="宋体" w:eastAsia="宋体" w:cs="Arial"/>
          <w:b w:val="0"/>
          <w:bCs/>
          <w:kern w:val="2"/>
          <w:sz w:val="44"/>
          <w:szCs w:val="44"/>
          <w:lang w:val="en-US" w:eastAsia="zh-CN" w:bidi="ar-SA"/>
        </w:rPr>
        <w:t>最高人民法院 最高人民检察院</w:t>
      </w:r>
      <w:bookmarkEnd w:id="266"/>
    </w:p>
    <w:p>
      <w:pPr>
        <w:pStyle w:val="4"/>
        <w:widowControl w:val="0"/>
        <w:wordWrap/>
        <w:adjustRightInd/>
        <w:snapToGrid/>
        <w:spacing w:before="0" w:after="0" w:line="560" w:lineRule="exact"/>
        <w:jc w:val="center"/>
        <w:textAlignment w:val="auto"/>
        <w:outlineLvl w:val="0"/>
        <w:rPr>
          <w:rFonts w:hint="eastAsia" w:ascii="宋体" w:hAnsi="宋体" w:eastAsia="宋体" w:cs="Arial"/>
          <w:b w:val="0"/>
          <w:bCs/>
          <w:kern w:val="2"/>
          <w:sz w:val="44"/>
          <w:szCs w:val="44"/>
          <w:lang w:val="en-US" w:eastAsia="zh-CN" w:bidi="ar-SA"/>
        </w:rPr>
      </w:pPr>
      <w:bookmarkStart w:id="276" w:name="_Toc25900"/>
      <w:r>
        <w:rPr>
          <w:rFonts w:hint="eastAsia" w:ascii="宋体" w:hAnsi="宋体" w:eastAsia="宋体" w:cs="Arial"/>
          <w:b w:val="0"/>
          <w:bCs/>
          <w:kern w:val="2"/>
          <w:sz w:val="44"/>
          <w:szCs w:val="44"/>
          <w:lang w:val="en-US" w:eastAsia="zh-CN" w:bidi="ar-SA"/>
        </w:rPr>
        <w:t>关于办理生产、销售伪劣商品刑事案件</w:t>
      </w:r>
      <w:bookmarkEnd w:id="276"/>
    </w:p>
    <w:p>
      <w:pPr>
        <w:pStyle w:val="4"/>
        <w:widowControl w:val="0"/>
        <w:wordWrap/>
        <w:adjustRightInd/>
        <w:snapToGrid/>
        <w:spacing w:before="0" w:after="0" w:line="560" w:lineRule="exact"/>
        <w:jc w:val="center"/>
        <w:textAlignment w:val="auto"/>
        <w:outlineLvl w:val="0"/>
        <w:rPr>
          <w:rFonts w:hint="eastAsia" w:ascii="宋体" w:hAnsi="宋体" w:eastAsia="宋体" w:cs="Arial"/>
          <w:b w:val="0"/>
          <w:bCs/>
          <w:kern w:val="2"/>
          <w:sz w:val="44"/>
          <w:szCs w:val="44"/>
          <w:lang w:val="en-US" w:eastAsia="zh-CN" w:bidi="ar-SA"/>
        </w:rPr>
      </w:pPr>
      <w:bookmarkStart w:id="277" w:name="_Toc22887"/>
      <w:r>
        <w:rPr>
          <w:rFonts w:hint="eastAsia" w:ascii="宋体" w:hAnsi="宋体" w:eastAsia="宋体" w:cs="Arial"/>
          <w:b w:val="0"/>
          <w:bCs/>
          <w:kern w:val="2"/>
          <w:sz w:val="44"/>
          <w:szCs w:val="44"/>
          <w:lang w:val="en-US" w:eastAsia="zh-CN" w:bidi="ar-SA"/>
        </w:rPr>
        <w:t>具体应用法律若干问题的解释</w:t>
      </w:r>
      <w:bookmarkEnd w:id="267"/>
      <w:bookmarkEnd w:id="268"/>
      <w:bookmarkEnd w:id="269"/>
      <w:bookmarkEnd w:id="270"/>
      <w:bookmarkEnd w:id="271"/>
      <w:bookmarkEnd w:id="272"/>
      <w:bookmarkEnd w:id="273"/>
      <w:bookmarkEnd w:id="274"/>
      <w:bookmarkEnd w:id="275"/>
      <w:bookmarkEnd w:id="277"/>
    </w:p>
    <w:p>
      <w:pPr>
        <w:widowControl w:val="0"/>
        <w:wordWrap/>
        <w:adjustRightInd/>
        <w:snapToGrid/>
        <w:spacing w:line="560" w:lineRule="exact"/>
        <w:ind w:right="0"/>
        <w:jc w:val="center"/>
        <w:textAlignment w:val="auto"/>
        <w:rPr>
          <w:rFonts w:hint="eastAsia" w:ascii="楷体" w:hAnsi="楷体" w:eastAsia="楷体" w:cs="楷体"/>
          <w:color w:val="auto"/>
          <w:sz w:val="32"/>
          <w:szCs w:val="32"/>
          <w:shd w:val="clear" w:color="auto" w:fill="FFFFFF"/>
          <w:lang w:val="en-US" w:eastAsia="zh-CN"/>
        </w:rPr>
      </w:pPr>
    </w:p>
    <w:p>
      <w:pPr>
        <w:widowControl w:val="0"/>
        <w:wordWrap/>
        <w:adjustRightInd/>
        <w:snapToGrid/>
        <w:spacing w:line="560" w:lineRule="exact"/>
        <w:ind w:left="640" w:leftChars="200" w:right="525" w:rightChars="164" w:firstLine="0" w:firstLineChars="0"/>
        <w:jc w:val="left"/>
        <w:textAlignment w:val="auto"/>
        <w:rPr>
          <w:rFonts w:hint="eastAsia" w:ascii="楷体" w:hAnsi="楷体" w:eastAsia="楷体" w:cs="楷体"/>
          <w:color w:val="auto"/>
          <w:sz w:val="32"/>
          <w:szCs w:val="32"/>
          <w:shd w:val="clear" w:color="auto" w:fill="FFFFFF"/>
          <w:lang w:val="en-US" w:eastAsia="zh-CN"/>
        </w:rPr>
      </w:pPr>
      <w:r>
        <w:rPr>
          <w:rFonts w:hint="eastAsia" w:ascii="楷体" w:hAnsi="楷体" w:eastAsia="楷体" w:cs="楷体"/>
          <w:color w:val="auto"/>
          <w:sz w:val="32"/>
          <w:szCs w:val="32"/>
          <w:shd w:val="clear" w:color="auto" w:fill="FFFFFF"/>
          <w:lang w:val="en-US" w:eastAsia="zh-CN"/>
        </w:rPr>
        <w:t>（2001年4月5日最高人民法院审判委员会第1168次会议、2001年3月30日最高人民检察院第九届检察委员会第84次会议通过 法释〔2001〕10号）</w:t>
      </w:r>
    </w:p>
    <w:p>
      <w:pPr>
        <w:widowControl w:val="0"/>
        <w:wordWrap/>
        <w:adjustRightInd/>
        <w:snapToGrid/>
        <w:spacing w:line="560" w:lineRule="exact"/>
        <w:textAlignment w:val="auto"/>
        <w:rPr>
          <w:rFonts w:hint="eastAsia" w:ascii="宋体" w:hAnsi="宋体" w:eastAsia="宋体" w:cs="Arial"/>
          <w:bCs/>
          <w:sz w:val="32"/>
          <w:szCs w:val="32"/>
        </w:rPr>
      </w:pPr>
    </w:p>
    <w:p>
      <w:pPr>
        <w:widowControl w:val="0"/>
        <w:wordWrap/>
        <w:adjustRightInd/>
        <w:snapToGrid/>
        <w:spacing w:after="0" w:line="560" w:lineRule="exact"/>
        <w:ind w:firstLine="640" w:firstLineChars="200"/>
        <w:jc w:val="left"/>
        <w:textAlignment w:val="auto"/>
        <w:rPr>
          <w:rFonts w:ascii="宋体" w:hAnsi="宋体" w:eastAsia="宋体" w:cs="宋体"/>
          <w:b w:val="0"/>
          <w:color w:val="000000"/>
          <w:sz w:val="32"/>
          <w:szCs w:val="32"/>
          <w:u w:val="none" w:color="218FC4"/>
        </w:rPr>
      </w:pPr>
      <w:r>
        <w:rPr>
          <w:rFonts w:hint="eastAsia" w:ascii="仿宋" w:hAnsi="仿宋" w:eastAsia="仿宋" w:cs="仿宋"/>
          <w:b w:val="0"/>
          <w:color w:val="000000"/>
          <w:sz w:val="32"/>
          <w:szCs w:val="32"/>
          <w:u w:val="none" w:color="218FC4"/>
        </w:rPr>
        <w:t>为依法惩治生产、销售伪劣商品犯罪活动，根据刑法有关规定，现就办理这类案件具体应用法律的若干问题解释如下：</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第一条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刑法第一百四十条规定的“在产品中掺杂、掺假”，是指在产品中掺入杂质或者异物，致使产品质量不符合国家法律、法规或者产品明示质量标准规定的质量要求，降低、失去应有使用性能的行为。</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刑法第一百四十条规定的“以假充真”，是指以不具有某种使用性能的产品冒充具有该种使用性能的产品的行为。</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刑法第一百四十条规定的“以次充好”，是指以低等级、低档次产品冒充高等级、高档次产品，或者以残次、废旧零配件组合、拼装后冒充正品或者新产品的行为。</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刑法第一百四十条规定的“不合格产品”，是指不符合《中华人民共和国产品质量法》第二十六条第二款规定的质量要求的产品。</w:t>
      </w:r>
    </w:p>
    <w:p>
      <w:pPr>
        <w:widowControl w:val="0"/>
        <w:wordWrap/>
        <w:adjustRightInd/>
        <w:snapToGrid/>
        <w:spacing w:after="0" w:line="560" w:lineRule="exact"/>
        <w:ind w:firstLine="640" w:firstLineChars="200"/>
        <w:jc w:val="left"/>
        <w:textAlignment w:val="auto"/>
        <w:rPr>
          <w:rFonts w:ascii="宋体" w:hAnsi="宋体" w:eastAsia="宋体" w:cs="宋体"/>
          <w:b w:val="0"/>
          <w:color w:val="000000"/>
          <w:sz w:val="32"/>
          <w:szCs w:val="32"/>
          <w:u w:val="none" w:color="218FC4"/>
        </w:rPr>
      </w:pPr>
      <w:r>
        <w:rPr>
          <w:rFonts w:hint="eastAsia" w:ascii="仿宋" w:hAnsi="仿宋" w:eastAsia="仿宋" w:cs="仿宋"/>
          <w:b w:val="0"/>
          <w:color w:val="000000"/>
          <w:sz w:val="32"/>
          <w:szCs w:val="32"/>
          <w:u w:val="none" w:color="218FC4"/>
        </w:rPr>
        <w:t>对本条规定的上述行为难以确定的，应当委托法律、行政法规规定的产品质量检验机构进行鉴定。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第二条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刑法第一百四十条、第一百四十九条规定的“销售金额”，是指生产者、销售者出售伪劣产品后所得和应得的全部违法收入。</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伪劣产品尚未销售，货值金额达到刑法第一百四十条规定的销售金额三倍以上的，以生产、销售伪劣产品罪（未遂）定罪处罚。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货值金额以违法生产、销售的伪劣产品的标价计算；没有标价的，按照同类合格产品的市场中间价格计算。货值金额难以确定的，按照国家计划委员会、最高人民法院、最高人民检察院、公安部１９９７年４月２２日联合发布的《扣押、追缴、没收物品估价管理办法》的规定，委托指定的估价机构确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多次实施生产、销售伪劣产品行为，未经处理的，伪劣产品的销售金额或者货值金额累计计算。</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 xml:space="preserve">第三条 </w:t>
      </w:r>
      <w:r>
        <w:rPr>
          <w:rFonts w:hint="eastAsia" w:ascii="仿宋" w:hAnsi="仿宋" w:eastAsia="仿宋" w:cs="仿宋"/>
          <w:b w:val="0"/>
          <w:color w:val="000000"/>
          <w:sz w:val="32"/>
          <w:szCs w:val="32"/>
          <w:u w:val="none" w:color="218FC4"/>
        </w:rPr>
        <w:t>经省级以上药品监督管理部门设置或者确定的药品检验机构鉴定，生产、销售的假药具有下列情形之一的，应认定为刑法第一百四十一条规定的“足以严重危害人体健康”：</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（一）含有超标准的有毒有害物质的；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（二）不含所标明的有效成份，可能贻误诊治的；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（三）所标明的适应症或者功能主治超出规定范围，可能造成贻误诊治的；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（四）缺乏所标明的急救必需的有效成份的。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生产、销售的假药被使用后，造成轻伤、重伤或者其他严重后果的，应认定为“对人体健康造成严重危害”。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生产、销售的假药被使用后，致人严重残疾，三人以上重伤、十人以上轻伤或者造成其他特别严重后果的，应认定为“对人体健康造成特别严重危害”。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第四条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经省级以上卫生行政部门确定的机构鉴定，食品中含有可能导致严重食物中毒事故或者其他严重食源性疾患的超标准的有害细菌或者其他污染物的，应认定为刑法第一百四十三条规定的“足以造成严重食物中毒事故或者其他严重食源性疾患”。</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生产、销售不符合卫生标准的食品被食用后，造成轻伤、重伤或者其他严重后果的，应认定为“对人体健康造成严重危害”。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生产、销售不符合卫生标准的食品被食用后，致人死亡、严重残疾、三人以上重伤，十人以上轻伤或者造成其他特别严重后果的。应认定为“后果特别严重”。</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第五条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生产、销售的有毒、有害食品被食用后，造成轻伤、重伤或者其他严重后果的，应认定为刑法第一百四十四条规定的“对人体健康造成严重危害”。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生产、销售的有毒、有害食品被食用后，致人严重残疾、三人以上重伤、十人以上轻伤或者造成其他特别严重后果的，应认定为“对人体健康造成特别严重危害”。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 xml:space="preserve">第六条 </w:t>
      </w:r>
      <w:r>
        <w:rPr>
          <w:rFonts w:hint="eastAsia" w:ascii="仿宋" w:hAnsi="仿宋" w:eastAsia="仿宋" w:cs="仿宋"/>
          <w:b w:val="0"/>
          <w:color w:val="000000"/>
          <w:sz w:val="32"/>
          <w:szCs w:val="32"/>
          <w:u w:val="none" w:color="218FC4"/>
        </w:rPr>
        <w:t>生产、销售不符合标准的医疗器械、医用卫生材料，致人轻伤或者其他严重后果的，应认定为刑法第一百四十五条规定的“对人体健康造成严重危害”。</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生产、销售不符合标准的医疗器械、医用卫生材料，造成感染病毒性肝炎等难以治愈的疾病、一人以上重伤、三人以上轻伤或者其他严重后果的，应认定为“后果特别严重”。</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生产、销售不符合标准的医疗器械、医用卫生材料，致人死亡、严重残疾、感染艾滋病、三人以上重伤、十人以上轻伤或者造成其他特别严重后果的，应认定为“情节特别恶劣”。</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医疗机构或者个人，知道或者应当知道是不符合保障人体健康的国家标准、行业标准的医疗器械、医用卫生材料而购买、使用，对人体健康造成严重危害的，以销售不符合标准的医用器材罪定罪处罚。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没有国家标准、行业标准的医疗器械，注册产品标准可视为“保障人体健康的行业标准”。</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第七条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刑法第一百四十七条规定的生产、销售伪劣农药、兽药、化肥、种子罪中“使生产遭受较大损失”，一般以二万元为起点；“重大损失”，一般以十万元为起点；“特别重大损失”，一般以五十万元为起点。</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第八条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国家机关工作人员徇私舞弊，对生产、销售伪劣商品犯罪不履行法律规定的查处职责，具有下列情形之一的，属于刑法第四百一十四条规定的“情节严重”：</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（一）放纵生产、销售假药或者有毒、有害食品犯罪行为的；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（二）放纵依法可能判处二年有期徒刑以上刑罚的生产、销售、伪劣商品犯罪行为的；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（三）对三个以上有生产、销售伪劣商品犯罪行为的单位或者个人不履行追究职责的；</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（四）致使国家和人民利益遭受重大损失或者造成恶劣影响的。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第九条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知道或者应当知道他人实施生产、销售伪劣商品犯罪，而为其提供贷款、资金、账号、发票、证明、许可证件，或者提供生产、经营场所或者运输、仓储、保管、邮寄等便利条件，或者提供制假生产技术的，以生产、销售伪劣商品犯罪的共犯论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第十条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实施生产、销售伪劣商品犯罪，同时构成侵犯知识产权、非法经营等其他犯罪的，依照处罚较重的规定定罪处罚。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第十一条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实施刑法第一百四十条至第一百四十八条规定的犯罪，又以暴力、威胁方法抗拒查处，构成其他犯罪的，依照数罪并罚的规定处罚。</w:t>
      </w:r>
    </w:p>
    <w:p>
      <w:pPr>
        <w:widowControl w:val="0"/>
        <w:wordWrap/>
        <w:adjustRightInd/>
        <w:snapToGrid/>
        <w:spacing w:after="0" w:line="560" w:lineRule="exact"/>
        <w:ind w:firstLine="640" w:firstLineChars="20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bCs/>
          <w:color w:val="000000"/>
          <w:sz w:val="32"/>
          <w:szCs w:val="32"/>
          <w:u w:val="none"/>
        </w:rPr>
        <w:t>第十二条</w:t>
      </w:r>
      <w:r>
        <w:rPr>
          <w:rFonts w:ascii="宋体" w:hAnsi="宋体" w:eastAsia="宋体" w:cs="宋体"/>
          <w:b/>
          <w:color w:val="000000"/>
          <w:sz w:val="32"/>
          <w:szCs w:val="32"/>
          <w:u w:val="none"/>
        </w:rPr>
        <w:t xml:space="preserve"> </w:t>
      </w:r>
      <w:r>
        <w:rPr>
          <w:rFonts w:hint="eastAsia" w:ascii="仿宋" w:hAnsi="仿宋" w:eastAsia="仿宋" w:cs="仿宋"/>
          <w:b w:val="0"/>
          <w:color w:val="000000"/>
          <w:sz w:val="32"/>
          <w:szCs w:val="32"/>
          <w:u w:val="none" w:color="218FC4"/>
        </w:rPr>
        <w:t>国家机关工作人员参与生产、销售伪劣商品犯罪的，从重处罚。</w:t>
      </w:r>
    </w:p>
    <w:p>
      <w:pPr>
        <w:pStyle w:val="3"/>
        <w:wordWrap/>
        <w:spacing w:line="560" w:lineRule="exact"/>
        <w:textAlignment w:val="auto"/>
        <w:rPr>
          <w:rFonts w:hint="eastAsia"/>
          <w:sz w:val="32"/>
          <w:szCs w:val="32"/>
        </w:rPr>
      </w:pPr>
    </w:p>
    <w:p>
      <w:pPr>
        <w:widowControl w:val="0"/>
        <w:wordWrap/>
        <w:adjustRightInd/>
        <w:snapToGrid/>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widowControl w:val="0"/>
        <w:wordWrap/>
        <w:adjustRightInd/>
        <w:snapToGrid/>
        <w:spacing w:after="0" w:line="560" w:lineRule="exact"/>
        <w:ind w:firstLine="0"/>
        <w:jc w:val="center"/>
        <w:textAlignment w:val="auto"/>
        <w:outlineLvl w:val="0"/>
        <w:rPr>
          <w:rFonts w:hint="eastAsia" w:ascii="宋体" w:hAnsi="宋体" w:eastAsia="宋体" w:cs="宋体"/>
          <w:b w:val="0"/>
          <w:color w:val="000000"/>
          <w:sz w:val="44"/>
          <w:szCs w:val="44"/>
          <w:u w:val="none" w:color="218FC4"/>
        </w:rPr>
      </w:pPr>
      <w:bookmarkStart w:id="278" w:name="_Toc113"/>
      <w:r>
        <w:rPr>
          <w:rFonts w:hint="eastAsia" w:ascii="宋体" w:hAnsi="宋体" w:eastAsia="宋体" w:cs="宋体"/>
          <w:b w:val="0"/>
          <w:color w:val="000000"/>
          <w:sz w:val="44"/>
          <w:szCs w:val="44"/>
          <w:u w:val="none" w:color="218FC4"/>
        </w:rPr>
        <w:t>最高人民法院</w:t>
      </w:r>
      <w:r>
        <w:rPr>
          <w:rFonts w:hint="eastAsia" w:ascii="宋体" w:hAnsi="宋体" w:eastAsia="宋体" w:cs="宋体"/>
          <w:b w:val="0"/>
          <w:color w:val="000000"/>
          <w:sz w:val="44"/>
          <w:szCs w:val="44"/>
          <w:u w:val="none" w:color="218FC4"/>
          <w:lang w:val="en-US" w:eastAsia="zh-CN"/>
        </w:rPr>
        <w:t xml:space="preserve"> </w:t>
      </w:r>
      <w:r>
        <w:rPr>
          <w:rFonts w:hint="eastAsia" w:ascii="宋体" w:hAnsi="宋体" w:eastAsia="宋体" w:cs="宋体"/>
          <w:b w:val="0"/>
          <w:color w:val="000000"/>
          <w:sz w:val="44"/>
          <w:szCs w:val="44"/>
          <w:u w:val="none" w:color="218FC4"/>
        </w:rPr>
        <w:t>最高人民检察院</w:t>
      </w:r>
      <w:bookmarkEnd w:id="278"/>
    </w:p>
    <w:p>
      <w:pPr>
        <w:widowControl w:val="0"/>
        <w:wordWrap/>
        <w:adjustRightInd/>
        <w:snapToGrid/>
        <w:spacing w:after="0" w:line="560" w:lineRule="exact"/>
        <w:ind w:firstLine="0"/>
        <w:jc w:val="center"/>
        <w:textAlignment w:val="auto"/>
        <w:outlineLvl w:val="0"/>
        <w:rPr>
          <w:rFonts w:hint="eastAsia" w:ascii="宋体" w:hAnsi="宋体" w:eastAsia="宋体" w:cs="宋体"/>
          <w:b w:val="0"/>
          <w:color w:val="000000"/>
          <w:sz w:val="44"/>
          <w:szCs w:val="44"/>
          <w:u w:val="none" w:color="218FC4"/>
        </w:rPr>
      </w:pPr>
      <w:bookmarkStart w:id="279" w:name="_Toc18645"/>
      <w:r>
        <w:rPr>
          <w:rFonts w:hint="eastAsia" w:ascii="宋体" w:hAnsi="宋体" w:eastAsia="宋体" w:cs="宋体"/>
          <w:b w:val="0"/>
          <w:color w:val="000000"/>
          <w:sz w:val="44"/>
          <w:szCs w:val="44"/>
          <w:u w:val="none" w:color="218FC4"/>
        </w:rPr>
        <w:t>关于办理利用信息网络实施诽谤等刑事案件</w:t>
      </w:r>
      <w:bookmarkEnd w:id="279"/>
    </w:p>
    <w:p>
      <w:pPr>
        <w:widowControl w:val="0"/>
        <w:wordWrap/>
        <w:adjustRightInd/>
        <w:snapToGrid/>
        <w:spacing w:after="0" w:line="560" w:lineRule="exact"/>
        <w:ind w:firstLine="0"/>
        <w:jc w:val="center"/>
        <w:textAlignment w:val="auto"/>
        <w:outlineLvl w:val="0"/>
        <w:rPr>
          <w:rFonts w:hint="eastAsia" w:ascii="宋体" w:hAnsi="宋体" w:eastAsia="宋体" w:cs="宋体"/>
          <w:b w:val="0"/>
          <w:color w:val="000000"/>
          <w:sz w:val="44"/>
          <w:szCs w:val="44"/>
          <w:u w:val="none" w:color="218FC4"/>
        </w:rPr>
      </w:pPr>
      <w:bookmarkStart w:id="280" w:name="_Toc7446"/>
      <w:r>
        <w:rPr>
          <w:rFonts w:hint="eastAsia" w:ascii="宋体" w:hAnsi="宋体" w:eastAsia="宋体" w:cs="宋体"/>
          <w:b w:val="0"/>
          <w:color w:val="000000"/>
          <w:sz w:val="44"/>
          <w:szCs w:val="44"/>
          <w:u w:val="none" w:color="218FC4"/>
        </w:rPr>
        <w:t>适用法律若干问题的解释</w:t>
      </w:r>
      <w:bookmarkEnd w:id="280"/>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p>
    <w:p>
      <w:pPr>
        <w:widowControl w:val="0"/>
        <w:wordWrap/>
        <w:adjustRightInd/>
        <w:snapToGrid/>
        <w:spacing w:after="0" w:line="560" w:lineRule="exact"/>
        <w:ind w:left="640" w:leftChars="200" w:right="525" w:rightChars="164" w:firstLine="0" w:firstLineChars="0"/>
        <w:jc w:val="both"/>
        <w:textAlignment w:val="auto"/>
        <w:rPr>
          <w:rFonts w:hint="eastAsia" w:ascii="仿宋" w:hAnsi="仿宋" w:eastAsia="仿宋" w:cs="仿宋"/>
          <w:b w:val="0"/>
          <w:color w:val="000000"/>
          <w:sz w:val="32"/>
          <w:szCs w:val="32"/>
          <w:u w:val="none" w:color="218FC4"/>
        </w:rPr>
      </w:pPr>
      <w:r>
        <w:rPr>
          <w:rFonts w:hint="eastAsia" w:ascii="楷体" w:hAnsi="楷体" w:eastAsia="楷体" w:cs="楷体"/>
          <w:b w:val="0"/>
          <w:color w:val="000000"/>
          <w:sz w:val="32"/>
          <w:szCs w:val="32"/>
          <w:u w:val="none" w:color="218FC4"/>
        </w:rPr>
        <w:t>（2013年9月5日最高人民法院审判委员会第1589次会议、2013年9月2日最高人民检察院第十二届检察委员会第9次会议通过</w:t>
      </w:r>
      <w:r>
        <w:rPr>
          <w:rFonts w:hint="eastAsia" w:ascii="楷体" w:hAnsi="楷体" w:eastAsia="楷体" w:cs="楷体"/>
          <w:b w:val="0"/>
          <w:color w:val="000000"/>
          <w:sz w:val="32"/>
          <w:szCs w:val="32"/>
          <w:u w:val="none" w:color="218FC4"/>
          <w:lang w:val="en-US" w:eastAsia="zh-CN"/>
        </w:rPr>
        <w:t xml:space="preserve"> </w:t>
      </w:r>
      <w:r>
        <w:rPr>
          <w:rFonts w:hint="eastAsia" w:ascii="楷体" w:hAnsi="楷体" w:eastAsia="楷体" w:cs="楷体"/>
          <w:b w:val="0"/>
          <w:color w:val="000000"/>
          <w:sz w:val="32"/>
          <w:szCs w:val="32"/>
          <w:u w:val="none" w:color="218FC4"/>
        </w:rPr>
        <w:t>法释〔2013〕21号）</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　　为保护公民、法人和其他组织的合法权益，维护社会秩序，根据《中华人民共和国刑法》《全国人民代表大会常务委员会关于维护互联网安全的决定》等规定，对办理利用信息网络实施诽谤、寻衅滋事、敲诈勒索、非法经营等刑事案件适用法律的若干问题解释如下：</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第一条</w:t>
      </w:r>
      <w:r>
        <w:rPr>
          <w:rFonts w:hint="eastAsia" w:ascii="仿宋" w:hAnsi="仿宋" w:eastAsia="仿宋" w:cs="仿宋"/>
          <w:b w:val="0"/>
          <w:color w:val="000000"/>
          <w:sz w:val="32"/>
          <w:szCs w:val="32"/>
          <w:u w:val="none" w:color="218FC4"/>
        </w:rPr>
        <w:t xml:space="preserve"> 具有下列情形之一的，应当认定为刑法第二百四十六条第一款规定的“捏造事实诽谤他人”：</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（一）捏造损害他人名誉的事实，在信息网络上散布，或者组织、指使人员在信息网络上散布的；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（二）将信息网络上涉及他人的原始信息内容篡改为损害他人名誉的事实，在信息网络上散布，或者组织、指使人员在信息网络上散布的；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明知是捏造的损害他人名誉的事实，在信息网络上散布，情节恶劣的，以“捏造事实诽谤他人”论。</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第二条</w:t>
      </w:r>
      <w:r>
        <w:rPr>
          <w:rFonts w:hint="eastAsia" w:ascii="仿宋" w:hAnsi="仿宋" w:eastAsia="仿宋" w:cs="仿宋"/>
          <w:b w:val="0"/>
          <w:color w:val="000000"/>
          <w:sz w:val="32"/>
          <w:szCs w:val="32"/>
          <w:u w:val="none" w:color="218FC4"/>
        </w:rPr>
        <w:t xml:space="preserve"> 利用信息网络诽谤他人，具有下列情形之一的，应当认定为刑法第二百四十六条第一款规定的“情节严重”：</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（一）同一诽谤信息实际被点击、浏览次数达到五千次以上，或者被转发次数达到五百次以上的；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（二）造成被害人或者其近亲属精神失常、自残、自杀等严重后果的；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（三）二年内曾因诽谤受过行政处罚，又诽谤他人的；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（四）其他情节严重的情形。</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第三条</w:t>
      </w:r>
      <w:r>
        <w:rPr>
          <w:rFonts w:hint="eastAsia" w:ascii="仿宋" w:hAnsi="仿宋" w:eastAsia="仿宋" w:cs="仿宋"/>
          <w:b w:val="0"/>
          <w:color w:val="000000"/>
          <w:sz w:val="32"/>
          <w:szCs w:val="32"/>
          <w:u w:val="none" w:color="218FC4"/>
        </w:rPr>
        <w:t xml:space="preserve"> 利用信息网络诽谤他人，具有下列情形之一的，应当认定为刑法第二百四十六条第二款规定的“严重危害社会秩序和国家利益”：</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（一）引发群体性事件的；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（二）引发公共秩序混乱的；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（三）引发民族、宗教冲突的；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（四）诽谤多人，造成恶劣社会影响的；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（五）损害国家形象，严重危害国家利益的；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（六）造成恶劣国际影响的；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（七）其他严重危害社会秩序和国家利益的情形。</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第四条</w:t>
      </w:r>
      <w:r>
        <w:rPr>
          <w:rFonts w:hint="eastAsia" w:ascii="仿宋" w:hAnsi="仿宋" w:eastAsia="仿宋" w:cs="仿宋"/>
          <w:b w:val="0"/>
          <w:color w:val="000000"/>
          <w:sz w:val="32"/>
          <w:szCs w:val="32"/>
          <w:u w:val="none" w:color="218FC4"/>
        </w:rPr>
        <w:t xml:space="preserve"> 一年内多次实施利用信息网络诽谤他人行为未经处理，诽谤信息实际被点击、浏览、转发次数累计计算构成犯罪的，应当依法定罪处罚。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第五条</w:t>
      </w:r>
      <w:r>
        <w:rPr>
          <w:rFonts w:hint="eastAsia" w:ascii="仿宋" w:hAnsi="仿宋" w:eastAsia="仿宋" w:cs="仿宋"/>
          <w:b w:val="0"/>
          <w:color w:val="000000"/>
          <w:sz w:val="32"/>
          <w:szCs w:val="32"/>
          <w:u w:val="none" w:color="218FC4"/>
        </w:rPr>
        <w:t xml:space="preserve"> 利用信息网络辱骂、恐吓他人，情节恶劣，破坏社会秩序的，依照刑法第二百九十三条第一款第（二）项的规定，以寻衅滋事罪定罪处罚。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编造虚假信息，或者明知是编造的虚假信息，在信息网络上散布，或者组织、指使人员在信息网络上散布，起哄闹事，造成公共秩序严重混乱的，依照刑法第二百九十三条第一款第（四）项的规定，以寻衅滋事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第六条</w:t>
      </w:r>
      <w:r>
        <w:rPr>
          <w:rFonts w:hint="eastAsia" w:ascii="仿宋" w:hAnsi="仿宋" w:eastAsia="仿宋" w:cs="仿宋"/>
          <w:b w:val="0"/>
          <w:color w:val="000000"/>
          <w:sz w:val="32"/>
          <w:szCs w:val="32"/>
          <w:u w:val="none" w:color="218FC4"/>
        </w:rPr>
        <w:t xml:space="preserve"> 以在信息网络上发布、删除等方式处理网络信息为由，威胁、要挟他人，索取公私财物，数额较大，或者多次实施上述行为的，依照刑法第二百七十四条的规定，以敲诈勒索罪定罪处罚。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第七条</w:t>
      </w:r>
      <w:r>
        <w:rPr>
          <w:rFonts w:hint="eastAsia" w:ascii="仿宋" w:hAnsi="仿宋" w:eastAsia="仿宋" w:cs="仿宋"/>
          <w:b w:val="0"/>
          <w:color w:val="000000"/>
          <w:sz w:val="32"/>
          <w:szCs w:val="32"/>
          <w:u w:val="none" w:color="218FC4"/>
        </w:rPr>
        <w:t xml:space="preserve"> 违反国家规定，以营利为目的，通过信息网络有偿提供删除信息服务，或者明知是虚假信息，通过信息网络有偿提供发布信息等服务，扰乱市场秩序，具有下列情形之一的，属于非法经营行为“情节严重”，依照刑法第二百二十五条第（四）项的规定，以非法经营罪定罪处罚：</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（一）个人非法经营数额在五万元以上，或者违法所得数额在二万元以上的；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（二）单位非法经营数额在十五万元以上，或者违法所得数额在五万元以上的。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实施前款规定的行为，数额达到前款规定的数额五倍以上的，应当认定为刑法第二百二十五条规定的“情节特别严重”。</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第八条</w:t>
      </w:r>
      <w:r>
        <w:rPr>
          <w:rFonts w:hint="eastAsia" w:ascii="仿宋" w:hAnsi="仿宋" w:eastAsia="仿宋" w:cs="仿宋"/>
          <w:b w:val="0"/>
          <w:color w:val="000000"/>
          <w:sz w:val="32"/>
          <w:szCs w:val="32"/>
          <w:u w:val="none" w:color="218FC4"/>
        </w:rPr>
        <w:t xml:space="preserve"> 明知他人利用信息网络实施诽谤、寻衅滋事、敲诈勒索、非法经营等犯罪，为其提供资金、场所、技术支持等帮助的，以共同犯罪论处。</w:t>
      </w:r>
    </w:p>
    <w:p>
      <w:pPr>
        <w:widowControl w:val="0"/>
        <w:wordWrap/>
        <w:adjustRightInd/>
        <w:snapToGrid/>
        <w:spacing w:after="0" w:line="560" w:lineRule="exact"/>
        <w:ind w:firstLine="520"/>
        <w:jc w:val="left"/>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第九条</w:t>
      </w:r>
      <w:r>
        <w:rPr>
          <w:rFonts w:hint="eastAsia" w:ascii="仿宋" w:hAnsi="仿宋" w:eastAsia="仿宋" w:cs="仿宋"/>
          <w:b w:val="0"/>
          <w:color w:val="000000"/>
          <w:sz w:val="32"/>
          <w:szCs w:val="32"/>
          <w:u w:val="none" w:color="218FC4"/>
        </w:rPr>
        <w:t xml:space="preserve"> 利用信息网络实施诽谤、寻衅滋事、敲诈勒索、非法经营犯罪，同时又构成刑法第二百二十一条规定的损害商业信誉、商品声誉罪，第二百七十八条规定的煽动暴力抗拒法律实施罪，第二百九十一条之一规定的编造、故意传播虚假恐怖信息罪等犯罪的，依照处罚较重的规定定罪处罚。</w:t>
      </w:r>
    </w:p>
    <w:p>
      <w:pPr>
        <w:widowControl w:val="0"/>
        <w:wordWrap/>
        <w:adjustRightInd/>
        <w:snapToGrid/>
        <w:spacing w:after="0" w:line="560" w:lineRule="exact"/>
        <w:ind w:firstLine="520"/>
        <w:jc w:val="left"/>
        <w:textAlignment w:val="auto"/>
        <w:rPr>
          <w:rFonts w:hint="eastAsia" w:ascii="宋体" w:hAnsi="宋体" w:eastAsia="宋体" w:cs="Arial"/>
          <w:bCs/>
          <w:sz w:val="44"/>
          <w:szCs w:val="44"/>
        </w:rPr>
      </w:pPr>
      <w:r>
        <w:rPr>
          <w:rFonts w:hint="eastAsia" w:ascii="黑体" w:hAnsi="黑体" w:eastAsia="黑体" w:cs="黑体"/>
          <w:b w:val="0"/>
          <w:color w:val="000000"/>
          <w:sz w:val="32"/>
          <w:szCs w:val="32"/>
          <w:u w:val="none" w:color="218FC4"/>
        </w:rPr>
        <w:t>第十条</w:t>
      </w:r>
      <w:r>
        <w:rPr>
          <w:rFonts w:hint="eastAsia" w:ascii="仿宋" w:hAnsi="仿宋" w:eastAsia="仿宋" w:cs="仿宋"/>
          <w:b w:val="0"/>
          <w:color w:val="000000"/>
          <w:sz w:val="32"/>
          <w:szCs w:val="32"/>
          <w:u w:val="none" w:color="218FC4"/>
        </w:rPr>
        <w:t xml:space="preserve"> 本解释所称信息网络，包括以计算机、电视机、固定电话机、移动电话机等电子设备为终端的计算机互联网、广播电视网、固定通信网、移动通信网等信息网络，以及向公众开放的局域网络。</w:t>
      </w:r>
      <w:r>
        <w:rPr>
          <w:rFonts w:hint="eastAsia" w:ascii="宋体" w:hAnsi="宋体" w:eastAsia="宋体" w:cs="Arial"/>
          <w:bCs/>
          <w:sz w:val="44"/>
          <w:szCs w:val="44"/>
        </w:rPr>
        <w:br w:type="page"/>
      </w:r>
    </w:p>
    <w:p>
      <w:pPr>
        <w:widowControl w:val="0"/>
        <w:wordWrap/>
        <w:adjustRightInd/>
        <w:snapToGrid/>
        <w:spacing w:line="560" w:lineRule="exact"/>
        <w:jc w:val="center"/>
        <w:textAlignment w:val="auto"/>
        <w:outlineLvl w:val="0"/>
        <w:rPr>
          <w:rFonts w:hint="eastAsia" w:ascii="宋体" w:hAnsi="宋体" w:eastAsia="宋体" w:cs="宋体"/>
          <w:b w:val="0"/>
          <w:color w:val="000000"/>
          <w:sz w:val="44"/>
          <w:szCs w:val="44"/>
          <w:u w:val="none" w:color="218FC4"/>
        </w:rPr>
      </w:pPr>
      <w:bookmarkStart w:id="281" w:name="_Toc9784"/>
      <w:r>
        <w:rPr>
          <w:rFonts w:hint="eastAsia" w:ascii="宋体" w:hAnsi="宋体" w:eastAsia="宋体" w:cs="宋体"/>
          <w:b w:val="0"/>
          <w:color w:val="000000"/>
          <w:sz w:val="44"/>
          <w:szCs w:val="44"/>
          <w:u w:val="none" w:color="218FC4"/>
        </w:rPr>
        <w:t>最高人民法院关于审理利用信息网络侵害人身权益民事纠纷案件适用法律若干问题的规定</w:t>
      </w:r>
      <w:bookmarkEnd w:id="281"/>
    </w:p>
    <w:p>
      <w:pPr>
        <w:widowControl w:val="0"/>
        <w:wordWrap/>
        <w:adjustRightInd/>
        <w:snapToGrid/>
        <w:spacing w:after="0" w:line="560" w:lineRule="exact"/>
        <w:ind w:left="640" w:leftChars="200" w:right="525" w:rightChars="164" w:firstLine="0" w:firstLineChars="0"/>
        <w:jc w:val="both"/>
        <w:textAlignment w:val="auto"/>
        <w:rPr>
          <w:rFonts w:hint="eastAsia" w:ascii="楷体" w:hAnsi="楷体" w:eastAsia="楷体" w:cs="楷体"/>
          <w:b w:val="0"/>
          <w:color w:val="000000"/>
          <w:sz w:val="32"/>
          <w:szCs w:val="32"/>
          <w:u w:val="none" w:color="218FC4"/>
        </w:rPr>
      </w:pPr>
    </w:p>
    <w:p>
      <w:pPr>
        <w:widowControl w:val="0"/>
        <w:wordWrap/>
        <w:adjustRightInd/>
        <w:snapToGrid/>
        <w:spacing w:after="0" w:line="560" w:lineRule="exact"/>
        <w:ind w:left="640" w:leftChars="200" w:right="525" w:rightChars="164" w:firstLine="0" w:firstLineChars="0"/>
        <w:jc w:val="both"/>
        <w:textAlignment w:val="auto"/>
        <w:rPr>
          <w:rFonts w:hint="eastAsia" w:ascii="楷体" w:hAnsi="楷体" w:eastAsia="楷体" w:cs="楷体"/>
          <w:b w:val="0"/>
          <w:color w:val="000000"/>
          <w:sz w:val="32"/>
          <w:szCs w:val="32"/>
          <w:u w:val="none" w:color="218FC4"/>
        </w:rPr>
      </w:pPr>
      <w:r>
        <w:rPr>
          <w:rFonts w:hint="eastAsia" w:ascii="楷体" w:hAnsi="楷体" w:eastAsia="楷体" w:cs="楷体"/>
          <w:b w:val="0"/>
          <w:color w:val="000000"/>
          <w:sz w:val="32"/>
          <w:szCs w:val="32"/>
          <w:u w:val="none" w:color="218FC4"/>
        </w:rPr>
        <w:t>（2014年6月23日最高人民法院审判委员会第1621次会议通过</w:t>
      </w:r>
      <w:r>
        <w:rPr>
          <w:rFonts w:hint="eastAsia" w:ascii="楷体" w:hAnsi="楷体" w:eastAsia="楷体" w:cs="楷体"/>
          <w:b w:val="0"/>
          <w:color w:val="000000"/>
          <w:sz w:val="32"/>
          <w:szCs w:val="32"/>
          <w:u w:val="none" w:color="218FC4"/>
          <w:lang w:val="en-US" w:eastAsia="zh-CN"/>
        </w:rPr>
        <w:t xml:space="preserve"> </w:t>
      </w:r>
      <w:r>
        <w:rPr>
          <w:rFonts w:hint="eastAsia" w:ascii="楷体" w:hAnsi="楷体" w:eastAsia="楷体" w:cs="楷体"/>
          <w:b w:val="0"/>
          <w:color w:val="000000"/>
          <w:sz w:val="32"/>
          <w:szCs w:val="32"/>
          <w:u w:val="none" w:color="218FC4"/>
        </w:rPr>
        <w:t>法释〔2014〕11号）</w:t>
      </w:r>
    </w:p>
    <w:p>
      <w:pPr>
        <w:widowControl w:val="0"/>
        <w:wordWrap/>
        <w:adjustRightInd/>
        <w:snapToGrid/>
        <w:spacing w:line="560" w:lineRule="exact"/>
        <w:textAlignment w:val="auto"/>
        <w:rPr>
          <w:rFonts w:hint="eastAsia" w:ascii="仿宋" w:hAnsi="仿宋" w:eastAsia="仿宋" w:cs="仿宋"/>
          <w:b w:val="0"/>
          <w:color w:val="000000"/>
          <w:sz w:val="32"/>
          <w:szCs w:val="32"/>
          <w:u w:val="none" w:color="218FC4"/>
        </w:rPr>
      </w:pPr>
    </w:p>
    <w:p>
      <w:pPr>
        <w:widowControl w:val="0"/>
        <w:wordWrap/>
        <w:adjustRightInd/>
        <w:snapToGrid/>
        <w:spacing w:line="560" w:lineRule="exact"/>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　　为正确审理利用信息网络侵害人身权益民事纠纷案件，根据《中华人民共和国民法通则》《中华人民共和国侵权责任法》《全国人民代表大会常务委员会关于加强网络信息保护的决定》《中华人民共和国民事诉讼法》等法律的规定，结合审判实践，制定本规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第一条</w:t>
      </w:r>
      <w:r>
        <w:rPr>
          <w:rFonts w:hint="eastAsia" w:ascii="仿宋" w:hAnsi="仿宋" w:eastAsia="仿宋" w:cs="仿宋"/>
          <w:b w:val="0"/>
          <w:color w:val="000000"/>
          <w:sz w:val="32"/>
          <w:szCs w:val="32"/>
          <w:u w:val="none" w:color="218FC4"/>
        </w:rPr>
        <w:t xml:space="preserve"> 本规定所称的利用信息网络侵害人身权益民事纠纷案件，是指利用信息网络侵害他人姓名权、名称权、名誉权、荣誉权、肖像权、隐私权等人身权益引起的纠纷案件。</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第二条</w:t>
      </w:r>
      <w:r>
        <w:rPr>
          <w:rFonts w:hint="eastAsia" w:ascii="仿宋" w:hAnsi="仿宋" w:eastAsia="仿宋" w:cs="仿宋"/>
          <w:b w:val="0"/>
          <w:color w:val="000000"/>
          <w:sz w:val="32"/>
          <w:szCs w:val="32"/>
          <w:u w:val="none" w:color="218FC4"/>
        </w:rPr>
        <w:t xml:space="preserve"> 利用信息网络侵害人身权益提起的诉讼，由侵权行为地或者被告住所地人民法院管辖。</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侵权行为实施地包括实施被诉侵权行为的计算机等终端设备所在地，侵权结果发生地包括被侵权人住所地。</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第三条</w:t>
      </w:r>
      <w:r>
        <w:rPr>
          <w:rFonts w:hint="eastAsia" w:ascii="仿宋" w:hAnsi="仿宋" w:eastAsia="仿宋" w:cs="仿宋"/>
          <w:b w:val="0"/>
          <w:color w:val="000000"/>
          <w:sz w:val="32"/>
          <w:szCs w:val="32"/>
          <w:u w:val="none" w:color="218FC4"/>
        </w:rPr>
        <w:t xml:space="preserve"> 原告依据侵权责任法第三十六条第二款、第三款的规定起诉网络用户或者网络服务提供者的，人民法院应予受理。</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原告仅起诉网络用户，网络用户请求追加涉嫌侵权的网络服务提供者为共同被告或者第三人的，人民法院应予准许。</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原告仅起诉网络服务提供者，网络服务提供者请求追加可以确定的网络用户为共同被告或者第三人的，人民法院应予准许。</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第四条</w:t>
      </w:r>
      <w:r>
        <w:rPr>
          <w:rFonts w:hint="eastAsia" w:ascii="仿宋" w:hAnsi="仿宋" w:eastAsia="仿宋" w:cs="仿宋"/>
          <w:b w:val="0"/>
          <w:color w:val="000000"/>
          <w:sz w:val="32"/>
          <w:szCs w:val="32"/>
          <w:u w:val="none" w:color="218FC4"/>
        </w:rPr>
        <w:t xml:space="preserve"> 原告起诉网络服务提供者，网络服务提供者以涉嫌侵权的信息系网络用户发布为由抗辩的，人民法院可以根据原告的请求及案件的具体情况，责令网络服务提供者向人民法院提供能够确定涉嫌侵权的网络用户的姓名（名称）、联系方式、网络地址等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网络服务提供者无正当理由拒不提供的，人民法院可以依据民事诉讼法第一百一十四条的规定对网络服务提供者采取处罚等措施。</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原告根据网络服务提供者提供的信息请求追加网络用户为被告的，人民法院应予准许。</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第五条</w:t>
      </w:r>
      <w:r>
        <w:rPr>
          <w:rFonts w:hint="eastAsia" w:ascii="仿宋" w:hAnsi="仿宋" w:eastAsia="仿宋" w:cs="仿宋"/>
          <w:b w:val="0"/>
          <w:color w:val="000000"/>
          <w:sz w:val="32"/>
          <w:szCs w:val="32"/>
          <w:u w:val="none" w:color="218FC4"/>
        </w:rPr>
        <w:t xml:space="preserve"> 依据侵权责任法第三十六条第二款的规定，被侵权人以书面形式或者网络服务提供者公示的方式向网络服务提供者发出的通知，包含下列内容的，人民法院应当认定有效：</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（一）通知人的姓名（名称）和联系方式；</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（二）要求采取必要措施的网络地址或者足以准确定位侵权内容的相关信息；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（三）通知人要求删除相关信息的理由。</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被侵权人发送的通知未满足上述条件，网络服务提供者主张免除责任的，人民法院应予支持。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第六条</w:t>
      </w:r>
      <w:r>
        <w:rPr>
          <w:rFonts w:hint="eastAsia" w:ascii="仿宋" w:hAnsi="仿宋" w:eastAsia="仿宋" w:cs="仿宋"/>
          <w:b w:val="0"/>
          <w:color w:val="000000"/>
          <w:sz w:val="32"/>
          <w:szCs w:val="32"/>
          <w:u w:val="none" w:color="218FC4"/>
        </w:rPr>
        <w:t xml:space="preserve"> 人民法院适用侵权责任法第三十六条第二款的规定，认定网络服务提供者采取的删除、屏蔽、断开链接等必要措施是否及时，应当根据网络服务的性质、有效通知的形式和准确程度，网络信息侵害权益的类型和程度等因素综合判断。</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第七条</w:t>
      </w:r>
      <w:r>
        <w:rPr>
          <w:rFonts w:hint="eastAsia" w:ascii="仿宋" w:hAnsi="仿宋" w:eastAsia="仿宋" w:cs="仿宋"/>
          <w:b w:val="0"/>
          <w:color w:val="000000"/>
          <w:sz w:val="32"/>
          <w:szCs w:val="32"/>
          <w:u w:val="none" w:color="218FC4"/>
        </w:rPr>
        <w:t xml:space="preserve"> 其发布的信息被采取删除、屏蔽、断开链接等措施的网络用户，主张网络服务提供者承担违约责任或者侵权责任，网络服务提供者以收到通知为由抗辩的，人民法院应予支持。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被采取删除、屏蔽、断开链接等措施的网络用户，请求网络服务提供者提供通知内容的，人民法院应予支持。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第八条</w:t>
      </w:r>
      <w:r>
        <w:rPr>
          <w:rFonts w:hint="eastAsia" w:ascii="仿宋" w:hAnsi="仿宋" w:eastAsia="仿宋" w:cs="仿宋"/>
          <w:b w:val="0"/>
          <w:color w:val="000000"/>
          <w:sz w:val="32"/>
          <w:szCs w:val="32"/>
          <w:u w:val="none" w:color="218FC4"/>
        </w:rPr>
        <w:t xml:space="preserve"> 因通知人的通知导致网络服务提供者错误采取删除、屏蔽、断开链接等措施，被采取措施的网络用户请求通知人承担侵权责任的，人民法院应予支持。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被错误采取措施的网络用户请求网络服务提供者采取相应恢复措施的，人民法院应予支持，但受技术条件限制无法恢复的除外。</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第九条</w:t>
      </w:r>
      <w:r>
        <w:rPr>
          <w:rFonts w:hint="eastAsia" w:ascii="仿宋" w:hAnsi="仿宋" w:eastAsia="仿宋" w:cs="仿宋"/>
          <w:b w:val="0"/>
          <w:color w:val="000000"/>
          <w:sz w:val="32"/>
          <w:szCs w:val="32"/>
          <w:u w:val="none" w:color="218FC4"/>
        </w:rPr>
        <w:t xml:space="preserve"> 人民法院依据侵权责任法第三十六条第三款认定网络服务提供者是否“知道”，应当综合考虑下列因素：</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（一）网络服务提供者是否以人工或者自动方式对侵权网络信息以推荐、排名、选择、编辑、整理、修改等方式作出处理；</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（二）网络服务提供者应当具备的管理信息的能力，以及所提供服务的性质、方式及其引发侵权的可能性大小；</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（三）该网络信息侵害人身权益的类型及明显程度；</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（四）该网络信息的社会影响程度或者一定时间内的浏览量；</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（五）网络服务提供者采取预防侵权措施的技术可能性及其是否采取了相应的合理措施；</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（六）网络服务提供者是否针对同一网络用户的重复侵权行为或者同一侵权信息采取了相应的合理措施；</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（七）与本案相关的其他因素。</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第十条</w:t>
      </w:r>
      <w:r>
        <w:rPr>
          <w:rFonts w:hint="eastAsia" w:ascii="仿宋" w:hAnsi="仿宋" w:eastAsia="仿宋" w:cs="仿宋"/>
          <w:b w:val="0"/>
          <w:color w:val="000000"/>
          <w:sz w:val="32"/>
          <w:szCs w:val="32"/>
          <w:u w:val="none" w:color="218FC4"/>
        </w:rPr>
        <w:t xml:space="preserve"> 人民法院认定网络用户或者网络服务提供者转载网络信息行为的过错及其程度，应当综合以下因素：</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（一）转载主体所承担的与其性质、影响范围相适应的注意义务；</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（二）所转载信息侵害他人人身权益的明显程度；</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（三）对所转载信息是否作出实质性修改，是否添加或者修改文章标题，导致其与内容严重不符以及误导公众的可能性。</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第十一条</w:t>
      </w:r>
      <w:r>
        <w:rPr>
          <w:rFonts w:hint="eastAsia" w:ascii="仿宋" w:hAnsi="仿宋" w:eastAsia="仿宋" w:cs="仿宋"/>
          <w:b w:val="0"/>
          <w:color w:val="000000"/>
          <w:sz w:val="32"/>
          <w:szCs w:val="32"/>
          <w:u w:val="none" w:color="218FC4"/>
        </w:rPr>
        <w:t xml:space="preserve"> 网络用户或者网络服务提供者采取诽谤、诋毁等手段，损害公众对经营主体的信赖，降低其产品或者服务的社会评价，经营主体请求网络用户或者网络服务提供者承担侵权责任的，人民法院应依法予以支持。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第十二条</w:t>
      </w:r>
      <w:r>
        <w:rPr>
          <w:rFonts w:hint="eastAsia" w:ascii="仿宋" w:hAnsi="仿宋" w:eastAsia="仿宋" w:cs="仿宋"/>
          <w:b w:val="0"/>
          <w:color w:val="000000"/>
          <w:sz w:val="32"/>
          <w:szCs w:val="32"/>
          <w:u w:val="none" w:color="218FC4"/>
        </w:rPr>
        <w:t xml:space="preserve"> 网络用户或者网络服务提供者利用网络公开自然人基因信息、病历资料、健康检查资料、犯罪记录、家庭住址、私人活动等个人隐私和其他个人信息，造成他人损害，被侵权人请求其承担侵权责任的，人民法院应予支持。但下列情形除外：</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（一）经自然人书面同意且在约定范围内公开；</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（二）为促进社会公共利益且在必要范围内；</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（三）学校、科研机构等基于公共利益为学术研究或者统计的目的，经自然人书面同意，且公开的方式不足以识别特定自然人；</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（四）自然人自行在网络上公开的信息或者其他已合法公开的个人信息；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（五）以合法渠道获取的个人信息；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（六）法律或者行政法规另有规定。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网络用户或者网络服务提供者以违反社会公共利益、社会公德的方式公开前款第四项、第五项规定的个人信息，或者公开该信息侵害权利人值得保护的重大利益，权利人请求网络用户或者网络服务提供者承担侵权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国家机关行使职权公开个人信息的，不适用本条规定。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第十三条</w:t>
      </w:r>
      <w:r>
        <w:rPr>
          <w:rFonts w:hint="eastAsia" w:ascii="仿宋" w:hAnsi="仿宋" w:eastAsia="仿宋" w:cs="仿宋"/>
          <w:b w:val="0"/>
          <w:color w:val="000000"/>
          <w:sz w:val="32"/>
          <w:szCs w:val="32"/>
          <w:u w:val="none" w:color="218FC4"/>
        </w:rPr>
        <w:t xml:space="preserve"> 网络用户或者网络服务提供者，根据国家机关依职权制作的文书和公开实施的职权行为等信息来源所发布的信息，有下列情形之一，侵害他人人身权益，被侵权人请求侵权人承担侵权责任的，人民法院应予支持：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（一）网络用户或者网络服务提供者发布的信息与前述信息来源内容不符；</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（二）网络用户或者网络服务提供者以添加侮辱性内容、诽谤性信息、不当标题或者通过增删信息、调整结构、改变顺序等方式致人误解；</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（三）前述信息来源已被公开更正，但网络用户拒绝更正或者网络服务提供者不予更正；</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（四）前述信息来源已被公开更正，网络用户或者网络服务提供者仍然发布更正之前的信息。</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第十四条</w:t>
      </w:r>
      <w:r>
        <w:rPr>
          <w:rFonts w:hint="eastAsia" w:ascii="仿宋" w:hAnsi="仿宋" w:eastAsia="仿宋" w:cs="仿宋"/>
          <w:b w:val="0"/>
          <w:color w:val="000000"/>
          <w:sz w:val="32"/>
          <w:szCs w:val="32"/>
          <w:u w:val="none" w:color="218FC4"/>
        </w:rPr>
        <w:t xml:space="preserve"> 被侵权人与构成侵权的网络用户或者网络服务提供者达成一方支付报酬，另一方提供删除、屏蔽、断开链接等服务的协议，人民法院应认定为无效。</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擅自篡改、删除、屏蔽特定网络信息或者以断开链接的方式阻止他人获取网络信息，发布该信息的网络用户或者网络服务提供者请求侵权人承担侵权责任的，人民法院应予支持。接受他人委托实施该行为的，委托人与受托人承担连带责任。</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第十五条</w:t>
      </w:r>
      <w:r>
        <w:rPr>
          <w:rFonts w:hint="eastAsia" w:ascii="仿宋" w:hAnsi="仿宋" w:eastAsia="仿宋" w:cs="仿宋"/>
          <w:b w:val="0"/>
          <w:color w:val="000000"/>
          <w:sz w:val="32"/>
          <w:szCs w:val="32"/>
          <w:u w:val="none" w:color="218FC4"/>
        </w:rPr>
        <w:t xml:space="preserve"> 雇佣、组织、教唆或者帮助他人发布、转发网络信息侵害他人人身权益，被侵权人请求行为人承担连带责任的，人民法院应予支持。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第十六条</w:t>
      </w:r>
      <w:r>
        <w:rPr>
          <w:rFonts w:hint="eastAsia" w:ascii="仿宋" w:hAnsi="仿宋" w:eastAsia="仿宋" w:cs="仿宋"/>
          <w:b w:val="0"/>
          <w:color w:val="000000"/>
          <w:sz w:val="32"/>
          <w:szCs w:val="32"/>
          <w:u w:val="none" w:color="218FC4"/>
        </w:rPr>
        <w:t xml:space="preserve"> 人民法院判决侵权人承担赔礼道歉、消除影响或者恢复名誉等责任形式的，应当与侵权的具体方式和所造成的影响范围相当。侵权人拒不履行的，人民法院可以采取在网络上发布公告或者公布裁判文书等合理的方式执行，由此产生的费用由侵权人承担。</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第十七条</w:t>
      </w:r>
      <w:r>
        <w:rPr>
          <w:rFonts w:hint="eastAsia" w:ascii="仿宋" w:hAnsi="仿宋" w:eastAsia="仿宋" w:cs="仿宋"/>
          <w:b w:val="0"/>
          <w:color w:val="000000"/>
          <w:sz w:val="32"/>
          <w:szCs w:val="32"/>
          <w:u w:val="none" w:color="218FC4"/>
        </w:rPr>
        <w:t xml:space="preserve"> 网络用户或者网络服务提供者侵害他人人身权益，造成财产损失或者严重精神损害，被侵权人依据侵权责任法第二十条和第二十二条的规定请求其承担赔偿责任的，人民法院应予支持。</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第十八条</w:t>
      </w:r>
      <w:r>
        <w:rPr>
          <w:rFonts w:hint="eastAsia" w:ascii="仿宋" w:hAnsi="仿宋" w:eastAsia="仿宋" w:cs="仿宋"/>
          <w:b w:val="0"/>
          <w:color w:val="000000"/>
          <w:sz w:val="32"/>
          <w:szCs w:val="32"/>
          <w:u w:val="none" w:color="218FC4"/>
        </w:rPr>
        <w:t xml:space="preserve"> 被侵权人为制止侵权行为所支付的合理开支，可以认定为侵权责任法第二十条规定的财产损失。合理开支包括被侵权人或者委托代理人对侵权行为进行调查、取证的合理费用。人民法院根据当事人的请求和具体案情，可以将符合国家有关部门规定的律师费用计算在赔偿范围内。</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被侵权人因人身权益受侵害造成的财产损失或者侵权人因此获得的利益无法确定的，人民法院可以根据具体案情在50万元以下的范围内确定赔偿数额。</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仿宋" w:hAnsi="仿宋" w:eastAsia="仿宋" w:cs="仿宋"/>
          <w:b w:val="0"/>
          <w:color w:val="000000"/>
          <w:sz w:val="32"/>
          <w:szCs w:val="32"/>
          <w:u w:val="none" w:color="218FC4"/>
        </w:rPr>
        <w:t>精神损害的赔偿数额，依据《最高人民法院关于确定民事侵权精神损害赔偿责任若干问题的解释》第十条的规定予以确定。</w:t>
      </w:r>
    </w:p>
    <w:p>
      <w:pPr>
        <w:widowControl w:val="0"/>
        <w:wordWrap/>
        <w:adjustRightInd/>
        <w:snapToGrid/>
        <w:spacing w:line="560" w:lineRule="exact"/>
        <w:ind w:firstLine="640" w:firstLineChars="200"/>
        <w:textAlignment w:val="auto"/>
        <w:rPr>
          <w:rFonts w:hint="eastAsia" w:ascii="仿宋" w:hAnsi="仿宋" w:eastAsia="仿宋" w:cs="仿宋"/>
          <w:b w:val="0"/>
          <w:color w:val="000000"/>
          <w:sz w:val="32"/>
          <w:szCs w:val="32"/>
          <w:u w:val="none" w:color="218FC4"/>
        </w:rPr>
      </w:pPr>
      <w:r>
        <w:rPr>
          <w:rFonts w:hint="eastAsia" w:ascii="黑体" w:hAnsi="黑体" w:eastAsia="黑体" w:cs="黑体"/>
          <w:b w:val="0"/>
          <w:color w:val="000000"/>
          <w:sz w:val="32"/>
          <w:szCs w:val="32"/>
          <w:u w:val="none" w:color="218FC4"/>
        </w:rPr>
        <w:t>第十九条</w:t>
      </w:r>
      <w:r>
        <w:rPr>
          <w:rFonts w:hint="eastAsia" w:ascii="仿宋" w:hAnsi="仿宋" w:eastAsia="仿宋" w:cs="仿宋"/>
          <w:b w:val="0"/>
          <w:color w:val="000000"/>
          <w:sz w:val="32"/>
          <w:szCs w:val="32"/>
          <w:u w:val="none" w:color="218FC4"/>
        </w:rPr>
        <w:t xml:space="preserve"> 本规定施行后人民法院正在审理的一审、二审案件适用本规定。</w:t>
      </w:r>
    </w:p>
    <w:p>
      <w:pPr>
        <w:widowControl w:val="0"/>
        <w:wordWrap/>
        <w:adjustRightInd/>
        <w:snapToGrid/>
        <w:spacing w:line="560" w:lineRule="exact"/>
        <w:ind w:firstLine="640" w:firstLineChars="200"/>
        <w:textAlignment w:val="auto"/>
        <w:rPr>
          <w:rFonts w:hint="eastAsia" w:ascii="宋体" w:hAnsi="宋体" w:eastAsia="宋体" w:cs="Arial"/>
          <w:bCs/>
          <w:sz w:val="44"/>
          <w:szCs w:val="44"/>
        </w:rPr>
      </w:pPr>
      <w:r>
        <w:rPr>
          <w:rFonts w:hint="eastAsia" w:ascii="仿宋" w:hAnsi="仿宋" w:eastAsia="仿宋" w:cs="仿宋"/>
          <w:b w:val="0"/>
          <w:color w:val="000000"/>
          <w:sz w:val="32"/>
          <w:szCs w:val="32"/>
          <w:u w:val="none" w:color="218FC4"/>
        </w:rPr>
        <w:t>本规定施行前已经终审，本规定施行后当事人申请再审或者按照审判监督程序决定再审的案件，不适用本规定。</w:t>
      </w:r>
      <w:r>
        <w:rPr>
          <w:rFonts w:hint="eastAsia" w:ascii="仿宋" w:hAnsi="仿宋" w:eastAsia="仿宋" w:cs="仿宋"/>
          <w:b w:val="0"/>
          <w:color w:val="000000"/>
          <w:sz w:val="32"/>
          <w:szCs w:val="32"/>
          <w:u w:val="none" w:color="218FC4"/>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i w:val="0"/>
          <w:caps w:val="0"/>
          <w:color w:val="2F2F2F"/>
          <w:spacing w:val="0"/>
          <w:sz w:val="44"/>
          <w:szCs w:val="44"/>
          <w:shd w:val="clear" w:color="080000" w:fill="FFFFFF"/>
        </w:rPr>
      </w:pPr>
      <w:bookmarkStart w:id="282" w:name="_Toc3727"/>
      <w:r>
        <w:rPr>
          <w:rStyle w:val="23"/>
          <w:rFonts w:hint="eastAsia" w:ascii="宋体" w:hAnsi="宋体" w:eastAsia="宋体" w:cs="宋体"/>
          <w:i w:val="0"/>
          <w:caps w:val="0"/>
          <w:color w:val="2F2F2F"/>
          <w:spacing w:val="0"/>
          <w:sz w:val="44"/>
          <w:szCs w:val="44"/>
          <w:shd w:val="clear" w:color="080000" w:fill="FFFFFF"/>
        </w:rPr>
        <w:t>最高人民法院 最高人民检察院 公安部 司法部关于依法惩治妨害新型冠状病毒感染肺炎</w:t>
      </w:r>
      <w:bookmarkEnd w:id="28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i w:val="0"/>
          <w:caps w:val="0"/>
          <w:color w:val="2F2F2F"/>
          <w:spacing w:val="0"/>
          <w:sz w:val="44"/>
          <w:szCs w:val="44"/>
          <w:shd w:val="clear" w:color="080000" w:fill="FFFFFF"/>
        </w:rPr>
      </w:pPr>
      <w:bookmarkStart w:id="283" w:name="_Toc18948"/>
      <w:r>
        <w:rPr>
          <w:rStyle w:val="23"/>
          <w:rFonts w:hint="eastAsia" w:ascii="宋体" w:hAnsi="宋体" w:eastAsia="宋体" w:cs="宋体"/>
          <w:i w:val="0"/>
          <w:caps w:val="0"/>
          <w:color w:val="2F2F2F"/>
          <w:spacing w:val="0"/>
          <w:sz w:val="44"/>
          <w:szCs w:val="44"/>
          <w:shd w:val="clear" w:color="080000" w:fill="FFFFFF"/>
        </w:rPr>
        <w:t>疫情防控违法犯罪的意见</w:t>
      </w:r>
      <w:bookmarkEnd w:id="283"/>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i w:val="0"/>
          <w:caps w:val="0"/>
          <w:color w:val="2F2F2F"/>
          <w:spacing w:val="0"/>
          <w:sz w:val="32"/>
          <w:szCs w:val="32"/>
          <w:shd w:val="clear" w:color="080000" w:fill="FFFFFF"/>
        </w:rPr>
      </w:pP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Autospacing="0" w:line="560" w:lineRule="exact"/>
        <w:ind w:left="0" w:right="0" w:firstLine="0"/>
        <w:jc w:val="center"/>
        <w:textAlignment w:val="auto"/>
        <w:rPr>
          <w:rFonts w:hint="eastAsia" w:ascii="楷体" w:hAnsi="楷体" w:eastAsia="楷体" w:cs="楷体"/>
          <w:i w:val="0"/>
          <w:caps w:val="0"/>
          <w:color w:val="2F2F2F"/>
          <w:spacing w:val="0"/>
          <w:sz w:val="32"/>
          <w:szCs w:val="32"/>
        </w:rPr>
      </w:pPr>
      <w:r>
        <w:rPr>
          <w:rFonts w:hint="eastAsia" w:ascii="楷体" w:hAnsi="楷体" w:eastAsia="楷体" w:cs="楷体"/>
          <w:i w:val="0"/>
          <w:caps w:val="0"/>
          <w:color w:val="2F2F2F"/>
          <w:spacing w:val="0"/>
          <w:kern w:val="0"/>
          <w:sz w:val="32"/>
          <w:szCs w:val="32"/>
          <w:shd w:val="clear" w:color="080000" w:fill="FFFFFF"/>
          <w:lang w:val="en-US" w:eastAsia="zh-CN"/>
        </w:rPr>
        <w:t>法发〔2020〕7号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i w:val="0"/>
          <w:caps w:val="0"/>
          <w:color w:val="2F2F2F"/>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为依法惩治妨害新型冠状病毒感染肺炎疫情防控违法犯罪行为，保障人民群众生命安全和身体健康，保障社会安定有序，保障疫情防控工作顺利开展，根据有关法律、司法解释的规定，制定本意见。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黑体" w:hAnsi="黑体" w:eastAsia="黑体" w:cs="黑体"/>
          <w:i w:val="0"/>
          <w:caps w:val="0"/>
          <w:color w:val="2F2F2F"/>
          <w:spacing w:val="0"/>
          <w:sz w:val="32"/>
          <w:szCs w:val="32"/>
        </w:rPr>
      </w:pPr>
      <w:r>
        <w:rPr>
          <w:rStyle w:val="23"/>
          <w:rFonts w:hint="eastAsia" w:ascii="黑体" w:hAnsi="黑体" w:eastAsia="黑体" w:cs="黑体"/>
          <w:i w:val="0"/>
          <w:caps w:val="0"/>
          <w:color w:val="2F2F2F"/>
          <w:spacing w:val="0"/>
          <w:sz w:val="32"/>
          <w:szCs w:val="32"/>
          <w:shd w:val="clear" w:color="080000" w:fill="FFFFFF"/>
        </w:rPr>
        <w:t>　　</w:t>
      </w:r>
      <w:r>
        <w:rPr>
          <w:rStyle w:val="23"/>
          <w:rFonts w:hint="eastAsia" w:ascii="黑体" w:hAnsi="黑体" w:eastAsia="黑体" w:cs="黑体"/>
          <w:b w:val="0"/>
          <w:bCs w:val="0"/>
          <w:i w:val="0"/>
          <w:caps w:val="0"/>
          <w:color w:val="2F2F2F"/>
          <w:spacing w:val="0"/>
          <w:sz w:val="32"/>
          <w:szCs w:val="32"/>
          <w:shd w:val="clear" w:color="0A0000" w:fill="FFFFFF"/>
        </w:rPr>
        <w:t>一、提高政治站位，充分认识疫情防控时期维护社会大局稳定的重大意义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各级人民法院、人民检察院、公安机关、司法行政机关要切实把思想和行动统一到习近平总书记关于新型冠状病毒感染肺炎疫情防控工作的系列重要指示精神上来，坚决贯彻落实党中央决策部署、中央应对新型冠状病毒感染肺炎疫情工作领导小组工作安排，按照中央政法委要求，增强“四个意识”、坚定“四个自信”、做到“两个维护”，始终将人民群众的生命安全和身体健康放在第一位，坚决把疫情防控作为当前压倒一切的头等大事来抓，用足用好法律规定，依法及时、从严惩治妨害疫情防控的各类违法犯罪，为坚决打赢疫情防控阻击战提供有力法治保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2F2F2F"/>
          <w:spacing w:val="0"/>
          <w:sz w:val="32"/>
          <w:szCs w:val="32"/>
          <w:shd w:val="clear" w:color="080000" w:fill="FFFFFF"/>
        </w:rPr>
      </w:pPr>
      <w:r>
        <w:rPr>
          <w:rStyle w:val="23"/>
          <w:rFonts w:hint="eastAsia" w:ascii="黑体" w:hAnsi="黑体" w:eastAsia="黑体" w:cs="黑体"/>
          <w:i w:val="0"/>
          <w:caps w:val="0"/>
          <w:color w:val="2F2F2F"/>
          <w:spacing w:val="0"/>
          <w:sz w:val="32"/>
          <w:szCs w:val="32"/>
          <w:shd w:val="clear" w:color="080000" w:fill="FFFFFF"/>
        </w:rPr>
        <w:t>　　</w:t>
      </w:r>
      <w:r>
        <w:rPr>
          <w:rStyle w:val="23"/>
          <w:rFonts w:hint="eastAsia" w:ascii="黑体" w:hAnsi="黑体" w:eastAsia="黑体" w:cs="黑体"/>
          <w:b w:val="0"/>
          <w:bCs w:val="0"/>
          <w:i w:val="0"/>
          <w:caps w:val="0"/>
          <w:color w:val="2F2F2F"/>
          <w:spacing w:val="0"/>
          <w:sz w:val="32"/>
          <w:szCs w:val="32"/>
          <w:shd w:val="clear" w:color="0A0000" w:fill="FFFFFF"/>
        </w:rPr>
        <w:t>二、准确适用法律，依法严惩妨害疫情防控的各类违法犯罪</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（一）依法严惩抗拒疫情防控措施犯罪。</w:t>
      </w:r>
      <w:r>
        <w:rPr>
          <w:rFonts w:hint="eastAsia" w:ascii="仿宋" w:hAnsi="仿宋" w:eastAsia="仿宋" w:cs="仿宋"/>
          <w:i w:val="0"/>
          <w:caps w:val="0"/>
          <w:color w:val="2F2F2F"/>
          <w:spacing w:val="0"/>
          <w:sz w:val="32"/>
          <w:szCs w:val="32"/>
          <w:shd w:val="clear" w:color="070000" w:fill="FFFFFF"/>
        </w:rPr>
        <w:t>故意传播新型冠状病毒感染肺炎病原体，具有下列情形之一，危害公共安全的，依照刑法第一百一十四条、第一百一十五条第一款的规定，以以危险方法危害公共安全罪定罪处罚：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1.已经确诊的新型冠状病毒感染肺炎病人、病原携带者，拒绝隔离治疗或者隔离期未满擅自脱离隔离治疗，并进入公共场所或者公共交通工具的；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2.新型冠状病毒感染肺炎疑似病人拒绝隔离治疗或者隔离期未满擅自脱离隔离治疗，并进入公共场所或者公共交通工具，造成新型冠状病毒传播的。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其他拒绝执行卫生防疫机构依照传染病防治法提出的防控措施，引起新型冠状病毒传播或者有传播严重危险的，依照刑法第三百三十条的规定，以妨害传染病防治罪定罪处罚。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以暴力、威胁方法阻碍国家机关工作人员（含在依照法律、法规规定行使国家有关疫情防控行政管理职权的组织中从事公务的人员，在受国家机关委托代表国家机关行使疫情防控职权的组织中从事公务的人员，虽未列入国家机关人员编制但在国家机关中从事疫情防控公务的人员）依法履行为防控疫情而采取的防疫、检疫、强制隔离、隔离治疗等措施的，依照刑法第二百七十七条第一款、第三款的规定，以妨害公务罪定罪处罚。暴力袭击正在依法执行职务的人民警察的，以妨害公务罪定罪，从重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（二）依法严惩暴力伤医犯罪。</w:t>
      </w:r>
      <w:r>
        <w:rPr>
          <w:rFonts w:hint="eastAsia" w:ascii="仿宋" w:hAnsi="仿宋" w:eastAsia="仿宋" w:cs="仿宋"/>
          <w:i w:val="0"/>
          <w:caps w:val="0"/>
          <w:color w:val="2F2F2F"/>
          <w:spacing w:val="0"/>
          <w:sz w:val="32"/>
          <w:szCs w:val="32"/>
          <w:shd w:val="clear" w:color="070000" w:fill="FFFFFF"/>
        </w:rPr>
        <w:t>在疫情防控期间，故意伤害医务人员造成轻伤以上的严重后果，或者对医务人员实施撕扯防护装备、吐口水等行为，致使医务人员感染新型冠状病毒的，依照刑法第二百三十四条的规定，以故意伤害罪定罪处罚。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随意殴打医务人员，情节恶劣的，依照刑法第二百九十三条的规定，以寻衅滋事罪定罪处罚。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采取暴力或者其他方法公然侮辱、恐吓医务人员，符合刑法第二百四十六条、第二百九十三条规定的，以侮辱罪或者寻衅滋事罪定罪处罚。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以不准离开工作场所等方式非法限制医务人员人身自由，符合刑法第二百三十八条规定的，以非法拘禁罪定罪处罚。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（三）依法严惩制假售假犯罪。</w:t>
      </w:r>
      <w:r>
        <w:rPr>
          <w:rFonts w:hint="eastAsia" w:ascii="仿宋" w:hAnsi="仿宋" w:eastAsia="仿宋" w:cs="仿宋"/>
          <w:i w:val="0"/>
          <w:caps w:val="0"/>
          <w:color w:val="2F2F2F"/>
          <w:spacing w:val="0"/>
          <w:sz w:val="32"/>
          <w:szCs w:val="32"/>
          <w:shd w:val="clear" w:color="070000" w:fill="FFFFFF"/>
        </w:rPr>
        <w:t>在疫情防控期间，生产、销售伪劣的防治、防护产品、物资，或者生产、销售用于防治新型冠状病毒感染肺炎的假药、劣药，符合刑法第一百四十条、第一百四十一条、第一百四十二条规定的，以生产、销售伪劣产品罪，生产、销售假药罪或者生产、销售劣药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在疫情防控期间，生产不符合保障人体健康的国家标准、行业标准的医用口罩、护目镜、防护服等医用器材，或者销售明知是不符合标准的医用器材，足以严重危害人体健康的，依照刑法第一百四十五条的规定，以生产、销售不符合标准的医用器材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（四）依法严惩哄抬物价犯罪。</w:t>
      </w:r>
      <w:r>
        <w:rPr>
          <w:rFonts w:hint="eastAsia" w:ascii="仿宋" w:hAnsi="仿宋" w:eastAsia="仿宋" w:cs="仿宋"/>
          <w:i w:val="0"/>
          <w:caps w:val="0"/>
          <w:color w:val="2F2F2F"/>
          <w:spacing w:val="0"/>
          <w:sz w:val="32"/>
          <w:szCs w:val="32"/>
          <w:shd w:val="clear" w:color="070000" w:fill="FFFFFF"/>
        </w:rPr>
        <w:t>在疫情防控期间，违反国家有关市场经营、价格管理等规定，囤积居奇，哄抬疫情防控急需的口罩、护目镜、防护服、消毒液等防护用品、药品或者其他涉及民生的物品价格，牟取暴利，违法所得数额较大或者有其他严重情节，严重扰乱市场秩序的，依照刑法第二百二十五条第四项的规定，以非法经营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（五）依法严惩诈骗、聚众哄抢犯罪。</w:t>
      </w:r>
      <w:r>
        <w:rPr>
          <w:rFonts w:hint="eastAsia" w:ascii="仿宋" w:hAnsi="仿宋" w:eastAsia="仿宋" w:cs="仿宋"/>
          <w:i w:val="0"/>
          <w:caps w:val="0"/>
          <w:color w:val="2F2F2F"/>
          <w:spacing w:val="0"/>
          <w:sz w:val="32"/>
          <w:szCs w:val="32"/>
          <w:shd w:val="clear" w:color="070000" w:fill="FFFFFF"/>
        </w:rPr>
        <w:t>在疫情防控期间，假借研制、生产或者销售用于疫情防控的物品的名义骗取公私财物，或者捏造事实骗取公众捐赠款物，数额较大的，依照刑法第二百六十六条的规定，以诈骗罪定罪处罚。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在疫情防控期间，违反国家规定，假借疫情防控的名义，利用广告对所推销的商品或者服务作虚假宣传，致使多人上当受骗，违法所得数额较大或者有其他严重情节的，依照刑法第二百二十二条的规定，以虚假广告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在疫情防控期间，聚众哄抢公私财物特别是疫情防控和保障物资，数额较大或者有其他严重情节的，对首要分子和积极参加者，依照刑法第二百六十八条的规定，以聚众哄抢罪定罪处罚。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（六）依法严惩造谣传谣犯罪。</w:t>
      </w:r>
      <w:r>
        <w:rPr>
          <w:rFonts w:hint="eastAsia" w:ascii="仿宋" w:hAnsi="仿宋" w:eastAsia="仿宋" w:cs="仿宋"/>
          <w:i w:val="0"/>
          <w:caps w:val="0"/>
          <w:color w:val="2F2F2F"/>
          <w:spacing w:val="0"/>
          <w:sz w:val="32"/>
          <w:szCs w:val="32"/>
          <w:shd w:val="clear" w:color="070000" w:fill="FFFFFF"/>
        </w:rPr>
        <w:t>编造虚假的疫情信息，在信息网络或者其他媒体上传播，或者明知是虚假疫情信息，故意在信息网络或者其他媒体上传播，严重扰乱社会秩序的，依照刑法第二百九十一条之一第二款的规定，以编造、故意传播虚假信息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编造虚假信息，或者明知是编造的虚假信息，在信息网络上散布，或者组织、指使人员在信息网络上散布，起哄闹事，造成公共秩序严重混乱的，依照刑法第二百九十三条第一款第四项的规定，以寻衅滋事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利用新型冠状病毒感染肺炎疫情，制造、传播谣言，煽动分裂国家、破坏国家统一，或者煽动颠覆国家政权、推翻社会主义制度的，依照刑法第一百零三条第二款、第一百零五条第二款的规定，以煽动分裂国家罪或者煽动颠覆国家政权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网络服务提供者不履行法律、行政法规规定的信息网络安全管理义务，经监管部门责令采取改正措施而拒不改正，致使虚假疫情信息或者其他违法信息大量传播的，依照刑法第二百八十六条之一的规定，以拒不履行信息网络安全管理义务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对虚假疫情信息案件，要依法、精准、恰当处置。对恶意编造虚假疫情信息，制造社会恐慌，挑动社会情绪，扰乱公共秩序，特别是恶意攻击党和政府，借机煽动颠覆国家政权、推翻社会主义制度的，要依法严惩。对于因轻信而传播虚假信息，危害不大的，不以犯罪论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（七）依法严惩疫情防控失职渎职、贪污挪用犯罪。</w:t>
      </w:r>
      <w:r>
        <w:rPr>
          <w:rFonts w:hint="eastAsia" w:ascii="仿宋" w:hAnsi="仿宋" w:eastAsia="仿宋" w:cs="仿宋"/>
          <w:i w:val="0"/>
          <w:caps w:val="0"/>
          <w:color w:val="2F2F2F"/>
          <w:spacing w:val="0"/>
          <w:sz w:val="32"/>
          <w:szCs w:val="32"/>
          <w:shd w:val="clear" w:color="070000" w:fill="FFFFFF"/>
        </w:rPr>
        <w:t>在疫情防控工作中，负有组织、协调、指挥、灾害调查、控制、医疗救治、信息传递、交通运输、物资保障等职责的国家机关工作人员，滥用职权或者玩忽职守，致使公共财产、国家和人民利益遭受重大损失的，依照刑法第三百九十七条的规定，以滥用职权罪或者玩忽职守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卫生行政部门的工作人员严重不负责任，不履行或者不认真履行防治监管职责，导致新型冠状病毒感染肺炎传播或者流行，情节严重的，依照刑法第四百零九条的规定，以传染病防治失职罪定罪处罚。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从事实验、保藏、携带、运输传染病菌种、毒种的人员，违反国务院卫生行政部门的有关规定，造成新型冠状病毒毒种扩散，后果严重的，依照刑法第三百三十一条的规定，以传染病毒种扩散罪定罪处罚。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国家工作人员，受委托管理国有财产的人员，公司、企业或者其他单位的人员，利用职务便利，侵吞、截留或者以其他手段非法占有用于防控新型冠状病毒感染肺炎的款物，或者挪用上述款物归个人使用，符合刑法第三百八十二条、第三百八十三条、第二百七十一条、第三百八十四条、第二百七十二条规定的，以贪污罪、职务侵占罪、挪用公款罪、挪用资金罪定罪处罚。挪用用于防控新型冠状病毒感染肺炎的救灾、优抚、救济等款物，符合刑法第二百七十三条规定的，对直接责任人员，以挪用特定款物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（八）依法严惩破坏交通设施犯罪。</w:t>
      </w:r>
      <w:r>
        <w:rPr>
          <w:rFonts w:hint="eastAsia" w:ascii="仿宋" w:hAnsi="仿宋" w:eastAsia="仿宋" w:cs="仿宋"/>
          <w:i w:val="0"/>
          <w:caps w:val="0"/>
          <w:color w:val="2F2F2F"/>
          <w:spacing w:val="0"/>
          <w:sz w:val="32"/>
          <w:szCs w:val="32"/>
          <w:shd w:val="clear" w:color="070000" w:fill="FFFFFF"/>
        </w:rPr>
        <w:t>在疫情防控期间，破坏轨道、桥梁、隧道、公路、机场、航道、灯塔、标志或者进行其他破坏活动，足以使火车、汽车、电车、船只、航空器发生倾覆、毁坏危险的，依照刑法第一百一十七条、第一百一十九条第一款的规定，以破坏交通设施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办理破坏交通设施案件，要区分具体情况，依法审慎处理。对于为了防止疫情蔓延，未经批准擅自封路阻碍交通，未造成严重后果的，一般不以犯罪论处，由主管部门予以纠正。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（九）依法严惩破坏野生动物资源犯罪。</w:t>
      </w:r>
      <w:r>
        <w:rPr>
          <w:rFonts w:hint="eastAsia" w:ascii="仿宋" w:hAnsi="仿宋" w:eastAsia="仿宋" w:cs="仿宋"/>
          <w:i w:val="0"/>
          <w:caps w:val="0"/>
          <w:color w:val="2F2F2F"/>
          <w:spacing w:val="0"/>
          <w:sz w:val="32"/>
          <w:szCs w:val="32"/>
          <w:shd w:val="clear" w:color="070000" w:fill="FFFFFF"/>
        </w:rPr>
        <w:t>非法猎捕、杀害国家重点保护的珍贵、濒危野生动物的，或者非法收购、运输、出售国家重点保护的珍贵、濒危野生动物及其制品的，依照刑法第三百四十一条第一款的规定，以非法猎捕、杀害珍贵、濒危野生动物罪或者非法收购、运输、出售珍贵、濒危野生动物、珍贵、濒危野生动物制品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违反狩猎法规，在禁猎区、禁猎期或者使用禁用的工具、方法进行狩猎，破坏野生动物资源，情节严重的，依照刑法第三百四十一条第二款的规定，以非法狩猎罪定罪处罚。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违反国家规定，非法经营非国家重点保护野生动物及其制品（包括开办交易场所、进行网络销售、加工食品出售等），扰乱市场秩序，情节严重的，依照刑法第二百二十五条第四项的规定，以非法经营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知道或者应当知道是国家重点保护的珍贵、濒危野生动物及其制品，为食用或者其他目的而非法购买，符合刑法第三百四十一条第一款规定的，以非法收购珍贵、濒危野生动物、珍贵、濒危野生动物制品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知道或者应当知道是非法狩猎的野生动物而购买，符合刑法第三百一十二条规定的，以掩饰、隐瞒犯罪所得罪定罪处罚。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（十）依法严惩妨害疫情防控的违法行为。</w:t>
      </w:r>
      <w:r>
        <w:rPr>
          <w:rFonts w:hint="eastAsia" w:ascii="仿宋" w:hAnsi="仿宋" w:eastAsia="仿宋" w:cs="仿宋"/>
          <w:i w:val="0"/>
          <w:caps w:val="0"/>
          <w:color w:val="2F2F2F"/>
          <w:spacing w:val="0"/>
          <w:sz w:val="32"/>
          <w:szCs w:val="32"/>
          <w:shd w:val="clear" w:color="070000" w:fill="FFFFFF"/>
        </w:rPr>
        <w:t>实施上述（一）至（九）规定的行为，不构成犯罪的，由公安机关根据治安管理处罚法有关虚构事实扰乱公共秩序，扰乱单位秩序、公共场所秩序、寻衅滋事，拒不执行紧急状态下的决定、命令，阻碍执行职务，冲闯警戒带、警戒区，殴打他人，故意伤害，侮辱他人，诈骗，在铁路沿线非法挖掘坑穴、采石取沙，盗窃、损毁路面公共设施，损毁铁路设施设备，故意损毁财物、哄抢公私财物等规定，予以治安管理处罚，或者由有关部门予以其他行政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对于在疫情防控期间实施有关违法犯罪的，要作为从重情节予以考量，依法体现从严的政策要求，有力惩治震慑违法犯罪，维护法律权威，维护社会秩序，维护人民群众生命安全和身体健康。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黑体" w:hAnsi="黑体" w:eastAsia="黑体" w:cs="黑体"/>
          <w:i w:val="0"/>
          <w:caps w:val="0"/>
          <w:color w:val="2F2F2F"/>
          <w:spacing w:val="0"/>
          <w:sz w:val="32"/>
          <w:szCs w:val="32"/>
          <w:shd w:val="clear" w:color="070000" w:fill="FFFFFF"/>
        </w:rPr>
      </w:pPr>
      <w:r>
        <w:rPr>
          <w:rStyle w:val="23"/>
          <w:rFonts w:hint="eastAsia" w:ascii="仿宋" w:hAnsi="仿宋" w:eastAsia="仿宋" w:cs="仿宋"/>
          <w:i w:val="0"/>
          <w:caps w:val="0"/>
          <w:color w:val="2F2F2F"/>
          <w:spacing w:val="0"/>
          <w:sz w:val="32"/>
          <w:szCs w:val="32"/>
          <w:shd w:val="clear" w:color="080000" w:fill="FFFFFF"/>
        </w:rPr>
        <w:t>　</w:t>
      </w:r>
      <w:r>
        <w:rPr>
          <w:rFonts w:hint="eastAsia" w:ascii="黑体" w:hAnsi="黑体" w:eastAsia="黑体" w:cs="黑体"/>
          <w:i w:val="0"/>
          <w:caps w:val="0"/>
          <w:color w:val="2F2F2F"/>
          <w:spacing w:val="0"/>
          <w:sz w:val="32"/>
          <w:szCs w:val="32"/>
          <w:shd w:val="clear" w:color="070000" w:fill="FFFFFF"/>
        </w:rPr>
        <w:t>　三、健全完善工作机制，保障办案效果和安全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（一）及时查处案件。</w:t>
      </w:r>
      <w:r>
        <w:rPr>
          <w:rFonts w:hint="eastAsia" w:ascii="仿宋" w:hAnsi="仿宋" w:eastAsia="仿宋" w:cs="仿宋"/>
          <w:i w:val="0"/>
          <w:caps w:val="0"/>
          <w:color w:val="2F2F2F"/>
          <w:spacing w:val="0"/>
          <w:sz w:val="32"/>
          <w:szCs w:val="32"/>
          <w:shd w:val="clear" w:color="070000" w:fill="FFFFFF"/>
        </w:rPr>
        <w:t>公安机关对于妨害新型冠状病毒感染肺炎疫情防控的案件，要依法及时立案查处，全面收集固定证据。对于拒绝隔离治疗或者隔离期未满擅自脱离隔离治疗的人员，公安机关要依法协助医疗机构和有关部门采取强制隔离治疗措施。要严格规范公正文明执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（二）强化沟通协调。</w:t>
      </w:r>
      <w:r>
        <w:rPr>
          <w:rFonts w:hint="eastAsia" w:ascii="仿宋" w:hAnsi="仿宋" w:eastAsia="仿宋" w:cs="仿宋"/>
          <w:i w:val="0"/>
          <w:caps w:val="0"/>
          <w:color w:val="2F2F2F"/>
          <w:spacing w:val="0"/>
          <w:sz w:val="32"/>
          <w:szCs w:val="32"/>
          <w:shd w:val="clear" w:color="070000" w:fill="FFFFFF"/>
        </w:rPr>
        <w:t>人民法院、人民检察院、公安机关、司法行政机关要加强沟通协调，确保案件顺利侦查、起诉、审判、交付执行。对重大、敏感、复杂案件，公安机关要及时听取人民检察院的意见建议。对社会影响大、舆论关注度高的重大案件，要加强组织领导，按照依法处置、舆论引导、社会面管控“三同步”要求，及时向社会通报案件进展情况，澄清事实真相，做好舆论引导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（三）保障诉讼权利。</w:t>
      </w:r>
      <w:r>
        <w:rPr>
          <w:rFonts w:hint="eastAsia" w:ascii="仿宋" w:hAnsi="仿宋" w:eastAsia="仿宋" w:cs="仿宋"/>
          <w:i w:val="0"/>
          <w:caps w:val="0"/>
          <w:color w:val="2F2F2F"/>
          <w:spacing w:val="0"/>
          <w:sz w:val="32"/>
          <w:szCs w:val="32"/>
          <w:shd w:val="clear" w:color="070000" w:fill="FFFFFF"/>
        </w:rPr>
        <w:t>要依法保障犯罪嫌疑人、被告人的各项诉讼权利特别是辩护权。要按照刑事案件律师辩护全覆盖的要求，积极组织律师为没有委托辩护人的被告人依法提供辩护或者法律帮助。各级司法行政机关要加强对律师辩护代理工作的指导监督，引导广大律师依法依规履行辩护代理职责，切实维护犯罪嫌疑人、被告人的合法权益，保障法律正确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（四）加强宣传教育。</w:t>
      </w:r>
      <w:r>
        <w:rPr>
          <w:rFonts w:hint="eastAsia" w:ascii="仿宋" w:hAnsi="仿宋" w:eastAsia="仿宋" w:cs="仿宋"/>
          <w:i w:val="0"/>
          <w:caps w:val="0"/>
          <w:color w:val="2F2F2F"/>
          <w:spacing w:val="0"/>
          <w:sz w:val="32"/>
          <w:szCs w:val="32"/>
          <w:shd w:val="clear" w:color="070000" w:fill="FFFFFF"/>
        </w:rPr>
        <w:t>人民法院、人民检察院、公安机关、司法行政机关要认真落实“谁执法谁普法”责任制，结合案件办理深入细致开展法治宣传教育工作。要选取典型案例，以案释法，加大警示教育，震慑违法犯罪分子，充分展示坚决依法严惩此类违法犯罪、维护人民群众生命安全和身体健康的决心。要引导广大群众遵纪守法，不信谣、不传谣，依法支持和配合疫情防控工作，为疫情防控工作的顺利开展营造良好的法治和社会环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2F2F2F"/>
          <w:spacing w:val="0"/>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（五）注重办案安全。</w:t>
      </w:r>
      <w:r>
        <w:rPr>
          <w:rFonts w:hint="eastAsia" w:ascii="仿宋" w:hAnsi="仿宋" w:eastAsia="仿宋" w:cs="仿宋"/>
          <w:i w:val="0"/>
          <w:caps w:val="0"/>
          <w:color w:val="2F2F2F"/>
          <w:spacing w:val="0"/>
          <w:sz w:val="32"/>
          <w:szCs w:val="32"/>
          <w:shd w:val="clear" w:color="070000" w:fill="FFFFFF"/>
        </w:rPr>
        <w:t>在疫情防控期间，办理妨害新型冠状病毒感染肺炎疫情防控案件，办案人员要注重自身安全，提升防范意识，增强在履行接处警、抓捕、羁押、讯问、审判、执行等职能时的自我保护能力和防范能力。除依法必须当面接触的情形外，可以尽量采取书面审查方式，必要时，可以采取视频等方式讯问犯罪嫌疑人、询问被害人、证人、听取辩护律师意见。人民法院在疫情防控期间审理相关案件的，在坚持依法公开审理的同时，要最大限度减少人员聚集，切实维护诉讼参与人、旁听群众、法院干警的安全和健康。</w:t>
      </w:r>
    </w:p>
    <w:p>
      <w:pPr>
        <w:wordWrap/>
        <w:adjustRightInd/>
        <w:snapToGrid/>
        <w:spacing w:line="560" w:lineRule="exact"/>
        <w:textAlignment w:val="auto"/>
        <w:rPr>
          <w:rFonts w:hint="eastAsia" w:ascii="仿宋" w:hAnsi="仿宋" w:eastAsia="仿宋" w:cs="仿宋"/>
          <w:sz w:val="32"/>
          <w:szCs w:val="32"/>
        </w:rPr>
      </w:pPr>
    </w:p>
    <w:p>
      <w:pPr>
        <w:wordWrap/>
        <w:adjustRightInd/>
        <w:snapToGrid/>
        <w:spacing w:line="560" w:lineRule="exact"/>
        <w:textAlignment w:val="auto"/>
        <w:rPr>
          <w:rFonts w:hint="eastAsia" w:ascii="宋体" w:hAnsi="宋体" w:eastAsia="宋体" w:cs="Arial"/>
          <w:bCs/>
          <w:sz w:val="44"/>
          <w:szCs w:val="44"/>
        </w:rPr>
      </w:pPr>
      <w:r>
        <w:rPr>
          <w:rFonts w:hint="eastAsia" w:ascii="宋体" w:hAnsi="宋体" w:eastAsia="宋体" w:cs="Arial"/>
          <w:bCs/>
          <w:sz w:val="44"/>
          <w:szCs w:val="44"/>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outlineLvl w:val="0"/>
        <w:rPr>
          <w:rStyle w:val="23"/>
          <w:rFonts w:hint="eastAsia" w:ascii="宋体" w:hAnsi="宋体" w:eastAsia="宋体" w:cs="宋体"/>
          <w:i w:val="0"/>
          <w:caps w:val="0"/>
          <w:color w:val="2F2F2F"/>
          <w:spacing w:val="0"/>
          <w:sz w:val="44"/>
          <w:szCs w:val="44"/>
          <w:shd w:val="clear" w:color="080000" w:fill="FFFFFF"/>
        </w:rPr>
      </w:pPr>
      <w:bookmarkStart w:id="284" w:name="_Toc31523"/>
      <w:r>
        <w:rPr>
          <w:rStyle w:val="23"/>
          <w:rFonts w:hint="eastAsia" w:ascii="宋体" w:hAnsi="宋体" w:eastAsia="宋体" w:cs="宋体"/>
          <w:i w:val="0"/>
          <w:caps w:val="0"/>
          <w:color w:val="2F2F2F"/>
          <w:spacing w:val="0"/>
          <w:sz w:val="44"/>
          <w:szCs w:val="44"/>
          <w:shd w:val="clear" w:color="080000" w:fill="FFFFFF"/>
        </w:rPr>
        <w:t>最高人民法院 最高人民检察院 公安部</w:t>
      </w:r>
      <w:r>
        <w:rPr>
          <w:rFonts w:hint="eastAsia" w:ascii="宋体" w:hAnsi="宋体" w:eastAsia="宋体" w:cs="宋体"/>
          <w:i w:val="0"/>
          <w:caps w:val="0"/>
          <w:color w:val="2F2F2F"/>
          <w:spacing w:val="0"/>
          <w:sz w:val="44"/>
          <w:szCs w:val="44"/>
          <w:shd w:val="clear" w:color="070000" w:fill="FFFFFF"/>
        </w:rPr>
        <w:br w:type="textWrapping"/>
      </w:r>
      <w:r>
        <w:rPr>
          <w:rStyle w:val="23"/>
          <w:rFonts w:hint="eastAsia" w:ascii="宋体" w:hAnsi="宋体" w:eastAsia="宋体" w:cs="宋体"/>
          <w:i w:val="0"/>
          <w:caps w:val="0"/>
          <w:color w:val="2F2F2F"/>
          <w:spacing w:val="0"/>
          <w:sz w:val="44"/>
          <w:szCs w:val="44"/>
          <w:shd w:val="clear" w:color="080000" w:fill="FFFFFF"/>
        </w:rPr>
        <w:t>司法部 海关总署关于进一步加强国境</w:t>
      </w:r>
      <w:r>
        <w:rPr>
          <w:rFonts w:hint="eastAsia" w:ascii="宋体" w:hAnsi="宋体" w:eastAsia="宋体" w:cs="宋体"/>
          <w:i w:val="0"/>
          <w:caps w:val="0"/>
          <w:color w:val="2F2F2F"/>
          <w:spacing w:val="0"/>
          <w:sz w:val="44"/>
          <w:szCs w:val="44"/>
          <w:shd w:val="clear" w:color="070000" w:fill="FFFFFF"/>
        </w:rPr>
        <w:br w:type="textWrapping"/>
      </w:r>
      <w:r>
        <w:rPr>
          <w:rStyle w:val="23"/>
          <w:rFonts w:hint="eastAsia" w:ascii="宋体" w:hAnsi="宋体" w:eastAsia="宋体" w:cs="宋体"/>
          <w:i w:val="0"/>
          <w:caps w:val="0"/>
          <w:color w:val="2F2F2F"/>
          <w:spacing w:val="0"/>
          <w:sz w:val="44"/>
          <w:szCs w:val="44"/>
          <w:shd w:val="clear" w:color="080000" w:fill="FFFFFF"/>
        </w:rPr>
        <w:t>卫生检疫工作 依法惩治妨害国境</w:t>
      </w:r>
      <w:r>
        <w:rPr>
          <w:rFonts w:hint="eastAsia" w:ascii="宋体" w:hAnsi="宋体" w:eastAsia="宋体" w:cs="宋体"/>
          <w:i w:val="0"/>
          <w:caps w:val="0"/>
          <w:color w:val="2F2F2F"/>
          <w:spacing w:val="0"/>
          <w:sz w:val="44"/>
          <w:szCs w:val="44"/>
          <w:shd w:val="clear" w:color="070000" w:fill="FFFFFF"/>
        </w:rPr>
        <w:br w:type="textWrapping"/>
      </w:r>
      <w:r>
        <w:rPr>
          <w:rStyle w:val="23"/>
          <w:rFonts w:hint="eastAsia" w:ascii="宋体" w:hAnsi="宋体" w:eastAsia="宋体" w:cs="宋体"/>
          <w:i w:val="0"/>
          <w:caps w:val="0"/>
          <w:color w:val="2F2F2F"/>
          <w:spacing w:val="0"/>
          <w:sz w:val="44"/>
          <w:szCs w:val="44"/>
          <w:shd w:val="clear" w:color="080000" w:fill="FFFFFF"/>
        </w:rPr>
        <w:t>卫生检疫违法犯罪的意见</w:t>
      </w:r>
      <w:bookmarkEnd w:id="284"/>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Style w:val="23"/>
          <w:rFonts w:hint="eastAsia" w:ascii="仿宋" w:hAnsi="仿宋" w:eastAsia="仿宋" w:cs="仿宋"/>
          <w:i w:val="0"/>
          <w:caps w:val="0"/>
          <w:color w:val="2F2F2F"/>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楷体" w:hAnsi="楷体" w:eastAsia="楷体" w:cs="楷体"/>
          <w:sz w:val="32"/>
          <w:szCs w:val="32"/>
        </w:rPr>
      </w:pPr>
      <w:r>
        <w:rPr>
          <w:rFonts w:hint="eastAsia" w:ascii="楷体" w:hAnsi="楷体" w:eastAsia="楷体" w:cs="楷体"/>
          <w:i w:val="0"/>
          <w:caps w:val="0"/>
          <w:color w:val="2F2F2F"/>
          <w:spacing w:val="0"/>
          <w:sz w:val="32"/>
          <w:szCs w:val="32"/>
          <w:shd w:val="clear" w:color="070000" w:fill="FFFFFF"/>
        </w:rPr>
        <w:t>署法发〔2020〕50号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Style w:val="23"/>
          <w:rFonts w:hint="eastAsia" w:ascii="仿宋" w:hAnsi="仿宋" w:eastAsia="仿宋" w:cs="仿宋"/>
          <w:i w:val="0"/>
          <w:caps w:val="0"/>
          <w:color w:val="2F2F2F"/>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为进一步加强国境卫生检疫工作，依法惩治妨害国境卫生检疫违法犯罪行为，维护公共卫生安全，保障人民群众生命安全和身体健康，根据有关法律、司法解释的规定，制定本意见。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黑体" w:hAnsi="黑体" w:eastAsia="黑体" w:cs="黑体"/>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一、充分认识国境卫生检疫对于维护公共卫生安全的重要意义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国境卫生检疫对防止传染病传入传出国境，保障人民群众生命安全和身体健康，维护公共卫生安全和社会安定有序发挥着重要作用。党中央、国务院高度重视国境卫生检疫工作，特别是新冠肺炎疫情发生以来，习近平总书记对强化公共卫生法治保障、改革完善疾病预防控制体系、健全防治结合、联防联控、群防群治工作机制作出一系列重要指示批示。各级人民法院、人民检察院、公安机关、司法行政机关、海关要切实提高政治站位，把思想和行动统一到习近平总书记重要指示批示精神上来，坚决贯彻落实党中央决策部署，增强“四个意识”、坚定“四个自信”、做到“两个维护”；从贯彻落实总体国家安全观、推动构建人类命运共同体的高度，始终将人民群众的生命安全和身体健康放在第一位，切实提升国境卫生检疫行政执法和司法办案水平。特别是面对当前新冠肺炎疫情在境外呈现扩散态势、通过口岸向境内蔓延扩散风险加剧的严峻形势，要依法及时、从严惩治妨害国境卫生检疫的各类违法犯罪行为，切实筑牢国境卫生检疫防线，坚决遏制疫情通过口岸传播扩散，为维护公共卫生安全提供有力的法治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二、依法惩治妨害国境卫生检疫的违法犯罪行为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为加强国境卫生检疫工作，防止传染病传入传出国境，保护人民群众健康安全，刑法、国境卫生检疫法对妨害国境卫生检疫违法犯罪行为及其处罚作出规定。人民法院、人民检察院、公安机关、海关在办理妨害国境卫生检疫案件时，应当准确理解和严格适用刑法、国境卫生检疫法等有关规定，依法惩治相关违法犯罪行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（一）进一步加强国境卫生检疫行政执法。</w:t>
      </w:r>
      <w:r>
        <w:rPr>
          <w:rFonts w:hint="eastAsia" w:ascii="仿宋" w:hAnsi="仿宋" w:eastAsia="仿宋" w:cs="仿宋"/>
          <w:i w:val="0"/>
          <w:caps w:val="0"/>
          <w:color w:val="2F2F2F"/>
          <w:spacing w:val="0"/>
          <w:sz w:val="32"/>
          <w:szCs w:val="32"/>
          <w:shd w:val="clear" w:color="070000" w:fill="FFFFFF"/>
        </w:rPr>
        <w:t>海关要在各口岸加强国境卫生检疫工作宣传，引导出入境人员以及接受检疫监管的单位和人员严格遵守国境卫生检疫法等法律法规的规定，配合和接受海关国境卫生检疫。同时，要加大国境卫生检疫行政执法力度，对于违反国境卫生检疫法及其实施细则，尚不构成犯罪的行为，依法给予行政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（二）依法惩治妨害国境卫生检疫犯罪。</w:t>
      </w:r>
      <w:r>
        <w:rPr>
          <w:rFonts w:hint="eastAsia" w:ascii="仿宋" w:hAnsi="仿宋" w:eastAsia="仿宋" w:cs="仿宋"/>
          <w:i w:val="0"/>
          <w:caps w:val="0"/>
          <w:color w:val="2F2F2F"/>
          <w:spacing w:val="0"/>
          <w:sz w:val="32"/>
          <w:szCs w:val="32"/>
          <w:shd w:val="clear" w:color="070000" w:fill="FFFFFF"/>
        </w:rPr>
        <w:t>根据刑法第三百三十二条规定，违反国境卫生检疫规定，实施下列行为之一的，属于妨害国境卫生检疫行为：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1. 检疫传染病染疫人或者染疫嫌疑人拒绝执行海关依照国境卫生检疫法等法律法规提出的健康申报、体温监测、医学巡查、流行病学调查、医学排查、采样等卫生检疫措施，或者隔离、留验、就地诊验、转诊等卫生处理措施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2. 检疫传染病染疫人或者染疫嫌疑人采取不如实填报健康申明卡等方式隐瞒疫情，或者伪造、涂改检疫单、证等方式伪造情节的；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3. 知道或者应当知道实施审批管理的微生物、人体组织、生物制品、血液及其制品等特殊物品可能造成检疫传染病传播，未经审批仍逃避检疫，携运、寄递出入境的；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4. 出入境交通工具上发现有检疫传染病染疫人或者染疫嫌疑人，交通工具负责人拒绝接受卫生检疫或者拒不接受卫生处理的；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5. 来自检疫传染病流行国家、地区的出入境交通工具上出现非意外伤害死亡且死因不明的人员，交通工具负责人故意隐瞒情况的；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6. 其他拒绝执行海关依照国境卫生检疫法等法律法规提出的检疫措施的。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实施上述行为，引起鼠疫、霍乱、黄热病以及新冠肺炎等国务院确定和公布的其他检疫传染病传播或者有传播严重危险的，依照刑法第三百三十二条的规定，以妨害国境卫生检疫罪定罪处罚。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对于单位实施妨害国境卫生检疫行为，引起鼠疫、霍乱、黄热病以及新冠肺炎等国务院确定和公布的其他检疫传染病传播或者有传播严重危险的，应当对单位判处罚金，并对其直接负责的主管人员和其他直接责任人员定罪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三、健全完善工作机制，保障依法科学有序防控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（一）做好行刑衔接。</w:t>
      </w:r>
      <w:r>
        <w:rPr>
          <w:rFonts w:hint="eastAsia" w:ascii="仿宋" w:hAnsi="仿宋" w:eastAsia="仿宋" w:cs="仿宋"/>
          <w:i w:val="0"/>
          <w:caps w:val="0"/>
          <w:color w:val="2F2F2F"/>
          <w:spacing w:val="0"/>
          <w:sz w:val="32"/>
          <w:szCs w:val="32"/>
          <w:shd w:val="clear" w:color="070000" w:fill="FFFFFF"/>
        </w:rPr>
        <w:t>海关要严把口岸疫情防控第一关，严厉追究违反国境卫生检疫规定的行政法律责任，完善执法办案流程，坚持严格执法和依法办案。做好行政执法和刑事司法的衔接，对符合国境卫生检疫监管领域刑事案件立案追诉标准的案件，要依照有关规定，及时办理移送公安机关的相关手续，不得以行政处罚代替刑事处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（二）加快案件侦办。</w:t>
      </w:r>
      <w:r>
        <w:rPr>
          <w:rFonts w:hint="eastAsia" w:ascii="仿宋" w:hAnsi="仿宋" w:eastAsia="仿宋" w:cs="仿宋"/>
          <w:i w:val="0"/>
          <w:caps w:val="0"/>
          <w:color w:val="2F2F2F"/>
          <w:spacing w:val="0"/>
          <w:sz w:val="32"/>
          <w:szCs w:val="32"/>
          <w:shd w:val="clear" w:color="070000" w:fill="FFFFFF"/>
        </w:rPr>
        <w:t>公安机关对于妨害国境卫生检疫犯罪案件，要依法及时立案查处，全面收集固定证据。对新冠肺炎疫情防控期间发生的妨害国境卫生检疫犯罪，要快侦快破，并及时予以曝光，形成强大震慑。</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　（三）强化检察职能。</w:t>
      </w:r>
      <w:r>
        <w:rPr>
          <w:rFonts w:hint="eastAsia" w:ascii="仿宋" w:hAnsi="仿宋" w:eastAsia="仿宋" w:cs="仿宋"/>
          <w:i w:val="0"/>
          <w:caps w:val="0"/>
          <w:color w:val="2F2F2F"/>
          <w:spacing w:val="0"/>
          <w:sz w:val="32"/>
          <w:szCs w:val="32"/>
          <w:shd w:val="clear" w:color="070000" w:fill="FFFFFF"/>
        </w:rPr>
        <w:t>人民检察院要加强对妨害国境卫生检疫犯罪案件的立案监督，发现应当立案而不立案的，应当要求公安机关说明理由，认为理由不成立的，应当依法通知公安机关立案。对于妨害国境卫生检疫犯罪案件，人民检察院可以对案件性质、收集证据和适用法律等向公安机关提出意见建议。对于符合逮捕、起诉条件的涉嫌妨害国境卫生检疫罪的犯罪嫌疑人，应当及时批准逮捕、提起公诉。发挥检察建议的作用，促进疫情防控体系化治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（四）加强沟通协调。</w:t>
      </w:r>
      <w:r>
        <w:rPr>
          <w:rFonts w:hint="eastAsia" w:ascii="仿宋" w:hAnsi="仿宋" w:eastAsia="仿宋" w:cs="仿宋"/>
          <w:i w:val="0"/>
          <w:caps w:val="0"/>
          <w:color w:val="2F2F2F"/>
          <w:spacing w:val="0"/>
          <w:sz w:val="32"/>
          <w:szCs w:val="32"/>
          <w:shd w:val="clear" w:color="070000" w:fill="FFFFFF"/>
        </w:rPr>
        <w:t>人民法院、人民检察院、公安机关、司法行政机关、海关要加强沟通协调，畅通联系渠道，建立常态化合作机制。既要严格履行法定职责，各司其职，各负其责，又要相互配合，相互协作，实现资源共享和优势互补，形成依法惩治妨害国境卫生检疫违法犯罪的合力。对社会影响大、舆论关注度高的重大案件，要按照依法处置、舆论引导、社会面管控“三同步”要求，及时澄清事实真相，做好舆论引导和舆情应对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sz w:val="32"/>
          <w:szCs w:val="32"/>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（五）坚持过罚相当。</w:t>
      </w:r>
      <w:r>
        <w:rPr>
          <w:rFonts w:hint="eastAsia" w:ascii="仿宋" w:hAnsi="仿宋" w:eastAsia="仿宋" w:cs="仿宋"/>
          <w:i w:val="0"/>
          <w:caps w:val="0"/>
          <w:color w:val="2F2F2F"/>
          <w:spacing w:val="0"/>
          <w:sz w:val="32"/>
          <w:szCs w:val="32"/>
          <w:shd w:val="clear" w:color="070000" w:fill="FFFFFF"/>
        </w:rPr>
        <w:t>进一步规范国境卫生检疫执法活动，切实做到严格规范公正文明执法。注重把握宽严相济政策：对于行政违法行为，要根据违法行为的危害程度和悔过态度，综合确定处罚种类和幅度。对于涉嫌犯罪的，要重点打击情节恶劣、后果严重的犯罪行为；对于情节轻微且真诚悔改的，依法予以从宽处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微软雅黑" w:hAnsi="微软雅黑" w:eastAsia="微软雅黑" w:cs="微软雅黑"/>
          <w:i w:val="0"/>
          <w:caps w:val="0"/>
          <w:color w:val="7A7A7A"/>
          <w:spacing w:val="0"/>
          <w:sz w:val="14"/>
          <w:szCs w:val="14"/>
        </w:rPr>
      </w:pPr>
      <w:r>
        <w:rPr>
          <w:rFonts w:hint="eastAsia" w:ascii="仿宋" w:hAnsi="仿宋" w:eastAsia="仿宋" w:cs="仿宋"/>
          <w:i w:val="0"/>
          <w:caps w:val="0"/>
          <w:color w:val="2F2F2F"/>
          <w:spacing w:val="0"/>
          <w:sz w:val="32"/>
          <w:szCs w:val="32"/>
          <w:shd w:val="clear" w:color="070000" w:fill="FFFFFF"/>
        </w:rPr>
        <w:t>　　</w:t>
      </w:r>
      <w:r>
        <w:rPr>
          <w:rFonts w:hint="eastAsia" w:ascii="黑体" w:hAnsi="黑体" w:eastAsia="黑体" w:cs="黑体"/>
          <w:i w:val="0"/>
          <w:caps w:val="0"/>
          <w:color w:val="2F2F2F"/>
          <w:spacing w:val="0"/>
          <w:sz w:val="32"/>
          <w:szCs w:val="32"/>
          <w:shd w:val="clear" w:color="070000" w:fill="FFFFFF"/>
        </w:rPr>
        <w:t>（六）维护公平正义。</w:t>
      </w:r>
      <w:r>
        <w:rPr>
          <w:rFonts w:hint="eastAsia" w:ascii="仿宋" w:hAnsi="仿宋" w:eastAsia="仿宋" w:cs="仿宋"/>
          <w:i w:val="0"/>
          <w:caps w:val="0"/>
          <w:color w:val="2F2F2F"/>
          <w:spacing w:val="0"/>
          <w:sz w:val="32"/>
          <w:szCs w:val="32"/>
          <w:shd w:val="clear" w:color="070000" w:fill="FFFFFF"/>
        </w:rPr>
        <w:t>人民法院、人民检察院、公安机关要依法保障犯罪嫌疑人、被告人的各项诉讼权利特别是辩护权，切实维护当事人合法权益，维护法律正确实施。司法行政机关要加强对律师辩护代理工作的指导监督，促进律师依法依规执业。人民法院、人民检察院、公安机关、司法行政机关、海关要认真落实“谁执法谁普法”责任制，选取典型案例，开展以案释法，加大警示教育，震慑不法分子，释放正能量，为疫情防控营造良好的法治和社会环境。</w:t>
      </w:r>
    </w:p>
    <w:p/>
    <w:p>
      <w:pPr>
        <w:rPr>
          <w:rFonts w:hint="eastAsia" w:ascii="宋体" w:hAnsi="宋体" w:eastAsia="宋体" w:cs="Arial"/>
          <w:bCs/>
          <w:sz w:val="44"/>
          <w:szCs w:val="44"/>
        </w:rPr>
      </w:pPr>
      <w:r>
        <w:rPr>
          <w:rFonts w:hint="eastAsia" w:ascii="宋体" w:hAnsi="宋体" w:eastAsia="宋体" w:cs="Arial"/>
          <w:bCs/>
          <w:sz w:val="44"/>
          <w:szCs w:val="44"/>
        </w:rPr>
        <w:br w:type="page"/>
      </w:r>
    </w:p>
    <w:p>
      <w:pPr>
        <w:pStyle w:val="11"/>
        <w:spacing w:line="520" w:lineRule="exact"/>
        <w:rPr>
          <w:rFonts w:ascii="仿宋_GB2312" w:hAnsi="宋体" w:eastAsia="仿宋_GB2312" w:cs="宋体"/>
          <w:sz w:val="32"/>
          <w:szCs w:val="32"/>
        </w:rPr>
      </w:pPr>
      <w:bookmarkStart w:id="285" w:name="_Toc14973"/>
      <w:r>
        <w:rPr>
          <w:rFonts w:hint="eastAsia" w:ascii="仿宋_GB2312" w:hAnsi="宋体" w:eastAsia="仿宋_GB2312" w:cs="宋体"/>
          <w:sz w:val="32"/>
          <w:szCs w:val="32"/>
        </w:rPr>
        <w:t xml:space="preserve"> </w:t>
      </w:r>
    </w:p>
    <w:p>
      <w:pPr>
        <w:pStyle w:val="11"/>
        <w:jc w:val="center"/>
        <w:rPr>
          <w:rFonts w:hint="eastAsia" w:ascii="华文中宋" w:hAnsi="华文中宋" w:eastAsia="华文中宋" w:cs="宋体"/>
          <w:sz w:val="32"/>
          <w:szCs w:val="32"/>
        </w:rPr>
      </w:pPr>
    </w:p>
    <w:p>
      <w:pPr>
        <w:spacing w:line="560" w:lineRule="exact"/>
        <w:jc w:val="center"/>
        <w:rPr>
          <w:rFonts w:hint="eastAsia" w:ascii="宋体" w:hAnsi="宋体" w:cs="宋体"/>
          <w:sz w:val="44"/>
          <w:szCs w:val="44"/>
        </w:rPr>
      </w:pPr>
      <w:r>
        <w:rPr>
          <w:rFonts w:hint="eastAsia" w:ascii="宋体" w:hAnsi="宋体" w:cs="宋体"/>
          <w:sz w:val="44"/>
          <w:szCs w:val="44"/>
        </w:rPr>
        <w:t>最高人民法院</w:t>
      </w:r>
    </w:p>
    <w:p>
      <w:pPr>
        <w:spacing w:line="560" w:lineRule="exact"/>
        <w:jc w:val="center"/>
        <w:rPr>
          <w:rFonts w:hint="eastAsia" w:ascii="华文中宋" w:hAnsi="华文中宋" w:eastAsia="华文中宋" w:cs="宋体"/>
          <w:spacing w:val="-20"/>
          <w:sz w:val="32"/>
          <w:szCs w:val="32"/>
        </w:rPr>
      </w:pPr>
      <w:r>
        <w:rPr>
          <w:rFonts w:hint="eastAsia" w:ascii="宋体" w:hAnsi="宋体" w:cs="宋体"/>
          <w:sz w:val="44"/>
          <w:szCs w:val="44"/>
        </w:rPr>
        <w:t>关于适用《中华人民共和国民法典》</w:t>
      </w:r>
      <w:r>
        <w:rPr>
          <w:rFonts w:hint="eastAsia" w:ascii="宋体" w:hAnsi="宋体" w:cs="宋体"/>
          <w:sz w:val="44"/>
          <w:szCs w:val="44"/>
        </w:rPr>
        <w:br w:type="textWrapping"/>
      </w:r>
      <w:r>
        <w:rPr>
          <w:rFonts w:hint="eastAsia" w:ascii="宋体" w:hAnsi="宋体" w:cs="宋体"/>
          <w:sz w:val="44"/>
          <w:szCs w:val="44"/>
        </w:rPr>
        <w:t>时间效力的</w:t>
      </w:r>
      <w:r>
        <w:rPr>
          <w:rStyle w:val="51"/>
          <w:rFonts w:hint="eastAsia"/>
        </w:rPr>
        <w:t>若</w:t>
      </w:r>
      <w:r>
        <w:rPr>
          <w:rFonts w:hint="eastAsia" w:ascii="宋体" w:hAnsi="宋体" w:cs="宋体"/>
          <w:sz w:val="44"/>
          <w:szCs w:val="44"/>
        </w:rPr>
        <w:t>干规定</w:t>
      </w:r>
    </w:p>
    <w:p>
      <w:pPr>
        <w:pStyle w:val="11"/>
        <w:jc w:val="center"/>
        <w:rPr>
          <w:rFonts w:hint="eastAsia" w:ascii="华文中宋" w:hAnsi="华文中宋" w:eastAsia="华文中宋" w:cs="宋体"/>
          <w:spacing w:val="-20"/>
          <w:sz w:val="32"/>
          <w:szCs w:val="32"/>
        </w:rPr>
      </w:pPr>
    </w:p>
    <w:p>
      <w:pPr>
        <w:pStyle w:val="8"/>
        <w:rPr>
          <w:rFonts w:ascii="仿宋_GB2312" w:hAnsi="宋体" w:eastAsia="仿宋_GB2312" w:cs="宋体"/>
          <w:szCs w:val="32"/>
        </w:rPr>
      </w:pPr>
      <w:r>
        <w:rPr>
          <w:rFonts w:hint="eastAsia"/>
        </w:rPr>
        <w:t>法释〔2020〕15号</w:t>
      </w:r>
    </w:p>
    <w:p>
      <w:pPr>
        <w:pStyle w:val="11"/>
        <w:jc w:val="center"/>
        <w:rPr>
          <w:rFonts w:hint="eastAsia" w:ascii="华文中宋" w:hAnsi="华文中宋" w:eastAsia="华文中宋" w:cs="宋体"/>
          <w:spacing w:val="-20"/>
          <w:sz w:val="32"/>
          <w:szCs w:val="32"/>
        </w:rPr>
      </w:pPr>
    </w:p>
    <w:p>
      <w:pPr>
        <w:pStyle w:val="8"/>
      </w:pPr>
      <w:r>
        <w:rPr>
          <w:rFonts w:hint="eastAsia"/>
        </w:rPr>
        <w:t>（2020年12月14日最高人民法院审判委员会</w:t>
      </w:r>
    </w:p>
    <w:p>
      <w:pPr>
        <w:pStyle w:val="8"/>
      </w:pPr>
      <w:r>
        <w:rPr>
          <w:rFonts w:hint="eastAsia"/>
        </w:rPr>
        <w:t>第1821次会议通过，自2021年1月1日起施行）</w:t>
      </w:r>
    </w:p>
    <w:p>
      <w:pPr>
        <w:pStyle w:val="11"/>
        <w:spacing w:line="520" w:lineRule="exact"/>
        <w:rPr>
          <w:rFonts w:ascii="仿宋_GB2312" w:hAnsi="宋体" w:eastAsia="仿宋_GB2312" w:cs="宋体"/>
          <w:sz w:val="32"/>
          <w:szCs w:val="32"/>
        </w:rPr>
      </w:pP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xml:space="preserve">    根据《中华人民共和国立法法》《中华人民共和国民法典》等法律规定，就人民法院在审理民事纠纷案件中有关适用民法典时间效力问题作出如下规定。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xml:space="preserve">    </w:t>
      </w:r>
      <w:r>
        <w:rPr>
          <w:rFonts w:hint="eastAsia" w:ascii="黑体" w:hAnsi="黑体" w:eastAsia="黑体" w:cs="黑体"/>
          <w:sz w:val="32"/>
          <w:szCs w:val="32"/>
        </w:rPr>
        <w:t>一、一般规定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第一条　</w:t>
      </w:r>
      <w:r>
        <w:rPr>
          <w:rFonts w:hint="eastAsia" w:ascii="仿宋_GB2312" w:hAnsi="宋体" w:eastAsia="仿宋_GB2312" w:cs="宋体"/>
          <w:sz w:val="32"/>
          <w:szCs w:val="32"/>
        </w:rPr>
        <w:t>民法典施行后的法律事实引起的民事纠纷案件，适用民法典的规定。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民法典施行前的法律事实引起的民事纠纷案件，适用当时的法律、司法解释的规定，但是法律、司法解释另有规定的除外。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民法典施行前的法律事实持续至民法典施行后，该法律事实引起的民事纠纷案件，适用民法典的规定，但是法律、司法解释另有规定的除外。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第二条　</w:t>
      </w:r>
      <w:r>
        <w:rPr>
          <w:rFonts w:hint="eastAsia" w:ascii="仿宋_GB2312" w:hAnsi="宋体" w:eastAsia="仿宋_GB2312" w:cs="宋体"/>
          <w:sz w:val="32"/>
          <w:szCs w:val="32"/>
        </w:rPr>
        <w:t>民法典施行前的法律事实引起的民事纠纷案件，当时的法律、司法解释有规定，适用当时的法律、司法解释的规定，但是适用民法典的规定更有利于保护民事主体合法权益，更有利于维护社会和经济秩序，更有利于弘扬社会主义核心价值观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第三条　</w:t>
      </w:r>
      <w:r>
        <w:rPr>
          <w:rFonts w:hint="eastAsia" w:ascii="仿宋_GB2312" w:hAnsi="宋体" w:eastAsia="仿宋_GB2312" w:cs="宋体"/>
          <w:sz w:val="32"/>
          <w:szCs w:val="32"/>
        </w:rPr>
        <w:t>民法典施行前的法律事实引起的民事纠纷案件，当时的法律、司法解释没有规定而民法典有规定的，可以适用民法典的规定，但是明显减损当事人合法权益、增加当事人法定义务或者背离当事人合理预期的除外。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第四条　</w:t>
      </w:r>
      <w:r>
        <w:rPr>
          <w:rFonts w:hint="eastAsia" w:ascii="仿宋_GB2312" w:hAnsi="宋体" w:eastAsia="仿宋_GB2312" w:cs="宋体"/>
          <w:sz w:val="32"/>
          <w:szCs w:val="32"/>
        </w:rPr>
        <w:t>民法典施行前的法律事实引起的民事纠纷案件，当时的法律、司法解释仅有原则性规定而民法典有具体规定的，适用当时的法律、司法解释的规定，但是可以依据民法典具体规定进行裁判说理。</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第五条　</w:t>
      </w:r>
      <w:r>
        <w:rPr>
          <w:rFonts w:hint="eastAsia" w:ascii="仿宋_GB2312" w:hAnsi="宋体" w:eastAsia="仿宋_GB2312" w:cs="宋体"/>
          <w:sz w:val="32"/>
          <w:szCs w:val="32"/>
        </w:rPr>
        <w:t>民法典施行前已经终审的案件，当事人申请再审或者按照审判监督程序决定再审的，不适用民法典的规定。</w:t>
      </w:r>
    </w:p>
    <w:p>
      <w:pPr>
        <w:pStyle w:val="11"/>
        <w:spacing w:line="520" w:lineRule="exact"/>
        <w:rPr>
          <w:rFonts w:hint="eastAsia" w:ascii="黑体" w:hAnsi="黑体" w:eastAsia="黑体" w:cs="黑体"/>
          <w:sz w:val="32"/>
          <w:szCs w:val="32"/>
        </w:rPr>
      </w:pPr>
      <w:r>
        <w:rPr>
          <w:rFonts w:hint="eastAsia" w:ascii="黑体" w:hAnsi="黑体" w:eastAsia="黑体" w:cs="黑体"/>
          <w:sz w:val="32"/>
          <w:szCs w:val="32"/>
        </w:rPr>
        <w:t>二、溯及适用的具体规定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第六条　</w:t>
      </w:r>
      <w:r>
        <w:rPr>
          <w:rFonts w:hint="eastAsia" w:ascii="仿宋_GB2312" w:hAnsi="宋体" w:eastAsia="仿宋_GB2312" w:cs="宋体"/>
          <w:sz w:val="32"/>
          <w:szCs w:val="32"/>
        </w:rPr>
        <w:t>《中华人民共和国民法总则》施行前，侵害英雄烈士等的姓名、肖像、名誉、荣誉，损害社会公共利益引起的民事纠纷案件，适用民法典第一百八十五条的规定。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第七条　</w:t>
      </w:r>
      <w:r>
        <w:rPr>
          <w:rFonts w:hint="eastAsia" w:ascii="仿宋_GB2312" w:hAnsi="宋体" w:eastAsia="仿宋_GB2312" w:cs="宋体"/>
          <w:sz w:val="32"/>
          <w:szCs w:val="32"/>
        </w:rPr>
        <w:t>民法典施行前，当事人在债务履行期限届满前约定债务人不履行到期债务时抵押财产或者质押财产归债权人所有的，适用民法典第四百零一条和第四百二十八条的规定。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第八条　</w:t>
      </w:r>
      <w:r>
        <w:rPr>
          <w:rFonts w:hint="eastAsia" w:ascii="仿宋_GB2312" w:hAnsi="宋体" w:eastAsia="仿宋_GB2312" w:cs="宋体"/>
          <w:sz w:val="32"/>
          <w:szCs w:val="32"/>
        </w:rPr>
        <w:t>民法典施行前成立的合同，适用当时的法律、司法解释的规定合同无效而适用民法典的规定合同有效的，适用民法典的相关规定。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第九条　</w:t>
      </w:r>
      <w:r>
        <w:rPr>
          <w:rFonts w:hint="eastAsia" w:ascii="仿宋_GB2312" w:hAnsi="宋体" w:eastAsia="仿宋_GB2312" w:cs="宋体"/>
          <w:sz w:val="32"/>
          <w:szCs w:val="32"/>
        </w:rPr>
        <w:t>民法典施行前订立的合同，提供格式条款一方未履行提示或者说明义务，涉及格式条款效力认定的，适用民法典第四百九十六条的规定。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第十条　</w:t>
      </w:r>
      <w:r>
        <w:rPr>
          <w:rFonts w:hint="eastAsia" w:ascii="仿宋_GB2312" w:hAnsi="宋体" w:eastAsia="仿宋_GB2312" w:cs="宋体"/>
          <w:sz w:val="32"/>
          <w:szCs w:val="32"/>
        </w:rPr>
        <w:t>民法典施行前，当事人一方未通知对方而直接以提起诉讼方式依法主张解除合同的，适用民法典第五百六十五条第二款的规定。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第十一条　</w:t>
      </w:r>
      <w:r>
        <w:rPr>
          <w:rFonts w:hint="eastAsia" w:ascii="仿宋_GB2312" w:hAnsi="宋体" w:eastAsia="仿宋_GB2312" w:cs="宋体"/>
          <w:sz w:val="32"/>
          <w:szCs w:val="32"/>
        </w:rPr>
        <w:t>民法典施行前成立的合同，当事人一方不履行非金钱债务或者履行非金钱债务不符合约定，对方可以请求履行，但是有民法典第五百八十条第一款第一项、第二项、第三项除外情形之一，致使不能实现合同目的，当事人请求终止合同权利义务关系的，适用民法典第五百八十条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第十二条　</w:t>
      </w:r>
      <w:r>
        <w:rPr>
          <w:rFonts w:hint="eastAsia" w:ascii="仿宋_GB2312" w:hAnsi="宋体" w:eastAsia="仿宋_GB2312" w:cs="宋体"/>
          <w:sz w:val="32"/>
          <w:szCs w:val="32"/>
        </w:rPr>
        <w:t>民法典施行前订立的保理合同发生争议的，适用民法典第三编第十六章的规定。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第十三条　</w:t>
      </w:r>
      <w:r>
        <w:rPr>
          <w:rFonts w:hint="eastAsia" w:ascii="仿宋_GB2312" w:hAnsi="宋体" w:eastAsia="仿宋_GB2312" w:cs="宋体"/>
          <w:sz w:val="32"/>
          <w:szCs w:val="32"/>
        </w:rPr>
        <w:t>民法典施行前，继承人有民法典第一千一百二十五条第一款第四项和第五项规定行为之一，对该继承人是否丧失继承权发生争议的，适用民法典第一千一百二十五条第一款和第二款的规定。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民法典施行前，受遗赠人有民法典第一千一百二十五条第一款规定行为之一，对受遗赠人是否丧失受遗赠权发生争议的，适用民法典第一千一百二十五条第一款和第三款的规定。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第十四条　</w:t>
      </w:r>
      <w:r>
        <w:rPr>
          <w:rFonts w:hint="eastAsia" w:ascii="仿宋_GB2312" w:hAnsi="宋体" w:eastAsia="仿宋_GB2312" w:cs="宋体"/>
          <w:sz w:val="32"/>
          <w:szCs w:val="32"/>
        </w:rPr>
        <w:t>被继承人在民法典施行前死亡，遗产无人继承又无人受遗赠，其兄弟姐妹的子女请求代位继承的，适用民法典第一千一百二十八条第二款和第三款的规定，但是遗产已经在民法典施行前处理完毕的除外。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第十五条　</w:t>
      </w:r>
      <w:r>
        <w:rPr>
          <w:rFonts w:hint="eastAsia" w:ascii="仿宋_GB2312" w:hAnsi="宋体" w:eastAsia="仿宋_GB2312" w:cs="宋体"/>
          <w:sz w:val="32"/>
          <w:szCs w:val="32"/>
        </w:rPr>
        <w:t>民法典施行前，遗嘱人以打印方式立的遗嘱，当事人对该遗嘱效力发生争议的，适用民法典第一千一百三十六条的规定，但是遗产已经在民法典施行前处理完毕的除外。</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第十六条　</w:t>
      </w:r>
      <w:r>
        <w:rPr>
          <w:rFonts w:hint="eastAsia" w:ascii="仿宋_GB2312" w:hAnsi="宋体" w:eastAsia="仿宋_GB2312" w:cs="宋体"/>
          <w:sz w:val="32"/>
          <w:szCs w:val="32"/>
        </w:rPr>
        <w:t>民法典施行前，受害人自愿参加具有一定风险的文体活动受到损害引起的民事纠纷案件，适用民法典第一千一百七十六条的规定。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第十七条　</w:t>
      </w:r>
      <w:r>
        <w:rPr>
          <w:rFonts w:hint="eastAsia" w:ascii="仿宋_GB2312" w:hAnsi="宋体" w:eastAsia="仿宋_GB2312" w:cs="宋体"/>
          <w:sz w:val="32"/>
          <w:szCs w:val="32"/>
        </w:rPr>
        <w:t>民法典施行前，受害人为保护自己合法权益采取扣留侵权人的财物等措施引起的民事纠纷案件，适用民法典第一千一百七十七条的规定。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第十八条　</w:t>
      </w:r>
      <w:r>
        <w:rPr>
          <w:rFonts w:hint="eastAsia" w:ascii="仿宋_GB2312" w:hAnsi="宋体" w:eastAsia="仿宋_GB2312" w:cs="宋体"/>
          <w:sz w:val="32"/>
          <w:szCs w:val="32"/>
        </w:rPr>
        <w:t>民法典施行前，因非营运机动车发生交通事故造成无偿搭乘人损害引起的民事纠纷案件，适用民法典第一千二百一十七条的规定。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第十九条　</w:t>
      </w:r>
      <w:r>
        <w:rPr>
          <w:rFonts w:hint="eastAsia" w:ascii="仿宋_GB2312" w:hAnsi="宋体" w:eastAsia="仿宋_GB2312" w:cs="宋体"/>
          <w:sz w:val="32"/>
          <w:szCs w:val="32"/>
        </w:rPr>
        <w:t>民法典施行前，从建筑物中抛掷物品或者从建筑物上坠落的物品造成他人损害引起的民事纠纷案件，适用民法典第一千二百五十四条的规定。</w:t>
      </w:r>
    </w:p>
    <w:p>
      <w:pPr>
        <w:pStyle w:val="11"/>
        <w:spacing w:line="520" w:lineRule="exact"/>
        <w:rPr>
          <w:rFonts w:ascii="仿宋_GB2312" w:hAnsi="宋体" w:eastAsia="仿宋_GB2312" w:cs="宋体"/>
          <w:sz w:val="32"/>
          <w:szCs w:val="32"/>
        </w:rPr>
      </w:pPr>
      <w:r>
        <w:rPr>
          <w:rFonts w:hint="eastAsia" w:ascii="黑体" w:hAnsi="黑体" w:eastAsia="黑体" w:cs="黑体"/>
          <w:sz w:val="32"/>
          <w:szCs w:val="32"/>
        </w:rPr>
        <w:t>三、衔接适用的具体规定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第二十条　</w:t>
      </w:r>
      <w:r>
        <w:rPr>
          <w:rFonts w:hint="eastAsia" w:ascii="仿宋_GB2312" w:hAnsi="宋体" w:eastAsia="仿宋_GB2312" w:cs="宋体"/>
          <w:sz w:val="32"/>
          <w:szCs w:val="32"/>
        </w:rPr>
        <w:t>民法典施行前成立的合同，依照法律规定或者当事人约定该合同的履行持续至民法典施行后，因民法典施行前履行合同发生争议的，适用当时的法律、司法解释的规定；因民法典施行后履行合同发生争议的，适用民法典第三编第四章和第五章的相关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第二十一条　</w:t>
      </w:r>
      <w:r>
        <w:rPr>
          <w:rFonts w:hint="eastAsia" w:ascii="仿宋_GB2312" w:hAnsi="宋体" w:eastAsia="仿宋_GB2312" w:cs="宋体"/>
          <w:sz w:val="32"/>
          <w:szCs w:val="32"/>
        </w:rPr>
        <w:t>民法典施行前租赁期限届满，当事人主张适用民法典第七百三十四条第二款规定的，人民法院不予支持；租赁期限在民法典施行后届满，当事人主张适用民法典第七百三十四条第二款规定的，人民法院依法予以支持。</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第二十二条　</w:t>
      </w:r>
      <w:r>
        <w:rPr>
          <w:rFonts w:hint="eastAsia" w:ascii="仿宋_GB2312" w:hAnsi="宋体" w:eastAsia="仿宋_GB2312" w:cs="宋体"/>
          <w:sz w:val="32"/>
          <w:szCs w:val="32"/>
        </w:rPr>
        <w:t>民法典施行前，经人民法院判决不准离婚后，双方又分居满一年，一方再次提起离婚诉讼的，适用民法典第一千零七十九条第五款的规定。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第二十三条　</w:t>
      </w:r>
      <w:r>
        <w:rPr>
          <w:rFonts w:hint="eastAsia" w:ascii="仿宋_GB2312" w:hAnsi="宋体" w:eastAsia="仿宋_GB2312" w:cs="宋体"/>
          <w:sz w:val="32"/>
          <w:szCs w:val="32"/>
        </w:rPr>
        <w:t>被继承人在民法典施行前立有公证遗嘱，民法典施行后又立有新遗嘱，其死亡后，因该数份遗嘱内容相抵触发生争议的，适用民法典第一千一百四十二条第三款的规定。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第二十四条　</w:t>
      </w:r>
      <w:r>
        <w:rPr>
          <w:rFonts w:hint="eastAsia" w:ascii="仿宋_GB2312" w:hAnsi="宋体" w:eastAsia="仿宋_GB2312" w:cs="宋体"/>
          <w:sz w:val="32"/>
          <w:szCs w:val="32"/>
        </w:rPr>
        <w:t>侵权行为发生在民法典施行前，但是损害后果出现在民法典施行后的民事纠纷案件，适用民法典的规定。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第二十五条　</w:t>
      </w:r>
      <w:r>
        <w:rPr>
          <w:rFonts w:hint="eastAsia" w:ascii="仿宋_GB2312" w:hAnsi="宋体" w:eastAsia="仿宋_GB2312" w:cs="宋体"/>
          <w:sz w:val="32"/>
          <w:szCs w:val="32"/>
        </w:rPr>
        <w:t>民法典施行前成立的合同，当时的法律、司法解释没有规定且当事人没有约定解除权行使期限，对方当事人也未催告的，解除权人在民法典施行前知道或者应当知道解除事由，自民法典施行之日起一年内不行使的，人民法院应当依法认定该解除权消灭；解除权人在民法典施行后知道或者应当知道解除事由的，适用民法典第五百六十四条第二款关于解除权行使期限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第二十六条　</w:t>
      </w:r>
      <w:r>
        <w:rPr>
          <w:rFonts w:hint="eastAsia" w:ascii="仿宋_GB2312" w:hAnsi="宋体" w:eastAsia="仿宋_GB2312" w:cs="宋体"/>
          <w:sz w:val="32"/>
          <w:szCs w:val="32"/>
        </w:rPr>
        <w:t>当事人以民法典施行前受胁迫结婚为由请求人民法院撤销婚姻的，撤销权的行使期限适用民法典第一千零五十二条第二款的规定。</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 xml:space="preserve">第二十七条　 </w:t>
      </w:r>
      <w:r>
        <w:rPr>
          <w:rFonts w:hint="eastAsia" w:ascii="仿宋_GB2312" w:hAnsi="宋体" w:eastAsia="仿宋_GB2312" w:cs="宋体"/>
          <w:sz w:val="32"/>
          <w:szCs w:val="32"/>
        </w:rPr>
        <w:t>民法典施行前成立的保证合同，当事人对保证期间约定不明确，主债务履行期限届满至民法典施行之日不满二年，当事人主张保证期间为主债务履行期限届满之日起二年的，人民法院依法予以支持；当事人对保证期间没有约定，主债务履行期限届满至民法典施行之日不满六个月，当事人主张保证期间为主债务履行期限届满之日起六个月的，人民法院依法予以支持。</w:t>
      </w:r>
    </w:p>
    <w:p>
      <w:pPr>
        <w:pStyle w:val="11"/>
        <w:spacing w:line="520" w:lineRule="exact"/>
        <w:rPr>
          <w:rFonts w:hint="eastAsia" w:ascii="黑体" w:hAnsi="黑体" w:eastAsia="黑体" w:cs="黑体"/>
          <w:sz w:val="32"/>
          <w:szCs w:val="32"/>
        </w:rPr>
      </w:pPr>
      <w:r>
        <w:rPr>
          <w:rFonts w:hint="eastAsia" w:ascii="黑体" w:hAnsi="黑体" w:eastAsia="黑体" w:cs="黑体"/>
          <w:sz w:val="32"/>
          <w:szCs w:val="32"/>
        </w:rPr>
        <w:t>四、附则</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w:t>
      </w:r>
      <w:r>
        <w:rPr>
          <w:rFonts w:hint="eastAsia" w:ascii="仿宋_GB2312" w:hAnsi="宋体" w:eastAsia="黑体" w:cs="宋体"/>
          <w:sz w:val="32"/>
          <w:szCs w:val="32"/>
          <w:lang w:eastAsia="zh-CN"/>
        </w:rPr>
        <w:t>第二十八条　</w:t>
      </w:r>
      <w:r>
        <w:rPr>
          <w:rFonts w:hint="eastAsia" w:ascii="仿宋_GB2312" w:hAnsi="宋体" w:eastAsia="仿宋_GB2312" w:cs="宋体"/>
          <w:sz w:val="32"/>
          <w:szCs w:val="32"/>
        </w:rPr>
        <w:t>本规定自2021年1月1日起施行。</w:t>
      </w:r>
    </w:p>
    <w:p>
      <w:pPr>
        <w:pStyle w:val="11"/>
        <w:spacing w:line="520" w:lineRule="exact"/>
        <w:rPr>
          <w:rFonts w:ascii="仿宋_GB2312" w:hAnsi="宋体" w:eastAsia="仿宋_GB2312" w:cs="宋体"/>
          <w:sz w:val="32"/>
          <w:szCs w:val="32"/>
        </w:rPr>
      </w:pPr>
      <w:r>
        <w:rPr>
          <w:rFonts w:hint="eastAsia" w:ascii="仿宋_GB2312" w:hAnsi="宋体" w:eastAsia="仿宋_GB2312" w:cs="宋体"/>
          <w:sz w:val="32"/>
          <w:szCs w:val="32"/>
        </w:rPr>
        <w:t>　　本规定施行后，人民法院尚未审结的一审、二审案件适用本规定。</w:t>
      </w:r>
    </w:p>
    <w:p>
      <w:pPr>
        <w:pStyle w:val="11"/>
        <w:spacing w:line="520" w:lineRule="exact"/>
        <w:rPr>
          <w:rFonts w:ascii="仿宋_GB2312" w:hAnsi="宋体" w:eastAsia="仿宋_GB2312" w:cs="宋体"/>
          <w:sz w:val="32"/>
          <w:szCs w:val="32"/>
        </w:rPr>
      </w:pPr>
    </w:p>
    <w:p/>
    <w:p>
      <w:r>
        <w:rPr>
          <w:rFonts w:hint="eastAsia" w:ascii="宋体" w:hAnsi="宋体" w:eastAsia="宋体" w:cs="Arial"/>
          <w:bCs/>
          <w:sz w:val="44"/>
          <w:szCs w:val="44"/>
        </w:rPr>
        <w:br w:type="page"/>
      </w:r>
    </w:p>
    <w:p>
      <w:pPr>
        <w:widowControl w:val="0"/>
        <w:wordWrap/>
        <w:adjustRightInd/>
        <w:snapToGrid/>
        <w:spacing w:after="0" w:line="560" w:lineRule="exact"/>
        <w:ind w:left="0" w:leftChars="0" w:right="0"/>
        <w:jc w:val="both"/>
        <w:textAlignment w:val="auto"/>
        <w:outlineLvl w:val="0"/>
        <w:rPr>
          <w:rFonts w:hint="eastAsia" w:ascii="宋体" w:hAnsi="宋体" w:eastAsia="宋体" w:cs="Arial"/>
          <w:bCs/>
          <w:sz w:val="44"/>
          <w:szCs w:val="44"/>
        </w:rPr>
      </w:pP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r>
        <w:rPr>
          <w:rFonts w:hint="eastAsia" w:ascii="宋体" w:hAnsi="宋体" w:eastAsia="宋体" w:cs="Arial"/>
          <w:bCs/>
          <w:sz w:val="44"/>
          <w:szCs w:val="44"/>
        </w:rPr>
        <w:t>国境口岸突发公共卫生事件出入境检验</w:t>
      </w:r>
      <w:bookmarkEnd w:id="285"/>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rPr>
      </w:pPr>
      <w:bookmarkStart w:id="286" w:name="_Toc19642"/>
      <w:r>
        <w:rPr>
          <w:rFonts w:hint="eastAsia" w:ascii="宋体" w:hAnsi="宋体" w:eastAsia="宋体" w:cs="Arial"/>
          <w:bCs/>
          <w:sz w:val="44"/>
          <w:szCs w:val="44"/>
        </w:rPr>
        <w:t>检疫应急处理规定</w:t>
      </w:r>
      <w:bookmarkEnd w:id="286"/>
    </w:p>
    <w:p>
      <w:pPr>
        <w:widowControl w:val="0"/>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仿宋_GB2312" w:cs="仿宋_GB2312"/>
          <w:kern w:val="0"/>
          <w:sz w:val="32"/>
          <w:szCs w:val="32"/>
          <w:lang w:bidi="ar-SA"/>
        </w:rPr>
      </w:pPr>
      <w:r>
        <w:rPr>
          <w:rFonts w:hint="eastAsia" w:ascii="宋体" w:hAnsi="宋体" w:eastAsia="仿宋_GB2312" w:cs="仿宋_GB2312"/>
          <w:kern w:val="0"/>
          <w:sz w:val="32"/>
          <w:szCs w:val="32"/>
          <w:lang w:bidi="ar-SA"/>
        </w:rPr>
        <w:br w:type="textWrapping"/>
      </w:r>
      <w:r>
        <w:rPr>
          <w:rFonts w:hint="eastAsia" w:ascii="楷体" w:hAnsi="楷体" w:eastAsia="楷体" w:cs="楷体"/>
          <w:kern w:val="0"/>
          <w:sz w:val="32"/>
          <w:szCs w:val="32"/>
          <w:lang w:bidi="ar-SA"/>
        </w:rPr>
        <w:t>（2003年11月7日国家质量监督检验检疫总局令第57号公布　根据2018年4月28日海关总署令第238号《海关总署关于修改部分规章的决定》修正）</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bidi="ar-SA"/>
        </w:rPr>
      </w:pPr>
      <w:r>
        <w:rPr>
          <w:rFonts w:hint="eastAsia" w:ascii="宋体" w:hAnsi="宋体" w:eastAsia="黑体" w:cs="黑体"/>
          <w:kern w:val="0"/>
          <w:sz w:val="32"/>
          <w:szCs w:val="32"/>
          <w:lang w:eastAsia="zh-CN" w:bidi="ar-SA"/>
        </w:rPr>
        <w:t>第一章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总</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则</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第一条</w:t>
      </w:r>
      <w:r>
        <w:rPr>
          <w:rFonts w:hint="eastAsia" w:ascii="宋体" w:hAnsi="宋体" w:eastAsia="仿宋_GB2312" w:cs="仿宋_GB2312"/>
          <w:kern w:val="0"/>
          <w:sz w:val="32"/>
          <w:szCs w:val="32"/>
          <w:lang w:bidi="ar-SA"/>
        </w:rPr>
        <w:t>　为有效预防、及时缓解、控制和消除突发公共卫生事件的危害，保障出入境人员和国境口岸公众身体健康，维护国境口岸正常的社会秩序，依据《</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"javascript:SLC(167125,0)"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中华人民共和国国境卫生检疫法</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》及其实施细则和《</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"javascript:SLC(174915,0)"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突发公共卫生事件应急条例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》，制定本规定。</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第二条</w:t>
      </w:r>
      <w:r>
        <w:rPr>
          <w:rFonts w:hint="eastAsia" w:ascii="宋体" w:hAnsi="宋体" w:eastAsia="仿宋_GB2312" w:cs="仿宋_GB2312"/>
          <w:kern w:val="0"/>
          <w:sz w:val="32"/>
          <w:szCs w:val="32"/>
          <w:lang w:bidi="ar-SA"/>
        </w:rPr>
        <w:t>　本规定所称突发公共卫生事件（以下简称突发事件）是指突然发生，造成或可能造成出入境人员和国境口岸公众健康严重损害的重大传染病疫情、群体性不明原因疾病、重大食物中毒以及其他严重影响公众健康的事件，包括：</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（一）发生鼠疫、霍乱、黄热病、肺炭疽、传染性非典型肺炎病例的；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（二）乙类、丙类传染病较大规模的暴发、流行或多人死亡的；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（三）发生罕见的或者国家已宣布消除的传染病等疫情的；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（四）传染病菌种、毒种丢失的；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（五）发生临床表现相似的但致病原因不明且有蔓延趋势或可能蔓延趋势的群体性疾病的；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（六）中毒人数10人以上或者中毒死亡的；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（七）国内外发生突发事件，可能危及国境口岸的。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第三条</w:t>
      </w:r>
      <w:r>
        <w:rPr>
          <w:rFonts w:hint="eastAsia" w:ascii="宋体" w:hAnsi="宋体" w:eastAsia="仿宋_GB2312" w:cs="仿宋_GB2312"/>
          <w:kern w:val="0"/>
          <w:sz w:val="32"/>
          <w:szCs w:val="32"/>
          <w:lang w:bidi="ar-SA"/>
        </w:rPr>
        <w:t>　本规定适用于在涉及国境口岸和出入境人员、交通工具、货物、集装箱、行李、邮包等范围内，对突发事件的应急处理。</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第四条</w:t>
      </w:r>
      <w:r>
        <w:rPr>
          <w:rFonts w:hint="eastAsia" w:ascii="宋体" w:hAnsi="宋体" w:eastAsia="仿宋_GB2312" w:cs="仿宋_GB2312"/>
          <w:kern w:val="0"/>
          <w:sz w:val="32"/>
          <w:szCs w:val="32"/>
          <w:lang w:bidi="ar-SA"/>
        </w:rPr>
        <w:t>　国境口岸突发事件出入境检验检疫应急处理，应当遵循预防为主、常备不懈的方针，贯彻统一领导、分级负责、反应及时、措施果断、依靠科学、加强合作的原则。</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第五条</w:t>
      </w:r>
      <w:r>
        <w:rPr>
          <w:rFonts w:hint="eastAsia" w:ascii="宋体" w:hAnsi="宋体" w:eastAsia="仿宋_GB2312" w:cs="仿宋_GB2312"/>
          <w:kern w:val="0"/>
          <w:sz w:val="32"/>
          <w:szCs w:val="32"/>
          <w:lang w:bidi="ar-SA"/>
        </w:rPr>
        <w:t>　海关对参加国境口岸突发事件出入境检验检疫应急处理做出贡献的人员应给予表彰和奖励。</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eastAsia="zh-CN" w:bidi="ar-SA"/>
        </w:rPr>
      </w:pPr>
      <w:r>
        <w:rPr>
          <w:rFonts w:hint="eastAsia" w:ascii="宋体" w:hAnsi="宋体" w:eastAsia="黑体" w:cs="黑体"/>
          <w:kern w:val="0"/>
          <w:sz w:val="32"/>
          <w:szCs w:val="32"/>
          <w:lang w:eastAsia="zh-CN" w:bidi="ar-SA"/>
        </w:rPr>
        <w:t>第二章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eastAsia="zh-CN" w:bidi="ar-SA"/>
        </w:rPr>
        <w:t>组织管理</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第六条</w:t>
      </w:r>
      <w:r>
        <w:rPr>
          <w:rFonts w:hint="eastAsia" w:ascii="宋体" w:hAnsi="宋体" w:eastAsia="仿宋_GB2312" w:cs="仿宋_GB2312"/>
          <w:kern w:val="0"/>
          <w:sz w:val="32"/>
          <w:szCs w:val="32"/>
          <w:lang w:bidi="ar-SA"/>
        </w:rPr>
        <w:t>　海关建立国境口岸突发事件出入境检验检疫应急指挥体系。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eastAsia="zh-CN" w:bidi="ar-SA"/>
        </w:rPr>
        <w:t>第七条</w:t>
      </w:r>
      <w:r>
        <w:rPr>
          <w:rFonts w:hint="eastAsia" w:ascii="宋体" w:hAnsi="宋体" w:eastAsia="仿宋_GB2312" w:cs="仿宋_GB2312"/>
          <w:kern w:val="0"/>
          <w:sz w:val="32"/>
          <w:szCs w:val="32"/>
          <w:lang w:bidi="ar-SA"/>
        </w:rPr>
        <w:t>　海关总署统一协调、管理国境口岸突发事件出入境检验检疫应急指挥体系，并履行下列职责：</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（一）研究制订国境口岸突发事件出入境检验检疫应急处理方案；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（二）指挥和协调全国海关做好国境口岸突发事件出入境检验检疫应急处理工作，组织调动本系统的技术力量和相关资源；</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（三）检查督导全国海关有关应急工作的落实情况，督察各项应急处理措施落实到位；</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（四）协调与国家相关行政主管部门的关系，建立必要的应急协调联系机制；</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（五）收集、整理、分析和上报有关情报信息和事态变化情况，为国家决策提供处置意见和建议；向全国海关传达、部署上级机关有关各项命令；</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（六）鼓励、支持和统一协调开展国境口岸突发事件出入境检验检疫监测、预警、反应处理等相关技术的国际交流与合作。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海关总署成立国境口岸突发事件出入境检验检疫应急处理专家咨询小组，为应急处理提供专业咨询、技术指导，为应急决策提供建议和意见。</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第八条</w:t>
      </w:r>
      <w:r>
        <w:rPr>
          <w:rFonts w:hint="eastAsia" w:ascii="宋体" w:hAnsi="宋体" w:eastAsia="仿宋_GB2312" w:cs="仿宋_GB2312"/>
          <w:kern w:val="0"/>
          <w:sz w:val="32"/>
          <w:szCs w:val="32"/>
          <w:lang w:bidi="ar-SA"/>
        </w:rPr>
        <w:t>　直属海关负责所辖区域内的国境口岸突发事件出入境检验检疫应急处理工作，并履行下列职责：</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（一）在本辖区组织实施国境口岸突发事件出入境检验检疫应急处理预案；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（二）调动所辖关区的力量和资源，开展应急处置工作；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（三）及时向海关总署报告应急工作情况、提出工作建议；</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（四）协调与当地人民政府及其卫生行政部门以及口岸管理部门、边检等相关部门的联系。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直属海关成立国境口岸突发事件出入境检验检疫应急处理专业技术机构，承担相应工作。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第九条</w:t>
      </w:r>
      <w:r>
        <w:rPr>
          <w:rFonts w:hint="eastAsia" w:ascii="宋体" w:hAnsi="宋体" w:eastAsia="仿宋_GB2312" w:cs="仿宋_GB2312"/>
          <w:kern w:val="0"/>
          <w:sz w:val="32"/>
          <w:szCs w:val="32"/>
          <w:lang w:bidi="ar-SA"/>
        </w:rPr>
        <w:t>　隶属海关应当履行下列职责：</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（一）组建突发事件出入境检验检疫应急现场指挥部，根据具体情况及时组织现场处置工作；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（二）与直属海关突发事件出入境检验检疫应急处理专业技术机构共同开展现场应急处置工作，并随时上报信息；</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（三）加强与当地人民政府及其相关部门的联系与协作。</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第三章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应急准备</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第十条</w:t>
      </w:r>
      <w:r>
        <w:rPr>
          <w:rFonts w:hint="eastAsia" w:ascii="宋体" w:hAnsi="宋体" w:eastAsia="仿宋_GB2312" w:cs="仿宋_GB2312"/>
          <w:kern w:val="0"/>
          <w:sz w:val="32"/>
          <w:szCs w:val="32"/>
          <w:lang w:bidi="ar-SA"/>
        </w:rPr>
        <w:t>　海关总署按照《</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"javascript:SLC(174915,0)"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突发公共卫生事件应急条例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》的要求，制订全国国境口岸突发事件出入境检验检疫应急预案。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主管海关根据全国国境口岸突发事件出入境检验检疫应急预案，结合本地口岸实际情况，制订本地国境口岸突发事件出入境检验检疫应急预案，并报上一级海关和当地政府备案。</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第十一条</w:t>
      </w:r>
      <w:r>
        <w:rPr>
          <w:rFonts w:hint="eastAsia" w:ascii="宋体" w:hAnsi="宋体" w:eastAsia="仿宋_GB2312" w:cs="仿宋_GB2312"/>
          <w:kern w:val="0"/>
          <w:sz w:val="32"/>
          <w:szCs w:val="32"/>
          <w:lang w:bidi="ar-SA"/>
        </w:rPr>
        <w:t>　海关应当定期开展突发事件出入境检验检疫应急处理相关技能的培训，组织突发事件出入境检验检疫应急演练，推广先进技术。</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第十二条</w:t>
      </w:r>
      <w:r>
        <w:rPr>
          <w:rFonts w:hint="eastAsia" w:ascii="宋体" w:hAnsi="宋体" w:eastAsia="仿宋_GB2312" w:cs="仿宋_GB2312"/>
          <w:kern w:val="0"/>
          <w:sz w:val="32"/>
          <w:szCs w:val="32"/>
          <w:lang w:bidi="ar-SA"/>
        </w:rPr>
        <w:t>　海关应当根据国境口岸突发事件出入境检验检疫应急预案的要求，保证应急处理人员、设施、设备、防治药品和器械等资源的配备、储备，提高应对突发事件的处理能力。</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第十三条</w:t>
      </w:r>
      <w:r>
        <w:rPr>
          <w:rFonts w:hint="eastAsia" w:ascii="宋体" w:hAnsi="宋体" w:eastAsia="仿宋_GB2312" w:cs="仿宋_GB2312"/>
          <w:kern w:val="0"/>
          <w:sz w:val="32"/>
          <w:szCs w:val="32"/>
          <w:lang w:bidi="ar-SA"/>
        </w:rPr>
        <w:t>　海关应当依照法律、行政法规、规章的规定，开展突发事件应急处理知识的宣传教育，增强对突发事件的防范意识和应对能力。</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bidi="ar-SA"/>
        </w:rPr>
      </w:pPr>
      <w:r>
        <w:rPr>
          <w:rFonts w:hint="eastAsia" w:ascii="宋体" w:hAnsi="宋体" w:eastAsia="黑体" w:cs="黑体"/>
          <w:kern w:val="0"/>
          <w:sz w:val="32"/>
          <w:szCs w:val="32"/>
          <w:lang w:eastAsia="zh-CN" w:bidi="ar-SA"/>
        </w:rPr>
        <w:t>第四章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报告与通报</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第十四条</w:t>
      </w:r>
      <w:r>
        <w:rPr>
          <w:rFonts w:hint="eastAsia" w:ascii="宋体" w:hAnsi="宋体" w:eastAsia="仿宋_GB2312" w:cs="仿宋_GB2312"/>
          <w:kern w:val="0"/>
          <w:sz w:val="32"/>
          <w:szCs w:val="32"/>
          <w:lang w:bidi="ar-SA"/>
        </w:rPr>
        <w:t>　海关总署建立国境口岸突发事件出入境检验检疫应急报告制度，建立重大、紧急疫情信息报告系统。</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有本规定第二条规定情形之一的，直属海关应当在接到报告1小时内向海关总署报告，并同时向当地政府报告。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海关总署对可能造成重大社会影响的突发事件，应当及时向国务院报告。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第十五条</w:t>
      </w:r>
      <w:r>
        <w:rPr>
          <w:rFonts w:hint="eastAsia" w:ascii="宋体" w:hAnsi="宋体" w:eastAsia="仿宋_GB2312" w:cs="仿宋_GB2312"/>
          <w:kern w:val="0"/>
          <w:sz w:val="32"/>
          <w:szCs w:val="32"/>
          <w:lang w:bidi="ar-SA"/>
        </w:rPr>
        <w:t>　隶属海关获悉有本规定第二条规定情形之一的，应当在1小时内向直属海关报告，并同时向当地政府报告。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第十六条</w:t>
      </w:r>
      <w:r>
        <w:rPr>
          <w:rFonts w:hint="eastAsia" w:ascii="宋体" w:hAnsi="宋体" w:eastAsia="仿宋_GB2312" w:cs="仿宋_GB2312"/>
          <w:kern w:val="0"/>
          <w:sz w:val="32"/>
          <w:szCs w:val="32"/>
          <w:lang w:bidi="ar-SA"/>
        </w:rPr>
        <w:t>　海关总署和主管海关应当指定专人负责信息传递工作，并将人员名单及时向所辖系统内通报。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第十七条</w:t>
      </w:r>
      <w:r>
        <w:rPr>
          <w:rFonts w:hint="eastAsia" w:ascii="宋体" w:hAnsi="宋体" w:eastAsia="仿宋_GB2312" w:cs="仿宋_GB2312"/>
          <w:kern w:val="0"/>
          <w:sz w:val="32"/>
          <w:szCs w:val="32"/>
          <w:lang w:bidi="ar-SA"/>
        </w:rPr>
        <w:t>　国境口岸有关单位和个人发现有本规定第二条规定情形之一的，应当及时、如实地向所在口岸的海关报告，不得隐瞒、缓报、谎报或者授意他人隐瞒、缓报、谎报。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第十八条</w:t>
      </w:r>
      <w:r>
        <w:rPr>
          <w:rFonts w:hint="eastAsia" w:ascii="宋体" w:hAnsi="宋体" w:eastAsia="仿宋_GB2312" w:cs="仿宋_GB2312"/>
          <w:kern w:val="0"/>
          <w:sz w:val="32"/>
          <w:szCs w:val="32"/>
          <w:lang w:bidi="ar-SA"/>
        </w:rPr>
        <w:t>　接到报告的海关应当依照本规定立即组织力量对报告事项调查核实、确证，采取必要的控制措施，并及时报告调查情况。</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第十九条</w:t>
      </w:r>
      <w:r>
        <w:rPr>
          <w:rFonts w:hint="eastAsia" w:ascii="宋体" w:hAnsi="宋体" w:eastAsia="仿宋_GB2312" w:cs="仿宋_GB2312"/>
          <w:kern w:val="0"/>
          <w:sz w:val="32"/>
          <w:szCs w:val="32"/>
          <w:lang w:bidi="ar-SA"/>
        </w:rPr>
        <w:t>　海关总署应当将突发事件的进展情况，及时向国务院有关部门和直属海关通报。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接到通报的直属海关，应当及时通知本关区内的有关隶属海关。</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第二十条　</w:t>
      </w:r>
      <w:r>
        <w:rPr>
          <w:rFonts w:hint="eastAsia" w:ascii="宋体" w:hAnsi="宋体" w:eastAsia="仿宋_GB2312" w:cs="仿宋_GB2312"/>
          <w:kern w:val="0"/>
          <w:sz w:val="32"/>
          <w:szCs w:val="32"/>
          <w:lang w:bidi="ar-SA"/>
        </w:rPr>
        <w:t>海关总署建立突发事件出入境检验检疫风险预警快速反应信息网络系统。</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主管海关负责将发现的突发事件通过网络系统及时向上级报告，海关总署通过网络系统及时通报。</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第五章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应急处理</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第二十一条</w:t>
      </w:r>
      <w:r>
        <w:rPr>
          <w:rFonts w:hint="eastAsia" w:ascii="宋体" w:hAnsi="宋体" w:eastAsia="仿宋_GB2312" w:cs="仿宋_GB2312"/>
          <w:kern w:val="0"/>
          <w:sz w:val="32"/>
          <w:szCs w:val="32"/>
          <w:lang w:bidi="ar-SA"/>
        </w:rPr>
        <w:t>　突发事件发生后，发生地海关经上一级海关批准，应当对突发事件现场采取下列紧急控制措施：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（一）对现场进行临时控制，限制人员出入；对疑为人畜共患的重要疾病疫情，禁止病人或者疑似病人与易感动物接触；</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（二）对现场有关人员进行医学观察，临时隔离留验；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（三）对出入境交通工具、货物、集装箱、行李、邮包等采取限制措施，禁止移运；</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（四）封存可能导致突发事件发生或者蔓延的设备、材料、物品；</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（五）实施紧急卫生处理措施。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第二十二条</w:t>
      </w:r>
      <w:r>
        <w:rPr>
          <w:rFonts w:hint="eastAsia" w:ascii="宋体" w:hAnsi="宋体" w:eastAsia="仿宋_GB2312" w:cs="仿宋_GB2312"/>
          <w:kern w:val="0"/>
          <w:sz w:val="32"/>
          <w:szCs w:val="32"/>
          <w:lang w:bidi="ar-SA"/>
        </w:rPr>
        <w:t>　海关应当组织专家对突发事件进行流行病学调查、现场监测、现场勘验，确定危害程度，初步判断突发事件的类型，提出启动国境口岸突发事件出入境检验检疫应急预案的建议。</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第二十三条</w:t>
      </w:r>
      <w:r>
        <w:rPr>
          <w:rFonts w:hint="eastAsia" w:ascii="宋体" w:hAnsi="宋体" w:eastAsia="仿宋_GB2312" w:cs="仿宋_GB2312"/>
          <w:kern w:val="0"/>
          <w:sz w:val="32"/>
          <w:szCs w:val="32"/>
          <w:lang w:bidi="ar-SA"/>
        </w:rPr>
        <w:t>　海关总署国境口岸突发事件出入境检验检疫应急预案应当报国务院批准后实施；主管海关的国境口岸突发事件出入境检验检疫应急预案的启动，应当报上一级海关批准后实施，同时报告当地政府。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第二十四条</w:t>
      </w:r>
      <w:r>
        <w:rPr>
          <w:rFonts w:hint="eastAsia" w:ascii="宋体" w:hAnsi="宋体" w:eastAsia="仿宋_GB2312" w:cs="仿宋_GB2312"/>
          <w:kern w:val="0"/>
          <w:sz w:val="32"/>
          <w:szCs w:val="32"/>
          <w:lang w:bidi="ar-SA"/>
        </w:rPr>
        <w:t>　国境口岸突发事件出入境检验检疫技术调查、确证、处置、控制和评价工作由直属海关应急处理专业技术机构实施。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第二十五条</w:t>
      </w:r>
      <w:r>
        <w:rPr>
          <w:rFonts w:hint="eastAsia" w:ascii="宋体" w:hAnsi="宋体" w:eastAsia="仿宋_GB2312" w:cs="仿宋_GB2312"/>
          <w:kern w:val="0"/>
          <w:sz w:val="32"/>
          <w:szCs w:val="32"/>
          <w:lang w:bidi="ar-SA"/>
        </w:rPr>
        <w:t>　根据突发事件应急处理的需要，国境口岸突发事件出入境检验检疫应急处理指挥体系有权调集海关人员、储备物资、交通工具以及相关设施、设备；必要时，海关总署可以依照《</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"javascript:SLC(167125,0)"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中华人民共和国国境卫生检疫法</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》第</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"javascript:SLC(167125,6)"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六条</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的规定，提请国务院下令封锁有关的国境或者采取其他紧急措施。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第二十六条</w:t>
      </w:r>
      <w:r>
        <w:rPr>
          <w:rFonts w:hint="eastAsia" w:ascii="宋体" w:hAnsi="宋体" w:eastAsia="仿宋_GB2312" w:cs="仿宋_GB2312"/>
          <w:kern w:val="0"/>
          <w:sz w:val="32"/>
          <w:szCs w:val="32"/>
          <w:lang w:bidi="ar-SA"/>
        </w:rPr>
        <w:t>　参加国境口岸突发事件出入境检验检疫应急处理的工作人员，应当按照预案的规定，采取卫生检疫防护措施，并在专业人员的指导下进行工作。</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第二十七条</w:t>
      </w:r>
      <w:r>
        <w:rPr>
          <w:rFonts w:hint="eastAsia" w:ascii="宋体" w:hAnsi="宋体" w:eastAsia="仿宋_GB2312" w:cs="仿宋_GB2312"/>
          <w:kern w:val="0"/>
          <w:sz w:val="32"/>
          <w:szCs w:val="32"/>
          <w:lang w:bidi="ar-SA"/>
        </w:rPr>
        <w:t>　出入境交通工具上发现传染病病人、疑似传染病病人，其负责人应当以最快的方式向当地口岸海关报告，海关接到报告后，应当立即组织有关人员采取相应的卫生检疫处置措施。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对出入境交通工具上的传染病病人密切接触者，应当依法予以留验和医学观察；或依照卫生检疫法律、行政法规的规定，采取控制措施。</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　第二十八条</w:t>
      </w:r>
      <w:r>
        <w:rPr>
          <w:rFonts w:hint="eastAsia" w:ascii="宋体" w:hAnsi="宋体" w:eastAsia="仿宋_GB2312" w:cs="仿宋_GB2312"/>
          <w:kern w:val="0"/>
          <w:sz w:val="32"/>
          <w:szCs w:val="32"/>
          <w:lang w:bidi="ar-SA"/>
        </w:rPr>
        <w:t>　海关应当对临时留验、隔离人员进行必要的检查检验，并按规定作详细记录；对需要移送的病人，应当按照有关规定将病人及时移交给有关部门或机构进行处理。</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第二十九条</w:t>
      </w:r>
      <w:r>
        <w:rPr>
          <w:rFonts w:hint="eastAsia" w:ascii="宋体" w:hAnsi="宋体" w:eastAsia="仿宋_GB2312" w:cs="仿宋_GB2312"/>
          <w:kern w:val="0"/>
          <w:sz w:val="32"/>
          <w:szCs w:val="32"/>
          <w:lang w:bidi="ar-SA"/>
        </w:rPr>
        <w:t>　在突发事件中被实施留验、就地诊验、隔离处置、卫生检疫观察的病人、疑似病人和传染病病人密切接触者，在海关采取卫生检疫措施时，应当予以配合。</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黑体" w:cs="黑体"/>
          <w:kern w:val="0"/>
          <w:sz w:val="32"/>
          <w:szCs w:val="32"/>
          <w:lang w:bidi="ar-SA"/>
        </w:rPr>
      </w:pPr>
      <w:r>
        <w:rPr>
          <w:rFonts w:hint="eastAsia" w:ascii="宋体" w:hAnsi="宋体" w:eastAsia="黑体" w:cs="黑体"/>
          <w:kern w:val="0"/>
          <w:sz w:val="32"/>
          <w:szCs w:val="32"/>
          <w:lang w:eastAsia="zh-CN" w:bidi="ar-SA"/>
        </w:rPr>
        <w:t>第六章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法律责任</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第三十条</w:t>
      </w:r>
      <w:r>
        <w:rPr>
          <w:rFonts w:hint="eastAsia" w:ascii="宋体" w:hAnsi="宋体" w:eastAsia="仿宋_GB2312" w:cs="仿宋_GB2312"/>
          <w:kern w:val="0"/>
          <w:sz w:val="32"/>
          <w:szCs w:val="32"/>
          <w:lang w:bidi="ar-SA"/>
        </w:rPr>
        <w:t>　在国境口岸突发事件出入境检验检疫应急处理工作中，口岸有关单位和个人有下列情形之一的，依照有关法律法规的规定，予以警告或者罚款，构成犯罪的，依法追究刑事责任：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（一）向海关隐瞒、缓报或者谎报突发事件的；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（二）拒绝海关进入突发事件现场进行应急处理的；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（三）以暴力或其他方式妨碍海关应急处理工作人员执行公务的。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第三十一条</w:t>
      </w:r>
      <w:r>
        <w:rPr>
          <w:rFonts w:hint="eastAsia" w:ascii="宋体" w:hAnsi="宋体" w:eastAsia="仿宋_GB2312" w:cs="仿宋_GB2312"/>
          <w:kern w:val="0"/>
          <w:sz w:val="32"/>
          <w:szCs w:val="32"/>
          <w:lang w:bidi="ar-SA"/>
        </w:rPr>
        <w:t>　海关未依照本规定履行报告职责，对突发事件隐瞒、缓报、谎报或者授意他人隐瞒、缓报、谎报的，对主要负责人及其他直接责任人员予以行政处分；构成犯罪的，依法追究刑事责任。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第三十二条</w:t>
      </w:r>
      <w:r>
        <w:rPr>
          <w:rFonts w:hint="eastAsia" w:ascii="宋体" w:hAnsi="宋体" w:eastAsia="仿宋_GB2312" w:cs="仿宋_GB2312"/>
          <w:kern w:val="0"/>
          <w:sz w:val="32"/>
          <w:szCs w:val="32"/>
          <w:lang w:bidi="ar-SA"/>
        </w:rPr>
        <w:t>　突发事件发生后，海关拒不服从上级海关统一指挥，贻误采取应急控制措施时机或者违背应急预案要求拒绝上级海关对人员、物资的统一调配的，对单位予以通报批评；造成严重后果的，对主要负责人或直接责任人员予以行政处分，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第三十三条</w:t>
      </w:r>
      <w:r>
        <w:rPr>
          <w:rFonts w:hint="eastAsia" w:ascii="宋体" w:hAnsi="宋体" w:eastAsia="仿宋_GB2312" w:cs="仿宋_GB2312"/>
          <w:kern w:val="0"/>
          <w:sz w:val="32"/>
          <w:szCs w:val="32"/>
          <w:lang w:bidi="ar-SA"/>
        </w:rPr>
        <w:t>　突发事件发生后，海关拒不履行出入境检验检疫应急处理职责的，对上级海关的调查不予配合或者采取其他方式阻碍、干涉调查的，由上级海关责令改正，对主要负责人及其他直接责任人员予以行政处分；构成犯罪的，依法追究刑事责任。</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第三十四条</w:t>
      </w:r>
      <w:r>
        <w:rPr>
          <w:rFonts w:hint="eastAsia" w:ascii="宋体" w:hAnsi="宋体" w:eastAsia="仿宋_GB2312" w:cs="仿宋_GB2312"/>
          <w:kern w:val="0"/>
          <w:sz w:val="32"/>
          <w:szCs w:val="32"/>
          <w:lang w:bidi="ar-SA"/>
        </w:rPr>
        <w:t>　海关工作人员在突发事件应急处理工作中滥用职权、玩忽职守、徇私舞弊的，对主要负责人及其他直接责任人员予以行政处分；构成犯罪的，依法追究刑事责任。</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第七章</w:t>
      </w:r>
      <w:r>
        <w:rPr>
          <w:rFonts w:hint="eastAsia" w:ascii="宋体" w:hAnsi="宋体" w:eastAsia="黑体" w:cs="黑体"/>
          <w:kern w:val="0"/>
          <w:sz w:val="32"/>
          <w:szCs w:val="32"/>
          <w:lang w:val="en-US" w:eastAsia="zh-CN" w:bidi="ar-SA"/>
        </w:rPr>
        <w:t xml:space="preserve">  </w:t>
      </w:r>
      <w:r>
        <w:rPr>
          <w:rFonts w:hint="eastAsia" w:ascii="宋体" w:hAnsi="宋体" w:eastAsia="黑体" w:cs="黑体"/>
          <w:kern w:val="0"/>
          <w:sz w:val="32"/>
          <w:szCs w:val="32"/>
          <w:lang w:bidi="ar-SA"/>
        </w:rPr>
        <w:t>附则</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bidi="ar-SA"/>
        </w:rPr>
        <w:t>第三十五条</w:t>
      </w:r>
      <w:r>
        <w:rPr>
          <w:rFonts w:hint="eastAsia" w:ascii="宋体" w:hAnsi="宋体" w:eastAsia="仿宋_GB2312" w:cs="仿宋_GB2312"/>
          <w:kern w:val="0"/>
          <w:sz w:val="32"/>
          <w:szCs w:val="32"/>
          <w:lang w:bidi="ar-SA"/>
        </w:rPr>
        <w:t>　本规定由海关总署负责解释。</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第三十六条</w:t>
      </w:r>
      <w:r>
        <w:rPr>
          <w:rFonts w:hint="eastAsia" w:ascii="宋体" w:hAnsi="宋体" w:eastAsia="仿宋_GB2312" w:cs="仿宋_GB2312"/>
          <w:kern w:val="0"/>
          <w:sz w:val="32"/>
          <w:szCs w:val="32"/>
          <w:lang w:bidi="ar-SA"/>
        </w:rPr>
        <w:t>　本规定自发布之日起施行。</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仿宋_GB2312" w:cs="仿宋_GB2312"/>
          <w:kern w:val="0"/>
          <w:sz w:val="32"/>
          <w:szCs w:val="32"/>
          <w:lang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87" w:name="_Toc3031"/>
      <w:r>
        <w:rPr>
          <w:rFonts w:hint="eastAsia" w:ascii="宋体" w:hAnsi="宋体" w:eastAsia="宋体" w:cs="宋体"/>
          <w:sz w:val="44"/>
          <w:szCs w:val="44"/>
        </w:rPr>
        <w:t>动物检疫管理办法</w:t>
      </w:r>
      <w:bookmarkEnd w:id="287"/>
    </w:p>
    <w:p>
      <w:pPr>
        <w:pStyle w:val="7"/>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center"/>
        <w:textAlignment w:val="auto"/>
        <w:rPr>
          <w:rFonts w:hint="eastAsia" w:ascii="楷体" w:hAnsi="楷体" w:eastAsia="楷体" w:cs="楷体"/>
          <w:sz w:val="32"/>
          <w:szCs w:val="32"/>
        </w:rPr>
      </w:pPr>
      <w:r>
        <w:rPr>
          <w:rFonts w:hint="eastAsia" w:ascii="楷体" w:hAnsi="楷体" w:eastAsia="楷体" w:cs="楷体"/>
          <w:sz w:val="32"/>
          <w:szCs w:val="32"/>
        </w:rPr>
        <w:t>（2010年1月21日农业部令2010年第6号公布，2019年4月25日农业农村部令2019年第2号修正）</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第一条</w:t>
      </w:r>
      <w:r>
        <w:rPr>
          <w:rFonts w:hint="eastAsia" w:ascii="仿宋" w:hAnsi="仿宋" w:eastAsia="仿宋" w:cs="仿宋"/>
          <w:sz w:val="32"/>
          <w:szCs w:val="32"/>
        </w:rPr>
        <w:t xml:space="preserve"> 为加强动物检疫活动管理，预防、控制和扑灭动物疫病，保障动物及动物产品安全，保护人体健康，维护公共卫生安全，根据《中华人民共和国动物防疫法》（以下简称《动物防疫法》），制定本办法。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第二条</w:t>
      </w:r>
      <w:r>
        <w:rPr>
          <w:rFonts w:hint="eastAsia" w:ascii="仿宋" w:hAnsi="仿宋" w:eastAsia="仿宋" w:cs="仿宋"/>
          <w:sz w:val="32"/>
          <w:szCs w:val="32"/>
        </w:rPr>
        <w:t xml:space="preserve"> 本办法适用于中华人民共和国领域内的动物检疫活动。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第三条</w:t>
      </w:r>
      <w:r>
        <w:rPr>
          <w:rFonts w:hint="eastAsia" w:ascii="仿宋" w:hAnsi="仿宋" w:eastAsia="仿宋" w:cs="仿宋"/>
          <w:sz w:val="32"/>
          <w:szCs w:val="32"/>
        </w:rPr>
        <w:t xml:space="preserve"> 农业部主管全国动物检疫工作。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县级以上地方人民政府兽医主管部门主管本行政区域内的动物检疫工作。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县级以上地方人民政府设立的动物卫生监督机构负责本行政区域内动物、动物产品的检疫及其监督管理工作。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第四条</w:t>
      </w:r>
      <w:r>
        <w:rPr>
          <w:rFonts w:hint="eastAsia" w:ascii="仿宋" w:hAnsi="仿宋" w:eastAsia="仿宋" w:cs="仿宋"/>
          <w:sz w:val="32"/>
          <w:szCs w:val="32"/>
        </w:rPr>
        <w:t xml:space="preserve"> 动物检疫的范围、对象和规程由农业部制定、调整并公布。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第五条</w:t>
      </w:r>
      <w:r>
        <w:rPr>
          <w:rFonts w:hint="eastAsia" w:ascii="仿宋" w:hAnsi="仿宋" w:eastAsia="仿宋" w:cs="仿宋"/>
          <w:sz w:val="32"/>
          <w:szCs w:val="32"/>
        </w:rPr>
        <w:t xml:space="preserve"> 动物卫生监督机构指派官方兽医按照《动物防疫法》和本办法的规定对动物、动物产品实施检疫，出具检疫证明，加施检疫标志。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动物卫生监督机构可以根据检疫工作需要，指定兽医专业人员协助官方兽医实施动物检疫。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第六条</w:t>
      </w:r>
      <w:r>
        <w:rPr>
          <w:rFonts w:hint="eastAsia" w:ascii="仿宋" w:hAnsi="仿宋" w:eastAsia="仿宋" w:cs="仿宋"/>
          <w:sz w:val="32"/>
          <w:szCs w:val="32"/>
        </w:rPr>
        <w:t xml:space="preserve"> 动物检疫遵循过程监管、风险控制、区域化和可追溯管理相结合的原则。</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检疫申报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第七条</w:t>
      </w:r>
      <w:r>
        <w:rPr>
          <w:rFonts w:hint="eastAsia" w:ascii="仿宋" w:hAnsi="仿宋" w:eastAsia="仿宋" w:cs="仿宋"/>
          <w:sz w:val="32"/>
          <w:szCs w:val="32"/>
        </w:rPr>
        <w:t xml:space="preserve"> 国家实行动物检疫申报制度。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动物卫生监督机构应当根据检疫工作需要，合理设置动物检疫申报点，并向社会公布动物检疫申报点、检疫范围和检疫对象。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县级以上人民政府兽医主管部门应当加强动物检疫申报点的建设和管理。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第八条</w:t>
      </w:r>
      <w:r>
        <w:rPr>
          <w:rFonts w:hint="eastAsia" w:ascii="仿宋" w:hAnsi="仿宋" w:eastAsia="仿宋" w:cs="仿宋"/>
          <w:sz w:val="32"/>
          <w:szCs w:val="32"/>
        </w:rPr>
        <w:t xml:space="preserve"> 下列动物、动物产品在离开产地前，货主应当按规定时限向所在地动物卫生监督机构申报检疫：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（一）出售、运输动物产品和供屠宰、继续饲养的动物，应当提前3天申报检疫。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（二）出售、运输乳用动物、种用动物及其精液、卵、胚胎、种蛋，以及参加展览、演出和比赛的动物，应当提前15天申报检疫。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（三）向无规定动物疫病区输入相关易感动物、易感动物产品的，货主除按规定向输出地动物卫生监督机构申报检疫外，还应当在起运3天前向输入地省级动物卫生监督机构申报检疫。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第九条</w:t>
      </w:r>
      <w:r>
        <w:rPr>
          <w:rFonts w:hint="eastAsia" w:ascii="仿宋" w:hAnsi="仿宋" w:eastAsia="仿宋" w:cs="仿宋"/>
          <w:sz w:val="32"/>
          <w:szCs w:val="32"/>
        </w:rPr>
        <w:t xml:space="preserve"> 合法捕获野生动物的，应当在捕获后3天内向捕获地县级动物卫生监督机构申报检疫。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第十条</w:t>
      </w:r>
      <w:r>
        <w:rPr>
          <w:rFonts w:hint="eastAsia" w:ascii="仿宋" w:hAnsi="仿宋" w:eastAsia="仿宋" w:cs="仿宋"/>
          <w:sz w:val="32"/>
          <w:szCs w:val="32"/>
        </w:rPr>
        <w:t xml:space="preserve"> 屠宰动物的，应当提前6小时向所在地动物卫生监督机构申报检疫；急宰动物的，可以随时申报。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第十一条</w:t>
      </w:r>
      <w:r>
        <w:rPr>
          <w:rFonts w:hint="eastAsia" w:ascii="仿宋" w:hAnsi="仿宋" w:eastAsia="仿宋" w:cs="仿宋"/>
          <w:sz w:val="32"/>
          <w:szCs w:val="32"/>
        </w:rPr>
        <w:t xml:space="preserve"> 申报检疫的，应当提交检疫申报单；跨省、自治区、直辖市调运乳用动物、种用动物及其精液、胚胎、种蛋的，还应当同时提交输入地省、自治区、直辖市动物卫生监督机构批准的《跨省引进乳用种用动物检疫审批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申报检疫采取申报点填报、传真、电话等方式申报。采用电话申报的，需在现场补填检疫申报单。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第十二条</w:t>
      </w:r>
      <w:r>
        <w:rPr>
          <w:rFonts w:hint="eastAsia" w:ascii="仿宋" w:hAnsi="仿宋" w:eastAsia="仿宋" w:cs="仿宋"/>
          <w:sz w:val="32"/>
          <w:szCs w:val="32"/>
        </w:rPr>
        <w:t xml:space="preserve"> 动物卫生监督机构受理检疫申报后，应当派出官方兽医到现场或指定地点实施检疫；不予受理的，应当说明理由。</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产地检疫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第十三条</w:t>
      </w:r>
      <w:r>
        <w:rPr>
          <w:rFonts w:hint="eastAsia" w:ascii="仿宋" w:hAnsi="仿宋" w:eastAsia="仿宋" w:cs="仿宋"/>
          <w:sz w:val="32"/>
          <w:szCs w:val="32"/>
        </w:rPr>
        <w:t xml:space="preserve"> 出售或者运输的动物、动物产品经所在地县级动物卫生监督机构的官方兽医检疫合格，并取得《动物检疫合格证明》后，方可离开产地。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第十四条</w:t>
      </w:r>
      <w:r>
        <w:rPr>
          <w:rFonts w:hint="eastAsia" w:ascii="仿宋" w:hAnsi="仿宋" w:eastAsia="仿宋" w:cs="仿宋"/>
          <w:sz w:val="32"/>
          <w:szCs w:val="32"/>
        </w:rPr>
        <w:t xml:space="preserve"> 出售或者运输的动物，经检疫符合下列条件，由官方兽医出具《动物检疫合格证明》：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（一）来自非封锁区或者未发生相关动物疫情的饲养场（户）；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（二）按照国家规定进行了强制免疫，并在有效保护期内；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（三）临床检查健康；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（五）养殖档案相关记录和畜禽标识符合农业部规定。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乳用、种用动物和宠物，还应当符合农业部规定的健康标准。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第十五条</w:t>
      </w:r>
      <w:r>
        <w:rPr>
          <w:rFonts w:hint="eastAsia" w:ascii="仿宋" w:hAnsi="仿宋" w:eastAsia="仿宋" w:cs="仿宋"/>
          <w:sz w:val="32"/>
          <w:szCs w:val="32"/>
        </w:rPr>
        <w:t xml:space="preserve"> 合法捕获的野生动物，经检疫符合下列条件，由官方兽医出具《动物检疫合格证明》后，方可饲养、经营和运输：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（二）临床检查健康；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第十六条</w:t>
      </w:r>
      <w:r>
        <w:rPr>
          <w:rFonts w:hint="eastAsia" w:ascii="仿宋" w:hAnsi="仿宋" w:eastAsia="仿宋" w:cs="仿宋"/>
          <w:sz w:val="32"/>
          <w:szCs w:val="32"/>
        </w:rPr>
        <w:t xml:space="preserve"> 出售、运输的种用动物精液、卵、胚胎、种蛋，经检疫符合下列条件，由官方兽医出具《动物检疫合格证明》：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（一）来自非封锁区，或者未发生相关动物疫情的种用动物饲养场；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（二）供体动物按照国家规定进行了强制免疫，并在有效保护期内；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（三）供体动物符合动物健康标准；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（五）供体动物的养殖档案相关记录和畜禽标识符合农业部规定。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第十七条</w:t>
      </w:r>
      <w:r>
        <w:rPr>
          <w:rFonts w:hint="eastAsia" w:ascii="仿宋" w:hAnsi="仿宋" w:eastAsia="仿宋" w:cs="仿宋"/>
          <w:sz w:val="32"/>
          <w:szCs w:val="32"/>
        </w:rPr>
        <w:t xml:space="preserve"> 出售、运输的骨、角、生皮、原毛、绒等产品，经检疫符合下列条件，由官方兽医出具《动物检疫合格证明》：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（一）来自非封锁区，或者未发生相关动物疫情的饲养场（户）；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（二）按有关规定消毒合格；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第十八条</w:t>
      </w:r>
      <w:r>
        <w:rPr>
          <w:rFonts w:hint="eastAsia" w:ascii="仿宋" w:hAnsi="仿宋" w:eastAsia="仿宋" w:cs="仿宋"/>
          <w:sz w:val="32"/>
          <w:szCs w:val="32"/>
        </w:rPr>
        <w:t xml:space="preserve"> 经检疫不合格的动物、动物产品，由官方兽医出具检疫处理通知单，并监督货主按照农业部规定的技术规范处理。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第十九条</w:t>
      </w:r>
      <w:r>
        <w:rPr>
          <w:rFonts w:hint="eastAsia" w:ascii="仿宋" w:hAnsi="仿宋" w:eastAsia="仿宋" w:cs="仿宋"/>
          <w:sz w:val="32"/>
          <w:szCs w:val="32"/>
        </w:rPr>
        <w:t xml:space="preserve"> 跨省、自治区、直辖市引进用于饲养的非乳用、非种用动物到达目的地后，货主或者承运人应当在24小时内向所在地县级动物卫生监督机构报告，并接受监督检查。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第二十条</w:t>
      </w:r>
      <w:r>
        <w:rPr>
          <w:rFonts w:hint="eastAsia" w:ascii="仿宋" w:hAnsi="仿宋" w:eastAsia="仿宋" w:cs="仿宋"/>
          <w:sz w:val="32"/>
          <w:szCs w:val="32"/>
        </w:rPr>
        <w:t xml:space="preserve"> 跨省、自治区、直辖市引进的乳用、种用动物到达输入地后，在所在地动物卫生监督机构的监督下，应当在隔离场或饲养场（养殖小区）内的隔离舍进行隔离观察，大中型动物隔离期为45天，小型动物隔离期为30天。经隔离观察合格的方可混群饲养；不合格的，按照有关规定进行处理。隔离观察合格后需继续在省内运输的，货主应当申请更换《动物检疫合格证明》。动物卫生监督机构更换《动物检疫合格证明》不得收费。</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屠宰检疫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第二十一条</w:t>
      </w:r>
      <w:r>
        <w:rPr>
          <w:rFonts w:hint="eastAsia" w:ascii="仿宋" w:hAnsi="仿宋" w:eastAsia="仿宋" w:cs="仿宋"/>
          <w:sz w:val="32"/>
          <w:szCs w:val="32"/>
        </w:rPr>
        <w:t xml:space="preserve"> 县级动物卫生监督机构依法向屠宰场（厂、点）派驻（出）官方兽医实施检疫。屠宰场（厂、点）应当提供与屠宰规模相适应的官方兽医驻场检疫室和检疫操作台等设施。出场（厂、点）的动物产品应当经官方兽医检疫合格，加施检疫标志，并附有《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第二十二条</w:t>
      </w:r>
      <w:r>
        <w:rPr>
          <w:rFonts w:hint="eastAsia" w:ascii="仿宋" w:hAnsi="仿宋" w:eastAsia="仿宋" w:cs="仿宋"/>
          <w:sz w:val="32"/>
          <w:szCs w:val="32"/>
        </w:rPr>
        <w:t xml:space="preserve"> 进入屠宰场（厂、点）的动物应当附有《动物检疫合格证明》，并佩戴有农业部规定的畜禽标识。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官方兽医应当查验进场动物附具的《动物检疫合格证明》和佩戴的畜禽标识，检查待宰动物健康状况，对疑似染疫的动物进行隔离观察。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官方兽医应当按照农业部规定，在动物屠宰过程中实施全流程同步检疫和必要的实验室疫病检测。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第二十三条</w:t>
      </w:r>
      <w:r>
        <w:rPr>
          <w:rFonts w:hint="eastAsia" w:ascii="仿宋" w:hAnsi="仿宋" w:eastAsia="仿宋" w:cs="仿宋"/>
          <w:sz w:val="32"/>
          <w:szCs w:val="32"/>
        </w:rPr>
        <w:t xml:space="preserve"> 经检疫符合下列条件的，由官方兽医出具《动物检疫合格证明》，对胴体及分割、包装的动物产品加盖检疫验讫印章或者加施其他检疫标志：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（一）无规定的传染病和寄生虫病；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（二）符合农业部规定的相关屠宰检疫规程要求；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骨、角、生皮、原毛、绒的检疫还应当符合本办法第十七条有关规定。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第二十四条</w:t>
      </w:r>
      <w:r>
        <w:rPr>
          <w:rFonts w:hint="eastAsia" w:ascii="仿宋" w:hAnsi="仿宋" w:eastAsia="仿宋" w:cs="仿宋"/>
          <w:sz w:val="32"/>
          <w:szCs w:val="32"/>
        </w:rPr>
        <w:t xml:space="preserve"> 经检疫不合格的动物、动物产品，由官方兽医出具检疫处理通知单，并监督屠宰场（厂、点）或者货主按照农业部规定的技术规范处理。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第二十五条</w:t>
      </w:r>
      <w:r>
        <w:rPr>
          <w:rFonts w:hint="eastAsia" w:ascii="仿宋" w:hAnsi="仿宋" w:eastAsia="仿宋" w:cs="仿宋"/>
          <w:sz w:val="32"/>
          <w:szCs w:val="32"/>
        </w:rPr>
        <w:t xml:space="preserve"> 官方兽医应当回收进入屠宰场（厂、点）动物附具的《动物检疫合格证明》，填写屠宰检疫记录。回收的《动物检疫合格证明》应当保存十二个月以上。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第二十六条</w:t>
      </w:r>
      <w:r>
        <w:rPr>
          <w:rFonts w:hint="eastAsia" w:ascii="仿宋" w:hAnsi="仿宋" w:eastAsia="仿宋" w:cs="仿宋"/>
          <w:sz w:val="32"/>
          <w:szCs w:val="32"/>
        </w:rPr>
        <w:t xml:space="preserve"> 经检疫合格的动物产品到达目的地后，需要直接在当地分销的，货主可以向输入地动物卫生监督机构申请换证，换证不得收费。换证应当符合下列条件：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（一）提供原始有效《动物检疫合格证明》，检疫标志完整，且证物相符；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（二）在有关国家标准规定的保质期内，且无腐败变质。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第二十七条</w:t>
      </w:r>
      <w:r>
        <w:rPr>
          <w:rFonts w:hint="eastAsia" w:ascii="仿宋" w:hAnsi="仿宋" w:eastAsia="仿宋" w:cs="仿宋"/>
          <w:sz w:val="32"/>
          <w:szCs w:val="32"/>
        </w:rPr>
        <w:t xml:space="preserve"> 经检疫合格的动物产品到达目的地，贮藏后需继续调运或者分销的，货主可以向输入地动物卫生监督机构重新申报检疫。输入地县级以上动物卫生监督机构对符合下列条件的动物产品，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（一）提供原始有效《动物检疫合格证明》，检疫标志完整，且证物相符；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（二）在有关国家标准规定的保质期内，无腐败变质；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（三）有健全的出入库登记记录；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（四）农业部规定进行必要的实验室疫病检测的，检测结果符合要求。</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水产苗种产地检疫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第二十八条</w:t>
      </w:r>
      <w:r>
        <w:rPr>
          <w:rFonts w:hint="eastAsia" w:ascii="仿宋" w:hAnsi="仿宋" w:eastAsia="仿宋" w:cs="仿宋"/>
          <w:sz w:val="32"/>
          <w:szCs w:val="32"/>
        </w:rPr>
        <w:t xml:space="preserve"> 出售或者运输水生动物的亲本、稚体、幼体、受精卵、发眼卵及其他遗传育种材料等水产苗种的，货主应当提前20天向所在地县级动物卫生监督机构申报检疫；经检疫合格，并取得《动物检疫合格证明》后，方可离开产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第二十九条</w:t>
      </w:r>
      <w:r>
        <w:rPr>
          <w:rFonts w:hint="eastAsia" w:ascii="仿宋" w:hAnsi="仿宋" w:eastAsia="仿宋" w:cs="仿宋"/>
          <w:sz w:val="32"/>
          <w:szCs w:val="32"/>
        </w:rPr>
        <w:t xml:space="preserve"> 养殖、出售或者运输合法捕获的野生水产苗种的，货主应当在捕获野生水产苗种后2天内向所在地县级动物卫生监督机构申报检疫；经检疫合格，并取得《动物检疫合格证明》后，方可投放养殖场所、出售或者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合法捕获的野生水产苗种实施检疫前，货主应当将其隔离在符合下列条件的临时检疫场地：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（一）与其他养殖场所有物理隔离设施；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（二）具有独立的进排水和废水无害化处理设施以及专用渔具；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（三）农业部规定的其他防疫条件。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第三十条</w:t>
      </w:r>
      <w:r>
        <w:rPr>
          <w:rFonts w:hint="eastAsia" w:ascii="仿宋" w:hAnsi="仿宋" w:eastAsia="仿宋" w:cs="仿宋"/>
          <w:sz w:val="32"/>
          <w:szCs w:val="32"/>
        </w:rPr>
        <w:t xml:space="preserve"> 水产苗种经检疫符合下列条件的，由官方兽医出具《动物检疫合格证明》：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（一）该苗种生产场近期未发生相关水生动物疫情；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（二）临床健康检查合格；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（三）农业部规定需要经水生动物疫病诊断实验室检验的，检验结果符合要求。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检疫不合格的，动物卫生监督机构应当监督货主按照农业部规定的技术规范处理。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第三十一条</w:t>
      </w:r>
      <w:r>
        <w:rPr>
          <w:rFonts w:hint="eastAsia" w:ascii="仿宋" w:hAnsi="仿宋" w:eastAsia="仿宋" w:cs="仿宋"/>
          <w:sz w:val="32"/>
          <w:szCs w:val="32"/>
        </w:rPr>
        <w:t xml:space="preserve"> 跨省、自治区、直辖市引进水产苗种到达目的地后，货主或承运人应当在24小时内按照有关规定报告，并接受当地动物卫生监督机构的监督检查。</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无规定动物疫病区动物检疫</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第三十二条</w:t>
      </w:r>
      <w:r>
        <w:rPr>
          <w:rFonts w:hint="eastAsia" w:ascii="仿宋" w:hAnsi="仿宋" w:eastAsia="仿宋" w:cs="仿宋"/>
          <w:sz w:val="32"/>
          <w:szCs w:val="32"/>
        </w:rPr>
        <w:t xml:space="preserve"> 向无规定动物疫病区运输相关易感动物、动物产品的，除附有输出地动物卫生监督机构出具的《动物检疫合格证明》外，还应当向输入地省、自治区、直辖市动物卫生监督机构申报检疫，并按照本办法第三十三条、第三十四条规定取得输入地《动物检疫合格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第三十三条</w:t>
      </w:r>
      <w:r>
        <w:rPr>
          <w:rFonts w:hint="eastAsia" w:ascii="仿宋" w:hAnsi="仿宋" w:eastAsia="仿宋" w:cs="仿宋"/>
          <w:sz w:val="32"/>
          <w:szCs w:val="32"/>
        </w:rPr>
        <w:t xml:space="preserve"> 输入到无规定动物疫病区的相关易感动物，应当在输入地省、自治区、直辖市动物卫生监督机构指定的隔离场所，按照农业部规定的无规定动物疫病区有关检疫要求隔离检疫。大中型动物隔离检疫期为45天，小型动物隔离检疫期为30天。隔离检疫合格的，由输入地省、自治区、直辖市动物卫生监督机构的官方兽医出具《动物检疫合格证明》；不合格的，不准进入，并依法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第三十四条</w:t>
      </w:r>
      <w:r>
        <w:rPr>
          <w:rFonts w:hint="eastAsia" w:ascii="仿宋" w:hAnsi="仿宋" w:eastAsia="仿宋" w:cs="仿宋"/>
          <w:sz w:val="32"/>
          <w:szCs w:val="32"/>
        </w:rPr>
        <w:t xml:space="preserve"> 输入到无规定动物疫病区的相关易感动物产品，应当在输入地省、自治区、直辖市动物卫生监督机构指定的地点，按照农业部规定的无规定动物疫病区有关检疫要求进行检疫。检疫合格的，由输入地省、自治区、直辖市动物卫生监督机构的官方兽医出具《动物检疫合格证明》；不合格的，不准进入，并依法处理。</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乳用种用动物检疫审批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第三十五条</w:t>
      </w:r>
      <w:r>
        <w:rPr>
          <w:rFonts w:hint="eastAsia" w:ascii="仿宋" w:hAnsi="仿宋" w:eastAsia="仿宋" w:cs="仿宋"/>
          <w:sz w:val="32"/>
          <w:szCs w:val="32"/>
        </w:rPr>
        <w:t xml:space="preserve"> 跨省、自治区、直辖市引进乳用动物、种用动物及其精液、胚胎、种蛋的，货主应当填写《跨省引进乳用种用动物检疫审批表》，向输入地省、自治区、直辖市动物卫生监督机构申请办理审批手续。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第三十六条</w:t>
      </w:r>
      <w:r>
        <w:rPr>
          <w:rFonts w:hint="eastAsia" w:ascii="仿宋" w:hAnsi="仿宋" w:eastAsia="仿宋" w:cs="仿宋"/>
          <w:sz w:val="32"/>
          <w:szCs w:val="32"/>
        </w:rPr>
        <w:t xml:space="preserve"> 输入地省、自治区、直辖市动物卫生监督机构应当自受理申请之日起10个工作日内，做出是否同意引进的决定。符合下列条件的，签发《跨省引进乳用种用动物检疫审批表》；不符合下列条件的，书面告知申请人，并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（一）输出和输入饲养场、养殖小区取得《动物防疫条件合格证》；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（二）输入饲养场、养殖小区存栏的动物符合动物健康标准；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（三）输出的乳用、种用动物养殖档案相关记录符合农业部规定；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（四）输出的精液、胚胎、种蛋的供体符合动物健康标准。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第三十七条</w:t>
      </w:r>
      <w:r>
        <w:rPr>
          <w:rFonts w:hint="eastAsia" w:ascii="仿宋" w:hAnsi="仿宋" w:eastAsia="仿宋" w:cs="仿宋"/>
          <w:sz w:val="32"/>
          <w:szCs w:val="32"/>
        </w:rPr>
        <w:t xml:space="preserve"> 货主凭输入地省、自治区、直辖市动物卫生监督机构签发的《跨省引进乳用种用动物检疫审批表》，按照本办法规定向输出地县级动物卫生监督机构申报检疫。输出地县级动物卫生监督机构应当按照本办法的规定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第三十八条</w:t>
      </w:r>
      <w:r>
        <w:rPr>
          <w:rFonts w:hint="eastAsia" w:ascii="仿宋" w:hAnsi="仿宋" w:eastAsia="仿宋" w:cs="仿宋"/>
          <w:sz w:val="32"/>
          <w:szCs w:val="32"/>
        </w:rPr>
        <w:t xml:space="preserve"> 跨省引进乳用种用动物应当在《跨省引进乳用种用动物检疫审批表》有效期内运输。逾期引进的，货主应当重新办理审批手续。</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检疫监督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第三十九条</w:t>
      </w:r>
      <w:r>
        <w:rPr>
          <w:rFonts w:hint="eastAsia" w:ascii="仿宋" w:hAnsi="仿宋" w:eastAsia="仿宋" w:cs="仿宋"/>
          <w:sz w:val="32"/>
          <w:szCs w:val="32"/>
        </w:rPr>
        <w:t xml:space="preserve"> 屠宰、经营、运输以及参加展览、演出和比赛的动物，应当附有《动物检疫合格证明》；经营、运输的动物产品应当附有《动物检疫合格证明》和检疫标志。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对符合前款规定的动物、动物产品，动物卫生监督机构可以查验检疫证明、检疫标志，对动物、动物产品进行采样、留验、抽检，但不得重复检疫收费。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第四十条</w:t>
      </w:r>
      <w:r>
        <w:rPr>
          <w:rFonts w:hint="eastAsia" w:ascii="仿宋" w:hAnsi="仿宋" w:eastAsia="仿宋" w:cs="仿宋"/>
          <w:sz w:val="32"/>
          <w:szCs w:val="32"/>
        </w:rPr>
        <w:t xml:space="preserve"> 依法应当检疫而未经检疫的动物，由动物卫生监督机构依照本条第二款规定补检，并依照《动物防疫法》处理处罚。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符合下列条件的，由动物卫生监督机构出具《动物检疫合格证明》；不符合的，按照农业部有关规定进行处理。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（一）畜禽标识符合农业部规定；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（二）临床检查健康；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第四十一条</w:t>
      </w:r>
      <w:r>
        <w:rPr>
          <w:rFonts w:hint="eastAsia" w:ascii="仿宋" w:hAnsi="仿宋" w:eastAsia="仿宋" w:cs="仿宋"/>
          <w:sz w:val="32"/>
          <w:szCs w:val="32"/>
        </w:rPr>
        <w:t xml:space="preserve"> 依法应当检疫而未经检疫的骨、角、生皮、原毛、绒等产品，符合下列条件的，由动物卫生监督机构出具《动物检疫合格证明》；不符合的，予以没收销毁。同时，依照《动物防疫法》处理处罚。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（一）经外观检查无腐烂变质；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（二）按有关规定重新消毒；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第四十二条</w:t>
      </w:r>
      <w:r>
        <w:rPr>
          <w:rFonts w:hint="eastAsia" w:ascii="仿宋" w:hAnsi="仿宋" w:eastAsia="仿宋" w:cs="仿宋"/>
          <w:sz w:val="32"/>
          <w:szCs w:val="32"/>
        </w:rPr>
        <w:t xml:space="preserve"> 依法应当检疫而未经检疫的精液、胚胎、种蛋等，符合下列条件的，由动物卫生监督机构出具《动物检疫合格证明》；不符合的，予以没收销毁。同时，依照《动物防疫法》处理处罚。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（一）货主在5天内提供输出地动物卫生监督机构出具的来自非封锁区的证明和供体动物符合健康标准的证明；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（二）在规定的保质期内，并经外观检查无腐败变质；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第四十三条</w:t>
      </w:r>
      <w:r>
        <w:rPr>
          <w:rFonts w:hint="eastAsia" w:ascii="仿宋" w:hAnsi="仿宋" w:eastAsia="仿宋" w:cs="仿宋"/>
          <w:sz w:val="32"/>
          <w:szCs w:val="32"/>
        </w:rPr>
        <w:t xml:space="preserve"> 依法应当检疫而未经检疫的肉、脏器、脂、头、蹄、血液、筋等，符合下列条件的，由动物卫生监督机构出具《动物检疫合格证明》，并依照《动物防疫法》第七十八条的规定进行处罚；不符合下列条件的，予以没收销毁，并依照《动物防疫法》第七十六条的规定进行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（一）货主在5天内提供输出地动物卫生监督机构出具的来自非封锁区的证明；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（二）经外观检查无病变、无腐败变质；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（三）农业部规定需要进行实验室疫病检测的，检测结果符合要求。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第四十四条</w:t>
      </w:r>
      <w:r>
        <w:rPr>
          <w:rFonts w:hint="eastAsia" w:ascii="仿宋" w:hAnsi="仿宋" w:eastAsia="仿宋" w:cs="仿宋"/>
          <w:sz w:val="32"/>
          <w:szCs w:val="32"/>
        </w:rPr>
        <w:t xml:space="preserve"> 经铁路、公路、水路、航空运输依法应当检疫的动物、动物产品的，托运人托运时应当提供《动物检疫合格证明》。没有《动物检疫合格证明》的，承运人不得承运。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第四十五条</w:t>
      </w:r>
      <w:r>
        <w:rPr>
          <w:rFonts w:hint="eastAsia" w:ascii="仿宋" w:hAnsi="仿宋" w:eastAsia="仿宋" w:cs="仿宋"/>
          <w:sz w:val="32"/>
          <w:szCs w:val="32"/>
        </w:rPr>
        <w:t xml:space="preserve"> 货主或者承运人应当在装载前和卸载后，对动物、动物产品的运载工具以及饲养用具、装载用具等，按照农业部规定的技术规范进行消毒，并对清除的垫料、粪便、污物等进行无害化处理。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第四十六条</w:t>
      </w:r>
      <w:r>
        <w:rPr>
          <w:rFonts w:hint="eastAsia" w:ascii="仿宋" w:hAnsi="仿宋" w:eastAsia="仿宋" w:cs="仿宋"/>
          <w:sz w:val="32"/>
          <w:szCs w:val="32"/>
        </w:rPr>
        <w:t xml:space="preserve"> 封锁区内的商品蛋、生鲜奶的运输监管按照《重大动物疫情应急条例》实施。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第四十七条</w:t>
      </w:r>
      <w:r>
        <w:rPr>
          <w:rFonts w:hint="eastAsia" w:ascii="仿宋" w:hAnsi="仿宋" w:eastAsia="仿宋" w:cs="仿宋"/>
          <w:sz w:val="32"/>
          <w:szCs w:val="32"/>
        </w:rPr>
        <w:t xml:space="preserve"> 经检疫合格的动物、动物产品应当在规定时间内到达目的地。经检疫合格的动物在运输途中发生疫情，应按有关规定报告并处置。</w:t>
      </w:r>
    </w:p>
    <w:p>
      <w:pPr>
        <w:pStyle w:val="7"/>
        <w:rPr>
          <w:rFonts w:hint="eastAsi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罚则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第四十八条</w:t>
      </w:r>
      <w:r>
        <w:rPr>
          <w:rFonts w:hint="eastAsia" w:ascii="仿宋" w:hAnsi="仿宋" w:eastAsia="仿宋" w:cs="仿宋"/>
          <w:sz w:val="32"/>
          <w:szCs w:val="32"/>
        </w:rPr>
        <w:t xml:space="preserve"> 违反本办法第十九条、第三十一条规定，跨省、自治区、直辖市引进用于饲养的非乳用、非种用动物和水产苗种到达目的地后，未向所在地动物卫生监督机构报告的，由动物卫生监督机构处五百元以上二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第四十九条</w:t>
      </w:r>
      <w:r>
        <w:rPr>
          <w:rFonts w:hint="eastAsia" w:ascii="仿宋" w:hAnsi="仿宋" w:eastAsia="仿宋" w:cs="仿宋"/>
          <w:sz w:val="32"/>
          <w:szCs w:val="32"/>
        </w:rPr>
        <w:t xml:space="preserve"> 违反本办法第二十条规定，跨省、自治区、直辖市引进的乳用、种用动物到达输入地后，未按规定进行隔离观察的，由动物卫生监督机构责令改正，处二千元以上一万元以下罚款。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第五十条</w:t>
      </w:r>
      <w:r>
        <w:rPr>
          <w:rFonts w:hint="eastAsia" w:ascii="仿宋" w:hAnsi="仿宋" w:eastAsia="仿宋" w:cs="仿宋"/>
          <w:sz w:val="32"/>
          <w:szCs w:val="32"/>
        </w:rPr>
        <w:t xml:space="preserve"> 其他违反本办法规定的行为，依照《动物防疫法》有关规定予以处罚。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第十章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第五十一条</w:t>
      </w:r>
      <w:r>
        <w:rPr>
          <w:rFonts w:hint="eastAsia" w:ascii="仿宋" w:hAnsi="仿宋" w:eastAsia="仿宋" w:cs="仿宋"/>
          <w:sz w:val="32"/>
          <w:szCs w:val="32"/>
        </w:rPr>
        <w:t xml:space="preserve"> 动物卫生监督证章标志格式或样式由农业部统一制定。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第五十二条</w:t>
      </w:r>
      <w:r>
        <w:rPr>
          <w:rFonts w:hint="eastAsia" w:ascii="仿宋" w:hAnsi="仿宋" w:eastAsia="仿宋" w:cs="仿宋"/>
          <w:sz w:val="32"/>
          <w:szCs w:val="32"/>
        </w:rPr>
        <w:t xml:space="preserve"> 水产苗种产地检疫，由地方动物卫生监督机构委托同级渔业主管部门实施。水产苗种以外的其他水生动物及其产品不实施检疫。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第五十三条</w:t>
      </w:r>
      <w:r>
        <w:rPr>
          <w:rFonts w:hint="eastAsia" w:ascii="仿宋" w:hAnsi="仿宋" w:eastAsia="仿宋" w:cs="仿宋"/>
          <w:sz w:val="32"/>
          <w:szCs w:val="32"/>
        </w:rPr>
        <w:t xml:space="preserve"> 本办法自2010年3月1日起施行。农业部2002年5月24日发布的《动物检疫管理办法》（农业部令第14号）自本办法施行之日起废止。</w:t>
      </w:r>
    </w:p>
    <w:p>
      <w:pPr>
        <w:widowControl w:val="0"/>
        <w:wordWrap/>
        <w:adjustRightInd/>
        <w:snapToGrid/>
        <w:spacing w:line="560" w:lineRule="exact"/>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br w:type="page"/>
      </w:r>
    </w:p>
    <w:p>
      <w:pPr>
        <w:widowControl w:val="0"/>
        <w:wordWrap/>
        <w:adjustRightInd/>
        <w:snapToGrid/>
        <w:spacing w:line="560" w:lineRule="exact"/>
        <w:ind w:firstLine="0" w:firstLineChars="0"/>
        <w:jc w:val="center"/>
        <w:textAlignment w:val="auto"/>
        <w:outlineLvl w:val="0"/>
        <w:rPr>
          <w:rFonts w:hint="eastAsia" w:ascii="宋体" w:hAnsi="宋体" w:eastAsia="宋体" w:cs="宋体"/>
          <w:sz w:val="44"/>
          <w:szCs w:val="44"/>
        </w:rPr>
      </w:pPr>
      <w:bookmarkStart w:id="288" w:name="_Toc30969"/>
      <w:r>
        <w:rPr>
          <w:rFonts w:hint="eastAsia" w:ascii="宋体" w:hAnsi="宋体" w:eastAsia="宋体" w:cs="宋体"/>
          <w:sz w:val="44"/>
          <w:szCs w:val="44"/>
        </w:rPr>
        <w:t>出入境邮轮检疫管理办法</w:t>
      </w:r>
      <w:bookmarkEnd w:id="288"/>
    </w:p>
    <w:p>
      <w:pPr>
        <w:widowControl w:val="0"/>
        <w:wordWrap/>
        <w:adjustRightInd/>
        <w:snapToGrid/>
        <w:spacing w:line="560" w:lineRule="exact"/>
        <w:ind w:firstLine="0" w:firstLineChars="0"/>
        <w:jc w:val="center"/>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firstLine="0" w:firstLineChars="0"/>
        <w:jc w:val="both"/>
        <w:textAlignment w:val="auto"/>
        <w:rPr>
          <w:rFonts w:hint="eastAsia" w:ascii="楷体" w:hAnsi="楷体" w:eastAsia="楷体" w:cs="楷体"/>
          <w:sz w:val="32"/>
          <w:szCs w:val="32"/>
        </w:rPr>
      </w:pPr>
      <w:r>
        <w:rPr>
          <w:rFonts w:hint="eastAsia" w:ascii="楷体" w:hAnsi="楷体" w:eastAsia="楷体" w:cs="楷体"/>
          <w:sz w:val="32"/>
          <w:szCs w:val="32"/>
        </w:rPr>
        <w:t>（2016年10月25日国家质量监督检验检疫总局令第185号公布　根据2018年4月28日海关总署令第238号《海关总署关于修改部分规章的决定》第一次修正　根据2018年5月29日海关总署第240号令《海关总署关于修改部分规章的决定》第二次修正）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第一条</w:t>
      </w:r>
      <w:r>
        <w:rPr>
          <w:rFonts w:hint="eastAsia" w:ascii="仿宋" w:hAnsi="仿宋" w:eastAsia="仿宋" w:cs="仿宋"/>
          <w:sz w:val="32"/>
          <w:szCs w:val="32"/>
        </w:rPr>
        <w:t xml:space="preserve"> 为了规范出入境邮轮检疫监管工作，防止疫病疫情传播，促进邮轮经济发展，根据《中华人民共和国国境卫生检疫法》及其实施细则、《中华人民共和国动植物检疫法》及其实施条例、《中华人民共和国食品安全法》及其实施条例、《中华人民共和国传染病防治法》及其实施办法、《突发公共卫生事件应急条例》《国际航行船舶进出中华人民共和国口岸检查办法》等法律法规的规定，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第二条</w:t>
      </w:r>
      <w:r>
        <w:rPr>
          <w:rFonts w:hint="eastAsia" w:ascii="仿宋" w:hAnsi="仿宋" w:eastAsia="仿宋" w:cs="仿宋"/>
          <w:sz w:val="32"/>
          <w:szCs w:val="32"/>
        </w:rPr>
        <w:t xml:space="preserve"> 本办法适用于对进出中华人民共和国国境口岸的外国籍邮轮和航行国际航线的中华人民共和国</w:t>
      </w:r>
      <w:r>
        <w:rPr>
          <w:rFonts w:hint="eastAsia" w:ascii="仿宋" w:hAnsi="仿宋" w:eastAsia="仿宋" w:cs="仿宋"/>
          <w:sz w:val="32"/>
          <w:szCs w:val="32"/>
          <w:lang w:eastAsia="zh-CN"/>
        </w:rPr>
        <w:t>国</w:t>
      </w:r>
      <w:r>
        <w:rPr>
          <w:rFonts w:hint="eastAsia" w:ascii="仿宋" w:hAnsi="仿宋" w:eastAsia="仿宋" w:cs="仿宋"/>
          <w:sz w:val="32"/>
          <w:szCs w:val="32"/>
        </w:rPr>
        <w:t>籍邮轮及相关经营、服务单位的检疫监督管理。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第三条</w:t>
      </w:r>
      <w:r>
        <w:rPr>
          <w:rFonts w:hint="eastAsia" w:ascii="仿宋" w:hAnsi="仿宋" w:eastAsia="仿宋" w:cs="仿宋"/>
          <w:sz w:val="32"/>
          <w:szCs w:val="32"/>
        </w:rPr>
        <w:t xml:space="preserve"> 海关总署统一管理全国出入境邮轮检疫监管工作。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主管海关负责所辖口岸的出入境邮轮检疫监管工作。</w:t>
      </w:r>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风险管理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第四条</w:t>
      </w:r>
      <w:r>
        <w:rPr>
          <w:rFonts w:hint="eastAsia" w:ascii="仿宋" w:hAnsi="仿宋" w:eastAsia="仿宋" w:cs="仿宋"/>
          <w:sz w:val="32"/>
          <w:szCs w:val="32"/>
        </w:rPr>
        <w:t xml:space="preserve"> 海关对出入境邮轮实施风险管理。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第五条</w:t>
      </w:r>
      <w:r>
        <w:rPr>
          <w:rFonts w:hint="eastAsia" w:ascii="仿宋" w:hAnsi="仿宋" w:eastAsia="仿宋" w:cs="仿宋"/>
          <w:sz w:val="32"/>
          <w:szCs w:val="32"/>
        </w:rPr>
        <w:t xml:space="preserve"> 海关总署根据邮轮卫生状况、运营方及其代理人检疫风险控制能力、信用等级、现场监管情况及其他相关因素，制定邮轮检疫风险评估技术方案，确定邮轮检疫风险等级划分标准。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第六条</w:t>
      </w:r>
      <w:r>
        <w:rPr>
          <w:rFonts w:hint="eastAsia" w:ascii="仿宋" w:hAnsi="仿宋" w:eastAsia="仿宋" w:cs="仿宋"/>
          <w:sz w:val="32"/>
          <w:szCs w:val="32"/>
        </w:rPr>
        <w:t xml:space="preserve"> 邮轮运营方负责建立并运行邮轮公共卫生安全体系，包括：</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（一）食品安全控制计划；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（二）饮用水安全控制计划；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（三）娱乐用水安全控制计划；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（四）医学媒介生物监测计划；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（五）邮轮公共场所卫生制度；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（六）废弃物管理制度；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（七）胃肠道疾病的监测与控制体系；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（八）突发公共卫生事件应对工作机制。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第七条</w:t>
      </w:r>
      <w:r>
        <w:rPr>
          <w:rFonts w:hint="eastAsia" w:ascii="仿宋" w:hAnsi="仿宋" w:eastAsia="仿宋" w:cs="仿宋"/>
          <w:sz w:val="32"/>
          <w:szCs w:val="32"/>
        </w:rPr>
        <w:t xml:space="preserve"> 邮轮运营方负责建立邮轮有害生物综合管理措施（IPM）计划，开展相关监测、防治和报告工作，控制有害生物扩散。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第八条</w:t>
      </w:r>
      <w:r>
        <w:rPr>
          <w:rFonts w:hint="eastAsia" w:ascii="仿宋" w:hAnsi="仿宋" w:eastAsia="仿宋" w:cs="仿宋"/>
          <w:sz w:val="32"/>
          <w:szCs w:val="32"/>
        </w:rPr>
        <w:t xml:space="preserve"> 邮轮运营方或者其代理人按照自愿原则，可以向母港所在地海关提出风险评估申请，申请时应当提交以下资料：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（一）邮轮检疫风险评估申请书；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（二）邮轮的通风系统、生活用水供应系统、饮用水净化系统、污水处理系统的结构图。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第九条</w:t>
      </w:r>
      <w:r>
        <w:rPr>
          <w:rFonts w:hint="eastAsia" w:ascii="仿宋" w:hAnsi="仿宋" w:eastAsia="仿宋" w:cs="仿宋"/>
          <w:sz w:val="32"/>
          <w:szCs w:val="32"/>
        </w:rPr>
        <w:t xml:space="preserve"> 海关总署负责组织邮轮风险评估工作，确定邮轮检疫风险等级，并对外公布。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主管海关根据风险等级确定邮轮检疫方式、卫生监督内容及频次并实施动态分类管理。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入境检疫查验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 xml:space="preserve">第十条 </w:t>
      </w:r>
      <w:r>
        <w:rPr>
          <w:rFonts w:hint="eastAsia" w:ascii="仿宋" w:hAnsi="仿宋" w:eastAsia="仿宋" w:cs="仿宋"/>
          <w:sz w:val="32"/>
          <w:szCs w:val="32"/>
        </w:rPr>
        <w:t>在邮轮入境前24小时或者离开上一港口后，邮轮负责人或者其代理人应当向入境口岸海关申报，提交沿途寄港、靠泊计划、人员健康情况、《船舶免予卫生控制措施/卫生控制措施证书》等信息。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如申报内容有变化，邮轮负责人或者其代理人应当及时向海关更正。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 xml:space="preserve">第十一条 </w:t>
      </w:r>
      <w:r>
        <w:rPr>
          <w:rFonts w:hint="eastAsia" w:ascii="仿宋" w:hAnsi="仿宋" w:eastAsia="仿宋" w:cs="仿宋"/>
          <w:sz w:val="32"/>
          <w:szCs w:val="32"/>
        </w:rPr>
        <w:t>入境邮轮应当依法接受检疫查验。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邮轮负责人或者其代理人应当向最先到达的入境口岸海关申请办理入境检疫手续，经海关准许，方可入境。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接受入境检疫的邮轮，在检疫完成以前，未经海关许可，不准上下人员，不准装卸货物、行李、邮包等物品。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第十二条</w:t>
      </w:r>
      <w:r>
        <w:rPr>
          <w:rFonts w:hint="eastAsia" w:ascii="仿宋" w:hAnsi="仿宋" w:eastAsia="仿宋" w:cs="仿宋"/>
          <w:sz w:val="32"/>
          <w:szCs w:val="32"/>
        </w:rPr>
        <w:t xml:space="preserve"> 入境邮轮应当按照规定悬挂检疫信号，在指定地点等候检疫。在海关签发入境检疫证书或者通知检疫完毕之前，不得解除检疫信号。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检验检疫人员登轮检疫时，邮轮负责人或者其代理人应当配合开展工作。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第十三条</w:t>
      </w:r>
      <w:r>
        <w:rPr>
          <w:rFonts w:hint="eastAsia" w:ascii="仿宋" w:hAnsi="仿宋" w:eastAsia="仿宋" w:cs="仿宋"/>
          <w:sz w:val="32"/>
          <w:szCs w:val="32"/>
        </w:rPr>
        <w:t xml:space="preserve"> 海关根据入境邮轮申报信息及邮轮检疫风险等级确定检疫方式，及时通知邮轮负责人或者其代理人，检疫方式有：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（一）靠泊检疫；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（二）随船检疫；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（三）锚地检疫；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（四）电讯检疫。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第十四条</w:t>
      </w:r>
      <w:r>
        <w:rPr>
          <w:rFonts w:hint="eastAsia" w:ascii="仿宋" w:hAnsi="仿宋" w:eastAsia="仿宋" w:cs="仿宋"/>
          <w:sz w:val="32"/>
          <w:szCs w:val="32"/>
        </w:rPr>
        <w:t xml:space="preserve"> 有下列情形之一的，海关可以对入境邮轮实施随船检疫：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（一）首次入境，且入境前4周内停靠过海关总署公告、警示通报列明的发生疫情国家或者地区；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（二）首次入境，且公共卫生体系风险不明的；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（三）为便利通关需要，邮轮负责人或者其代理人申请，海关认为有必要的。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参加随船检疫人员应当为邮轮检疫在岗人员，且具有医学专业背景或者接受过系统性船舶卫生检疫业务培训的。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第十五条</w:t>
      </w:r>
      <w:r>
        <w:rPr>
          <w:rFonts w:hint="eastAsia" w:ascii="仿宋" w:hAnsi="仿宋" w:eastAsia="仿宋" w:cs="仿宋"/>
          <w:sz w:val="32"/>
          <w:szCs w:val="32"/>
        </w:rPr>
        <w:t xml:space="preserve"> 有下列情形之一的，海关应当对入境邮轮实施锚地检疫：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（一）来自检疫传染病受染地区，邮轮上报告有疑似检疫传染病病例，且根据要求需对密切接触者采取集中隔离观察的；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（二）海关总署公告、警示通报有明确要求的；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（三）海关总署评定检疫风险较高的；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（四）有本办法第十四条第一款第（一）（二）项规定的情形而未实施随船检疫的；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（五）邮轮负责人或者其代理人申请，海关认为有必要的。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第十六条</w:t>
      </w:r>
      <w:r>
        <w:rPr>
          <w:rFonts w:hint="eastAsia" w:ascii="仿宋" w:hAnsi="仿宋" w:eastAsia="仿宋" w:cs="仿宋"/>
          <w:sz w:val="32"/>
          <w:szCs w:val="32"/>
        </w:rPr>
        <w:t xml:space="preserve"> 邮轮经风险评估，检疫风险较低的，经邮轮负责人或者其代理人申请，海关可以实施电讯检疫。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第十七条</w:t>
      </w:r>
      <w:r>
        <w:rPr>
          <w:rFonts w:hint="eastAsia" w:ascii="仿宋" w:hAnsi="仿宋" w:eastAsia="仿宋" w:cs="仿宋"/>
          <w:sz w:val="32"/>
          <w:szCs w:val="32"/>
        </w:rPr>
        <w:t xml:space="preserve"> 有本办法第十四条、第十五条、第十六条规定以外的其他情形或者在紧急情况下，海关对邮轮实施靠泊检疫。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第十八条</w:t>
      </w:r>
      <w:r>
        <w:rPr>
          <w:rFonts w:hint="eastAsia" w:ascii="仿宋" w:hAnsi="仿宋" w:eastAsia="仿宋" w:cs="仿宋"/>
          <w:sz w:val="32"/>
          <w:szCs w:val="32"/>
        </w:rPr>
        <w:t xml:space="preserve"> 海关工作人员对入境邮轮实施的检疫查验内容包括：</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（一）在登轮前，检查邮轮是否悬挂检疫信号；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（二）核查《船舶免于卫生控制措施证书/船舶卫生控制措施证书》、食品从业人员健康证明、来自黄热病疫区交通工具上船员和旅客的预防接种证书；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（三）检查邮轮医疗设施、航海日志、医疗日志，询问船员、旅客的健康监测情况，可以要求邮轮运营方或者其代理人签字确认；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（四）检查食品饮用水安全、医学媒介生物控制、废弃物处置和卫生状况；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（五）检查公共卫生安全体系其他相关内容。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第十九条</w:t>
      </w:r>
      <w:r>
        <w:rPr>
          <w:rFonts w:hint="eastAsia" w:ascii="仿宋" w:hAnsi="仿宋" w:eastAsia="仿宋" w:cs="仿宋"/>
          <w:sz w:val="32"/>
          <w:szCs w:val="32"/>
        </w:rPr>
        <w:t xml:space="preserve"> 完成入境检疫后，对未发现染疫的邮轮，检验检疫人员应当立即签发《船舶入境卫生检疫证》；对需要实施检疫处理措施的邮轮，经检疫处理合格后，予以签发《船舶入境检疫证》。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邮轮负责人收到《船舶入境卫生检疫证》或者《船舶入境检疫证》，方可解除入境邮轮检疫信号，准予人员上下、货物装卸等。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第二十条</w:t>
      </w:r>
      <w:r>
        <w:rPr>
          <w:rFonts w:hint="eastAsia" w:ascii="仿宋" w:hAnsi="仿宋" w:eastAsia="仿宋" w:cs="仿宋"/>
          <w:sz w:val="32"/>
          <w:szCs w:val="32"/>
        </w:rPr>
        <w:t xml:space="preserve"> 入境旅客、邮轮员工及其他人员应当接受检疫。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入境邮轮在中国境内停留期间，旅客、邮轮员工及其他人员不得将动植物、动植物产品和其他检疫物带离邮轮；需要带离时，应当向口岸海关申报。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出境检疫查验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第二十一条</w:t>
      </w:r>
      <w:r>
        <w:rPr>
          <w:rFonts w:hint="eastAsia" w:ascii="仿宋" w:hAnsi="仿宋" w:eastAsia="仿宋" w:cs="仿宋"/>
          <w:sz w:val="32"/>
          <w:szCs w:val="32"/>
        </w:rPr>
        <w:t xml:space="preserve"> 出境邮轮在离港前4个小时，邮轮负责人或者其代理人应当向出境口岸海关申报邮轮出境检疫信息。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第二十二条</w:t>
      </w:r>
      <w:r>
        <w:rPr>
          <w:rFonts w:hint="eastAsia" w:ascii="仿宋" w:hAnsi="仿宋" w:eastAsia="仿宋" w:cs="仿宋"/>
          <w:sz w:val="32"/>
          <w:szCs w:val="32"/>
        </w:rPr>
        <w:t xml:space="preserve"> 海关对出境邮轮实施检疫，未完成检疫事项的邮轮不得出境。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出境检疫完毕后，海关工作人员对出境邮轮应当签发《交通工具出境卫生检疫证书》。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海关可以根据风险评估情况确定是否实施登轮检疫。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第二十三条</w:t>
      </w:r>
      <w:r>
        <w:rPr>
          <w:rFonts w:hint="eastAsia" w:ascii="仿宋" w:hAnsi="仿宋" w:eastAsia="仿宋" w:cs="仿宋"/>
          <w:sz w:val="32"/>
          <w:szCs w:val="32"/>
        </w:rPr>
        <w:t xml:space="preserve"> 对邮轮实施出境检疫完毕后，除引航员和经海关许可的人员外，其他人员不得上下邮轮，不准装卸行李、邮包、货物等物品。违反上述规定，该邮轮必须重新实施出境检疫。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出境检疫完毕后超过24小时仍未开航的出境邮轮，应当重新实施出境检疫。</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检疫处理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第二十四条</w:t>
      </w:r>
      <w:r>
        <w:rPr>
          <w:rFonts w:hint="eastAsia" w:ascii="仿宋" w:hAnsi="仿宋" w:eastAsia="仿宋" w:cs="仿宋"/>
          <w:sz w:val="32"/>
          <w:szCs w:val="32"/>
        </w:rPr>
        <w:t xml:space="preserve"> 有下列情形之一的，邮轮运营方应当按照海关要求，组织实施检疫处理：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（一）海关总署发布公告或者警示通报等有明确要求的；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（二）发现存在与人类健康有关的医学媒介生物或者有毒有害物质的；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（三）发现有《中华人民共和国进出境动植物检疫法》第十八条规定的名录中所列病虫害的；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（四）法律、法规规定的其他应当实施检疫处理的情形。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邮轮上泔水、动植物性废弃物及其存放场所、容器应当实施检疫处理。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检疫处理工作应当由获得许可的检疫处理单位实施并接受海关监督。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第二十五条</w:t>
      </w:r>
      <w:r>
        <w:rPr>
          <w:rFonts w:hint="eastAsia" w:ascii="仿宋" w:hAnsi="仿宋" w:eastAsia="仿宋" w:cs="仿宋"/>
          <w:sz w:val="32"/>
          <w:szCs w:val="32"/>
        </w:rPr>
        <w:t xml:space="preserve"> 邮轮上有禁止进境的动植物、动植物产品和其他检疫物的，在中国境内停留期间，不得卸离或者带离邮轮。发现有害生物扩散风险或者潜在风险的，邮轮运营方应当主动采取防范措施，并及时向海关报告。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第二十六条</w:t>
      </w:r>
      <w:r>
        <w:rPr>
          <w:rFonts w:hint="eastAsia" w:ascii="仿宋" w:hAnsi="仿宋" w:eastAsia="仿宋" w:cs="仿宋"/>
          <w:sz w:val="32"/>
          <w:szCs w:val="32"/>
        </w:rPr>
        <w:t xml:space="preserve"> 经检疫处理合格的，且需下一港跟踪的邮轮，出发港海关应当及时将有关信息报送至下一港海关。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突发公共卫生事件处置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第二十七条</w:t>
      </w:r>
      <w:r>
        <w:rPr>
          <w:rFonts w:hint="eastAsia" w:ascii="仿宋" w:hAnsi="仿宋" w:eastAsia="仿宋" w:cs="仿宋"/>
          <w:sz w:val="32"/>
          <w:szCs w:val="32"/>
        </w:rPr>
        <w:t xml:space="preserve"> 发生下列情形之一，邮轮负责人或者其代理人应当及时采取有效的应急处置措施，立即向口岸海关进行突发公共卫生事件报告：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（一）航行途中有人员发生疑似传染病死亡或者不明原因死亡的；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（二）发现传染病受染人或者疑似受染人，且可能构成公共卫生风险的；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（三）航行过程中6小时内出现6例及以上的消化道疾病病例，或者邮轮上有1%及以上的船员或者旅客患消化道疾病的；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（四）邮轮航行途中24小时内出现2‰以上的船员或者旅客患呼吸道传染病的；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（五）发生群体性不明原因疾病的；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（六）邮轮负责人或者其代理人认为应当报告的其他情形。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第二十八条</w:t>
      </w:r>
      <w:r>
        <w:rPr>
          <w:rFonts w:hint="eastAsia" w:ascii="仿宋" w:hAnsi="仿宋" w:eastAsia="仿宋" w:cs="仿宋"/>
          <w:sz w:val="32"/>
          <w:szCs w:val="32"/>
        </w:rPr>
        <w:t xml:space="preserve"> 突发公共卫生事件报告内容应当包括：</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（一）事件的基本情况，包括启运港、靠泊港和沿途寄港、停靠日期、病名或者主要症状、总人数、患病人数、死亡人数等；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（二）患病人员的监测日志、医疗记录和调查记录等；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（三）邮轮上所采取的应急处置措施及所取得的效果；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（四）法律法规要求的其他信息和资料。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第二十九条</w:t>
      </w:r>
      <w:r>
        <w:rPr>
          <w:rFonts w:hint="eastAsia" w:ascii="仿宋" w:hAnsi="仿宋" w:eastAsia="仿宋" w:cs="仿宋"/>
          <w:sz w:val="32"/>
          <w:szCs w:val="32"/>
        </w:rPr>
        <w:t xml:space="preserve"> 邮轮发生突发公共卫生事件时，应当遵循统一指挥、职责明确、科学高效、反应及时、优先救治的原则。海关应当对人员医疗救治工作给予检疫便利。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第三十条</w:t>
      </w:r>
      <w:r>
        <w:rPr>
          <w:rFonts w:hint="eastAsia" w:ascii="仿宋" w:hAnsi="仿宋" w:eastAsia="仿宋" w:cs="仿宋"/>
          <w:sz w:val="32"/>
          <w:szCs w:val="32"/>
        </w:rPr>
        <w:t xml:space="preserve"> 邮轮运营方应当建立完善的突发公共卫生事件处置能力，包括配备具有处置突发事件能力的专业人员、建立应急处置预案、定期开展培训和演练等。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发生突发公共卫生事件时，邮轮运营方及其代理人应当配合海关做好应急处置工作。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第三十一条</w:t>
      </w:r>
      <w:r>
        <w:rPr>
          <w:rFonts w:hint="eastAsia" w:ascii="仿宋" w:hAnsi="仿宋" w:eastAsia="仿宋" w:cs="仿宋"/>
          <w:sz w:val="32"/>
          <w:szCs w:val="32"/>
        </w:rPr>
        <w:t xml:space="preserve"> 海关应当建立突发公共卫生事件的应急处置机制，做好联防联控工作，定期开展培训和演练，指导、协调邮轮运营方做好邮轮突发公共卫生事件的现场处置工作。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第三十二条</w:t>
      </w:r>
      <w:r>
        <w:rPr>
          <w:rFonts w:hint="eastAsia" w:ascii="仿宋" w:hAnsi="仿宋" w:eastAsia="仿宋" w:cs="仿宋"/>
          <w:sz w:val="32"/>
          <w:szCs w:val="32"/>
        </w:rPr>
        <w:t xml:space="preserve"> 邮轮发生突发公共卫生事件时，应当依法对受染人员实施隔离，隔离期限根据医学检查结果确定；对疑似受染人员依法实施就地诊验或者留验，就地诊验或者留验期限自该人员离开感染环境的时候算起，不超过该传染病的最长潜伏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邮轮上发生突发公共卫生事件时，邮轮运营方可以提出申请，经海关同意，在邮轮上实施隔离留验；对不具备隔离留验条件的，应当转送至指定医疗机构。</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第三十三条</w:t>
      </w:r>
      <w:r>
        <w:rPr>
          <w:rFonts w:hint="eastAsia" w:ascii="仿宋" w:hAnsi="仿宋" w:eastAsia="仿宋" w:cs="仿宋"/>
          <w:sz w:val="32"/>
          <w:szCs w:val="32"/>
        </w:rPr>
        <w:t xml:space="preserve"> 海关总署可以根据邮轮检疫风险等级确定监督管理的重点、方式和频次。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海关可以以抽查、专项检查、全项目检查等方式进行监管。必要时，可以实施采样检测。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第三十四条</w:t>
      </w:r>
      <w:r>
        <w:rPr>
          <w:rFonts w:hint="eastAsia" w:ascii="仿宋" w:hAnsi="仿宋" w:eastAsia="仿宋" w:cs="仿宋"/>
          <w:sz w:val="32"/>
          <w:szCs w:val="32"/>
        </w:rPr>
        <w:t xml:space="preserve"> 检验检疫人员按照下列要求对出入境邮轮实施卫生监督：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（一）公共卫生安全管理制度是否完善；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（二）食品饮用水安全；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（三）客舱、甲板、餐厅、酒吧、影剧院、游泳池、浴池等公共场卫生状况是否保持良好；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（四）是否保持无感染源或者污染源，包括无医学媒介生物和宿主，并确保医学媒介生物控制措施的有效运行；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（五）保持废弃物密闭储存，或者具备无害化处理能力；</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（六）保留完整规范的医疗记录、药品消耗及补充记录；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（七）是否建立完善的压舱水排放报告机制。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第三十五条</w:t>
      </w:r>
      <w:r>
        <w:rPr>
          <w:rFonts w:hint="eastAsia" w:ascii="仿宋" w:hAnsi="仿宋" w:eastAsia="仿宋" w:cs="仿宋"/>
          <w:sz w:val="32"/>
          <w:szCs w:val="32"/>
        </w:rPr>
        <w:t xml:space="preserve"> 中国籍邮轮上的食品生产经营单位、公共场所应当取得海关颁发的国境口岸卫生许可证后方可从事生产经营活动。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第三十六条</w:t>
      </w:r>
      <w:r>
        <w:rPr>
          <w:rFonts w:hint="eastAsia" w:ascii="仿宋" w:hAnsi="仿宋" w:eastAsia="仿宋" w:cs="仿宋"/>
          <w:sz w:val="32"/>
          <w:szCs w:val="32"/>
        </w:rPr>
        <w:t xml:space="preserve"> 检验检疫人员按照下列要求对出入境邮轮食品安全实施监督管理：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（一）邮轮上的食品从业人员应当持有有效的健康证明，并经过职业培训，能够按照食品安全控制要求进行操作；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（二）邮轮运营方应当向持有有效国境口岸卫生许可证的食品生产经营单位采购食品或者餐饮服务；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（三）应当建立食品进货查验制度，并保存相关档案。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第三十七条</w:t>
      </w:r>
      <w:r>
        <w:rPr>
          <w:rFonts w:hint="eastAsia" w:ascii="仿宋" w:hAnsi="仿宋" w:eastAsia="仿宋" w:cs="仿宋"/>
          <w:sz w:val="32"/>
          <w:szCs w:val="32"/>
        </w:rPr>
        <w:t xml:space="preserve"> 海关对境外直供邮轮的进境食品，可以参照过境检疫模式进行监管：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（一）境外直供邮轮的动植物源性食品和水果的入境口岸、运输路线、出境口岸等相关事项，应当向配送地直属海关备案；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（二）境外直供邮轮的动植物源性食品和水果应当使用集装箱装载，按照规定的路线运输，集装箱在配送邮轮前不得开箱；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（三）境外直供邮轮食品在配送时应当接受开箱检疫。开箱时，应当由检验检疫人员现场监督，经查验铅封、核对货物种类和数量、实施检疫后方可配送邮轮。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境外直供邮轮食品不得用于其他用途。</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第三十八条</w:t>
      </w:r>
      <w:r>
        <w:rPr>
          <w:rFonts w:hint="eastAsia" w:ascii="仿宋" w:hAnsi="仿宋" w:eastAsia="仿宋" w:cs="仿宋"/>
          <w:sz w:val="32"/>
          <w:szCs w:val="32"/>
        </w:rPr>
        <w:t xml:space="preserve"> 对经监督管理不合格的邮轮，海关应当通知邮轮负责人或者其代理人进行整改，整改符合要求后，邮轮方可出入境。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第八章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第三十九条</w:t>
      </w:r>
      <w:r>
        <w:rPr>
          <w:rFonts w:hint="eastAsia" w:ascii="仿宋" w:hAnsi="仿宋" w:eastAsia="仿宋" w:cs="仿宋"/>
          <w:sz w:val="32"/>
          <w:szCs w:val="32"/>
        </w:rPr>
        <w:t xml:space="preserve"> 根据《中华人民共和国国境卫生检疫法》及其实施细则所规定的应当受行政处罚的行为是指：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（一）应当接受入境检疫的船舶，不悬挂检疫信号的；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（二）入境、出境的交通工具，在入境检疫之前或者在出境检疫之后，擅自上下人员，装卸行李、货物、邮包等物品的；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（三）拒绝接受检疫或者抵制卫生监督，拒不接受卫生处理的；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（四）伪造或者涂改检疫单、证、不如实申报疫情的；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（五）未经检疫的入境、出境交通工具，擅自离开检疫地点，逃避查验的；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（六）隐瞒疫情或者伪造情节的；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（七）未经检疫处理，擅自排放压舱水，移下垃圾、污物等控制的物品的；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（八）未经检疫处理，擅自移运尸体、骸骨的；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（九）未经海关检查，从交通工具上移下传染病病人造成传染病传播危险的。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具有第（一）至第（四）项行为的，由海关处以警告或者100元以上5000元以下的罚款。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具有第（五）至第（八）项行为的，处以1000元以上1万以下的罚款。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具有第（九）项行为的，处以5000元以上3万元以下的罚款。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第四十条</w:t>
      </w:r>
      <w:r>
        <w:rPr>
          <w:rFonts w:hint="eastAsia" w:ascii="仿宋" w:hAnsi="仿宋" w:eastAsia="仿宋" w:cs="仿宋"/>
          <w:sz w:val="32"/>
          <w:szCs w:val="32"/>
        </w:rPr>
        <w:t xml:space="preserve"> 违反本办法，有下列情况之一的，由海关视情节轻重给予警告，或者处以3万元以下罚款。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（一）邮轮负责人或者其代理人未按照本办法第十条、第二十一条规定履行申报义务；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（二）邮轮运营方或者邮轮上食品生产经营单位向未持有有效国境口岸卫生许可证的食品生产经营单位采购食品的；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（三）中国籍邮轮上食品生产经营单位、公共场所未取得有效国境口岸卫生许可证，从事生产经营活动的；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（四）食品、饮用水及公共场所不符合相关法律法规及卫生标准要求，邮轮运营方拒不整改的；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（五）发生突发公共卫生事件时，邮轮运营方或者其代理人未按照海关要求及时报告或者未按照本办法第二十九条、第三十条规定实施卫生处理、除害处理、封存或者销毁处理的；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（六）邮轮运营方或者其代理人、邮轮上的食品从业人员违反本办法第二十七条、第二十八条规定的。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第四十一条</w:t>
      </w:r>
      <w:r>
        <w:rPr>
          <w:rFonts w:hint="eastAsia" w:ascii="仿宋" w:hAnsi="仿宋" w:eastAsia="仿宋" w:cs="仿宋"/>
          <w:sz w:val="32"/>
          <w:szCs w:val="32"/>
        </w:rPr>
        <w:t xml:space="preserve"> 违反国境卫生检疫规定，引起检疫传染病传播或者有引起检疫传染病传播严重危险，构成犯罪的，依法追究刑事责任；尚不构成犯罪或者犯罪情节显著轻微依法不需要判处刑罚的，由海关处5000元以上3万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第四十二条</w:t>
      </w:r>
      <w:r>
        <w:rPr>
          <w:rFonts w:hint="eastAsia" w:ascii="仿宋" w:hAnsi="仿宋" w:eastAsia="仿宋" w:cs="仿宋"/>
          <w:sz w:val="32"/>
          <w:szCs w:val="32"/>
        </w:rPr>
        <w:t xml:space="preserve"> 有下列违法行为之一的，依法追究刑事责任；尚不构成犯罪或者犯罪情节显著轻微依法不需要判处刑罚的，由海关处2万元以上5万元以下的罚款：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（一）引起重大动植物疫情的；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（二）伪造、变造动植物检疫单证、印章、标志、封识的。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引起重大动植物疫情危险，情节严重的依法追究刑事责任。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第四十三条</w:t>
      </w:r>
      <w:r>
        <w:rPr>
          <w:rFonts w:hint="eastAsia" w:ascii="仿宋" w:hAnsi="仿宋" w:eastAsia="仿宋" w:cs="仿宋"/>
          <w:sz w:val="32"/>
          <w:szCs w:val="32"/>
        </w:rPr>
        <w:t xml:space="preserve"> 定班客轮可以参照本办法实施管理。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第四十四条</w:t>
      </w:r>
      <w:r>
        <w:rPr>
          <w:rFonts w:hint="eastAsia" w:ascii="仿宋" w:hAnsi="仿宋" w:eastAsia="仿宋" w:cs="仿宋"/>
          <w:sz w:val="32"/>
          <w:szCs w:val="32"/>
        </w:rPr>
        <w:t xml:space="preserve"> 本办法由海关总署负责解释。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宋体" w:hAnsi="宋体" w:eastAsia="黑体" w:cs="黑体"/>
          <w:kern w:val="0"/>
          <w:sz w:val="32"/>
          <w:szCs w:val="32"/>
          <w:lang w:bidi="ar-SA"/>
        </w:rPr>
        <w:t>第四十五条</w:t>
      </w:r>
      <w:r>
        <w:rPr>
          <w:rFonts w:hint="eastAsia" w:ascii="仿宋" w:hAnsi="仿宋" w:eastAsia="仿宋" w:cs="仿宋"/>
          <w:sz w:val="32"/>
          <w:szCs w:val="32"/>
        </w:rPr>
        <w:t xml:space="preserve"> 本办法自2017年1月1日起施行。</w:t>
      </w: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89" w:name="_Toc20053"/>
      <w:r>
        <w:rPr>
          <w:rFonts w:hint="eastAsia" w:ascii="宋体" w:hAnsi="宋体" w:eastAsia="宋体" w:cs="Arial"/>
          <w:bCs/>
          <w:sz w:val="44"/>
          <w:szCs w:val="44"/>
          <w:lang w:val="en-US" w:eastAsia="zh-CN"/>
        </w:rPr>
        <w:t>企业职工带薪年休假实施办法</w:t>
      </w:r>
      <w:bookmarkEnd w:id="289"/>
    </w:p>
    <w:p>
      <w:pPr>
        <w:widowControl w:val="0"/>
        <w:wordWrap/>
        <w:overflowPunct w:val="0"/>
        <w:spacing w:beforeAutospacing="0" w:afterAutospacing="0" w:line="560" w:lineRule="exact"/>
        <w:ind w:firstLine="643" w:firstLineChars="200"/>
        <w:textAlignment w:val="auto"/>
        <w:rPr>
          <w:rFonts w:hint="eastAsia" w:ascii="宋体" w:hAnsi="宋体" w:eastAsia="仿宋_GB2312" w:cs="仿宋_GB2312"/>
          <w:b/>
          <w:bCs/>
          <w:kern w:val="0"/>
          <w:sz w:val="32"/>
          <w:szCs w:val="32"/>
          <w:lang w:val="en-US" w:eastAsia="zh-CN" w:bidi="ar-SA"/>
        </w:rPr>
      </w:pPr>
    </w:p>
    <w:p>
      <w:pPr>
        <w:widowControl w:val="0"/>
        <w:wordWrap/>
        <w:overflowPunct w:val="0"/>
        <w:spacing w:beforeAutospacing="0" w:afterAutospacing="0" w:line="560" w:lineRule="exact"/>
        <w:ind w:left="640" w:leftChars="200" w:right="525" w:rightChars="164" w:firstLine="3" w:firstLineChars="0"/>
        <w:textAlignment w:val="auto"/>
        <w:rPr>
          <w:rFonts w:hint="eastAsia" w:ascii="楷体" w:hAnsi="楷体" w:eastAsia="楷体" w:cs="楷体"/>
          <w:b w:val="0"/>
          <w:bCs w:val="0"/>
          <w:kern w:val="0"/>
          <w:sz w:val="32"/>
          <w:szCs w:val="32"/>
          <w:lang w:val="en-US" w:eastAsia="zh-CN" w:bidi="ar-SA"/>
        </w:rPr>
      </w:pPr>
      <w:r>
        <w:rPr>
          <w:rFonts w:hint="eastAsia" w:ascii="楷体" w:hAnsi="楷体" w:eastAsia="楷体" w:cs="楷体"/>
          <w:b w:val="0"/>
          <w:bCs w:val="0"/>
          <w:kern w:val="0"/>
          <w:sz w:val="32"/>
          <w:szCs w:val="32"/>
          <w:lang w:val="en-US" w:eastAsia="zh-CN" w:bidi="ar-SA"/>
        </w:rPr>
        <w:t>（2008年7月17日人力资源和社会保障部第六次部务会议通过，2008年9月18日中华人民共和国人力资源和社会保障部令第1号公布，自公布之日起施行）</w:t>
      </w:r>
    </w:p>
    <w:p>
      <w:pPr>
        <w:pStyle w:val="33"/>
        <w:wordWrap/>
        <w:spacing w:line="560" w:lineRule="exact"/>
        <w:textAlignment w:val="auto"/>
        <w:rPr>
          <w:rFonts w:hint="eastAsia"/>
          <w:lang w:val="en-US" w:eastAsia="zh-CN"/>
        </w:rPr>
      </w:pPr>
    </w:p>
    <w:p>
      <w:pPr>
        <w:widowControl w:val="0"/>
        <w:numPr>
          <w:ilvl w:val="0"/>
          <w:numId w:val="0"/>
        </w:numPr>
        <w:wordWrap/>
        <w:overflowPunct w:val="0"/>
        <w:spacing w:beforeAutospacing="0" w:afterAutospacing="0" w:line="560" w:lineRule="exact"/>
        <w:ind w:firstLine="640" w:firstLineChars="200"/>
        <w:textAlignment w:val="auto"/>
        <w:rPr>
          <w:rFonts w:hint="eastAsia" w:ascii="宋体" w:hAnsi="宋体" w:eastAsia="仿宋_GB2312" w:cs="仿宋_GB2312"/>
          <w:kern w:val="0"/>
          <w:sz w:val="32"/>
          <w:szCs w:val="32"/>
          <w:lang w:bidi="ar-SA"/>
        </w:rPr>
      </w:pPr>
      <w:r>
        <w:rPr>
          <w:rFonts w:hint="eastAsia" w:ascii="宋体" w:hAnsi="宋体" w:eastAsia="黑体" w:cs="黑体"/>
          <w:kern w:val="0"/>
          <w:sz w:val="32"/>
          <w:szCs w:val="32"/>
          <w:lang w:eastAsia="zh-CN" w:bidi="ar-SA"/>
        </w:rPr>
        <w:t>第一条</w:t>
      </w:r>
      <w:r>
        <w:rPr>
          <w:rFonts w:hint="eastAsia" w:ascii="宋体" w:hAnsi="宋体" w:eastAsia="仿宋_GB2312" w:cs="仿宋_GB2312"/>
          <w:kern w:val="0"/>
          <w:sz w:val="32"/>
          <w:szCs w:val="32"/>
          <w:lang w:bidi="ar-SA"/>
        </w:rPr>
        <w:t>　为了实施《</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"javascript:SLC(100312,0)"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职工带薪年休假条例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》（以下简称条例），制定本实施办法。</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第二条</w:t>
      </w:r>
      <w:r>
        <w:rPr>
          <w:rFonts w:hint="eastAsia" w:ascii="宋体" w:hAnsi="宋体" w:eastAsia="仿宋_GB2312" w:cs="仿宋_GB2312"/>
          <w:kern w:val="0"/>
          <w:sz w:val="32"/>
          <w:szCs w:val="32"/>
          <w:lang w:bidi="ar-SA"/>
        </w:rPr>
        <w:t>　中华人民共和国境内的企业、民办非企业单位、有雇工的个体工商户等单位（以下称用人单位）和与其建立劳动关系的职工，适用本办法。</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第三条</w:t>
      </w:r>
      <w:r>
        <w:rPr>
          <w:rFonts w:hint="eastAsia" w:ascii="宋体" w:hAnsi="宋体" w:eastAsia="仿宋_GB2312" w:cs="仿宋_GB2312"/>
          <w:kern w:val="0"/>
          <w:sz w:val="32"/>
          <w:szCs w:val="32"/>
          <w:lang w:bidi="ar-SA"/>
        </w:rPr>
        <w:t>　职工连续工作满12个月以上的，享受带薪年休假（以下简称年休假）。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第四条</w:t>
      </w:r>
      <w:r>
        <w:rPr>
          <w:rFonts w:hint="eastAsia" w:ascii="宋体" w:hAnsi="宋体" w:eastAsia="仿宋_GB2312" w:cs="仿宋_GB2312"/>
          <w:kern w:val="0"/>
          <w:sz w:val="32"/>
          <w:szCs w:val="32"/>
          <w:lang w:bidi="ar-SA"/>
        </w:rPr>
        <w:t>　年休假天数根据职工累计工作时间确定。职工在同一或者不同用人单位工作期间，以及依照法律、行政法规或者国务院规定视同工作期间，应当计为累计工作时间。</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第五条</w:t>
      </w:r>
      <w:r>
        <w:rPr>
          <w:rFonts w:hint="eastAsia" w:ascii="宋体" w:hAnsi="宋体" w:eastAsia="仿宋_GB2312" w:cs="仿宋_GB2312"/>
          <w:kern w:val="0"/>
          <w:sz w:val="32"/>
          <w:szCs w:val="32"/>
          <w:lang w:bidi="ar-SA"/>
        </w:rPr>
        <w:t>　职工新进用人单位且符合本办法第三条规定的，当年度年休假天数，按照在本单位剩余日历天数折算确定，折算后不足1整天的部分不享受年休假。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前款规定的折算方法为： （当年度在本单位剩余日历天数÷365天）×职工本人全年应当享受的年休假天数。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第六条</w:t>
      </w:r>
      <w:r>
        <w:rPr>
          <w:rFonts w:hint="eastAsia" w:ascii="宋体" w:hAnsi="宋体" w:eastAsia="仿宋_GB2312" w:cs="仿宋_GB2312"/>
          <w:kern w:val="0"/>
          <w:sz w:val="32"/>
          <w:szCs w:val="32"/>
          <w:lang w:bidi="ar-SA"/>
        </w:rPr>
        <w:t>　职工依法享受的探亲假、婚丧假、产假等国家规定的假期以及因工伤停工留薪期间不计入年休假假期。</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第七条</w:t>
      </w:r>
      <w:r>
        <w:rPr>
          <w:rFonts w:hint="eastAsia" w:ascii="宋体" w:hAnsi="宋体" w:eastAsia="仿宋_GB2312" w:cs="仿宋_GB2312"/>
          <w:kern w:val="0"/>
          <w:sz w:val="32"/>
          <w:szCs w:val="32"/>
          <w:lang w:bidi="ar-SA"/>
        </w:rPr>
        <w:t>　职工享受寒暑假天数多于其年休假天数的，不享受当年的年休假。确因工作需要，职工享受的寒暑假天数少于其年休假天数的，用人单位应当安排补足年休假天数。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第八条</w:t>
      </w:r>
      <w:r>
        <w:rPr>
          <w:rFonts w:hint="eastAsia" w:ascii="宋体" w:hAnsi="宋体" w:eastAsia="仿宋_GB2312" w:cs="仿宋_GB2312"/>
          <w:kern w:val="0"/>
          <w:sz w:val="32"/>
          <w:szCs w:val="32"/>
          <w:lang w:bidi="ar-SA"/>
        </w:rPr>
        <w:t>　职工已享受当年的年休假，年度内又出现条例第四条第（二）、（三）、（四）、（五）项规定情形之一的，不享受下一年度的年休假。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第九条</w:t>
      </w:r>
      <w:r>
        <w:rPr>
          <w:rFonts w:hint="eastAsia" w:ascii="宋体" w:hAnsi="宋体" w:eastAsia="仿宋_GB2312" w:cs="仿宋_GB2312"/>
          <w:kern w:val="0"/>
          <w:sz w:val="32"/>
          <w:szCs w:val="32"/>
          <w:lang w:bidi="ar-SA"/>
        </w:rPr>
        <w:t>　用人单位根据生产、工作的具体情况，并考虑职工本人意愿，统筹安排年休假。用人单位确因工作需要不能安排职工年休假或者跨1个年度安排年休假的，应征得职工本人同意。</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第十条</w:t>
      </w:r>
      <w:r>
        <w:rPr>
          <w:rFonts w:hint="eastAsia" w:ascii="宋体" w:hAnsi="宋体" w:eastAsia="仿宋_GB2312" w:cs="仿宋_GB2312"/>
          <w:kern w:val="0"/>
          <w:sz w:val="32"/>
          <w:szCs w:val="32"/>
          <w:lang w:bidi="ar-SA"/>
        </w:rPr>
        <w:t>　用人单位经职工同意不安排年休假或者安排职工年休假天数少于应休年休假天数，应当在本年度内对职工应休未休年休假天数，按照其日工资收入的300%支付未休年休假工资报酬，其中包含用人单位支付职工正常工作期间的工资收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用人单位安排职工休年休假，但是职工因本人原因且书面提出不休年休假的，用人单位可以只支付其正常工作期间的工资收入。</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第十一条</w:t>
      </w:r>
      <w:r>
        <w:rPr>
          <w:rFonts w:hint="eastAsia" w:ascii="宋体" w:hAnsi="宋体" w:eastAsia="仿宋_GB2312" w:cs="仿宋_GB2312"/>
          <w:kern w:val="0"/>
          <w:sz w:val="32"/>
          <w:szCs w:val="32"/>
          <w:lang w:bidi="ar-SA"/>
        </w:rPr>
        <w:t>　计算未休年休假工资报酬的日工资收入按照职工本人的月工资除以月计薪天数（21.75天）进行折算。</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前款所称月工资是指职工在用人单位支付其未休年休假工资报酬前12个月剔除加班工资后的月平均工资。在本用人单位工作时间不满12个月的，按实际月份计算月平均工资。</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职工在年休假期间享受与正常工作期间相同的工资收入。实行计件工资、提成工资或者其他绩效工资制的职工，日工资收入的计发办法按照本条第一款、第二款的规定执行。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第十二条</w:t>
      </w:r>
      <w:r>
        <w:rPr>
          <w:rFonts w:hint="eastAsia" w:ascii="宋体" w:hAnsi="宋体" w:eastAsia="仿宋_GB2312" w:cs="仿宋_GB2312"/>
          <w:kern w:val="0"/>
          <w:sz w:val="32"/>
          <w:szCs w:val="32"/>
          <w:lang w:bidi="ar-SA"/>
        </w:rPr>
        <w:t>　用人单位与职工解除或者终止劳动合同时，当年度未安排职工休满应休年休假的，应当按照职工当年已工作时间折算应休未休年休假天数并支付未休年休假工资报酬，但折算后不足1整天的部分不支付未休年休假工资报酬。</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前款规定的折算方法为： （当年度在本单位已过日历天数÷365天）×职工本人全年应当享受的年休假天数-当年度已安排年休假天数。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用人单位当年已安排职工年休假的，多于折算应休年休假的天数不再扣回。</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第十三条</w:t>
      </w:r>
      <w:r>
        <w:rPr>
          <w:rFonts w:hint="eastAsia" w:ascii="宋体" w:hAnsi="宋体" w:eastAsia="仿宋_GB2312" w:cs="仿宋_GB2312"/>
          <w:kern w:val="0"/>
          <w:sz w:val="32"/>
          <w:szCs w:val="32"/>
          <w:lang w:bidi="ar-SA"/>
        </w:rPr>
        <w:t>　劳动合同、集体合同约定的或者用人单位规章制度规定的年休假天数、未休年休假工资报酬高于法定标准的，用人单位应当按照有关约定或者规定执行。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第十四条</w:t>
      </w:r>
      <w:r>
        <w:rPr>
          <w:rFonts w:hint="eastAsia" w:ascii="宋体" w:hAnsi="宋体" w:eastAsia="仿宋_GB2312" w:cs="仿宋_GB2312"/>
          <w:kern w:val="0"/>
          <w:sz w:val="32"/>
          <w:szCs w:val="32"/>
          <w:lang w:bidi="ar-SA"/>
        </w:rPr>
        <w:t>　劳务派遣单位的职工符合本办法第三条规定条件的，享受年休假。</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被派遣职工在劳动合同期限内无工作期间由劳务派遣单位依法支付劳动报酬的天数多于其全年应当享受的年休假天数的，不享受当年的年休假；少于其全年应当享受的年休假天数的，劳务派遣单位、用工单位应当协商安排补足被派遣职工年休假天数。</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第十五条</w:t>
      </w:r>
      <w:r>
        <w:rPr>
          <w:rFonts w:hint="eastAsia" w:ascii="宋体" w:hAnsi="宋体" w:eastAsia="仿宋_GB2312" w:cs="仿宋_GB2312"/>
          <w:kern w:val="0"/>
          <w:sz w:val="32"/>
          <w:szCs w:val="32"/>
          <w:lang w:bidi="ar-SA"/>
        </w:rPr>
        <w:t>　县级以上地方人民政府劳动行政部门应当依法监督检查用人单位执行条例及本办法的情况。</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用人单位不安排职工休年休假又不依照条例及本办法规定支付未休年休假工资报酬的，由县级以上地方人民政府劳动行政部门依据职权责令限期改正；对逾期不改正的，除责令该用人单位支付未休年休假工资报酬外，用人单位还应当按照未休年休假工资报酬的数额向职工加付赔偿金；对拒不执行支付未休年休假工资报酬、赔偿金行政处理决定的，由劳动行政部门申请人民法院强制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第十六条</w:t>
      </w:r>
      <w:r>
        <w:rPr>
          <w:rFonts w:hint="eastAsia" w:ascii="宋体" w:hAnsi="宋体" w:eastAsia="仿宋_GB2312" w:cs="仿宋_GB2312"/>
          <w:kern w:val="0"/>
          <w:sz w:val="32"/>
          <w:szCs w:val="32"/>
          <w:lang w:bidi="ar-SA"/>
        </w:rPr>
        <w:t>　职工与用人单位因年休假发生劳动争议的，依照劳动争议处理的规定处理。</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第十七条</w:t>
      </w:r>
      <w:r>
        <w:rPr>
          <w:rFonts w:hint="eastAsia" w:ascii="宋体" w:hAnsi="宋体" w:eastAsia="仿宋_GB2312" w:cs="仿宋_GB2312"/>
          <w:kern w:val="0"/>
          <w:sz w:val="32"/>
          <w:szCs w:val="32"/>
          <w:lang w:bidi="ar-SA"/>
        </w:rPr>
        <w:t>　除法律、行政法规或者国务院另有规定外，机关、事业单位、社会团体和与其建立劳动关系的职工，依照本办法执行。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船员的年休假按 《</w:t>
      </w:r>
      <w:r>
        <w:rPr>
          <w:rFonts w:hint="eastAsia" w:ascii="宋体" w:hAnsi="宋体" w:eastAsia="仿宋_GB2312" w:cs="仿宋_GB2312"/>
          <w:kern w:val="0"/>
          <w:sz w:val="32"/>
          <w:szCs w:val="32"/>
          <w:lang w:bidi="ar-SA"/>
        </w:rPr>
        <w:fldChar w:fldCharType="begin"/>
      </w:r>
      <w:r>
        <w:rPr>
          <w:rFonts w:hint="eastAsia" w:ascii="宋体" w:hAnsi="宋体" w:eastAsia="仿宋_GB2312" w:cs="仿宋_GB2312"/>
          <w:kern w:val="0"/>
          <w:sz w:val="32"/>
          <w:szCs w:val="32"/>
          <w:lang w:bidi="ar-SA"/>
        </w:rPr>
        <w:instrText xml:space="preserve"> HYPERLINK "javascript:SLC(90756,0)" </w:instrText>
      </w:r>
      <w:r>
        <w:rPr>
          <w:rFonts w:hint="eastAsia" w:ascii="宋体" w:hAnsi="宋体" w:eastAsia="仿宋_GB2312" w:cs="仿宋_GB2312"/>
          <w:kern w:val="0"/>
          <w:sz w:val="32"/>
          <w:szCs w:val="32"/>
          <w:lang w:bidi="ar-SA"/>
        </w:rPr>
        <w:fldChar w:fldCharType="separate"/>
      </w:r>
      <w:r>
        <w:rPr>
          <w:rFonts w:hint="eastAsia" w:ascii="宋体" w:hAnsi="宋体" w:eastAsia="仿宋_GB2312" w:cs="仿宋_GB2312"/>
          <w:kern w:val="0"/>
          <w:sz w:val="32"/>
          <w:szCs w:val="32"/>
          <w:lang w:bidi="ar-SA"/>
        </w:rPr>
        <w:t>中华人民共和国船员条例</w:t>
      </w:r>
      <w:r>
        <w:rPr>
          <w:rFonts w:hint="eastAsia" w:ascii="宋体" w:hAnsi="宋体" w:eastAsia="仿宋_GB2312" w:cs="仿宋_GB2312"/>
          <w:kern w:val="0"/>
          <w:sz w:val="32"/>
          <w:szCs w:val="32"/>
          <w:lang w:bidi="ar-SA"/>
        </w:rPr>
        <w:fldChar w:fldCharType="end"/>
      </w:r>
      <w:r>
        <w:rPr>
          <w:rFonts w:hint="eastAsia" w:ascii="宋体" w:hAnsi="宋体" w:eastAsia="仿宋_GB2312" w:cs="仿宋_GB2312"/>
          <w:kern w:val="0"/>
          <w:sz w:val="32"/>
          <w:szCs w:val="32"/>
          <w:lang w:bidi="ar-SA"/>
        </w:rPr>
        <w:t>》执行。</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第十八条</w:t>
      </w:r>
      <w:r>
        <w:rPr>
          <w:rFonts w:hint="eastAsia" w:ascii="宋体" w:hAnsi="宋体" w:eastAsia="仿宋_GB2312" w:cs="仿宋_GB2312"/>
          <w:kern w:val="0"/>
          <w:sz w:val="32"/>
          <w:szCs w:val="32"/>
          <w:lang w:bidi="ar-SA"/>
        </w:rPr>
        <w:t>　本办法中的“年度”是指公历年度。</w:t>
      </w:r>
      <w:r>
        <w:rPr>
          <w:rFonts w:hint="eastAsia" w:ascii="宋体" w:hAnsi="宋体" w:eastAsia="仿宋_GB2312" w:cs="仿宋_GB2312"/>
          <w:kern w:val="0"/>
          <w:sz w:val="32"/>
          <w:szCs w:val="32"/>
          <w:lang w:bidi="ar-SA"/>
        </w:rPr>
        <w:br w:type="textWrapping"/>
      </w:r>
      <w:r>
        <w:rPr>
          <w:rFonts w:hint="eastAsia" w:ascii="宋体" w:hAnsi="宋体" w:eastAsia="仿宋_GB2312" w:cs="仿宋_GB2312"/>
          <w:kern w:val="0"/>
          <w:sz w:val="32"/>
          <w:szCs w:val="32"/>
          <w:lang w:bidi="ar-SA"/>
        </w:rPr>
        <w:t>　　</w:t>
      </w:r>
      <w:r>
        <w:rPr>
          <w:rFonts w:hint="eastAsia" w:ascii="宋体" w:hAnsi="宋体" w:eastAsia="黑体" w:cs="黑体"/>
          <w:kern w:val="0"/>
          <w:sz w:val="32"/>
          <w:szCs w:val="32"/>
          <w:lang w:bidi="ar-SA"/>
        </w:rPr>
        <w:t>第十九条</w:t>
      </w:r>
      <w:r>
        <w:rPr>
          <w:rFonts w:hint="eastAsia" w:ascii="宋体" w:hAnsi="宋体" w:eastAsia="仿宋_GB2312" w:cs="仿宋_GB2312"/>
          <w:kern w:val="0"/>
          <w:sz w:val="32"/>
          <w:szCs w:val="32"/>
          <w:lang w:bidi="ar-SA"/>
        </w:rPr>
        <w:t>　本办法自发布之日起施行。</w:t>
      </w: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kern w:val="0"/>
          <w:sz w:val="32"/>
          <w:szCs w:val="32"/>
          <w:lang w:bidi="ar-SA"/>
        </w:rPr>
      </w:pPr>
    </w:p>
    <w:p>
      <w:pPr>
        <w:pStyle w:val="37"/>
        <w:widowControl w:val="0"/>
        <w:wordWrap/>
        <w:overflowPunct w:val="0"/>
        <w:adjustRightInd/>
        <w:snapToGrid/>
        <w:spacing w:before="0" w:beforeAutospacing="0" w:after="0" w:afterAutospacing="0" w:line="560" w:lineRule="exact"/>
        <w:ind w:left="0" w:leftChars="0" w:right="0" w:firstLine="0" w:firstLineChars="0"/>
        <w:jc w:val="center"/>
        <w:textAlignment w:val="auto"/>
        <w:outlineLvl w:val="9"/>
        <w:rPr>
          <w:rFonts w:hint="eastAsia" w:ascii="宋体" w:hAnsi="宋体" w:eastAsia="宋体" w:cs="宋体"/>
          <w:bCs/>
          <w:kern w:val="2"/>
          <w:sz w:val="44"/>
          <w:szCs w:val="44"/>
          <w:lang w:val="en-US" w:eastAsia="zh-CN" w:bidi="ar-SA"/>
        </w:rPr>
      </w:pPr>
      <w:r>
        <w:rPr>
          <w:rFonts w:hint="eastAsia" w:ascii="宋体" w:hAnsi="宋体" w:eastAsia="宋体" w:cs="宋体"/>
          <w:bCs/>
          <w:kern w:val="2"/>
          <w:sz w:val="44"/>
          <w:szCs w:val="44"/>
          <w:lang w:val="en-US" w:eastAsia="zh-CN" w:bidi="ar-SA"/>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0" w:name="_Toc25445"/>
      <w:r>
        <w:rPr>
          <w:rFonts w:hint="eastAsia" w:ascii="宋体" w:hAnsi="宋体" w:eastAsia="宋体" w:cs="Arial"/>
          <w:bCs/>
          <w:sz w:val="44"/>
          <w:szCs w:val="44"/>
          <w:lang w:val="en-US" w:eastAsia="zh-CN"/>
        </w:rPr>
        <w:t>突发公共卫生事件与传染病疫情监测</w:t>
      </w:r>
      <w:bookmarkEnd w:id="290"/>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1" w:name="_Toc25209"/>
      <w:r>
        <w:rPr>
          <w:rFonts w:hint="eastAsia" w:ascii="宋体" w:hAnsi="宋体" w:eastAsia="宋体" w:cs="Arial"/>
          <w:bCs/>
          <w:sz w:val="44"/>
          <w:szCs w:val="44"/>
          <w:lang w:val="en-US" w:eastAsia="zh-CN"/>
        </w:rPr>
        <w:t>信息报告管理办法</w:t>
      </w:r>
      <w:bookmarkEnd w:id="291"/>
    </w:p>
    <w:p>
      <w:pPr>
        <w:pStyle w:val="37"/>
        <w:widowControl w:val="0"/>
        <w:wordWrap/>
        <w:overflowPunct w:val="0"/>
        <w:adjustRightInd w:val="0"/>
        <w:snapToGrid/>
        <w:spacing w:before="0" w:beforeAutospacing="0" w:after="0" w:afterAutospacing="0" w:line="560" w:lineRule="exact"/>
        <w:ind w:left="640" w:leftChars="200" w:right="640" w:rightChars="200" w:firstLine="0" w:firstLineChars="0"/>
        <w:jc w:val="both"/>
        <w:textAlignment w:val="auto"/>
        <w:outlineLvl w:val="9"/>
        <w:rPr>
          <w:rFonts w:hint="eastAsia" w:ascii="宋体" w:hAnsi="宋体" w:eastAsia="楷体_GB2312" w:cs="楷体_GB2312"/>
          <w:sz w:val="32"/>
          <w:szCs w:val="32"/>
        </w:rPr>
      </w:pPr>
      <w:r>
        <w:rPr>
          <w:rFonts w:hint="eastAsia" w:ascii="宋体" w:hAnsi="宋体" w:eastAsia="仿宋_GB2312" w:cs="仿宋_GB2312"/>
          <w:bCs/>
          <w:kern w:val="2"/>
          <w:sz w:val="32"/>
          <w:szCs w:val="32"/>
          <w:lang w:val="en-US" w:eastAsia="zh-CN" w:bidi="ar-SA"/>
        </w:rPr>
        <w:br w:type="textWrapping"/>
      </w:r>
      <w:r>
        <w:rPr>
          <w:rFonts w:hint="eastAsia" w:ascii="楷体" w:hAnsi="楷体" w:eastAsia="楷体" w:cs="楷体"/>
          <w:color w:val="000000"/>
          <w:sz w:val="32"/>
          <w:szCs w:val="32"/>
        </w:rPr>
        <w:t>（2003年11月7日卫生部令第37号发布　根据2006年8月22日卫疾控发[2006]332号《卫生部关于修改＜突发公共卫生事件与传染病疫情监测信息报告管理办法＞（卫生部第37号令）的通知》修改）</w:t>
      </w: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第一章　总 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第一条</w:t>
      </w:r>
      <w:r>
        <w:rPr>
          <w:rFonts w:hint="eastAsia" w:ascii="宋体" w:hAnsi="宋体" w:eastAsia="仿宋_GB2312" w:cs="仿宋_GB2312"/>
          <w:color w:val="000000"/>
          <w:sz w:val="32"/>
          <w:szCs w:val="32"/>
        </w:rPr>
        <w:t>　为加强突发公共卫生事件与传染病疫情监测信息报告管理工作，提供及时、科学的防治决策信息，有效预防、及时控制和消除突发公共卫生事件和传染病的危害，保障公众身体健康与生命安全，根据《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》(以下简称</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)和《</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"javascript:SLC(45727,0)"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突发公共卫生事件应急条例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》（以下简称应急条例）等法律法规的规定，制定本办法。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第二条</w:t>
      </w:r>
      <w:r>
        <w:rPr>
          <w:rFonts w:hint="eastAsia" w:ascii="宋体" w:hAnsi="宋体" w:eastAsia="仿宋_GB2312" w:cs="仿宋_GB2312"/>
          <w:color w:val="000000"/>
          <w:kern w:val="0"/>
          <w:sz w:val="32"/>
          <w:szCs w:val="32"/>
          <w:lang w:val="en-US" w:eastAsia="zh-CN"/>
        </w:rPr>
        <w:t>　</w:t>
      </w:r>
      <w:r>
        <w:rPr>
          <w:rFonts w:hint="eastAsia" w:ascii="宋体" w:hAnsi="宋体" w:eastAsia="仿宋_GB2312" w:cs="仿宋_GB2312"/>
          <w:color w:val="000000"/>
          <w:sz w:val="32"/>
          <w:szCs w:val="32"/>
        </w:rPr>
        <w:t>本办法适用于</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、应急条例和国家有关法律法规中规定的突发公共卫生事件与传染病疫情监测信息报告管理工作。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第三条</w:t>
      </w:r>
      <w:r>
        <w:rPr>
          <w:rFonts w:hint="eastAsia" w:ascii="宋体" w:hAnsi="宋体" w:eastAsia="仿宋_GB2312" w:cs="仿宋_GB2312"/>
          <w:color w:val="000000"/>
          <w:sz w:val="32"/>
          <w:szCs w:val="32"/>
        </w:rPr>
        <w:t>　突发公共卫生事件与传染病疫情监测信息报告，坚持依法管理，分级负责，快速准确，安全高效的原则。</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第四条</w:t>
      </w:r>
      <w:r>
        <w:rPr>
          <w:rFonts w:hint="eastAsia" w:ascii="宋体" w:hAnsi="宋体" w:eastAsia="仿宋_GB2312" w:cs="仿宋_GB2312"/>
          <w:color w:val="000000"/>
          <w:sz w:val="32"/>
          <w:szCs w:val="32"/>
        </w:rPr>
        <w:t>　国务院卫生行政部门对全国突发公共卫生事件与传染病疫情监测信息报告实施统一监督管理。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县级以上地方卫生行政部门对本行政区域突发公共卫生事件与传染病疫情监测信息报告实施监督管理。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第五条</w:t>
      </w:r>
      <w:r>
        <w:rPr>
          <w:rFonts w:hint="eastAsia" w:ascii="宋体" w:hAnsi="宋体" w:eastAsia="仿宋_GB2312" w:cs="仿宋_GB2312"/>
          <w:color w:val="000000"/>
          <w:sz w:val="32"/>
          <w:szCs w:val="32"/>
        </w:rPr>
        <w:t>　国务院卫生行政部门及省、自治区、直辖市卫生行政部门鼓励、支持开展突发公共卫生事件与传染病疫情监测信息报告管理的科学技术研究和国际交流合作。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第六条</w:t>
      </w:r>
      <w:r>
        <w:rPr>
          <w:rFonts w:hint="eastAsia" w:ascii="宋体" w:hAnsi="宋体" w:eastAsia="仿宋_GB2312" w:cs="仿宋_GB2312"/>
          <w:color w:val="000000"/>
          <w:sz w:val="32"/>
          <w:szCs w:val="32"/>
        </w:rPr>
        <w:t>　县级以上各级人民政府及其卫生行政部门，应当对在突发公共卫生事件与传染病疫情监测信息报告管理工作中做出贡献的人员，给予表彰和奖励。</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第七条　</w:t>
      </w:r>
      <w:r>
        <w:rPr>
          <w:rFonts w:hint="eastAsia" w:ascii="宋体" w:hAnsi="宋体" w:eastAsia="仿宋_GB2312" w:cs="仿宋_GB2312"/>
          <w:color w:val="000000"/>
          <w:sz w:val="32"/>
          <w:szCs w:val="32"/>
        </w:rPr>
        <w:t>任何单位和个人必须按照规定及时如实报告突发公共卫生事件与传染病疫情信息，不得瞒报、缓报、谎报或者授意他人瞒报、缓报、谎报。</w:t>
      </w:r>
    </w:p>
    <w:p>
      <w:pPr>
        <w:pStyle w:val="33"/>
        <w:wordWrap/>
        <w:spacing w:line="560" w:lineRule="exact"/>
        <w:textAlignment w:val="auto"/>
        <w:rPr>
          <w:rFonts w:hint="eastAsi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第二章　组织管理</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第八条</w:t>
      </w:r>
      <w:r>
        <w:rPr>
          <w:rFonts w:hint="eastAsia" w:ascii="宋体" w:hAnsi="宋体" w:eastAsia="仿宋_GB2312" w:cs="仿宋_GB2312"/>
          <w:color w:val="000000"/>
          <w:sz w:val="32"/>
          <w:szCs w:val="32"/>
        </w:rPr>
        <w:t>　各级疾病预防控制机构按照专业分工，承担责任范围内突发公共卫生事件和传染病疫情监测、信息报告与管理工作，具体职责为：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按照属地化管理原则，当地疾病预防控制机构负责，对行政辖区内的突发公共卫生事件和传染病疫情进行监测、信息报告与管理；负责收集、核实辖区内突发公共卫生事件、疫情信息和其他信息资料；设置专门的举报、咨询热线电话，接受突发公共卫生事件和疫情的报告、咨询和监督；设置专门工作人员搜集各种来源的突发公共卫生事件和疫情信息。</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（二）建立流行病学调查队伍和实验室，负责开展现场流行病学调查与处理，搜索密切接触者、追踪传染源，必要时进行隔离观察；进行疫点消毒及其技术指导；标本的实验室检测检验及报告。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（三）负责公共卫生信息网络维护和管理，疫情资料的报告、分析、利用与反馈；建立监测信息数据库，开展技术指导。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（四）对重点涉外机构或单位发生的疫情，由省级以上疾病预防控制机构进行报告管理和检查指导。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（五）负责人员培训与指导，对下级疾病预防控制机构工作人员进行业务培训；对辖区内医院和下级疾病预防控制机构疫情报告和信息网络管理工作进行技术指导。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第九条</w:t>
      </w:r>
      <w:r>
        <w:rPr>
          <w:rFonts w:hint="eastAsia" w:ascii="宋体" w:hAnsi="宋体" w:eastAsia="仿宋_GB2312" w:cs="仿宋_GB2312"/>
          <w:color w:val="000000"/>
          <w:sz w:val="32"/>
          <w:szCs w:val="32"/>
        </w:rPr>
        <w:t>　国家建立公共卫生信息监测体系，构建覆盖国家、省、市（地）、县（区）疾病预防控制机构、医疗卫生机构和卫生行政部门的信息网络系统，并向乡（镇）、村和城市社区延伸。</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国家建立公共卫生信息管理平台、基础卫生资源数据库和管理应用软件，适应突发公共卫生事件、法定传染病、公共卫生和专病监测的信息采集、汇总、分析、报告等工作的需要。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　第十条</w:t>
      </w:r>
      <w:r>
        <w:rPr>
          <w:rFonts w:hint="eastAsia" w:ascii="宋体" w:hAnsi="宋体" w:eastAsia="仿宋_GB2312" w:cs="仿宋_GB2312"/>
          <w:color w:val="000000"/>
          <w:sz w:val="32"/>
          <w:szCs w:val="32"/>
        </w:rPr>
        <w:t>　各级各类医疗机构承担责任范围内突发公共卫生事件和传染病疫情监测信息报告任务，具体职责为：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（一）建立突发公共卫生事件和传染病疫情信息监测报告制度，包括报告卡和总登记簿、疫情收报、核对、自查、奖惩。</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（二）执行首诊负责制，严格门诊工作日志制度以及突发公共卫生事件和疫情报告制度，负责突发公共卫生事件和疫情监测信息报告工作。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（三）建立或指定专门的部门和人员，配备必要的设备，保证突发公共卫生事件和疫情监测信息的网络直接报告。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门诊部、诊所、卫生所（室）等应按照规定时限，以最快通讯方式向发病地疾病预防控制机构进行报告，并同时报出传染病报告卡。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报告卡片邮寄信封应当印有明显的“突发公共卫生事件或疫情”标志及写明XX疾病预防控制机构收的字样。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（四）对医生和实习生进行有关突发公共卫生事件和传染病疫情监测信息报告工作的培训。</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（五）配合疾病预防控制机构开展流行病学调查和标本采样。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第十一条</w:t>
      </w:r>
      <w:r>
        <w:rPr>
          <w:rFonts w:hint="eastAsia" w:ascii="宋体" w:hAnsi="宋体" w:eastAsia="仿宋_GB2312" w:cs="仿宋_GB2312"/>
          <w:color w:val="000000"/>
          <w:sz w:val="32"/>
          <w:szCs w:val="32"/>
        </w:rPr>
        <w:t>　流动人员中发生的突发公共卫生事件和传染病病人、病原携带者和疑似传染病病人的报告、处理、疫情登记、统计，由诊治地负责。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第十二条　</w:t>
      </w:r>
      <w:r>
        <w:rPr>
          <w:rFonts w:hint="eastAsia" w:ascii="宋体" w:hAnsi="宋体" w:eastAsia="仿宋_GB2312" w:cs="仿宋_GB2312"/>
          <w:color w:val="000000"/>
          <w:sz w:val="32"/>
          <w:szCs w:val="32"/>
        </w:rPr>
        <w:t>铁路、交通、民航、厂（场）矿所属的医疗卫生机构发现突发公共卫生事件和传染病疫情，应按属地管理原则向所在地县级疾病预防控制机构报告。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第十三条</w:t>
      </w:r>
      <w:r>
        <w:rPr>
          <w:rFonts w:hint="eastAsia" w:ascii="宋体" w:hAnsi="宋体" w:eastAsia="仿宋_GB2312" w:cs="仿宋_GB2312"/>
          <w:color w:val="000000"/>
          <w:sz w:val="32"/>
          <w:szCs w:val="32"/>
        </w:rPr>
        <w:t>　军队内的突发公共卫生事件和军人中的传染病疫情监测信息，由中国人民解放军卫生主管部门根据有关规定向国务院卫生行政部门直接报告。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军队所属医疗卫生机构发现地方就诊的传染病病人、病原携带者、疑似传染病病人时，应按属地管理原则向所在地疾病预防控制</w:t>
      </w:r>
      <w:r>
        <w:rPr>
          <w:rFonts w:hint="eastAsia" w:ascii="宋体" w:hAnsi="宋体" w:eastAsia="仿宋_GB2312" w:cs="仿宋_GB2312"/>
          <w:color w:val="000000"/>
          <w:sz w:val="32"/>
          <w:szCs w:val="32"/>
          <w:lang w:val="en-US" w:eastAsia="zh-CN"/>
        </w:rPr>
        <w:t>机构报告。</w:t>
      </w:r>
      <w:r>
        <w:rPr>
          <w:rFonts w:hint="eastAsia" w:ascii="宋体" w:hAnsi="宋体" w:eastAsia="仿宋_GB2312" w:cs="仿宋_GB2312"/>
          <w:color w:val="000000"/>
          <w:sz w:val="32"/>
          <w:szCs w:val="32"/>
          <w:lang w:val="en-US" w:eastAsia="zh-CN"/>
        </w:rPr>
        <w:br w:type="textWrapping"/>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第十四条</w:t>
      </w:r>
      <w:r>
        <w:rPr>
          <w:rFonts w:hint="eastAsia" w:ascii="宋体" w:hAnsi="宋体" w:eastAsia="仿宋_GB2312" w:cs="仿宋_GB2312"/>
          <w:color w:val="000000"/>
          <w:sz w:val="32"/>
          <w:szCs w:val="32"/>
        </w:rPr>
        <w:t>　医疗卫生人员未经当事人同意，不得将传染病病人及其家属的姓名、住址和个人病史以任何形式向社会公开。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第十五条</w:t>
      </w:r>
      <w:r>
        <w:rPr>
          <w:rFonts w:hint="eastAsia" w:ascii="宋体" w:hAnsi="宋体" w:eastAsia="仿宋_GB2312" w:cs="仿宋_GB2312"/>
          <w:color w:val="000000"/>
          <w:sz w:val="32"/>
          <w:szCs w:val="32"/>
        </w:rPr>
        <w:t>　各级政府卫生行政部门对辖区内各级医疗卫生机构负责的突发公共卫生事件和传染病疫情监测信息报告情况，定期进行监督、检查和指导。</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第三章　报告</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第十六条</w:t>
      </w:r>
      <w:r>
        <w:rPr>
          <w:rFonts w:hint="eastAsia" w:ascii="宋体" w:hAnsi="宋体" w:eastAsia="仿宋_GB2312" w:cs="仿宋_GB2312"/>
          <w:color w:val="000000"/>
          <w:sz w:val="32"/>
          <w:szCs w:val="32"/>
        </w:rPr>
        <w:t>　各级各类医疗机构、疾病预防控制机构、采供血机构均为责任报告单位；其执行职务的人员和乡村医生、个体开业医生均为责任疫情报告人，必须按照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的规定进行疫情报告，履行法律规定的义务。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第十七条</w:t>
      </w:r>
      <w:r>
        <w:rPr>
          <w:rFonts w:hint="eastAsia" w:ascii="宋体" w:hAnsi="宋体" w:eastAsia="仿宋_GB2312" w:cs="仿宋_GB2312"/>
          <w:color w:val="000000"/>
          <w:sz w:val="32"/>
          <w:szCs w:val="32"/>
        </w:rPr>
        <w:t>　责任报告人在首次诊断传染病病人后，应立即填写传染病报告卡。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传染病报告卡由录卡单位保留三年。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第十八条</w:t>
      </w:r>
      <w:r>
        <w:rPr>
          <w:rFonts w:hint="eastAsia" w:ascii="宋体" w:hAnsi="宋体" w:eastAsia="仿宋_GB2312" w:cs="仿宋_GB2312"/>
          <w:color w:val="000000"/>
          <w:sz w:val="32"/>
          <w:szCs w:val="32"/>
        </w:rPr>
        <w:t>　责任报告单位和责任疫情报告人发现甲类传染病和乙类传染病中的肺炭疽、传染性非典型肺炎、脊髓灰质炎、人感染高致病性禽流感病人或疑似病人时，或发现其他传染病和不明原因疾病暴发时，应于2小时内将传染病报告卡通过网络报告；未实行网络直报的责任报告单位应于2小时内以最快的通讯方式（电话、传真）向当地县级疾病预防控制机构报告，并于2小时内寄送出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对其他乙、丙类传染病病人、疑似病人和规定报告的传染病病原携带者在诊断后，实行网络直报的责任报告单位应于24小时内进行网络报告；未实行网络直报的责任报告单位应于24小时内寄送出传染病报告卡。</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县级疾病预防控制机构收到无网络直报条件责任报告单位报送的传染</w:t>
      </w:r>
      <w:r>
        <w:rPr>
          <w:rFonts w:hint="eastAsia" w:ascii="宋体" w:hAnsi="宋体" w:eastAsia="仿宋_GB2312" w:cs="仿宋_GB2312"/>
          <w:color w:val="000000"/>
          <w:sz w:val="32"/>
          <w:szCs w:val="32"/>
          <w:lang w:val="en-US" w:eastAsia="zh-CN"/>
        </w:rPr>
        <w:t>病报告卡后，应于2小时内通过网络进行直报。</w:t>
      </w:r>
      <w:r>
        <w:rPr>
          <w:rFonts w:hint="eastAsia" w:ascii="宋体" w:hAnsi="宋体" w:eastAsia="仿宋_GB2312" w:cs="仿宋_GB2312"/>
          <w:color w:val="000000"/>
          <w:sz w:val="32"/>
          <w:szCs w:val="32"/>
          <w:lang w:val="en-US" w:eastAsia="zh-CN"/>
        </w:rPr>
        <w:br w:type="textWrapping"/>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第十九条</w:t>
      </w:r>
      <w:r>
        <w:rPr>
          <w:rFonts w:hint="eastAsia" w:ascii="宋体" w:hAnsi="宋体" w:eastAsia="仿宋_GB2312" w:cs="仿宋_GB2312"/>
          <w:color w:val="000000"/>
          <w:sz w:val="32"/>
          <w:szCs w:val="32"/>
        </w:rPr>
        <w:t>　获得突发公共卫生事件相关信息的责任报告单位和责任报告人，应当在２小时内以电话或传真等方式向属地卫生行政部门指定的专业机构报告，具备网络直报条件的要同时进行网络直报，直报的信息由指定的专业机构审核后进入国家数据库。不具备网络直报条件的责任报告单位和责任报告人，应采用最快的通讯方式将《突发公共卫生事件相关信息报告卡》报送属地卫生行政部门指定的专业机构，接到《突发公共卫生事件相关信息报告卡》的专业机构，应对信息进行审核，确定真实性，2小时内进行网络直报，同时以电话或传真等方式报告同级卫生行政部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接到突发公共卫生事件相关信息报告的卫生行政部门应当尽快组织有关专家进行现场调查，如确认为实际发生突发公共卫生事件，应根据不同的级别，及时组织采取相应的措施，并在２小时内向本级人民政府报告，同时向上一级人民政府卫生行政部门报告。如尚未达到突发公共卫生事件标准的，由专业防治机构密切跟踪事态发展，随时报告事态变化情况。</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第二十条</w:t>
      </w:r>
      <w:r>
        <w:rPr>
          <w:rFonts w:hint="eastAsia" w:ascii="宋体" w:hAnsi="宋体" w:eastAsia="仿宋_GB2312" w:cs="仿宋_GB2312"/>
          <w:color w:val="000000"/>
          <w:sz w:val="32"/>
          <w:szCs w:val="32"/>
        </w:rPr>
        <w:t>　突发公共卫生事件及传染病信息报告的其它事项按照《突发公共卫生事件相关信息报告管理工作规范（试行）》及《</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"javascript:SLC(76844,0)"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传染病信息报告管理规范</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》有关规定执行。</w:t>
      </w:r>
    </w:p>
    <w:p>
      <w:pPr>
        <w:pStyle w:val="37"/>
        <w:widowControl w:val="0"/>
        <w:wordWrap/>
        <w:overflowPunct w:val="0"/>
        <w:adjustRightInd/>
        <w:snapToGrid/>
        <w:spacing w:before="0" w:beforeAutospacing="0" w:after="0" w:afterAutospacing="0" w:line="560" w:lineRule="exact"/>
        <w:ind w:left="0" w:leftChars="0" w:right="0"/>
        <w:jc w:val="center"/>
        <w:textAlignment w:val="auto"/>
        <w:outlineLvl w:val="9"/>
        <w:rPr>
          <w:rFonts w:hint="eastAsia" w:ascii="宋体" w:hAnsi="宋体" w:eastAsia="黑体" w:cs="黑体"/>
          <w:color w:val="000000"/>
          <w:sz w:val="32"/>
          <w:szCs w:val="32"/>
          <w:lang w:val="en-US" w:eastAsia="zh-CN"/>
        </w:rPr>
      </w:pPr>
    </w:p>
    <w:p>
      <w:pPr>
        <w:pStyle w:val="37"/>
        <w:widowControl w:val="0"/>
        <w:wordWrap/>
        <w:overflowPunct w:val="0"/>
        <w:adjustRightInd/>
        <w:snapToGrid/>
        <w:spacing w:before="0" w:beforeAutospacing="0" w:after="0" w:afterAutospacing="0" w:line="560" w:lineRule="exact"/>
        <w:ind w:left="0" w:leftChars="0" w:right="0"/>
        <w:jc w:val="center"/>
        <w:textAlignment w:val="auto"/>
        <w:outlineLvl w:val="9"/>
        <w:rPr>
          <w:rFonts w:hint="eastAsia" w:ascii="宋体" w:hAnsi="宋体" w:eastAsia="黑体" w:cs="黑体"/>
          <w:color w:val="000000"/>
          <w:sz w:val="32"/>
          <w:szCs w:val="32"/>
          <w:lang w:val="en-US" w:eastAsia="zh-CN"/>
        </w:rPr>
      </w:pPr>
      <w:r>
        <w:rPr>
          <w:rFonts w:hint="eastAsia" w:ascii="宋体" w:hAnsi="宋体" w:eastAsia="黑体" w:cs="黑体"/>
          <w:color w:val="000000"/>
          <w:sz w:val="32"/>
          <w:szCs w:val="32"/>
          <w:lang w:val="en-US" w:eastAsia="zh-CN"/>
        </w:rPr>
        <w:t>第四章　调查</w:t>
      </w:r>
    </w:p>
    <w:p>
      <w:pPr>
        <w:pStyle w:val="37"/>
        <w:widowControl w:val="0"/>
        <w:wordWrap/>
        <w:overflowPunct w:val="0"/>
        <w:adjustRightInd/>
        <w:snapToGrid/>
        <w:spacing w:before="0" w:beforeAutospacing="0" w:after="0" w:afterAutospacing="0" w:line="560" w:lineRule="exact"/>
        <w:ind w:left="0" w:leftChars="0" w:right="0"/>
        <w:jc w:val="center"/>
        <w:textAlignment w:val="auto"/>
        <w:outlineLvl w:val="9"/>
        <w:rPr>
          <w:rFonts w:hint="eastAsia" w:ascii="宋体" w:hAnsi="宋体" w:eastAsia="黑体" w:cs="黑体"/>
          <w:color w:val="000000"/>
          <w:sz w:val="32"/>
          <w:szCs w:val="32"/>
          <w:lang w:val="en-US" w:eastAsia="zh-CN"/>
        </w:rPr>
      </w:pPr>
    </w:p>
    <w:p>
      <w:pPr>
        <w:pStyle w:val="37"/>
        <w:widowControl w:val="0"/>
        <w:wordWrap/>
        <w:overflowPunct w:val="0"/>
        <w:adjustRightInd/>
        <w:snapToGrid/>
        <w:spacing w:before="0" w:beforeAutospacing="0" w:after="0" w:afterAutospacing="0" w:line="560" w:lineRule="exact"/>
        <w:ind w:left="0" w:leftChars="0" w:right="0"/>
        <w:jc w:val="left"/>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val="en-US" w:eastAsia="zh-CN"/>
        </w:rPr>
        <w:t xml:space="preserve">  </w:t>
      </w:r>
      <w:r>
        <w:rPr>
          <w:rFonts w:hint="eastAsia" w:ascii="宋体" w:hAnsi="宋体" w:eastAsia="黑体" w:cs="黑体"/>
          <w:color w:val="000000"/>
          <w:sz w:val="32"/>
          <w:szCs w:val="32"/>
          <w:lang w:val="en-US" w:eastAsia="zh-CN"/>
        </w:rPr>
        <w:t xml:space="preserve"> </w:t>
      </w:r>
      <w:r>
        <w:rPr>
          <w:rFonts w:hint="eastAsia" w:ascii="宋体" w:hAnsi="宋体" w:eastAsia="黑体" w:cs="黑体"/>
          <w:color w:val="000000"/>
          <w:sz w:val="32"/>
          <w:szCs w:val="32"/>
        </w:rPr>
        <w:t>第二十一条</w:t>
      </w:r>
      <w:r>
        <w:rPr>
          <w:rFonts w:hint="eastAsia" w:ascii="宋体" w:hAnsi="宋体" w:eastAsia="仿宋_GB2312" w:cs="仿宋_GB2312"/>
          <w:color w:val="000000"/>
          <w:sz w:val="32"/>
          <w:szCs w:val="32"/>
        </w:rPr>
        <w:t>　接到突发公共卫生事件报告的地方卫生行政部门，应当立即组织力量对报告事项调查核实、判定性质采取必要的控制措施，并及时报告调查情况。</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不同类别的突发公共卫生事件的调查应当按照《全国突发公共卫生事件应急预案》规定要求执行。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第二十二条</w:t>
      </w:r>
      <w:r>
        <w:rPr>
          <w:rFonts w:hint="eastAsia" w:ascii="宋体" w:hAnsi="宋体" w:eastAsia="仿宋_GB2312" w:cs="仿宋_GB2312"/>
          <w:color w:val="000000"/>
          <w:sz w:val="32"/>
          <w:szCs w:val="32"/>
        </w:rPr>
        <w:t>　突发公共卫生事件与传染病疫情现场调查</w:t>
      </w:r>
    </w:p>
    <w:p>
      <w:pPr>
        <w:pStyle w:val="37"/>
        <w:widowControl w:val="0"/>
        <w:wordWrap/>
        <w:overflowPunct w:val="0"/>
        <w:adjustRightInd/>
        <w:snapToGrid/>
        <w:spacing w:before="0" w:beforeAutospacing="0" w:after="0" w:afterAutospacing="0" w:line="560" w:lineRule="exact"/>
        <w:ind w:left="0" w:leftChars="0" w:right="0"/>
        <w:jc w:val="both"/>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应包括以下工作内容：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（一）流行病学个案调查、密切接触者追踪调查和传染病发病原因、发病情况、疾病流行的可能因素等调查；</w:t>
      </w:r>
      <w:r>
        <w:rPr>
          <w:rFonts w:hint="eastAsia" w:ascii="宋体" w:hAnsi="宋体" w:eastAsia="仿宋_GB2312" w:cs="仿宋_GB2312"/>
          <w:color w:val="000000"/>
          <w:sz w:val="32"/>
          <w:szCs w:val="32"/>
        </w:rPr>
        <w:br w:type="textWrapping"/>
      </w:r>
      <w:r>
        <w:rPr>
          <w:rFonts w:hint="eastAsia" w:ascii="宋体" w:hAnsi="宋体" w:cs="仿宋_GB2312"/>
          <w:color w:val="000000"/>
          <w:sz w:val="32"/>
          <w:szCs w:val="32"/>
          <w:lang w:val="en-US" w:eastAsia="zh-CN"/>
        </w:rPr>
        <w:t xml:space="preserve">    </w:t>
      </w:r>
      <w:r>
        <w:rPr>
          <w:rFonts w:hint="eastAsia" w:ascii="宋体" w:hAnsi="宋体" w:eastAsia="仿宋_GB2312" w:cs="仿宋_GB2312"/>
          <w:color w:val="000000"/>
          <w:sz w:val="32"/>
          <w:szCs w:val="32"/>
        </w:rPr>
        <w:t>（二）相关标本或样品的采样、技术分析、检验；</w:t>
      </w:r>
    </w:p>
    <w:p>
      <w:pPr>
        <w:pStyle w:val="37"/>
        <w:widowControl w:val="0"/>
        <w:wordWrap/>
        <w:overflowPunct w:val="0"/>
        <w:adjustRightInd/>
        <w:snapToGrid/>
        <w:spacing w:before="0" w:beforeAutospacing="0" w:after="0" w:afterAutospacing="0" w:line="560" w:lineRule="exact"/>
        <w:ind w:left="0" w:leftChars="0" w:right="0" w:firstLine="640" w:firstLineChars="200"/>
        <w:jc w:val="both"/>
        <w:textAlignment w:val="auto"/>
        <w:outlineLvl w:val="9"/>
        <w:rPr>
          <w:rFonts w:hint="eastAsia" w:ascii="宋体" w:hAnsi="宋体" w:eastAsia="仿宋_GB2312" w:cs="仿宋_GB2312"/>
          <w:sz w:val="32"/>
          <w:szCs w:val="32"/>
        </w:rPr>
      </w:pPr>
      <w:r>
        <w:rPr>
          <w:rFonts w:hint="eastAsia" w:ascii="宋体" w:hAnsi="宋体" w:eastAsia="仿宋_GB2312" w:cs="仿宋_GB2312"/>
          <w:color w:val="000000"/>
          <w:sz w:val="32"/>
          <w:szCs w:val="32"/>
        </w:rPr>
        <w:t>（三）突发公共卫生事件的确证；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（四）卫生监测，包括生活资源受污染范围和严重程度，必要时应在突发事件发生地及相邻省市同时进行。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第二十三条</w:t>
      </w:r>
      <w:r>
        <w:rPr>
          <w:rFonts w:hint="eastAsia" w:ascii="宋体" w:hAnsi="宋体" w:eastAsia="仿宋_GB2312" w:cs="仿宋_GB2312"/>
          <w:color w:val="000000"/>
          <w:sz w:val="32"/>
          <w:szCs w:val="32"/>
        </w:rPr>
        <w:t>　各级卫生行政部门应当组织疾病预防控制机构等有关领域的专业人员，建立流行病学调查队伍，负责突发公共卫生事件与传染病疫情的流行病学调查工作。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第二十四条</w:t>
      </w:r>
      <w:r>
        <w:rPr>
          <w:rFonts w:hint="eastAsia" w:ascii="宋体" w:hAnsi="宋体" w:eastAsia="仿宋_GB2312" w:cs="仿宋_GB2312"/>
          <w:color w:val="000000"/>
          <w:sz w:val="32"/>
          <w:szCs w:val="32"/>
        </w:rPr>
        <w:t>　疾病预防控制机构发现传染病疫情或接到传染病疫情报告时，应当及时采取下列措施：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对传染病疫情进行流行病学调查，根据调查情况提出划定疫点、疫区的建议，对被污染的场所进行卫生处理，对密切接触者，在指定场所进行医学观察和采取其他必要的预防措施，并向卫生行政部门提出疫情控制方案；</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（二）传染病暴发、流行时，对疫点、疫区进行卫生处理，向卫生行政部门提出疫情控制方案，并按照卫生行政部门的要求采取措施；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（三）指导下级疾病预防控制机构实施传染病预防、控制措施，组织、指导有关单位对传染病疫情的处理。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第二十五条</w:t>
      </w:r>
      <w:r>
        <w:rPr>
          <w:rFonts w:hint="eastAsia" w:ascii="宋体" w:hAnsi="宋体" w:eastAsia="仿宋_GB2312" w:cs="仿宋_GB2312"/>
          <w:color w:val="000000"/>
          <w:sz w:val="32"/>
          <w:szCs w:val="32"/>
        </w:rPr>
        <w:t>　各级疾病预防控制机构负责管理国家突发公共卫生事件与传染病疫情监测报告信息系统，各级责任报告单位使用统一的信息系统进行报告。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第二十六条</w:t>
      </w:r>
      <w:r>
        <w:rPr>
          <w:rFonts w:hint="eastAsia" w:ascii="宋体" w:hAnsi="宋体" w:eastAsia="仿宋_GB2312" w:cs="仿宋_GB2312"/>
          <w:color w:val="000000"/>
          <w:sz w:val="32"/>
          <w:szCs w:val="32"/>
        </w:rPr>
        <w:t>　各级各类医疗机构应积极配合疾病预防控制机构专业人员进行突发公共卫生事件和传染病疫情调查、采样与处理。</w:t>
      </w:r>
    </w:p>
    <w:p>
      <w:pPr>
        <w:pStyle w:val="37"/>
        <w:widowControl w:val="0"/>
        <w:wordWrap/>
        <w:overflowPunct w:val="0"/>
        <w:adjustRightInd/>
        <w:snapToGrid/>
        <w:spacing w:before="0" w:beforeAutospacing="0" w:after="0" w:afterAutospacing="0" w:line="560" w:lineRule="exact"/>
        <w:ind w:left="0" w:leftChars="0" w:right="0" w:firstLine="640" w:firstLineChars="200"/>
        <w:jc w:val="center"/>
        <w:textAlignment w:val="auto"/>
        <w:outlineLvl w:val="9"/>
        <w:rPr>
          <w:rFonts w:hint="eastAsia" w:ascii="宋体" w:hAnsi="宋体" w:eastAsia="黑体" w:cs="黑体"/>
          <w:color w:val="000000"/>
          <w:kern w:val="2"/>
          <w:sz w:val="32"/>
          <w:szCs w:val="32"/>
          <w:lang w:val="en-US" w:eastAsia="zh-CN" w:bidi="ar-SA"/>
        </w:rPr>
      </w:pPr>
    </w:p>
    <w:p>
      <w:pPr>
        <w:pStyle w:val="37"/>
        <w:widowControl w:val="0"/>
        <w:wordWrap/>
        <w:overflowPunct w:val="0"/>
        <w:adjustRightInd/>
        <w:snapToGrid/>
        <w:spacing w:before="0" w:beforeAutospacing="0" w:after="0" w:afterAutospacing="0" w:line="560" w:lineRule="exact"/>
        <w:ind w:left="0" w:leftChars="0" w:right="0" w:firstLine="640" w:firstLineChars="20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第五章　信息管理与通报</w:t>
      </w:r>
    </w:p>
    <w:p>
      <w:pPr>
        <w:pStyle w:val="37"/>
        <w:widowControl w:val="0"/>
        <w:wordWrap/>
        <w:overflowPunct w:val="0"/>
        <w:adjustRightInd/>
        <w:snapToGrid/>
        <w:spacing w:before="0" w:beforeAutospacing="0" w:after="0" w:afterAutospacing="0" w:line="560" w:lineRule="exact"/>
        <w:ind w:left="0" w:leftChars="0" w:right="0" w:firstLine="640" w:firstLineChars="200"/>
        <w:jc w:val="center"/>
        <w:textAlignment w:val="auto"/>
        <w:outlineLvl w:val="9"/>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第二十七条</w:t>
      </w:r>
      <w:r>
        <w:rPr>
          <w:rFonts w:hint="eastAsia" w:ascii="宋体" w:hAnsi="宋体" w:eastAsia="仿宋_GB2312" w:cs="仿宋_GB2312"/>
          <w:color w:val="000000"/>
          <w:sz w:val="32"/>
          <w:szCs w:val="32"/>
        </w:rPr>
        <w:t>　各级各类医疗机构所设与诊治传染病有关的科室应当建立门诊日志、住院登记簿和传染病疫情登记簿。</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第二十八条</w:t>
      </w:r>
      <w:r>
        <w:rPr>
          <w:rFonts w:hint="eastAsia" w:ascii="宋体" w:hAnsi="宋体" w:eastAsia="仿宋_GB2312" w:cs="仿宋_GB2312"/>
          <w:color w:val="000000"/>
          <w:sz w:val="32"/>
          <w:szCs w:val="32"/>
        </w:rPr>
        <w:t>　各级各类医疗机构指定的部门和人员，负责本单位突发公共卫生事件和传染病疫情报告卡的收发和核对，设立传染病报告登记簿，统一填报有关报表。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第二十九条</w:t>
      </w:r>
      <w:r>
        <w:rPr>
          <w:rFonts w:hint="eastAsia" w:ascii="宋体" w:hAnsi="宋体" w:eastAsia="仿宋_GB2312" w:cs="仿宋_GB2312"/>
          <w:color w:val="000000"/>
          <w:sz w:val="32"/>
          <w:szCs w:val="32"/>
        </w:rPr>
        <w:t>　县级疾病预防控制机构负责本辖区内突发公共卫生事件和传染病疫情报告卡、报表的收发、核对、疫情的报告和管理工作。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疾病预防控制机构应当按照国家公共卫生监测体系网络系统平台的要求，充分利用报告的信息资料，建立突发公共卫生事件和传染病疫情定期分析通报制度，常规监测时每月不少于三次疫情分析与通报，紧急情况下需每日进行疫情分析与通报。</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w:t>
      </w:r>
      <w:r>
        <w:rPr>
          <w:rFonts w:hint="eastAsia" w:ascii="宋体" w:hAnsi="宋体" w:eastAsia="黑体" w:cs="黑体"/>
          <w:color w:val="000000"/>
          <w:kern w:val="2"/>
          <w:sz w:val="32"/>
          <w:szCs w:val="32"/>
          <w:lang w:val="en-US" w:eastAsia="zh-CN" w:bidi="ar-SA"/>
        </w:rPr>
        <w:t>三十</w:t>
      </w:r>
      <w:r>
        <w:rPr>
          <w:rFonts w:hint="eastAsia" w:ascii="宋体" w:hAnsi="宋体" w:eastAsia="黑体" w:cs="黑体"/>
          <w:color w:val="000000"/>
          <w:sz w:val="32"/>
          <w:szCs w:val="32"/>
        </w:rPr>
        <w:t>条</w:t>
      </w:r>
      <w:r>
        <w:rPr>
          <w:rFonts w:hint="eastAsia" w:ascii="宋体" w:hAnsi="宋体" w:eastAsia="仿宋_GB2312" w:cs="仿宋_GB2312"/>
          <w:color w:val="000000"/>
          <w:sz w:val="32"/>
          <w:szCs w:val="32"/>
        </w:rPr>
        <w:t>　国境口岸所在地卫生行政部门指定的疾病预防控制机构和港口、机场、铁路等疾病预防控制机构及国境卫生检疫机构，发现</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"javascript:SLC(3068,0)"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国境卫生检疫法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规定的检疫传染病时，应当互相通报疫情。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第三十一条</w:t>
      </w:r>
      <w:r>
        <w:rPr>
          <w:rFonts w:hint="eastAsia" w:ascii="宋体" w:hAnsi="宋体" w:eastAsia="仿宋_GB2312" w:cs="仿宋_GB2312"/>
          <w:color w:val="000000"/>
          <w:sz w:val="32"/>
          <w:szCs w:val="32"/>
        </w:rPr>
        <w:t>　发现人畜共患传染病时，当地疾病预防控制机构和农、林部门应当互相通报疫情。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第三十二条</w:t>
      </w:r>
      <w:r>
        <w:rPr>
          <w:rFonts w:hint="eastAsia" w:ascii="宋体" w:hAnsi="宋体" w:eastAsia="仿宋_GB2312" w:cs="仿宋_GB2312"/>
          <w:color w:val="000000"/>
          <w:sz w:val="32"/>
          <w:szCs w:val="32"/>
        </w:rPr>
        <w:t>　国务院卫生行政部门应当及时通报和公布突发公共卫生事件和传染病疫情，省（自治区、直辖市）人民政府卫生行政部门根据国务院卫生行政部门的授权，及时通报和公布本行政区域的突发公共卫生事件和传染病疫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突发公共卫生事件和传染病疫情发布内容包括：</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（一）突发公共卫生事件和传染病疫情性质、原因；</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（二）突发公共卫生事件和传染病疫情发生地及范围；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（三）突发公共卫生事件和传染病疫情的发病、伤亡及涉及的人员范围；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（四）突发公共卫生事件和传染病疫情处理措施和控制情况；</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（五）突发公共卫生事件和传染病疫情发生地的解除。</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与港澳台地区及有关国家和世界卫生组织之间的交流与通报办法另行制订。</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第六章　监督管理</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第三十三条</w:t>
      </w:r>
      <w:r>
        <w:rPr>
          <w:rFonts w:hint="eastAsia" w:ascii="宋体" w:hAnsi="宋体" w:eastAsia="仿宋_GB2312" w:cs="仿宋_GB2312"/>
          <w:color w:val="000000"/>
          <w:sz w:val="32"/>
          <w:szCs w:val="32"/>
        </w:rPr>
        <w:t>　国务院卫生行政部门对全国突发公共卫生事件与传染病疫情监测信息报告管理工作进行监督、指导。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县级以上地方人民政府卫生行政部门对本行政区域的突发公共卫生事件与传染病疫情监测信息报告管理工作进行监督、指导。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第三十四条</w:t>
      </w:r>
      <w:r>
        <w:rPr>
          <w:rFonts w:hint="eastAsia" w:ascii="宋体" w:hAnsi="宋体" w:eastAsia="仿宋_GB2312" w:cs="仿宋_GB2312"/>
          <w:color w:val="000000"/>
          <w:sz w:val="32"/>
          <w:szCs w:val="32"/>
        </w:rPr>
        <w:t>　各级卫生监督机构在卫生行政部门的领导下，具体负责本行政区内的突发公共卫生事件与传染病疫情监测信息报告管理工作的监督检查。</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第三十五条</w:t>
      </w:r>
      <w:r>
        <w:rPr>
          <w:rFonts w:hint="eastAsia" w:ascii="宋体" w:hAnsi="宋体" w:eastAsia="仿宋_GB2312" w:cs="仿宋_GB2312"/>
          <w:color w:val="000000"/>
          <w:sz w:val="32"/>
          <w:szCs w:val="32"/>
        </w:rPr>
        <w:t>　各级疾病预防控制机构在卫生行政部门的领导下，具体负责对本行政区域内的突发公共卫生事件与传染病疫情监测信息报告管理工作的技术指导。</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第三十六条</w:t>
      </w:r>
      <w:r>
        <w:rPr>
          <w:rFonts w:hint="eastAsia" w:ascii="宋体" w:hAnsi="宋体" w:eastAsia="仿宋_GB2312" w:cs="仿宋_GB2312"/>
          <w:color w:val="000000"/>
          <w:sz w:val="32"/>
          <w:szCs w:val="32"/>
        </w:rPr>
        <w:t>　各级各类医疗卫生机构在卫生行政部门的领导下，积极开展突发公共卫生事件与传染病疫情监测信息报告管理工作。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第三十七条</w:t>
      </w:r>
      <w:r>
        <w:rPr>
          <w:rFonts w:hint="eastAsia" w:ascii="宋体" w:hAnsi="宋体" w:eastAsia="仿宋_GB2312" w:cs="仿宋_GB2312"/>
          <w:color w:val="000000"/>
          <w:sz w:val="32"/>
          <w:szCs w:val="32"/>
        </w:rPr>
        <w:t>　任何单位和个人发现责任报告单位或责任疫情报告人有瞒报、缓报、谎报突发公共卫生事件和传染病疫情情况时，应向当地卫生行政部门报告。</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第七章　罚则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第三十八条</w:t>
      </w:r>
      <w:r>
        <w:rPr>
          <w:rFonts w:hint="eastAsia" w:ascii="宋体" w:hAnsi="宋体" w:eastAsia="仿宋_GB2312" w:cs="仿宋_GB2312"/>
          <w:color w:val="000000"/>
          <w:sz w:val="32"/>
          <w:szCs w:val="32"/>
        </w:rPr>
        <w:t>　医疗机构有下列行为之一的，由县级以上地方卫生行政部门责令改正、通报批评、给予警告；情节严重的，会同有关部门对主要负责人、负有责任的主管人员和其他责任人员依法给予降级、撤职的行政处分；造成传染病传播、流行或者对社会公众健康造成其它严重危害后果，构成犯罪的，依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"javascript:SLC(17010,0)"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刑法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追究刑事责任：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（一）未建立传染病疫情报告制度的；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（二）未指定相关部门和人员负责传染病疫情报告管理工作的；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（三）瞒报、缓报、谎报发现的传染病病人、病原携带者、疑似病人的。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第三十九条</w:t>
      </w:r>
      <w:r>
        <w:rPr>
          <w:rFonts w:hint="eastAsia" w:ascii="宋体" w:hAnsi="宋体" w:eastAsia="仿宋_GB2312" w:cs="仿宋_GB2312"/>
          <w:color w:val="000000"/>
          <w:sz w:val="32"/>
          <w:szCs w:val="32"/>
        </w:rPr>
        <w:t>　疾病预防控制机构有下列行为之一的，由县级以上地方卫生行政部门责令改正、通报批评、给予警告；对主要负责人、负有责任的主管人员和其他责任人员依法给予降级、撤职的行政处分；造成传染病传播、流行或者对社会公众健康造成其它严重危害后果，构成犯罪的，依法追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（一）瞒报、缓报、谎报发现的传染病病人、病原携带者、疑似病人的；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（二）未按规定建立专门的流行病学调查队伍，进行传染病疫情的流行病学调查工作；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（三）在接到传染病疫情报告后，未按规定派人进行现场调查的；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（四）未按规定上报疫情或报告突发公共卫生事件的。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第四十条</w:t>
      </w:r>
      <w:r>
        <w:rPr>
          <w:rFonts w:hint="eastAsia" w:ascii="宋体" w:hAnsi="宋体" w:eastAsia="仿宋_GB2312" w:cs="仿宋_GB2312"/>
          <w:color w:val="000000"/>
          <w:sz w:val="32"/>
          <w:szCs w:val="32"/>
        </w:rPr>
        <w:t>　执行职务的医疗卫生人员瞒报、缓报、谎报传染病疫情的，由县级以上卫生行政部门给予警告，情节严重的，责令暂停六个月以上一年以下执业活动，或者吊销其执业证书。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责任报告单位和事件发生单位瞒报、缓报、谎报或授意他人不报告突发性公共卫生事件或传染病疫情的，对其主要领导、主管人员和直接责任人由其单位或上级主管机关给予行政处分，造成疫情播散或事态恶化等严重后果的，由司法机关追究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第四十一条</w:t>
      </w:r>
      <w:r>
        <w:rPr>
          <w:rFonts w:hint="eastAsia" w:ascii="宋体" w:hAnsi="宋体" w:eastAsia="仿宋_GB2312" w:cs="仿宋_GB2312"/>
          <w:color w:val="000000"/>
          <w:sz w:val="32"/>
          <w:szCs w:val="32"/>
        </w:rPr>
        <w:t>　个体或私营医疗保健机构瞒报、缓报、谎报传染病疫情或突发性公共卫生事件的，由县级以上卫生行政部门责令限期改正，可以处100元以上500元以下罚款；对造成突发性公共卫生事件和传染病传播流行的，责令停业整改，并可以处200元以上2000元以下罚款，触犯刑律的，对其经营者、主管人员和直接责任人移交司法机关追究刑事责任。</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第四十二条</w:t>
      </w:r>
      <w:r>
        <w:rPr>
          <w:rFonts w:hint="eastAsia" w:ascii="宋体" w:hAnsi="宋体" w:eastAsia="仿宋_GB2312" w:cs="仿宋_GB2312"/>
          <w:color w:val="000000"/>
          <w:sz w:val="32"/>
          <w:szCs w:val="32"/>
        </w:rPr>
        <w:t>　县级以上卫生行政部门未按照规定履行突发公共卫生事件和传染病疫情报告职责，瞒报、缓报、谎报或者授意他人瞒报、缓报、谎报的，对主要负责人依法给予降级或者撤职的行政处分；造成传染病传播、流行或者对社会公众造成其他严重危害后果的，给予开除处分；构成犯罪的，依法追究刑事责任。</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第八章　附 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r>
        <w:rPr>
          <w:rFonts w:hint="eastAsia" w:ascii="宋体" w:hAnsi="宋体" w:eastAsia="黑体" w:cs="黑体"/>
          <w:color w:val="000000"/>
          <w:kern w:val="0"/>
          <w:sz w:val="32"/>
          <w:szCs w:val="32"/>
          <w:lang w:val="en-US" w:eastAsia="zh-CN"/>
        </w:rPr>
        <w:t>第四十三条</w:t>
      </w:r>
      <w:r>
        <w:rPr>
          <w:rFonts w:hint="eastAsia" w:ascii="宋体" w:hAnsi="宋体" w:eastAsia="仿宋_GB2312" w:cs="仿宋_GB2312"/>
          <w:color w:val="000000"/>
          <w:sz w:val="32"/>
          <w:szCs w:val="32"/>
        </w:rPr>
        <w:t>　中国人民解放军、武装警察部队医疗卫生机构突发公共卫生事件与传染病疫情监测信息报告管理工作，参照本办法的规定和军队的相关规定执行。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第四十四条</w:t>
      </w:r>
      <w:r>
        <w:rPr>
          <w:rFonts w:hint="eastAsia" w:ascii="宋体" w:hAnsi="宋体" w:eastAsia="仿宋_GB2312" w:cs="仿宋_GB2312"/>
          <w:color w:val="000000"/>
          <w:sz w:val="32"/>
          <w:szCs w:val="32"/>
        </w:rPr>
        <w:t>　本办法自发布之日起实施。</w:t>
      </w: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2" w:name="_Toc29023"/>
      <w:r>
        <w:rPr>
          <w:rFonts w:hint="eastAsia" w:ascii="宋体" w:hAnsi="宋体" w:eastAsia="宋体" w:cs="Arial"/>
          <w:bCs/>
          <w:sz w:val="44"/>
          <w:szCs w:val="44"/>
          <w:lang w:val="en-US" w:eastAsia="zh-CN"/>
        </w:rPr>
        <w:t>医疗机构传染病预检分诊管理办法</w:t>
      </w:r>
      <w:bookmarkEnd w:id="292"/>
    </w:p>
    <w:p>
      <w:pPr>
        <w:pStyle w:val="37"/>
        <w:widowControl w:val="0"/>
        <w:tabs>
          <w:tab w:val="left" w:pos="0"/>
        </w:tabs>
        <w:wordWrap/>
        <w:overflowPunct w:val="0"/>
        <w:spacing w:before="0" w:beforeAutospacing="0" w:after="0" w:afterAutospacing="0" w:line="560" w:lineRule="exact"/>
        <w:ind w:left="640" w:leftChars="200" w:right="525" w:rightChars="164" w:firstLine="0" w:firstLineChars="0"/>
        <w:jc w:val="both"/>
        <w:textAlignment w:val="auto"/>
        <w:rPr>
          <w:rFonts w:hint="eastAsia" w:ascii="宋体" w:hAnsi="宋体" w:eastAsia="宋体" w:cs="宋体"/>
          <w:bCs/>
          <w:kern w:val="2"/>
          <w:sz w:val="44"/>
          <w:szCs w:val="44"/>
          <w:lang w:val="en-US" w:eastAsia="zh-CN" w:bidi="ar-SA"/>
        </w:rPr>
      </w:pPr>
      <w:r>
        <w:rPr>
          <w:rFonts w:hint="eastAsia" w:ascii="宋体" w:hAnsi="宋体" w:eastAsia="仿宋_GB2312" w:cs="仿宋_GB2312"/>
          <w:color w:val="000000"/>
          <w:sz w:val="32"/>
          <w:szCs w:val="32"/>
        </w:rPr>
        <w:br w:type="textWrapping"/>
      </w:r>
      <w:r>
        <w:rPr>
          <w:rFonts w:hint="eastAsia" w:ascii="楷体" w:hAnsi="楷体" w:eastAsia="楷体" w:cs="楷体"/>
          <w:color w:val="000000"/>
          <w:sz w:val="32"/>
          <w:szCs w:val="32"/>
          <w:lang w:eastAsia="zh-CN"/>
        </w:rPr>
        <w:t>（</w:t>
      </w:r>
      <w:r>
        <w:rPr>
          <w:rFonts w:hint="eastAsia" w:ascii="楷体" w:hAnsi="楷体" w:eastAsia="楷体" w:cs="楷体"/>
          <w:kern w:val="0"/>
          <w:sz w:val="32"/>
          <w:szCs w:val="32"/>
          <w:lang w:bidi="ar-SA"/>
        </w:rPr>
        <w:t>2004年12月16日卫生部部务会议讨论通过，2005年2月28日中华人民共和国卫生部令第41号发布，自发布之日起施行</w:t>
      </w:r>
      <w:r>
        <w:rPr>
          <w:rFonts w:hint="eastAsia" w:ascii="楷体" w:hAnsi="楷体" w:eastAsia="楷体" w:cs="楷体"/>
          <w:kern w:val="0"/>
          <w:sz w:val="32"/>
          <w:szCs w:val="32"/>
          <w:lang w:eastAsia="zh-CN" w:bidi="ar-SA"/>
        </w:rPr>
        <w:t>）</w:t>
      </w:r>
      <w:r>
        <w:rPr>
          <w:rFonts w:hint="eastAsia" w:ascii="宋体" w:hAnsi="宋体" w:eastAsia="仿宋_GB2312" w:cs="仿宋_GB2312"/>
          <w:kern w:val="0"/>
          <w:sz w:val="32"/>
          <w:szCs w:val="32"/>
          <w:lang w:bidi="ar-SA"/>
        </w:rPr>
        <w:br w:type="textWrapping"/>
      </w:r>
    </w:p>
    <w:p>
      <w:pPr>
        <w:widowControl w:val="0"/>
        <w:numPr>
          <w:ilvl w:val="0"/>
          <w:numId w:val="0"/>
        </w:numPr>
        <w:wordWrap/>
        <w:overflowPunct w:val="0"/>
        <w:spacing w:beforeAutospacing="0" w:afterAutospacing="0" w:line="560" w:lineRule="exact"/>
        <w:ind w:firstLine="640" w:firstLineChars="200"/>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仿宋_GB2312" w:cs="仿宋_GB2312"/>
          <w:color w:val="000000"/>
          <w:sz w:val="32"/>
          <w:szCs w:val="32"/>
        </w:rPr>
        <w:t>　为规范医疗机构传染病预检、分诊工作，有效控制传染病疫情，防止医疗机构内交叉感染，保障人民群众身体健康和生命安全，根据《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》第</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"javascript:SLC(54998,52)"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五十二条</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医疗机构应当建立传染病预检、分诊制度。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二级以上综合医院应当设立感染性疾病科，具体负责本医疗机构传染病的分诊工作，并对本医疗机构的传染病预检、分诊工作进行组织管理。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没有设立感染性疾病科的医疗机构应当设立传染病分诊点。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感染性疾病科和分诊点应当标识明确，相对独立，通风良好，流程合理，具有消毒隔离条件和必要的防护用品。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医疗机构各科室的医师在接诊过程中，应当注意询问病人有关的流行病学史、职业史，结合病人的主诉、病史、症状和体征等对来诊的病人进行传染病的预检。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经预检为传染病病人或者疑似传染病病人的，应当将病人分诊至感染性疾病科或者分诊点就诊，同时对接诊处采取必要的消毒措施。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医疗机构应当根据传染病的流行季节、周期和流行趋势做好特定传染病的预检、分诊工作。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医疗机构应当在接到卫生部和省、自治区、直辖市人民政府发布特定传染病预警信息后，或者按照当地卫生行政部门的要求，加强特定传染病的预检、分诊工作。必要时，设立相对独立的针对特定传染病的预检处，引导就诊病人首先到预检处检诊，初步排除特定传染病后，再到相应的普通科室就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对呼吸道等特殊传染病病人或者疑似病人，医疗机构应当依法采取隔离或者控制传播措施，并按照规定对病人的陪同人员和其他密切接触人员采取医学观察和其他必要的预防措施。</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　</w:t>
      </w:r>
      <w:r>
        <w:rPr>
          <w:rFonts w:hint="eastAsia" w:ascii="宋体" w:hAnsi="宋体" w:eastAsia="仿宋_GB2312" w:cs="仿宋_GB2312"/>
          <w:color w:val="000000"/>
          <w:sz w:val="32"/>
          <w:szCs w:val="32"/>
        </w:rPr>
        <w:t>医疗机构不具备传染病救治能力时，应当及时将病人转诊到具备救治能力的医疗机构诊疗，并将病历资料复印件转至相应的医疗机构。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转诊传染病病人或疑似传染病病人时，应当按照当地卫生行政部门的规定使用专用车辆。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感染性疾病科和分诊点应当采取标准防护措施，按照规范严格消毒，并按照《</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"javascript:SLC(47103,0)"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医疗废物管理条例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》的规定处理医疗废物。</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医疗机构应当定期对医务人员进行传染病防治知识的培训，培训应当包括传染病防治的法律、法规以及传染病流行动态、诊断、治疗、预防、职业暴露的预防和处理等内容。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从事传染病预检、分诊的医务人员应当严格遵守卫生管理法律、法规和有关规定，认真执行临床技术操作规范、常规以及有关工作制度。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各级卫生行政部门应当加强对医疗机构预检分诊工作的监督管理，对违反《</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"javascript:SLC(54998,0)"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》等有关法律、法规和本办法的，应当依法查处。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　</w:t>
      </w:r>
      <w:r>
        <w:rPr>
          <w:rFonts w:hint="eastAsia" w:ascii="宋体" w:hAnsi="宋体" w:eastAsia="仿宋_GB2312" w:cs="仿宋_GB2312"/>
          <w:color w:val="000000"/>
          <w:sz w:val="32"/>
          <w:szCs w:val="32"/>
        </w:rPr>
        <w:t>本办法自发布之日起施行。</w:t>
      </w: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293" w:name="_Toc2938"/>
      <w:r>
        <w:rPr>
          <w:rFonts w:hint="eastAsia" w:ascii="宋体" w:hAnsi="宋体" w:eastAsia="宋体" w:cs="宋体"/>
          <w:sz w:val="44"/>
          <w:szCs w:val="44"/>
        </w:rPr>
        <w:t>医院感染管理办法</w:t>
      </w:r>
      <w:bookmarkEnd w:id="293"/>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both"/>
        <w:textAlignment w:val="auto"/>
        <w:rPr>
          <w:rFonts w:hint="eastAsia" w:ascii="楷体" w:hAnsi="楷体" w:eastAsia="楷体" w:cs="楷体"/>
          <w:sz w:val="32"/>
          <w:szCs w:val="32"/>
        </w:rPr>
      </w:pPr>
      <w:r>
        <w:rPr>
          <w:rFonts w:hint="eastAsia" w:ascii="楷体" w:hAnsi="楷体" w:eastAsia="楷体" w:cs="楷体"/>
          <w:sz w:val="32"/>
          <w:szCs w:val="32"/>
        </w:rPr>
        <w:t>（2006年6月15日中华人民共和国卫生部部务会议通过</w:t>
      </w:r>
      <w:r>
        <w:rPr>
          <w:rFonts w:hint="eastAsia" w:ascii="楷体" w:hAnsi="楷体" w:eastAsia="楷体" w:cs="楷体"/>
          <w:sz w:val="32"/>
          <w:szCs w:val="32"/>
          <w:lang w:val="en-US" w:eastAsia="zh-CN"/>
        </w:rPr>
        <w:t xml:space="preserve"> 2006年7月6日</w:t>
      </w:r>
      <w:r>
        <w:rPr>
          <w:rFonts w:hint="eastAsia" w:ascii="楷体" w:hAnsi="楷体" w:eastAsia="楷体" w:cs="楷体"/>
          <w:sz w:val="32"/>
          <w:szCs w:val="32"/>
        </w:rPr>
        <w:t>中华人民共和国卫生部令第48号</w:t>
      </w:r>
      <w:r>
        <w:rPr>
          <w:rFonts w:hint="eastAsia" w:ascii="楷体" w:hAnsi="楷体" w:eastAsia="楷体" w:cs="楷体"/>
          <w:sz w:val="32"/>
          <w:szCs w:val="32"/>
          <w:lang w:val="en-US" w:eastAsia="zh-CN"/>
        </w:rPr>
        <w:t xml:space="preserve">公布 </w:t>
      </w:r>
      <w:r>
        <w:rPr>
          <w:rFonts w:hint="eastAsia" w:ascii="楷体" w:hAnsi="楷体" w:eastAsia="楷体" w:cs="楷体"/>
          <w:sz w:val="32"/>
          <w:szCs w:val="32"/>
        </w:rPr>
        <w:t>自2006年9月1日起施行）</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为加强医院感染管理，有效预防和控制医院感染，提高医疗质量，保证医疗安全，根据《传染病防治法》、《医疗机构管理条例》和《突发公共卫生事件应急条例》等法律、行政法规的规定，制定本办法。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医院感染管理是各级卫生行政部门、医疗机构及医务人员针对诊疗活动中存在的医院感染、医源性感染及相关的危险因素进行的预防、诊断和控制活动。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各级各类医疗机构应当严格按照本办法的规定实施医院感染管理工作。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医务人员的职业卫生防护，按照《职业病防治法》及其配套规章和标准的有关规定执行。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卫生部负责全国医院感染管理的监督管理工作。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县级以上地方人民政府卫生行政部门负责本行政区域内医院感染管理的监督管理工作。</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组织管理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各级各类医疗机构应当建立医院感染管理责任制，制定并落实医院感染管理的规章制度和工作规范，严格执行有关技术操作规范和工作标准，有效预防和控制医院感染，防止传染病病原体、耐药菌、条件致病菌及其他病原微生物的传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住院床位总数在100张以上的医院应当设立医院感染管理委员会和独立的医院感染管理部门。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住院床位总数在100张以下的医院应当指定分管医院感染管理工作的部门。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其他医疗机构应当有医院感染管理专（兼）职人员。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第七条 </w:t>
      </w:r>
      <w:r>
        <w:rPr>
          <w:rFonts w:hint="eastAsia" w:ascii="仿宋" w:hAnsi="仿宋" w:eastAsia="仿宋" w:cs="仿宋"/>
          <w:sz w:val="32"/>
          <w:szCs w:val="32"/>
        </w:rPr>
        <w:t>医院感染管理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医院感染管理委员会的职责是：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（一）认真贯彻医院感染管理方面的法律法规及技术规范、标准，制定本医院预防和控制医院感染的规章制度、医院感染诊断标准并监督实施；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（二）根据预防医院感染和卫生学要求，对本医院的建筑设计、重点科室建设的基本标准、基本设施和工作流程进行审查并提出意见；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（三）研究并确定本医院的医院感染管理工作计划，并对计划的实施进行考核和评价；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（四）研究并确定本医院的医院感染重点部门、重点环节、重点流程、危险因素以及采取的干预措施，明确各有关部门、人员在预防和控制医院感染工作中的责任；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（五）研究并制定本医院发生医院感染暴发及出现不明原因传染性疾病或者特殊病原体感染病例等事件时的控制预案；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（六）建立会议制度，定期研究、协调和解决有关医院感染管理方面的问题；</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（七）根据本医院病原体特点和耐药现状，配合药事管理委员会提出合理使用抗菌药物的指导意见；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（八）其他有关医院感染管理的重要事宜。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医院感染管理部门、分管部门及医院感染管理专（兼）职人员具体负责医院感染预防与控制方面的管理和业务工作。主要职责是：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（一）对有关预防和控制医院感染管理规章制度的落实情况进行检查和指导；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（二）对医院感染及其相关危险因素进行监测、分析和反馈，针对问题提出控制措施并指导实施；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（三）对医院感染发生状况进行调查、统计分析，并向医院感染管理委员会或者医疗机构负责人报告；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（四）对医院的清洁、消毒灭菌与隔离、无菌操作技术、医疗废物管理等工作提供指导；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（五）对传染病的医院感染控制工作提供指导；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（六）对医务人员有关预防医院感染的职业卫生安全防护工作提供指导；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（七）对医院感染暴发事件进行报告和调查分析，提出控制措施并协调、组织有关部门进行处理；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（八）对医务人员进行预防和控制医院感染的培训工作；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（九）参与抗菌药物临床应用的管理工作；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（十）对消毒药械和一次性使用医疗器械、器具的相关证明进行审核；</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（十一）组织开展医院感染预防与控制方面的科研工作；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（十二）完成医院感染管理委员会或者医疗机构负责人交办的其他工作。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卫生部成立医院感染预防与控制专家组，成员由医院感染管理、疾病控制、传染病学、临床检验、流行病学、消毒学、临床药学、护理学等专业的专家组成。主要职责是：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（一）研究起草有关医院感染预防与控制、医院感染诊断的技术性标准和规范；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（二）对全国医院感染预防与控制工作进行业务指导；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（三）对全国医院感染发生状况及危险因素进行调查、分析；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（四）对全国重大医院感染事件进行调查和业务指导；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（五）完成卫生部交办的其他工作。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省级人民政府卫生行政部门成立医院感染预防与控制专家组，负责指导本地区医院感染预防与控制的技术性工作。</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预防与控制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第十一条 </w:t>
      </w:r>
      <w:r>
        <w:rPr>
          <w:rFonts w:hint="eastAsia" w:ascii="仿宋" w:hAnsi="仿宋" w:eastAsia="仿宋" w:cs="仿宋"/>
          <w:sz w:val="32"/>
          <w:szCs w:val="32"/>
        </w:rPr>
        <w:t>医疗机构应当按照有关医院感染管理的规章制度和技术规范，加强医院感染的预防与控制工作。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医疗机构应当按照《消毒管理办法》，严格执行医疗器械、器具的消毒工作技术规范，并达到以下要求：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（一）进入人体组织、无菌器官的医疗器械、器具和物品必须达到灭菌水平；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（二）接触皮肤、粘膜的医疗器械、器具和物品必须达到消毒水平；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（三）各种用于注射、穿刺、采血等有创操作的医疗器具必须一用一灭菌。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医疗机构使用的消毒药械、一次性医疗器械和器具应当符合国家有关规定。一次性使用的医疗器械、器具不得重复使用。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第十三条 </w:t>
      </w:r>
      <w:r>
        <w:rPr>
          <w:rFonts w:hint="eastAsia" w:ascii="仿宋" w:hAnsi="仿宋" w:eastAsia="仿宋" w:cs="仿宋"/>
          <w:sz w:val="32"/>
          <w:szCs w:val="32"/>
        </w:rPr>
        <w:t>医疗机构应当制定具体措施，保证医务人员的手卫生、诊疗环境条件、无菌操作技术和职业卫生防护工作符合规定要求，对医院感染的危险因素进行控制。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医疗机构应当严格执行隔离技术规范，根据病原体传播途径，采取相应的隔离措施。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第十五条 </w:t>
      </w:r>
      <w:r>
        <w:rPr>
          <w:rFonts w:hint="eastAsia" w:ascii="仿宋" w:hAnsi="仿宋" w:eastAsia="仿宋" w:cs="仿宋"/>
          <w:sz w:val="32"/>
          <w:szCs w:val="32"/>
        </w:rPr>
        <w:t>医疗机构应当制定医务人员职业卫生防护工作的具体措施，提供必要的防护物品，保障医务人员的职业健康。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医疗机构应当严格按照《抗菌药物临床应用指导原则》，加强抗菌药物临床使用和耐药菌监测管理。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第十七条 </w:t>
      </w:r>
      <w:r>
        <w:rPr>
          <w:rFonts w:hint="eastAsia" w:ascii="仿宋" w:hAnsi="仿宋" w:eastAsia="仿宋" w:cs="仿宋"/>
          <w:sz w:val="32"/>
          <w:szCs w:val="32"/>
        </w:rPr>
        <w:t>医疗机构应当按照医院感染诊断标准及时诊断医院感染病例，建立有效的医院感染监测制度，分析医院感染的危险因素，并针对导致医院感染的危险因素，实施预防与控制措施。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医疗机构应当及时发现医院感染病例和医院感染的暴发，分析感染源、感染途径，采取有效的处理和控制措施，积极救治患者。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医疗机构经调查证实发生以下情形时，应当于12小时内向所在地的县级地方人民政府卫生行政部门报告，并同时向所在地疾病预防控制机构报告。所在地的县级地方人民政府卫生行政部门确认后，应当于24小时内逐级上报至省级人民政府卫生行政部门。省级人民政府卫生行政部门审核后，应当在24小时内上报至卫生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（一）5例以上医院感染暴发；</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（二）由于医院感染暴发直接导致患者死亡；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（三）由于医院感染暴发导致3人以上人身损害后果。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医疗机构发生以下情形时，应当按照《国家突发公共卫生事件相关信息报告管理工作规范（试行）》的要求进行报告：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（一）10例以上的医院感染暴发事件；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（二）发生特殊病原体或者新发病原体的医院感染；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（三）可能造成重大公共影响或者严重后果的医院感染。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医疗机构发生的医院感染属于法定传染病的，应当按照《中华人民共和国传染病防治法》和《国家突发公共卫生事件应急预案》的规定进行报告和处理。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医疗机构发生医院感染暴发时，所在地的疾病预防控制机构应当及时进行流行病学调查，查找感染源、感染途径、感染因素，采取控制措施，防止感染源的传播和感染范围的扩大。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卫生行政部门接到报告，应当根据情况指导医疗机构进行医院感染的调查和控制工作，并可以组织提供相应的技术支持。</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人员培训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各级卫生行政部门和医疗机构应当重视医院感染管理的学科建设，建立专业人才培养制度，充分发挥医院感染专业技术人员在预防和控制医院感染工作中的作用。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省级人民政府卫生行政部门应当建立医院感染专业人员岗位规范化培训和考核制度，加强继续教育，提高医院感染专业人员的业务技术水平。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医疗机构应当制定对本机构工作人员的培训计划，对全体工作人员进行医院感染相关法律法规、医院感染管理相关工作规范和标准、专业技术知识的培训。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第二十六条 </w:t>
      </w:r>
      <w:r>
        <w:rPr>
          <w:rFonts w:hint="eastAsia" w:ascii="仿宋" w:hAnsi="仿宋" w:eastAsia="仿宋" w:cs="仿宋"/>
          <w:sz w:val="32"/>
          <w:szCs w:val="32"/>
        </w:rPr>
        <w:t>医院感染专业人员应当具备医院感染预防与控制工作的专业知识，并能够承担医院感染管理和业务技术工作。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医务人员应当掌握与本职工作相关的医院感染预防与控制方面的知识，落实医院感染管理规章制度、工作规范和要求。工勤人员应当掌握有关预防和控制医院感染的基础卫生学和消毒隔离知识，并在工作中正确运用。</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监督管理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县级以上地方人民政府卫生行政部门应当按照有关法律法规和本办法的规定，对所辖区域的医疗机构进行监督检查。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对医疗机构监督检查的主要内容是：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（一）医院感染管理的规章制度及落实情况；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（二）针对医院感染危险因素的各项工作和控制措施；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（三）消毒灭菌与隔离、医疗废物管理及医务人员职业卫生防护工作状况；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（四）医院感染病例和医院感染暴发的监测工作情况；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（五）现场检查。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卫生行政部门在检查中发现医疗机构存在医院感染隐患时，应当责令限期整改或者暂时关闭相关科室或者暂停相关诊疗科目。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第三十一条</w:t>
      </w:r>
      <w:r>
        <w:rPr>
          <w:rFonts w:hint="eastAsia" w:ascii="仿宋" w:hAnsi="仿宋" w:eastAsia="仿宋" w:cs="仿宋"/>
          <w:sz w:val="32"/>
          <w:szCs w:val="32"/>
        </w:rPr>
        <w:t xml:space="preserve"> 医疗机构对卫生行政部门的检查、调查取证等工作，应当予以配合，不得拒绝和阻碍，不得提供虚假材料。</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罚则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县级以上地方人民政府卫生行政部门未按照本办法的规定履行监督管理和对医院感染暴发事件的报告、调查处理职责，造成严重后果的，对卫生行政主管部门主要负责人、直接责任人和相关责任人予以降级或者撤职的行政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医疗机构违反本办法，有下列行为之一的，由县级以上地方人民政府卫生行政部门责令改正，逾期不改的，给予警告并通报批评；情节严重的，对主要负责人和直接责任人给予降级或者撤职的行政处分：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（一）未建立或者未落实医院感染管理的规章制度、工作规范；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（二）未设立医院感染管理部门、分管部门以及指定专（兼）职人员负责医院感染预防与控制工作；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（三）违反对医疗器械、器具的消毒工作技术规范；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（四）违反无菌操作技术规范和隔离技术规范；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（五）未对消毒药械和一次性医疗器械、器具的相关证明进行审核；</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（六）未对医务人员职业暴露提供职业卫生防护。</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医疗机构违反本办法规定，未采取预防和控制措施或者发生医院感染未及时采取控制措施，造成医院感染暴发、传染病传播或者其他严重后果的，对负有责任的主管人员和直接责任人员给予降级、撤职、开除的行政处分；情节严重的，依照《传染病防治法》第六十九条规定，可以依法吊销有关责任人员的执业证书；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医疗机构发生医院感染暴发事件未按本办法规定报告的，由县级以上地方人民政府卫生行政部门通报批评；造成严重后果的，对负有责任的主管人员和其他直接责任人员给予降级、撤职、开除的处分。</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本办法中下列用语的含义：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医院感染：指住院病人在医院内获得的感染，包括在住院期间发生的感染和在医院内获得出院后发生的感染，但不包括入院前已开始或者入院时已处于潜伏期的感染。医院工作人员在医院内获得的感染也属医院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（二）医源性感染：指在医学服务中，因病原体传播引起的感染。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（三）医院感染暴发：是指在医疗机构或其科室的患者中，短时间内发生3例以上同种同源感染病例的现象。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（四）消毒：指用化学、物理、生物的方法杀灭或者消除环境中的病原微生物。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（五）灭菌：杀灭或者消除传播媒介上的一切微生物，包括致病微生物和非致病微生物，也包括细菌芽胞和真菌孢子。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第三十七条 </w:t>
      </w:r>
      <w:r>
        <w:rPr>
          <w:rFonts w:hint="eastAsia" w:ascii="仿宋" w:hAnsi="仿宋" w:eastAsia="仿宋" w:cs="仿宋"/>
          <w:sz w:val="32"/>
          <w:szCs w:val="32"/>
        </w:rPr>
        <w:t>中国人民解放军医疗机构的医院感染管理工作，由中国人民解放军卫生部门归口管理。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采供血机构与疾病预防控制机构的医源性感染预防与控制管理参照本办法。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本办法自2006年9月1日起施行，原2000年11月30日颁布的《医院感染管理规范（试行）》同时废止。</w:t>
      </w: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294" w:name="_Toc26420"/>
      <w:r>
        <w:rPr>
          <w:rFonts w:hint="eastAsia" w:ascii="宋体" w:hAnsi="宋体" w:eastAsia="宋体" w:cs="Arial"/>
          <w:bCs/>
          <w:sz w:val="44"/>
          <w:szCs w:val="44"/>
          <w:lang w:val="en-US" w:eastAsia="zh-CN"/>
        </w:rPr>
        <w:t>突发公共卫生事件交通应急规定</w:t>
      </w:r>
      <w:bookmarkEnd w:id="294"/>
    </w:p>
    <w:p>
      <w:pPr>
        <w:widowControl w:val="0"/>
        <w:wordWrap/>
        <w:overflowPunct w:val="0"/>
        <w:spacing w:beforeAutospacing="0" w:afterAutospacing="0" w:line="560" w:lineRule="exact"/>
        <w:ind w:left="640" w:leftChars="200" w:right="525" w:rightChars="164" w:firstLine="0" w:firstLineChars="0"/>
        <w:jc w:val="both"/>
        <w:textAlignment w:val="auto"/>
        <w:rPr>
          <w:rFonts w:hint="eastAsia"/>
          <w:lang w:val="en-US" w:eastAsia="zh-CN"/>
        </w:rPr>
      </w:pPr>
      <w:r>
        <w:rPr>
          <w:rFonts w:hint="eastAsia" w:ascii="宋体" w:hAnsi="宋体" w:eastAsia="仿宋_GB2312" w:cs="仿宋_GB2312"/>
          <w:color w:val="000000"/>
          <w:sz w:val="32"/>
          <w:szCs w:val="32"/>
        </w:rPr>
        <w:br w:type="textWrapping"/>
      </w:r>
      <w:r>
        <w:rPr>
          <w:rFonts w:hint="eastAsia" w:ascii="楷体" w:hAnsi="楷体" w:eastAsia="楷体" w:cs="楷体"/>
          <w:color w:val="000000"/>
          <w:sz w:val="32"/>
          <w:szCs w:val="32"/>
          <w:lang w:eastAsia="zh-CN"/>
        </w:rPr>
        <w:t>（</w:t>
      </w:r>
      <w:r>
        <w:rPr>
          <w:rFonts w:hint="eastAsia" w:ascii="楷体" w:hAnsi="楷体" w:eastAsia="楷体" w:cs="楷体"/>
          <w:color w:val="000000"/>
          <w:sz w:val="32"/>
          <w:szCs w:val="32"/>
        </w:rPr>
        <w:t>2003年11月25日交通部第15次部务会议通过，中华人民共和国卫生部、中华人民共和国交通部令2004年第2号公布，自2004年5月1日起施行</w:t>
      </w:r>
      <w:r>
        <w:rPr>
          <w:rFonts w:hint="eastAsia" w:ascii="楷体" w:hAnsi="楷体" w:eastAsia="楷体" w:cs="楷体"/>
          <w:color w:val="000000"/>
          <w:sz w:val="32"/>
          <w:szCs w:val="32"/>
          <w:lang w:eastAsia="zh-CN"/>
        </w:rPr>
        <w:t>）</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t>第一章　总则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sz w:val="32"/>
          <w:szCs w:val="32"/>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第一条</w:t>
      </w:r>
      <w:r>
        <w:rPr>
          <w:rFonts w:hint="eastAsia" w:ascii="宋体" w:hAnsi="宋体" w:eastAsia="仿宋_GB2312" w:cs="仿宋_GB2312"/>
          <w:color w:val="000000"/>
          <w:sz w:val="32"/>
          <w:szCs w:val="32"/>
        </w:rPr>
        <w:t>　为了有效预防、及时控制和消除突发公共卫生事件的危害，防止重大传染病疫情通过车辆、船舶及其乘运人员、货物传播流行，保障旅客身体健康与生命安全，保证突发公共卫生事件应急物资及时运输，维护正常的社会秩序，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"javascript:SLC(4217,0)"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"javascript:SLC(5495,0)"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中华人民共和国传染病防治法实施办法</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"javascript:SLC(45727,0)"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突发公共卫生事件应急条例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"javascript:SLC(21310,0)"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国内交通卫生检疫条例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》的有关规定，制定本规定。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第二条</w:t>
      </w:r>
      <w:r>
        <w:rPr>
          <w:rFonts w:hint="eastAsia" w:ascii="宋体" w:hAnsi="宋体" w:eastAsia="仿宋_GB2312" w:cs="仿宋_GB2312"/>
          <w:color w:val="000000"/>
          <w:sz w:val="32"/>
          <w:szCs w:val="32"/>
        </w:rPr>
        <w:t xml:space="preserve">　本规定所称突发公共卫生事件（以下简称突发事件），是指突然发生，造成或者可能造成社会公众健康严重损害的重大传染病疫情、群体性不明原因疾病、重大食物和职业中毒以及其他严重影响公众健康的事件。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本规定所称重大传染病疫情，是指根据《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"javascript:SLC(45727,0)"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突发公共卫生事件应急条例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》有关规定确定的传染病疫情。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本规定所称交通卫生检疫，是指根据《</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"javascript:SLC(21310,0)"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国内交通卫生检疫条例</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》对车船、港站、乘运人员和货物等实施的卫生检验、紧急卫生处理、紧急控制、临时隔离、医学检查和留验以及其他应急卫生防范、控制、处置措施。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本规定所称检疫传染病病人、疑似检疫传染病病人，是指国务院确定并公布的检疫传染病的病人、疑似传染病病人。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本规定所称车船，是指从事道路运输、水路运输活动的客车、货车、客船（包括客渡船）和货船。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本规定所称港站，是指提供停靠车船、上下旅客、装卸货物的场所，包括汽车客运站、货运站、港口客运站、货运码头、港口堆场和仓库等。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本规定所称乘运人员，是指车船上的所有人员，包括车辆驾驶人员和乘务人员、船员、旅客等。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第三条</w:t>
      </w:r>
      <w:r>
        <w:rPr>
          <w:rFonts w:hint="eastAsia" w:ascii="宋体" w:hAnsi="宋体" w:eastAsia="仿宋_GB2312" w:cs="仿宋_GB2312"/>
          <w:color w:val="000000"/>
          <w:sz w:val="32"/>
          <w:szCs w:val="32"/>
        </w:rPr>
        <w:t xml:space="preserve">　突发事件交通应急工作，应当遵循预防为主、常备不懈的方针，贯彻统一领导、分级负责、反应及时、措施果断、依靠科学、加强合作的原则，在确保控制重大传染病病源传播和蔓延的前提下，做到交通不中断、客流不中断、货流不中断。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第四条</w:t>
      </w:r>
      <w:r>
        <w:rPr>
          <w:rFonts w:hint="eastAsia" w:ascii="宋体" w:hAnsi="宋体" w:eastAsia="仿宋_GB2312" w:cs="仿宋_GB2312"/>
          <w:color w:val="000000"/>
          <w:sz w:val="32"/>
          <w:szCs w:val="32"/>
        </w:rPr>
        <w:t xml:space="preserve">　交通部根据职责，依法负责全国突发事件交通应急工作。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县级以上地方人民政府交通行政主管部门在本部门的职责范围内，依法负责本行政区域内的突发事件交通应急工作。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突发事件发生后，县级以上地方人民政府交通行政主管部门设立突发事件应急处理指挥部，负责对突发事件交通应急处理工作的领导和指挥。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县级以上人民政府交通行政主管部门履行突发事件交通应急职责，应当与同级人民政府卫生行政主管部门密切配合，协调行动。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第五条</w:t>
      </w:r>
      <w:r>
        <w:rPr>
          <w:rFonts w:hint="eastAsia" w:ascii="宋体" w:hAnsi="宋体" w:eastAsia="仿宋_GB2312" w:cs="仿宋_GB2312"/>
          <w:color w:val="000000"/>
          <w:sz w:val="32"/>
          <w:szCs w:val="32"/>
        </w:rPr>
        <w:t xml:space="preserve">　县级以上人民政府交通行政主管部门应当建立和完善突发事件交通防范和应急责任制，保证突发事件交通应急工作的顺利进行。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第六条</w:t>
      </w:r>
      <w:r>
        <w:rPr>
          <w:rFonts w:hint="eastAsia" w:ascii="宋体" w:hAnsi="宋体" w:eastAsia="仿宋_GB2312" w:cs="仿宋_GB2312"/>
          <w:color w:val="000000"/>
          <w:sz w:val="32"/>
          <w:szCs w:val="32"/>
        </w:rPr>
        <w:t xml:space="preserve">　任何单位和个人有权对县级以上人民政府交通行政主管部门不履行突发事件交通应急处理职责，或者不按照规定履行职责的行为向其上级人民政府交通行政主管部门举报。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对报告在车船、港站发生的突发事件或者举报突发事件交通应急渎职行为有功的单位和个人，县级以上人民政府交通行政主管部门应当予以奖励。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仿宋_GB2312" w:cs="仿宋_GB2312"/>
          <w:color w:val="000000"/>
          <w:kern w:val="0"/>
          <w:sz w:val="32"/>
          <w:szCs w:val="32"/>
          <w:lang w:val="en-US" w:eastAsia="zh-CN"/>
        </w:rPr>
      </w:pPr>
      <w:r>
        <w:rPr>
          <w:rFonts w:hint="eastAsia" w:ascii="宋体" w:hAnsi="宋体" w:eastAsia="黑体" w:cs="黑体"/>
          <w:color w:val="000000"/>
          <w:kern w:val="2"/>
          <w:sz w:val="32"/>
          <w:szCs w:val="32"/>
          <w:lang w:val="en-US" w:eastAsia="zh-CN" w:bidi="ar-SA"/>
        </w:rPr>
        <w:t>第二章　预防和应急准备</w:t>
      </w:r>
      <w:r>
        <w:rPr>
          <w:rFonts w:hint="eastAsia" w:ascii="宋体" w:hAnsi="宋体" w:eastAsia="仿宋_GB2312" w:cs="仿宋_GB2312"/>
          <w:color w:val="000000"/>
          <w:kern w:val="0"/>
          <w:sz w:val="32"/>
          <w:szCs w:val="32"/>
          <w:lang w:val="en-US" w:eastAsia="zh-CN"/>
        </w:rPr>
        <w:t xml:space="preserve">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仿宋_GB2312" w:cs="仿宋_GB2312"/>
          <w:color w:val="000000"/>
          <w:kern w:val="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第七条</w:t>
      </w:r>
      <w:r>
        <w:rPr>
          <w:rFonts w:hint="eastAsia" w:ascii="宋体" w:hAnsi="宋体" w:eastAsia="仿宋_GB2312" w:cs="仿宋_GB2312"/>
          <w:color w:val="000000"/>
          <w:sz w:val="32"/>
          <w:szCs w:val="32"/>
        </w:rPr>
        <w:t xml:space="preserve">　县级以上人民政府交通行政主管部门应当结合本行政区域或者管辖范围的交通实际情况，制定突发事件交通应急预案。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道路运输经营者、水路运输经营者应当按照有关规定，建立卫生责任制度，制定各自的突发事件应急预案。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第八条</w:t>
      </w:r>
      <w:r>
        <w:rPr>
          <w:rFonts w:hint="eastAsia" w:ascii="宋体" w:hAnsi="宋体" w:eastAsia="仿宋_GB2312" w:cs="仿宋_GB2312"/>
          <w:color w:val="000000"/>
          <w:sz w:val="32"/>
          <w:szCs w:val="32"/>
        </w:rPr>
        <w:t xml:space="preserve">　制定突发事件交通应急预案，应当以突发事件的类别和快速反应的要求为依据，并征求同级人民政府卫生行政主管部门的意见。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为防范和处理重大传染病疫情突发事件制定的突发事件交通应急预案，应当包括以下主要内容：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（一）突发事件交通应急处理指挥部的组成和相关机构的职责；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（二）突发事件有关车船、港站重大传染病病人、疑似重大传染病病人和可能感染重大传染病病人的应急处理方案；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（三）突发事件有关污染车船、港站和污染物的应急处理方案；</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（四）突发事件有关人员群体、防疫人员和救护人员的运输方案；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（五）突发事件有关药品、医疗救护设备器械等紧急物资的运输方案；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（六）突发事件有关车船、港站、道路、航道、船闸的应急维护和应急管理方案；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（七）突发事件有关交通应急信息的收集、分析、报告、通报、宣传方案；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（八）突发事件有关应急物资、运力储备与调度方案；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（九）突发事件交通应急处理执行机构及其任务；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（十）突发事件交通应急处理人员的组织和培训方案；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（十一）突发事件交通应急处理工作的检查监督方案；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（十二）突发事件交通应急处理其他有关工作方案。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为防范和处理其他突发事件制定的突发事件交通应急预案，应当包括本条前款除第（二）项、第（三）项和第（八）项规定以外的内容，并包括突发事件交通应急设施、设备以及其他有关物资的储备与调度方案。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突发事件交通应急预案应当根据突发事件的变化和实施中出现的问题及时进行修订、补充。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第九条</w:t>
      </w:r>
      <w:r>
        <w:rPr>
          <w:rFonts w:hint="eastAsia" w:ascii="宋体" w:hAnsi="宋体" w:eastAsia="仿宋_GB2312" w:cs="仿宋_GB2312"/>
          <w:color w:val="000000"/>
          <w:sz w:val="32"/>
          <w:szCs w:val="32"/>
        </w:rPr>
        <w:t xml:space="preserve">　县级以上人民政府交通行政主管部门应当根据突发事件交通应急工作预案的要求，保证突发事件交通应急运力和有关物资储备。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第十条</w:t>
      </w:r>
      <w:r>
        <w:rPr>
          <w:rFonts w:hint="eastAsia" w:ascii="宋体" w:hAnsi="宋体" w:eastAsia="仿宋_GB2312" w:cs="仿宋_GB2312"/>
          <w:color w:val="000000"/>
          <w:sz w:val="32"/>
          <w:szCs w:val="32"/>
        </w:rPr>
        <w:t xml:space="preserve">　道路运输经营者、水路运输经营者应当按照国家有关规定，使客车、客船、客运站保持良好的卫生状况，消除车船、港站的病媒昆虫和鼠类以及其他染疫动物的危害。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第十一条</w:t>
      </w:r>
      <w:r>
        <w:rPr>
          <w:rFonts w:hint="eastAsia" w:ascii="宋体" w:hAnsi="宋体" w:eastAsia="仿宋_GB2312" w:cs="仿宋_GB2312"/>
          <w:color w:val="000000"/>
          <w:sz w:val="32"/>
          <w:szCs w:val="32"/>
        </w:rPr>
        <w:t xml:space="preserve">　县级以上人民政府交通行政主管部门应当开展突发事件交通应急知识的宣传教育，增强道路、水路运输从业人员和旅客对突发事件的防范意识和应对能力。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第十二条</w:t>
      </w:r>
      <w:r>
        <w:rPr>
          <w:rFonts w:hint="eastAsia" w:ascii="宋体" w:hAnsi="宋体" w:eastAsia="仿宋_GB2312" w:cs="仿宋_GB2312"/>
          <w:color w:val="000000"/>
          <w:sz w:val="32"/>
          <w:szCs w:val="32"/>
        </w:rPr>
        <w:t xml:space="preserve">　在车船、港站发生突发事件，县级以上人民政府交通行政主管部门应当协助同级人民政府卫生行政主管部门组织专家对突发事件进行综合评估，初步判断突发事件的类型，按照有关规定向省级以上人民政府提出是否启动突发事件应急预案的建议。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第十三条</w:t>
      </w:r>
      <w:r>
        <w:rPr>
          <w:rFonts w:hint="eastAsia" w:ascii="宋体" w:hAnsi="宋体" w:eastAsia="仿宋_GB2312" w:cs="仿宋_GB2312"/>
          <w:color w:val="000000"/>
          <w:sz w:val="32"/>
          <w:szCs w:val="32"/>
        </w:rPr>
        <w:t xml:space="preserve">　国务院或者省级人民政府决定突发事件应急预案启动后，突发事件发生地的县级以上人民政府交通行政主管部门应当根据突发事件的类别，立即启动相应的突发事件交通应急预案，并向社会公布有关突发事件交通应急预案。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第三章　应急信息报告</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第十四条　</w:t>
      </w:r>
      <w:r>
        <w:rPr>
          <w:rFonts w:hint="eastAsia" w:ascii="宋体" w:hAnsi="宋体" w:eastAsia="仿宋_GB2312" w:cs="仿宋_GB2312"/>
          <w:color w:val="000000"/>
          <w:sz w:val="32"/>
          <w:szCs w:val="32"/>
        </w:rPr>
        <w:t xml:space="preserve">县级以上人民政府交通行政主管部门应当建立突发事件交通应急值班制度、应急报告制度和应急举报制度，公布统一的突发事件报告、举报电话，保证突发事件交通应急信息畅通。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第十五条　</w:t>
      </w:r>
      <w:r>
        <w:rPr>
          <w:rFonts w:hint="eastAsia" w:ascii="宋体" w:hAnsi="宋体" w:eastAsia="仿宋_GB2312" w:cs="仿宋_GB2312"/>
          <w:color w:val="000000"/>
          <w:sz w:val="32"/>
          <w:szCs w:val="32"/>
        </w:rPr>
        <w:t xml:space="preserve">县级以上人民政府交通行政主管部门应当按有关规定向上级人民政府交通行政主管部门报告下列有关突发事件的情况：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（一）突发事件的实际发生情况；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（二）预防、控制和处理突发事件的情况；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（三）运输突发事件紧急物资的情况；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（四）保障交通畅通的情况；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（五）突发事件应急的其他有关情况。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道路运输经营者、水路运输经营者应当按有关规定向所在地县级人民政府交通行政主管部门和卫生行政主管部门报告有关突发事件的预防、控制、处理和紧急物资运输的有关情况。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第十六条</w:t>
      </w:r>
      <w:r>
        <w:rPr>
          <w:rFonts w:hint="eastAsia" w:ascii="宋体" w:hAnsi="宋体" w:eastAsia="仿宋_GB2312" w:cs="仿宋_GB2312"/>
          <w:color w:val="000000"/>
          <w:sz w:val="32"/>
          <w:szCs w:val="32"/>
        </w:rPr>
        <w:t xml:space="preserve">　县级以上人民政府交通行政主管部门接到有关突发事件的报告后，应当在接到报告后1小时内向上级人民政府交通行政主管部门和同级人民政府卫生行政主管部门报告，根据卫生行政主管部门的要求，立即采取有关预防和控制措施，并协助同级人民政府卫生行政主管部门组织有关人员对报告事项调查核实、确证，采取必要的控制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突发事件发生地的县级以上人民政府交通行政主管部门应当在首次初步调查结束后2小时内，向上一级人民政府交通行政主管部门报告突发事件的有关调查情况。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上级人民政府交通行政主管部门接到下级人民政府交通行政主管部门有关突发事件的报告后1小时内，向本交通行政主管部门的上一级人民政府交通行政主管部门报告。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突发事件发生地的县级以上地方人民政府交通行政主管部门，应当及时向毗邻和其他有关县级以上人民政府交通行政主管部门通报突发事件的有关情况。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2"/>
          <w:sz w:val="32"/>
          <w:szCs w:val="32"/>
          <w:lang w:val="en-US" w:eastAsia="zh-CN" w:bidi="ar-SA"/>
        </w:rPr>
        <w:t>第十七条</w:t>
      </w:r>
      <w:r>
        <w:rPr>
          <w:rFonts w:hint="eastAsia" w:ascii="宋体" w:hAnsi="宋体" w:eastAsia="仿宋_GB2312" w:cs="仿宋_GB2312"/>
          <w:color w:val="000000"/>
          <w:kern w:val="0"/>
          <w:sz w:val="32"/>
          <w:szCs w:val="32"/>
          <w:lang w:val="en-US" w:eastAsia="zh-CN"/>
        </w:rPr>
        <w:t>　</w:t>
      </w:r>
      <w:r>
        <w:rPr>
          <w:rFonts w:hint="eastAsia" w:ascii="宋体" w:hAnsi="宋体" w:eastAsia="仿宋_GB2312" w:cs="仿宋_GB2312"/>
          <w:color w:val="000000"/>
          <w:sz w:val="32"/>
          <w:szCs w:val="32"/>
        </w:rPr>
        <w:t xml:space="preserve">任何单位和个人不得隐瞒、缓报、谎报或者授意他人隐瞒、缓报、谎报有关突发事件和突发事件交通应急情况。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第四章　疫情应急处理</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第十八条</w:t>
      </w:r>
      <w:r>
        <w:rPr>
          <w:rFonts w:hint="eastAsia" w:ascii="宋体" w:hAnsi="宋体" w:eastAsia="仿宋_GB2312" w:cs="仿宋_GB2312"/>
          <w:color w:val="000000"/>
          <w:sz w:val="32"/>
          <w:szCs w:val="32"/>
        </w:rPr>
        <w:t xml:space="preserve">　重大传染病疫情发生后，县级以上人民政府交通行政主管部门应当按照省级人民政府依法确定的检疫传染病疫区以及对出入检疫传染病疫区的交通工具及其乘运人员、物资实施交通应急处理的决定，和同级人民政府卫生行政主管部门在客运站、客运渡口、路口等设立交通卫生检疫站或者留验站，依法实施交通卫生检疫。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第十九条</w:t>
      </w:r>
      <w:r>
        <w:rPr>
          <w:rFonts w:hint="eastAsia" w:ascii="宋体" w:hAnsi="宋体" w:eastAsia="仿宋_GB2312" w:cs="仿宋_GB2312"/>
          <w:color w:val="000000"/>
          <w:sz w:val="32"/>
          <w:szCs w:val="32"/>
        </w:rPr>
        <w:t xml:space="preserve">　重大传染病疫情发生后，县级以上人民政府交通行政主管部门应当及时将县级以上人民政府卫生行政主管部门通报的有关疫情通知有关道路运输经营者、水路运输经营者。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县级以上人民政府交通行政主管部门应当及时会同同级人民政府卫生行政主管部门对道路运输经营者、水路运输经营者以及乘运人员进行相应的卫生防疫基本知识的宣传教育。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第二十条</w:t>
      </w:r>
      <w:r>
        <w:rPr>
          <w:rFonts w:hint="eastAsia" w:ascii="宋体" w:hAnsi="宋体" w:eastAsia="仿宋_GB2312" w:cs="仿宋_GB2312"/>
          <w:color w:val="000000"/>
          <w:sz w:val="32"/>
          <w:szCs w:val="32"/>
        </w:rPr>
        <w:t xml:space="preserve">　重大传染病疫情发生后，道路运输经营者、水路运输经营者对车船、港站、货物应当按规定进行消毒或者进行其他必要的卫生处理，并经县级以上地方人民政府卫生行政主管部门疾病预防控制机构检疫合格，领取《交通卫生检疫合格证》后，方可投入营运或者进行运输。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《交通卫生检疫合格证》的印制、发放和使用，按照交通部与卫生部等国务院有关行政主管部门联合发布的《</w:t>
      </w:r>
      <w:r>
        <w:rPr>
          <w:rFonts w:hint="eastAsia" w:ascii="宋体" w:hAnsi="宋体" w:eastAsia="仿宋_GB2312" w:cs="仿宋_GB2312"/>
          <w:color w:val="000000"/>
          <w:sz w:val="32"/>
          <w:szCs w:val="32"/>
        </w:rPr>
        <w:fldChar w:fldCharType="begin"/>
      </w:r>
      <w:r>
        <w:rPr>
          <w:rFonts w:hint="eastAsia" w:ascii="宋体" w:hAnsi="宋体" w:eastAsia="仿宋_GB2312" w:cs="仿宋_GB2312"/>
          <w:color w:val="000000"/>
          <w:sz w:val="32"/>
          <w:szCs w:val="32"/>
        </w:rPr>
        <w:instrText xml:space="preserve"> HYPERLINK "javascript:SLC(23836,0)" </w:instrText>
      </w:r>
      <w:r>
        <w:rPr>
          <w:rFonts w:hint="eastAsia" w:ascii="宋体" w:hAnsi="宋体" w:eastAsia="仿宋_GB2312" w:cs="仿宋_GB2312"/>
          <w:color w:val="000000"/>
          <w:sz w:val="32"/>
          <w:szCs w:val="32"/>
        </w:rPr>
        <w:fldChar w:fldCharType="separate"/>
      </w:r>
      <w:r>
        <w:rPr>
          <w:rStyle w:val="27"/>
          <w:rFonts w:hint="eastAsia" w:ascii="宋体" w:hAnsi="宋体" w:eastAsia="仿宋_GB2312" w:cs="仿宋_GB2312"/>
          <w:color w:val="000000"/>
          <w:sz w:val="32"/>
          <w:szCs w:val="32"/>
        </w:rPr>
        <w:t>国内交通卫生检疫条例实施方案</w:t>
      </w:r>
      <w:r>
        <w:rPr>
          <w:rFonts w:hint="eastAsia" w:ascii="宋体" w:hAnsi="宋体" w:eastAsia="仿宋_GB2312" w:cs="仿宋_GB2312"/>
          <w:color w:val="000000"/>
          <w:sz w:val="32"/>
          <w:szCs w:val="32"/>
        </w:rPr>
        <w:fldChar w:fldCharType="end"/>
      </w:r>
      <w:r>
        <w:rPr>
          <w:rFonts w:hint="eastAsia" w:ascii="宋体" w:hAnsi="宋体" w:eastAsia="仿宋_GB2312" w:cs="仿宋_GB2312"/>
          <w:color w:val="000000"/>
          <w:sz w:val="32"/>
          <w:szCs w:val="32"/>
        </w:rPr>
        <w:t xml:space="preserve">》的有关规定执行。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第二十一条　</w:t>
      </w:r>
      <w:r>
        <w:rPr>
          <w:rFonts w:hint="eastAsia" w:ascii="宋体" w:hAnsi="宋体" w:eastAsia="仿宋_GB2312" w:cs="仿宋_GB2312"/>
          <w:color w:val="000000"/>
          <w:sz w:val="32"/>
          <w:szCs w:val="32"/>
        </w:rPr>
        <w:t xml:space="preserve">重大传染病疫情发生后，道路旅客运输经营者、水路旅客运输经营者应当组织对驾驶人员、乘务人员和船员进行健康检查，发现有检疫症状的，不得安排上车、上船。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第二十二条</w:t>
      </w:r>
      <w:r>
        <w:rPr>
          <w:rFonts w:hint="eastAsia" w:ascii="宋体" w:hAnsi="宋体" w:eastAsia="仿宋_GB2312" w:cs="仿宋_GB2312"/>
          <w:color w:val="000000"/>
          <w:kern w:val="0"/>
          <w:sz w:val="32"/>
          <w:szCs w:val="32"/>
          <w:lang w:val="en-US" w:eastAsia="zh-CN"/>
        </w:rPr>
        <w:t>　</w:t>
      </w:r>
      <w:r>
        <w:rPr>
          <w:rFonts w:hint="eastAsia" w:ascii="宋体" w:hAnsi="宋体" w:eastAsia="仿宋_GB2312" w:cs="仿宋_GB2312"/>
          <w:color w:val="000000"/>
          <w:sz w:val="32"/>
          <w:szCs w:val="32"/>
        </w:rPr>
        <w:t xml:space="preserve">重大传染病疫情发生后，道路运输经营者、水路运输经营者应当在车船、港站以及其他经营场所的显著位置张贴有关传染病预防和控制的宣传材料，并提醒旅客不得乘坐未取得《交通卫生检疫合格证》和道路旅客运输经营资格或者水路旅客运输经营资格的车辆、船舶，不得携带或者托运染疫行李和货物。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重大传染病疫情发生后，客车、客船应当在依法批准并符合突发事件交通应急预案要求的客运站、客运渡口上下旅客。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第二十三条</w:t>
      </w:r>
      <w:r>
        <w:rPr>
          <w:rFonts w:hint="eastAsia" w:ascii="宋体" w:hAnsi="宋体" w:eastAsia="仿宋_GB2312" w:cs="仿宋_GB2312"/>
          <w:color w:val="000000"/>
          <w:sz w:val="32"/>
          <w:szCs w:val="32"/>
        </w:rPr>
        <w:t xml:space="preserve">　重大传染病疫情发生后，旅客购买车票、船票，应当事先填写交通部会同有关部门统一制定的《旅客健康申报卡》。旅客填写确有困难的，由港站工作人员帮助填写。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客运站出售客票时，应当对《旅客健康申报卡》所有事项进行核实。没有按规定填写《旅客健康申报卡》的旅客，客运站不得售票。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途中需要上下旅客的，客车、客船应当进入中转客运站，从始发客运站乘坐车船的旅客，不得再次被要求填写《旅客健康申报卡》。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第二十四条</w:t>
      </w:r>
      <w:r>
        <w:rPr>
          <w:rFonts w:hint="eastAsia" w:ascii="宋体" w:hAnsi="宋体" w:eastAsia="仿宋_GB2312" w:cs="仿宋_GB2312"/>
          <w:color w:val="000000"/>
          <w:sz w:val="32"/>
          <w:szCs w:val="32"/>
        </w:rPr>
        <w:t xml:space="preserve">　重大传染病疫情发生后，旅客乘坐车船，应当接受交通卫生检疫，如被初验为检疫传染病病人或者疑似检疫传染病病人、可能感染检疫传染病病人以及国务院卫生行政主管部门规定需要采取应急控制措施的传染病病人、疑似传染病病人及其密切接触者，还应当接受留验站或者卫生行政主管部门疾病预防控制机构对其实施临时隔离、医学检查或者其他应急医学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客运站应当认真查验《旅客健康申报卡》和客票。对不填报《旅客健康申报卡》的旅客，应当拒绝其乘坐客车、客船，并说明理由</w:t>
      </w:r>
      <w:r>
        <w:rPr>
          <w:rFonts w:hint="eastAsia" w:ascii="宋体" w:hAnsi="宋体" w:eastAsia="仿宋_GB2312" w:cs="仿宋_GB2312"/>
          <w:color w:val="000000"/>
          <w:kern w:val="0"/>
          <w:sz w:val="32"/>
          <w:szCs w:val="32"/>
          <w:lang w:val="en-US" w:eastAsia="zh-CN"/>
        </w:rPr>
        <w:t xml:space="preserve">。 </w:t>
      </w:r>
      <w:r>
        <w:rPr>
          <w:rFonts w:hint="eastAsia" w:ascii="宋体" w:hAnsi="宋体" w:eastAsia="仿宋_GB2312" w:cs="仿宋_GB2312"/>
          <w:color w:val="000000"/>
          <w:kern w:val="0"/>
          <w:sz w:val="32"/>
          <w:szCs w:val="32"/>
          <w:lang w:val="en-US" w:eastAsia="zh-CN"/>
        </w:rPr>
        <w:br w:type="textWrapping"/>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sz w:val="32"/>
          <w:szCs w:val="32"/>
        </w:rPr>
        <w:t>第二十五条</w:t>
      </w:r>
      <w:r>
        <w:rPr>
          <w:rFonts w:hint="eastAsia" w:ascii="宋体" w:hAnsi="宋体" w:eastAsia="仿宋_GB2312" w:cs="仿宋_GB2312"/>
          <w:color w:val="000000"/>
          <w:sz w:val="32"/>
          <w:szCs w:val="32"/>
        </w:rPr>
        <w:t xml:space="preserve">　重大传染病疫情发生后，客运站应按车次或者航班将《旅客健康申报卡》交给旅客所乘坐车船的驾驶员或者船长、乘务员。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到达终点客运站后，驾驶员、船长或者乘务员应当将《旅客健康申报卡》交终点客运站，由终点客运站保存。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在中转客运站下车船的旅客，由该车船的驾驶员、船长或者乘务员将下车船旅客的《旅客健康申报卡》交中转客运站保存。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第二十六条</w:t>
      </w:r>
      <w:r>
        <w:rPr>
          <w:rFonts w:hint="eastAsia" w:ascii="宋体" w:hAnsi="宋体" w:eastAsia="仿宋_GB2312" w:cs="仿宋_GB2312"/>
          <w:color w:val="000000"/>
          <w:sz w:val="32"/>
          <w:szCs w:val="32"/>
        </w:rPr>
        <w:t xml:space="preserve">　车船上发现检疫传染病病人或者疑似检疫传染病病人、可能感染检疫传染病病人以及国务院卫生行政主管部门规定需要采取应急控制措施的传染病病人、疑似传染病病人及其密切接触者时，驾驶员或者船长应当组织有关人员依法采取下列临时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（一）以最快的方式通知前方停靠点，并向车船的所有人或者经营人和始发客运站报告；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对检疫传染病病人、疑似检疫传染病病人、可能感染检疫传染病病人以及国务院卫生行政主管部门确定的其他重大传染病病人、疑似重大传染病病人、可能感染重大传染病病人及与其密切接触者实施紧急卫生处理和临时隔离；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（三）封闭已被污染或者可能被污染的区域，禁止向外排放污物；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（四）将车船迅速驶向指定的停靠点，并将《旅客健康申报卡》、乘运人员名单移交当地县级以上地方人民政府交通行政主管部门；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对承运过检疫传染病病人、疑似检疫传染病病人、可能感染检疫传染病病人以及国务院卫生行政主管部门确定的其他重大传染病病人、疑似重大传染病病人、可能感染重大传染病病人及与其密切接触者的车船和可能被污染的停靠场所实施卫生处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车船的前方停靠点、车船的所有人或者经营人以及始发客运站接到有关报告后，应当立即向当地县级以上地方人民政府交通行政主管部门、卫生行政主管部门报告。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县级以上地方人民政府交通行政主管部门接到报告后，应当立即和同级人民政府卫生行政主管部门组织有关人员到达现场，采取相应的交通卫生检疫措施。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第二十七条</w:t>
      </w:r>
      <w:r>
        <w:rPr>
          <w:rFonts w:hint="eastAsia" w:ascii="宋体" w:hAnsi="宋体" w:eastAsia="仿宋_GB2312" w:cs="仿宋_GB2312"/>
          <w:color w:val="000000"/>
          <w:sz w:val="32"/>
          <w:szCs w:val="32"/>
        </w:rPr>
        <w:t xml:space="preserve">　县级以上人民政府交通行政主管部门发现正在行驶的车船载有检疫传染病病人或者疑似检疫传染病病人、可能感染检疫传染病病人以及国务院卫生行政主管部门规定需要采取应急控制措施的传染病病人、疑似传染病病人及其密切接触者，应当立即通知该客车、客船的所有人或者经营人，并通报该车船行驶路线相关的县级人民政府交通行政主管部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第二十八条</w:t>
      </w:r>
      <w:r>
        <w:rPr>
          <w:rFonts w:hint="eastAsia" w:ascii="宋体" w:hAnsi="宋体" w:eastAsia="仿宋_GB2312" w:cs="仿宋_GB2312"/>
          <w:color w:val="000000"/>
          <w:sz w:val="32"/>
          <w:szCs w:val="32"/>
        </w:rPr>
        <w:t xml:space="preserve">　对拒绝交通卫生检疫可能传播检疫传染病的车船、港站和其他停靠场所、乘运人员、运输货物，县级以上地方人民政府交通行政主管部门协助卫生行政主管部门，依法采取强制消毒或者其他必要的交通卫生检疫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第二十九条　</w:t>
      </w:r>
      <w:r>
        <w:rPr>
          <w:rFonts w:hint="eastAsia" w:ascii="宋体" w:hAnsi="宋体" w:eastAsia="仿宋_GB2312" w:cs="仿宋_GB2312"/>
          <w:color w:val="000000"/>
          <w:sz w:val="32"/>
          <w:szCs w:val="32"/>
        </w:rPr>
        <w:t xml:space="preserve">重大传染病疫情发生后，县级以上人民政府交通行政主管部门发现车船近期曾经载运过检疫传染病病人或者疑似检疫传染病病人、可能感染检疫传染病病人以及国务院卫生行政主管部门规定需要采取应急控制措施的传染病病人、疑似传染病病人及其密切接触者，应当立即将有关《旅客健康申报卡》送交卫生行政主管部门或者其指定的疾病预防控制机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第三十条</w:t>
      </w:r>
      <w:r>
        <w:rPr>
          <w:rFonts w:hint="eastAsia" w:ascii="宋体" w:hAnsi="宋体" w:eastAsia="仿宋_GB2312" w:cs="仿宋_GB2312"/>
          <w:color w:val="000000"/>
          <w:sz w:val="32"/>
          <w:szCs w:val="32"/>
        </w:rPr>
        <w:t xml:space="preserve">　参加重大传染病疫情交通应急处理的工作人员，应当按照有关突发事件交通应急预案的要求，采取卫生防护措施，并在专业卫生人员的指导下进行工作。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r>
        <w:rPr>
          <w:rFonts w:hint="eastAsia" w:ascii="宋体" w:hAnsi="宋体" w:eastAsia="黑体" w:cs="黑体"/>
          <w:color w:val="000000"/>
          <w:kern w:val="2"/>
          <w:sz w:val="32"/>
          <w:szCs w:val="32"/>
          <w:lang w:val="en-US" w:eastAsia="zh-CN"/>
        </w:rPr>
        <w:t>第五章　交通应急保障</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第三十一条</w:t>
      </w:r>
      <w:r>
        <w:rPr>
          <w:rFonts w:hint="eastAsia" w:ascii="宋体" w:hAnsi="宋体" w:eastAsia="仿宋_GB2312" w:cs="仿宋_GB2312"/>
          <w:color w:val="000000"/>
          <w:sz w:val="32"/>
          <w:szCs w:val="32"/>
        </w:rPr>
        <w:t xml:space="preserve">　突发事件交通应急预案启动后，县级以上人民政府交通行政主管部门应当加强对车船、港站、道路、航道、船闸、渡口的维护、检修，保证其经常处于良好的技术状态。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除因阻断检疫传染病传播途径需要或者其他法定事由并依照法定程序可以中断交通外，任何单位和个人不得以任何方式中断交通。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发现交通中断或者紧急运输受阻，应当迅速报告上一级人民政府交通行政主管部门和当地人民政府，并采取措施恢复交通。如难以迅速恢复交通，应当提请当地人民政府予以解决，或者提请上一级人民政府交通行政主管部门协助解决。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第三十二条</w:t>
      </w:r>
      <w:r>
        <w:rPr>
          <w:rFonts w:hint="eastAsia" w:ascii="宋体" w:hAnsi="宋体" w:eastAsia="仿宋_GB2312" w:cs="仿宋_GB2312"/>
          <w:color w:val="000000"/>
          <w:sz w:val="32"/>
          <w:szCs w:val="32"/>
        </w:rPr>
        <w:t xml:space="preserve">　在非检疫传染病疫区运行的车辆上发现检疫传染病病人、疑似检疫传染病病人、可能感染检疫传染病病人以及国务院卫生行政主管部门规定需要采取应急控制措施的传染病病人、疑似传染病病人及其密切接触者，由县级以上人民政府交通行政主管部门协助同级人民政府卫生行政主管部门依法决定对该车辆及其乘运人员、货物实施交通卫生检疫。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在非检疫传染病疫区运行船舶上发现检疫传染病病人、疑似检疫传染病病人、可能感染检疫传染病病人以及国务院卫生行政主管部门规定需要采取应急控制措施的传染病病人、疑似传染病病人及其密切接触者，由海事管理机构协助同级人民政府卫生行政主管部门依法对该船舶及其乘运人员、货物实施交通卫生检疫。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在非传染病疫区跨省、自治区、直辖市运行的船舶上发现检疫传染病病人、疑似检疫传染病病人、可能感染检疫传染病病人以及国务院卫生行政主管部门规定需要采取应急控制措施的传染病病人、疑似传染病病人及其密切接触者，交通部会同卫生部依法决定对该船舶实施交通卫生检疫，命令该船舶不得停靠或者通过港站。但是，因实施卫生检疫导致中断干线交通，报国务院决定。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r>
        <w:rPr>
          <w:rFonts w:hint="eastAsia" w:ascii="宋体" w:hAnsi="宋体" w:eastAsia="黑体" w:cs="黑体"/>
          <w:color w:val="000000"/>
          <w:kern w:val="2"/>
          <w:sz w:val="32"/>
          <w:szCs w:val="32"/>
          <w:lang w:val="en-US" w:eastAsia="zh-CN"/>
        </w:rPr>
        <w:t>第六章　紧急运输</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第三十三条</w:t>
      </w:r>
      <w:r>
        <w:rPr>
          <w:rFonts w:hint="eastAsia" w:ascii="宋体" w:hAnsi="宋体" w:eastAsia="仿宋_GB2312" w:cs="仿宋_GB2312"/>
          <w:color w:val="000000"/>
          <w:sz w:val="32"/>
          <w:szCs w:val="32"/>
        </w:rPr>
        <w:t xml:space="preserve">　突发事件发生后，县级以上地方人民政府交通行政主管部门应当采取措施保证突发事件应急处理所需运输的人员群体、防疫人员、医护人员以及突发事件应急处理所需的救治消毒药品、医疗救护设备器械等紧急物资及时运输。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第三十四条</w:t>
      </w:r>
      <w:r>
        <w:rPr>
          <w:rFonts w:hint="eastAsia" w:ascii="宋体" w:hAnsi="宋体" w:eastAsia="仿宋_GB2312" w:cs="仿宋_GB2312"/>
          <w:color w:val="000000"/>
          <w:sz w:val="32"/>
          <w:szCs w:val="32"/>
        </w:rPr>
        <w:t xml:space="preserve">　依法负责处理突发事件的防疫人员、医护人员凭县级以上人民政府卫生行政主管部门出具的有关证明以及本人有效身份证件，可以优先购买客票；道路运输经营者、水路运输经营者应当保证其购得最近一次通往目的地的客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第三十五条</w:t>
      </w:r>
      <w:r>
        <w:rPr>
          <w:rFonts w:hint="eastAsia" w:ascii="宋体" w:hAnsi="宋体" w:eastAsia="仿宋_GB2312" w:cs="仿宋_GB2312"/>
          <w:color w:val="000000"/>
          <w:sz w:val="32"/>
          <w:szCs w:val="32"/>
        </w:rPr>
        <w:t xml:space="preserve">　根据县级以上人民政府突发事件应急处理指挥部的命令，县级以上人民政府交通行政主管部门应当协助紧急调用有关人员、车船以及相关设施、设备。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被调用的单位和个人必须确保完成有关人员和紧急物资运输任务，不得延误和拒绝。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第三十六条</w:t>
      </w:r>
      <w:r>
        <w:rPr>
          <w:rFonts w:hint="eastAsia" w:ascii="宋体" w:hAnsi="宋体" w:eastAsia="仿宋_GB2312" w:cs="仿宋_GB2312"/>
          <w:color w:val="000000"/>
          <w:sz w:val="32"/>
          <w:szCs w:val="32"/>
        </w:rPr>
        <w:t xml:space="preserve">　承担突发事件应急处理所需紧急运输的车船，应当使用《紧急运输通行证》。其中，跨省运送紧急物资的，应当使用交通部统一印制的《紧急运输通行证》；省内运送紧急物资的，可以使用省级交通行政主管部门统一印制的《紧急运输通行证》。使用《紧急运输通行证》的车船，按国家有关规定免交车辆通行费、船舶过闸费，并优先通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《紧急运输通行证》应当按照交通部的有关规定印制、发放和使用。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第三十七条</w:t>
      </w:r>
      <w:r>
        <w:rPr>
          <w:rFonts w:hint="eastAsia" w:ascii="宋体" w:hAnsi="宋体" w:eastAsia="仿宋_GB2312" w:cs="仿宋_GB2312"/>
          <w:color w:val="000000"/>
          <w:sz w:val="32"/>
          <w:szCs w:val="32"/>
        </w:rPr>
        <w:t xml:space="preserve">　承担重大传染病疫情应急处理紧急运输任务的道路运输经营者、水路运输经营者应当遵守下列规定：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（一）车船在装卸货物前后根据需要进行清洗、消毒或者进行其他卫生处理；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（二）有关运输人员事前应当接受健康检查和有关防护知识培训，配备相应的安全防护用具；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（三）保证驾驶员休息充足，不得疲劳驾驶；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（四）进入疫区前，应当采取严格的防护措施；驶离疫区后，应当立即对车船和随行人员进行消毒或者采取其他必要卫生处理措施；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（五）紧急运输任务完成后，交回《紧急运输通行证》，对运输人员应当进行健康检查，并安排休息观察。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第三十八条</w:t>
      </w:r>
      <w:r>
        <w:rPr>
          <w:rFonts w:hint="eastAsia" w:ascii="宋体" w:hAnsi="宋体" w:eastAsia="仿宋_GB2312" w:cs="仿宋_GB2312"/>
          <w:color w:val="000000"/>
          <w:sz w:val="32"/>
          <w:szCs w:val="32"/>
        </w:rPr>
        <w:t xml:space="preserve">　重大传染病疫情发生后，引航人员、理货人员上船引航、理货，应当事先体检，采取相应的有效防护措施，上船时应当主动出示健康合格证。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r>
        <w:rPr>
          <w:rFonts w:hint="eastAsia" w:ascii="宋体" w:hAnsi="宋体" w:eastAsia="黑体" w:cs="黑体"/>
          <w:color w:val="000000"/>
          <w:kern w:val="2"/>
          <w:sz w:val="32"/>
          <w:szCs w:val="32"/>
          <w:lang w:val="en-US" w:eastAsia="zh-CN"/>
        </w:rPr>
        <w:t>第七章　检查监督</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rPr>
        <w:t>第三十九条</w:t>
      </w:r>
      <w:r>
        <w:rPr>
          <w:rFonts w:hint="eastAsia" w:ascii="宋体" w:hAnsi="宋体" w:eastAsia="仿宋_GB2312" w:cs="仿宋_GB2312"/>
          <w:color w:val="000000"/>
          <w:sz w:val="32"/>
          <w:szCs w:val="32"/>
        </w:rPr>
        <w:t xml:space="preserve">　县级以上人民政府交通行政主管部门应当加强对本行政区域内突发事件交通应急工作的指导和督察；上级人民政府交通行政主管部门对突发事件交通应急处理工作进行指导和督察，下级人民政府交通行政主管部门应当予以配合。 </w:t>
      </w:r>
      <w:r>
        <w:rPr>
          <w:rFonts w:hint="eastAsia" w:ascii="宋体" w:hAnsi="宋体" w:eastAsia="黑体" w:cs="黑体"/>
          <w:color w:val="000000"/>
          <w:kern w:val="2"/>
          <w:sz w:val="32"/>
          <w:szCs w:val="32"/>
          <w:lang w:val="en-US" w:eastAsia="zh-CN" w:bidi="ar-SA"/>
        </w:rPr>
        <w:br w:type="textWrapping"/>
      </w:r>
      <w:r>
        <w:rPr>
          <w:rFonts w:hint="eastAsia" w:ascii="宋体" w:hAnsi="宋体" w:eastAsia="黑体" w:cs="黑体"/>
          <w:color w:val="000000"/>
          <w:kern w:val="2"/>
          <w:sz w:val="32"/>
          <w:szCs w:val="32"/>
          <w:lang w:val="en-US" w:eastAsia="zh-CN" w:bidi="ar-SA"/>
        </w:rPr>
        <w:t>　　</w:t>
      </w:r>
      <w:r>
        <w:rPr>
          <w:rFonts w:hint="eastAsia" w:ascii="宋体" w:hAnsi="宋体" w:eastAsia="黑体" w:cs="黑体"/>
          <w:color w:val="000000"/>
          <w:kern w:val="2"/>
          <w:sz w:val="32"/>
          <w:szCs w:val="32"/>
          <w:lang w:val="en-US" w:eastAsia="zh-CN"/>
        </w:rPr>
        <w:t>第四十条</w:t>
      </w:r>
      <w:r>
        <w:rPr>
          <w:rFonts w:hint="eastAsia" w:ascii="宋体" w:hAnsi="宋体" w:eastAsia="仿宋_GB2312" w:cs="仿宋_GB2312"/>
          <w:color w:val="000000"/>
          <w:sz w:val="32"/>
          <w:szCs w:val="32"/>
        </w:rPr>
        <w:t xml:space="preserve">　县级以上地方人民政府交通行政主管部门的工作人员依法协助或者实施交通卫生检疫，应当携带证件，佩戴标志，热情服务，秉公执法，任何单位和个人应当予以配合，不得阻挠。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第四十一条</w:t>
      </w:r>
      <w:r>
        <w:rPr>
          <w:rFonts w:hint="eastAsia" w:ascii="宋体" w:hAnsi="宋体" w:eastAsia="仿宋_GB2312" w:cs="仿宋_GB2312"/>
          <w:color w:val="000000"/>
          <w:sz w:val="32"/>
          <w:szCs w:val="32"/>
        </w:rPr>
        <w:t xml:space="preserve">　县级以上人民政府交通行政主管部门应当加强对《交通卫生检疫合格证》、《旅客健康申报卡》使用情况的监督检查；对已按规定使用《交通卫生检疫合格证》、《旅客健康申报卡》的车船，应当立即放行。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任何单位和个人不得擅自印制、伪造、变造、租借、转让《交通卫生检疫合格证》、《紧急运输通行证》。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任何单位和个人不得使用擅自印制、伪造、变造、租借、转让的《交通卫生检疫合格证》、《紧急运输通行证》。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第八章　法律责任</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2"/>
          <w:sz w:val="32"/>
          <w:szCs w:val="32"/>
          <w:lang w:val="en-US" w:eastAsia="zh-CN" w:bidi="ar-SA"/>
        </w:rPr>
      </w:pP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　第四十二条</w:t>
      </w:r>
      <w:r>
        <w:rPr>
          <w:rFonts w:hint="eastAsia" w:ascii="宋体" w:hAnsi="宋体" w:eastAsia="仿宋_GB2312" w:cs="仿宋_GB2312"/>
          <w:color w:val="000000"/>
          <w:sz w:val="32"/>
          <w:szCs w:val="32"/>
        </w:rPr>
        <w:t xml:space="preserve">　县级以上地方人民政府交通行政主管部门违反本规定，有下列行为之一的，对其主要负责人依法给予行政处分：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（一）未依照本规定履行报告职责，对突发事件隐瞒、缓报、谎报或者授意他人隐瞒、缓报、谎报的；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（二）未依照本规定，组织完成突发事件应急处理所需要的紧急物资的运输的；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（三）对上级人民政府交通行政主管部门进行有关调查不予配合，或者采取其他方式阻碍、干涉调查的。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县级以上人民政府交通行政主管部门违反有关规定，造成传染病传播、流行或者对社会公众健康造成其他严重危害后果的，对主要负责人、负有责任的主管人员和其他责任人员依法给予开除的行政处分；构成犯罪的，依法追究刑事责任。 </w:t>
      </w:r>
      <w:r>
        <w:rPr>
          <w:rFonts w:hint="eastAsia" w:ascii="宋体" w:hAnsi="宋体" w:eastAsia="黑体" w:cs="黑体"/>
          <w:color w:val="000000"/>
          <w:kern w:val="0"/>
          <w:sz w:val="32"/>
          <w:szCs w:val="32"/>
          <w:lang w:val="en-US" w:eastAsia="zh-CN"/>
        </w:rPr>
        <w:br w:type="textWrapping"/>
      </w:r>
      <w:r>
        <w:rPr>
          <w:rFonts w:hint="eastAsia" w:ascii="宋体" w:hAnsi="宋体" w:eastAsia="黑体" w:cs="黑体"/>
          <w:color w:val="000000"/>
          <w:kern w:val="0"/>
          <w:sz w:val="32"/>
          <w:szCs w:val="32"/>
          <w:lang w:val="en-US" w:eastAsia="zh-CN"/>
        </w:rPr>
        <w:t>　</w:t>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lang w:val="en-US" w:eastAsia="zh-CN"/>
        </w:rPr>
        <w:t>第四十三条</w:t>
      </w:r>
      <w:r>
        <w:rPr>
          <w:rFonts w:hint="eastAsia" w:ascii="宋体" w:hAnsi="宋体" w:eastAsia="仿宋_GB2312" w:cs="仿宋_GB2312"/>
          <w:color w:val="000000"/>
          <w:sz w:val="32"/>
          <w:szCs w:val="32"/>
        </w:rPr>
        <w:t xml:space="preserve">　县级以上人民政府交通行政主管部门违反本规定，有下列行为之一，由上级人民政府交通行政主管部门责令改正、通报批评、给予警告；对主要负责人、负有责任的主管人员和其他责任人员依法给予降级、撤职的行政处分：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（一）在突发事件调查、控制工作中玩忽职守、失职、渎职的；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xml:space="preserve">　　（二）拒不履行突发事件交通应急处理职责的。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第四十四条</w:t>
      </w:r>
      <w:r>
        <w:rPr>
          <w:rFonts w:hint="eastAsia" w:ascii="宋体" w:hAnsi="宋体" w:eastAsia="仿宋_GB2312" w:cs="仿宋_GB2312"/>
          <w:color w:val="000000"/>
          <w:sz w:val="32"/>
          <w:szCs w:val="32"/>
        </w:rPr>
        <w:t xml:space="preserve">　道路运输经营者、水路运输经营者违反本规定，对在车船上发现的检疫传染病病人、疑似检疫传染病病人，未按有关规定采取相应措施的，由县级以上地方人民政府卫生行政主管部门责令改正，给予警告，并处1000元以上5000元以下的罚款。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第四十五条</w:t>
      </w:r>
      <w:r>
        <w:rPr>
          <w:rFonts w:hint="eastAsia" w:ascii="宋体" w:hAnsi="宋体" w:eastAsia="仿宋_GB2312" w:cs="仿宋_GB2312"/>
          <w:color w:val="000000"/>
          <w:sz w:val="32"/>
          <w:szCs w:val="32"/>
        </w:rPr>
        <w:t xml:space="preserve">　检疫传染病病人、疑似检疫传染病病人以及与其密切接触者隐瞒真实情况、逃避交通卫生检疫的，由县级以上地方人民政府卫生行政主管部门责令限期改正，给予警告，可以并处1000元以下的罚款；拒绝接受交通卫生检疫和必要的卫生处理的，给予警告，并处1000元以上5000元以下的罚款。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kern w:val="0"/>
          <w:sz w:val="32"/>
          <w:szCs w:val="32"/>
          <w:lang w:val="en-US" w:eastAsia="zh-CN"/>
        </w:rPr>
        <w:t>第四十六条</w:t>
      </w:r>
      <w:r>
        <w:rPr>
          <w:rFonts w:hint="eastAsia" w:ascii="宋体" w:hAnsi="宋体" w:eastAsia="仿宋_GB2312" w:cs="仿宋_GB2312"/>
          <w:color w:val="000000"/>
          <w:sz w:val="32"/>
          <w:szCs w:val="32"/>
        </w:rPr>
        <w:t xml:space="preserve">　突发事件发生后，未取得相应的运输经营资格，擅自从事道路运输、水路运输；或者有其他违反有关道路运输、水路运输管理规定行为的，依照有关道路运输、水路运输管理法规、规章的规定从重给予行政处罚。 </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r>
        <w:rPr>
          <w:rFonts w:hint="eastAsia" w:ascii="宋体" w:hAnsi="宋体" w:eastAsia="黑体" w:cs="黑体"/>
          <w:color w:val="000000"/>
          <w:kern w:val="0"/>
          <w:sz w:val="32"/>
          <w:szCs w:val="32"/>
          <w:lang w:val="en-US" w:eastAsia="zh-CN"/>
        </w:rPr>
        <w:t>第九章　附则</w:t>
      </w:r>
    </w:p>
    <w:p>
      <w:pPr>
        <w:pStyle w:val="37"/>
        <w:widowControl w:val="0"/>
        <w:wordWrap/>
        <w:overflowPunct w:val="0"/>
        <w:spacing w:before="0" w:beforeAutospacing="0" w:after="0" w:afterAutospacing="0" w:line="560" w:lineRule="exact"/>
        <w:ind w:left="0" w:right="0"/>
        <w:jc w:val="center"/>
        <w:textAlignment w:val="auto"/>
        <w:rPr>
          <w:rFonts w:hint="eastAsia" w:ascii="宋体" w:hAnsi="宋体" w:eastAsia="黑体" w:cs="黑体"/>
          <w:color w:val="000000"/>
          <w:kern w:val="0"/>
          <w:sz w:val="32"/>
          <w:szCs w:val="32"/>
          <w:lang w:val="en-US" w:eastAsia="zh-CN"/>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r>
        <w:rPr>
          <w:rFonts w:hint="eastAsia" w:ascii="宋体" w:hAnsi="宋体" w:eastAsia="黑体" w:cs="黑体"/>
          <w:color w:val="000000"/>
          <w:kern w:val="0"/>
          <w:sz w:val="32"/>
          <w:szCs w:val="32"/>
          <w:lang w:val="en-US" w:eastAsia="zh-CN"/>
        </w:rPr>
        <w:t>第四十七条</w:t>
      </w:r>
      <w:r>
        <w:rPr>
          <w:rFonts w:hint="eastAsia" w:ascii="宋体" w:hAnsi="宋体" w:eastAsia="仿宋_GB2312" w:cs="仿宋_GB2312"/>
          <w:color w:val="000000"/>
          <w:sz w:val="32"/>
          <w:szCs w:val="32"/>
        </w:rPr>
        <w:t xml:space="preserve">　群体性不明原因疾病交通应急方案，参照重大传染病交通应急方案执行。 </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仿宋_GB2312" w:cs="仿宋_GB2312"/>
          <w:color w:val="000000"/>
          <w:kern w:val="0"/>
          <w:sz w:val="32"/>
          <w:szCs w:val="32"/>
          <w:lang w:val="en-US" w:eastAsia="zh-CN"/>
        </w:rPr>
        <w:t>　</w:t>
      </w:r>
      <w:r>
        <w:rPr>
          <w:rFonts w:hint="eastAsia" w:ascii="宋体" w:hAnsi="宋体" w:eastAsia="黑体" w:cs="黑体"/>
          <w:color w:val="000000"/>
          <w:kern w:val="0"/>
          <w:sz w:val="32"/>
          <w:szCs w:val="32"/>
          <w:lang w:val="en-US" w:eastAsia="zh-CN"/>
        </w:rPr>
        <w:t>第四十八条</w:t>
      </w:r>
      <w:r>
        <w:rPr>
          <w:rFonts w:hint="eastAsia" w:ascii="宋体" w:hAnsi="宋体" w:eastAsia="仿宋_GB2312" w:cs="仿宋_GB2312"/>
          <w:color w:val="000000"/>
          <w:sz w:val="32"/>
          <w:szCs w:val="32"/>
        </w:rPr>
        <w:t>　本规定自二00四年五月一日起施行。</w:t>
      </w: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6"/>
        <w:textAlignment w:val="auto"/>
        <w:rPr>
          <w:rFonts w:hint="eastAsia" w:ascii="宋体" w:hAnsi="宋体" w:eastAsia="仿宋_GB2312" w:cs="仿宋_GB2312"/>
          <w:color w:val="000000"/>
          <w:sz w:val="32"/>
          <w:szCs w:val="32"/>
        </w:rPr>
      </w:pP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bookmarkStart w:id="295" w:name="_Toc24445"/>
      <w:bookmarkStart w:id="296" w:name="_Toc29219"/>
      <w:bookmarkStart w:id="297" w:name="_Toc25275"/>
      <w:bookmarkStart w:id="298" w:name="_Toc12105"/>
      <w:bookmarkStart w:id="299" w:name="_Toc14550"/>
      <w:bookmarkStart w:id="300" w:name="_Toc6364"/>
      <w:bookmarkStart w:id="301" w:name="_Toc8720"/>
      <w:bookmarkStart w:id="302" w:name="_Toc22386"/>
      <w:bookmarkStart w:id="303" w:name="_Toc22369"/>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304" w:name="_Toc6808"/>
      <w:r>
        <w:rPr>
          <w:rFonts w:hint="eastAsia" w:ascii="宋体" w:hAnsi="宋体" w:eastAsia="宋体" w:cs="Arial"/>
          <w:bCs/>
          <w:sz w:val="44"/>
          <w:szCs w:val="44"/>
          <w:lang w:val="en-US" w:eastAsia="zh-CN"/>
        </w:rPr>
        <w:t>国家突发公共事件总体应急预案</w:t>
      </w:r>
      <w:bookmarkEnd w:id="304"/>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jc w:val="center"/>
        <w:textAlignment w:val="auto"/>
        <w:rPr>
          <w:rFonts w:hint="eastAsia" w:ascii="楷体" w:hAnsi="楷体" w:eastAsia="楷体" w:cs="楷体"/>
          <w:i w:val="0"/>
          <w:caps w:val="0"/>
          <w:color w:val="333333"/>
          <w:spacing w:val="0"/>
          <w:kern w:val="2"/>
          <w:sz w:val="32"/>
          <w:szCs w:val="32"/>
          <w:shd w:val="clear" w:color="080000" w:fill="FFFFFF"/>
          <w:lang w:val="en-US" w:eastAsia="zh-CN" w:bidi="ar-SA"/>
        </w:rPr>
      </w:pPr>
      <w:r>
        <w:rPr>
          <w:rFonts w:hint="eastAsia" w:ascii="楷体" w:hAnsi="楷体" w:eastAsia="楷体" w:cs="楷体"/>
          <w:i w:val="0"/>
          <w:caps w:val="0"/>
          <w:color w:val="333333"/>
          <w:spacing w:val="0"/>
          <w:kern w:val="2"/>
          <w:sz w:val="32"/>
          <w:szCs w:val="32"/>
          <w:shd w:val="clear" w:color="080000" w:fill="FFFFFF"/>
          <w:lang w:val="en-US" w:eastAsia="zh-CN" w:bidi="ar-SA"/>
        </w:rPr>
        <w:t>（2006年1月8日）</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1.1　编制目的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提高政府保障公共安全和处置突发公共事件的能力，最大程度地预防和减少突发公共事件及其造成的损害，保障公众的生命财产安全，维护国家安全和社会稳定，促进经济社会全面、协调、可持续发展。</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1.2　编制依据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依据宪法及有关法律、行政法规，制定本预案。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1.3　分类分级</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本预案所称突发公共事件是指突然发生，造成或者可能造成重大人员伤亡、财产损失、生态环境破坏和严重社会危害，危及公共安全的紧急事件。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根据突发公共事件的发生过程、性质和机理，突发公共事件主要分为以下四类：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⑴自然灾害。主要包括水旱灾害，气象灾害，地震灾害，地质灾害，海洋灾害，生物灾害和森林草原火灾等。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⑵事故灾难。主要包括工矿商贸等企业的各类安全事故，交通运输事故，公共设施和设备事故，环境污染和生态破坏事件等。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⑶公共卫生事件。主要包括传染病疫情，群体性不明原因疾病，食品安全和职业危害，动物疫情，以及其他严重影响公众健康和生命安全的事件。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⑷社会安全事件。主要包括恐怖袭击事件，经济安全事件和涉外突发事件等。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各类突发公共事件按照其性质、严重程度、可控性和影响范围等因素，一般分为四级：Ⅰ级（特别重大）、Ⅱ级（重大）、Ⅲ级（较大）和Ⅳ级（一般）。</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1.4　适用范围</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本预案适用于涉及跨省级行政区划的，或超出事发地省级人民政府处置能力的特别重大突发公共事件应对工作。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本预案指导全国的突发公共事件应对工作。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1.5　工作原则</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⑴以人为本，减少危害。切实履行政府的社会管理和公共服务职能，把保障公众健康和生命财产安全作为首要任务，最大程度地减少突发公共事件及其造成的人员伤亡和危害。</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⑵居安思危，预防为主。高度重视公共安全工作，常抓不懈，防患于未然。增强忧患意识，坚持预防与应急相结合，常态与非常态相结合，做好应对突发公共事件的各项准备工作。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⑶统一领导，分级负责。在党中央、国务院的统一领导下，建立健全分类管理、分级负责，条块结合、属地管理为主的应急管理体制，在各级党委领导下，实行行政领导责任制，充分发挥专业应急指挥机构的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⑷依法规范，加强管理。依据有关法律和行政法规，加强应急管理，维护公众的合法权益，使应对突发公共事件的工作规范化、制度化、法制化。</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⑸快速反应，协同应对。加强以属地管理为主的应急处置队伍建设，建立联动协调制度，充分动员和发挥乡镇、社区、企事业单位、社会团体和志愿者队伍的作用，依靠公众力量，形成统一指挥、反应灵敏、功能齐全、协调有序、运转高效的应急管理机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⑹依靠科技，提高素质。加强公共安全科学研究和技术开发，采用先进的监测、预测、预警、预防和应急处置技术及设施，充分发挥专家队伍和专业人员的作用，提高应对突发公共事件的科技水平和指挥能力，避免发生次生、衍生事件；加强宣传和培训教育工作，提高公众自救、互救和应对各类突发公共事件的综合素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1.6　应急预案体系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全国突发公共事件应急预案体系包括：</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⑴突发公共事件总体应急预案。总体应急预案是全国应急预案体系的总纲，是国务院应对特别重大突发公共事件的规范性文件。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⑵突发公共事件专项应急预案。专项应急预案主要是国务院及其有关部门为应对某一类型或某几种类型突发公共事件而制定的应急预案。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⑶突发公共事件部门应急预案。部门应急预案是国务院有关部门根据总体应急预案、专项应急预案和部门职责为应对突发公共事件制定的预案。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⑷突发公共事件地方应急预案。具体包括：省级人民政府的突发公共事件总体应急预案、专项应急预案和部门应急预案；各市（地）、县（市）人民政府及其基层政权组织的突发公共事件应急预案。上述预案在省级人民政府的领导下，按照分类管理、分级负责的原则，由地方人民政府及其有关部门分别制定。</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⑸企事业单位根据有关法律法规制定的应急预案。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⑹举办大型会展和文化体育等重大活动，主办单位应当制定应急预案。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各类预案将根据实际情况变化不断补充、完善。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2.1　领导机构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是突发公共事件应急管理工作的最高行政领导机构。在国务院总理领导下，由国务院常务会议和国家相关突发公共事件应急指挥机构（以下简称相关应急指挥机构）负责突发公共事件的应急管理工作；必要时，派出国务院工作组指导有关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2.2　办事机构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国务院办公厅设国务院应急管理办公室，履行值守应急、信息汇总和综合协调职责，发挥运转枢纽作用。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2.3　工作机构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国务院有关部门依据有关法律、行政法规和各自的职责，负责相关类别突发公共事件的应急管理工作。具体负责相关类别的突发公共事件专项和部门应急预案的起草与实施，贯彻落实国务院有关决定事项。</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2.4　地方机构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地方各级人民政府是本行政区域突发公共事件应急管理工作的行政领导机构，负责本行政区域各类突发公共事件的应对工作。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2.5　专家组</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国务院和各应急管理机构建立各类专业人才库，可以根据实际需要聘请有关专家组成专家组，为应急管理提供决策建议，必要时参加突发公共事件的应急处置工作。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3.1　预测与预警</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各地区、各部门要针对各种可能发生的突发公共事件，完善预测预警机制，建立预测预警系统，开展风险分析，做到早发现、早报告、早处置。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3.1.1　预警级别和发布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预测分析结果，对可能发生和可以预警的突发公共事件进行预警。预警级别依据突发公共事件可能造成的危害程度、紧急程度和发展势态，一般划分为四级：Ⅰ级（特别严重）、Ⅱ级（严重）、Ⅲ级（较重）和Ⅳ级（一般），依次用红色、橙色、黄色和蓝色表示。</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预警信息包括突发公共事件的类别、预警级别、起始时间、可能影响范围、警示事项、应采取的措施和发布机关等。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预警信息的发布、调整和解除可通过广播、电视、报刊、通信、信息网络、警报器、宣传车或组织人员逐户通知等方式进行，对老、幼、病、残、孕等特殊人群以及学校等特殊场所和警报盲区应当采取有针对性的公告方式。</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　应急处置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3.2.1　信息报告</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特别重大或者重大突发公共事件发生后，各地区、各部门要立即报告，最迟不得超过4小时，同时通报有关地区和部门。应急处置过程中，要及时续报有关情况。</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3.2.2　先期处置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突发公共事件发生后，事发地的省级人民政府或者国务院有关部门在报告特别重大、重大突发公共事件信息的同时，要根据职责和规定的权限启动相关应急预案，及时、有效地进行处置，控制事态。</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在境外发生涉及中国公民和机构的突发事件，我驻外使领馆、国务院有关部门和有关地方人民政府要采取措施控制事态发展，组织开展应急救援工作。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3.2.3　应急响应</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对于先期处置未能有效控制事态的特别重大突发公共事件，要及时启动相关预案，由国务院相关应急指挥机构或国务院工作组统一指挥或指导有关地区、部门开展处置工作。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现场应急指挥机构负责现场的应急处置工作。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需要多个国务院相关部门共同参与处置的突发公共事件，由该类突发公共事件的业务主管部门牵头，其他部门予以协助。</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3.2.4　应急结束</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特别重大突发公共事件应急处置工作结束，或者相关危险因素消除后，现场应急指挥机构予以撤销。</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　恢复与重建</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3.3.1　善后处置</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积极稳妥、深入细致地做好善后处置工作。对突发公共事件中的伤亡人员、应急处置工作人员，以及紧急调集、征用有关单位及个人的物资，要按照规定给予抚恤、补助或补偿，并提供心理及司法援助。有关部门要做好疫病防治和环境污染消除工作。保险监管机构督促有关保险机构及时做好有关单位和个人损失的理赔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3.3.2　调查与评估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要对特别重大突发公共事件的起因、性质、影响、责任、经验教训和恢复重建等问题进行调查评估。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3.3.3　恢复重建</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根据受灾地区恢复重建计划组织实施恢复重建工作。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3.4　信息发布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突发公共事件的信息发布应当及时、准确、客观、全面。事件发生的第一时间要向社会发布简要信息，随后发布初步核实情况、政府应对措施和公众防范措施等，并根据事件处置情况做好后续发布工作。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信息发布形式主要包括授权发布、散发新闻稿、组织报道、接受记者采访、举行新闻发布会等。</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有关部门要按照职责分工和相关预案做好突发公共事件的应对工作，同时根据总体预案切实做好应对突发公共事件的人力、物力、财力、交通运输、医疗卫生及通信保障等工作，保证应急救援工作的需要和灾区群众的基本生活，以及恢复重建工作的顺利进行。</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4.1　人力资源</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公安（消防）、医疗卫生、地震救援、海上搜救、矿山救护、森林消防、防洪抢险、核与辐射、环境监控、危险化学品事故救援、铁路事故、民航事故、基础信息网络和重要信息系统事故处置，以及水、电、油、气等工程抢险救援队伍是应急救援的专业队伍和骨干力量。地方各级人民政府和有关部门、单位要加强应急救援队伍的业务培训和应急演练，建立联动协调机制，提高装备水平；动员社会团体、企事业单位以及志愿者等各种社会力量参与应急救援工作；增进国际间的交流与合作。要加强以乡镇和社区为单位的公众应急能力建设，发挥其在应对突发公共事件中的重要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中国人民解放军和中国人民武装警察部队是处置突发公共事件的骨干和突击力量，按照有关规定参加应急处置工作。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4.2　财力保障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保证所需突发公共事件应急准备和救援工作资金。对受突发公共事件影响较大的行业、企事业单位和个人要及时研究提出相应的补偿或救助政策。要对突发公共事件财政应急保障资金的使用和效果进行监管和评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鼓励自然人、法人或者其他组织（包括国际组织）按照《中华人民共和国公益事业捐赠法》等有关法律、法规的规定进行捐赠和援助。</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4.3　物资保障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要建立健全应急物资监测网络、预警体系和应急物资生产、储备、调拨及紧急配送体系，完善应急工作程序，确保应急所需物资和生活用品的及时供应，并加强对物资储备的监督管理，及时予以补充和更新。</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地方各级人民政府应根据有关法律、法规和应急预案的规定，做好物资储备工作。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4.4　基本生活保障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要做好受灾群众的基本生活保障工作，确保灾区群众有饭吃、有水喝、有衣穿、有住处、有病能得到及时医治。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4.5　医疗卫生保障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卫生部门负责组建医疗卫生应急专业技术队伍，根据需要及时赴现场开展医疗救治、疾病预防控制等卫生应急工作。及时为受灾地区提供药品、器械等卫生和医疗设备。必要时，组织动员红十字会等社会卫生力量参与医疗卫生救助工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4.6　交通运输保障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要保证紧急情况下应急交通工具的优先安排、优先调度、优先放行，确保运输安全畅通；要依法建立紧急情况社会交通运输工具的征用程序，确保抢险救灾物资和人员能够及时、安全送达。</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根据应急处置需要，对现场及相关通道实行交通管制，开设应急救援“绿色通道”，保证应急救援工作的顺利开展。</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4.7　治安维护</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要加强对重点地区、重点场所、重点人群、重要物资和设备的安全保护，依法严厉打击违法犯罪活动。必要时，依法采取有效管制措施，控制事态，维护社会秩序。</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4.8　人员防护</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要指定或建立与人口密度、城市规模相适应的应急避险场所，完善紧急疏散管理办法和程序，明确各级责任人，确保在紧急情况下公众安全、有序的转移或疏散。</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要采取必要的防护措施，严格按照程序开展应急救援工作，确保人员安全。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4.9　通信保障</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建立健全应急通信、应急广播电视保障工作体系，完善公用通信网，建立有线和无线相结合、基础电信网络与机动通信系统相配套的应急通信系统，确保通信畅通。</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4.10　公共设施</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有关部门要按照职责分工，分别负责煤、电、油、气、水的供给，以及废水、废气、固体废弃物等有害物质的监测和处理。</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4.11　科技支撑</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要积极开展公共安全领域的科学研究；加大公共安全监测、预测、预警、预防和应急处置技术研发的投入，不断改进技术装备，建立健全公共安全应急技术平台，提高我国公共安全科技水平；注意发挥企业在公共安全领域的研发作用。</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5.1　预案演练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各地区、各部门要结合实际，有计划、有重点地组织有关部门对相关预案进行演练。</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5.2　宣传和培训</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宣传、教育、文化、广电、新闻出版等有关部门要通过图书、报刊、音像制品和电子出版物、广播、电视、网络等，广泛宣传应急法律法规和预防、避险、自救、互救、减灾等常识，增强公众的忧患意识、社会责任意识和自救、互救能力。各有关方面要有计划地对应急救援和管理人员进行培训，提高其专业技能。</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5.3　责任与奖惩</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突发公共事件应急处置工作实行责任追究制。</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对突发公共事件应急管理工作中做出突出贡献的先进集体和个人要给予表彰和奖励。</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对迟报、谎报、瞒报和漏报突发公共事件重要情况或者应急管理工作中有其他失职、渎职行为的，依法对有关责任人给予行政处分；构成犯罪的，依法追究刑事责任。</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6.1　预案管理</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根据实际情况的变化，及时修订本预案。</w:t>
      </w:r>
    </w:p>
    <w:p>
      <w:pPr>
        <w:widowControl w:val="0"/>
        <w:wordWrap/>
        <w:overflowPunct w:val="0"/>
        <w:spacing w:beforeAutospacing="0" w:afterAutospacing="0" w:line="56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本预案自发布之日起实施。</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jc w:val="center"/>
        <w:outlineLvl w:val="0"/>
        <w:rPr>
          <w:rFonts w:hint="eastAsia" w:ascii="Times New Roman" w:hAnsi="Times New Roman" w:eastAsia="宋体" w:cs="Times New Roman"/>
          <w:bCs/>
          <w:kern w:val="44"/>
          <w:sz w:val="44"/>
          <w:szCs w:val="44"/>
          <w:lang w:val="en-US" w:eastAsia="zh-CN" w:bidi="ar-SA"/>
        </w:rPr>
      </w:pPr>
      <w:bookmarkStart w:id="305" w:name="_Toc7842"/>
      <w:r>
        <w:rPr>
          <w:rFonts w:hint="eastAsia" w:ascii="Times New Roman" w:hAnsi="Times New Roman" w:eastAsia="宋体" w:cs="Times New Roman"/>
          <w:bCs/>
          <w:kern w:val="44"/>
          <w:sz w:val="44"/>
          <w:szCs w:val="44"/>
          <w:lang w:val="en-US" w:eastAsia="zh-CN" w:bidi="ar-SA"/>
        </w:rPr>
        <w:t>国家突发公共事件医疗卫生救援应急预案</w:t>
      </w:r>
      <w:bookmarkEnd w:id="295"/>
      <w:bookmarkEnd w:id="296"/>
      <w:bookmarkEnd w:id="297"/>
      <w:bookmarkEnd w:id="298"/>
      <w:bookmarkEnd w:id="299"/>
      <w:bookmarkEnd w:id="300"/>
      <w:bookmarkEnd w:id="301"/>
      <w:bookmarkEnd w:id="302"/>
      <w:bookmarkEnd w:id="303"/>
      <w:bookmarkEnd w:id="305"/>
    </w:p>
    <w:p>
      <w:pPr>
        <w:widowControl w:val="0"/>
        <w:wordWrap/>
        <w:overflowPunct w:val="0"/>
        <w:adjustRightInd/>
        <w:snapToGrid/>
        <w:spacing w:beforeAutospacing="0" w:afterAutospacing="0" w:line="560" w:lineRule="exact"/>
        <w:ind w:right="0"/>
        <w:jc w:val="center"/>
        <w:textAlignment w:val="auto"/>
        <w:outlineLvl w:val="9"/>
        <w:rPr>
          <w:rFonts w:hint="eastAsia" w:ascii="宋体" w:hAnsi="宋体" w:eastAsia="宋体" w:cs="宋体"/>
          <w:b w:val="0"/>
          <w:bCs/>
          <w:sz w:val="44"/>
          <w:szCs w:val="44"/>
        </w:rPr>
      </w:pPr>
    </w:p>
    <w:p>
      <w:pPr>
        <w:pStyle w:val="3"/>
        <w:wordWrap/>
        <w:spacing w:line="560" w:lineRule="exact"/>
        <w:jc w:val="center"/>
        <w:textAlignment w:val="auto"/>
        <w:outlineLvl w:val="9"/>
        <w:rPr>
          <w:rFonts w:hint="eastAsia" w:ascii="楷体" w:hAnsi="楷体" w:eastAsia="楷体" w:cs="楷体"/>
          <w:b w:val="0"/>
          <w:bCs/>
          <w:sz w:val="32"/>
          <w:szCs w:val="32"/>
        </w:rPr>
      </w:pPr>
      <w:r>
        <w:rPr>
          <w:rFonts w:hint="eastAsia" w:ascii="楷体" w:hAnsi="楷体" w:eastAsia="楷体" w:cs="楷体"/>
          <w:i w:val="0"/>
          <w:caps w:val="0"/>
          <w:color w:val="333333"/>
          <w:spacing w:val="0"/>
          <w:sz w:val="32"/>
          <w:szCs w:val="32"/>
          <w:shd w:val="clear" w:color="070000" w:fill="FFFFFF"/>
        </w:rPr>
        <w:t>(2006年02月26日)</w:t>
      </w:r>
    </w:p>
    <w:p>
      <w:pPr>
        <w:pStyle w:val="3"/>
        <w:wordWrap/>
        <w:spacing w:line="560" w:lineRule="exact"/>
        <w:textAlignment w:val="auto"/>
        <w:outlineLvl w:val="9"/>
        <w:rPr>
          <w:rFonts w:hint="eastAsia" w:ascii="宋体" w:hAnsi="宋体" w:eastAsia="宋体" w:cs="宋体"/>
          <w:b w:val="0"/>
          <w:bCs/>
          <w:sz w:val="44"/>
          <w:szCs w:val="44"/>
        </w:rPr>
      </w:pPr>
    </w:p>
    <w:p>
      <w:pPr>
        <w:widowControl w:val="0"/>
        <w:wordWrap/>
        <w:overflowPunct w:val="0"/>
        <w:spacing w:beforeAutospacing="0" w:afterAutospacing="0" w:line="560" w:lineRule="exact"/>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1 总 则</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  l.1 编制目的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保障自然灾害、事故灾难、公共卫生、社会安全事件等突发公共事件（以下简称突发公共事件）发生后，各项医疗卫生救援工作迅速、高效、有序地进行，提高卫生部门应对各类突发公共事件的应急反应能力和医疗卫生救援水平，最大程度地减少人员伤亡和健康危害，保障人民群众身体健康和生命安全，维护社会稳定。</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auto"/>
          <w:kern w:val="2"/>
          <w:sz w:val="28"/>
          <w:szCs w:val="28"/>
          <w:lang w:val="en-US" w:eastAsia="zh-CN" w:bidi="ar-SA"/>
        </w:rPr>
        <w:t> </w:t>
      </w:r>
      <w:r>
        <w:rPr>
          <w:rFonts w:hint="eastAsia" w:ascii="仿宋" w:hAnsi="仿宋" w:eastAsia="仿宋" w:cs="仿宋"/>
          <w:color w:val="000000"/>
          <w:sz w:val="32"/>
          <w:szCs w:val="32"/>
          <w:lang w:val="en-US" w:eastAsia="zh-CN"/>
        </w:rPr>
        <w:t> l.2 编制依据</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依据《中华人民共和国传染病防治法》、《中华人民共和国食品卫生法》、《中华人民共和国职业病防治法》、《中华人民共和国放射性污染防治法》、《中华人民共和国安全生产法》以及《突发公共卫生事件应急条例》、《医疗机构管理条例》、《核电厂核事故应急管理条例》和《国家突发公共事件总体应急预案》，制定本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  1.3 适用范围</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  本预案适用于突发公共事件所导致的人员伤亡、健康危害的医疗卫生救援工作。突发公共卫生事件应急工作按照《国家突发公共卫生事件应急预案》的有关规定执行。</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  1.4 工作原则</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  统一领导、分级负责；属地管理、明确职责；依靠科学、依法规范；反应及时、措施果断；整合资源、信息共享；平战结合、常备不懈；加强协作、公众参与。</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  2 医疗卫生救援的事件分级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  根据突发公共事件导致人员伤亡和健康危害情况将医疗卫生救援事件分为特别重大（Ⅰ级）、重大（Ⅱ级）、较大（Ⅲ级）和一般（Ⅳ级）四级。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  2.1 特别重大事件（Ⅰ级）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特别重大人员伤亡，且危重人员多，或者核事故和突发放射事件、化学品泄漏事故导致大量人员伤亡，事件发生地省级人民政府或有关部门请求国家在医疗卫生救援工作上给予支持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  (2)跨省（区、市）的有特别严重人员伤亡的突发公共事件。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  (3)国务院及其有关部门确定的其他需要开展医疗卫生救援工作的特别重大突发公共事件。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  2.2 重大事件（Ⅱ级）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  (1)一次事件出现重大人员伤亡，其中，死亡和危重病例超过5例的突发公共事件。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  (2)跨市（地）的有严重人员伤亡的突发公共事件。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  (3)省级人民政府及其有关部门确定的其他需要开展医疗卫生救援工作的重大突发公共事件。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  2.3 较大事件（Ⅲ级）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  (1)一次事件出现较大人员伤亡，其中，死亡和危重病例超过3例的突发公共事件。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  (2)市（地）级人民政府及其有关部门确定的其他需要开展医疗卫生救援工作的较大突发公共事件。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  2.4 一般事件（Ⅳ级）</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  (1)一次事件出现一定数量人员伤亡，其中，死亡和危重病例超过1例的突发公共事件。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  (2)县级人民政府及其有关部门确定的其他需要开展医疗卫生救援工作的一般突发公共事件。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  3 医疗卫生救援组织体系</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  各级卫生行政部门要在同级人民政府或突发公共事件应急指挥机构的统一领导、指挥下，与有关部门密切配合、协调一致，共同应对突发公共事件，做好突发公共事件的医疗卫生救援工作。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卫生救援组织机构包括：各级卫生行政部门成立的医疗卫生救援领导小组、专家组和医疗卫生救援机构［指各级各类医疗机构，包括医疗急救中心（站）、综合医院、专科医院、化学中毒和核辐射事故应急医疗救治专业机构、疾病预防控制机构和卫生监督机构］、现场医疗卫生救援指挥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  3.1 医疗卫生救援领导小组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  国务院卫生行政部门成立突发公共事件医疗卫生救援领导小组，领导、组织、协调、部署特别重大突发公共事件的医疗卫生救援工作。国务院卫生行政部门卫生应急办公室负责日常工作。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省、市（地）、县级卫生行政部门成立相应的突发公共事件医疗卫生救援领导小组，领导本行政区域内突发公共事件医疗卫生救援工作，承担各类突发公共事件医疗卫生救援的组织、协调任务，并指定机构负责日常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  3.2 专家组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  各级卫生行政部门应组建专家组，对突发公共事件医疗卫生救援工作提供咨询建议、技术指导和支持。</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  3.3 医疗卫生救援机构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各类医疗机构承担突发公共事件的医疗卫生救援任务。其中，各级医疗急救中心（站）、化学中毒和核辐射事故应急医疗救治专业机构承担突发公共事件现场医疗卫生救援和伤员转送；各级疾病预防控制机构和卫生监督机构根据各自职能做好突发公共事件中的疾病预防控制和卫生监督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  3.4 现场医疗卫生救援指挥部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  各级卫生行政部门根据实际工作需要在突发公共事件现场设立现场医疗卫生救援指挥部，统一指挥、协调现场医疗卫生救援工作。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  4 医疗卫生救援应急响应和终止</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  4.1 医疗卫生救援应急分级响应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  4.l.1 Ⅰ级响应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  (1)Ⅰ级响应的启动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  符合下列条件之一者，启动医疗卫生救援应急的Ⅰ级响应：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  a．发生特别重大突发公共事件，国务院启动国家突发公共事件总体应急预案。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  b．发生特别重大突发公共事件，国务院有关部门启动国家突发公共事件专项应急预案。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  c．其他符合医疗卫生救援特别重大事件（Ⅰ级）级别的突发公共事件。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  (2)Ⅰ级响应行动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国务院卫生行政部门接到关于医疗卫生救援特别重大事件的有关指示、通报或报告后，应立即启动医疗卫生救援领导小组工作，组织专家对伤病员及救治情况进行综合评估，组织和协调医疗卫生救援机构开展现场医疗卫生救援，指导和协调落实医疗救治等措施，并根据需要及时派出专家和专业队伍支援地方，及时向国务院和国家相关突发公共事件应急指挥机构报告和反馈有关处理情况。凡属启动国家总体应急预案和专项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  事件发生地的省（区、市）人民政府卫生行政部门在国务院卫生行政部门的指挥下，结合本行政区域的实际情况，组织、协调开展突发公共事件的医疗卫生救援。</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4.1.2 Ⅱ级响应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  (1)Ⅱ级响应的启动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  符合下列条件之一者，启动医疗卫生救援应急的Ⅱ级响应：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  a．发生重大突发公共事件，省级人民政府启动省级突发公共事件应急预案。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  b．发生重大突发公共事件，省级有关部门启动省级突发公共事件专项应急预案。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  c．其他符合医疗卫生救援重大事件（Ⅱ级）级别的突发公共事件。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  (2)Ⅱ级响应行动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省级卫生行政部门接到关于医疗卫生救援重大事件的有关指示、通报或报告后，应立即启动医疗卫生救援领导小组工作，组织专家对伤病员及救治情况进行综合评估。同时，迅速组织医疗卫生救援应急队伍和有关人员到达突发公共事件现场，组织开展医疗救治，并分析突发公共事件的发展趋势，提出应急处理工作建议，及时向本级人民政府和突发公共事件应急指挥机构报告有关处理情况。凡属启动省级应急预案和省级专项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国务院卫生行政部门对省级卫生行政部门负责的突发公共事件医疗卫生救援工作进行督导，根据需要和事件发生地省级人民政府和有关部门的请求，组织国家医疗卫生救援应急队伍和有关专家进行支援，并及时向有关省份通报情况。</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  4.1.3 Ⅲ级响应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 Ⅲ级响应的启动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  符合下列条件之一者，启动医疗卫生救援应急的Ⅲ级响应：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  a．发生较大突发公共事件，市（地）级人民政府启动市（地）级突发公共事件应急预案。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  b．其他符合医疗卫生救援较大事件（Ⅲ级）级别的突发公共事件。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 Ⅲ级响应行动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市（地）级卫生行政部门接到关于医疗卫生救援较大事件的有关指示、通报或报告后，应立即启动医疗卫生救援领导小组工作，组织专家对伤病员及救治情况进行综合评估。同时，迅速组织开展现场医疗卫生救援工作，并及时向本级人民政府和突发公共事件应急指挥机构报告有关处理情况。凡属启动市（地）级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  省级卫生行政部门接到医疗卫生救援较大事件报告后，要对事件发生地突发公共事件医疗卫生救援工作进行督导，必要时组织专家提供技术指导和支持，并适时向本省（区、市）有关地区发出通报。</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  4.1.4 Ⅳ级响应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 Ⅳ级响应的启动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  符合下列条件之一者，启动医疗卫生救援应急的Ⅳ级响应：</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  a．发生一般突发公共事件，县级人民政府启动县级突发公共事件应急预案。</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  b．其他符合医疗卫生救援一般事件（Ⅳ级）级别的突发公共事件。</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 Ⅳ级响应行动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县级卫生行政部门接到关于医疗卫生救援一般事件的有关指示、通报或报告后，应立即启动医疗卫生救援领导小组工作，组织医疗卫生救援机构开展突发公共事件的现场处理工作，组织专家对伤病员及救治情况进行调查、确认和评估，同时向本级人民政府和突发公共事件应急指挥机构报告有关处理情况。凡属启动县级应急预案的响应，医疗卫生救援领导小组按相关规定启动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  市（地）级卫生行政部门在必要时应当快速组织专家对突发公共事件医疗卫生救援进行技术指导。</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  4.2 现场医疗卫生救援及指挥</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  医疗卫生救援应急队伍在接到救援指令后要及时赶赴现场，并根据现场情况全力开展医疗卫生救援工作。在实施医疗卫生救援的过程中，既要积极开展救治，又要注重自我防护，确保安全。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为了及时准确掌握现场情况，做好现场医疗卫生救援指挥工作，使医疗卫生救援工作紧张有序地进行，有关卫生行政部门应在事发现场设置现场医疗卫生救援指挥部，主要或分管领导同志要亲临现场，靠前指挥，减少中间环节，提高决策效率，加快抢救进程。现场医疗卫生救援指挥部要接受突发公共事件现场处置指挥机构的领导，加强与现场各救援部门的沟通与协调。</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  4.2.1 现场抢救</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到达现场的医疗卫生救援应急队伍，要迅速将伤员转送出危险区，本着“先救命后治伤、先救重后救轻”的原则开展工作，按照国际统一的标准对伤病员进行检伤分类，分别用蓝、黄、红、黑四种颜色，对轻、重、危重伤病员和死亡人员作出标志（分类标记用塑料材料制成腕带），扣系在伤病员或死亡人员的手腕或脚踝部位，以便后续救治辨认或采取相应的措施。</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  4.2.2 转送伤员</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  当现场环境处于危险或在伤病员情况允许时，要尽快将伤病员转送并做好以下工作：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  (1)对已经检伤分类待送的伤病员进行复检。对有活动性大出血或转运途中有生命危险的急危重症者，应就地先予抢救、治疗，做必要的处理后再进行监护下转运。</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  (2)认真填写转运卡提交接纳的医疗机构，并报现场医疗卫生救援指挥部汇总。</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  (3)在转运中，医护人员必须在医疗仓内密切观察伤病员病情变化，并确保治疗持续进行。</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  (4)在转运过程中要科学搬运，避免造成二次损伤。</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(5)合理分流伤病员或按现场医疗卫生救援指挥部指定的地点转送，任何医疗机构不得以任何理由拒诊、拒收伤病员。</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  4.3 疾病预防控制和卫生监督工作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突发公共事件发生后，有关卫生行政部门要根据情况组织疾病预防控制和卫生监督等有关专业机构和人员，开展卫生学调查和评价、卫生执法监督，采取有效的预防控制措施，防止各类突发公共事件造成的次生或衍生突发公共卫生事件的发生，确保大灾之后无大疫。</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4.4 信息报告和发布</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  医疗急救中心（站）和其他医疗机构接到突发公共事件的报告后，在迅速开展应急医疗卫生救援工作的同时，立即将人员伤亡、抢救等情况报告现场医疗卫生救援指挥部或当地卫生行政部门。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现场医疗卫生救援指挥部、承担医疗卫生救援任务的医疗机构要每日向上级卫生行政部门报告伤病员情况、医疗救治进展等，重要情况要随时报告。有关卫生行政部门要及时向本级人民政府和突发公共事件应急指挥机构报告有关情况。</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  各级卫生行政部门要认真做好突发公共事件医疗卫生救援信息发布工作。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  4.5 医疗卫生救援应急响应的终止</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突发公共事件现场医疗卫生救援工作完成，伤病员在医疗机构得到救治，经本级人民政府或同级突发公共事件应急指挥机构批准，或经同级卫生行政部门批准，医疗卫生救援领导小组可宣布医疗卫生救援应急响应终止，并将医疗卫生救援应急响应终止的信息报告上级卫生行政部门。</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5 医疗卫生救援的保障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突发公共事件应急医疗卫生救援机构和队伍的建设，是国家突发公共卫生事件预防控制体系建设的重要组成部分，各级卫生行政部门应遵循“平战结合、常备不懈”的原则，加强突发公共事件医疗卫生救援工作的组织和队伍建设，组建医疗卫生救援应急队伍，制订各种医疗卫生救援应急技术方案，保证突发公共事件医疗卫生救援工作的顺利开展。</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  5.1 信息系统</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  在充分利用现有资源的基础上建设医疗救治信息网络，实现医疗机构与卫生行政部门之间，以及卫生行政部门与相关部门间的信息共享。</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  5.2 急救机构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  各直辖市、省会城市可根据服务人口和医疗救治的需求，建立一个相应规模的医疗急救中心（站），并完善急救网络。每个市（地）、县（市）可依托综合力量较强的医疗机构建立急救机构。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  5.3 化学中毒与核辐射医疗救治机构</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  按照“平战结合”的原则，依托专业防治机构或综合医院建立化学中毒医疗救治和核辐射应急医疗救治专业机构，依托实力较强的综合医院建立化学中毒、核辐射应急医疗救治专业科室。</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  5.4 医疗卫生救援应急队伍</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  各级卫生行政部门组建综合性医疗卫生救援应急队伍，并根据需要建立特殊专业医疗卫生救援应急队伍。</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  各级卫生行政部门要保证医疗卫生救援工作队伍的稳定，严格管理，定期开展培训和演练，提高应急救治能力。</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  医疗卫生救援演练需要公众参与的，必须报经本级人民政府同意。</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  5.5 物资储备</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卫生行政部门提出医疗卫生救援应急药品、医疗器械、设备、快速检测器材和试剂、卫生防护用品等物资的储备计划建议。发展改革部门负责组织应急物资的生产、储备和调运，保证供应，维护市场秩序，保持物价稳定。应急储备物资使用后要及时补充。</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  5.6 医疗卫生救援经费</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  财政部门负责安排应由政府承担的突发公共事件医疗卫生救援所必需的经费，并做好经费使用情况监督工作。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  自然灾害导致的人员伤亡，各级财政按照有关规定承担医疗救治费用或给予补助。</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  安全生产事故引起的人员伤亡，事故发生单位应向医疗急救中心（站）或相关医疗机构支付医疗卫生救援过程中发生的费用，有关部门应负责督促落实。</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  社会安全突发事件中发生的人员伤亡，由有关部门确定的责任单位或责任人承担医疗救治费用，有关部门应负责督促落实。各级财政可根据有关政策规定或本级人民政府的决定对医疗救治费用给予补助。</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  各类保险机构要按照有关规定对参加人身、医疗、健康等保险的伤亡人员，做好理赔工作。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  5.7 医疗卫生救援的交通运输保障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  各级医疗卫生救援应急队伍要根据实际工作需要配备救护车辆、交通工具和通讯设备。</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铁路、交通、民航、公安（交通管理）等有关部门，要保证医疗卫生救援人员和物资运输的优先安排、优先调度、优先放行，确保运输安全畅通。情况特别紧急时，对现场及相关通道实行交通管制，开设应急救援“绿色通道”，保证医疗卫生救援工作的顺利开展。</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  5.8 其他保障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  公安机关负责维护突发公共事件现场治安秩序，保证现场医疗卫生救援工作的顺利进行。</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  科技部门制定突发公共事件医疗卫生救援应急技术研究方案，组织科研力量开展医疗卫生救援应急技术科研攻关，统一协调、解决检测技术及药物研发和应用中的科技问题。</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  海关负责突发公共事件医疗卫生救援急需进口特殊药品、试剂、器材的优先通关验放工作。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  食品药品监管部门负责突发公共事件医疗卫生救援药品、医疗器械和设备的监督管理，参与组织特殊药品的研发和生产，并组织对特殊药品进口的审批。</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红十字会按照《中国红十字会总会自然灾害与突发公共事件应急预案》，负责组织群众开展现场自救和互救，做好相关工作。并根据突发公共事件的具体情况，向国内外发出呼吁，依法接受国内外组织和个人的捐赠，提供急需的人道主义援助。</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  总后卫生部负责组织军队有关医疗卫生技术人员和力量，支持和配合突发公共事件医疗卫生救援工作。</w:t>
      </w:r>
    </w:p>
    <w:p>
      <w:pPr>
        <w:widowControl w:val="0"/>
        <w:wordWrap/>
        <w:overflowPunct w:val="0"/>
        <w:spacing w:beforeAutospacing="0" w:afterAutospacing="0" w:line="560" w:lineRule="exac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  6 医疗卫生救援的公众参与</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000000"/>
          <w:sz w:val="32"/>
          <w:szCs w:val="32"/>
          <w:lang w:val="en-US" w:eastAsia="zh-CN"/>
        </w:rPr>
        <w:t>  各级卫生行政部门要做好突发公共事件医疗卫生救援知识普及的组织工作；中央和地方广播、电视、报刊、互联网等媒体要扩大对社会公众的宣传教育；各部门、企事业单位、社会团体要加强对所属人员的宣传教育；各医疗卫生机构要做好宣传资料的提供和师资培训工作。在广泛普及医疗卫生救援知识的基础上逐步组建以公安干警、企事业单位安全员和卫生员为骨干的群众</w:t>
      </w:r>
      <w:r>
        <w:rPr>
          <w:rFonts w:hint="eastAsia" w:ascii="仿宋" w:hAnsi="仿宋" w:eastAsia="仿宋" w:cs="仿宋"/>
          <w:color w:val="auto"/>
          <w:sz w:val="32"/>
          <w:szCs w:val="32"/>
          <w:lang w:val="en-US" w:eastAsia="zh-CN"/>
        </w:rPr>
        <w:t>性救助网络，经过培训和演练提高其自救、互救能力。</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  7 附 则</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  7.1 责任与奖惩</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  突发公共事件医疗卫生救援工作实行责任制和责任追究制。</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  各级卫生行政部门，对突发公共事件医疗卫生救援工作作出贡献的先进集体和个人要给予表彰和奖励。对失职、渎职的有关责任人，要依据有关规定严肃追究责任，构成犯罪的，依法追究刑事责任。</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  7.2 预案制定与修订</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  本预案由国务院卫生行政部门组织制定并报国务院审批发布。各地区可结合实际制定本地区的突发公共事件医疗卫生救援应急预案。</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  本预案定期进行评审，根据突发公共事件医疗卫生救援实施过程中发现的问题及时进行修订和补充。</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  7.3 预案实施时间</w:t>
      </w:r>
    </w:p>
    <w:p>
      <w:pPr>
        <w:widowControl w:val="0"/>
        <w:wordWrap/>
        <w:overflowPunct w:val="0"/>
        <w:spacing w:beforeAutospacing="0" w:afterAutospacing="0" w:line="560" w:lineRule="exac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  本预案自印发之日起实施。</w:t>
      </w:r>
    </w:p>
    <w:p>
      <w:pPr>
        <w:rPr>
          <w:rFonts w:hint="eastAsia" w:ascii="宋体" w:hAnsi="宋体" w:eastAsia="宋体" w:cs="Arial"/>
          <w:bCs/>
          <w:color w:val="auto"/>
          <w:sz w:val="44"/>
          <w:szCs w:val="44"/>
          <w:lang w:val="en-US" w:eastAsia="zh-CN"/>
        </w:rPr>
      </w:pPr>
    </w:p>
    <w:p>
      <w:pPr>
        <w:rPr>
          <w:rFonts w:hint="eastAsia" w:ascii="宋体" w:hAnsi="宋体" w:eastAsia="宋体" w:cs="Arial"/>
          <w:bCs/>
          <w:color w:val="auto"/>
          <w:sz w:val="44"/>
          <w:szCs w:val="44"/>
          <w:lang w:val="en-US" w:eastAsia="zh-CN"/>
        </w:rPr>
      </w:pPr>
      <w:r>
        <w:rPr>
          <w:rFonts w:hint="eastAsia" w:ascii="宋体" w:hAnsi="宋体" w:eastAsia="宋体" w:cs="Arial"/>
          <w:bCs/>
          <w:color w:val="auto"/>
          <w:sz w:val="44"/>
          <w:szCs w:val="44"/>
          <w:lang w:val="en-US"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306" w:name="_Toc8725"/>
      <w:r>
        <w:rPr>
          <w:rFonts w:hint="eastAsia" w:ascii="宋体" w:hAnsi="宋体" w:eastAsia="宋体" w:cs="宋体"/>
          <w:sz w:val="44"/>
          <w:szCs w:val="44"/>
        </w:rPr>
        <w:t>公共场所卫生管理条例实施细则</w:t>
      </w:r>
      <w:bookmarkEnd w:id="306"/>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（2011年3月10日卫生部令第80号公布　根据2016年1月19日国家卫生和计划生育委员会令第8号《国家卫生计生委关于修改〈外国医师来华短期行医暂行管理办法〉等8件部门规章的决定》第一次修正　根据2017年12月26日国家卫生和计划生育委员会令第18号《国家卫生计生委关于修改〈新食品原料安全性审查管理办法〉等7件部门规章的决定》第二次修正）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根据《公共场所卫生管理条例》的规定，制定本细则。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第二条 </w:t>
      </w:r>
      <w:r>
        <w:rPr>
          <w:rFonts w:hint="eastAsia" w:ascii="仿宋" w:hAnsi="仿宋" w:eastAsia="仿宋" w:cs="仿宋"/>
          <w:sz w:val="32"/>
          <w:szCs w:val="32"/>
        </w:rPr>
        <w:t>公共场所经营者在经营活动中，应当遵守有关卫生法律、行政法规和部门规章以及相关的卫生标准、规范，开展公共场所卫生知识宣传，预防传染病和保障公众健康，为顾客提供良好的卫生环境。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国家卫生计生委主管全国公共场所卫生监督管理工作。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县级以上地方各级人民政府卫生计生行政部门负责本行政区域的公共场所卫生监督管理工作。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国境口岸及出入境交通工具的卫生监督管理工作由出入境检验检疫机构按照有关法律法规的规定执行。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铁路部门所属的卫生主管部门负责对管辖范围内的车站、等候室、铁路客车以及主要为本系统职工服务的公共场所的卫生监督管理工作。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县级以上地方各级人民政府卫生计生行政部门应当根据公共场所卫生监督管理需要，建立健全公共场所卫生监督队伍和公共场所卫生监测体系，制定公共场所卫生监督计划并组织实施。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鼓励和支持公共场所行业组织开展行业自律教育，引导公共场所经营者依法经营，推动行业诚信建设，宣传、普及公共场所卫生知识。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任何单位或者个人对违反本细则的行为，有权举报。接到举报的卫生计生行政部门应当及时调查处理，并按照规定予以答复。</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卫生管理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公共场所的法定代表人或者负责人是其经营场所卫生安全的第一责任人。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公共场所经营者应当设立卫生管理部门或者配备专（兼）职卫生管理人员，具体负责本公共场所的卫生工作，建立健全卫生管理制度和卫生管理档案。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公共场所卫生管理档案应当主要包括下列内容：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（一）卫生管理部门、人员设置情况及卫生管理制度；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（二）空气、微小气候（湿度、温度、风速）、水质、采光、照明、噪声的检测情况；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（三）顾客用品用具的清洗、消毒、更换及检测情况；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（四）卫生设施的使用、维护、检查情况；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（五）集中空调通风系统的清洗、消毒情况；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（六）安排从业人员健康检查情况和培训考核情况；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（七）公共卫生用品进货索证管理情况；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（八）公共场所危害健康事故应急预案或者方案；</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（九）省、自治区、直辖市卫生计生行政部门要求记录的其他情况。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公共场所卫生管理档案应当有专人管理，分类记录，至少保存两年。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公共场所经营者应当建立卫生培训制度，组织从业人员学习相关卫生法律知识和公共场所卫生知识，并进行考核。对考核不合格的，不得安排上岗。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公共场所经营者应当组织从业人员每年进行健康检查，从业人员在取得有效健康合格证明后方可上岗。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患有痢疾、伤寒、甲型病毒性肝炎、戊型病毒性肝炎等消化道传染病的人员，以及患有活动性肺结核、化脓性或者渗出性皮肤病等疾病的人员，治愈前不得从事直接为顾客服务的工作。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公共场所经营者应当保持公共场所空气流通，室内空气质量应当符合国家卫生标准和要求。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公共场所采用集中空调通风系统的，应当符合公共场所集中空调通风系统相关卫生规范和规定的要求。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公共场所经营者提供给顾客使用的生活饮用水应当符合国家生活饮用水卫生标准要求。游泳场（馆）和公共浴室水质应当符合国家卫生标准和要求。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公共场所的采光照明、噪声应当符合国家卫生标准和要求。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公共场所应当尽量采用自然光。自然采光不足的，公共场所经营者应当配置与其经营场所规模相适应的照明设施。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公共场所经营者应当采取措施降低噪声。</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公共场所经营者提供给顾客使用的用品用具应当保证卫生安全，可以反复使用的用品用具应当一客一换，按照有关卫生标准和要求清洗、消毒、保洁。禁止重复使用一次性用品用具。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公共场所经营者应当根据经营规模、项目设置清洗、消毒、保洁、盥洗等设施设备和公共卫生间。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公共场所经营者应当建立卫生设施设备维护制度，定期检查卫生设施设备，确保其正常运行，不得擅自拆除、改造或者挪作他用。公共场所设置的卫生间，应当有单独通风排气设施，保持清洁无异味。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公共场所经营者应当配备安全、有效的预防控制蚊、蝇、蟑螂、鼠和其他病媒生物的设施设备及废弃物存放专用设施设备，并保证相关设施设备的正常使用，及时清运废弃物。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公共场所的选址、设计、装修应当符合国家相关标准和规范的要求。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公共场所室内装饰装修期间不得营业。进行局部装饰装修的，经营者应当采取有效措施，保证营业的非装饰装修区域室内空气质量合格。</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室内公共场所禁止吸烟。公共场所经营者应当设置醒目的禁止吸烟警语和标志。</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室外公共场所设置的吸烟区不得位于行人必经的通道上。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公共场所不得设置自动售烟机。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公共场所经营者应当开展吸烟危害健康的宣传，并配备专（兼）职人员对吸烟者进行劝阻。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公共场所经营者应当按照卫生标准、规范的要求对公共场所的空气、微小气候、水质、采光、照明、噪声、顾客用品用具等进行卫生检测，检测每年不得少于一次；检测结果不符合卫生标准、规范要求的应当及时整改。</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公共场所经营者不具备检测能力的，可以委托检测。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公共场所经营者应当在醒目位置如实公示检测结果，并对其卫生检测的真实性负责，依法依规承担相应后果。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公共场所经营者应当制定公共场所危害健康事故应急预案或者方案，定期检查公共场所各项卫生制度、措施的落实情况，及时消除危害公众健康的隐患。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第二十一条</w:t>
      </w:r>
      <w:r>
        <w:rPr>
          <w:rFonts w:hint="eastAsia" w:ascii="仿宋" w:hAnsi="仿宋" w:eastAsia="仿宋" w:cs="仿宋"/>
          <w:sz w:val="32"/>
          <w:szCs w:val="32"/>
        </w:rPr>
        <w:t xml:space="preserve"> 公共场所发生危害健康事故的，经营者应当立即处置，防止危害扩大，并及时向县级人民政府卫生计生行政部门报告。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任何单位或者个人对危害健康事故不得隐瞒、缓报、谎报或者授意他人隐瞒、缓报、谎报。</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卫生监督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国家对除公园、体育场馆、公共交通工具外的公共场所实行卫生许可证管理。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公共场所经营者取得工商行政管理部门颁发的营业执照后，还应当按照规定向县级以上地方人民政府卫生计生行政部门申请卫生许可证，方可营业。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公共场所卫生监督的具体范围由省、自治区、直辖市人民政府卫生计生行政部门公布。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第二十三条</w:t>
      </w:r>
      <w:r>
        <w:rPr>
          <w:rFonts w:hint="eastAsia" w:ascii="仿宋" w:hAnsi="仿宋" w:eastAsia="仿宋" w:cs="仿宋"/>
          <w:sz w:val="32"/>
          <w:szCs w:val="32"/>
        </w:rPr>
        <w:t xml:space="preserve"> 公共场所经营者申请卫生许可证的，应当提交下列资料：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（一）卫生许可证申请表；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（二）法定代表人或者负责人身份证明；</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（三）公共场所地址方位示意图、平面图和卫生设施平面布局图；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（四）公共场所卫生检测或者评价报告；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（五）公共场所卫生管理制度；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（六）省、自治区、直辖市卫生计生行政部门要求提供的其他材料。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使用集中空调通风系统的，还应当提供集中空调通风系统卫生检测或者评价报告。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县级以上地方人民政府卫生计生行政部门应当自受理公共场所卫生许可申请之日起20日内，对申报资料进行审查，对现场进行审核，符合规定条件的，作出准予公共场所卫生许可的决定；对不符合规定条件的，作出不予行政许可的决定并书面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公共场所卫生许可证应当载明编号、单位名称、法定代表人或者负责人、经营项目、经营场所地址、发证机关、发证时间、有效期限。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公共场所卫生许可证有效期为四年。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公共场所卫生许可证应当在经营场所醒目位置公示。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公共场所进行新建、改建、扩建的，应当符合有关卫生标准和要求，经营者应当按照有关规定办理预防性卫生审查手续。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预防性卫生审查程序和具体要求由省、自治区、直辖市人民政府卫生计生行政部门制定。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第二十七条 </w:t>
      </w:r>
      <w:r>
        <w:rPr>
          <w:rFonts w:hint="eastAsia" w:ascii="仿宋" w:hAnsi="仿宋" w:eastAsia="仿宋" w:cs="仿宋"/>
          <w:sz w:val="32"/>
          <w:szCs w:val="32"/>
        </w:rPr>
        <w:t>公共场所经营者变更单位名称、法定代表人或者负责人的，应当向原发证卫生计生行政部门办理变更手续。</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公共场所经营者变更经营项目、经营场所地址的，应当向县级以上地方人民政府卫生计生行政部门重新申请卫生许可证。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公共场所经营者需要延续卫生许可证的，应当在卫生许可证有效期届满30日前，向原发证卫生计生行政部门提出申请。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县级以上人民政府卫生计生行政部门应当组织对公共场所的健康危害因素进行监测、分析，为制定法律法规、卫生标准和实施监督管理提供科学依据。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县级以上疾病预防控制机构应当承担卫生计生行政部门下达的公共场所健康危害因素监测任务。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县级以上地方人民政府卫生计生行政部门应当对公共场所卫生监督实施量化分级管理，促进公共场所自身卫生管理，增强卫生监督信息透明度。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县级以上地方人民政府卫生计生行政部门应当根据卫生监督量化评价的结果确定公共场所的卫生信誉度等级和日常监督频次。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公共场所卫生信誉度等级应当在公共场所醒目位置公示。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第三十一条 </w:t>
      </w:r>
      <w:r>
        <w:rPr>
          <w:rFonts w:hint="eastAsia" w:ascii="仿宋" w:hAnsi="仿宋" w:eastAsia="仿宋" w:cs="仿宋"/>
          <w:sz w:val="32"/>
          <w:szCs w:val="32"/>
        </w:rPr>
        <w:t>县级以上地方人民政府卫生计生行政部门对公共场所进行监督检查，应当依据有关卫生标准和要求，采取现场卫生监测、采样、查阅和复制文件、询问等方法，有关单位和个人不得拒绝或者隐瞒。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县级以上人民政府卫生计生行政部门应当加强公共场所卫生监督抽检，并将抽检结果向社会公布。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县级以上地方人民政府卫生计生行政部门对发生危害健康事故的公共场所，可以依法采取封闭场所、封存相关物品等临时控制措施。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经检验，属于被污染的场所、物品，应当进行消毒或者销毁；对未被污染的场所、物品或者经消毒后可以使用的物品，应当解除控制措施。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第三十四条 </w:t>
      </w:r>
      <w:r>
        <w:rPr>
          <w:rFonts w:hint="eastAsia" w:ascii="仿宋" w:hAnsi="仿宋" w:eastAsia="仿宋" w:cs="仿宋"/>
          <w:sz w:val="32"/>
          <w:szCs w:val="32"/>
        </w:rPr>
        <w:t>开展公共场所卫生检验、检测、评价等业务的技术服务机构，应当具有相应专业技术能力，按照有关卫生标准、规范的要求开展工作，不得出具虚假检验、检测、评价等报告。</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法律责任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对未依法取得公共场所卫生许可证擅自营业的，由县级以上地方人民政府卫生计生行政部门责令限期改正，给予警告，并处以五百元以上五千元以下罚款；有下列情形之一的，处以五千元以上三万元以下罚款：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（一）擅自营业曾受过卫生计生行政部门处罚的；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（二）擅自营业时间在三个月以上的；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（三）以涂改、转让、倒卖、伪造的卫生许可证擅自营业的。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对涂改、转让、倒卖有效卫生许可证的，由原发证的卫生计生行政部门予以注销。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公共场所经营者有下列情形之一的，由县级以上地方人民政府卫生计生行政部门责令限期改正，给予警告，并可处以二千元以下罚款；逾期不改正，造成公共场所卫生质量不符合卫生标准和要求的，处以二千元以上二万元以下罚款；情节严重的，可以依法责令停业整顿，直至吊销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（一）未按照规定对公共场所的空气、微小气候、水质、采光、照明、噪声、顾客用品用具等进行卫生检测的；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（二）未按照规定对顾客用品用具进行清洗、消毒、保洁，或者重复使用一次性用品用具的。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第三十七条</w:t>
      </w:r>
      <w:r>
        <w:rPr>
          <w:rFonts w:hint="eastAsia" w:ascii="仿宋" w:hAnsi="仿宋" w:eastAsia="仿宋" w:cs="仿宋"/>
          <w:sz w:val="32"/>
          <w:szCs w:val="32"/>
        </w:rPr>
        <w:t xml:space="preserve"> 公共场所经营者有下列情形之一的，由县级以上地方人民政府卫生计生行政部门责令限期改正；逾期不改的，给予警告，并处以一千元以上一万元以下罚款；对拒绝监督的，处以一万元以上三万元以下罚款；情节严重的，可以依法责令停业整顿，直至吊销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（一）未按照规定建立卫生管理制度、设立卫生管理部门或者配备专（兼）职卫生管理人员，或者未建立卫生管理档案的；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（二）未按照规定组织从业人员进行相关卫生法律知识和公共场所卫生知识培训，或者安排未经相关卫生法律知识和公共场所卫生知识培训考核的从业人员上岗的；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（三）未按照规定设置与其经营规模、项目相适应的清洗、消毒、保洁、盥洗等设施设备和公共卫生间，或者擅自停止使用、拆除上述设施设备，或者挪作他用的；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未按照规定配备预防控制鼠、蚊、蝇、蟑螂和其他病媒生物的设施设备以及废弃物存放专用设施设备，或者擅自停止使用、拆除预防控制鼠、蚊、蝇、蟑螂和其他病媒生物的设施设备以及废弃物存放专用设施设备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（五）未按照规定索取公共卫生用品检验合格证明和其他相关资料的；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（六）未按照规定对公共场所新建、改建、扩建项目办理预防性卫生审查手续的；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（七）公共场所集中空调通风系统未经卫生检测或者评价不合格而投入使用的；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（八）未按照规定公示公共场所卫生许可证、卫生检测结果和卫生信誉度等级的。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公共场所经营者安排未获得有效健康合格证明的从业人员从事直接为顾客服务工作的，由县级以上地方人民政府卫生计生行政部门责令限期改正，给予警告，并处以五百元以上五千元以下罚款；逾期不改正的，处以五千元以上一万五千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公共场所经营者对发生的危害健康事故未立即采取处置措施，导致危害扩大，或者隐瞒、缓报、谎报的，由县级以上地方人民政府卫生计生行政部门处以五千元以上三万元以下罚款；情节严重的，可以依法责令停业整顿，直至吊销卫生许可证。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第四十条</w:t>
      </w:r>
      <w:r>
        <w:rPr>
          <w:rFonts w:hint="eastAsia" w:ascii="仿宋" w:hAnsi="仿宋" w:eastAsia="仿宋" w:cs="仿宋"/>
          <w:sz w:val="32"/>
          <w:szCs w:val="32"/>
        </w:rPr>
        <w:t xml:space="preserve"> 公共场所经营者违反其他卫生法律、行政法规规定，应当给予行政处罚的，按照有关卫生法律、行政法规规定进行处罚。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县级以上人民政府卫生计生行政部门及其工作人员玩忽职守、滥用职权、收取贿赂的，由有关部门对单位负责人、直接负责的主管人员和其他责任人员依法给予行政处分。构成犯罪的，依法追究刑事责任。</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本细则下列用语的含义：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集中空调通风系统，指为使房间或者封闭空间空气温度、湿度、洁净度和气流速度等参数达到设定的要求，而对空气进行集中处理、输送、分配的所有设备、管道及附件、仪器仪表的总和。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公共场所危害健康事故，指公共场所内发生的传染病疫情或者因空气质量、水质不符合卫生标准、用品用具或者设施受到污染导致的危害公众健康事故。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本细则自2011年5月1日起实施。卫生部1991年3月11日发布的《公共场所卫生管理条例实施细则》同时废止。</w:t>
      </w:r>
    </w:p>
    <w:p>
      <w:pPr>
        <w:rPr>
          <w:rFonts w:hint="eastAsia" w:ascii="宋体" w:hAnsi="宋体" w:eastAsia="宋体" w:cs="Arial"/>
          <w:bCs/>
          <w:color w:val="auto"/>
          <w:sz w:val="44"/>
          <w:szCs w:val="44"/>
          <w:lang w:val="en-US" w:eastAsia="zh-CN"/>
        </w:rPr>
      </w:pPr>
      <w:r>
        <w:rPr>
          <w:rFonts w:hint="eastAsia" w:ascii="宋体" w:hAnsi="宋体" w:eastAsia="宋体" w:cs="Arial"/>
          <w:bCs/>
          <w:color w:val="auto"/>
          <w:sz w:val="44"/>
          <w:szCs w:val="44"/>
          <w:lang w:val="en-US" w:eastAsia="zh-CN"/>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307" w:name="_Toc27255"/>
      <w:r>
        <w:rPr>
          <w:rFonts w:hint="eastAsia" w:ascii="宋体" w:hAnsi="宋体" w:eastAsia="宋体" w:cs="宋体"/>
          <w:sz w:val="44"/>
          <w:szCs w:val="44"/>
        </w:rPr>
        <w:t>消毒管理办法</w:t>
      </w:r>
      <w:bookmarkEnd w:id="307"/>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textAlignment w:val="auto"/>
        <w:rPr>
          <w:rFonts w:hint="eastAsia" w:ascii="楷体" w:hAnsi="楷体" w:eastAsia="楷体" w:cs="楷体"/>
          <w:sz w:val="32"/>
          <w:szCs w:val="32"/>
        </w:rPr>
      </w:pPr>
      <w:r>
        <w:rPr>
          <w:rFonts w:hint="eastAsia" w:ascii="楷体" w:hAnsi="楷体" w:eastAsia="楷体" w:cs="楷体"/>
          <w:sz w:val="32"/>
          <w:szCs w:val="32"/>
        </w:rPr>
        <w:t>（2002年3月28日卫生部令第27号公布　根据2016年1月19日《国家卫生计生委关于修改〈外国医师来华短期行医暂行管理办法〉等8件部门规章的决定》</w:t>
      </w:r>
      <w:r>
        <w:rPr>
          <w:rFonts w:hint="eastAsia" w:ascii="楷体" w:hAnsi="楷体" w:eastAsia="楷体" w:cs="楷体"/>
          <w:sz w:val="32"/>
          <w:szCs w:val="32"/>
          <w:lang w:val="en-US" w:eastAsia="zh-CN"/>
        </w:rPr>
        <w:t>修正 根据</w:t>
      </w:r>
      <w:r>
        <w:rPr>
          <w:rFonts w:hint="eastAsia" w:ascii="楷体" w:hAnsi="楷体" w:eastAsia="楷体" w:cs="楷体"/>
          <w:sz w:val="32"/>
          <w:szCs w:val="32"/>
        </w:rPr>
        <w:t>2017年12月26日《国家卫生计生委关于修改〈新食品原料安全性审查管理办法〉等7件部门规章的决定》修订）</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第一条</w:t>
      </w:r>
      <w:r>
        <w:rPr>
          <w:rFonts w:hint="eastAsia" w:ascii="仿宋" w:hAnsi="仿宋" w:eastAsia="仿宋" w:cs="仿宋"/>
          <w:sz w:val="32"/>
          <w:szCs w:val="32"/>
        </w:rPr>
        <w:t xml:space="preserve"> 为了加强消毒管理，预防和控制感染性疾病的传播，保障人体健康，根据《中华人民共和国传染病防治法》及其实施办法的有关规定，制定本办法。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第二条</w:t>
      </w:r>
      <w:r>
        <w:rPr>
          <w:rFonts w:hint="eastAsia" w:ascii="仿宋" w:hAnsi="仿宋" w:eastAsia="仿宋" w:cs="仿宋"/>
          <w:sz w:val="32"/>
          <w:szCs w:val="32"/>
        </w:rPr>
        <w:t xml:space="preserve"> 本办法适用于医疗卫生机构、消毒服务机构以及从事消毒产品生产、经营活动的单位和个人。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其他需要消毒的场所和物品管理也适用于本办法。</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第三条</w:t>
      </w:r>
      <w:r>
        <w:rPr>
          <w:rFonts w:hint="eastAsia" w:ascii="仿宋" w:hAnsi="仿宋" w:eastAsia="仿宋" w:cs="仿宋"/>
          <w:sz w:val="32"/>
          <w:szCs w:val="32"/>
        </w:rPr>
        <w:t xml:space="preserve"> 国家卫生计生委主管全国消毒监督管理工作。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铁路、交通卫生主管机构依照本办法负责本系统的消毒监督管理工作。</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消毒的卫生要求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第四条</w:t>
      </w:r>
      <w:r>
        <w:rPr>
          <w:rFonts w:hint="eastAsia" w:ascii="仿宋" w:hAnsi="仿宋" w:eastAsia="仿宋" w:cs="仿宋"/>
          <w:sz w:val="32"/>
          <w:szCs w:val="32"/>
        </w:rPr>
        <w:t xml:space="preserve"> 医疗卫生机构应当建立消毒管理组织，制定消毒管理制度，执行国家有关规范、标准和规定，定期开展消毒与灭菌效果检测工作。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第五条</w:t>
      </w:r>
      <w:r>
        <w:rPr>
          <w:rFonts w:hint="eastAsia" w:ascii="仿宋" w:hAnsi="仿宋" w:eastAsia="仿宋" w:cs="仿宋"/>
          <w:sz w:val="32"/>
          <w:szCs w:val="32"/>
        </w:rPr>
        <w:t xml:space="preserve"> 医疗卫生机构工作人员应当接受消毒技术培训、掌握消毒知识，并按规定严格执行消毒隔离制度。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第六条</w:t>
      </w:r>
      <w:r>
        <w:rPr>
          <w:rFonts w:hint="eastAsia" w:ascii="仿宋" w:hAnsi="仿宋" w:eastAsia="仿宋" w:cs="仿宋"/>
          <w:sz w:val="32"/>
          <w:szCs w:val="32"/>
        </w:rPr>
        <w:t xml:space="preserve"> 医疗卫生机构使用的进入人体组织或无菌器官的医疗用品必须达到灭菌要求。各种注射、穿刺、采血器具应当一人一用一灭菌。凡接触皮肤、粘膜的器械和用品必须达到消毒要求。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医疗卫生机构使用的一次性使用医疗用品用后应当及时进行无害化处理。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第七条</w:t>
      </w:r>
      <w:r>
        <w:rPr>
          <w:rFonts w:hint="eastAsia" w:ascii="仿宋" w:hAnsi="仿宋" w:eastAsia="仿宋" w:cs="仿宋"/>
          <w:sz w:val="32"/>
          <w:szCs w:val="32"/>
        </w:rPr>
        <w:t xml:space="preserve"> 医疗卫生机构购进消毒产品必须建立并执行进货检查验收制度。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第八条</w:t>
      </w:r>
      <w:r>
        <w:rPr>
          <w:rFonts w:hint="eastAsia" w:ascii="仿宋" w:hAnsi="仿宋" w:eastAsia="仿宋" w:cs="仿宋"/>
          <w:sz w:val="32"/>
          <w:szCs w:val="32"/>
        </w:rPr>
        <w:t xml:space="preserve"> 医疗卫生机构的环境、物品应当符合国家有关规范、标准和规定。排放废弃的污水、污物应当按照国家有关规定进行无害化处理。运送传染病病人及其污染物品的车辆、工具必须随时进行消毒处理。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第九条</w:t>
      </w:r>
      <w:r>
        <w:rPr>
          <w:rFonts w:hint="eastAsia" w:ascii="仿宋" w:hAnsi="仿宋" w:eastAsia="仿宋" w:cs="仿宋"/>
          <w:sz w:val="32"/>
          <w:szCs w:val="32"/>
        </w:rPr>
        <w:t xml:space="preserve"> 医疗卫生机构发生感染性疾病暴发、流行时，应当及时报告当地卫生计生行政部门，并采取有效消毒措施。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第十条</w:t>
      </w:r>
      <w:r>
        <w:rPr>
          <w:rFonts w:hint="eastAsia" w:ascii="仿宋" w:hAnsi="仿宋" w:eastAsia="仿宋" w:cs="仿宋"/>
          <w:sz w:val="32"/>
          <w:szCs w:val="32"/>
        </w:rPr>
        <w:t xml:space="preserve"> 加工、出售、运输被传染病病原体污染或者来自疫区可能被传染病病原体污染的皮毛，应当进行消毒处理。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第十一条</w:t>
      </w:r>
      <w:r>
        <w:rPr>
          <w:rFonts w:hint="eastAsia" w:ascii="仿宋" w:hAnsi="仿宋" w:eastAsia="仿宋" w:cs="仿宋"/>
          <w:sz w:val="32"/>
          <w:szCs w:val="32"/>
        </w:rPr>
        <w:t xml:space="preserve"> 托幼机构应当健全和执行消毒管理制度，对室内空气、餐（饮）具、毛巾、玩具和其他幼儿活动的场所及接触的物品定期进行消毒。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第十二条</w:t>
      </w:r>
      <w:r>
        <w:rPr>
          <w:rFonts w:hint="eastAsia" w:ascii="仿宋" w:hAnsi="仿宋" w:eastAsia="仿宋" w:cs="仿宋"/>
          <w:sz w:val="32"/>
          <w:szCs w:val="32"/>
        </w:rPr>
        <w:t xml:space="preserve"> 出租衣物及洗涤衣物的单位和个人，应当对相关物品及场所进行消毒。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第十三条</w:t>
      </w:r>
      <w:r>
        <w:rPr>
          <w:rFonts w:hint="eastAsia" w:ascii="仿宋" w:hAnsi="仿宋" w:eastAsia="仿宋" w:cs="仿宋"/>
          <w:sz w:val="32"/>
          <w:szCs w:val="32"/>
        </w:rPr>
        <w:t xml:space="preserve"> 从事致病微生物实验的单位应当执行有关的管理制度、操作规程，对实验的器材、污染物品等按规定进行消毒，防止实验室感染和致病微生物的扩散。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第十四条</w:t>
      </w:r>
      <w:r>
        <w:rPr>
          <w:rFonts w:hint="eastAsia" w:ascii="仿宋" w:hAnsi="仿宋" w:eastAsia="仿宋" w:cs="仿宋"/>
          <w:sz w:val="32"/>
          <w:szCs w:val="32"/>
        </w:rPr>
        <w:t xml:space="preserve"> 殡仪馆、火葬场内与遗体接触的物品及运送遗体的车辆应当及时消毒。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第十五条</w:t>
      </w:r>
      <w:r>
        <w:rPr>
          <w:rFonts w:hint="eastAsia" w:ascii="仿宋" w:hAnsi="仿宋" w:eastAsia="仿宋" w:cs="仿宋"/>
          <w:sz w:val="32"/>
          <w:szCs w:val="32"/>
        </w:rPr>
        <w:t xml:space="preserve"> 招用流动人员200人以上的用工单位，应当对流动人员集中生活起居的场所及使用的物品定期进行消毒。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第十六条</w:t>
      </w:r>
      <w:r>
        <w:rPr>
          <w:rFonts w:hint="eastAsia" w:ascii="仿宋" w:hAnsi="仿宋" w:eastAsia="仿宋" w:cs="仿宋"/>
          <w:sz w:val="32"/>
          <w:szCs w:val="32"/>
        </w:rPr>
        <w:t xml:space="preserve"> 疫源地的消毒应当执行国家有关规范、标准和规定。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第十七条</w:t>
      </w:r>
      <w:r>
        <w:rPr>
          <w:rFonts w:hint="eastAsia" w:ascii="仿宋" w:hAnsi="仿宋" w:eastAsia="仿宋" w:cs="仿宋"/>
          <w:sz w:val="32"/>
          <w:szCs w:val="32"/>
        </w:rPr>
        <w:t xml:space="preserve"> 公共场所、食品、生活饮用水、血液制品的消毒管理，按有关法律、法规的规定执行。</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消毒产品的生产经营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第十八条</w:t>
      </w:r>
      <w:r>
        <w:rPr>
          <w:rFonts w:hint="eastAsia" w:ascii="仿宋" w:hAnsi="仿宋" w:eastAsia="仿宋" w:cs="仿宋"/>
          <w:sz w:val="32"/>
          <w:szCs w:val="32"/>
        </w:rPr>
        <w:t xml:space="preserve"> 消毒产品应当符合国家有关规范、标准和规定。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第十九条</w:t>
      </w:r>
      <w:r>
        <w:rPr>
          <w:rFonts w:hint="eastAsia" w:ascii="仿宋" w:hAnsi="仿宋" w:eastAsia="仿宋" w:cs="仿宋"/>
          <w:sz w:val="32"/>
          <w:szCs w:val="32"/>
        </w:rPr>
        <w:t xml:space="preserve"> 消毒产品的生产应当符合国家有关规范、标准和规定，对生产的消毒产品应当进行检验，不合格者不得出厂。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第二十条</w:t>
      </w:r>
      <w:r>
        <w:rPr>
          <w:rFonts w:hint="eastAsia" w:ascii="仿宋" w:hAnsi="仿宋" w:eastAsia="仿宋" w:cs="仿宋"/>
          <w:sz w:val="32"/>
          <w:szCs w:val="32"/>
        </w:rPr>
        <w:t xml:space="preserve"> 消毒剂、消毒器械和卫生用品生产企业取得工商行政管理部门颁发的营业执照后，还应当取得所在地省级卫生计生行政部门发放的卫生许可证，方可从事消毒产品的生产。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第二十一条 </w:t>
      </w:r>
      <w:r>
        <w:rPr>
          <w:rFonts w:hint="eastAsia" w:ascii="仿宋" w:hAnsi="仿宋" w:eastAsia="仿宋" w:cs="仿宋"/>
          <w:sz w:val="32"/>
          <w:szCs w:val="32"/>
        </w:rPr>
        <w:t>省级卫生计生行政部门应当自受理消毒产品生产企业的申请之日起二十日内作出是否批准的决定。对符合《消毒产品生产企业卫生规范》要求的，发给卫生许可证；对不符合的，不予批准，并说明理由。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第二十二条</w:t>
      </w:r>
      <w:r>
        <w:rPr>
          <w:rFonts w:hint="eastAsia" w:ascii="仿宋" w:hAnsi="仿宋" w:eastAsia="仿宋" w:cs="仿宋"/>
          <w:sz w:val="32"/>
          <w:szCs w:val="32"/>
        </w:rPr>
        <w:t xml:space="preserve"> 消毒产品生产企业卫生许可证编号格式为：（省、自治区、直辖市简称）卫消证字（发证年份）第XXXX号。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消毒产品生产企业卫生许可证的生产项目分为消毒剂类、消毒器械类、卫生用品类。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第二十三条 </w:t>
      </w:r>
      <w:r>
        <w:rPr>
          <w:rFonts w:hint="eastAsia" w:ascii="仿宋" w:hAnsi="仿宋" w:eastAsia="仿宋" w:cs="仿宋"/>
          <w:sz w:val="32"/>
          <w:szCs w:val="32"/>
        </w:rPr>
        <w:t>消毒产品生产企业卫生许可证有效期为四年。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消毒产品生产企业卫生许可证有效期满三十日前，生产企业应当向原发证机关申请延续。经审查符合要求的，予以延续，换发新证。新证延用原卫生许可证编号。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第二十四条</w:t>
      </w:r>
      <w:r>
        <w:rPr>
          <w:rFonts w:hint="eastAsia" w:ascii="仿宋" w:hAnsi="仿宋" w:eastAsia="仿宋" w:cs="仿宋"/>
          <w:sz w:val="32"/>
          <w:szCs w:val="32"/>
        </w:rPr>
        <w:t xml:space="preserve"> 消毒产品生产企业迁移厂址或者另设分厂（车间），应当按本办法规定向生产场所所在地的省级卫生计生行政部门申请消毒产品生产企业卫生许可证。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产品包装上标注的厂址、卫生许可证号应当是实际生产地地址和其卫生许可证号。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第二十五条</w:t>
      </w:r>
      <w:r>
        <w:rPr>
          <w:rFonts w:hint="eastAsia" w:ascii="仿宋" w:hAnsi="仿宋" w:eastAsia="仿宋" w:cs="仿宋"/>
          <w:sz w:val="32"/>
          <w:szCs w:val="32"/>
        </w:rPr>
        <w:t xml:space="preserve"> 取得卫生许可证的消毒产品生产企业变更企业名称、法定代表人或者生产类别的，应当向原发证机关提出申请，经审查同意，换发新证。新证延用原卫生许可证编号。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第二十六条</w:t>
      </w:r>
      <w:r>
        <w:rPr>
          <w:rFonts w:hint="eastAsia" w:ascii="仿宋" w:hAnsi="仿宋" w:eastAsia="仿宋" w:cs="仿宋"/>
          <w:sz w:val="32"/>
          <w:szCs w:val="32"/>
        </w:rPr>
        <w:t xml:space="preserve"> 生产、进口利用新材料、新工艺技术和新杀菌原理生产消毒剂和消毒器械（以下简称新消毒产品）应当按照本办法规定取得国家卫生计生委颁发的卫生许可批件。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生产、进口新消毒产品外的消毒剂、消毒器械和卫生用品中的抗（抑）菌制剂，生产、进口企业应当按照有关规定进行卫生安全评价，符合卫生标准和卫生规范要求。产品上市时要将卫生安全评价报告向省级卫生计生行政部门备案，备案应当按照规定要求提供材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第二十七条</w:t>
      </w:r>
      <w:r>
        <w:rPr>
          <w:rFonts w:hint="eastAsia" w:ascii="仿宋" w:hAnsi="仿宋" w:eastAsia="仿宋" w:cs="仿宋"/>
          <w:sz w:val="32"/>
          <w:szCs w:val="32"/>
        </w:rPr>
        <w:t xml:space="preserve"> 生产企业申请新消毒产品卫生许可批件、在华责任单位申请进口新消毒产品卫生许可批件的，应当按照国家卫生计生委新消毒产品卫生行政许可管理规定的要求，向国家卫生计生委提出申请。国家卫生计生委应当按照有关法律法规和相关规定，作出是否批准的决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国家卫生计生委对批准的新消毒产品，发给卫生许可批件，批准文号格式为：卫消新准字（年份）第XXXX号。不予批准的，应当说明理由。</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第二十八条</w:t>
      </w:r>
      <w:r>
        <w:rPr>
          <w:rFonts w:hint="eastAsia" w:ascii="仿宋" w:hAnsi="仿宋" w:eastAsia="仿宋" w:cs="仿宋"/>
          <w:sz w:val="32"/>
          <w:szCs w:val="32"/>
        </w:rPr>
        <w:t xml:space="preserve"> 新消毒产品卫生许可批件的有效期为四年。</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第二十九条</w:t>
      </w:r>
      <w:r>
        <w:rPr>
          <w:rFonts w:hint="eastAsia" w:ascii="仿宋" w:hAnsi="仿宋" w:eastAsia="仿宋" w:cs="仿宋"/>
          <w:sz w:val="32"/>
          <w:szCs w:val="32"/>
        </w:rPr>
        <w:t xml:space="preserve"> 国家卫生计生委定期公告取得卫生行政许可的新消毒产品批准内容。公告发布之日起，列入公告的同类产品不再按新消毒产品进行卫生行政许可。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第三十条</w:t>
      </w:r>
      <w:r>
        <w:rPr>
          <w:rFonts w:hint="eastAsia" w:ascii="仿宋" w:hAnsi="仿宋" w:eastAsia="仿宋" w:cs="仿宋"/>
          <w:sz w:val="32"/>
          <w:szCs w:val="32"/>
        </w:rPr>
        <w:t xml:space="preserve"> 经营者采购消毒产品时，应当索取下列有效证件：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（一）生产企业卫生许可证复印件；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（二）产品卫生安全评价报告或者新消毒产品卫生许可批件复印件。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有效证件的复印件应当加盖原件持有者的印章。</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第三十一条 </w:t>
      </w:r>
      <w:r>
        <w:rPr>
          <w:rFonts w:hint="eastAsia" w:ascii="仿宋" w:hAnsi="仿宋" w:eastAsia="仿宋" w:cs="仿宋"/>
          <w:sz w:val="32"/>
          <w:szCs w:val="32"/>
        </w:rPr>
        <w:t>消毒产品的命名、标签（含说明书）应当符合国家卫生计生委的有关规定。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消毒产品的标签（含说明书）和宣传内容必须真实，不得出现或暗示对疾病的治疗效果。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第三十二条</w:t>
      </w:r>
      <w:r>
        <w:rPr>
          <w:rFonts w:hint="eastAsia" w:ascii="仿宋" w:hAnsi="仿宋" w:eastAsia="仿宋" w:cs="仿宋"/>
          <w:sz w:val="32"/>
          <w:szCs w:val="32"/>
        </w:rPr>
        <w:t xml:space="preserve"> 禁止生产经营下列消毒产品：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（一）无生产企业卫生许可证或新消毒产品卫生许可批准文件的；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（二）产品卫生安全评价不合格或产品卫生质量不符合要求的。</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消毒服务机构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第三十三条</w:t>
      </w:r>
      <w:r>
        <w:rPr>
          <w:rFonts w:hint="eastAsia" w:ascii="仿宋" w:hAnsi="仿宋" w:eastAsia="仿宋" w:cs="仿宋"/>
          <w:sz w:val="32"/>
          <w:szCs w:val="32"/>
        </w:rPr>
        <w:t xml:space="preserve"> 消毒服务机构应当符合以下要求：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（一）具备符合国家有关规范、标准和规定的消毒与灭菌设备；</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（二）其消毒与灭菌工艺流程和工作环境必须符合卫生要求；</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（三）具有能对消毒与灭菌效果进行检测的人员和条件，建立自检制度；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（四）用环氧乙烷和电离辐射的方法进行消毒与灭菌的，其安全与环境保护等方面的要求按国家有关规定执行；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第三十四条</w:t>
      </w:r>
      <w:r>
        <w:rPr>
          <w:rFonts w:hint="eastAsia" w:ascii="仿宋" w:hAnsi="仿宋" w:eastAsia="仿宋" w:cs="仿宋"/>
          <w:sz w:val="32"/>
          <w:szCs w:val="32"/>
        </w:rPr>
        <w:t xml:space="preserve"> 消毒服务机构不得购置和使用不符合本办法规定的消毒产品。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第三十五条</w:t>
      </w:r>
      <w:r>
        <w:rPr>
          <w:rFonts w:hint="eastAsia" w:ascii="仿宋" w:hAnsi="仿宋" w:eastAsia="仿宋" w:cs="仿宋"/>
          <w:sz w:val="32"/>
          <w:szCs w:val="32"/>
        </w:rPr>
        <w:t xml:space="preserve"> 消毒服务机构应当接受当地卫生计生行政部门的监督。</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监督</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第三十六条</w:t>
      </w:r>
      <w:r>
        <w:rPr>
          <w:rFonts w:hint="eastAsia" w:ascii="仿宋" w:hAnsi="仿宋" w:eastAsia="仿宋" w:cs="仿宋"/>
          <w:sz w:val="32"/>
          <w:szCs w:val="32"/>
        </w:rPr>
        <w:t xml:space="preserve"> 县级以上卫生计生行政部门对消毒工作行使下列监督管理职权：</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（一）对有关机构、场所和物品的消毒工作进行监督检查；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（二）对消毒产品生产企业执行《消毒产品生产企业卫生规范》情况进行监督检查；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（三）对消毒产品的卫生质量进行监督检查；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（四）对消毒服务机构的消毒服务质量进行监督检查；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（五）对违反本办法的行为采取行政控制措施；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（六）对违反本办法的行为给予行政处罚。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第三十七条 </w:t>
      </w:r>
      <w:r>
        <w:rPr>
          <w:rFonts w:hint="eastAsia" w:ascii="仿宋" w:hAnsi="仿宋" w:eastAsia="仿宋" w:cs="仿宋"/>
          <w:sz w:val="32"/>
          <w:szCs w:val="32"/>
        </w:rPr>
        <w:t>有下列情形之一的，国家卫生计生委可以对已获得卫生许可批件的新消毒产品进行重新审查：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（一）产品原料、杀菌原理和生产工艺受到质疑的；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（二）产品安全性、消毒效果受到质疑的。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第三十八条</w:t>
      </w:r>
      <w:r>
        <w:rPr>
          <w:rFonts w:hint="eastAsia" w:ascii="仿宋" w:hAnsi="仿宋" w:eastAsia="仿宋" w:cs="仿宋"/>
          <w:sz w:val="32"/>
          <w:szCs w:val="32"/>
        </w:rPr>
        <w:t xml:space="preserve"> 新消毒产品卫生许可批件的持有者应当在接到国家卫生计生委重新审查通知之日起30日内，按照通知的有关要求提交材料。超过期限未提交有关材料的，视为放弃重新审查，国家卫生计生委可以注销产品卫生许可批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第三十九条</w:t>
      </w:r>
      <w:r>
        <w:rPr>
          <w:rFonts w:hint="eastAsia" w:ascii="仿宋" w:hAnsi="仿宋" w:eastAsia="仿宋" w:cs="仿宋"/>
          <w:sz w:val="32"/>
          <w:szCs w:val="32"/>
        </w:rPr>
        <w:t xml:space="preserve"> 国家卫生计生委自收到重新审查所需的全部材料之日起30日内，应当作出重新审查决定。有下列情形之一的，注销产品卫生许可批件：</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（一）产品原料、杀菌原理和生产工艺不符合利用新材料、新工艺技术和新杀菌原理生产消毒剂和消毒器械的判定依据的；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（二）产品安全性、消毒效果达不到要求的。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 xml:space="preserve">第四十条 </w:t>
      </w:r>
      <w:r>
        <w:rPr>
          <w:rFonts w:hint="eastAsia" w:ascii="仿宋" w:hAnsi="仿宋" w:eastAsia="仿宋" w:cs="仿宋"/>
          <w:sz w:val="32"/>
          <w:szCs w:val="32"/>
        </w:rPr>
        <w:t>消毒产品生产企业应当按照国家卫生标准和卫生规范要求对消毒产品理化指标、微生物指标、杀灭微生物指标、毒理学指标等进行检验。不具备检验能力的，可以委托检验。</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消毒产品的检验活动应当符合国家有关规定。检验报告应当客观、真实，符合有关法律、法规、标准、规范和规定。检验报告在全国范围内有效。</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罚则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第四十一条</w:t>
      </w:r>
      <w:r>
        <w:rPr>
          <w:rFonts w:hint="eastAsia" w:ascii="仿宋" w:hAnsi="仿宋" w:eastAsia="仿宋" w:cs="仿宋"/>
          <w:sz w:val="32"/>
          <w:szCs w:val="32"/>
        </w:rPr>
        <w:t xml:space="preserve"> 医疗卫生机构违反本办法第四条、第五条、第六条、第七条、第八条、第九条规定的，由县级以上地方卫生计生行政部门责令限期改正，可以处5000元以下罚款；造成感染性疾病暴发的，可以处5000元以上20000元以下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第四十二条</w:t>
      </w:r>
      <w:r>
        <w:rPr>
          <w:rFonts w:hint="eastAsia" w:ascii="仿宋" w:hAnsi="仿宋" w:eastAsia="仿宋" w:cs="仿宋"/>
          <w:sz w:val="32"/>
          <w:szCs w:val="32"/>
        </w:rPr>
        <w:t xml:space="preserve"> 加工、出售、运输被传染病病原体污染或者来自疫区可能被传染病病原体污染的皮毛，未按国家有关规定进行消毒处理的，应当按照《传染病防治法实施办法》第六十八条的有关规定给予处罚。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第四十三条</w:t>
      </w:r>
      <w:r>
        <w:rPr>
          <w:rFonts w:hint="eastAsia" w:ascii="仿宋" w:hAnsi="仿宋" w:eastAsia="仿宋" w:cs="仿宋"/>
          <w:sz w:val="32"/>
          <w:szCs w:val="32"/>
        </w:rPr>
        <w:t xml:space="preserve"> 消毒产品生产经营单位违反本办法第三十一条、第三十二条规定的，由县级以上地方卫生计生行政部门责令其限期改正，可以处5000元以下罚款；造成感染性疾病暴发的，可以处5000元以上20000元以下的罚款。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第四十四条</w:t>
      </w:r>
      <w:r>
        <w:rPr>
          <w:rFonts w:hint="eastAsia" w:ascii="仿宋" w:hAnsi="仿宋" w:eastAsia="仿宋" w:cs="仿宋"/>
          <w:sz w:val="32"/>
          <w:szCs w:val="32"/>
        </w:rPr>
        <w:t xml:space="preserve"> 消毒服务机构违反本办法规定，有下列情形之一的，由县级以上卫生计生行政部门责令其限期改正，可以处5000元以下的罚款；造成感染性疾病发生的，可以处5000元以上20000元以下的罚款：</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消毒后的物品未达到卫生标准和要求的。</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附则</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第四十五条</w:t>
      </w:r>
      <w:r>
        <w:rPr>
          <w:rFonts w:hint="eastAsia" w:ascii="仿宋" w:hAnsi="仿宋" w:eastAsia="仿宋" w:cs="仿宋"/>
          <w:sz w:val="32"/>
          <w:szCs w:val="32"/>
        </w:rPr>
        <w:t xml:space="preserve"> 本办法下列用语的含义：</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感染性疾病：由微生物引起的疾病。</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消毒产品：包括消毒剂、消毒器械（含生物指示物、化学指示物和灭菌物品包装物）、卫生用品和一次性使用医疗用品。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消毒服务机构：指为社会提供可能被污染的物品及场所、卫生用品和一次性使用医疗用品等进行消毒与灭菌服务的单位。</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医疗卫生机构：指医疗保健、疾病控制、采供血机构及与上述机构业务活动相同的单位。</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第四十六条</w:t>
      </w:r>
      <w:r>
        <w:rPr>
          <w:rFonts w:hint="eastAsia" w:ascii="仿宋" w:hAnsi="仿宋" w:eastAsia="仿宋" w:cs="仿宋"/>
          <w:sz w:val="32"/>
          <w:szCs w:val="32"/>
        </w:rPr>
        <w:t xml:space="preserve"> 本办法由国家卫生计生委负责解释。</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第四十七条</w:t>
      </w:r>
      <w:r>
        <w:rPr>
          <w:rFonts w:hint="eastAsia" w:ascii="仿宋" w:hAnsi="仿宋" w:eastAsia="仿宋" w:cs="仿宋"/>
          <w:sz w:val="32"/>
          <w:szCs w:val="32"/>
        </w:rPr>
        <w:t xml:space="preserve"> 本办法自2002年7月1日起施行。1992年8月31日卫生部发布的《消毒管理办法》同时废止。</w:t>
      </w:r>
    </w:p>
    <w:p>
      <w:pPr>
        <w:rPr>
          <w:rFonts w:hint="eastAsia" w:ascii="宋体" w:hAnsi="宋体" w:eastAsia="宋体" w:cs="Arial"/>
          <w:bCs/>
          <w:color w:val="auto"/>
          <w:sz w:val="44"/>
          <w:szCs w:val="44"/>
          <w:lang w:val="en-US" w:eastAsia="zh-CN"/>
        </w:rPr>
      </w:pPr>
      <w:r>
        <w:rPr>
          <w:rFonts w:hint="eastAsia" w:ascii="宋体" w:hAnsi="宋体" w:eastAsia="宋体" w:cs="Arial"/>
          <w:bCs/>
          <w:color w:val="auto"/>
          <w:sz w:val="44"/>
          <w:szCs w:val="44"/>
          <w:lang w:val="en-US" w:eastAsia="zh-CN"/>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lang w:val="en-US" w:eastAsia="zh-CN"/>
        </w:rPr>
      </w:pPr>
      <w:bookmarkStart w:id="308" w:name="_Toc21713"/>
      <w:r>
        <w:rPr>
          <w:rFonts w:hint="eastAsia" w:ascii="宋体" w:hAnsi="宋体" w:eastAsia="宋体" w:cs="Arial"/>
          <w:bCs/>
          <w:color w:val="auto"/>
          <w:sz w:val="44"/>
          <w:szCs w:val="44"/>
          <w:lang w:val="en-US" w:eastAsia="zh-CN"/>
        </w:rPr>
        <w:t>中华人民共和国国家卫生健康委员会</w:t>
      </w:r>
      <w:bookmarkEnd w:id="308"/>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lang w:val="en-US" w:eastAsia="zh-CN"/>
        </w:rPr>
      </w:pPr>
      <w:bookmarkStart w:id="309" w:name="_Toc22583"/>
      <w:r>
        <w:rPr>
          <w:rFonts w:hint="eastAsia" w:ascii="宋体" w:hAnsi="宋体" w:eastAsia="宋体" w:cs="Arial"/>
          <w:bCs/>
          <w:color w:val="auto"/>
          <w:sz w:val="44"/>
          <w:szCs w:val="44"/>
          <w:lang w:val="en-US" w:eastAsia="zh-CN"/>
        </w:rPr>
        <w:t>公 告</w:t>
      </w:r>
      <w:bookmarkEnd w:id="309"/>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left="0" w:right="0"/>
        <w:jc w:val="center"/>
        <w:textAlignment w:val="auto"/>
        <w:outlineLvl w:val="0"/>
        <w:rPr>
          <w:rFonts w:ascii="宋体" w:hAnsi="宋体" w:eastAsia="宋体" w:cs="宋体"/>
          <w:color w:val="auto"/>
          <w:kern w:val="0"/>
          <w:sz w:val="44"/>
          <w:szCs w:val="44"/>
          <w:u w:val="none"/>
          <w:lang w:val="en-US" w:eastAsia="zh-CN"/>
        </w:rPr>
      </w:pP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center"/>
        <w:textAlignment w:val="auto"/>
        <w:outlineLvl w:val="0"/>
        <w:rPr>
          <w:rFonts w:hint="eastAsia" w:ascii="宋体" w:hAnsi="宋体" w:eastAsia="仿宋_GB2312" w:cs="仿宋_GB2312"/>
          <w:color w:val="auto"/>
          <w:kern w:val="2"/>
          <w:sz w:val="32"/>
          <w:szCs w:val="32"/>
          <w:lang w:val="en-US" w:eastAsia="zh-CN" w:bidi="ar-SA"/>
        </w:rPr>
      </w:pPr>
      <w:bookmarkStart w:id="310" w:name="_Toc8151"/>
      <w:r>
        <w:rPr>
          <w:rFonts w:hint="eastAsia" w:ascii="楷体" w:hAnsi="楷体" w:eastAsia="楷体" w:cs="楷体"/>
          <w:color w:val="auto"/>
          <w:kern w:val="2"/>
          <w:sz w:val="32"/>
          <w:szCs w:val="32"/>
          <w:lang w:val="en-US" w:eastAsia="zh-CN" w:bidi="ar-SA"/>
        </w:rPr>
        <w:t>（2020年第1号）</w:t>
      </w:r>
      <w:bookmarkEnd w:id="310"/>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 </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　　经国务院批准，现公告如下：</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一、将新型冠状病毒感染的肺炎纳入《中华人民共和国传染病防治法》规定的乙类传染病，并采取甲类传染病的预防、控制措施。</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二、将新型冠状病毒感染的肺炎纳入《中华人民共和国国境卫生检疫法》规定的检疫传染病管理。</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特此公告。</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 </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中华人民共和国国家卫生健康委员会</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2020年1月20日</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right"/>
        <w:textAlignment w:val="auto"/>
        <w:rPr>
          <w:rFonts w:hint="eastAsia" w:ascii="宋体" w:hAnsi="宋体" w:eastAsia="仿宋" w:cs="仿宋"/>
          <w:i w:val="0"/>
          <w:caps w:val="0"/>
          <w:color w:val="auto"/>
          <w:spacing w:val="0"/>
          <w:sz w:val="32"/>
          <w:szCs w:val="32"/>
          <w:u w:val="none"/>
        </w:rPr>
      </w:pPr>
      <w:r>
        <w:rPr>
          <w:rFonts w:hint="eastAsia" w:ascii="宋体" w:hAnsi="宋体" w:eastAsia="仿宋" w:cs="仿宋"/>
          <w:i w:val="0"/>
          <w:caps w:val="0"/>
          <w:color w:val="auto"/>
          <w:spacing w:val="0"/>
          <w:sz w:val="32"/>
          <w:szCs w:val="32"/>
          <w:u w:val="none"/>
        </w:rPr>
        <w:t> </w:t>
      </w:r>
    </w:p>
    <w:p>
      <w:pPr>
        <w:pStyle w:val="37"/>
        <w:widowControl w:val="0"/>
        <w:pBdr>
          <w:top w:val="none" w:color="auto" w:sz="0" w:space="0"/>
          <w:left w:val="none" w:color="auto" w:sz="0" w:space="0"/>
          <w:bottom w:val="none" w:color="auto" w:sz="0" w:space="0"/>
          <w:right w:val="none" w:color="auto" w:sz="0" w:space="0"/>
        </w:pBdr>
        <w:wordWrap/>
        <w:overflowPunct w:val="0"/>
        <w:spacing w:before="0" w:beforeAutospacing="0" w:after="0" w:afterAutospacing="0" w:line="560" w:lineRule="exact"/>
        <w:ind w:left="0" w:right="0" w:firstLine="0"/>
        <w:jc w:val="center"/>
        <w:textAlignment w:val="auto"/>
        <w:rPr>
          <w:rStyle w:val="23"/>
          <w:rFonts w:ascii="宋体" w:hAnsi="宋体" w:eastAsia="黑体" w:cs="黑体"/>
          <w:i w:val="0"/>
          <w:caps w:val="0"/>
          <w:color w:val="484848"/>
          <w:spacing w:val="0"/>
          <w:sz w:val="44"/>
          <w:szCs w:val="44"/>
          <w:u w:val="none"/>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0"/>
        <w:jc w:val="both"/>
        <w:textAlignment w:val="auto"/>
        <w:rPr>
          <w:rFonts w:hint="eastAsia" w:ascii="宋体" w:hAnsi="宋体" w:eastAsia="仿宋_GB2312" w:cs="仿宋_GB2312"/>
          <w:i w:val="0"/>
          <w:caps w:val="0"/>
          <w:color w:val="333333"/>
          <w:spacing w:val="0"/>
          <w:sz w:val="32"/>
          <w:szCs w:val="32"/>
          <w:shd w:val="clear" w:color="auto" w:fill="FFFFFF"/>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0"/>
        <w:jc w:val="center"/>
        <w:textAlignment w:val="auto"/>
        <w:rPr>
          <w:rFonts w:hint="eastAsia" w:ascii="宋体" w:hAnsi="宋体" w:eastAsia="宋体" w:cs="宋体"/>
          <w:i w:val="0"/>
          <w:caps w:val="0"/>
          <w:color w:val="000000"/>
          <w:spacing w:val="0"/>
          <w:sz w:val="44"/>
          <w:szCs w:val="44"/>
          <w:shd w:val="clear" w:color="auto" w:fill="FFFFFF"/>
        </w:rPr>
      </w:pPr>
      <w:r>
        <w:rPr>
          <w:rFonts w:hint="eastAsia" w:ascii="宋体" w:hAnsi="宋体" w:eastAsia="宋体" w:cs="宋体"/>
          <w:i w:val="0"/>
          <w:caps w:val="0"/>
          <w:color w:val="000000"/>
          <w:spacing w:val="0"/>
          <w:sz w:val="44"/>
          <w:szCs w:val="44"/>
          <w:shd w:val="clear" w:color="auto" w:fill="FFFFFF"/>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311" w:name="_Toc18417"/>
      <w:r>
        <w:rPr>
          <w:rFonts w:hint="eastAsia" w:ascii="宋体" w:hAnsi="宋体" w:eastAsia="宋体" w:cs="Arial"/>
          <w:bCs/>
          <w:sz w:val="44"/>
          <w:szCs w:val="44"/>
          <w:lang w:val="en-US" w:eastAsia="zh-CN"/>
        </w:rPr>
        <w:t>国家卫生健康委办公厅关于加强新型冠状病毒感染的肺炎重症病例医疗救治工作的通知</w:t>
      </w:r>
      <w:bookmarkEnd w:id="311"/>
    </w:p>
    <w:p>
      <w:pPr>
        <w:widowControl w:val="0"/>
        <w:wordWrap/>
        <w:adjustRightInd/>
        <w:snapToGrid/>
        <w:spacing w:line="560" w:lineRule="exact"/>
        <w:textAlignment w:val="auto"/>
        <w:rPr>
          <w:rFonts w:hint="eastAsia"/>
          <w:lang w:val="en-US" w:eastAsia="zh-CN"/>
        </w:rPr>
      </w:pPr>
    </w:p>
    <w:p>
      <w:pPr>
        <w:widowControl w:val="0"/>
        <w:wordWrap/>
        <w:adjustRightInd/>
        <w:snapToGrid/>
        <w:spacing w:line="560" w:lineRule="exact"/>
        <w:jc w:val="center"/>
        <w:textAlignment w:val="auto"/>
        <w:rPr>
          <w:rFonts w:hint="eastAsia" w:ascii="楷体" w:hAnsi="楷体" w:eastAsia="楷体" w:cs="楷体"/>
          <w:lang w:val="en-US" w:eastAsia="zh-CN"/>
        </w:rPr>
      </w:pPr>
      <w:r>
        <w:rPr>
          <w:rFonts w:hint="eastAsia" w:ascii="楷体" w:hAnsi="楷体" w:eastAsia="楷体" w:cs="楷体"/>
          <w:lang w:val="en-US" w:eastAsia="zh-CN"/>
        </w:rPr>
        <w:t>（国卫办医函</w:t>
      </w:r>
      <w:r>
        <w:rPr>
          <w:rFonts w:hint="eastAsia" w:ascii="楷体" w:hAnsi="楷体" w:eastAsia="楷体" w:cs="楷体"/>
        </w:rPr>
        <w:t>〔</w:t>
      </w:r>
      <w:r>
        <w:rPr>
          <w:rFonts w:hint="eastAsia" w:ascii="楷体" w:hAnsi="楷体" w:eastAsia="楷体" w:cs="楷体"/>
          <w:lang w:val="en-US" w:eastAsia="zh-CN"/>
        </w:rPr>
        <w:t>2020</w:t>
      </w:r>
      <w:r>
        <w:rPr>
          <w:rFonts w:hint="eastAsia" w:ascii="楷体" w:hAnsi="楷体" w:eastAsia="楷体" w:cs="楷体"/>
        </w:rPr>
        <w:t>〕</w:t>
      </w:r>
      <w:r>
        <w:rPr>
          <w:rFonts w:hint="eastAsia" w:ascii="楷体" w:hAnsi="楷体" w:eastAsia="楷体" w:cs="楷体"/>
          <w:lang w:val="en-US" w:eastAsia="zh-CN"/>
        </w:rPr>
        <w:t>64号）</w:t>
      </w:r>
    </w:p>
    <w:p>
      <w:pPr>
        <w:widowControl w:val="0"/>
        <w:wordWrap/>
        <w:adjustRightInd/>
        <w:snapToGrid/>
        <w:spacing w:line="560" w:lineRule="exact"/>
        <w:textAlignment w:val="auto"/>
        <w:rPr>
          <w:rFonts w:hint="eastAsia"/>
          <w:lang w:val="en-US" w:eastAsia="zh-CN"/>
        </w:rPr>
      </w:pPr>
    </w:p>
    <w:p>
      <w:pPr>
        <w:widowControl w:val="0"/>
        <w:wordWrap/>
        <w:adjustRightInd/>
        <w:snapToGrid/>
        <w:spacing w:line="560" w:lineRule="exact"/>
        <w:textAlignment w:val="auto"/>
        <w:rPr>
          <w:rFonts w:hint="eastAsia" w:ascii="仿宋" w:hAnsi="仿宋" w:eastAsia="仿宋" w:cs="仿宋"/>
        </w:rPr>
      </w:pPr>
      <w:r>
        <w:rPr>
          <w:rFonts w:hint="eastAsia" w:ascii="仿宋" w:hAnsi="仿宋" w:eastAsia="仿宋" w:cs="仿宋"/>
        </w:rPr>
        <w:t>各省、自治区、直辖市及计划单列市、新疆生产建设兵团卫生健康委：</w:t>
      </w:r>
    </w:p>
    <w:p>
      <w:pPr>
        <w:widowControl w:val="0"/>
        <w:wordWrap/>
        <w:adjustRightInd/>
        <w:snapToGrid/>
        <w:spacing w:line="560" w:lineRule="exact"/>
        <w:ind w:firstLine="640" w:firstLineChars="200"/>
        <w:textAlignment w:val="auto"/>
        <w:rPr>
          <w:rFonts w:hint="eastAsia" w:ascii="仿宋" w:hAnsi="仿宋" w:eastAsia="仿宋" w:cs="仿宋"/>
          <w:lang w:eastAsia="zh-CN"/>
        </w:rPr>
      </w:pPr>
      <w:r>
        <w:rPr>
          <w:rFonts w:hint="eastAsia" w:ascii="仿宋" w:hAnsi="仿宋" w:eastAsia="仿宋" w:cs="仿宋"/>
          <w:lang w:eastAsia="zh-CN"/>
        </w:rPr>
        <w:t>近期，我国部分省份发生新型冠状病毒感染的肺炎疫情。为进一步加强全国新型冠状病毒感染的肺炎重症病例（以下简称重症病例）医疗救治工作，确保重症病例得到及时有效医疗救治，切实保护人民群众身体健康，现就做好有关工作通知如下：</w:t>
      </w:r>
      <w:r>
        <w:rPr>
          <w:rFonts w:hint="eastAsia"/>
          <w:lang w:eastAsia="zh-CN"/>
        </w:rPr>
        <w:br w:type="textWrapping"/>
      </w:r>
      <w:bookmarkStart w:id="312" w:name="tiao_1"/>
      <w:bookmarkEnd w:id="312"/>
      <w:r>
        <w:rPr>
          <w:rFonts w:hint="eastAsia"/>
          <w:lang w:eastAsia="zh-CN"/>
        </w:rPr>
        <w:t>　</w:t>
      </w:r>
      <w:r>
        <w:rPr>
          <w:rFonts w:hint="eastAsia" w:ascii="黑体" w:hAnsi="宋体" w:eastAsia="黑体" w:cs="黑体"/>
          <w:i w:val="0"/>
          <w:caps w:val="0"/>
          <w:color w:val="auto"/>
          <w:spacing w:val="0"/>
          <w:sz w:val="32"/>
          <w:szCs w:val="32"/>
          <w:u w:val="none"/>
          <w:lang w:eastAsia="zh-CN"/>
        </w:rPr>
        <w:t>　一、高度重视重症病例医疗救治组织工作</w:t>
      </w:r>
      <w:r>
        <w:rPr>
          <w:rFonts w:hint="eastAsia"/>
          <w:lang w:eastAsia="zh-CN"/>
        </w:rPr>
        <w:br w:type="textWrapping"/>
      </w:r>
      <w:r>
        <w:rPr>
          <w:rFonts w:hint="eastAsia"/>
          <w:lang w:eastAsia="zh-CN"/>
        </w:rPr>
        <w:t>　</w:t>
      </w:r>
      <w:r>
        <w:rPr>
          <w:rFonts w:hint="eastAsia" w:ascii="仿宋" w:hAnsi="仿宋" w:eastAsia="仿宋" w:cs="仿宋"/>
          <w:lang w:eastAsia="zh-CN"/>
        </w:rPr>
        <w:t>　各地要高度重视新型冠状病毒感染的肺炎重症病例医疗救治工作，加强组织协调力度，统筹医疗资源，认真组织做好重症病例的医疗救治工作。要严格落实“集中患者、集中专家、集中资源、集中救治”原则，安排最强有力的医疗力量和医疗机构进行医疗救治。要进一步充实发热门诊、急诊和呼吸、重症等重点科室力量，加强人员药品物资保障。要成立省级重症病例医疗救治专家组，及时组织专家会诊，制定有效的医疗救治方案。</w:t>
      </w:r>
      <w:r>
        <w:rPr>
          <w:rFonts w:hint="eastAsia"/>
          <w:lang w:eastAsia="zh-CN"/>
        </w:rPr>
        <w:br w:type="textWrapping"/>
      </w:r>
      <w:bookmarkStart w:id="313" w:name="tiao_2"/>
      <w:bookmarkEnd w:id="313"/>
      <w:r>
        <w:rPr>
          <w:rFonts w:hint="eastAsia"/>
          <w:lang w:eastAsia="zh-CN"/>
        </w:rPr>
        <w:t>　　</w:t>
      </w:r>
      <w:r>
        <w:rPr>
          <w:rFonts w:hint="eastAsia" w:ascii="黑体" w:hAnsi="宋体" w:eastAsia="黑体" w:cs="黑体"/>
          <w:i w:val="0"/>
          <w:caps w:val="0"/>
          <w:color w:val="auto"/>
          <w:spacing w:val="0"/>
          <w:sz w:val="32"/>
          <w:szCs w:val="32"/>
          <w:u w:val="none"/>
          <w:lang w:eastAsia="zh-CN"/>
        </w:rPr>
        <w:t>二、规范开展医疗救治</w:t>
      </w:r>
      <w:r>
        <w:rPr>
          <w:rFonts w:hint="eastAsia"/>
          <w:lang w:eastAsia="zh-CN"/>
        </w:rPr>
        <w:br w:type="textWrapping"/>
      </w:r>
      <w:r>
        <w:rPr>
          <w:rFonts w:hint="eastAsia"/>
          <w:lang w:eastAsia="zh-CN"/>
        </w:rPr>
        <w:t>　</w:t>
      </w:r>
      <w:r>
        <w:rPr>
          <w:rFonts w:hint="eastAsia" w:ascii="仿宋" w:hAnsi="仿宋" w:eastAsia="仿宋" w:cs="仿宋"/>
          <w:lang w:eastAsia="zh-CN"/>
        </w:rPr>
        <w:t>　要加强对各级各类医疗机构医务人员培训，提高新型冠状病毒感染的肺炎早期识别和鉴别诊断能力，重点关注老年人和有基础疾病的特殊人群，密切观察病情变化。相关医疗机构要成立重症病例医疗救治工作组，按照《新型冠状病毒感染的肺炎重症、危重症病例诊疗方案（试行）》（见附件）要求，在对症治疗的基础上，积极防治并发症，及时进行器官功能支持，最大限度降低病死率。要对重症病例加强重点会诊，做好疑难危重病例讨论，对重症病例实施动态评估，及时调整治疗方案。</w:t>
      </w:r>
      <w:r>
        <w:rPr>
          <w:rFonts w:hint="eastAsia" w:ascii="仿宋" w:hAnsi="仿宋" w:eastAsia="仿宋" w:cs="仿宋"/>
          <w:lang w:eastAsia="zh-CN"/>
        </w:rPr>
        <w:br w:type="textWrapping"/>
      </w:r>
      <w:r>
        <w:rPr>
          <w:rFonts w:hint="eastAsia" w:ascii="仿宋" w:hAnsi="仿宋" w:eastAsia="仿宋" w:cs="仿宋"/>
          <w:lang w:eastAsia="zh-CN"/>
        </w:rPr>
        <w:t>　　根据患者病情严重程度确定治疗场所，疑似及确诊病例应在具备有效隔离条件和防护条件的定点医院隔离治疗，重症病例救治医院要成立本医院医疗救治工作组，选派责任心强、业务水平高的技术骨干力量参与医疗救治工作。</w:t>
      </w:r>
      <w:r>
        <w:rPr>
          <w:rFonts w:hint="eastAsia"/>
          <w:lang w:eastAsia="zh-CN"/>
        </w:rPr>
        <w:br w:type="textWrapping"/>
      </w:r>
      <w:bookmarkStart w:id="314" w:name="tiao_3"/>
      <w:bookmarkEnd w:id="314"/>
      <w:r>
        <w:rPr>
          <w:rFonts w:hint="eastAsia"/>
          <w:lang w:eastAsia="zh-CN"/>
        </w:rPr>
        <w:t>　　</w:t>
      </w:r>
      <w:r>
        <w:rPr>
          <w:rFonts w:hint="eastAsia" w:ascii="黑体" w:hAnsi="宋体" w:eastAsia="黑体" w:cs="黑体"/>
          <w:i w:val="0"/>
          <w:caps w:val="0"/>
          <w:color w:val="auto"/>
          <w:spacing w:val="0"/>
          <w:sz w:val="32"/>
          <w:szCs w:val="32"/>
          <w:u w:val="none"/>
          <w:lang w:eastAsia="zh-CN"/>
        </w:rPr>
        <w:t>三、严格落实重症病例转运和医院感染防控等措施</w:t>
      </w:r>
      <w:r>
        <w:rPr>
          <w:rFonts w:hint="eastAsia"/>
          <w:lang w:eastAsia="zh-CN"/>
        </w:rPr>
        <w:br w:type="textWrapping"/>
      </w:r>
      <w:r>
        <w:rPr>
          <w:rFonts w:hint="eastAsia"/>
          <w:lang w:eastAsia="zh-CN"/>
        </w:rPr>
        <w:t>　　</w:t>
      </w:r>
      <w:r>
        <w:rPr>
          <w:rFonts w:hint="eastAsia" w:ascii="仿宋" w:hAnsi="仿宋" w:eastAsia="仿宋" w:cs="仿宋"/>
          <w:lang w:eastAsia="zh-CN"/>
        </w:rPr>
        <w:t>重症病例应当尽快转运到本辖区综合力量最强，具备呼吸道传染病防护条件的医院。重症病例要专车转运，及时、科学、规范洗消；车上工作人员要按规定防护。医疗机构要加强院感防控培训，落实岗位职责，严格执行消毒隔离，科学实施个人防护措施。同时，医疗机构要加强临床实验室生物安全管理，尽最大努力避免医院感染发生。</w:t>
      </w:r>
      <w:r>
        <w:rPr>
          <w:rFonts w:hint="eastAsia" w:ascii="仿宋" w:hAnsi="仿宋" w:eastAsia="仿宋" w:cs="仿宋"/>
          <w:lang w:eastAsia="zh-CN"/>
        </w:rPr>
        <w:br w:type="textWrapping"/>
      </w:r>
      <w:bookmarkStart w:id="315" w:name="tiao_4"/>
      <w:bookmarkEnd w:id="315"/>
      <w:r>
        <w:rPr>
          <w:rFonts w:hint="eastAsia"/>
          <w:lang w:eastAsia="zh-CN"/>
        </w:rPr>
        <w:t>　　</w:t>
      </w:r>
      <w:r>
        <w:rPr>
          <w:rFonts w:hint="eastAsia" w:ascii="黑体" w:hAnsi="宋体" w:eastAsia="黑体" w:cs="黑体"/>
          <w:i w:val="0"/>
          <w:caps w:val="0"/>
          <w:color w:val="auto"/>
          <w:spacing w:val="0"/>
          <w:sz w:val="32"/>
          <w:szCs w:val="32"/>
          <w:u w:val="none"/>
          <w:lang w:eastAsia="zh-CN"/>
        </w:rPr>
        <w:t>四、准确掌握重症病例信息</w:t>
      </w:r>
      <w:r>
        <w:rPr>
          <w:rFonts w:hint="eastAsia"/>
          <w:lang w:eastAsia="zh-CN"/>
        </w:rPr>
        <w:br w:type="textWrapping"/>
      </w:r>
      <w:r>
        <w:rPr>
          <w:rFonts w:hint="eastAsia"/>
          <w:lang w:eastAsia="zh-CN"/>
        </w:rPr>
        <w:t>　　</w:t>
      </w:r>
      <w:r>
        <w:rPr>
          <w:rFonts w:hint="eastAsia" w:ascii="仿宋" w:hAnsi="仿宋" w:eastAsia="仿宋" w:cs="仿宋"/>
          <w:lang w:eastAsia="zh-CN"/>
        </w:rPr>
        <w:t>各省级卫生健康行政部门要掌握本辖区内重症病例医疗救治情况，及时按程序报告本地重症病例情况。各省份对本地重症病例要做到底数清、情况明，切实提高数据报送准确性，防止错报漏报，杜绝瞒报。要加强对重症病例的分析研判，如需要国家选派专家支援医疗救治，可向我委提出申请。</w:t>
      </w:r>
    </w:p>
    <w:p>
      <w:pPr>
        <w:widowControl w:val="0"/>
        <w:wordWrap/>
        <w:adjustRightInd/>
        <w:snapToGrid/>
        <w:spacing w:line="560" w:lineRule="exact"/>
        <w:textAlignment w:val="auto"/>
        <w:rPr>
          <w:rFonts w:hint="eastAsia" w:ascii="仿宋" w:hAnsi="仿宋" w:eastAsia="仿宋" w:cs="仿宋"/>
          <w:lang w:eastAsia="zh-CN"/>
        </w:rPr>
      </w:pPr>
    </w:p>
    <w:p>
      <w:pPr>
        <w:widowControl w:val="0"/>
        <w:wordWrap/>
        <w:adjustRightInd/>
        <w:snapToGrid/>
        <w:spacing w:line="560" w:lineRule="exact"/>
        <w:jc w:val="right"/>
        <w:textAlignment w:val="auto"/>
        <w:rPr>
          <w:rFonts w:hint="eastAsia" w:ascii="仿宋" w:hAnsi="仿宋" w:eastAsia="仿宋" w:cs="仿宋"/>
        </w:rPr>
      </w:pPr>
      <w:r>
        <w:rPr>
          <w:rFonts w:hint="eastAsia" w:ascii="仿宋" w:hAnsi="仿宋" w:eastAsia="仿宋" w:cs="仿宋"/>
        </w:rPr>
        <w:t>国家卫生健康委办公厅</w:t>
      </w:r>
    </w:p>
    <w:p>
      <w:pPr>
        <w:widowControl w:val="0"/>
        <w:wordWrap/>
        <w:adjustRightInd/>
        <w:snapToGrid/>
        <w:spacing w:line="560" w:lineRule="exact"/>
        <w:jc w:val="right"/>
        <w:textAlignment w:val="auto"/>
        <w:rPr>
          <w:rFonts w:hint="eastAsia" w:ascii="仿宋" w:hAnsi="仿宋" w:eastAsia="仿宋" w:cs="仿宋"/>
        </w:rPr>
      </w:pPr>
      <w:r>
        <w:rPr>
          <w:rFonts w:hint="eastAsia" w:ascii="仿宋" w:hAnsi="仿宋" w:eastAsia="仿宋" w:cs="仿宋"/>
        </w:rPr>
        <w:t>2020年1月22日</w:t>
      </w:r>
    </w:p>
    <w:p>
      <w:pPr>
        <w:widowControl w:val="0"/>
        <w:wordWrap/>
        <w:adjustRightInd/>
        <w:snapToGrid/>
        <w:spacing w:line="560" w:lineRule="exact"/>
        <w:textAlignment w:val="auto"/>
        <w:rPr>
          <w:rFonts w:hint="eastAsia" w:ascii="仿宋" w:hAnsi="仿宋" w:eastAsia="仿宋" w:cs="仿宋"/>
        </w:rPr>
      </w:pPr>
    </w:p>
    <w:p>
      <w:pPr>
        <w:widowControl w:val="0"/>
        <w:wordWrap/>
        <w:adjustRightInd/>
        <w:snapToGrid/>
        <w:spacing w:line="560" w:lineRule="exact"/>
        <w:textAlignment w:val="auto"/>
        <w:rPr>
          <w:rFonts w:hint="eastAsia" w:ascii="仿宋" w:hAnsi="仿宋" w:eastAsia="仿宋" w:cs="仿宋"/>
        </w:rPr>
      </w:pPr>
      <w:r>
        <w:rPr>
          <w:rFonts w:hint="eastAsia" w:ascii="仿宋" w:hAnsi="仿宋" w:eastAsia="仿宋" w:cs="仿宋"/>
        </w:rPr>
        <w:br w:type="textWrapping"/>
      </w: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316" w:name="_Toc13672"/>
      <w:r>
        <w:rPr>
          <w:rFonts w:hint="eastAsia" w:ascii="Times New Roman" w:hAnsi="Times New Roman" w:eastAsia="宋体" w:cs="Times New Roman"/>
          <w:bCs/>
          <w:kern w:val="44"/>
          <w:sz w:val="44"/>
          <w:szCs w:val="44"/>
          <w:lang w:val="en-US" w:eastAsia="zh-CN" w:bidi="ar-SA"/>
        </w:rPr>
        <w:t>人力资源社会保障部</w:t>
      </w:r>
      <w:r>
        <w:rPr>
          <w:rFonts w:hint="eastAsia" w:eastAsia="宋体" w:cs="Times New Roman"/>
          <w:bCs/>
          <w:kern w:val="44"/>
          <w:sz w:val="44"/>
          <w:szCs w:val="44"/>
          <w:lang w:val="en-US" w:eastAsia="zh-CN" w:bidi="ar-SA"/>
        </w:rPr>
        <w:t xml:space="preserve"> </w:t>
      </w:r>
      <w:r>
        <w:rPr>
          <w:rFonts w:hint="eastAsia" w:ascii="Times New Roman" w:hAnsi="Times New Roman" w:eastAsia="宋体" w:cs="Times New Roman"/>
          <w:bCs/>
          <w:kern w:val="44"/>
          <w:sz w:val="44"/>
          <w:szCs w:val="44"/>
          <w:lang w:val="en-US" w:eastAsia="zh-CN" w:bidi="ar-SA"/>
        </w:rPr>
        <w:t>财政部</w:t>
      </w:r>
      <w:r>
        <w:rPr>
          <w:rFonts w:hint="eastAsia" w:eastAsia="宋体" w:cs="Times New Roman"/>
          <w:bCs/>
          <w:kern w:val="44"/>
          <w:sz w:val="44"/>
          <w:szCs w:val="44"/>
          <w:lang w:val="en-US" w:eastAsia="zh-CN" w:bidi="ar-SA"/>
        </w:rPr>
        <w:t xml:space="preserve"> </w:t>
      </w:r>
      <w:r>
        <w:rPr>
          <w:rFonts w:hint="eastAsia" w:ascii="Times New Roman" w:hAnsi="Times New Roman" w:eastAsia="宋体" w:cs="Times New Roman"/>
          <w:bCs/>
          <w:kern w:val="44"/>
          <w:sz w:val="44"/>
          <w:szCs w:val="44"/>
          <w:lang w:val="en-US" w:eastAsia="zh-CN" w:bidi="ar-SA"/>
        </w:rPr>
        <w:t>国家卫生健康委关于因履行工作职责感染新型冠状病毒肺炎的医护及相关工作人员有关保障问题的通知</w:t>
      </w:r>
      <w:bookmarkEnd w:id="316"/>
    </w:p>
    <w:p>
      <w:pPr>
        <w:widowControl w:val="0"/>
        <w:wordWrap/>
        <w:adjustRightInd/>
        <w:snapToGrid/>
        <w:spacing w:line="560" w:lineRule="exac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人社部函〔2020〕11号</w:t>
      </w:r>
    </w:p>
    <w:p>
      <w:pPr>
        <w:widowControl w:val="0"/>
        <w:wordWrap/>
        <w:adjustRightInd/>
        <w:snapToGrid/>
        <w:spacing w:line="560" w:lineRule="exac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各省、自治区、直辖市及新疆生产建设兵团人力资源社会保障厅（局）、财政厅（局）、卫生健康委：</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为做好新型冠状病毒肺炎疫情防治工作，保障防治人员的权益，现就在此次新型冠状病毒肺炎预防和救治工作中，因履行工作职责而感染新型冠状病毒肺炎的医护及相关工作人员的有关保障问题通知如下：</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在新型冠状病毒肺炎预防和救治工作中，医护及相关工作人员因履行工作职责，感染新型冠状病毒肺炎或因感染新型冠状病毒肺炎死亡的，应认定为工伤，依法享受工伤保险待遇。</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已参加工伤保险的上述工作人员发生的相关费用，由工伤保险基金和单位按工伤保险有关规定支付；未参加工伤保险的，由用人单位按照法定标准支付，财政补助单位因此发生的费用，由同级财政予以补助。</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各级人力资源社会保障、财政、卫生健康行政部门要密切配合，搞好服务，及时共同做好上述人员的工伤认定和待遇支付工作。</w:t>
      </w:r>
    </w:p>
    <w:p>
      <w:pPr>
        <w:widowControl w:val="0"/>
        <w:wordWrap/>
        <w:adjustRightInd/>
        <w:snapToGrid/>
        <w:spacing w:line="600" w:lineRule="exac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jc w:val="righ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人力资源社会保障部</w:t>
      </w:r>
    </w:p>
    <w:p>
      <w:pPr>
        <w:widowControl w:val="0"/>
        <w:wordWrap/>
        <w:adjustRightInd/>
        <w:snapToGrid/>
        <w:spacing w:line="560" w:lineRule="exact"/>
        <w:jc w:val="righ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财政部</w:t>
      </w:r>
    </w:p>
    <w:p>
      <w:pPr>
        <w:widowControl w:val="0"/>
        <w:wordWrap/>
        <w:adjustRightInd/>
        <w:snapToGrid/>
        <w:spacing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国家卫生健康委</w:t>
      </w:r>
    </w:p>
    <w:p>
      <w:pPr>
        <w:widowControl w:val="0"/>
        <w:wordWrap/>
        <w:adjustRightInd/>
        <w:snapToGrid/>
        <w:spacing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2020年1月23日</w:t>
      </w:r>
    </w:p>
    <w:p>
      <w:pPr>
        <w:rPr>
          <w:rFonts w:hint="eastAsia" w:ascii="宋体" w:hAnsi="宋体" w:eastAsia="仿宋_GB2312" w:cs="仿宋_GB2312"/>
          <w:color w:val="000000"/>
          <w:sz w:val="32"/>
          <w:szCs w:val="32"/>
          <w:lang w:val="en-US" w:eastAsia="zh-CN"/>
        </w:rPr>
      </w:pPr>
    </w:p>
    <w:p>
      <w:pPr>
        <w:rPr>
          <w:rFonts w:hint="eastAsia" w:ascii="宋体" w:hAnsi="宋体" w:eastAsia="宋体" w:cs="Arial"/>
          <w:bCs/>
          <w:sz w:val="44"/>
          <w:szCs w:val="44"/>
          <w:lang w:val="en-US" w:eastAsia="zh-CN"/>
        </w:rPr>
      </w:pPr>
      <w:r>
        <w:rPr>
          <w:rFonts w:hint="eastAsia" w:ascii="宋体" w:hAnsi="宋体" w:eastAsia="仿宋_GB2312" w:cs="仿宋_GB2312"/>
          <w:color w:val="000000"/>
          <w:sz w:val="32"/>
          <w:szCs w:val="32"/>
          <w:lang w:val="en-US" w:eastAsia="zh-CN"/>
        </w:rPr>
        <w:br w:type="page"/>
      </w:r>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17" w:name="_Toc21409"/>
      <w:r>
        <w:rPr>
          <w:rFonts w:hint="eastAsia" w:ascii="宋体" w:hAnsi="宋体" w:eastAsia="宋体" w:cs="宋体"/>
          <w:color w:val="000000"/>
          <w:kern w:val="0"/>
          <w:sz w:val="44"/>
          <w:szCs w:val="44"/>
          <w:lang w:val="en-US" w:eastAsia="zh-CN"/>
        </w:rPr>
        <w:t>国家卫生健康委办公厅 民政部办公厅 公安部办公厅关于印发新型冠状病毒感染的肺炎患者遗体处置工作指引(试行)的通知</w:t>
      </w:r>
      <w:bookmarkEnd w:id="317"/>
    </w:p>
    <w:p>
      <w:pPr>
        <w:widowControl w:val="0"/>
        <w:wordWrap/>
        <w:adjustRightInd/>
        <w:snapToGrid/>
        <w:spacing w:line="560" w:lineRule="exact"/>
        <w:ind w:right="0"/>
        <w:jc w:val="center"/>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国卫办医函〔2020〕89号</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各省、自治区、直辖市及新疆生产建设兵团卫生健康委、民政厅（局）、公安厅（局）：</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现将《新型冠状病毒感染的肺炎患者遗体处置工作指引（试行）》印发给你们，请结合实际，认真贯彻执行。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国家卫生健康委办公厅</w:t>
      </w: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民政部办公厅</w:t>
      </w: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公安部办公厅</w:t>
      </w:r>
    </w:p>
    <w:p>
      <w:pPr>
        <w:widowControl w:val="0"/>
        <w:wordWrap/>
        <w:adjustRightInd/>
        <w:snapToGrid/>
        <w:spacing w:line="560" w:lineRule="exact"/>
        <w:ind w:left="0" w:leftChars="0" w:right="0" w:firstLine="640" w:firstLineChars="2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2020年2月1日</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新型冠状病毒感染的肺炎患者遗体处置工作指引（试行）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为做好新型冠状病毒感染的肺炎患者（以下简称新冠肺炎患者）遗体处置工作，防范疾病传播风险，根据《中华人民共和国传染病防治法》和《重大突发事件遇难人员遗体处置工作规程》（民发〔2017〕38号）等有关要求，特制定本工作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一、总体要求</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按照以人为本、依法规范、及时稳妥、就近火化、疑似从有的原则，实行统一领导、分级负责、相互协同、属地管理，科学规范处置新冠肺炎患者遗体，加强卫生防护，防范疾病传播风险，保障人体健康和社会安全。</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二、责任分工</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医疗机构负责及时开具死亡医学证明，通知殡仪馆接运遗体，做好遗体消毒等卫生防疫处理工作。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殡仪馆负责及时接运遗体，设立临时殡仪服务专用通道和专用火化炉，按照操作规程做好遗体火化工作，并开具火化证明。</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疾病预防控制机构负责监督指导卫生防疫工作，做好相关人员防护知识和技能培训，对殡仪车、火化设备和相关场所进行消毒处理。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卫生健康行政部门负责制定遗体消毒等卫生防疫相关技术文件，指导医疗机构做好本机构内新冠肺炎患者遗体的规范处置。</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民政部门负责全面摸清本地区殡仪服务情况及可调用的资源状况，及时协调、指导殡仪馆等服务机构做好新冠肺炎患者遗体处置工作。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公安机关负责对运输遗体的车辆优先给予通行便利，依法查处遗体转运过程中的违法犯罪行为。</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三、遗体处置流程</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（一）死亡报告。新冠肺炎患者死亡后，由所在医疗机构报告本级卫生健康行政部门，卫生健康行政部门通报本级民政部门，民政部门通知相关殡仪馆做好遗体接运、火化等准备工作。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（二）卫生防疫处理。对于死亡的新冠肺炎患者遗体，由所在医疗机构医务人员按照《医疗机构内新型冠状病毒感染预防与控制技术指南（第一版）》的规定，对遗体进行消毒、密封，密封后严禁打开。</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手续交接。医疗机构应当在完成遗体卫生防疫处理、开具死亡证明、联系亲属同意火化后，第一时间联系殡仪馆尽快上门接运遗体，并在遗体交接单中注明已进行卫生防疫处理和立即火化意见。对新冠肺炎患者亲属拒不到场或拒不移送遗体的，由医疗机构、殡仪馆进行劝说，劝说无效的，由医疗机构签字后，将遗体交由殡仪馆直接火化，辖区公安机关配合做好相关工作。</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（四）遗体转运。遗体运送不得交由除殡仪馆以外的单位和个人承办。殡仪馆安排专职人员、专用运尸车到医疗机构指定地点，按指定路线将遗体转运到指定的专用运尸车上运至殡仪馆。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（五）人员防护。疾病预防控制机构应当指导医务人员和遗体运送、处置人员等，按照疾病接触防护要求，进行卫生防护。</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（六）遗体火化。遗体运送到殡仪馆后，殡仪馆设置临时专用通道，由殡仪馆专职人员将遗体直接送入专用火化炉火化。遗体不得存放、探视，全程严禁打开密封遗体袋。</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（七）骨灰移交。火化结束后，由殡仪馆服务人员捡拾骨灰，并出具火化证明，一并交亲属取走。家属拒绝取走的，按照无人认领的遗体骨灰处理。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（八）环境消毒。疾病预防控制机构对遗体运输车辆、设备工具、火化车间、遗体停留区域等进行严格消毒，对殡仪废弃物进行无害化处理。</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（九）信息管理。医疗机构和殡仪馆应当对新冠肺炎患者遗体处理情况及时登记和存入业务档案，处理情况应及时向同级疾病预防控制机构、民政部门报告。</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　四、相关规定</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在本省（区、市）内死亡的新冠肺炎患者遗体应当就近全部火化，不得采用埋葬或其它保存遗体方式，不得移运。本省（区、市）以外地区死亡的新冠肺炎患者遗体不得进入本省域，按照就近原则就地火化。</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（二）新冠肺炎患者死亡后，不得举行遗体告别仪式和利用遗体进行其它形式的丧葬活动。</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（三）少数民族新冠肺炎患者遗体，按照《传染病防治法》的规定，遗体必须就地火化。火化后骨灰可按照民族习俗进行安置。</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（四）在华外国人及港澳台人士因新型冠状病毒感染肺炎在境内死亡的，按照《传染病防治法》的规定，遗体必须就地火化。火化后的骨灰可按死者家属意愿运输出境。</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（五）对疑似新冠肺炎患者（包括采用隔离观察等防控措施的人员）的遗体，按照“疑似从有”的原则处理，防止疫情扩散。</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（六）遗体接运、火化等相关费用按照有关规定结算。</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附件：1.新型冠状病毒感染的肺炎死亡患者遗体运送人员防护标准及运送车辆消毒方法</w:t>
      </w:r>
    </w:p>
    <w:p>
      <w:pPr>
        <w:widowControl w:val="0"/>
        <w:wordWrap/>
        <w:adjustRightInd/>
        <w:snapToGrid/>
        <w:spacing w:line="560" w:lineRule="exact"/>
        <w:ind w:left="0" w:leftChars="0" w:right="0" w:firstLine="0" w:firstLineChars="0"/>
        <w:jc w:val="both"/>
        <w:textAlignment w:val="auto"/>
        <w:outlineLvl w:val="9"/>
        <w:rPr>
          <w:rFonts w:hint="default"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2.新型冠状病毒感染肺炎死亡患者遗体交接单</w:t>
      </w:r>
      <w:r>
        <w:rPr>
          <w:rFonts w:hint="eastAsia" w:ascii="仿宋_GB2312" w:hAnsi="仿宋_GB2312" w:cs="仿宋_GB2312"/>
          <w:color w:val="000000"/>
          <w:kern w:val="0"/>
          <w:sz w:val="32"/>
          <w:szCs w:val="32"/>
          <w:lang w:val="en-US" w:eastAsia="zh-CN"/>
        </w:rPr>
        <w:t>(略)</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3.新型冠状病毒感染肺炎死亡患者遗体火化登记表</w:t>
      </w:r>
      <w:r>
        <w:rPr>
          <w:rFonts w:hint="eastAsia" w:ascii="仿宋_GB2312" w:hAnsi="仿宋_GB2312" w:cs="仿宋_GB2312"/>
          <w:color w:val="000000"/>
          <w:kern w:val="0"/>
          <w:sz w:val="32"/>
          <w:szCs w:val="32"/>
          <w:lang w:val="en-US" w:eastAsia="zh-CN"/>
        </w:rPr>
        <w:t>（略）</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附件1</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center"/>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新型冠状病毒感染的肺炎死亡患者遗体运送人员防护标准及运送车辆消毒方法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一、遗体运送人员的防护</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参照《新型冠状病毒感染的肺炎防控方案 （第三版） 》及附件5《特定人群个人防护指南（第一版）》尸体处理人员自我防护标准，或者按照进入新型冠状病毒感染的肺炎患者/疑似患者隔离病室医务人员的防护要求。</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建议穿戴工作服、一次性工作帽、一次性手套和长袖加厚橡胶手套、一次性防护服、医用防护口罩、护目镜或防护面屏、工作鞋或胶靴等。运送人员要做好手卫生，可采用洗手液加流动水洗手或者使用速干手消毒剂。</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二、关于运送遗体车辆的消毒</w:t>
      </w:r>
    </w:p>
    <w:p>
      <w:pPr>
        <w:widowControl w:val="0"/>
        <w:wordWrap/>
        <w:adjustRightInd/>
        <w:snapToGrid/>
        <w:spacing w:line="560" w:lineRule="exact"/>
        <w:ind w:left="0" w:leftChars="0" w:right="0" w:firstLine="0" w:firstLineChars="0"/>
        <w:jc w:val="both"/>
        <w:textAlignment w:val="auto"/>
        <w:outlineLvl w:val="9"/>
        <w:rPr>
          <w:rFonts w:hint="eastAsia" w:ascii="Times New Roman" w:hAnsi="Times New Roman" w:eastAsia="宋体" w:cs="Times New Roman"/>
          <w:bCs/>
          <w:kern w:val="44"/>
          <w:sz w:val="44"/>
          <w:szCs w:val="44"/>
          <w:lang w:val="en-US" w:eastAsia="zh-CN" w:bidi="ar-SA"/>
        </w:rPr>
      </w:pPr>
      <w:r>
        <w:rPr>
          <w:rFonts w:hint="eastAsia" w:ascii="仿宋_GB2312" w:hAnsi="仿宋_GB2312" w:eastAsia="仿宋_GB2312" w:cs="仿宋_GB2312"/>
          <w:color w:val="000000"/>
          <w:kern w:val="0"/>
          <w:sz w:val="32"/>
          <w:szCs w:val="32"/>
          <w:lang w:val="en-US" w:eastAsia="zh-CN"/>
        </w:rPr>
        <w:t>　　运送车辆无可见污染物时，用1000mg/L的含氯消毒液或 500mg/L 的二氧化氯消毒剂进行喷洒至车辆内物体表面湿润，作用 30 分钟。运送车辆有可见污染物时，应先使用一次性吸水材料沾取5000mg/L～10000mg/L的含氯消毒液（或能达到高水平消毒的消毒湿巾/干巾）完全清除污染物，再按照车辆无可见污染物处理。喷洒消毒剂过程中注意保护精密仪器。</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318" w:name="_Toc15685"/>
      <w:r>
        <w:rPr>
          <w:rFonts w:hint="eastAsia" w:ascii="宋体" w:hAnsi="宋体" w:eastAsia="宋体" w:cs="宋体"/>
          <w:sz w:val="44"/>
          <w:szCs w:val="44"/>
        </w:rPr>
        <w:t>中央应对新型冠状病毒感染肺炎疫情工作领导小组关于全面落实进一步保护关心爱护医务</w:t>
      </w:r>
    </w:p>
    <w:p>
      <w:pPr>
        <w:widowControl w:val="0"/>
        <w:wordWrap/>
        <w:adjustRightInd/>
        <w:snapToGrid/>
        <w:spacing w:line="560" w:lineRule="exact"/>
        <w:jc w:val="center"/>
        <w:textAlignment w:val="auto"/>
        <w:outlineLvl w:val="0"/>
        <w:rPr>
          <w:rFonts w:hint="eastAsia" w:ascii="宋体" w:hAnsi="宋体" w:eastAsia="宋体" w:cs="宋体"/>
          <w:sz w:val="44"/>
          <w:szCs w:val="44"/>
        </w:rPr>
      </w:pPr>
      <w:r>
        <w:rPr>
          <w:rFonts w:hint="eastAsia" w:ascii="宋体" w:hAnsi="宋体" w:eastAsia="宋体" w:cs="宋体"/>
          <w:sz w:val="44"/>
          <w:szCs w:val="44"/>
        </w:rPr>
        <w:t>人员若干措施的通知</w:t>
      </w:r>
      <w:bookmarkEnd w:id="318"/>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rPr>
      </w:pPr>
      <w:r>
        <w:rPr>
          <w:rFonts w:hint="eastAsia" w:ascii="楷体" w:hAnsi="楷体" w:eastAsia="楷体" w:cs="楷体"/>
          <w:sz w:val="32"/>
          <w:szCs w:val="32"/>
        </w:rPr>
        <w:t>国发明电〔2020〕5号</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各省、自治区、直辖市人民政府，国务院各部委、各直属机构：</w:t>
      </w: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新冠肺炎疫情发生以来，全国广大医务人员义无反顾冲上疫情防控第一线，同时间赛跑，与病魔较量，顽强拼搏、日夜奋战，以对党和人民高度负责的精神，为保护人民生命健康作出重大贡献。医务人员是战胜疫情的中坚力量，当前全国疫情防控进入关键时期，医务人员工作任务重、感染风险高、工作压力大，各地各有关部门务必高度重视对他们的保护、关心、爱护，加强各方面支持保障，解除他们的后顾之忧，使他们始终保持强大战斗力、昂扬斗志、旺盛精力，持续健康、心无旁骛投入战胜疫情斗争。现提出以下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一、提高疫情防治人员薪酬待遇。</w:t>
      </w:r>
      <w:r>
        <w:rPr>
          <w:rFonts w:hint="eastAsia" w:ascii="仿宋" w:hAnsi="仿宋" w:eastAsia="仿宋" w:cs="仿宋"/>
          <w:sz w:val="32"/>
          <w:szCs w:val="32"/>
        </w:rPr>
        <w:t>各地要按规定向参与疫情防治的医务人员发放临时性工作补助、核增一次性绩效工资总量、对卫生防疫人员落实卫生防疫津贴政策。在此基础上，疫情防控期间，将湖北省（含援鄂医疗队，下同）一线医务人员临时性工作补助相应标准提高1倍，并确保发放到位，中央财政对湖北省全额补助；及时核增医疗卫生机构一次性绩效工资总量，将湖北省一线医务人员薪酬水平提高2倍；扩大卫生防疫津贴发放范围，确保覆盖全体一线医务人员，所需经费按现行渠道解决。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二、做好工伤认定和待遇保障。</w:t>
      </w:r>
      <w:r>
        <w:rPr>
          <w:rFonts w:hint="eastAsia" w:ascii="仿宋" w:hAnsi="仿宋" w:eastAsia="仿宋" w:cs="仿宋"/>
          <w:sz w:val="32"/>
          <w:szCs w:val="32"/>
        </w:rPr>
        <w:t>各地要做好因履行工作职责感染新冠肺炎医务人员的工伤认定，开辟绿色通道、简化理赔程序，保障医务人员及时享受工伤保险待遇。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三、实施职称评聘倾斜措施。</w:t>
      </w:r>
      <w:r>
        <w:rPr>
          <w:rFonts w:hint="eastAsia" w:ascii="仿宋" w:hAnsi="仿宋" w:eastAsia="仿宋" w:cs="仿宋"/>
          <w:sz w:val="32"/>
          <w:szCs w:val="32"/>
        </w:rPr>
        <w:t>参加疫情防治的一线医务人员在职称评聘中优先申报、优先参评、优先聘任。医务人员参加疫情防治经历可视同为一年基层工作经历。参加疫情防治的一线医务人员晋升职称、晋升岗位等级不受本单位岗位结构比例限制。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四、落实一线医务人员生活保障。</w:t>
      </w:r>
      <w:r>
        <w:rPr>
          <w:rFonts w:hint="eastAsia" w:ascii="仿宋" w:hAnsi="仿宋" w:eastAsia="仿宋" w:cs="仿宋"/>
          <w:sz w:val="32"/>
          <w:szCs w:val="32"/>
        </w:rPr>
        <w:t>加强生活服务和后勤保障，为一线医务人员提供基础性疾病药物、卫生用品以及干净、营养、便捷的就餐服务。征用医院周边有条件的宾馆、招待所等固定场所，为一线医务人员提供舒适的生活休息环境和与家人隔离的必要条件。采取专车接送解决定点医院一线医务人员通勤问题。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五、加强医务人员个人防护。</w:t>
      </w:r>
      <w:r>
        <w:rPr>
          <w:rFonts w:hint="eastAsia" w:ascii="仿宋" w:hAnsi="仿宋" w:eastAsia="仿宋" w:cs="仿宋"/>
          <w:sz w:val="32"/>
          <w:szCs w:val="32"/>
        </w:rPr>
        <w:t>全力救治受感染的医务人员。加强对疫情防护物资的统筹调配，医用防护用品要重点向疫情防控一线投放使用，特别是要全力保障定点救治医院和发热门诊、集中隔离观察点等一线医务人员防护物资需求，最大限度减少院内感染。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六、确保轮换休整到位。</w:t>
      </w:r>
      <w:r>
        <w:rPr>
          <w:rFonts w:hint="eastAsia" w:ascii="仿宋" w:hAnsi="仿宋" w:eastAsia="仿宋" w:cs="仿宋"/>
          <w:sz w:val="32"/>
          <w:szCs w:val="32"/>
        </w:rPr>
        <w:t>合理安排一线医务人员轮休，做好轮休医务人员隔离保障，对长时间高负荷工作人员安排强制休息。提前做好一线医务人员后备力量储备，及时排查轮换因身体、心理等原因不适合继续在一线的医务人员。疫情结束后，及时组织一次免费健康体检和疗养休养，并适当增加休息和带薪休假时间。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七、及时做好心理调适疏导。</w:t>
      </w:r>
      <w:r>
        <w:rPr>
          <w:rFonts w:hint="eastAsia" w:ascii="仿宋" w:hAnsi="仿宋" w:eastAsia="仿宋" w:cs="仿宋"/>
          <w:sz w:val="32"/>
          <w:szCs w:val="32"/>
        </w:rPr>
        <w:t>加强对一线医务人员的心理干预和疏导，开展心理健康评估，强化心理援助措施，减轻医务人员心理压力。一线医务人员所在单位党组织要通过谈心谈话、关怀问候等方式，密切关注医务人员思想动态、情绪变化，做到心理问题早发现、早干预、早疏导。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八、切实落实有困难家庭的照顾帮扶。</w:t>
      </w:r>
      <w:r>
        <w:rPr>
          <w:rFonts w:hint="eastAsia" w:ascii="仿宋" w:hAnsi="仿宋" w:eastAsia="仿宋" w:cs="仿宋"/>
          <w:sz w:val="32"/>
          <w:szCs w:val="32"/>
        </w:rPr>
        <w:t>深入了解一线医务人员特别是援鄂医疗队队员家庭实际困难，建立台账，分类施策，切实解决一线医务人员后顾之忧。开通一线医务人员家属就医绿色通道，建立社区干部联系帮扶一线医务人员家庭制度，帮助解决老幼照护等实际困难。对于一线医务人员子女教育给予更多帮助关爱。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九、创造更加安全的执业环境。</w:t>
      </w:r>
      <w:r>
        <w:rPr>
          <w:rFonts w:hint="eastAsia" w:ascii="仿宋" w:hAnsi="仿宋" w:eastAsia="仿宋" w:cs="仿宋"/>
          <w:sz w:val="32"/>
          <w:szCs w:val="32"/>
        </w:rPr>
        <w:t>严格落实各项安全防范措施，加大力量投入，完善问责机制，维护医疗秩序，保障医务人员合法权益。对于伤害医务人员的，坚决依法严肃查处。　　</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十、开展烈士褒扬和先进表彰。</w:t>
      </w:r>
      <w:r>
        <w:rPr>
          <w:rFonts w:hint="eastAsia" w:ascii="仿宋" w:hAnsi="仿宋" w:eastAsia="仿宋" w:cs="仿宋"/>
          <w:sz w:val="32"/>
          <w:szCs w:val="32"/>
        </w:rPr>
        <w:t>依法做好因疫情防控牺牲殉职人员的烈士评定和褒扬工作，全面做好抚恤优待。利用多种形式、渠道加大对医务人员职业精神的宣传力度。根据国家有关规定，开展医务人员及时奖励，对涌现出的先进典型进行及时表彰。对于获得表彰以及被认定为烈士的医务人员的子女，在入学升学方面按规定享受相关待遇。</w:t>
      </w: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地方各级党委和政府要按照党中央、国务院决策部署，坚决落实好以上政策措施，以高度负责的态度、务实到位的举措，切实保护关心爱护医务人员，为坚决打赢疫情防控阻击战提供有力保障。各级疫情防控工作领导小组要加强调度和督查，确保各项关心关爱政策落实到位。各级卫生健康部门要牵头逐一落实一线医务人员关心关爱政策措施，协调落实医务人员有关政策措施的资金保障，统筹用好党费、专项资金等各种渠道。各级人力资源社会保障部门要牵头进行政策统筹，分类研究提出具体建议，就相关政策形成具体化、易操作、可落地的措施和方案。各级财政部门要做好资金保障。各地医疗卫生机构要强化主体责任，结合实际做好相关保障工作，准确提供一线医务人员信息，确保精准、无遗漏。</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中央应对新型冠状病毒感染肺炎</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疫情工作领导小组</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2020年2月22日</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wordWrap/>
        <w:adjustRightInd/>
        <w:snapToGrid/>
        <w:spacing w:line="560" w:lineRule="exact"/>
        <w:jc w:val="center"/>
        <w:textAlignment w:val="auto"/>
        <w:outlineLvl w:val="0"/>
        <w:rPr>
          <w:rFonts w:hint="eastAsia" w:ascii="宋体" w:hAnsi="宋体" w:eastAsia="宋体" w:cs="宋体"/>
          <w:sz w:val="44"/>
          <w:szCs w:val="44"/>
        </w:rPr>
      </w:pPr>
      <w:bookmarkStart w:id="319" w:name="_Toc2781"/>
      <w:r>
        <w:rPr>
          <w:rFonts w:hint="eastAsia" w:ascii="宋体" w:hAnsi="宋体" w:eastAsia="宋体" w:cs="宋体"/>
          <w:sz w:val="44"/>
          <w:szCs w:val="44"/>
        </w:rPr>
        <w:t>国务院应对新型冠状病毒肺炎疫情联防联控机制关于进一步推进分区分级恢复正常医疗服务工作的通知</w:t>
      </w:r>
      <w:bookmarkEnd w:id="319"/>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84848"/>
          <w:spacing w:val="0"/>
          <w:sz w:val="32"/>
          <w:szCs w:val="32"/>
          <w:u w:val="none"/>
          <w:lang w:eastAsia="zh-CN"/>
        </w:rPr>
      </w:pPr>
      <w:r>
        <w:rPr>
          <w:rFonts w:hint="eastAsia" w:ascii="楷体" w:hAnsi="楷体" w:eastAsia="楷体" w:cs="楷体"/>
          <w:i w:val="0"/>
          <w:caps w:val="0"/>
          <w:color w:val="484848"/>
          <w:spacing w:val="0"/>
          <w:sz w:val="32"/>
          <w:szCs w:val="32"/>
          <w:u w:val="none"/>
          <w:lang w:eastAsia="zh-CN"/>
        </w:rPr>
        <w:t>（</w:t>
      </w:r>
      <w:r>
        <w:rPr>
          <w:rFonts w:hint="eastAsia" w:ascii="楷体" w:hAnsi="楷体" w:eastAsia="楷体" w:cs="楷体"/>
          <w:i w:val="0"/>
          <w:caps w:val="0"/>
          <w:color w:val="484848"/>
          <w:spacing w:val="0"/>
          <w:sz w:val="32"/>
          <w:szCs w:val="32"/>
          <w:u w:val="none"/>
        </w:rPr>
        <w:t>联防联控机制发〔2020〕35号</w:t>
      </w:r>
      <w:r>
        <w:rPr>
          <w:rFonts w:hint="eastAsia" w:ascii="楷体" w:hAnsi="楷体" w:eastAsia="楷体" w:cs="楷体"/>
          <w:i w:val="0"/>
          <w:caps w:val="0"/>
          <w:color w:val="484848"/>
          <w:spacing w:val="0"/>
          <w:sz w:val="32"/>
          <w:szCs w:val="32"/>
          <w:u w:val="none"/>
          <w:lang w:eastAsia="zh-CN"/>
        </w:rPr>
        <w:t>）</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各省、自治区、直辖市及新疆生产建设兵团应对新型冠状病毒肺炎疫情联防联控机制（领导小组、指挥部）：</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为贯彻落实党中央关于统筹推进疫情防控和经济社会发展工作的决策部署，在分区分级差异化防控的基础上，加快恢复正常医疗服务，满足人民群众看病就医需求，维护群众健康权益，现将有关要求通知如下：</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一、充分认识恢复正常医疗服务的重要性</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新冠肺炎疫情发生以来，全国投入了大量医疗力量和医疗资源开展疫情防治工作，部分非新冠肺炎患者的医疗服务受到一定程度影响。各地要充分认识到，恢复正常医疗服务不仅直接关系到患者基本就医权利保障，关系到人民群众生命健康，也关系到民生改善和社会和谐稳定。要将加快恢复正常医疗服务、满足人民群众基本医疗需求，作为当前亟待解决的大事要事来抓。在前期分区分级恢复正常医疗服务工作的基础上，进一步结合当地实际，统筹医疗资源，以问题为导向，采取切实有效措施，推动医疗机构稳妥有序恢复正常医疗服务，保障人民群众就医需求。</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二、分区分级尽快恢复正常医疗服务</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各地要落实《国家卫生健康委办公厅关于进一步落实科学防治精准施策分区分级要求做好疫情期间医疗服务管理工作的通知》（国卫办医函〔2020〕162号），根据本地区划分的低风险、中风险、高风险等级，差异化推进医疗服务恢复工作。低风险地区尽快全面恢复医疗服务，门急诊、住院、手术、检验检查等工作要全面向患者提供，不得以疫情防控为由，暂停医疗服务。中风险地区尽快稳妥有序恢复医疗服务，在采取必要防控措施的同时，逐步加大医疗服务保障力度。高风险地区在继续集中精力抓好疫情防控的同时，做好急重症患者和特殊群体医疗服务保障，根据疫情态势恢复医疗服务。</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　三、加强医疗机构内部科学管理</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（一）制定精细化差异化管理方案。</w:t>
      </w:r>
      <w:r>
        <w:rPr>
          <w:rFonts w:hint="eastAsia" w:ascii="仿宋" w:hAnsi="仿宋" w:eastAsia="仿宋" w:cs="仿宋"/>
          <w:i w:val="0"/>
          <w:caps w:val="0"/>
          <w:color w:val="484848"/>
          <w:spacing w:val="0"/>
          <w:sz w:val="32"/>
          <w:szCs w:val="32"/>
          <w:u w:val="none"/>
        </w:rPr>
        <w:t>医疗机构主要负责人要直接组织有关力量，根据机构功能定位、专科特点、服务人口数量等因素，按照“一院一策、一科一策”的原则，制定并细化恢复正常医疗服务的工作方案。通过信息化等手段，测算各临床科室患者的就医需求，动态调整医疗用房、医务人员和相关物资的配备使用。针对不同科室或部门特点，采取灵活和差异化的管理措施，明确责任人，确定时间表和路线图，确保相关工作稳妥有序推进。</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（二）充分发挥互联网医疗优势。</w:t>
      </w:r>
      <w:r>
        <w:rPr>
          <w:rFonts w:hint="eastAsia" w:ascii="仿宋" w:hAnsi="仿宋" w:eastAsia="仿宋" w:cs="仿宋"/>
          <w:i w:val="0"/>
          <w:caps w:val="0"/>
          <w:color w:val="484848"/>
          <w:spacing w:val="0"/>
          <w:sz w:val="32"/>
          <w:szCs w:val="32"/>
          <w:u w:val="none"/>
        </w:rPr>
        <w:t>利用“互联网+医疗健康”，大力推行预约挂号、预约检查、分时段就诊。探索开展先线上后现场的两次预检分诊模式，合理分流患者，引导有序就医、分时段就医。加强远程医疗服务，开展远程会诊、远程辅助诊断，为异地患者在当地看病就医提供技术支持。鼓励已注册审批的互联网医院开展线上慢性病复诊、诊疗咨询等服务，加强慢性病药品配送保障。</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（三）保障急重症患者和特殊群体就医需求。</w:t>
      </w:r>
      <w:r>
        <w:rPr>
          <w:rFonts w:hint="eastAsia" w:ascii="仿宋" w:hAnsi="仿宋" w:eastAsia="仿宋" w:cs="仿宋"/>
          <w:i w:val="0"/>
          <w:caps w:val="0"/>
          <w:color w:val="484848"/>
          <w:spacing w:val="0"/>
          <w:sz w:val="32"/>
          <w:szCs w:val="32"/>
          <w:u w:val="none"/>
        </w:rPr>
        <w:t>各地区医疗机构要确保急诊急救全天候开放。研究采取切实有效措施，满足需长期用药（包括麻醉药品、精神药品等特殊药品）、血液透析等特殊治疗的慢性病患者，需定期放疗、化疗的血液、肿瘤等重大疾病患者，以及孕产妇、儿童、老年人、精神类疾病等特殊群体的医疗服务需求。对病情稳定的慢性病患者，可以按照规定开具12周以内的长期处方，由签约的基层医疗机构进行管理。</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（四）科学开展院内感染防控。</w:t>
      </w:r>
      <w:r>
        <w:rPr>
          <w:rFonts w:hint="eastAsia" w:ascii="仿宋" w:hAnsi="仿宋" w:eastAsia="仿宋" w:cs="仿宋"/>
          <w:i w:val="0"/>
          <w:caps w:val="0"/>
          <w:color w:val="484848"/>
          <w:spacing w:val="0"/>
          <w:sz w:val="32"/>
          <w:szCs w:val="32"/>
          <w:u w:val="none"/>
        </w:rPr>
        <w:t>坚持科学合理开展感染防控，避免防控不足和防控过度。医疗机构要加强感染防控队伍建设，对重点部门、重点环节、重点人群以及防控的基础设施、基本流程进行逐一梳理，摸排风险，改进不足。严格落实医疗机构分区管理要求，避免交叉感染。全院全员实行标准预防措施，在此基础上，根据操作风险等级实施额外防护。</w:t>
      </w:r>
      <w:r>
        <w:rPr>
          <w:rFonts w:hint="eastAsia" w:ascii="仿宋" w:hAnsi="仿宋" w:eastAsia="仿宋" w:cs="仿宋"/>
          <w:i w:val="0"/>
          <w:caps w:val="0"/>
          <w:color w:val="484848"/>
          <w:spacing w:val="0"/>
          <w:sz w:val="32"/>
          <w:szCs w:val="32"/>
          <w:u w:val="none"/>
        </w:rPr>
        <w:br w:type="textWrapping"/>
      </w:r>
      <w:r>
        <w:rPr>
          <w:rFonts w:hint="eastAsia" w:ascii="黑体" w:hAnsi="黑体" w:eastAsia="黑体" w:cs="黑体"/>
          <w:i w:val="0"/>
          <w:caps w:val="0"/>
          <w:color w:val="484848"/>
          <w:spacing w:val="0"/>
          <w:sz w:val="32"/>
          <w:szCs w:val="32"/>
          <w:u w:val="none"/>
        </w:rPr>
        <w:t>　　（五）持续加强医联体建设发展。</w:t>
      </w:r>
      <w:r>
        <w:rPr>
          <w:rFonts w:hint="eastAsia" w:ascii="仿宋" w:hAnsi="仿宋" w:eastAsia="仿宋" w:cs="仿宋"/>
          <w:i w:val="0"/>
          <w:caps w:val="0"/>
          <w:color w:val="484848"/>
          <w:spacing w:val="0"/>
          <w:sz w:val="32"/>
          <w:szCs w:val="32"/>
          <w:u w:val="none"/>
        </w:rPr>
        <w:t>加强城市医疗集团和县域医共体内各医疗机构的协调配合，纵向调动医疗资源，发挥基层医疗机构作用，进一步落实基层首诊、双向转诊、急慢分治、上下联动的要求，使常见病、多发病患者就近看病就医，减少跨区域异地流动就医。结合疫情防控工作，推动分级诊疗制度的有效落实。</w:t>
      </w:r>
      <w:r>
        <w:rPr>
          <w:rFonts w:hint="eastAsia" w:ascii="仿宋" w:hAnsi="仿宋" w:eastAsia="仿宋" w:cs="仿宋"/>
          <w:i w:val="0"/>
          <w:caps w:val="0"/>
          <w:color w:val="484848"/>
          <w:spacing w:val="0"/>
          <w:sz w:val="32"/>
          <w:szCs w:val="32"/>
          <w:u w:val="none"/>
        </w:rPr>
        <w:br w:type="textWrapping"/>
      </w:r>
      <w:r>
        <w:rPr>
          <w:rFonts w:hint="eastAsia" w:ascii="黑体" w:hAnsi="黑体" w:eastAsia="黑体" w:cs="黑体"/>
          <w:i w:val="0"/>
          <w:caps w:val="0"/>
          <w:color w:val="484848"/>
          <w:spacing w:val="0"/>
          <w:sz w:val="32"/>
          <w:szCs w:val="32"/>
          <w:u w:val="none"/>
        </w:rPr>
        <w:t>　　四、强化外部支持保障</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　（一）加强政策协调统筹。</w:t>
      </w:r>
      <w:r>
        <w:rPr>
          <w:rFonts w:hint="eastAsia" w:ascii="仿宋" w:hAnsi="仿宋" w:eastAsia="仿宋" w:cs="仿宋"/>
          <w:i w:val="0"/>
          <w:caps w:val="0"/>
          <w:color w:val="484848"/>
          <w:spacing w:val="0"/>
          <w:sz w:val="32"/>
          <w:szCs w:val="32"/>
          <w:u w:val="none"/>
        </w:rPr>
        <w:t>各地联防联控机制要将恢复正常医疗服务纳入本地区复工复产的整体工作中统筹考虑、协同推进。在推进复工复产的过程中，优先保障恢复正常医疗服务所必需的政策措施。向医疗机构提出的疫情防控要求应当与本地区风险等级保持一致，并积极为医疗机构解决在恢复医疗服务中面临的困难。</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　（二）制定相应激励政策。</w:t>
      </w:r>
      <w:r>
        <w:rPr>
          <w:rFonts w:hint="eastAsia" w:ascii="仿宋" w:hAnsi="仿宋" w:eastAsia="仿宋" w:cs="仿宋"/>
          <w:i w:val="0"/>
          <w:caps w:val="0"/>
          <w:color w:val="484848"/>
          <w:spacing w:val="0"/>
          <w:sz w:val="32"/>
          <w:szCs w:val="32"/>
          <w:u w:val="none"/>
        </w:rPr>
        <w:t>各地联防联控机制要制定激励医疗机构恢复正常医疗服务的政策措施，增强恢复医疗服务的内生动力。落实财政对公立医院的投入责任，用于政策性亏损补偿等，并对公立医院承担的公共卫生任务给予专项补助。鼓励预拨一定比例的医保基金，减轻医疗机构经济运行压力。要科学认识医疗机构内感染问题，保障开展感染防控工作所必需的场所、人员和经费支持。对以病人为中心、主动担当作为、严格落实感染防控各项规章制度、积极恢复正常医疗服务的医疗机构，要在学科建设、项目设立、资金安排、评优评先等工作中予以优先支持。</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（三）做好各类资源供应保障。</w:t>
      </w:r>
      <w:r>
        <w:rPr>
          <w:rFonts w:hint="eastAsia" w:ascii="仿宋" w:hAnsi="仿宋" w:eastAsia="仿宋" w:cs="仿宋"/>
          <w:i w:val="0"/>
          <w:caps w:val="0"/>
          <w:color w:val="484848"/>
          <w:spacing w:val="0"/>
          <w:sz w:val="32"/>
          <w:szCs w:val="32"/>
          <w:u w:val="none"/>
        </w:rPr>
        <w:t>各地要根据本地区疫情发展变化，及时对可调用的医疗场所、人力资源、防护物资等各类资源进行合理分配和调整，保证现有资源有效利用最大化。进一步加大无偿献血组织动员力度，统筹省内调配和省际调配，保障临床用血需求。加强药品、耗材等供应保障，及时畅通采购、配送渠道。科学测算医用防护物资需求，及时调配各类防护物资，确保正常医疗服务合理防护需求得到满足。</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（四）开展现场指导督查。</w:t>
      </w:r>
      <w:r>
        <w:rPr>
          <w:rFonts w:hint="eastAsia" w:ascii="仿宋" w:hAnsi="仿宋" w:eastAsia="仿宋" w:cs="仿宋"/>
          <w:i w:val="0"/>
          <w:caps w:val="0"/>
          <w:color w:val="484848"/>
          <w:spacing w:val="0"/>
          <w:sz w:val="32"/>
          <w:szCs w:val="32"/>
          <w:u w:val="none"/>
        </w:rPr>
        <w:t>将恢复正常医疗服务纳入各地疫情防控工作的督查内容，进一步加大现场指导和督查力度。督促医疗机构尽快恢复正常医疗服务，满足群众迫切的医疗需求，及时发现工作中存在的问题，协调解决新问题新困难。对恢复正常医疗服务组织或支持不力的有关部门及责任人，以及无特殊原因不恢复正常医疗服务或恢复迟缓的医疗机构及责任人，予以通报批评直至追责问责。</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w:t>
      </w:r>
      <w:r>
        <w:rPr>
          <w:rFonts w:hint="eastAsia" w:ascii="黑体" w:hAnsi="黑体" w:eastAsia="黑体" w:cs="黑体"/>
          <w:i w:val="0"/>
          <w:caps w:val="0"/>
          <w:color w:val="484848"/>
          <w:spacing w:val="0"/>
          <w:sz w:val="32"/>
          <w:szCs w:val="32"/>
          <w:u w:val="none"/>
        </w:rPr>
        <w:t>（五）加强公众宣传引导。</w:t>
      </w:r>
      <w:r>
        <w:rPr>
          <w:rFonts w:hint="eastAsia" w:ascii="仿宋" w:hAnsi="仿宋" w:eastAsia="仿宋" w:cs="仿宋"/>
          <w:i w:val="0"/>
          <w:caps w:val="0"/>
          <w:color w:val="484848"/>
          <w:spacing w:val="0"/>
          <w:sz w:val="32"/>
          <w:szCs w:val="32"/>
          <w:u w:val="none"/>
        </w:rPr>
        <w:t>卫生健康行政部门和医疗机构要及时向社会公布医疗机构有关诊疗信息，方便群众查询了解，提前预约有序就诊。充分发挥主要媒体、专业媒体和新媒体作用，向公众客观介绍分级诊疗服务体系，提升公众对基层医疗服务的信心，引导合理就医。</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请各地对辖区内医疗机构及三级医院、二级医院等门急诊、住院等医疗服务情况加强监测，研判其恢复至正常医疗服务的程度（以相对于2019年同期服务量百分比表示），每周一12时前将前一周恢复情况以电子邮件形式报国务院应对新型冠状病毒肺炎疫情联防联控机制（电子邮件：</w:t>
      </w:r>
      <w:r>
        <w:rPr>
          <w:rFonts w:hint="eastAsia" w:ascii="仿宋" w:hAnsi="仿宋" w:eastAsia="仿宋" w:cs="仿宋"/>
          <w:i w:val="0"/>
          <w:caps w:val="0"/>
          <w:color w:val="484848"/>
          <w:spacing w:val="0"/>
          <w:sz w:val="32"/>
          <w:szCs w:val="32"/>
          <w:u w:val="none"/>
        </w:rPr>
        <w:fldChar w:fldCharType="begin"/>
      </w:r>
      <w:r>
        <w:rPr>
          <w:rFonts w:hint="eastAsia" w:ascii="仿宋" w:hAnsi="仿宋" w:eastAsia="仿宋" w:cs="仿宋"/>
          <w:i w:val="0"/>
          <w:caps w:val="0"/>
          <w:color w:val="484848"/>
          <w:spacing w:val="0"/>
          <w:sz w:val="32"/>
          <w:szCs w:val="32"/>
          <w:u w:val="none"/>
        </w:rPr>
        <w:instrText xml:space="preserve"> HYPERLINK "mailto:YLGLC@NHC.GOV.CN" </w:instrText>
      </w:r>
      <w:r>
        <w:rPr>
          <w:rFonts w:hint="eastAsia" w:ascii="仿宋" w:hAnsi="仿宋" w:eastAsia="仿宋" w:cs="仿宋"/>
          <w:i w:val="0"/>
          <w:caps w:val="0"/>
          <w:color w:val="484848"/>
          <w:spacing w:val="0"/>
          <w:sz w:val="32"/>
          <w:szCs w:val="32"/>
          <w:u w:val="none"/>
        </w:rPr>
        <w:fldChar w:fldCharType="separate"/>
      </w:r>
      <w:r>
        <w:rPr>
          <w:rStyle w:val="27"/>
          <w:rFonts w:hint="eastAsia" w:ascii="仿宋" w:hAnsi="仿宋" w:eastAsia="仿宋" w:cs="仿宋"/>
          <w:i w:val="0"/>
          <w:caps w:val="0"/>
          <w:color w:val="484848"/>
          <w:spacing w:val="0"/>
          <w:sz w:val="32"/>
          <w:szCs w:val="32"/>
          <w:u w:val="none"/>
        </w:rPr>
        <w:t>YLGLC@NHC.GOV.CN</w:t>
      </w:r>
      <w:r>
        <w:rPr>
          <w:rFonts w:hint="eastAsia" w:ascii="仿宋" w:hAnsi="仿宋" w:eastAsia="仿宋" w:cs="仿宋"/>
          <w:i w:val="0"/>
          <w:caps w:val="0"/>
          <w:color w:val="484848"/>
          <w:spacing w:val="0"/>
          <w:sz w:val="32"/>
          <w:szCs w:val="32"/>
          <w:u w:val="none"/>
        </w:rPr>
        <w:fldChar w:fldCharType="end"/>
      </w:r>
      <w:r>
        <w:rPr>
          <w:rFonts w:hint="eastAsia" w:ascii="仿宋" w:hAnsi="仿宋" w:eastAsia="仿宋" w:cs="仿宋"/>
          <w:i w:val="0"/>
          <w:caps w:val="0"/>
          <w:color w:val="484848"/>
          <w:spacing w:val="0"/>
          <w:sz w:val="32"/>
          <w:szCs w:val="32"/>
          <w:u w:val="none"/>
        </w:rPr>
        <w:t>）。首次报送时间为2020年3月30日，同时将联系人信息（姓名、单位、职务及联系电话）一并报送。完全恢复正常医疗服务后停止报送。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 国务院应对新型冠状病毒肺炎疫情联防联控机制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sz w:val="32"/>
          <w:szCs w:val="32"/>
        </w:rPr>
      </w:pPr>
      <w:r>
        <w:rPr>
          <w:rFonts w:hint="eastAsia" w:ascii="仿宋" w:hAnsi="仿宋" w:eastAsia="仿宋" w:cs="仿宋"/>
          <w:i w:val="0"/>
          <w:caps w:val="0"/>
          <w:color w:val="484848"/>
          <w:spacing w:val="0"/>
          <w:sz w:val="32"/>
          <w:szCs w:val="32"/>
          <w:u w:val="none"/>
        </w:rPr>
        <w:t>2020年3月20日</w:t>
      </w: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sz w:val="44"/>
          <w:szCs w:val="44"/>
          <w:lang w:val="en-US" w:eastAsia="zh-CN"/>
        </w:rPr>
      </w:pPr>
      <w:bookmarkStart w:id="320" w:name="_Toc15421"/>
      <w:r>
        <w:rPr>
          <w:rFonts w:hint="eastAsia" w:ascii="宋体" w:hAnsi="宋体" w:eastAsia="宋体" w:cs="Arial"/>
          <w:bCs/>
          <w:sz w:val="44"/>
          <w:szCs w:val="44"/>
          <w:lang w:val="en-US" w:eastAsia="zh-CN"/>
        </w:rPr>
        <w:t>财政部 国家卫生健康委 国家医疗保障局 国家中医药管理局关于印发基本公共卫生服务等5项补助资金管理办法的通知</w:t>
      </w:r>
      <w:bookmarkEnd w:id="320"/>
    </w:p>
    <w:p>
      <w:pPr>
        <w:widowControl w:val="0"/>
        <w:numPr>
          <w:ilvl w:val="0"/>
          <w:numId w:val="0"/>
        </w:numPr>
        <w:wordWrap/>
        <w:overflowPunct w:val="0"/>
        <w:spacing w:beforeAutospacing="0" w:afterAutospacing="0" w:line="560" w:lineRule="exact"/>
        <w:ind w:firstLine="646"/>
        <w:jc w:val="center"/>
        <w:textAlignment w:val="auto"/>
        <w:rPr>
          <w:rFonts w:hint="eastAsia" w:ascii="宋体" w:hAnsi="宋体" w:eastAsia="楷体_GB2312" w:cs="楷体_GB2312"/>
          <w:color w:val="000000"/>
          <w:sz w:val="32"/>
          <w:szCs w:val="32"/>
        </w:rPr>
      </w:pPr>
      <w:r>
        <w:rPr>
          <w:rFonts w:hint="eastAsia" w:ascii="宋体" w:hAnsi="宋体" w:eastAsia="宋体" w:cs="宋体"/>
          <w:bCs/>
          <w:kern w:val="2"/>
          <w:sz w:val="44"/>
          <w:szCs w:val="44"/>
          <w:lang w:val="en-US" w:eastAsia="zh-CN" w:bidi="ar-SA"/>
        </w:rPr>
        <w:br w:type="textWrapping"/>
      </w:r>
      <w:r>
        <w:rPr>
          <w:rFonts w:hint="eastAsia" w:ascii="楷体" w:hAnsi="楷体" w:eastAsia="楷体" w:cs="楷体"/>
          <w:color w:val="000000"/>
          <w:sz w:val="32"/>
          <w:szCs w:val="32"/>
        </w:rPr>
        <w:t>（财社〔2019〕113号）</w:t>
      </w:r>
    </w:p>
    <w:p>
      <w:pPr>
        <w:pStyle w:val="33"/>
        <w:wordWrap/>
        <w:spacing w:line="560" w:lineRule="exact"/>
        <w:textAlignment w:val="auto"/>
        <w:rPr>
          <w:rFonts w:hint="eastAsia"/>
        </w:rPr>
      </w:pPr>
    </w:p>
    <w:p>
      <w:pPr>
        <w:widowControl w:val="0"/>
        <w:wordWrap/>
        <w:overflowPunct w:val="0"/>
        <w:spacing w:beforeAutospacing="0" w:afterAutospacing="0" w:line="600" w:lineRule="exact"/>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各省、自治区、直辖市、计划单列市财政厅（局）、卫生健康委、医保局、中医药局，新疆生产建设兵团财政局、卫生健康委、医保局：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为规范和加强中央财政对地方转移支付资金管理，提高资金使用效益，根据《中华人民共和国预算法》《国务院办公厅关于印发医疗卫生领域中央与地方财政事权和支出责任划分改革方案的通知》等有关法律法规和政策要求，以及财政部转移支付资金等预算管理规定，我们修订了基本公共卫生服务等5项补助资金管理办法，现印发给你们，请遵照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附件：1.基本公共卫生服务补助资金管理办法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2.医疗服务与保障能力提升补助资金管理办法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3.基本药物制度补助资金管理办法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4.计划生育转移支付资金管理办法</w:t>
      </w:r>
      <w:r>
        <w:rPr>
          <w:rFonts w:hint="eastAsia" w:ascii="宋体" w:hAnsi="宋体" w:eastAsia="仿宋_GB2312" w:cs="仿宋_GB2312"/>
          <w:color w:val="000000"/>
          <w:sz w:val="32"/>
          <w:szCs w:val="32"/>
          <w:lang w:eastAsia="zh-CN"/>
        </w:rPr>
        <w:t>（省略）</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5.重大传染病防控补助资金管理办法</w:t>
      </w:r>
    </w:p>
    <w:p>
      <w:pPr>
        <w:pStyle w:val="33"/>
        <w:wordWrap/>
        <w:spacing w:line="600" w:lineRule="exact"/>
        <w:textAlignment w:val="auto"/>
        <w:rPr>
          <w:rFonts w:hint="eastAsia"/>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600" w:lineRule="exact"/>
        <w:jc w:val="righ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财　政　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国家卫生健康委</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国家医疗保障局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国家中医药管理局</w:t>
      </w:r>
      <w:r>
        <w:rPr>
          <w:rFonts w:hint="eastAsia" w:ascii="宋体" w:hAnsi="宋体" w:eastAsia="仿宋_GB2312" w:cs="仿宋_GB2312"/>
          <w:color w:val="000000"/>
          <w:sz w:val="32"/>
          <w:szCs w:val="32"/>
        </w:rPr>
        <w:br w:type="textWrapping"/>
      </w:r>
      <w:r>
        <w:rPr>
          <w:rFonts w:hint="eastAsia" w:ascii="仿宋" w:hAnsi="仿宋" w:eastAsia="仿宋" w:cs="仿宋"/>
          <w:color w:val="000000"/>
          <w:sz w:val="32"/>
          <w:szCs w:val="32"/>
        </w:rPr>
        <w:t>2019年7月26日</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jc w:val="righ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jc w:val="righ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jc w:val="right"/>
        <w:textAlignment w:val="auto"/>
        <w:rPr>
          <w:rFonts w:hint="eastAsia" w:ascii="宋体" w:hAnsi="宋体" w:eastAsia="仿宋_GB2312" w:cs="仿宋_GB2312"/>
          <w:color w:val="000000"/>
          <w:sz w:val="32"/>
          <w:szCs w:val="32"/>
        </w:rPr>
      </w:pPr>
    </w:p>
    <w:p>
      <w:pPr>
        <w:wordWrap/>
        <w:spacing w:line="560" w:lineRule="exac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br w:type="page"/>
      </w:r>
    </w:p>
    <w:p>
      <w:pPr>
        <w:widowControl w:val="0"/>
        <w:wordWrap/>
        <w:overflowPunct w:val="0"/>
        <w:spacing w:beforeAutospacing="0" w:afterAutospacing="0" w:line="560" w:lineRule="exact"/>
        <w:jc w:val="left"/>
        <w:textAlignment w:val="auto"/>
        <w:rPr>
          <w:rFonts w:hint="eastAsia" w:ascii="宋体" w:hAnsi="宋体" w:eastAsia="仿宋_GB2312" w:cs="仿宋_GB2312"/>
          <w:sz w:val="32"/>
          <w:szCs w:val="32"/>
        </w:rPr>
      </w:pPr>
      <w:r>
        <w:rPr>
          <w:rFonts w:hint="eastAsia" w:ascii="宋体" w:hAnsi="宋体" w:eastAsia="黑体" w:cs="黑体"/>
          <w:color w:val="000000"/>
          <w:sz w:val="32"/>
          <w:szCs w:val="32"/>
        </w:rPr>
        <w:t>附件1：</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宋体" w:cs="宋体"/>
          <w:bCs/>
          <w:kern w:val="2"/>
          <w:sz w:val="44"/>
          <w:szCs w:val="44"/>
          <w:lang w:val="en-US" w:eastAsia="zh-CN" w:bidi="ar-SA"/>
        </w:rPr>
      </w:pPr>
      <w:r>
        <w:rPr>
          <w:rFonts w:hint="eastAsia" w:ascii="宋体" w:hAnsi="宋体" w:eastAsia="宋体" w:cs="宋体"/>
          <w:bCs/>
          <w:kern w:val="2"/>
          <w:sz w:val="44"/>
          <w:szCs w:val="44"/>
          <w:lang w:val="en-US" w:eastAsia="zh-CN" w:bidi="ar-SA"/>
        </w:rPr>
        <w:t>基本公共卫生服务补助资金管理办法</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仿宋_GB2312" w:cs="仿宋_GB2312"/>
          <w:bCs/>
          <w:kern w:val="2"/>
          <w:sz w:val="32"/>
          <w:szCs w:val="32"/>
          <w:lang w:val="en-US" w:eastAsia="zh-CN" w:bidi="ar-SA"/>
        </w:rPr>
      </w:pP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rPr>
        <w:t>第一条</w:t>
      </w:r>
      <w:r>
        <w:rPr>
          <w:rFonts w:hint="eastAsia" w:ascii="宋体" w:hAnsi="宋体" w:eastAsia="仿宋_GB2312" w:cs="仿宋_GB2312"/>
          <w:color w:val="000000"/>
          <w:sz w:val="32"/>
          <w:szCs w:val="32"/>
        </w:rPr>
        <w:t>　为规范和加强中央财政基本公共卫生服务补助资金管理，提高资金使用效益，根据《中华人民共和国预算法》《中共中央 国务院关于全面实施预算绩效管理的意见》《国务院办公厅关于印发医疗卫生领域中央与地方财政事权和支出责任划分改革方案的通知》（以下简称《改革方案》）等有关法律法规和政策要求，以及财政部转移支付资金等预算管理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第二条</w:t>
      </w:r>
      <w:r>
        <w:rPr>
          <w:rFonts w:hint="eastAsia" w:ascii="宋体" w:hAnsi="宋体" w:eastAsia="仿宋_GB2312" w:cs="仿宋_GB2312"/>
          <w:color w:val="000000"/>
          <w:sz w:val="32"/>
          <w:szCs w:val="32"/>
        </w:rPr>
        <w:t>　基本公共卫生服务补助资金，是指通过共同财政事权转移支付方式安排，用于支持各地实施基本公共卫生服务项目的转移支付资金（以下简称转移支付资金）。实施期限根据医疗卫生领域中央与地方财政事权和支出责任划分改革方案的调整相应进行调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基本公共卫生服务包括健康教育、预防接种、重点人群健康管理等原基本公共卫生服务项目，以及按照《改革方案》要求，从原重大公共卫生服务和计划生育服务项目中划入的妇幼卫生、老年健康服务、医养结合、卫生应急、孕前检查等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基本公共卫生服务项目的具体内容，由国家卫生健康委会同财政部，根据深化医药卫生体制改革的有关要求和年度工作任务、卫生健康事业发展规划以及财政预算情况研究确定。</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各级财政部门要按照基本公共卫生服务项目和经费标准足额安排转移支付资金预算，建立健全基本公共卫生服务经费保障机制，确保年度基本公共卫生工作任务保质保量完成。转移支付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（一）合理规划，科学论证。合理规划基本公共卫生服务项目，科学论证项目可行性和必要性。</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（二）统一分配，分级管理。转移支付资金由中央财政统一分配，具体项目落实由各级卫生健康部门分级负责。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　</w:t>
      </w:r>
      <w:r>
        <w:rPr>
          <w:rFonts w:hint="eastAsia" w:ascii="宋体" w:hAnsi="宋体" w:eastAsia="仿宋_GB2312" w:cs="仿宋_GB2312"/>
          <w:color w:val="000000"/>
          <w:sz w:val="32"/>
          <w:szCs w:val="32"/>
        </w:rPr>
        <w:t>财政部会同国家卫生健康委分配转移支付资金，指导督促省级财政和卫生健康部门按要求制定绩效目标并做好绩效自评，对资金进行监督管理。国家卫生健康委负责提供测算因素的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转移支付资金采用因素法分配。</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分配转移支付资金时主要考虑各地实施基本公共卫生服务常住人口数量、国家基础标准、中央与地方分担比例等因素。某省（区、市）应拨付资金＝常住人口数量×国家基础标准×中央与地方分担比例＋绩效因素分配资金，其中绩效因素将根据项目总体执行情况确定相应权重，原则上不得低于5%。</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中央制定基本公共卫生服务国家基础标准，并根据经济社会发展情况和物价水平适时调整，确保基本公共卫生服务项目任务完成。</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基本公共卫生服务支出责任实行中央分档分担办法：第一档包括内蒙古、广西、重庆、四川、贵州、云南、西藏、陕西、甘肃、青海、宁夏、新疆12个省（自治区、直辖市），中央分担80%；第二档包括河北、山西、吉林、黑龙江、安徽、江西、河南、湖北、湖南、海南10个省，中央分担60%；第三档包括辽宁、福建、山东3个省，中央分担50%；第四档包括天津、江苏、浙江、广东4个省（直辖市）和大连、宁波、厦门、青岛、深圳5个计划单列市，中央分担30%；第五档包括北京、上海2个直辖市，中央分担10%。党中央、国务院明确规定比照享受相关区域政策的地区继续按相关规定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部门要会同卫生健康部门，根据国家确定的基本公共卫生服务项目、任务和国家基础标准，结合本地区疾病谱、防治工作需要、经济社会发展水平和财政承受能力，合理确定本地区基本公共卫生服务项目内容及各项服务的数量和地区标准，地区标准事先按程序报上级备案后执行，高出国家基础标准部分所需资金自行负担。</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第七条</w:t>
      </w:r>
      <w:r>
        <w:rPr>
          <w:rFonts w:hint="eastAsia" w:ascii="宋体" w:hAnsi="宋体" w:eastAsia="仿宋_GB2312" w:cs="仿宋_GB2312"/>
          <w:color w:val="000000"/>
          <w:sz w:val="32"/>
          <w:szCs w:val="32"/>
        </w:rPr>
        <w:t>　根据《改革方案》文件要求，原基本公共卫生服务项目内容、资金按照相应的服务规范组织实施，主要用于城市社区卫生服务中心（站）、乡镇卫生院和村卫生室等基层医疗卫生机构提供基本公共卫生服务所需支出，也可用于其他非基层医疗卫生机构提供基本公共卫生服务所需支出，以及用于疾控等专业公共卫生机构指导开展基本公共卫生服务所需支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承担单位获得的原基本公共卫生服务项目转移支付资金，在核定服务任务和补助标准、绩效评价补助的基础上，可统筹用于经常性支出，包括人员经费、公用经费等，不得用于开展基本建设工程、购置大型设备等。新划入基本公共卫生服务的项目由各省份结合地方实际自主安排，资金不限于基层医疗卫生机构使用，主要用于需方补助、工作经费和能力建设等支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中央财政按照预算法和预算管理有关规定，于每年10月31日前将下一年度转移支付资金预计数提前下达地方，并在全国人大批准预算后30日内正式下达转移支付资金预算。省级财政部门在收到中央财政转移支付资金预算后，应当在30日内正式下达到本行政区域县级以上各级财政部门，并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各级财政、卫生健康部门应按照全面实施预算绩效管理的要求，强化绩效目标管理，做好绩效监控和绩效评价，并加强评价结果应用，确保提高转移支付资金配置效率和使用效益。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转移支付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第十条</w:t>
      </w:r>
      <w:r>
        <w:rPr>
          <w:rFonts w:hint="eastAsia" w:ascii="宋体" w:hAnsi="宋体" w:eastAsia="仿宋_GB2312" w:cs="仿宋_GB2312"/>
          <w:color w:val="000000"/>
          <w:sz w:val="32"/>
          <w:szCs w:val="32"/>
        </w:rPr>
        <w:t>　地方各级财政部门要积极推进购买服务机制，省级卫生健康部门要会同财政部门，做好各类基本公共卫生服务项目的成本测算，合理确定采购预算或最高限价。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各级财政、卫生健康部门以及转移支付资金具体使用单位，要按照财政预算和国库管理有关规定，制定资金管理办法，加强资金管理，规范预算执行管理。转移支付资金原则上应在当年执行完毕，年度未支出的转移支付资金按财政部结转结余资金管理有关规定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转移支付资金的支付按照国库集中支付制度有关规定执行。资金使用过程中，涉及政府采购的，应当按照政府采购有关法律法规及制度执行。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转移支付资金依法接受财政、审计、监察等部门监督，必要时可以委托专业机构或具有资质的社会机构开展转移支付资金监督检查工作。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各级财政、卫生健康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本办法由财政部会同国家卫生健康委负责解释。省级财政、卫生健康部门要结合当地实际，根据本办法制定具体实施细则，报财政部、国家卫生健康委备案，抄送财政部当地监管局。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第十五条</w:t>
      </w:r>
      <w:r>
        <w:rPr>
          <w:rFonts w:hint="eastAsia" w:ascii="宋体" w:hAnsi="宋体" w:eastAsia="仿宋_GB2312" w:cs="仿宋_GB2312"/>
          <w:color w:val="000000"/>
          <w:sz w:val="32"/>
          <w:szCs w:val="32"/>
        </w:rPr>
        <w:t>　本办法自2019年9月1日起施行，《财政部 卫生计生委 食品药品监管总局 中医药局关于印发＜公共卫生服务补助资金管理暂行办法＞的通知》（财社〔2015〕255号）、《财政部 卫生计生委 食品药品监管总局 中医药局关于修订＜公共卫生服务补助资金管理暂行办法＞的通知》（财社〔2016〕229号）同时废止。</w:t>
      </w: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rPr>
        <w:t>附件2：</w:t>
      </w:r>
    </w:p>
    <w:p>
      <w:pPr>
        <w:widowControl w:val="0"/>
        <w:wordWrap/>
        <w:overflowPunct w:val="0"/>
        <w:spacing w:beforeAutospacing="0" w:afterAutospacing="0" w:line="560" w:lineRule="exact"/>
        <w:ind w:firstLine="640"/>
        <w:jc w:val="lef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医疗服务与保障能力提升补助资金</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t>管理办法</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0" w:firstLineChars="200"/>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黑体" w:cs="黑体"/>
          <w:color w:val="000000"/>
          <w:sz w:val="32"/>
          <w:szCs w:val="32"/>
          <w:lang w:val="en-US" w:eastAsia="zh-CN"/>
        </w:rPr>
        <w:t xml:space="preserve">  </w:t>
      </w:r>
      <w:r>
        <w:rPr>
          <w:rFonts w:hint="eastAsia" w:ascii="宋体" w:hAnsi="宋体" w:eastAsia="仿宋_GB2312" w:cs="仿宋_GB2312"/>
          <w:color w:val="000000"/>
          <w:sz w:val="32"/>
          <w:szCs w:val="32"/>
        </w:rPr>
        <w:t>为规范和加强中央财政医疗服务与保障能力提升补助资金管理，提高资金使用的安全性和有效性，根据《中华人民共和国预算法》《中共中央 国务院关于全面实施预算绩效管理的意见》《国务院办公厅关于印发医疗卫生领域中央与地方财政事权和支出责任划分改革方案的通知》等有关法律法规和政策要求，以及财政部转移支付资金等预算管理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医疗服务与保障能力提升补助资金，是指通过共同财政事权转移支付方式安排，用于支持医疗服务与保障能力提升方面的转移支付资金（以下简称转移支付资金）。实施期限根据医疗卫生领域中央与地方财政事权和支出责任划分改革方案的调整相应进行调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转移支付资金由财政部会同国家卫生健康委、国家医疗保障局、国家中医药管理局根据国务院《“健康中国2030”规划纲要》《中医药发展战略规划纲要（2016-2030年）》，以及深化医药卫生体制改革总体要求和工作部署安排使用，重点支持公立医院综合改革、医疗卫生机构能力建设、卫生健康人才培养、医疗保障服务能力建设、中医药事业传承与发展以及其他医改相关工作，具体内容和方式由财政部会同国家卫生健康委、国家医疗保障局、国家中医药管理局根据国务院有关要求、相关规划以及医疗服务与医疗保障领域年度重点工作安排研究确定。</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转移支付资金按照以下原则分配和管理：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（一）合理规划，科学论证。要按照健康中国战略和医改工作总体要求及相关规划，合理确定转移支付资金使用方向，并对转移支付资金支持项目的必要性、可行性等进行科学论证。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（二）统筹分配，保障重点。要统筹考虑健康中国战略和医改工作需要，合理安排转移支付资金预算，切实保障医疗服务与保障能力提升重点项目的资金需求。</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财政部会同国家卫生健康委、国家医疗保障局、国家中医药管理局分配转移支付资金，指导督促省级财政、卫生健康、医疗保障和中医药部门按要求制定绩效目标并做好绩效自评，对资金进行监督管理。中央有关部门负责提供测算因素的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转移支付资金采用因素法分配。</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公立医院综合改革、卫生健康人才培养、医疗卫生机构能力建设补助资金分配主要考虑补助对象数量、补助标准等因素。其中：某省（区、市）公立医院综合改革应拨付资金＝补助对象数量×补助标准×人口系数×贫困系数（根据常住人口数量分档确定贫困倾斜系数）；某省（区、市）卫生健康人才培养和医疗卫生机构能力建设应拨付资金＝补助对象数量×补助标准。对已开展绩效评价的项目，将结合项目特点，安排不低于5%的资金根据绩效评价结果进行分配。</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医疗保障服务能力建设补助资金分配时主要考虑基础因素、工作任务量因素、绩效因素等因素。其中，基础因素和工作因素各占40%，绩效因素占20%。</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中医药事业传承与发展补助资金分配时主要考虑基础因素、工作任务量因素、绩效因素等因素。其中，基础因素占20%，工作任务量因素占60%，绩效因素占20%。</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中央财政按照预算法和预算管理有关规定，于每年10月31日前将下一年度转移支付资金预计数提前下达地方，并在全国人大批准预算后30日内正式下达转移支付资金预算。省级财政部门在收到中央财政转移支付资金预算后，应当在30日内正式下达到本行政区域县级以上各级财政部门，并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　</w:t>
      </w:r>
      <w:r>
        <w:rPr>
          <w:rFonts w:hint="eastAsia" w:ascii="宋体" w:hAnsi="宋体" w:eastAsia="仿宋_GB2312" w:cs="仿宋_GB2312"/>
          <w:color w:val="000000"/>
          <w:sz w:val="32"/>
          <w:szCs w:val="32"/>
        </w:rPr>
        <w:t>各级财政、卫生健康、医疗保障、中医药部门应按照全面实施预算绩效管理的要求，强化绩效目标管理，做好绩效监控和绩效评价，并加强结果应用，确保提高转移支付资金配置效率和使用效益。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医疗保障、中医药部门负责业务指导和项目管理，会同财政部门建立健全绩效评价机制，并对相关工作进展和资金使用情况开展绩效评价。绩效评价原则上每年一次。国家卫生健康委、国家医疗保障局、国家中医药管理局、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转移支付资金分配与相关项目执行进度、绩效评价、预算监管和监督检查结果适当挂钩。绩效评价和重点绩效评价结果作为完善相关转移支付政策和以后年度预算申请、安排和对下分配的重要参考依据。各级卫生健康、医疗保障、中医药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地方各级财政部门要积极推进购买服务机制，省级卫生健康、医疗保障、中医药部门要会同财政部门，做好各类医疗服务与保障能力提升项目的成本测算，合理确定采购预算或最高限价。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各级财政、卫生健康、医疗保障、中医药部门以及转移支付资金具体使用单位，要按照财政预算和国库管理有关规定，制定资金管理办法，加强资金管理，规范预算执行管理。转移支付资金原则上应在当年执行完毕，年度未支出的转移支付资金按财政部结转结余资金管理有关规定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转移支付资金的支付按照国库集中支付制度有关规定执行。资金使用过程中，涉及政府采购的，应当按照政府采购有关法律法规及制度执行。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转移支付资金依法接受财政、审计、监察等部门监督，必要时可以委托专业机构或具有资质的社会机构开展转移支付资金监督检查工作。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财政、卫生健康、医疗保障、中医药部门要加强对资金使用情况的监督管理，认真开展转移支付资金管理和使用情况监督检查，及时发现和纠正有关问题。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各级财政、卫生健康、医疗保障、中医药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本办法由财政部会同国家卫生健康委、国家医疗保障局、国家中医药管理局负责解释。各省级财政部门会同卫生健康、医疗保障、中医药部门根据本办法，结合本地实际，制定实施细则，报财政部、国家卫生健康委、国家医疗保障局、国家中医药管理局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本办法自2019年9月1日起施行，《财政部 国家卫生计生委 国家中医药管理局关于印发＜医疗服务能力提升补助资金管理暂行办法＞的通知》（财社〔2016〕231号）同时废止。</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br w:type="page"/>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rPr>
        <w:t>附件3：</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320"/>
        <w:jc w:val="center"/>
        <w:textAlignment w:val="auto"/>
        <w:rPr>
          <w:rFonts w:hint="eastAsia" w:ascii="宋体" w:hAnsi="宋体" w:eastAsia="仿宋_GB2312" w:cs="仿宋_GB2312"/>
          <w:color w:val="000000"/>
          <w:sz w:val="32"/>
          <w:szCs w:val="32"/>
        </w:rPr>
      </w:pPr>
      <w:r>
        <w:rPr>
          <w:rFonts w:hint="eastAsia" w:ascii="宋体" w:hAnsi="宋体" w:eastAsia="宋体" w:cs="宋体"/>
          <w:color w:val="000000"/>
          <w:sz w:val="44"/>
          <w:szCs w:val="44"/>
        </w:rPr>
        <w:t>基本药物制度补助资金管理办法</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320"/>
        <w:jc w:val="center"/>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0" w:firstLineChars="200"/>
        <w:jc w:val="left"/>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仿宋_GB2312" w:cs="仿宋_GB2312"/>
          <w:color w:val="000000"/>
          <w:sz w:val="32"/>
          <w:szCs w:val="32"/>
        </w:rPr>
        <w:t>　为加强和规范中央财政支持基层医疗卫生机构实施国家基本药物制度补助资金的分配、使用和管理，根据《中华人民共和国预算法》《中共中央 国务院关于全面实施预算绩效管理的意见》《关于建立国家基本药物制度的实施意见》《国务院办公厅关于建立健全基层医疗卫生机构补偿机制的意见》《关于巩固完善基本药物制度和基层运行新机制的意见》和《国务院办公厅关于印发医疗卫生领域中央与地方财政事权和支出责任划分改革方案的通知》等文件规定，按照国家有关法律法规和财政规章制度，结合实际情况，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本办法所称基层医疗卫生机构，包括城市社区卫生服务中心（站）、乡镇卫生院和村卫生室等机构。</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基本药物制度补助资金，是指通过共同财政事权转移支付方式安排，用于支持基层医疗卫生机构实施国家基本药物制度、推进基层医疗卫生机构综合改革的转移支付资金（以下简称转移支付资金）。实施期限根据医疗卫生领域中央与地方财政事权和支出责任划分改革方案的调整相应进行调整。</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转移支付资金按照以下原则分配和管理：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（一）合理规划，科学论证。要按照医改工作总体要求及相关规划，合理确定转移支付资金使用方向，并对转移支付资金支持项目的必要性、可行性等进行科学论证。</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（二）强化管理，注重实效。要加强对转移支付资金分配、使用过程管理，规范各个环节的管理要求，明确相关主体的权利责任，保障转移支付资金安全、高效使用。</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财政部会同国家卫生健康委分配转移支付资金，指导督促省级财政和卫生健康部门按要求制定绩效目标并做好绩效自评，对资金进行监督管理。国家卫生健康委负责提供测算因素的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转移支付资金采用因素法分配。分配时主要考虑补助标准、服务人口数量和地方财力状况等因素，并统筹考虑绩效评价结果进行结算（绩效因素权重原则上不低于5%）。对社区卫生服务中心（站）和乡镇卫生院，按照“核定任务、核定收支、绩效考核补助”的办法核定转移支付资金。对村卫生室，按乡村医生服务人口数量和人均标准核定转移支付资金，某省（区、市）应拨付资金＝服务人口数量×人均标准×中央与地方分担比例＋绩效因素分配资金。</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根据《中共中央 国务院关于打赢脱贫攻坚战的决定》等有关规定，在分配资金时结合实际进一步向深度贫困地区等贫困地区和贫困人口倾斜。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对政府办社区卫生服务中心（站）和乡镇卫生院，转移支付资金主要用于弥补核定收支后的经常性收支差额补助、推进基层医疗卫生机构综合改革等符合政府卫生投入政策规定的支出。对在实施基本药物制度的村卫生室，转移支付资金主要用于乡村医生的收入补助。</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中央财政按照预算法和预算管理有关规定，于每年10月31日前将下一年度转移支付资金预计数提前下达地方，并在全国人大批准预算后30日内正式下达转移支付资金预算。</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部门在收到中央财政转移支付资金预算后，应当在30日内正式下达到本行政区域县级以上各级财政部门，并抄送财政部当地监管局。市、县级财政、卫生健康部门要统筹分配使用上级财政和本级财政安排的转移支付资金。</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　第九条</w:t>
      </w:r>
      <w:r>
        <w:rPr>
          <w:rFonts w:hint="eastAsia" w:ascii="宋体" w:hAnsi="宋体" w:eastAsia="仿宋_GB2312" w:cs="仿宋_GB2312"/>
          <w:color w:val="000000"/>
          <w:sz w:val="32"/>
          <w:szCs w:val="32"/>
        </w:rPr>
        <w:t>　各级财政、卫生健康部门应按照全面实施预算绩效管理的要求，强化绩效目标管理，做好绩效监控和绩效评价，并加强结果应用，确保提高转移支付资金配置效率和使用效益。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转移支付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对政府办基层医疗卫生机构，有条件的地区要积极推进以购买服务的方式支付转移支付资金。对非政府办的社区卫生服务中心（站）和乡镇卫生院，按照自愿原则通过购买服务的方式支持实施基本药物制度。</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各级财政、卫生健康部门以及转移支付资金具体使用单位，要按照财政预算和国库管理有关规定，制定资金管理办法，加强资金管理，规范预算执行管理。转移支付资金原则上应在当年执行完毕，年度未支出的转移支付资金按财政部结转结余资金管理有关规定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转移支付资金的支付按照国库集中支付制度有关规定执行。资金使用过程中，涉及政府采购的，应当按照政府采购有关法律法规及制度执行。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转移支付资金依法接受财政、审计、监察等部门监督，必要时可以委托专业机构或具有资质的社会机构开展转移支付资金监督检查工作。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各级财政、卫生健康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本办法由财政部会同国家卫生健康委负责解释。省级财政、卫生健康部门要结合当地实际，根据本办法制定具体实施细则，报财政部、国家卫生健康委备案，抄送财政部当地监管局。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第十五条</w:t>
      </w:r>
      <w:r>
        <w:rPr>
          <w:rFonts w:hint="eastAsia" w:ascii="宋体" w:hAnsi="宋体" w:eastAsia="仿宋_GB2312" w:cs="仿宋_GB2312"/>
          <w:color w:val="000000"/>
          <w:sz w:val="32"/>
          <w:szCs w:val="32"/>
        </w:rPr>
        <w:t>　本办法自2019年9月1日起施行。《财政部 国家卫生计生委关于印发＜基层医疗卫生机构实施国家基本药物制度补助资金管理办法＞的通知》（财社〔2014〕139号）、《财政部 国家卫生计生委关于修订＜基层医疗卫生机构实施国家基本药物制度补助资金管理办法＞的通知》（财社〔2016〕227号）同时废止。</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jc w:val="lef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br w:type="page"/>
      </w:r>
    </w:p>
    <w:p>
      <w:pPr>
        <w:widowControl w:val="0"/>
        <w:numPr>
          <w:ilvl w:val="0"/>
          <w:numId w:val="0"/>
        </w:numPr>
        <w:wordWrap/>
        <w:overflowPunct w:val="0"/>
        <w:spacing w:beforeAutospacing="0" w:afterAutospacing="0" w:line="560" w:lineRule="exact"/>
        <w:jc w:val="lef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t>附件5：</w:t>
      </w:r>
    </w:p>
    <w:p>
      <w:pPr>
        <w:widowControl w:val="0"/>
        <w:numPr>
          <w:ilvl w:val="0"/>
          <w:numId w:val="0"/>
        </w:numPr>
        <w:wordWrap/>
        <w:overflowPunct w:val="0"/>
        <w:spacing w:beforeAutospacing="0" w:afterAutospacing="0" w:line="560" w:lineRule="exact"/>
        <w:jc w:val="left"/>
        <w:textAlignment w:val="auto"/>
        <w:rPr>
          <w:rFonts w:hint="eastAsia" w:ascii="宋体" w:hAnsi="宋体" w:eastAsia="仿宋_GB2312" w:cs="仿宋_GB2312"/>
          <w:color w:val="000000"/>
          <w:sz w:val="32"/>
          <w:szCs w:val="32"/>
        </w:rPr>
      </w:pP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仿宋_GB2312" w:cs="仿宋_GB2312"/>
          <w:color w:val="000000"/>
          <w:sz w:val="32"/>
          <w:szCs w:val="32"/>
        </w:rPr>
      </w:pPr>
      <w:r>
        <w:rPr>
          <w:rFonts w:hint="eastAsia" w:ascii="宋体" w:hAnsi="宋体" w:eastAsia="宋体" w:cs="宋体"/>
          <w:color w:val="000000"/>
          <w:sz w:val="44"/>
          <w:szCs w:val="44"/>
        </w:rPr>
        <w:t>重大传染病防控补助资金管理办法</w:t>
      </w:r>
    </w:p>
    <w:p>
      <w:pPr>
        <w:widowControl w:val="0"/>
        <w:pBdr>
          <w:top w:val="none" w:color="auto" w:sz="0" w:space="0"/>
          <w:left w:val="none" w:color="auto" w:sz="0" w:space="0"/>
          <w:bottom w:val="none" w:color="auto" w:sz="0" w:space="0"/>
          <w:right w:val="none" w:color="auto" w:sz="0" w:space="0"/>
        </w:pBdr>
        <w:wordWrap/>
        <w:overflowPunct w:val="0"/>
        <w:spacing w:beforeAutospacing="0" w:afterAutospacing="0" w:line="560" w:lineRule="exact"/>
        <w:ind w:firstLine="600"/>
        <w:jc w:val="center"/>
        <w:textAlignment w:val="auto"/>
        <w:rPr>
          <w:rFonts w:hint="eastAsia" w:ascii="宋体" w:hAnsi="宋体" w:eastAsia="仿宋_GB2312" w:cs="仿宋_GB2312"/>
          <w:color w:val="000000"/>
          <w:sz w:val="32"/>
          <w:szCs w:val="32"/>
        </w:rPr>
      </w:pPr>
    </w:p>
    <w:p>
      <w:pPr>
        <w:widowControl w:val="0"/>
        <w:numPr>
          <w:ilvl w:val="0"/>
          <w:numId w:val="0"/>
        </w:numPr>
        <w:wordWrap/>
        <w:overflowPunct w:val="0"/>
        <w:spacing w:beforeAutospacing="0" w:afterAutospacing="0" w:line="560" w:lineRule="exact"/>
        <w:ind w:firstLine="640" w:firstLineChars="200"/>
        <w:textAlignment w:val="auto"/>
        <w:rPr>
          <w:rFonts w:hint="eastAsia" w:ascii="宋体" w:hAnsi="宋体" w:eastAsia="仿宋_GB2312" w:cs="仿宋_GB2312"/>
          <w:color w:val="000000"/>
          <w:sz w:val="32"/>
          <w:szCs w:val="32"/>
        </w:rPr>
      </w:pPr>
      <w:r>
        <w:rPr>
          <w:rFonts w:hint="eastAsia" w:ascii="宋体" w:hAnsi="宋体" w:eastAsia="黑体" w:cs="黑体"/>
          <w:color w:val="000000"/>
          <w:sz w:val="32"/>
          <w:szCs w:val="32"/>
          <w:lang w:eastAsia="zh-CN"/>
        </w:rPr>
        <w:t>第一条</w:t>
      </w:r>
      <w:r>
        <w:rPr>
          <w:rFonts w:hint="eastAsia" w:ascii="宋体" w:hAnsi="宋体" w:eastAsia="仿宋_GB2312" w:cs="仿宋_GB2312"/>
          <w:color w:val="000000"/>
          <w:sz w:val="32"/>
          <w:szCs w:val="32"/>
        </w:rPr>
        <w:t>　为规范和加强中央财政重大传染病防控补助资金（以下简称补助资金）管理，提高资金使用效益，根据《中华人民共和国预算法》《中共中央 国务院关于全面实施预算绩效管理的意见》《国务院办公厅关于印发医疗卫生领域中央与地方财政事权和支出责任划分改革方案的通知》等有关法律法规和政策要求，以及财政部转移支付资金等预算管理规定，制定本办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第二条</w:t>
      </w:r>
      <w:r>
        <w:rPr>
          <w:rFonts w:hint="eastAsia" w:ascii="宋体" w:hAnsi="宋体" w:eastAsia="仿宋_GB2312" w:cs="仿宋_GB2312"/>
          <w:color w:val="000000"/>
          <w:sz w:val="32"/>
          <w:szCs w:val="32"/>
        </w:rPr>
        <w:t>　本办法所称补助资金，是指用于支持各地实施重大传染病防控的补助资金。实施期限至2023年，届时根据工作需要评估确定是否继续实施或延续期限。</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第三条</w:t>
      </w:r>
      <w:r>
        <w:rPr>
          <w:rFonts w:hint="eastAsia" w:ascii="宋体" w:hAnsi="宋体" w:eastAsia="仿宋_GB2312" w:cs="仿宋_GB2312"/>
          <w:color w:val="000000"/>
          <w:sz w:val="32"/>
          <w:szCs w:val="32"/>
        </w:rPr>
        <w:t>　重大传染病防控主要包括纳入国家免疫规划的常规免疫及补充免疫，艾滋病、结核病、血吸虫病、包虫病防控，精神心理疾病综合管理、重大慢性病防控管理模式和适宜技术探索等全国性或跨区域的重大疾病防控内容。</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重大传染病防控的具体内容，由国家卫生健康委会同财政部，根据深化医药卫生体制改革的有关要求和年度工作任务、卫生健康事业发展规划以及财政预算情况研究确定。</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第四条</w:t>
      </w:r>
      <w:r>
        <w:rPr>
          <w:rFonts w:hint="eastAsia" w:ascii="宋体" w:hAnsi="宋体" w:eastAsia="仿宋_GB2312" w:cs="仿宋_GB2312"/>
          <w:color w:val="000000"/>
          <w:sz w:val="32"/>
          <w:szCs w:val="32"/>
        </w:rPr>
        <w:t>　补助资金按照以下原则分配和管理：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（一）合理规划，科学论证。合理规划重大传染病防控项目，科学论证项目可行性和必要性。</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（二）统一分配，分级管理。补助资金由中央财政统一分配，具体项目落实由各级卫生健康部门分级负责。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（三）讲求绩效，量效挂钩。转移支付资金实施全过程预算绩效管理，建立绩效评价结果与资金分配挂钩机制，提高转移支付资金使用效益。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第五条</w:t>
      </w:r>
      <w:r>
        <w:rPr>
          <w:rFonts w:hint="eastAsia" w:ascii="宋体" w:hAnsi="宋体" w:eastAsia="仿宋_GB2312" w:cs="仿宋_GB2312"/>
          <w:color w:val="000000"/>
          <w:sz w:val="32"/>
          <w:szCs w:val="32"/>
        </w:rPr>
        <w:t>　财政部会同国家卫生健康委分配转移支付资金，根据任务量和补助标准测算资金分配方案，指导督促省级财政和卫生健康部门按要求制定绩效目标并做好绩效自评，对资金进行监督管理。国家卫生健康委结合疾病谱、防治工作需要、经济社会发展水平和财政承受能力，提供各省（区、市）任务量、补助标准等数据，并对其准确性、及时性负责。</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第六条</w:t>
      </w:r>
      <w:r>
        <w:rPr>
          <w:rFonts w:hint="eastAsia" w:ascii="宋体" w:hAnsi="宋体" w:eastAsia="仿宋_GB2312" w:cs="仿宋_GB2312"/>
          <w:color w:val="000000"/>
          <w:sz w:val="32"/>
          <w:szCs w:val="32"/>
        </w:rPr>
        <w:t>　重大传染病防控补助资金主要用于药品治疗等需方补助和医疗卫生机构开展随访管理，加强实验室建设和设备配置能力建设，以及开展相关工作所需经费等支出。</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第七条</w:t>
      </w:r>
      <w:r>
        <w:rPr>
          <w:rFonts w:hint="eastAsia" w:ascii="宋体" w:hAnsi="宋体" w:eastAsia="仿宋_GB2312" w:cs="仿宋_GB2312"/>
          <w:color w:val="000000"/>
          <w:sz w:val="32"/>
          <w:szCs w:val="32"/>
        </w:rPr>
        <w:t>　中央财政按照预算法和预算管理有关规定，于每年10月31日前将下一年度补助资金预计数提前下达地方，并在全国人大批准预算后90日内正式下达补助资金预算。省级财政部门在收到中央财政补助资金预算后，应当在30日内正式下达到本行政区域县级以上各级财政部门，并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第八条</w:t>
      </w:r>
      <w:r>
        <w:rPr>
          <w:rFonts w:hint="eastAsia" w:ascii="宋体" w:hAnsi="宋体" w:eastAsia="仿宋_GB2312" w:cs="仿宋_GB2312"/>
          <w:color w:val="000000"/>
          <w:sz w:val="32"/>
          <w:szCs w:val="32"/>
        </w:rPr>
        <w:t>　各级财政、卫生健康部门应按照全面实施预算绩效管理的要求，强化绩效目标管理，做好绩效监控和绩效评价，并加强结果应用，确保提高转移支付资金配置效率和使用效益。</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各级卫生健康部门负责业务指导和项目管理，会同财政部门建立健全绩效评价机制，并对相关工作进展和资金使用情况开展绩效评价。绩效评价原则上每年一次。国家卫生健康委、财政部根据需要对各省（区、市）项目开展和资金使用绩效评价工作予以复核，并以一定的项目实施期为限。根据复核结果组织财政部各地监管局开展重点绩效评价，必要时可以委托第三方机构开展。</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中央财政补助资金分配与相关项目执行进度、绩效评价、预算监管和监督检查结果适当挂钩。绩效评价和重点绩效评价结果作为完善相关转移支付政策和以后年度预算申请、安排和对下分配的重要参考依据。各级卫生健康部门和财政部门要做好绩效管理信息公开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第九条</w:t>
      </w:r>
      <w:r>
        <w:rPr>
          <w:rFonts w:hint="eastAsia" w:ascii="宋体" w:hAnsi="宋体" w:eastAsia="仿宋_GB2312" w:cs="仿宋_GB2312"/>
          <w:color w:val="000000"/>
          <w:sz w:val="32"/>
          <w:szCs w:val="32"/>
        </w:rPr>
        <w:t>　地方各级财政部门要积极推进购买服务机制，省级卫生健康部门要会同财政部门，做好各类重大传染病防控项目的成本测算，合理确定采购预算或最高限价。</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第十条</w:t>
      </w:r>
      <w:r>
        <w:rPr>
          <w:rFonts w:hint="eastAsia" w:ascii="宋体" w:hAnsi="宋体" w:eastAsia="仿宋_GB2312" w:cs="仿宋_GB2312"/>
          <w:color w:val="000000"/>
          <w:sz w:val="32"/>
          <w:szCs w:val="32"/>
        </w:rPr>
        <w:t>　各级财政、卫生健康部门以及补助资金具体使用单位，要按照财政预算和国库管理有关规定，制定资金管理办法，加强资金管理，规范预算执行管理。补助资金原则上应在当年执行完毕，年度未支出的补助资金按《中央对地方专项转移支付管理办法》等规定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补助资金的支付按照国库集中支付制度有关规定执行。资金使用过程中，涉及政府采购的，应当按照政府采购有关法律法规及制度执行。</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第十一条</w:t>
      </w:r>
      <w:r>
        <w:rPr>
          <w:rFonts w:hint="eastAsia" w:ascii="宋体" w:hAnsi="宋体" w:eastAsia="仿宋_GB2312" w:cs="仿宋_GB2312"/>
          <w:color w:val="000000"/>
          <w:sz w:val="32"/>
          <w:szCs w:val="32"/>
        </w:rPr>
        <w:t>　补助资金依法接受财政、审计、监察等部门监督，必要时可以委托专业机构或具有资质的社会机构开展补助资金监督检查工作。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省级财政、卫生健康部门负责本地区项目资金监督检查，及时发现和纠正有关问题，确保资金安全。省级财政部门会同相关部门在申报资金、下达资金、分配资金，以及下达绩效目标等绩效管理工作时，须将相关文件抄送财政部当地监管局。财政部各地监管局按照财政部要求，开展转移支付有关预算监管工作。</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第十二条</w:t>
      </w:r>
      <w:r>
        <w:rPr>
          <w:rFonts w:hint="eastAsia" w:ascii="宋体" w:hAnsi="宋体" w:eastAsia="仿宋_GB2312" w:cs="仿宋_GB2312"/>
          <w:color w:val="000000"/>
          <w:sz w:val="32"/>
          <w:szCs w:val="32"/>
        </w:rPr>
        <w:t>　各级财政、卫生健康部门及其工作人员在资金分配、监督等管理工作中，存在滥用职权、玩忽职守、徇私舞弊等违法违纪行为的，依照《中华人民共和国公务员法》《中华人民共和国监察法》《财政违法行为处罚处分条例》等国家有关规定追究相应责任；涉嫌犯罪的，依法移送司法机关处理。</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第十三条</w:t>
      </w:r>
      <w:r>
        <w:rPr>
          <w:rFonts w:hint="eastAsia" w:ascii="宋体" w:hAnsi="宋体" w:eastAsia="仿宋_GB2312" w:cs="仿宋_GB2312"/>
          <w:color w:val="000000"/>
          <w:sz w:val="32"/>
          <w:szCs w:val="32"/>
        </w:rPr>
        <w:t>　本办法由财政部会同国家卫生健康委负责解释。省级财政、卫生健康部门要结合当地实际，根据本办法制定具体实施细则，报财政部、国家卫生健康委备案，抄送财政部当地监管局。</w:t>
      </w:r>
      <w:r>
        <w:rPr>
          <w:rFonts w:hint="eastAsia" w:ascii="宋体" w:hAnsi="宋体" w:eastAsia="仿宋_GB2312" w:cs="仿宋_GB2312"/>
          <w:color w:val="000000"/>
          <w:sz w:val="32"/>
          <w:szCs w:val="32"/>
        </w:rPr>
        <w:br w:type="textWrapping"/>
      </w:r>
      <w:r>
        <w:rPr>
          <w:rFonts w:hint="eastAsia" w:ascii="宋体" w:hAnsi="宋体" w:eastAsia="仿宋_GB2312" w:cs="仿宋_GB2312"/>
          <w:color w:val="000000"/>
          <w:sz w:val="32"/>
          <w:szCs w:val="32"/>
        </w:rPr>
        <w:t>　　</w:t>
      </w:r>
      <w:r>
        <w:rPr>
          <w:rFonts w:hint="eastAsia" w:ascii="宋体" w:hAnsi="宋体" w:eastAsia="黑体" w:cs="黑体"/>
          <w:color w:val="000000"/>
          <w:sz w:val="32"/>
          <w:szCs w:val="32"/>
        </w:rPr>
        <w:t>第十四条</w:t>
      </w:r>
      <w:r>
        <w:rPr>
          <w:rFonts w:hint="eastAsia" w:ascii="宋体" w:hAnsi="宋体" w:eastAsia="仿宋_GB2312" w:cs="仿宋_GB2312"/>
          <w:color w:val="000000"/>
          <w:sz w:val="32"/>
          <w:szCs w:val="32"/>
        </w:rPr>
        <w:t>　本办法自2019年9月1日起施行。</w:t>
      </w:r>
    </w:p>
    <w:p>
      <w:pPr>
        <w:rPr>
          <w:rFonts w:hint="eastAsia" w:ascii="宋体" w:hAnsi="宋体" w:eastAsia="宋体" w:cs="Arial"/>
          <w:bCs/>
          <w:color w:val="auto"/>
          <w:sz w:val="44"/>
          <w:szCs w:val="44"/>
        </w:rPr>
      </w:pPr>
      <w:r>
        <w:rPr>
          <w:rFonts w:hint="eastAsia" w:ascii="宋体" w:hAnsi="宋体" w:eastAsia="宋体" w:cs="Arial"/>
          <w:bCs/>
          <w:color w:val="auto"/>
          <w:sz w:val="44"/>
          <w:szCs w:val="44"/>
        </w:rPr>
        <w:br w:type="page"/>
      </w:r>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rPr>
      </w:pPr>
      <w:bookmarkStart w:id="321" w:name="_Toc27798"/>
      <w:r>
        <w:rPr>
          <w:rFonts w:hint="eastAsia" w:ascii="宋体" w:hAnsi="宋体" w:eastAsia="宋体" w:cs="Arial"/>
          <w:bCs/>
          <w:color w:val="auto"/>
          <w:sz w:val="44"/>
          <w:szCs w:val="44"/>
        </w:rPr>
        <w:t>国家医疗保障局 财政部关于做好</w:t>
      </w:r>
      <w:bookmarkEnd w:id="321"/>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rPr>
      </w:pPr>
      <w:bookmarkStart w:id="322" w:name="_Toc5459"/>
      <w:r>
        <w:rPr>
          <w:rFonts w:hint="eastAsia" w:ascii="宋体" w:hAnsi="宋体" w:eastAsia="宋体" w:cs="Arial"/>
          <w:bCs/>
          <w:color w:val="auto"/>
          <w:sz w:val="44"/>
          <w:szCs w:val="44"/>
        </w:rPr>
        <w:t>新型冠状病毒感染的肺炎疫情</w:t>
      </w:r>
      <w:bookmarkEnd w:id="322"/>
    </w:p>
    <w:p>
      <w:pPr>
        <w:widowControl w:val="0"/>
        <w:wordWrap/>
        <w:adjustRightInd/>
        <w:snapToGrid/>
        <w:spacing w:after="0" w:line="560" w:lineRule="exact"/>
        <w:ind w:left="0" w:leftChars="0" w:right="0"/>
        <w:jc w:val="center"/>
        <w:textAlignment w:val="auto"/>
        <w:outlineLvl w:val="0"/>
        <w:rPr>
          <w:rFonts w:hint="eastAsia" w:ascii="宋体" w:hAnsi="宋体" w:eastAsia="宋体" w:cs="Arial"/>
          <w:bCs/>
          <w:color w:val="auto"/>
          <w:sz w:val="44"/>
          <w:szCs w:val="44"/>
        </w:rPr>
      </w:pPr>
      <w:bookmarkStart w:id="323" w:name="_Toc6195"/>
      <w:r>
        <w:rPr>
          <w:rFonts w:hint="eastAsia" w:ascii="宋体" w:hAnsi="宋体" w:eastAsia="宋体" w:cs="Arial"/>
          <w:bCs/>
          <w:color w:val="auto"/>
          <w:sz w:val="44"/>
          <w:szCs w:val="44"/>
        </w:rPr>
        <w:t>医疗保障的通知</w:t>
      </w:r>
      <w:bookmarkEnd w:id="323"/>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b w:val="0"/>
          <w:bCs/>
          <w:i w:val="0"/>
          <w:caps w:val="0"/>
          <w:color w:val="auto"/>
          <w:spacing w:val="0"/>
          <w:sz w:val="32"/>
          <w:szCs w:val="32"/>
          <w:shd w:val="clear" w:color="auto" w:fill="FFFFFF"/>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宋体" w:hAnsi="宋体" w:eastAsia="仿宋_GB2312" w:cs="仿宋_GB2312"/>
          <w:b w:val="0"/>
          <w:bCs/>
          <w:i w:val="0"/>
          <w:caps w:val="0"/>
          <w:color w:val="auto"/>
          <w:spacing w:val="0"/>
          <w:sz w:val="32"/>
          <w:szCs w:val="32"/>
          <w:shd w:val="clear" w:color="auto" w:fill="FFFFFF"/>
        </w:rPr>
        <w:t>各省、自治区、直辖市、新疆生产建设兵团医疗保障局，财政厅（局）：</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宋体" w:hAnsi="宋体" w:eastAsia="仿宋_GB2312" w:cs="仿宋_GB2312"/>
          <w:i w:val="0"/>
          <w:caps w:val="0"/>
          <w:color w:val="auto"/>
          <w:spacing w:val="0"/>
          <w:sz w:val="32"/>
          <w:szCs w:val="32"/>
          <w:shd w:val="clear" w:color="auto" w:fill="FFFFFF"/>
        </w:rPr>
        <w:t>近期，湖北省武汉市等多个地区发生新型冠状病毒感染的肺炎疫情，对此党中央、国务院高度重视，习近平总书记作出重要指示，要求把人民群众生命安全和身体健康放在第一位，必须引起高度重视，全力做好防控工作。李克强总理也对此作出批示，国务院联防联控机制进行专门部署。为认真贯彻落实党中央、国务院要求，现就有关事项通知如下：</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一、充分认识做好新型冠状病毒感染的肺炎疫情防治工作的重要性。</w:t>
      </w:r>
      <w:r>
        <w:rPr>
          <w:rFonts w:hint="eastAsia" w:ascii="宋体" w:hAnsi="宋体" w:eastAsia="仿宋_GB2312" w:cs="仿宋_GB2312"/>
          <w:i w:val="0"/>
          <w:caps w:val="0"/>
          <w:color w:val="auto"/>
          <w:spacing w:val="0"/>
          <w:sz w:val="32"/>
          <w:szCs w:val="32"/>
          <w:shd w:val="clear" w:color="auto" w:fill="FFFFFF"/>
        </w:rPr>
        <w:t>做好疫情防治工作，对于保障参保人员身体健康、维护社会和谐稳定，确保人民群众过一个安定祥和的春节具有重要意义。各级医保、财政部门要高度重视，以对人民群众健康高度负责的态度坚决贯彻落实党中央、国务院的有关部署。凡是发生疫情的省份，省级医保部门主要负责同志应当靠前指挥，建立专项工作机制，配合卫生健康等部门，积极做好联防联控工作。</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二、确保患者不因费用问题影响就医。</w:t>
      </w:r>
      <w:r>
        <w:rPr>
          <w:rFonts w:hint="eastAsia" w:ascii="宋体" w:hAnsi="宋体" w:eastAsia="仿宋_GB2312" w:cs="仿宋_GB2312"/>
          <w:i w:val="0"/>
          <w:caps w:val="0"/>
          <w:color w:val="auto"/>
          <w:spacing w:val="0"/>
          <w:sz w:val="32"/>
          <w:szCs w:val="32"/>
          <w:shd w:val="clear" w:color="auto" w:fill="FFFFFF"/>
        </w:rPr>
        <w:t>一是对于确诊新型冠状病毒感染的肺炎患者发生的医疗费用，在基本医保、大病保险、医疗救助等按规定支付后，个人负担部分由财政给予补助，实施综合保障。二是对于确诊新型冠状病毒感染的肺炎的异地就医患者，先救治后结算，报销不执行异地转外就医支付比例调减规定。三是确诊新型冠状病毒感染的肺炎患者使用的药品和医疗服务项目，符合卫生健康部门制定的新型冠状病毒感染的肺炎诊疗方案的，可临时性纳入医保基金支付范围。</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三、确保收治医院不因支付政策影响救治。</w:t>
      </w:r>
      <w:r>
        <w:rPr>
          <w:rFonts w:hint="eastAsia" w:ascii="宋体" w:hAnsi="宋体" w:eastAsia="仿宋_GB2312" w:cs="仿宋_GB2312"/>
          <w:i w:val="0"/>
          <w:caps w:val="0"/>
          <w:color w:val="auto"/>
          <w:spacing w:val="0"/>
          <w:sz w:val="32"/>
          <w:szCs w:val="32"/>
          <w:shd w:val="clear" w:color="auto" w:fill="FFFFFF"/>
        </w:rPr>
        <w:t>对收治患者较多的医疗机构，医保经办机构可预付部分资金，减轻医疗机构垫付压力。医保经办机构应及时调整有关医疗机构的总额预算指标，对新型冠状病毒感染的肺炎患者医疗费用单列预算。各级医保经办机构要确保与医疗机构及时结算，保证救治工作顺利进行。</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黑体" w:hAnsi="宋体" w:eastAsia="黑体" w:cs="黑体"/>
          <w:i w:val="0"/>
          <w:caps w:val="0"/>
          <w:color w:val="auto"/>
          <w:spacing w:val="0"/>
          <w:kern w:val="2"/>
          <w:sz w:val="32"/>
          <w:szCs w:val="32"/>
          <w:u w:val="none"/>
          <w:lang w:val="en-US" w:eastAsia="zh-CN" w:bidi="ar-SA"/>
        </w:rPr>
        <w:t>四、确保假期工作平稳有序。</w:t>
      </w:r>
      <w:r>
        <w:rPr>
          <w:rFonts w:hint="eastAsia" w:ascii="宋体" w:hAnsi="宋体" w:eastAsia="仿宋_GB2312" w:cs="仿宋_GB2312"/>
          <w:i w:val="0"/>
          <w:caps w:val="0"/>
          <w:color w:val="auto"/>
          <w:spacing w:val="0"/>
          <w:sz w:val="32"/>
          <w:szCs w:val="32"/>
          <w:shd w:val="clear" w:color="auto" w:fill="FFFFFF"/>
        </w:rPr>
        <w:t>各级医保、财政部门要加强春节假期的值班值守，完善值班制度，不折不扣落实各项政策任务。各地医保经办机构要配备足够的人员，做到春节假期经办服务不间断。要做好基金收支的动态监测和统计分析工作，各省（区、市）医疗保障局自1月31日起每周五下班前向国家医疗保障局报送本省（区、市）新型冠状病毒感染的肺炎患者治疗人数、医疗费用、医保和医疗救助基金支出等情况。</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640" w:firstLineChars="200"/>
        <w:jc w:val="both"/>
        <w:textAlignment w:val="auto"/>
        <w:rPr>
          <w:rFonts w:hint="eastAsia" w:ascii="宋体" w:hAnsi="宋体" w:eastAsia="仿宋_GB2312" w:cs="仿宋_GB2312"/>
          <w:i w:val="0"/>
          <w:caps w:val="0"/>
          <w:color w:val="auto"/>
          <w:spacing w:val="0"/>
          <w:sz w:val="32"/>
          <w:szCs w:val="32"/>
        </w:rPr>
      </w:pPr>
      <w:r>
        <w:rPr>
          <w:rFonts w:hint="eastAsia" w:ascii="宋体" w:hAnsi="宋体" w:eastAsia="仿宋_GB2312" w:cs="仿宋_GB2312"/>
          <w:i w:val="0"/>
          <w:caps w:val="0"/>
          <w:color w:val="auto"/>
          <w:spacing w:val="0"/>
          <w:sz w:val="32"/>
          <w:szCs w:val="32"/>
          <w:shd w:val="clear" w:color="auto" w:fill="FFFFFF"/>
        </w:rPr>
        <w:t>各省（区、市）在工作中遇到的重大问题和情况，请及时向国家医疗保障局、财政部报告。</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both"/>
        <w:textAlignment w:val="auto"/>
        <w:rPr>
          <w:rFonts w:hint="eastAsia" w:ascii="宋体" w:hAnsi="宋体" w:eastAsia="仿宋_GB2312" w:cs="仿宋_GB2312"/>
          <w:b w:val="0"/>
          <w:bCs/>
          <w:i w:val="0"/>
          <w:caps w:val="0"/>
          <w:color w:val="auto"/>
          <w:spacing w:val="0"/>
          <w:sz w:val="32"/>
          <w:szCs w:val="32"/>
          <w:shd w:val="clear" w:color="auto" w:fill="FFFFFF"/>
        </w:rPr>
      </w:pP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right"/>
        <w:textAlignment w:val="auto"/>
        <w:rPr>
          <w:rFonts w:hint="eastAsia" w:ascii="宋体" w:hAnsi="宋体" w:cs="仿宋_GB2312"/>
          <w:b w:val="0"/>
          <w:bCs/>
          <w:i w:val="0"/>
          <w:caps w:val="0"/>
          <w:color w:val="auto"/>
          <w:spacing w:val="0"/>
          <w:sz w:val="32"/>
          <w:szCs w:val="32"/>
          <w:shd w:val="clear" w:color="auto" w:fill="FFFFFF"/>
          <w:lang w:val="en-US" w:eastAsia="zh-CN"/>
        </w:rPr>
      </w:pPr>
      <w:r>
        <w:rPr>
          <w:rFonts w:hint="eastAsia" w:ascii="宋体" w:hAnsi="宋体" w:eastAsia="仿宋_GB2312" w:cs="仿宋_GB2312"/>
          <w:b w:val="0"/>
          <w:bCs/>
          <w:i w:val="0"/>
          <w:caps w:val="0"/>
          <w:color w:val="auto"/>
          <w:spacing w:val="0"/>
          <w:sz w:val="32"/>
          <w:szCs w:val="32"/>
          <w:shd w:val="clear" w:color="auto" w:fill="FFFFFF"/>
        </w:rPr>
        <w:t>国家医疗保障局</w:t>
      </w:r>
      <w:r>
        <w:rPr>
          <w:rFonts w:hint="eastAsia" w:ascii="宋体" w:hAnsi="宋体" w:cs="仿宋_GB2312"/>
          <w:b w:val="0"/>
          <w:bCs/>
          <w:i w:val="0"/>
          <w:caps w:val="0"/>
          <w:color w:val="auto"/>
          <w:spacing w:val="0"/>
          <w:sz w:val="32"/>
          <w:szCs w:val="32"/>
          <w:shd w:val="clear" w:color="auto" w:fill="FFFFFF"/>
          <w:lang w:val="en-US" w:eastAsia="zh-CN"/>
        </w:rPr>
        <w:t xml:space="preserve"> </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right"/>
        <w:textAlignment w:val="auto"/>
        <w:rPr>
          <w:rFonts w:hint="eastAsia" w:ascii="宋体" w:hAnsi="宋体" w:eastAsia="仿宋_GB2312" w:cs="仿宋_GB2312"/>
          <w:b w:val="0"/>
          <w:bCs/>
          <w:i w:val="0"/>
          <w:caps w:val="0"/>
          <w:color w:val="auto"/>
          <w:spacing w:val="0"/>
          <w:sz w:val="32"/>
          <w:szCs w:val="32"/>
        </w:rPr>
      </w:pPr>
      <w:r>
        <w:rPr>
          <w:rFonts w:hint="eastAsia" w:ascii="宋体" w:hAnsi="宋体" w:eastAsia="仿宋_GB2312" w:cs="仿宋_GB2312"/>
          <w:b w:val="0"/>
          <w:bCs/>
          <w:i w:val="0"/>
          <w:caps w:val="0"/>
          <w:color w:val="auto"/>
          <w:spacing w:val="0"/>
          <w:sz w:val="32"/>
          <w:szCs w:val="32"/>
          <w:shd w:val="clear" w:color="auto" w:fill="FFFFFF"/>
        </w:rPr>
        <w:t>财政部</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4800" w:firstLineChars="1500"/>
        <w:jc w:val="right"/>
        <w:textAlignment w:val="auto"/>
        <w:rPr>
          <w:rFonts w:hint="eastAsia" w:ascii="仿宋" w:hAnsi="仿宋" w:eastAsia="仿宋" w:cs="仿宋"/>
          <w:b w:val="0"/>
          <w:bCs/>
          <w:i w:val="0"/>
          <w:caps w:val="0"/>
          <w:color w:val="auto"/>
          <w:spacing w:val="0"/>
          <w:sz w:val="32"/>
          <w:szCs w:val="32"/>
          <w:shd w:val="clear" w:color="auto" w:fill="FFFFFF"/>
        </w:rPr>
      </w:pPr>
      <w:r>
        <w:rPr>
          <w:rFonts w:hint="eastAsia" w:ascii="仿宋" w:hAnsi="仿宋" w:eastAsia="仿宋" w:cs="仿宋"/>
          <w:b w:val="0"/>
          <w:bCs/>
          <w:i w:val="0"/>
          <w:caps w:val="0"/>
          <w:color w:val="auto"/>
          <w:spacing w:val="0"/>
          <w:sz w:val="32"/>
          <w:szCs w:val="32"/>
          <w:shd w:val="clear" w:color="auto" w:fill="FFFFFF"/>
        </w:rPr>
        <w:t>2020年1月22日</w:t>
      </w:r>
    </w:p>
    <w:p>
      <w:pPr>
        <w:pStyle w:val="37"/>
        <w:widowControl w:val="0"/>
        <w:pBdr>
          <w:top w:val="none" w:color="auto" w:sz="0" w:space="0"/>
          <w:left w:val="none" w:color="auto" w:sz="0" w:space="0"/>
          <w:bottom w:val="none" w:color="auto" w:sz="0" w:space="0"/>
          <w:right w:val="none" w:color="auto" w:sz="0" w:space="0"/>
        </w:pBdr>
        <w:shd w:val="clear" w:color="auto" w:fill="FFFFFF"/>
        <w:wordWrap/>
        <w:overflowPunct w:val="0"/>
        <w:spacing w:before="0" w:beforeAutospacing="0" w:after="0" w:afterAutospacing="0" w:line="560" w:lineRule="exact"/>
        <w:ind w:left="0" w:right="0" w:firstLine="5120" w:firstLineChars="1600"/>
        <w:jc w:val="both"/>
        <w:textAlignment w:val="auto"/>
        <w:rPr>
          <w:rFonts w:hint="eastAsia" w:ascii="宋体" w:hAnsi="宋体" w:eastAsia="仿宋_GB2312" w:cs="仿宋_GB2312"/>
          <w:b w:val="0"/>
          <w:bCs/>
          <w:i w:val="0"/>
          <w:caps w:val="0"/>
          <w:color w:val="333333"/>
          <w:spacing w:val="0"/>
          <w:sz w:val="32"/>
          <w:szCs w:val="32"/>
          <w:shd w:val="clear" w:color="auto" w:fill="FFFFFF"/>
        </w:rPr>
      </w:pPr>
    </w:p>
    <w:p>
      <w:pPr>
        <w:widowControl w:val="0"/>
        <w:wordWrap/>
        <w:adjustRightInd/>
        <w:snapToGrid/>
        <w:spacing w:line="560" w:lineRule="exact"/>
        <w:jc w:val="center"/>
        <w:textAlignment w:val="auto"/>
        <w:rPr>
          <w:rFonts w:hint="eastAsia" w:ascii="宋体" w:hAnsi="宋体" w:eastAsia="宋体" w:cs="宋体"/>
          <w:i w:val="0"/>
          <w:caps w:val="0"/>
          <w:color w:val="000000"/>
          <w:spacing w:val="0"/>
          <w:kern w:val="0"/>
          <w:sz w:val="44"/>
          <w:szCs w:val="44"/>
          <w:lang w:val="en-US" w:eastAsia="zh-CN"/>
        </w:rPr>
      </w:pPr>
      <w:r>
        <w:rPr>
          <w:rFonts w:hint="eastAsia" w:ascii="宋体" w:hAnsi="宋体" w:eastAsia="宋体" w:cs="宋体"/>
          <w:i w:val="0"/>
          <w:caps w:val="0"/>
          <w:color w:val="000000"/>
          <w:spacing w:val="0"/>
          <w:kern w:val="0"/>
          <w:sz w:val="44"/>
          <w:szCs w:val="44"/>
          <w:lang w:val="en-US" w:eastAsia="zh-CN"/>
        </w:rPr>
        <w:br w:type="page"/>
      </w:r>
    </w:p>
    <w:p>
      <w:pPr>
        <w:widowControl w:val="0"/>
        <w:wordWrap/>
        <w:adjustRightInd/>
        <w:snapToGrid/>
        <w:spacing w:before="0" w:line="560" w:lineRule="exact"/>
        <w:ind w:right="0"/>
        <w:jc w:val="center"/>
        <w:textAlignment w:val="auto"/>
        <w:outlineLvl w:val="0"/>
        <w:rPr>
          <w:rFonts w:hint="eastAsia" w:ascii="楷体" w:hAnsi="楷体" w:eastAsia="楷体" w:cs="楷体"/>
          <w:bCs/>
          <w:color w:val="000000"/>
          <w:kern w:val="0"/>
          <w:sz w:val="44"/>
          <w:szCs w:val="44"/>
          <w:lang w:val="en-US" w:eastAsia="zh-CN" w:bidi="ar-SA"/>
        </w:rPr>
      </w:pPr>
      <w:bookmarkStart w:id="324" w:name="_Toc22779"/>
      <w:r>
        <w:rPr>
          <w:rFonts w:hint="eastAsia" w:eastAsia="宋体" w:cs="Times New Roman"/>
          <w:bCs/>
          <w:kern w:val="44"/>
          <w:sz w:val="44"/>
          <w:szCs w:val="44"/>
          <w:highlight w:val="none"/>
          <w:lang w:val="en-US" w:eastAsia="zh-CN" w:bidi="ar-SA"/>
        </w:rPr>
        <w:t>国务院</w:t>
      </w:r>
      <w:r>
        <w:rPr>
          <w:rFonts w:hint="eastAsia" w:ascii="Times New Roman" w:hAnsi="Times New Roman" w:eastAsia="宋体" w:cs="Times New Roman"/>
          <w:bCs/>
          <w:kern w:val="44"/>
          <w:sz w:val="44"/>
          <w:szCs w:val="44"/>
          <w:highlight w:val="none"/>
          <w:lang w:val="en-US" w:eastAsia="zh-CN" w:bidi="ar-SA"/>
        </w:rPr>
        <w:t>应对新型冠状病毒感染的肺炎疫情联防联控工作机制关</w:t>
      </w:r>
      <w:r>
        <w:rPr>
          <w:rFonts w:hint="eastAsia" w:ascii="Times New Roman" w:hAnsi="Times New Roman" w:eastAsia="宋体" w:cs="Times New Roman"/>
          <w:bCs/>
          <w:kern w:val="44"/>
          <w:sz w:val="44"/>
          <w:szCs w:val="44"/>
          <w:lang w:val="en-US" w:eastAsia="zh-CN" w:bidi="ar-SA"/>
        </w:rPr>
        <w:t>于严格预防通过交通工具传播新型冠状病毒感染的肺炎的通知</w:t>
      </w:r>
      <w:bookmarkEnd w:id="324"/>
    </w:p>
    <w:p>
      <w:pPr>
        <w:widowControl w:val="0"/>
        <w:wordWrap/>
        <w:adjustRightInd/>
        <w:snapToGrid/>
        <w:spacing w:line="560" w:lineRule="exact"/>
        <w:ind w:left="0" w:leftChars="0" w:right="0" w:firstLine="640" w:firstLineChars="200"/>
        <w:jc w:val="center"/>
        <w:textAlignment w:val="auto"/>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left="0" w:leftChars="0" w:right="0" w:firstLine="640" w:firstLineChars="20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肺炎机制发〔2020〕2号</w:t>
      </w:r>
    </w:p>
    <w:p>
      <w:pPr>
        <w:widowControl w:val="0"/>
        <w:wordWrap/>
        <w:adjustRightInd/>
        <w:snapToGrid/>
        <w:spacing w:line="560" w:lineRule="exact"/>
        <w:ind w:left="0" w:leftChars="0" w:right="0" w:firstLine="560" w:firstLineChars="200"/>
        <w:jc w:val="left"/>
        <w:textAlignment w:val="auto"/>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left="0" w:leftChars="0" w:right="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各省、自治区、直辖市应对新型冠状病毒感染的肺炎疫情联防联控工作机制：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经国务院批准，将新型冠状病毒感染的肺炎纳入《中华人民共和国传染病防治法》规定的乙类传染病，并采取甲类传染病的预防、控制措施，纳入《中华人民共和国国境卫生检疫法》规定的检疫传染病管理。为防止新型冠状病毒感染的肺炎通过交通工具传播和扩散，保障人民群众的健康，维持正常的生产、生活和交通秩序，根据有关法律法规，现就严格预防通过交通工具传播新型冠状病毒感染的肺炎的有关要求通知如下：</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一、地方各级人民政府和各级各类卫生健康、公安、交通运输、海关、边检、民航、铁路等部门(单位)要高度重视新型冠状病毒感染的肺炎可能通过交通工具造成传播的问题，在联防联控工作机制下，加强组织领导，密切协调配合，畅通沟通渠道，形成工作合力，切实降低通过交通工具传播新型冠状病毒感染的肺炎的风险，最大限度防止疫情蔓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二、各省、自治区、直辖市人民政府要协调卫生健康、公安、交通运输、民航、铁路等有关部门(单位)，严格落实新型冠状病毒感染的肺炎防控措施，设立留验站，配备必要的人员、设备和条件并制定留验预案。留验站负责对交通工具上发现的新型冠状病毒感染的肺炎病人和疑似病人进行留验观察和隔离治疗，不得拒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三、各地交通运输、民航、铁路等部门（单位）要制定新型冠状病毒感染的肺炎应急处理预案。在火车、汽车、飞机、船舶等交通工具上发现病例或疑似病例后，要立即通知前方最近设有留验站的城市的车站、港口客运站、目的地机场做好留验准备。同时，督促有关运营企业立即在交通工具上采取隔离、通风、消毒等措施，对与病例同舱或同一车厢的乘客和其他与病例有密切接触的人员信息通过实名购票或调查登记向卫生健康部门提供，全力配合开展流行病学调查和必要的医学检查等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四、留验站所在地的卫生健康部门要开展医护人员培训，认真做好新型冠状病毒感染的肺炎病例和疑似病例的留验观察、隔离治疗和追踪管理等工作。国家和省级卫生健康部门负责向各地和相关部门提供技术支持和指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五、各地交通运输、民航、铁路等部门（单位）要做好汽车、火车、飞机等交通工具和车站、机场、港口客运站等重点场所的卫生管理工作，配备必要的防护用品和消毒物品，因地制宜落实通风、消毒等防病措施。海关要做好出入境航空器、船舶、列车、汽车等交通工具和人员的卫生检疫，防范疫情输入和流出。发现新型冠状病毒感染的肺炎病例和疑似病例的，立即转运至地方卫生健康部门指定的医疗机构，做好密切接触者排查，相关信息通报地方卫生健康部门。边检机关要配合海关开展工作，严密出入境交通工具和人员边防检查，协助做好防控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六、各地交通运输、民航、铁路等部门（单位）要按照当地政府要求，在机场、火车站、汽车站、港口客运站等相关场所严格落实旅客体温筛检等防控措施，重点加强对来自武汉人员的体温检测并建立健康卡制度，登记相关健康信息和联系方式，做好健康提醒，提示出现发热、咳嗽等相关症状后及时就医。一旦发现新型冠状病毒感染的肺炎病例或疑似病例应当劝阻其登乘，并立即通知检疫机关或当地卫生健康部门。卫生健康部门要对当地机场、车站、港口客运站等重点场所的防疫工作加强指导。</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七、各地公安、交通运输、海关、边检、民航、铁路等部门（单位）要积极配合卫生健康部门开展相关调查工作，协助寻找需要追踪的新型冠状病毒感染的肺炎病例、疑似病例和密切接触者。</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八、各地公安、交通运输、海关、边检、民航、铁路等部门（单位）要加强对旅客和本系统员工的新型冠状病毒感染的肺炎防控知识宣传教育，增强防护意识和能力。为旅客直接服务的工作人员应佩戴口罩。</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九、各省、自治区、直辖市人民政府要保障防护用品和消毒用品的供应，并向社会公布新型冠状病毒感染的肺炎病例和疑似病例留验站的设置地点和联系方式，对留验站的工作开展监督检查。</w:t>
      </w: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应对新型冠状病毒感染的肺炎</w:t>
      </w:r>
    </w:p>
    <w:p>
      <w:pPr>
        <w:widowControl w:val="0"/>
        <w:wordWrap/>
        <w:adjustRightInd/>
        <w:snapToGrid/>
        <w:spacing w:line="560" w:lineRule="exact"/>
        <w:ind w:right="0" w:firstLine="320" w:firstLineChars="1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疫情联防联控工作机制</w:t>
      </w:r>
    </w:p>
    <w:p>
      <w:pPr>
        <w:widowControl w:val="0"/>
        <w:wordWrap/>
        <w:adjustRightInd/>
        <w:snapToGrid/>
        <w:spacing w:line="560" w:lineRule="exact"/>
        <w:ind w:left="0" w:leftChars="0" w:right="0" w:firstLine="5120" w:firstLineChars="160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2020年1月23日</w:t>
      </w:r>
    </w:p>
    <w:p>
      <w:pPr>
        <w:widowControl w:val="0"/>
        <w:wordWrap/>
        <w:adjustRightInd/>
        <w:snapToGrid/>
        <w:spacing w:line="560" w:lineRule="exact"/>
        <w:ind w:left="0" w:leftChars="0"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r>
        <w:rPr>
          <w:rFonts w:hint="eastAsia" w:ascii="方正小标宋简体" w:hAnsi="方正小标宋简体" w:eastAsia="方正小标宋简体" w:cs="方正小标宋简体"/>
          <w:b w:val="0"/>
          <w:bCs w:val="0"/>
          <w:color w:val="000000"/>
          <w:sz w:val="32"/>
          <w:szCs w:val="32"/>
          <w:lang w:val="en-US" w:eastAsia="zh-CN"/>
        </w:rPr>
        <w:t xml:space="preserve"> </w:t>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wordWrap/>
        <w:spacing w:line="560" w:lineRule="exact"/>
        <w:textAlignment w:val="auto"/>
        <w:rPr>
          <w:rFonts w:hint="eastAsia" w:ascii="Times New Roman" w:hAnsi="Times New Roman"/>
          <w:lang w:val="en-US" w:eastAsia="zh-CN"/>
        </w:rPr>
      </w:pPr>
    </w:p>
    <w:p>
      <w:pPr>
        <w:widowControl w:val="0"/>
        <w:wordWrap/>
        <w:spacing w:before="0" w:line="560" w:lineRule="exact"/>
        <w:jc w:val="both"/>
        <w:textAlignment w:val="auto"/>
        <w:rPr>
          <w:rFonts w:hint="eastAsia" w:ascii="仿宋_GB2312" w:hAnsi="宋体" w:eastAsia="仿宋_GB2312" w:cs="Times New Roman"/>
          <w:kern w:val="2"/>
          <w:sz w:val="32"/>
          <w:szCs w:val="24"/>
          <w:lang w:val="en-US" w:eastAsia="zh-CN" w:bidi="ar-SA"/>
        </w:rPr>
      </w:pP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wordWrap/>
        <w:spacing w:line="560" w:lineRule="exact"/>
        <w:textAlignment w:val="auto"/>
        <w:rPr>
          <w:rFonts w:hint="eastAsia" w:ascii="Times New Roman" w:hAnsi="Times New Roman"/>
          <w:lang w:val="en-US" w:eastAsia="zh-CN"/>
        </w:rPr>
      </w:pPr>
    </w:p>
    <w:p>
      <w:pPr>
        <w:widowControl w:val="0"/>
        <w:wordWrap/>
        <w:spacing w:before="0" w:line="560" w:lineRule="exact"/>
        <w:jc w:val="both"/>
        <w:textAlignment w:val="auto"/>
        <w:rPr>
          <w:rFonts w:hint="eastAsia" w:ascii="仿宋_GB2312" w:hAnsi="宋体" w:eastAsia="仿宋_GB2312" w:cs="Times New Roman"/>
          <w:kern w:val="2"/>
          <w:sz w:val="32"/>
          <w:szCs w:val="24"/>
          <w:lang w:val="en-US" w:eastAsia="zh-CN" w:bidi="ar-SA"/>
        </w:rPr>
      </w:pPr>
    </w:p>
    <w:p>
      <w:pPr>
        <w:wordWrap/>
        <w:spacing w:line="560" w:lineRule="exact"/>
        <w:textAlignment w:val="auto"/>
        <w:rPr>
          <w:rFonts w:hint="eastAsia" w:ascii="Times New Roman" w:hAnsi="Times New Roman"/>
          <w:lang w:val="en-US" w:eastAsia="zh-CN"/>
        </w:rPr>
      </w:pPr>
    </w:p>
    <w:p>
      <w:pPr>
        <w:widowControl w:val="0"/>
        <w:wordWrap/>
        <w:spacing w:before="0" w:line="560" w:lineRule="exact"/>
        <w:jc w:val="both"/>
        <w:textAlignment w:val="auto"/>
        <w:rPr>
          <w:rFonts w:hint="eastAsia" w:ascii="仿宋_GB2312" w:hAnsi="宋体" w:eastAsia="仿宋_GB2312" w:cs="Times New Roman"/>
          <w:kern w:val="2"/>
          <w:sz w:val="32"/>
          <w:szCs w:val="24"/>
          <w:lang w:val="en-US" w:eastAsia="zh-CN" w:bidi="ar-SA"/>
        </w:rPr>
      </w:pPr>
    </w:p>
    <w:p>
      <w:pPr>
        <w:widowControl w:val="0"/>
        <w:wordWrap/>
        <w:adjustRightInd/>
        <w:snapToGrid/>
        <w:spacing w:line="560" w:lineRule="exact"/>
        <w:textAlignment w:val="auto"/>
        <w:rPr>
          <w:rFonts w:hint="eastAsia"/>
          <w:color w:val="auto"/>
        </w:rPr>
      </w:pPr>
      <w:r>
        <w:rPr>
          <w:rFonts w:hint="eastAsia"/>
        </w:rPr>
        <w:br w:type="page"/>
      </w:r>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25" w:name="_Toc5211"/>
      <w:bookmarkStart w:id="326" w:name="_Toc14826"/>
      <w:bookmarkStart w:id="327" w:name="_Toc14429"/>
      <w:bookmarkStart w:id="328" w:name="_Toc20160"/>
      <w:bookmarkStart w:id="329" w:name="_Toc4970"/>
      <w:bookmarkStart w:id="330" w:name="_Toc2142"/>
      <w:bookmarkStart w:id="331" w:name="_Toc14"/>
      <w:bookmarkStart w:id="332" w:name="_Toc17103"/>
      <w:bookmarkStart w:id="333" w:name="_Toc15628"/>
      <w:bookmarkStart w:id="334" w:name="_Toc791"/>
      <w:bookmarkStart w:id="335" w:name="_Toc27374"/>
      <w:bookmarkStart w:id="336" w:name="_Toc7431"/>
      <w:bookmarkStart w:id="337" w:name="_Toc15973"/>
      <w:bookmarkStart w:id="338" w:name="_Toc32497"/>
      <w:bookmarkStart w:id="339" w:name="_Toc7876"/>
      <w:bookmarkStart w:id="340" w:name="_Toc19828"/>
      <w:bookmarkStart w:id="341" w:name="_Toc20523"/>
      <w:bookmarkStart w:id="342" w:name="_Toc11456"/>
      <w:bookmarkStart w:id="343" w:name="_Toc12640"/>
      <w:r>
        <w:rPr>
          <w:rFonts w:hint="eastAsia" w:ascii="Times New Roman" w:hAnsi="Times New Roman" w:eastAsia="宋体"/>
          <w:b w:val="0"/>
          <w:color w:val="auto"/>
          <w:lang w:val="en-US" w:eastAsia="zh-CN"/>
        </w:rPr>
        <w:t>国家卫生健康委办公厅关于进一步加强县域新型冠状病毒感染的肺炎医疗救治工作的通知</w:t>
      </w:r>
      <w:bookmarkEnd w:id="325"/>
      <w:bookmarkEnd w:id="326"/>
      <w:bookmarkEnd w:id="327"/>
      <w:bookmarkEnd w:id="328"/>
      <w:bookmarkEnd w:id="329"/>
      <w:bookmarkEnd w:id="330"/>
      <w:bookmarkEnd w:id="331"/>
      <w:bookmarkEnd w:id="332"/>
      <w:bookmarkEnd w:id="333"/>
      <w:bookmarkEnd w:id="334"/>
    </w:p>
    <w:p>
      <w:pPr>
        <w:wordWrap/>
        <w:spacing w:line="560" w:lineRule="exact"/>
        <w:jc w:val="center"/>
        <w:textAlignment w:val="auto"/>
        <w:rPr>
          <w:rFonts w:hint="eastAsia" w:ascii="楷体" w:hAnsi="楷体" w:eastAsia="楷体" w:cs="楷体"/>
          <w:i w:val="0"/>
          <w:caps w:val="0"/>
          <w:color w:val="484848"/>
          <w:spacing w:val="0"/>
          <w:sz w:val="32"/>
          <w:szCs w:val="32"/>
        </w:rPr>
      </w:pPr>
    </w:p>
    <w:p>
      <w:pPr>
        <w:wordWrap/>
        <w:spacing w:line="560" w:lineRule="exact"/>
        <w:jc w:val="center"/>
        <w:textAlignment w:val="auto"/>
        <w:rPr>
          <w:rFonts w:hint="eastAsia" w:ascii="楷体" w:hAnsi="楷体" w:eastAsia="楷体" w:cs="楷体"/>
          <w:color w:val="auto"/>
          <w:lang w:val="en-US" w:eastAsia="zh-CN"/>
        </w:rPr>
      </w:pPr>
      <w:r>
        <w:rPr>
          <w:rFonts w:hint="eastAsia" w:ascii="楷体" w:hAnsi="楷体" w:eastAsia="楷体" w:cs="楷体"/>
          <w:i w:val="0"/>
          <w:caps w:val="0"/>
          <w:color w:val="484848"/>
          <w:spacing w:val="0"/>
          <w:sz w:val="32"/>
          <w:szCs w:val="32"/>
        </w:rPr>
        <w:t>国卫办医函〔2020〕83号</w:t>
      </w:r>
    </w:p>
    <w:p>
      <w:pPr>
        <w:wordWrap/>
        <w:adjustRightInd/>
        <w:snapToGrid/>
        <w:spacing w:line="560" w:lineRule="exact"/>
        <w:ind w:right="0"/>
        <w:textAlignment w:val="auto"/>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各省、自治区、直辖市及新疆生产建设兵团卫生健康委：</w:t>
      </w:r>
    </w:p>
    <w:p>
      <w:pPr>
        <w:widowControl w:val="0"/>
        <w:wordWrap/>
        <w:overflowPunct w:val="0"/>
        <w:adjustRightInd/>
        <w:snapToGrid/>
        <w:spacing w:beforeAutospacing="0" w:afterAutospacing="0" w:line="560" w:lineRule="exac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  为贯彻落实党中央、国务院重要决策部署，进一步做好县域新型冠状病毒感染的肺炎医疗救治工作，切实保障人民群众生命健康安全。现就有关事项通知如下：</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一、加强预检分诊和发热门诊管理</w:t>
      </w:r>
    </w:p>
    <w:p>
      <w:pPr>
        <w:widowControl w:val="0"/>
        <w:wordWrap/>
        <w:overflowPunct w:val="0"/>
        <w:adjustRightInd/>
        <w:snapToGrid/>
        <w:spacing w:beforeAutospacing="0" w:afterAutospacing="0" w:line="56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各地县级医院要严格落实《医疗机构传染病预检分诊管理办法》，严格实行预检分诊制度，在独立</w:t>
      </w:r>
      <w:r>
        <w:rPr>
          <w:rFonts w:hint="eastAsia" w:ascii="仿宋" w:hAnsi="仿宋" w:eastAsia="仿宋" w:cs="仿宋"/>
          <w:i w:val="0"/>
          <w:caps w:val="0"/>
          <w:color w:val="auto"/>
          <w:spacing w:val="0"/>
          <w:sz w:val="32"/>
          <w:szCs w:val="32"/>
          <w:u w:val="none"/>
          <w:lang w:val="en-US" w:eastAsia="zh-CN"/>
        </w:rPr>
        <w:t>区域</w:t>
      </w:r>
      <w:r>
        <w:rPr>
          <w:rFonts w:hint="eastAsia" w:ascii="仿宋" w:hAnsi="仿宋" w:eastAsia="仿宋" w:cs="仿宋"/>
          <w:color w:val="auto"/>
          <w:kern w:val="0"/>
          <w:sz w:val="32"/>
          <w:szCs w:val="32"/>
          <w:lang w:val="en-US" w:eastAsia="zh-CN"/>
        </w:rPr>
        <w:t>设置发热门诊，有明显标识，保持良好通风、落实消毒隔离措施，防止人流、物流交叉。严格执行发热病人接诊、筛查流程，认真落实病人登记报告制度，密切关注有新型冠状病毒感染的肺炎相关流行病学史、咳嗽、发热等症状的患者，一旦发现可疑病例，立即采取隔离留观措施。</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二、认真做好救治准备和医疗救治工作</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地要充分发挥医联体的作用，按照“四早”、“四集中”的原则，对新型冠状病毒感染的肺炎患者，特别是重症患者进行集中救治。县医院作为定点医院，要在独立的传染病病区收治新型冠状病毒感染的肺炎疑似和确诊病例。各地要根据疫情发展情况，遴选具备呼吸道传染病防护条件的医院作为后备医院，遴选综合医院作为后备医院时，要清空病区，按照呼吸道传染病医院感染防控要求进行病房改造。定点医院和后备医院要做好病房、药品及设备、检测试剂、消毒器械和防护用品的配备，为有序有效救治患者创造条件。</w:t>
      </w: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w:t>
      </w:r>
      <w:r>
        <w:rPr>
          <w:rFonts w:hint="eastAsia" w:ascii="黑体" w:hAnsi="黑体" w:eastAsia="黑体" w:cs="黑体"/>
          <w:i w:val="0"/>
          <w:caps w:val="0"/>
          <w:color w:val="auto"/>
          <w:spacing w:val="0"/>
          <w:sz w:val="32"/>
          <w:szCs w:val="32"/>
          <w:u w:val="none"/>
          <w:lang w:val="en-US" w:eastAsia="zh-CN"/>
        </w:rPr>
        <w:t>三、加强疑似和确诊病例就诊管理</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县级医院要充分发挥医联体作用，按照新型冠状病毒感染的肺炎诊疗方案做好病例管理工作。对于符合病例定义的疑似病例，应当尽快进行隔离治疗，并采集呼吸道或血液标本进行新型冠状病毒核酸检测，进一步明确诊断。不具备检测能力的县级医院，可将标本送检至县（区）疾控中心、市疾控中心或医联体内具备检测条件的上级医院进行检测。疑似病例和确诊病例，要按照我委印发的《新型冠状病毒感染的肺炎病例转运工作方案（试行）》要求，转运至定点医院集中救治。</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四、切实做好医院感染防控</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县级医院要严格落实遵照我委印发的医疗机构内新型冠状病毒感染预防与控制技术指南、新型冠状病毒感染的肺炎防护中常见医用防护使用范围指引等要求，做好隔离防护、手卫生、病房管理、环境消毒和废弃物管理等医院感染控制作用，加强医务人员个人防护，严防医院感染的发生。</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五、加强医务人员培训</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省级卫生健康行政部门要严格按照新型冠状病毒感染的肺炎诊疗方案与相关技术方案要求，组织开展县级医院新型冠状病毒感染的肺炎防控的全方位培训，重点培训医务人员掌握诊疗知识和工作流程，提高“早发现、早诊断”意识、医疗救治水平和院感防控能力。要充分发挥医联体牵头医院的作用，利用驻点培训、现场指导、远程医疗等手段，加大对医联体内下级医疗机构的指导。</w:t>
      </w:r>
    </w:p>
    <w:p>
      <w:pPr>
        <w:widowControl w:val="0"/>
        <w:wordWrap/>
        <w:adjustRightInd/>
        <w:snapToGrid/>
        <w:spacing w:line="560" w:lineRule="exact"/>
        <w:ind w:right="0" w:firstLine="640" w:firstLineChars="200"/>
        <w:textAlignment w:val="auto"/>
        <w:rPr>
          <w:rFonts w:hint="eastAsia" w:ascii="黑体" w:hAnsi="黑体" w:eastAsia="黑体" w:cs="黑体"/>
          <w:i w:val="0"/>
          <w:caps w:val="0"/>
          <w:color w:val="auto"/>
          <w:spacing w:val="0"/>
          <w:sz w:val="32"/>
          <w:szCs w:val="32"/>
          <w:u w:val="none"/>
          <w:lang w:val="en-US" w:eastAsia="zh-CN"/>
        </w:rPr>
      </w:pPr>
      <w:r>
        <w:rPr>
          <w:rFonts w:hint="eastAsia" w:ascii="黑体" w:hAnsi="黑体" w:eastAsia="黑体" w:cs="黑体"/>
          <w:i w:val="0"/>
          <w:caps w:val="0"/>
          <w:color w:val="auto"/>
          <w:spacing w:val="0"/>
          <w:sz w:val="32"/>
          <w:szCs w:val="32"/>
          <w:u w:val="none"/>
          <w:lang w:val="en-US" w:eastAsia="zh-CN"/>
        </w:rPr>
        <w:t>六、加大对贫困地区县级医院保障力度</w:t>
      </w:r>
    </w:p>
    <w:p>
      <w:pPr>
        <w:widowControl w:val="0"/>
        <w:wordWrap/>
        <w:adjustRightInd/>
        <w:snapToGrid/>
        <w:spacing w:line="560" w:lineRule="exact"/>
        <w:ind w:right="0"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各省级卫生健康行政部门要进一步加大对贫困地区县级医院的支持力度，加强物资保障力度和医疗资源统筹，配备必要的防护用品、医疗设备和医疗力量，确保贫困地区县级医院具备基本的医疗救治能力，满足人民群众看病就医需求。</w:t>
      </w: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textAlignment w:val="auto"/>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jc w:val="righ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xml:space="preserve">                               国家卫生健康委办公厅</w:t>
      </w:r>
    </w:p>
    <w:p>
      <w:pPr>
        <w:widowControl w:val="0"/>
        <w:wordWrap/>
        <w:adjustRightInd/>
        <w:snapToGrid/>
        <w:spacing w:line="560" w:lineRule="exact"/>
        <w:ind w:right="0" w:firstLine="5440" w:firstLineChars="1700"/>
        <w:jc w:val="righ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2020年1月28日</w:t>
      </w: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wordWrap/>
        <w:adjustRightInd/>
        <w:snapToGrid/>
        <w:spacing w:line="560" w:lineRule="exact"/>
        <w:ind w:right="0" w:firstLine="4760" w:firstLineChars="1700"/>
        <w:textAlignment w:val="auto"/>
        <w:rPr>
          <w:rFonts w:hint="eastAsia" w:ascii="仿宋_GB2312" w:hAnsi="仿宋_GB2312" w:eastAsia="仿宋_GB2312" w:cs="仿宋_GB2312"/>
          <w:color w:val="000000"/>
          <w:kern w:val="0"/>
          <w:sz w:val="28"/>
          <w:szCs w:val="28"/>
          <w:lang w:val="en-US" w:eastAsia="zh-CN"/>
        </w:rPr>
      </w:pPr>
    </w:p>
    <w:p>
      <w:pPr>
        <w:rPr>
          <w:rFonts w:hint="eastAsia" w:ascii="Times New Roman" w:hAnsi="Times New Roman" w:eastAsia="宋体"/>
          <w:b w:val="0"/>
          <w:color w:val="auto"/>
          <w:lang w:val="en-US" w:eastAsia="zh-CN"/>
        </w:rPr>
      </w:pPr>
      <w:r>
        <w:rPr>
          <w:rFonts w:hint="eastAsia" w:ascii="Times New Roman" w:hAnsi="Times New Roman" w:eastAsia="宋体"/>
          <w:b w:val="0"/>
          <w:color w:val="auto"/>
          <w:lang w:val="en-US" w:eastAsia="zh-CN"/>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color w:val="auto"/>
          <w:kern w:val="44"/>
          <w:sz w:val="44"/>
          <w:szCs w:val="44"/>
          <w:lang w:val="en-US" w:eastAsia="zh-CN" w:bidi="ar-SA"/>
        </w:rPr>
      </w:pPr>
      <w:bookmarkStart w:id="344" w:name="_Toc31541"/>
      <w:bookmarkStart w:id="345" w:name="_Toc9869"/>
      <w:bookmarkStart w:id="346" w:name="_Toc27891"/>
      <w:bookmarkStart w:id="347" w:name="_Toc24322"/>
      <w:bookmarkStart w:id="348" w:name="_Toc14985"/>
      <w:bookmarkStart w:id="349" w:name="_Toc13583"/>
      <w:bookmarkStart w:id="350" w:name="_Toc11243"/>
      <w:bookmarkStart w:id="351" w:name="_Toc17601"/>
      <w:bookmarkStart w:id="352" w:name="_Toc6548"/>
      <w:bookmarkStart w:id="353" w:name="_Toc21447"/>
      <w:r>
        <w:rPr>
          <w:rFonts w:hint="eastAsia" w:ascii="Times New Roman" w:hAnsi="Times New Roman" w:eastAsia="宋体" w:cs="Times New Roman"/>
          <w:bCs/>
          <w:color w:val="auto"/>
          <w:kern w:val="44"/>
          <w:sz w:val="44"/>
          <w:szCs w:val="44"/>
          <w:lang w:val="en-US" w:eastAsia="zh-CN" w:bidi="ar-SA"/>
        </w:rPr>
        <w:t>民政部</w:t>
      </w:r>
      <w:r>
        <w:rPr>
          <w:rFonts w:hint="eastAsia" w:eastAsia="宋体" w:cs="Times New Roman"/>
          <w:bCs/>
          <w:color w:val="auto"/>
          <w:kern w:val="44"/>
          <w:sz w:val="44"/>
          <w:szCs w:val="44"/>
          <w:lang w:val="en-US" w:eastAsia="zh-CN" w:bidi="ar-SA"/>
        </w:rPr>
        <w:t xml:space="preserve"> </w:t>
      </w:r>
      <w:r>
        <w:rPr>
          <w:rFonts w:hint="eastAsia" w:ascii="Times New Roman" w:hAnsi="Times New Roman" w:eastAsia="宋体" w:cs="Times New Roman"/>
          <w:bCs/>
          <w:color w:val="auto"/>
          <w:kern w:val="44"/>
          <w:sz w:val="44"/>
          <w:szCs w:val="44"/>
          <w:lang w:val="en-US" w:eastAsia="zh-CN" w:bidi="ar-SA"/>
        </w:rPr>
        <w:t>国家卫生健康委</w:t>
      </w:r>
      <w:bookmarkEnd w:id="344"/>
    </w:p>
    <w:p>
      <w:pPr>
        <w:keepNext/>
        <w:keepLines/>
        <w:widowControl w:val="0"/>
        <w:wordWrap/>
        <w:spacing w:before="0" w:line="560" w:lineRule="exact"/>
        <w:jc w:val="center"/>
        <w:textAlignment w:val="auto"/>
        <w:outlineLvl w:val="0"/>
        <w:rPr>
          <w:rFonts w:hint="eastAsia" w:ascii="Times New Roman" w:hAnsi="Times New Roman" w:eastAsia="宋体" w:cs="Times New Roman"/>
          <w:bCs/>
          <w:color w:val="auto"/>
          <w:kern w:val="44"/>
          <w:sz w:val="44"/>
          <w:szCs w:val="44"/>
          <w:lang w:val="en-US" w:eastAsia="zh-CN" w:bidi="ar-SA"/>
        </w:rPr>
      </w:pPr>
      <w:bookmarkStart w:id="354" w:name="_Toc32039"/>
      <w:r>
        <w:rPr>
          <w:rFonts w:hint="eastAsia" w:ascii="Times New Roman" w:hAnsi="Times New Roman" w:eastAsia="宋体" w:cs="Times New Roman"/>
          <w:bCs/>
          <w:color w:val="auto"/>
          <w:kern w:val="44"/>
          <w:sz w:val="44"/>
          <w:szCs w:val="44"/>
          <w:lang w:val="en-US" w:eastAsia="zh-CN" w:bidi="ar-SA"/>
        </w:rPr>
        <w:t>关于进一步动员城乡社区组织开展新型冠状病毒感染的肺炎疫情防控工作的紧急通知</w:t>
      </w:r>
      <w:bookmarkEnd w:id="345"/>
      <w:bookmarkEnd w:id="346"/>
      <w:bookmarkEnd w:id="347"/>
      <w:bookmarkEnd w:id="348"/>
      <w:bookmarkEnd w:id="349"/>
      <w:bookmarkEnd w:id="350"/>
      <w:bookmarkEnd w:id="351"/>
      <w:bookmarkEnd w:id="352"/>
      <w:bookmarkEnd w:id="353"/>
      <w:bookmarkEnd w:id="354"/>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仿宋" w:hAnsi="仿宋" w:eastAsia="仿宋" w:cs="仿宋"/>
          <w:i w:val="0"/>
          <w:caps w:val="0"/>
          <w:color w:val="auto"/>
          <w:spacing w:val="0"/>
          <w:kern w:val="0"/>
          <w:sz w:val="32"/>
          <w:szCs w:val="32"/>
          <w:u w:val="none"/>
          <w:lang w:val="en-US" w:eastAsia="zh-CN"/>
        </w:rPr>
      </w:pP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kern w:val="0"/>
          <w:sz w:val="32"/>
          <w:szCs w:val="32"/>
          <w:u w:val="none"/>
          <w:lang w:val="en-US" w:eastAsia="zh-CN"/>
        </w:rPr>
      </w:pPr>
      <w:r>
        <w:rPr>
          <w:rFonts w:hint="eastAsia" w:ascii="楷体" w:hAnsi="楷体" w:eastAsia="楷体" w:cs="楷体"/>
          <w:i w:val="0"/>
          <w:caps w:val="0"/>
          <w:color w:val="auto"/>
          <w:spacing w:val="0"/>
          <w:kern w:val="0"/>
          <w:sz w:val="32"/>
          <w:szCs w:val="32"/>
          <w:u w:val="none"/>
          <w:lang w:val="en-US" w:eastAsia="zh-CN"/>
        </w:rPr>
        <w:t>民发〔2020〕9号</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val="0"/>
        <w:wordWrap/>
        <w:adjustRightInd/>
        <w:snapToGrid/>
        <w:spacing w:line="560" w:lineRule="exact"/>
        <w:ind w:right="0" w:firstLine="640" w:firstLineChars="200"/>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rPr>
        <w:t>各省、自治区、直辖市民政厅（局）、卫生健康委，各计划单列市民政局、卫生健康委，新疆生产建设兵团民政局、卫生健康委：</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新型冠状病毒感染的肺炎疫情发生以来，各城乡社区组织在各地党委、政府的统一领导下，组织发动社区居民开展疫情防控工作，为遏制疫情扩散蔓延作出了积极贡献。社区防控是疫情防控的基础环节，为进一步发挥城乡社区组织在疫情防控中的积极作用，及时抓住春节“大隔离、大消毒”最佳窗口期，有效遏制疫情播散和蔓延，根据应对新型冠状病毒感染的肺炎疫情联防联控工作机制印发的《关于加强新型冠状病毒感染的肺炎疫情社区防控工作的通知》（肺炎机制发〔2020〕5号）和《关于印发近期防控新型冠状病毒感染的肺炎工作方案的通知》（肺炎机制发〔2020〕9号）相关精神，现就有关事项紧急通知如下：</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黑体" w:hAnsi="黑体" w:eastAsia="黑体" w:cs="黑体"/>
          <w:i w:val="0"/>
          <w:caps w:val="0"/>
          <w:color w:val="auto"/>
          <w:spacing w:val="0"/>
          <w:sz w:val="32"/>
          <w:szCs w:val="32"/>
          <w:u w:val="none"/>
        </w:rPr>
        <w:t>一、总体要求</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学习贯彻习近平总书记关于新型冠状病毒感染肺炎疫情的重要讲话和指示精神，落实党中央、国务院决策部署和地方各级党委、政府关于疫情防控工作的部署安排，把社区防控工作作为疫情防控的基础环节抓紧抓好，充分发挥城乡社区组织工作优势和社区、社会组织、社会工作联动机制协同作用，广泛动员群众、组织群众、凝聚群众，切实做好疫情监测、信息报送、宣传教育、环境整治、困难帮扶等工作，全面落实联防联控措施，构筑群防群治的严密防线，为坚决打赢疫情防控阻击战作出贡献。</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黑体" w:hAnsi="黑体" w:eastAsia="黑体" w:cs="黑体"/>
          <w:i w:val="0"/>
          <w:caps w:val="0"/>
          <w:color w:val="auto"/>
          <w:spacing w:val="0"/>
          <w:sz w:val="32"/>
          <w:szCs w:val="32"/>
          <w:u w:val="none"/>
        </w:rPr>
        <w:t>　二、重点任务</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一）进一步做好组织实施工作。各城乡社区组织要认真学习掌握疫情防控重大政策、重要信息和重点知识，切实增强政策意识和防范意识。根据当地党委、政府的统一部署，在基层党组织领导下，以“两委”成员、社区或乡村医生为骨干，建立健全疫情防控工作机制和网格化工作体系，分类制定并实施社区疫情防控策略，组织落实病例监测追踪、信息报告、科普宣教、健康提示、爱国卫生运动等防控措施。城乡社区组织要创造条件为基层医疗卫生机构提供必要支持，缓解基层医务人员工作压力；充分发挥居（村）民自治组织体系的组织动员能力，做到全员上阵、责任到人、联系到户，动员全体社区居民共同参与社区防控工作，确保新型冠状病毒感染肺炎疫情的各项防控措施得到切实落实、不留死角。</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二）进一步做好疫情监测和重点人群管理工作。城乡社区组织要在疾控等专业公共卫生机构指导下，会同基层医疗卫生机构，按照“追踪到人、登记在册、社区管理、上门观察、规范运转、异常就医”的原则对来自疫情发生地区的人员、外地返回居住地的人员进行有效管理，加强发热和症状监测，追踪、督促其居家医学观察14天。有条件的城乡社区可在社区、小区出入路口对外来车辆、人员进行登记。组织发动社区服务机构和志愿者，为实施居家医学观察的人员提供生活便利。病例较多的社区，可在卫生健康部门的指导下，协调固定场所对相关人员就近开展集中医学观察。积极做好协调配合工作，为疑似病例就医就诊提供帮助和支持。加强对康复患者、疑似病例解除者的关心照顾，协助医疗卫生机构进行回访并配合相关部门落实综合保障政策。</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三）进一步做好信息报送工作。按照当地党委、政府统一要求，对疫情实行日报告和零报告制度，紧急情况随时报告。动员居（村）民小组长、楼门栋长等自治组织成员、物业服务企业和志愿者，对居民院落（楼、门、栋）、小区、驻区单位、商业企业等进行细致摸排；城乡社区组织每天按要求实时报送疫情信息，决不允许迟报、漏报、瞒报。严格对社区各类活动的管理，在疫情解除前不举办各类人员聚集性活动；确因工作需要在社区开展活动的均应严格按程序报批，并做好相关活动信息报告工作。加强社区间信息沟通，实现社区间人口流动信息的及时、有效衔接。引导社区居民运用社区信息平台反馈个人健康信息。</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四）进一步做好宣传教育工作。依托社区微信群、社区公众号、社区QQ群、智慧社区客户端等社区信息平台，用好社区黑板报、标语、公示栏、LED电子屏、农村大喇叭等阵地，广泛宣传疫情防控知识，引导社区居民自觉养成佩戴口罩等卫生习惯、疫情防控期间不参与各类群体性活动，使新型冠状病毒感染肺炎防治宣传家喻户晓。按照当地党委、政府的统一要求，及时发布和动态更新当地疫情防控动态、联防联控的政策措施，引导社区居民关注权威发布，不信谣，不传谣，消除社区居民的忧虑和恐惧心理。</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五）进一步做好环境整治工作。大力开展冬春季爱国卫生运动，加强对社区环境卫生整治和消杀，严格对城乡人群聚集的公共场所进行清洁、消毒和通风，注意加强对城乡社区综合服务设施的日常消毒；基层医疗卫生机构诊疗环境要每日清洁消毒，严格按照有关规定规范处置医疗废物；疫情解除前暂停社区图书室、文体活动室、老年活动室（日间照料中心）等人员聚集型场所服务活动，对于确有需要的可探索采取电话预约等一对一服务方式；动员驻区单位和物业服务企业进行环境卫生整治，确保社区环境干净整洁。城乡社区组织要积极配合农业农村、市场监管等有关部门加大对集贸（农贸）市场整治力度，对集贸（农贸）市场、便民摊点群等进行环境卫生巡查，根据当地疫情情况和党委、政府要求，参与劝导人群聚集营业场所暂停营业。</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六）进一步做好困难家庭和人员帮扶工作。加强对社区特殊群体和困难家庭的关怀慰问工作，帮助解决疫情防控期间遇到的生产生活问题。城乡社区组织要加强对基层医疗卫生机构工作人员的关心支持，主动了解并协调解决其家庭实际困难；对于家庭成员有医务人员且承担隔离治疗任务的，要组织社区服务机构和志愿者，协助做好其共同居住的父母、子女照顾工作。对于患有其他慢性疾病的社区居民，要重点加强健康宣传教育，提高其预防交叉感染的意识和能力。对于有家庭成员接受隔离治疗的，要督促其他家庭成员做好居家医学观察，同时为其提供必要的心理健康服务和心理危机干预，有效纾解疫情的心理社会影响；对于生活不能自理、且子女亲属已接受隔离治疗的老年人，要协调相关养老服务机构为其提供专业服务。</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黑体" w:hAnsi="黑体" w:eastAsia="黑体" w:cs="黑体"/>
          <w:i w:val="0"/>
          <w:caps w:val="0"/>
          <w:color w:val="auto"/>
          <w:spacing w:val="0"/>
          <w:sz w:val="32"/>
          <w:szCs w:val="32"/>
          <w:u w:val="none"/>
        </w:rPr>
        <w:t>三、组织保障</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一）加强组织领导。各地要充分认识做好新型冠状病毒感染的肺炎疫情社区防控工作的重要意义，抓紧建立社区防控工作机制，在当地疫情应对工作领导小组和联防联控机制统一指挥下开展工作。省、市层面要抓紧制定社区防控工作总体方案，明确城乡社区组织开展疫情防控工作的任务要求，落实社区防控工作专项经费和物资供给，有效满足社区居民日常生活需求。县、乡层面要制定完善社区防控工作实施方案和应急预案，加强对“未发现病例”社区的指导监督，重点强化对“出现病例或暴发疫情”和“传播疫情”社区的支持保障，确保防控责任到位、措施到位、效果到位。</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二）落实部门责任。各级民政部门会同卫生健康等相关部门指导加强居（村）民委员会和各类社区社会组织建设，增强其与专业公共卫生机构、城乡基层医疗机构共同做好社区防控工作的意识和能力，协调解决开展疫情防控工作面临的困难问题，组织引导各类社会组织、社会工作专业人才和志愿者有序参与社区防控工作，形成整体合力。各级卫生健康部门要加强对医疗卫生机构特别是基层医疗卫生机构的指导，会同城乡社区组织做好疫情发现、防控和应急处置，有效落实密切接触者的排查管理等措施，做到无缝衔接。</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仿宋" w:hAnsi="仿宋" w:eastAsia="仿宋" w:cs="仿宋"/>
          <w:i w:val="0"/>
          <w:caps w:val="0"/>
          <w:color w:val="auto"/>
          <w:spacing w:val="0"/>
          <w:sz w:val="32"/>
          <w:szCs w:val="32"/>
          <w:u w:val="none"/>
          <w:lang w:val="en-US" w:eastAsia="zh-CN"/>
        </w:rPr>
        <w:t>（三）营造良好环境。切实保障城乡社区工作者和医疗卫生机构人员权益，分级分类完善各项卫生防护措施和配齐必要消毒、防护用品；加大对社区防控工作中表现突出的城乡社区组织、基层医疗卫生机构和城乡社区工作者、基层医务人员的表扬力度。大力宣传社区防控工作中涌现出的先进人物和事迹，重点宣传社区志愿者和广大社区居民在参与社区防控工作过程中发生的好人好事，用身边事教育引导身边人，营造全社会关心、支持、参与社区防控工作的良好氛围。参与防控的城乡社区工作者和社会组织、志愿者要了解防疫基本知识、学会自我保护，为社区居民做好示范。</w:t>
      </w:r>
    </w:p>
    <w:p>
      <w:pPr>
        <w:widowControl w:val="0"/>
        <w:wordWrap/>
        <w:adjustRightInd/>
        <w:snapToGrid/>
        <w:spacing w:line="560" w:lineRule="exact"/>
        <w:ind w:right="0" w:firstLine="640" w:firstLineChars="200"/>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 </w:t>
      </w:r>
    </w:p>
    <w:p>
      <w:pPr>
        <w:widowControl w:val="0"/>
        <w:wordWrap/>
        <w:adjustRightInd/>
        <w:snapToGrid/>
        <w:spacing w:line="560" w:lineRule="exact"/>
        <w:ind w:right="0" w:firstLine="640" w:firstLineChars="200"/>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 </w:t>
      </w:r>
    </w:p>
    <w:p>
      <w:pPr>
        <w:widowControl w:val="0"/>
        <w:wordWrap/>
        <w:adjustRightInd/>
        <w:snapToGrid/>
        <w:spacing w:line="560" w:lineRule="exact"/>
        <w:ind w:right="0" w:firstLine="640" w:firstLineChars="200"/>
        <w:jc w:val="right"/>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 xml:space="preserve">       民政部      </w:t>
      </w:r>
    </w:p>
    <w:p>
      <w:pPr>
        <w:widowControl w:val="0"/>
        <w:wordWrap/>
        <w:adjustRightInd/>
        <w:snapToGrid/>
        <w:spacing w:line="560" w:lineRule="exact"/>
        <w:ind w:right="0" w:firstLine="640" w:firstLineChars="200"/>
        <w:jc w:val="right"/>
        <w:textAlignment w:val="auto"/>
        <w:rPr>
          <w:rFonts w:hint="eastAsia" w:ascii="仿宋" w:hAnsi="仿宋" w:eastAsia="仿宋" w:cs="仿宋"/>
          <w:i w:val="0"/>
          <w:caps w:val="0"/>
          <w:color w:val="auto"/>
          <w:spacing w:val="0"/>
          <w:sz w:val="32"/>
          <w:szCs w:val="32"/>
          <w:u w:val="none"/>
          <w:lang w:val="en-US" w:eastAsia="zh-CN"/>
        </w:rPr>
      </w:pPr>
      <w:r>
        <w:rPr>
          <w:rFonts w:hint="eastAsia" w:ascii="仿宋" w:hAnsi="仿宋" w:eastAsia="仿宋" w:cs="仿宋"/>
          <w:i w:val="0"/>
          <w:caps w:val="0"/>
          <w:color w:val="auto"/>
          <w:spacing w:val="0"/>
          <w:sz w:val="32"/>
          <w:szCs w:val="32"/>
          <w:u w:val="none"/>
          <w:lang w:val="en-US" w:eastAsia="zh-CN"/>
        </w:rPr>
        <w:t>国家卫生健康委</w:t>
      </w:r>
    </w:p>
    <w:p>
      <w:pPr>
        <w:jc w:val="right"/>
        <w:rPr>
          <w:rFonts w:hint="eastAsia" w:ascii="Times New Roman" w:hAnsi="Times New Roman" w:eastAsia="宋体"/>
          <w:b w:val="0"/>
          <w:color w:val="auto"/>
          <w:lang w:val="en-US" w:eastAsia="zh-CN"/>
        </w:rPr>
      </w:pPr>
      <w:r>
        <w:rPr>
          <w:rFonts w:hint="eastAsia" w:ascii="仿宋" w:hAnsi="仿宋" w:eastAsia="仿宋" w:cs="仿宋"/>
          <w:i w:val="0"/>
          <w:caps w:val="0"/>
          <w:color w:val="auto"/>
          <w:spacing w:val="0"/>
          <w:sz w:val="32"/>
          <w:szCs w:val="32"/>
          <w:u w:val="none"/>
          <w:lang w:val="en-US" w:eastAsia="zh-CN"/>
        </w:rPr>
        <w:t>2020年1月29日</w:t>
      </w:r>
      <w:r>
        <w:rPr>
          <w:rFonts w:hint="eastAsia" w:ascii="Times New Roman" w:hAnsi="Times New Roman" w:eastAsia="宋体"/>
          <w:b w:val="0"/>
          <w:color w:val="auto"/>
          <w:lang w:val="en-US" w:eastAsia="zh-CN"/>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color w:val="auto"/>
          <w:kern w:val="44"/>
          <w:sz w:val="44"/>
          <w:szCs w:val="44"/>
          <w:lang w:val="en-US" w:eastAsia="zh-CN" w:bidi="ar-SA"/>
        </w:rPr>
      </w:pPr>
      <w:bookmarkStart w:id="355" w:name="_Toc3987"/>
      <w:r>
        <w:rPr>
          <w:rFonts w:hint="eastAsia" w:ascii="Times New Roman" w:hAnsi="Times New Roman" w:eastAsia="宋体" w:cs="Times New Roman"/>
          <w:bCs/>
          <w:color w:val="auto"/>
          <w:kern w:val="44"/>
          <w:sz w:val="44"/>
          <w:szCs w:val="44"/>
          <w:lang w:val="en-US" w:eastAsia="zh-CN" w:bidi="ar-SA"/>
        </w:rPr>
        <w:t>国务院应对新型冠状病毒感染的肺炎疫情联防联控机制关于进一步做好农村地区新型冠状病毒感染的肺炎疫情防控工作的通知</w:t>
      </w:r>
      <w:bookmarkEnd w:id="355"/>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kern w:val="0"/>
          <w:sz w:val="32"/>
          <w:szCs w:val="32"/>
          <w:u w:val="none"/>
          <w:lang w:val="en-US" w:eastAsia="zh-CN"/>
        </w:rPr>
      </w:pP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kern w:val="0"/>
          <w:sz w:val="32"/>
          <w:szCs w:val="32"/>
          <w:u w:val="none"/>
          <w:lang w:val="en-US" w:eastAsia="zh-CN"/>
        </w:rPr>
      </w:pPr>
      <w:r>
        <w:rPr>
          <w:rFonts w:hint="eastAsia" w:ascii="楷体" w:hAnsi="楷体" w:eastAsia="楷体" w:cs="楷体"/>
          <w:i w:val="0"/>
          <w:caps w:val="0"/>
          <w:color w:val="auto"/>
          <w:spacing w:val="0"/>
          <w:kern w:val="0"/>
          <w:sz w:val="32"/>
          <w:szCs w:val="32"/>
          <w:u w:val="none"/>
          <w:lang w:val="en-US" w:eastAsia="zh-CN"/>
        </w:rPr>
        <w:t>肺炎机制发〔2020〕14号</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left"/>
        <w:textAlignment w:val="auto"/>
        <w:rPr>
          <w:rFonts w:hint="eastAsia" w:ascii="楷体" w:hAnsi="楷体" w:eastAsia="楷体" w:cs="楷体"/>
          <w:i w:val="0"/>
          <w:caps w:val="0"/>
          <w:color w:val="auto"/>
          <w:spacing w:val="0"/>
          <w:kern w:val="0"/>
          <w:sz w:val="32"/>
          <w:szCs w:val="32"/>
          <w:u w:val="none"/>
          <w:lang w:val="en-US" w:eastAsia="zh-CN"/>
        </w:rPr>
      </w:pPr>
      <w:r>
        <w:rPr>
          <w:rFonts w:hint="eastAsia" w:ascii="楷体" w:hAnsi="楷体" w:eastAsia="楷体" w:cs="楷体"/>
          <w:i w:val="0"/>
          <w:caps w:val="0"/>
          <w:color w:val="auto"/>
          <w:spacing w:val="0"/>
          <w:kern w:val="0"/>
          <w:sz w:val="32"/>
          <w:szCs w:val="32"/>
          <w:u w:val="none"/>
          <w:lang w:val="en-US" w:eastAsia="zh-CN"/>
        </w:rPr>
        <w:t> </w:t>
      </w:r>
    </w:p>
    <w:p>
      <w:pPr>
        <w:widowControl w:val="0"/>
        <w:wordWrap/>
        <w:overflowPunct w:val="0"/>
        <w:spacing w:beforeAutospacing="0" w:afterAutospacing="0" w:line="560" w:lineRule="exact"/>
        <w:textAlignment w:val="auto"/>
        <w:rPr>
          <w:rFonts w:hint="eastAsia" w:ascii="仿宋" w:hAnsi="仿宋" w:eastAsia="仿宋" w:cs="仿宋"/>
          <w:i w:val="0"/>
          <w:caps w:val="0"/>
          <w:color w:val="auto"/>
          <w:spacing w:val="0"/>
          <w:sz w:val="32"/>
          <w:szCs w:val="32"/>
          <w:u w:val="none"/>
        </w:rPr>
      </w:pPr>
      <w:r>
        <w:rPr>
          <w:rFonts w:hint="eastAsia" w:ascii="仿宋" w:hAnsi="仿宋" w:eastAsia="仿宋" w:cs="仿宋"/>
          <w:i w:val="0"/>
          <w:caps w:val="0"/>
          <w:color w:val="auto"/>
          <w:spacing w:val="0"/>
          <w:sz w:val="32"/>
          <w:szCs w:val="32"/>
          <w:u w:val="none"/>
        </w:rPr>
        <w:t>各省、自治区、直辖市及新疆生产建设兵团应对新型冠状病毒感染的肺炎疫情联防联控机制（领导小组、指挥部）：</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新型冠状病毒感染的肺炎疫情发生以来，党中央、国务院高度重视，习近平总书记先后作出一系列重要指示批示。当前，疫情防控正处于关键期，农村防疫工作是当前防控工作重点之一，迫切需要采取更加有力有序、科学周密举措，防止疫情在农村地区扩散。为贯彻落实中央政治局常委会会议、中央应对新型冠状病毒感染的肺炎疫情工作领导小组会议和国务院有关会议部署安排，进一步做好农村地区新型冠状病毒感染的肺炎疫情防控工作，现就有关事项通知如下：</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一、充分认识做好农村地区疫情防控工作的重要性紧迫性。习近平总书记高度重视疫情防控工作，强调要把人民群众生命安全和身体健康放在第一位，把疫情防控工作作为当前最重要的工作来抓。李克强总理指出，要高度重视农村疫情防控。我国农村地区医疗卫生条件薄弱，农民工大批返乡可能增加疫情发生的风险。各级党委政府特别是县、乡党委政府，要认真学习领会习近平总书记重要指示精神，贯彻落实中央决策部署，增强“四个意识”、坚定“四个自信”、做到“两个维护”，充分认识农村地区疫情防控的重要性、复杂性和严峻性，提高政治站位，强化责任担当，积极履职尽责，全力以赴推动各项防控措施在农村落地落实，坚决打赢农村疫情防控阻击战。</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二、压实县乡党委政府和村“两委”责任。各地党委政府要在应对疫情工作领导小组和联防联控工作机制下，成立农村疫情防控专班，强化统一指挥调度，坚持农村和城市防控一体部署、一体推进，切实保障农村疫情防控工作物资、资金和人员需要。县、乡党委政府要把主要精力放在抓农村疫情防控上，充分发挥基层党组织、村民自治组织作用，引导动员广大农民群众积极参与群防群控，形成防控合力。</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三、充分发挥农村基层医疗卫生机构和村医作用。在县级卫生健康行政部门领导和疾控等专业机构指导下，乡镇卫生院、村卫生室人员要做好农村地区的筛查、医学追踪、预检分诊和转诊，实行日报告制度。发现发热患者和来自疫情发生地区的疑似感染者要及时转诊至上级医院发热门诊，分级分类做好防护和信息登记并按时上报。协助追踪、督促来自疫情发生地区和确诊病例、疑似病例的密切接触者，落实居家医学观察措施。基层党委政府要抓好农村地区消毒用品、口罩和防护服等防护用品、体温计等的调拨储备，确保农村基层医疗卫生机构物资供应。通过视频培训、发放技术指南等方式，加大对县乡村医疗卫生人员培训力度，提升疾病识别、初步处理、感染控制和防护能力。对人力不足的卫生院、卫生室要及时安排支持、支援人员，确保工作任务落实到位。</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四、强化返乡人员、流动人口健康管理。乡镇卫生院、村医协助做好对返乡人员、流动人口的追踪、筛查，加强健康管理。加强对武汉等重点疫情发生地区返回人员排查、登记、随访，做好健康状况监测，了解是否有发热、咳嗽等不适症状，做好登记，落实居家观察等措施，发现异常情况及时报告处置。督促休闲农业、农村旅游经营主体落实防控责任和防控措施，确保游客和工作人员健康安全。</w:t>
      </w:r>
      <w:r>
        <w:rPr>
          <w:rFonts w:hint="eastAsia" w:ascii="仿宋" w:hAnsi="仿宋" w:eastAsia="仿宋" w:cs="仿宋"/>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五、加强防控工作宣传引导。通过循环播放广播、编印宣传资料、印发倡议书和公开信、电话微信通知等多种方式，加强农村地区防控信息通报和防疫知识宣传，增强农民群众健康意识、防病意识，提高防病能力。结合村庄清洁行动，教育引导农民群众养成戴口罩、勤洗手等健康生活方式。积极倡导节庆文明新风，停办庙会集市、游园节庆等公众活动，劝说农民群众不大办婚丧嫁娶，尽量少摆席、少串门、少走动，避免人群聚集，降低疫情传播风险。</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国务院应对新型冠状病毒感染的</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肺炎疫情联防联控机制</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2020年1月30日 </w:t>
      </w:r>
    </w:p>
    <w:p>
      <w:pPr>
        <w:widowControl w:val="0"/>
        <w:wordWrap/>
        <w:spacing w:before="0" w:line="560" w:lineRule="exact"/>
        <w:ind w:firstLine="720" w:firstLineChars="200"/>
        <w:jc w:val="both"/>
        <w:textAlignment w:val="auto"/>
        <w:rPr>
          <w:rFonts w:hint="eastAsia" w:ascii="微软雅黑" w:hAnsi="微软雅黑" w:eastAsia="微软雅黑" w:cs="微软雅黑"/>
          <w:i w:val="0"/>
          <w:caps w:val="0"/>
          <w:color w:val="auto"/>
          <w:spacing w:val="0"/>
          <w:kern w:val="2"/>
          <w:sz w:val="36"/>
          <w:szCs w:val="36"/>
          <w:lang w:val="en-US" w:eastAsia="zh-CN" w:bidi="ar-SA"/>
        </w:rPr>
      </w:pPr>
    </w:p>
    <w:p>
      <w:pPr>
        <w:rPr>
          <w:rFonts w:hint="eastAsia" w:ascii="Times New Roman" w:hAnsi="Times New Roman" w:eastAsia="宋体"/>
          <w:b w:val="0"/>
          <w:color w:val="auto"/>
          <w:lang w:val="en-US" w:eastAsia="zh-CN"/>
        </w:rPr>
      </w:pPr>
      <w:r>
        <w:rPr>
          <w:rFonts w:hint="eastAsia" w:ascii="Times New Roman" w:hAnsi="Times New Roman" w:eastAsia="宋体"/>
          <w:b w:val="0"/>
          <w:color w:val="auto"/>
          <w:lang w:val="en-US" w:eastAsia="zh-CN"/>
        </w:rPr>
        <w:br w:type="page"/>
      </w:r>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56" w:name="_Toc26746"/>
      <w:r>
        <w:rPr>
          <w:rFonts w:hint="eastAsia" w:ascii="Times New Roman" w:hAnsi="Times New Roman" w:eastAsia="宋体"/>
          <w:b w:val="0"/>
          <w:color w:val="auto"/>
          <w:lang w:val="en-US" w:eastAsia="zh-CN"/>
        </w:rPr>
        <w:t>国家卫生健康委基层司</w:t>
      </w:r>
      <w:bookmarkEnd w:id="356"/>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57" w:name="_Toc25202"/>
      <w:r>
        <w:rPr>
          <w:rFonts w:hint="eastAsia" w:ascii="Times New Roman" w:hAnsi="Times New Roman" w:eastAsia="宋体"/>
          <w:b w:val="0"/>
          <w:color w:val="auto"/>
          <w:lang w:val="en-US" w:eastAsia="zh-CN"/>
        </w:rPr>
        <w:t>关于进一步做好基层医疗卫生机构防控新型</w:t>
      </w:r>
      <w:bookmarkEnd w:id="357"/>
    </w:p>
    <w:p>
      <w:pPr>
        <w:pStyle w:val="4"/>
        <w:wordWrap/>
        <w:spacing w:before="0" w:after="0" w:line="560" w:lineRule="exact"/>
        <w:jc w:val="center"/>
        <w:textAlignment w:val="auto"/>
        <w:rPr>
          <w:rFonts w:hint="eastAsia" w:ascii="Times New Roman" w:hAnsi="Times New Roman" w:eastAsia="宋体"/>
          <w:b w:val="0"/>
          <w:color w:val="auto"/>
          <w:lang w:val="en-US" w:eastAsia="zh-CN"/>
        </w:rPr>
      </w:pPr>
      <w:bookmarkStart w:id="358" w:name="_Toc1778"/>
      <w:r>
        <w:rPr>
          <w:rFonts w:hint="eastAsia" w:ascii="Times New Roman" w:hAnsi="Times New Roman" w:eastAsia="宋体"/>
          <w:b w:val="0"/>
          <w:color w:val="auto"/>
          <w:lang w:val="en-US" w:eastAsia="zh-CN"/>
        </w:rPr>
        <w:t>冠状病毒感染的肺炎疫情工作的通知</w:t>
      </w:r>
      <w:bookmarkEnd w:id="335"/>
      <w:bookmarkEnd w:id="336"/>
      <w:bookmarkEnd w:id="337"/>
      <w:bookmarkEnd w:id="338"/>
      <w:bookmarkEnd w:id="339"/>
      <w:bookmarkEnd w:id="340"/>
      <w:bookmarkEnd w:id="341"/>
      <w:bookmarkEnd w:id="342"/>
      <w:bookmarkEnd w:id="343"/>
      <w:bookmarkEnd w:id="358"/>
    </w:p>
    <w:p>
      <w:pPr>
        <w:widowControl w:val="0"/>
        <w:wordWrap/>
        <w:overflowPunct w:val="0"/>
        <w:adjustRightInd/>
        <w:snapToGrid/>
        <w:spacing w:beforeAutospacing="0" w:afterAutospacing="0" w:line="560" w:lineRule="exact"/>
        <w:ind w:right="0"/>
        <w:jc w:val="center"/>
        <w:textAlignment w:val="auto"/>
        <w:outlineLvl w:val="9"/>
        <w:rPr>
          <w:rFonts w:ascii="仿宋" w:hAnsi="仿宋" w:eastAsia="仿宋" w:cs="仿宋"/>
          <w:i w:val="0"/>
          <w:caps w:val="0"/>
          <w:color w:val="auto"/>
          <w:spacing w:val="0"/>
          <w:sz w:val="32"/>
          <w:szCs w:val="32"/>
        </w:rPr>
      </w:pPr>
    </w:p>
    <w:p>
      <w:pPr>
        <w:widowControl w:val="0"/>
        <w:wordWrap/>
        <w:overflowPunct w:val="0"/>
        <w:adjustRightInd/>
        <w:snapToGrid/>
        <w:spacing w:beforeAutospacing="0" w:afterAutospacing="0" w:line="560" w:lineRule="exact"/>
        <w:ind w:right="0"/>
        <w:jc w:val="center"/>
        <w:textAlignment w:val="auto"/>
        <w:outlineLvl w:val="9"/>
        <w:rPr>
          <w:rFonts w:hint="eastAsia" w:ascii="楷体" w:hAnsi="楷体" w:eastAsia="楷体" w:cs="楷体"/>
          <w:i w:val="0"/>
          <w:caps w:val="0"/>
          <w:color w:val="auto"/>
          <w:spacing w:val="0"/>
          <w:sz w:val="32"/>
          <w:szCs w:val="32"/>
        </w:rPr>
      </w:pPr>
      <w:r>
        <w:rPr>
          <w:rFonts w:hint="eastAsia" w:ascii="楷体" w:hAnsi="楷体" w:eastAsia="楷体" w:cs="楷体"/>
          <w:i w:val="0"/>
          <w:caps w:val="0"/>
          <w:color w:val="auto"/>
          <w:spacing w:val="0"/>
          <w:sz w:val="32"/>
          <w:szCs w:val="32"/>
        </w:rPr>
        <w:t>国卫基层运行便函〔2020〕1号</w:t>
      </w:r>
    </w:p>
    <w:p>
      <w:pPr>
        <w:widowControl w:val="0"/>
        <w:wordWrap/>
        <w:spacing w:before="0" w:line="560" w:lineRule="exact"/>
        <w:ind w:firstLine="640" w:firstLineChars="200"/>
        <w:jc w:val="both"/>
        <w:textAlignment w:val="auto"/>
        <w:rPr>
          <w:rFonts w:ascii="仿宋" w:hAnsi="仿宋" w:eastAsia="仿宋" w:cs="仿宋"/>
          <w:i w:val="0"/>
          <w:caps w:val="0"/>
          <w:color w:val="auto"/>
          <w:spacing w:val="0"/>
          <w:kern w:val="2"/>
          <w:sz w:val="32"/>
          <w:szCs w:val="32"/>
          <w:lang w:val="en-US" w:eastAsia="zh-CN" w:bidi="ar-SA"/>
        </w:rPr>
      </w:pPr>
    </w:p>
    <w:p>
      <w:pPr>
        <w:widowControl w:val="0"/>
        <w:wordWrap/>
        <w:overflowPunct w:val="0"/>
        <w:spacing w:beforeAutospacing="0" w:afterAutospacing="0" w:line="560" w:lineRule="exact"/>
        <w:textAlignment w:val="auto"/>
        <w:rPr>
          <w:rFonts w:ascii="仿宋" w:hAnsi="仿宋" w:eastAsia="仿宋" w:cs="仿宋"/>
          <w:i w:val="0"/>
          <w:caps w:val="0"/>
          <w:color w:val="auto"/>
          <w:spacing w:val="0"/>
          <w:sz w:val="32"/>
          <w:szCs w:val="32"/>
          <w:u w:val="none"/>
        </w:rPr>
      </w:pPr>
      <w:r>
        <w:rPr>
          <w:rFonts w:hint="eastAsia" w:ascii="宋体" w:hAnsi="宋体" w:eastAsia="仿宋_GB2312" w:cs="仿宋_GB2312"/>
          <w:color w:val="auto"/>
          <w:kern w:val="2"/>
          <w:sz w:val="32"/>
          <w:szCs w:val="32"/>
          <w:lang w:val="en-US" w:eastAsia="zh-CN" w:bidi="ar-SA"/>
        </w:rPr>
        <w:t>各省、自治区、直辖市及新疆生产建设兵团卫生健康委基层处：</w:t>
      </w:r>
      <w:r>
        <w:rPr>
          <w:rFonts w:hint="eastAsia" w:ascii="宋体" w:hAnsi="宋体" w:eastAsia="仿宋_GB2312" w:cs="仿宋_GB2312"/>
          <w:color w:val="auto"/>
          <w:kern w:val="2"/>
          <w:sz w:val="32"/>
          <w:szCs w:val="32"/>
          <w:lang w:val="en-US" w:eastAsia="zh-CN" w:bidi="ar-SA"/>
        </w:rPr>
        <w:br w:type="textWrapping"/>
      </w:r>
      <w:r>
        <w:rPr>
          <w:rFonts w:hint="eastAsia" w:ascii="宋体" w:hAnsi="宋体" w:eastAsia="仿宋_GB2312" w:cs="仿宋_GB2312"/>
          <w:color w:val="auto"/>
          <w:kern w:val="2"/>
          <w:sz w:val="32"/>
          <w:szCs w:val="32"/>
          <w:lang w:val="en-US" w:eastAsia="zh-CN" w:bidi="ar-SA"/>
        </w:rPr>
        <w:t>　　根据《关于加强新型冠状病毒感染的肺炎疫情社区防控工作的通知》（肺炎机制发〔2020〕5号）、《关于进一步做好农村地区新型冠状病毒感染的肺炎疫情防控工作的通知》（肺炎机制发〔2020〕14号）、《关于进一步动员城乡社区组织开展新型冠状病毒感染的肺炎疫情防控工作的紧急通知》（民发〔2020〕9号）等文件精神，为进一步做好基层医疗卫生机构防控新型冠状病毒感染的肺炎疫情等相关工作，切实保障人民群众和基层医务人员生命健康安全，现将有关工作通知如下：</w:t>
      </w:r>
      <w:r>
        <w:rPr>
          <w:rFonts w:hint="eastAsia" w:ascii="宋体" w:hAnsi="宋体" w:eastAsia="仿宋_GB2312" w:cs="仿宋_GB2312"/>
          <w:color w:val="auto"/>
          <w:kern w:val="2"/>
          <w:sz w:val="32"/>
          <w:szCs w:val="32"/>
          <w:lang w:val="en-US" w:eastAsia="zh-CN" w:bidi="ar-SA"/>
        </w:rPr>
        <w:br w:type="textWrapping"/>
      </w:r>
      <w:r>
        <w:rPr>
          <w:rFonts w:ascii="黑体" w:hAnsi="宋体" w:eastAsia="黑体" w:cs="黑体"/>
          <w:i w:val="0"/>
          <w:caps w:val="0"/>
          <w:color w:val="auto"/>
          <w:spacing w:val="0"/>
          <w:sz w:val="32"/>
          <w:szCs w:val="32"/>
          <w:u w:val="none"/>
        </w:rPr>
        <w:t>　　一、坚决做好疫情防控工作</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w:t>
      </w:r>
      <w:r>
        <w:rPr>
          <w:rFonts w:hint="eastAsia" w:ascii="宋体" w:hAnsi="宋体" w:eastAsia="仿宋_GB2312" w:cs="仿宋_GB2312"/>
          <w:color w:val="auto"/>
          <w:sz w:val="32"/>
          <w:szCs w:val="32"/>
          <w:lang w:val="en-US" w:eastAsia="zh-CN"/>
        </w:rPr>
        <w:t>社区卫生服务中心（站）和乡镇卫生院、村卫生室（以下简称基层医疗卫生机构）要严格按照《关于加强基层医疗卫生机构新型冠状病毒感染的肺炎疫情防控工作的通知》（国卫办基层函〔2020〕72号）等文件要求，在地方党委政府、卫生健康行政部门的领导下，在疾控机构和其他专业机构的指导下，积极配合乡镇（街道）、村（居）委会做好城市社区、乡村和城乡结合部的疫情防控工作。基层医疗卫生机构要按照国家卫生健康委印发的新型冠状病毒感染的肺炎疫情防控相关技术规范和指南等要求，严格执行相关工作规范，科学开展宣传教育，扎实做好社区</w:t>
      </w:r>
      <w:r>
        <w:rPr>
          <w:rFonts w:hint="eastAsia" w:ascii="仿宋" w:hAnsi="仿宋" w:eastAsia="仿宋" w:cs="仿宋"/>
          <w:i w:val="0"/>
          <w:caps w:val="0"/>
          <w:color w:val="auto"/>
          <w:spacing w:val="0"/>
          <w:sz w:val="32"/>
          <w:szCs w:val="32"/>
          <w:u w:val="none"/>
        </w:rPr>
        <w:t>防控。基层医疗卫生机构要积极做好配合，对辖区居民实行“网格化”健康管理，发挥好家</w:t>
      </w:r>
      <w:r>
        <w:rPr>
          <w:rFonts w:hint="eastAsia" w:ascii="宋体" w:hAnsi="宋体" w:eastAsia="仿宋_GB2312" w:cs="仿宋_GB2312"/>
          <w:color w:val="auto"/>
          <w:sz w:val="32"/>
          <w:szCs w:val="32"/>
          <w:lang w:val="en-US" w:eastAsia="zh-CN"/>
        </w:rPr>
        <w:t>庭医生的作用，同时开展“地毯式”排查，重点强化对返乡（城</w:t>
      </w:r>
      <w:r>
        <w:rPr>
          <w:rFonts w:hint="eastAsia" w:ascii="仿宋" w:hAnsi="仿宋" w:eastAsia="仿宋" w:cs="仿宋"/>
          <w:i w:val="0"/>
          <w:caps w:val="0"/>
          <w:color w:val="auto"/>
          <w:spacing w:val="0"/>
          <w:sz w:val="32"/>
          <w:szCs w:val="32"/>
          <w:u w:val="none"/>
        </w:rPr>
        <w:t>）人员和流动人口的健康管理，织密织牢疫情防控的“网底”。</w:t>
      </w:r>
      <w:r>
        <w:rPr>
          <w:rFonts w:hint="eastAsia" w:ascii="仿宋" w:hAnsi="仿宋" w:eastAsia="仿宋" w:cs="仿宋"/>
          <w:i w:val="0"/>
          <w:caps w:val="0"/>
          <w:color w:val="auto"/>
          <w:spacing w:val="0"/>
          <w:sz w:val="32"/>
          <w:szCs w:val="32"/>
          <w:u w:val="none"/>
        </w:rPr>
        <w:br w:type="textWrapping"/>
      </w:r>
      <w:r>
        <w:rPr>
          <w:rFonts w:hint="eastAsia" w:ascii="黑体" w:hAnsi="宋体" w:eastAsia="黑体" w:cs="黑体"/>
          <w:i w:val="0"/>
          <w:caps w:val="0"/>
          <w:color w:val="auto"/>
          <w:spacing w:val="0"/>
          <w:sz w:val="32"/>
          <w:szCs w:val="32"/>
          <w:u w:val="none"/>
        </w:rPr>
        <w:t>　　二、不断强化疫情防控知识培训</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各地要加强学习、宣传和教育，针对疫情的变化并结合防控知识的更新，及时更新培训内容和最新进展，既通过培训加快提高基层防控疫情的能力，又使广大</w:t>
      </w:r>
      <w:r>
        <w:rPr>
          <w:rFonts w:hint="eastAsia" w:ascii="宋体" w:hAnsi="宋体" w:eastAsia="仿宋_GB2312" w:cs="仿宋_GB2312"/>
          <w:color w:val="auto"/>
          <w:sz w:val="32"/>
          <w:szCs w:val="32"/>
          <w:lang w:val="en-US" w:eastAsia="zh-CN"/>
        </w:rPr>
        <w:t>基层</w:t>
      </w:r>
      <w:r>
        <w:rPr>
          <w:rFonts w:hint="eastAsia" w:ascii="仿宋" w:hAnsi="仿宋" w:eastAsia="仿宋" w:cs="仿宋"/>
          <w:i w:val="0"/>
          <w:caps w:val="0"/>
          <w:color w:val="auto"/>
          <w:spacing w:val="0"/>
          <w:sz w:val="32"/>
          <w:szCs w:val="32"/>
          <w:u w:val="none"/>
        </w:rPr>
        <w:t>医务人员充分认识新型冠状病毒感染的肺炎疫情的危害性。当前，各地应主要利用线上培训的方式，加强对社区卫生服务中心（站）和乡镇卫生院医生、护士、管理人员以及乡村医生等全员培训。各地要及时将培训情况报送我司。</w:t>
      </w:r>
      <w:r>
        <w:rPr>
          <w:rFonts w:hint="eastAsia" w:ascii="仿宋" w:hAnsi="仿宋" w:eastAsia="仿宋" w:cs="仿宋"/>
          <w:i w:val="0"/>
          <w:caps w:val="0"/>
          <w:color w:val="auto"/>
          <w:spacing w:val="0"/>
          <w:sz w:val="32"/>
          <w:szCs w:val="32"/>
          <w:u w:val="none"/>
        </w:rPr>
        <w:br w:type="textWrapping"/>
      </w:r>
      <w:r>
        <w:rPr>
          <w:rFonts w:hint="eastAsia" w:ascii="黑体" w:hAnsi="宋体" w:eastAsia="黑体" w:cs="黑体"/>
          <w:i w:val="0"/>
          <w:caps w:val="0"/>
          <w:color w:val="auto"/>
          <w:spacing w:val="0"/>
          <w:sz w:val="32"/>
          <w:szCs w:val="32"/>
          <w:u w:val="none"/>
        </w:rPr>
        <w:t>　　三、切实做好基层医疗卫生机构感染控制</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各地要针对新型冠状病毒感染的肺炎疫情特点，健全基层医疗卫生机构感染控制管理制度，特别要指导基层医务人员做好个人防护。基层医务人员要提高自我保护意识，在开展防治、预检分诊、医学观察等过程中，应严格按照医务人员分级防护标准和相关技术规范做好个人防护、手卫生等防护工作，严格开展基层医疗卫生机构内部消毒、环境卫生工作，严防基层医务人员感染事件发生。各地要充分发挥县域医共体的作用，对防控力量薄弱的基层医疗卫生机构及时安排支持、支援人员，充实基层防控力量；要加强对设置发热门诊的基层医疗卫生机构的技术指导，规范发热门诊设置和流程，切实有效提高基层综合防控能力。</w:t>
      </w:r>
      <w:r>
        <w:rPr>
          <w:rFonts w:hint="eastAsia" w:ascii="仿宋" w:hAnsi="仿宋" w:eastAsia="仿宋" w:cs="仿宋"/>
          <w:i w:val="0"/>
          <w:caps w:val="0"/>
          <w:color w:val="auto"/>
          <w:spacing w:val="0"/>
          <w:sz w:val="32"/>
          <w:szCs w:val="32"/>
          <w:u w:val="none"/>
        </w:rPr>
        <w:br w:type="textWrapping"/>
      </w:r>
      <w:r>
        <w:rPr>
          <w:rFonts w:hint="eastAsia" w:ascii="黑体" w:hAnsi="宋体" w:eastAsia="黑体" w:cs="黑体"/>
          <w:i w:val="0"/>
          <w:caps w:val="0"/>
          <w:color w:val="auto"/>
          <w:spacing w:val="0"/>
          <w:sz w:val="32"/>
          <w:szCs w:val="32"/>
          <w:u w:val="none"/>
        </w:rPr>
        <w:t>　　四、进一步加大保障力度</w:t>
      </w:r>
      <w:r>
        <w:rPr>
          <w:rFonts w:hint="eastAsia" w:ascii="黑体" w:hAnsi="宋体" w:eastAsia="黑体" w:cs="黑体"/>
          <w:i w:val="0"/>
          <w:caps w:val="0"/>
          <w:color w:val="auto"/>
          <w:spacing w:val="0"/>
          <w:sz w:val="32"/>
          <w:szCs w:val="32"/>
          <w:u w:val="none"/>
        </w:rPr>
        <w:br w:type="textWrapping"/>
      </w:r>
      <w:r>
        <w:rPr>
          <w:rFonts w:hint="eastAsia" w:ascii="仿宋" w:hAnsi="仿宋" w:eastAsia="仿宋" w:cs="仿宋"/>
          <w:i w:val="0"/>
          <w:caps w:val="0"/>
          <w:color w:val="auto"/>
          <w:spacing w:val="0"/>
          <w:sz w:val="32"/>
          <w:szCs w:val="32"/>
          <w:u w:val="none"/>
        </w:rPr>
        <w:t>　　各级卫生健康行政部门要进一步提高认识，加强对基层医疗卫生机构开展新型冠状病毒感染的肺炎疫情防控工作的指导；要主动加强协调，为基层医疗卫生机构充足配备防控工作必需的检查、消毒和防护等用品或设备；要按照有关要求，将2020年人均基本公共卫生服务经费补助标准中新增5元全部落实到乡村和城市社区，统筹用于基层医疗卫生机构开展疫情防控的人员经费、公用经费等支出，确保相关补助经费及时足额到位。各地要深入挖掘和总结基层医疗卫生机构在防控疫情中涌现的先进事迹，采取多种渠道加大宣传报道力度，并及时将工作进展和典型案例报送我司。</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both"/>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 </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国家卫生健康委基层司</w:t>
      </w:r>
    </w:p>
    <w:p>
      <w:pPr>
        <w:widowControl/>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kern w:val="0"/>
          <w:sz w:val="32"/>
          <w:szCs w:val="32"/>
          <w:u w:val="none"/>
          <w:lang w:val="en-US" w:eastAsia="zh-CN"/>
        </w:rPr>
      </w:pPr>
      <w:r>
        <w:rPr>
          <w:rFonts w:hint="eastAsia" w:ascii="仿宋" w:hAnsi="仿宋" w:eastAsia="仿宋" w:cs="仿宋"/>
          <w:i w:val="0"/>
          <w:caps w:val="0"/>
          <w:color w:val="auto"/>
          <w:spacing w:val="0"/>
          <w:kern w:val="0"/>
          <w:sz w:val="32"/>
          <w:szCs w:val="32"/>
          <w:u w:val="none"/>
          <w:lang w:val="en-US" w:eastAsia="zh-CN"/>
        </w:rPr>
        <w:t>2020年1月31日</w:t>
      </w:r>
    </w:p>
    <w:p>
      <w:pPr>
        <w:widowControl w:val="0"/>
        <w:wordWrap/>
        <w:spacing w:before="0" w:line="560" w:lineRule="exact"/>
        <w:ind w:firstLine="640" w:firstLineChars="200"/>
        <w:jc w:val="both"/>
        <w:textAlignment w:val="auto"/>
        <w:rPr>
          <w:rFonts w:hint="eastAsia" w:ascii="仿宋" w:hAnsi="仿宋" w:eastAsia="仿宋" w:cs="仿宋"/>
          <w:i w:val="0"/>
          <w:caps w:val="0"/>
          <w:color w:val="484848"/>
          <w:spacing w:val="0"/>
          <w:kern w:val="2"/>
          <w:sz w:val="32"/>
          <w:szCs w:val="32"/>
          <w:lang w:val="en-US" w:eastAsia="zh-CN" w:bidi="ar-SA"/>
        </w:rPr>
      </w:pPr>
    </w:p>
    <w:p>
      <w:pPr>
        <w:widowControl w:val="0"/>
        <w:wordWrap/>
        <w:spacing w:before="0" w:line="560" w:lineRule="exact"/>
        <w:ind w:firstLine="640" w:firstLineChars="200"/>
        <w:jc w:val="both"/>
        <w:textAlignment w:val="auto"/>
        <w:rPr>
          <w:rFonts w:hint="eastAsia" w:ascii="仿宋" w:hAnsi="仿宋" w:eastAsia="仿宋" w:cs="仿宋"/>
          <w:i w:val="0"/>
          <w:caps w:val="0"/>
          <w:color w:val="484848"/>
          <w:spacing w:val="0"/>
          <w:kern w:val="2"/>
          <w:sz w:val="32"/>
          <w:szCs w:val="32"/>
          <w:lang w:val="en-US" w:eastAsia="zh-CN" w:bidi="ar-SA"/>
        </w:rPr>
      </w:pPr>
    </w:p>
    <w:p>
      <w:pPr>
        <w:widowControl w:val="0"/>
        <w:wordWrap/>
        <w:spacing w:before="0" w:line="560" w:lineRule="exact"/>
        <w:ind w:firstLine="640" w:firstLineChars="200"/>
        <w:jc w:val="both"/>
        <w:textAlignment w:val="auto"/>
        <w:rPr>
          <w:rFonts w:hint="eastAsia" w:ascii="仿宋" w:hAnsi="仿宋" w:eastAsia="仿宋" w:cs="仿宋"/>
          <w:i w:val="0"/>
          <w:caps w:val="0"/>
          <w:color w:val="484848"/>
          <w:spacing w:val="0"/>
          <w:kern w:val="2"/>
          <w:sz w:val="32"/>
          <w:szCs w:val="32"/>
          <w:lang w:val="en-US" w:eastAsia="zh-CN" w:bidi="ar-SA"/>
        </w:rPr>
      </w:pPr>
    </w:p>
    <w:p>
      <w:pPr>
        <w:rPr>
          <w:rFonts w:hint="eastAsia" w:ascii="Times New Roman" w:hAnsi="Times New Roman" w:eastAsia="宋体" w:cs="Times New Roman"/>
          <w:bCs/>
          <w:color w:val="auto"/>
          <w:kern w:val="44"/>
          <w:sz w:val="44"/>
          <w:szCs w:val="44"/>
          <w:lang w:val="en-US" w:eastAsia="zh-CN" w:bidi="ar-SA"/>
        </w:rPr>
      </w:pPr>
      <w:bookmarkStart w:id="359" w:name="_Toc2896"/>
      <w:bookmarkStart w:id="360" w:name="_Toc23147"/>
      <w:bookmarkStart w:id="361" w:name="_Toc16460"/>
      <w:bookmarkStart w:id="362" w:name="_Toc17925"/>
      <w:bookmarkStart w:id="363" w:name="_Toc6036"/>
      <w:bookmarkStart w:id="364" w:name="_Toc23521"/>
      <w:bookmarkStart w:id="365" w:name="_Toc11078"/>
      <w:bookmarkStart w:id="366" w:name="_Toc31779"/>
      <w:bookmarkStart w:id="367" w:name="_Toc11587"/>
      <w:r>
        <w:rPr>
          <w:rFonts w:hint="eastAsia" w:ascii="Times New Roman" w:hAnsi="Times New Roman" w:eastAsia="宋体" w:cs="Times New Roman"/>
          <w:bCs/>
          <w:color w:val="auto"/>
          <w:kern w:val="44"/>
          <w:sz w:val="44"/>
          <w:szCs w:val="44"/>
          <w:lang w:val="en-US" w:eastAsia="zh-CN" w:bidi="ar-SA"/>
        </w:rPr>
        <w:br w:type="page"/>
      </w:r>
    </w:p>
    <w:bookmarkEnd w:id="359"/>
    <w:bookmarkEnd w:id="360"/>
    <w:bookmarkEnd w:id="361"/>
    <w:bookmarkEnd w:id="362"/>
    <w:bookmarkEnd w:id="363"/>
    <w:bookmarkEnd w:id="364"/>
    <w:bookmarkEnd w:id="365"/>
    <w:bookmarkEnd w:id="366"/>
    <w:bookmarkEnd w:id="367"/>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shd w:val="clear" w:color="090000" w:fill="FFFFFF"/>
        </w:rPr>
      </w:pPr>
      <w:bookmarkStart w:id="368" w:name="_Toc16617"/>
      <w:bookmarkStart w:id="369" w:name="_Toc11657"/>
      <w:bookmarkStart w:id="370" w:name="_Toc17625"/>
      <w:bookmarkStart w:id="371" w:name="_Toc2699"/>
      <w:bookmarkStart w:id="372" w:name="_Toc17951"/>
      <w:bookmarkStart w:id="373" w:name="_Toc5993"/>
      <w:bookmarkStart w:id="374" w:name="_Toc2455"/>
      <w:bookmarkStart w:id="375" w:name="_Toc24683"/>
      <w:bookmarkStart w:id="376" w:name="_Toc24779"/>
      <w:bookmarkStart w:id="377" w:name="_Toc20505"/>
      <w:bookmarkStart w:id="378" w:name="_Toc28421"/>
      <w:r>
        <w:rPr>
          <w:rFonts w:hint="eastAsia" w:ascii="宋体" w:hAnsi="宋体" w:eastAsia="宋体" w:cs="宋体"/>
          <w:b w:val="0"/>
          <w:bCs/>
          <w:i w:val="0"/>
          <w:caps w:val="0"/>
          <w:color w:val="333333"/>
          <w:spacing w:val="0"/>
          <w:sz w:val="44"/>
          <w:szCs w:val="44"/>
          <w:shd w:val="clear" w:color="090000" w:fill="FFFFFF"/>
          <w:lang w:val="en-US" w:eastAsia="zh-CN"/>
        </w:rPr>
        <w:t>中国人民银行 财政部 银保监会 证监会 外汇局</w:t>
      </w:r>
      <w:r>
        <w:rPr>
          <w:rFonts w:hint="eastAsia" w:ascii="宋体" w:hAnsi="宋体" w:eastAsia="宋体" w:cs="宋体"/>
          <w:b w:val="0"/>
          <w:bCs/>
          <w:i w:val="0"/>
          <w:caps w:val="0"/>
          <w:color w:val="333333"/>
          <w:spacing w:val="0"/>
          <w:sz w:val="44"/>
          <w:szCs w:val="44"/>
          <w:shd w:val="clear" w:color="090000" w:fill="FFFFFF"/>
        </w:rPr>
        <w:t>关于进一步强化金融支持防控新型冠状病毒感染肺炎疫情的通知</w:t>
      </w:r>
      <w:bookmarkEnd w:id="368"/>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br w:type="textWrapping"/>
      </w:r>
      <w:r>
        <w:rPr>
          <w:rFonts w:hint="eastAsia" w:ascii="楷体" w:hAnsi="楷体" w:eastAsia="楷体" w:cs="楷体"/>
          <w:i w:val="0"/>
          <w:caps w:val="0"/>
          <w:color w:val="333333"/>
          <w:spacing w:val="0"/>
          <w:sz w:val="32"/>
          <w:szCs w:val="32"/>
          <w:shd w:val="clear" w:color="070000" w:fill="FFFFFF"/>
        </w:rPr>
        <w:t>银发〔2020〕29号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新型冠状病毒感染的肺炎疫情发生以来，党中央、国务院高度重视，习近平总书记作出一系列重要指示。金融系统认真贯彻落实党中央、国务院决策部署，主动作为，确保金融服务畅通，支持各地疫情防控，发挥了积极作用。当前，疫情防控正处于关键阶段。为切实贯彻落实中共中央《关于加强党的领导、为打赢疫情防控阻击战提供坚强政治保证的通知》精神和中央应对新型冠状病毒感染肺炎疫情工作领导小组工作部署，进一步强化金融对疫情防控工作的支持，现就有关事宜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090000" w:fill="FFFFFF"/>
        </w:rPr>
        <w:t>一、保持流动性合理充裕，加大货币信贷支持力度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一）保持流动性合理充裕。人民银行继续强化预期引导，通过公开市场操作、常备借贷便利、再贷款、再贴现等多种货币政策工具，提供充足流动性，保持金融市场流动性合理充裕，维护货币市场利率平稳运行。人民银行分支机构对因春节假期调整受到影响的金融机构，根据实际情况适当提高2020年1月下旬存款准备金考核的容忍度。引导金融机构加大信贷投放支持实体经济，促进货币信贷合理增长。</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加大对疫情防控相关领域的信贷支持力度。在疫情防控期间，人民银行会同发展改革委、工业和信息化部对生产、运输和销售应对疫情使用的医用防护服、医用口罩、医用护目镜、新型冠状病毒检测试剂盒、负压救护车、消毒机、84消毒液、红外测温仪和相关药品等重要医用物资，以及重要生活物资的骨干企业实行名单制管理。人民银行通过专项再贷款向金融机构提供低成本资金，支持金融机构对名单内的企业提供优惠利率的信贷支持。中央财政对疫情防控重点保障企业给予贴息支持。金融机构要主动加强与有关医院、医疗科研单位和相关企业的服务对接，提供足额信贷资源，全力满足相关单位和企业卫生防疫、医药用品制造及采购、公共卫生基础设施建设、科研攻关、技术改造等方面的合理融资需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三）为受疫情影响较大的地区、行业和企业提供差异化优惠的金融服务。金融机构要通过调整区域融资政策、内部资金转移定价、实施差异化的绩效考核办法等措施，提升受疫情影响严重地区的金融供给能力。对受疫情影响较大的批发零售、住宿餐饮、物流运输、文化旅游等行业，以及有发展前景但受疫情影响暂遇困难的企业，特别是小微企业，不得盲目抽贷、断贷、压贷。对受疫情影响严重的企业到期还款困难的，可予以展期或续贷。通过适当下调贷款利率、增加信用贷款和中长期贷款等方式，支持相关企业战胜疫情灾害影响。各级政府性融资担保再担保机构应取消反担保要求，降低担保和再担保费。对受疫情影响严重地区的融资担保再担保机构，国家融资担保基金减半收取再担保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四）完善受疫情影响的社会民生领域的金融服务。对因感染新型肺炎住院治疗或隔离人员、疫情防控需要隔离观察人员、参加疫情防控工作人员以及受疫情影响暂时失去收入来源的人群，金融机构要在信贷政策上予以适当倾斜，灵活调整住房按揭、信用卡等个人信贷还款安排，合理延后还款期限。感染新型肺炎的个人创业担保贷款可展期一年，继续享受财政贴息支持。对感染新型肺炎或受疫情影响受损的出险理赔客户，金融机构要优先处理，适当扩展责任范围，应赔尽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五）提高疫情期间金融服务的效率。对受疫情影响较大领域和地区的融资需求，金融机构要建立、启动快速审批通道，简化业务流程，切实提高业务办理效率。在受到交通管制的地区，金融机构要创新工作方式，采取在就近网点办公、召开视频会议等方式尽快为企业办理审批放款等业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六）支持开发性、政策性银行加大信贷支持力度。国家开发银行、进出口银行、农业发展银行要结合自身业务范围，加强统筹协调，合理调整信贷安排，加大对市场化融资有困难的防疫单位和企业的生产研发、医药用品进口采购，以及重要生活物资供应企业的生产、运输和销售的资金支持力度，合理满足疫情防控的需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七）加强制造业、小微企业、民营企业等重点领域信贷支持。金融机构要围绕内部资源配置、激励考核安排等加强服务能力建设，继续加大对小微企业、民营企业支持力度，要保持贷款增速，切实落实综合融资成本压降要求。增加制造业中长期贷款投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（八）发挥金融租赁特色优势。对于在金融租赁公司办理疫情防控相关医疗设备的金融租赁业务，鼓励予以缓收或减收相关租金和利息，提供医疗设备租赁优惠金融服务。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二、合理调度金融资源，保障人民群众日常金融服务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九）保障基本金融服务畅通。金融机构要根据疫情防控工作需要，合理安排营业网点及营业时间，切实做好营业场所的清洁消毒，保障基本金融服务畅通。金融机构要加强全国范围特别是疫情严重地区的线上服务，引导企业和居民通过互联网、手机APP等线上方式办理金融业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加强流通中现金管理。合理调配现金资源，确保现金供应充足。加大对医院、居民社区以及应急建设项目等的现金供应，及时满足疫情物资采购相关单位和企业的大额现金需求。做好现金储存及业务办理场地的消毒工作。对外付出现金尽可能以新券为主，对收入的现金采取消毒措施后交存当地人民银行分支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一）确保支付清算通畅运行。人民银行根据需要，放开小额支付系统业务限额，延长大额支付系统、中央银行会计核算数据集中系统运行时间，支持金融机构线上办理人民币交存款等业务。人民银行分支机构、清算机构及银行业金融机构要做好各类支付清算系统、中央银行会计核算数据集中系统的正常安全运营，开通疫情防控专用通道，保障境内外救援和捐赠资金及时划拨到位、社会资金流转高效顺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二）建立银行账户防疫“绿色通道”。银行业金融机构要在风险可控的前提下，做好与防控疫情相关的银行账户服务工作，简化开户流程，加快业务办理。要积极开辟捐款“绿色通道”，确保疫情防控款项第一时间到达指定收款人账户。减免银行业金融机构通过人民银行支付系统办理防控疫情相关款项汇划费用。鼓励清算机构、银行业金融机构对向慈善机构账户或疫区专用账户的转账汇款业务、对疫区的取现业务减免服务手续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三）加大电子支付服务保障力度。支持银行业金融机构、非银行支付机构在疫情防控期间，采用远程视频、电话等方式办理商户准入审核和日常巡检，通过交易监测强化风险防控。鼓励清算机构、银行业金融机构和非银行支付机构对特定领域或区域特约商户实行支付服务手续费优惠。银行业金融机构、非银行支付机构要强化电子渠道服务保障，灵活调整相关业务限额，引导客户通过电子商业汇票系统、个人网上银行、企业网上银行、手机银行、支付服务APP等电子化渠道在线办理支付结算业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四）切实保障公众征信相关权益。人民银行分支机构和金融信用信息基础数据库接入机构要妥善安排征信查询服务，引导公众通过互联网、自助查询机进行征信查询。要合理调整逾期信用记录报送，对因感染新型肺炎住院治疗或隔离人员、疫情防控需要隔离观察人员和参加疫情防控工作人员，因疫情影响未能及时还款的，经接入机构认定，相关逾期贷款可以不作逾期记录报送，已经报送的予以调整。对受疫情影响暂时失去收入来源的个人和企业，可依调整后的还款安排，报送信用记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五）畅通国库紧急拨款通道。建立财库银协同工作机制，及时了解财政部门疫情防控资金拨付安排，随时做好资金拨付工作。加强对商业银行相关业务的指导，建立信息反馈机制，及时跟踪资金拨付情况。人民银行和商业银行确保资金汇划渠道畅通和国库业务相关系统运行安全稳定，构建疫情防控拨款“绿色通道”。各级国库部门要简化业务处理流程和手续，确保疫情防控资金及时、安全、准确拨付到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六）切实保障消费者合法权益。金融机构要树立负责任金融理念，对受疫情影响临时停业或调整营业时间的网点，要提前向社会公布并主动说明临近正常营业的网点。金融机构要充分利用线上等方式保持投诉渠道畅通，优化客户咨询、投诉处理流程，及时妥善处理疫情相关的金融咨询和投诉。金融机构要切实加强行业自律，维护市场秩序，不得利用疫情进行不当金融营销宣传。</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三、保障金融基础设施安全，维护金融市场平稳有序运行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七）加强金融基础设施服务保障。金融市场基础设施要从工作机制、人员配备、办公场所、系统运维、技术支持等方面提升服务保障能力，确保发行、交易、清算、结算等业务正常运转，尽可能实施全流程、全链条线上操作。要制定应急预案，对突发事件快速响应、高效处理。要加强与主管部门、市场机构、其他金融基础设施的沟通，保持业务系统联通顺畅。对受疫情影响较大的地区，要开设“绿色通道”，必要时提供特别服务安排，并降低服务收费标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八）稳妥开展金融市场相关业务。金融机构要合理调配人员，稳妥开展金融市场相关交易、清算、结算、发行、承销等工作，加强流动性管理与风险应对。要合理引导投资者预期，确保金融市场各项业务平稳有序开展。对受疫情影响较大地区的金融机构，要保持正常业务往来，加大支持力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九）提高债券发行等服务效率。中国银行间市场交易商协会、上海证券交易所、深圳证券交易所等要优化公司信用类债券发行工作流程，鼓励金融机构线上提交公司信用类债券的发行申报材料，远程办理备案、注册等，减少疫情传播风险。对募集资金主要用于疫情防控以及疫情较重地区金融机构和企业发行的金融债券、资产支持证券、公司信用类债券建立注册发行“绿色通道”，证券市场自律组织对拟投资于防疫相关医疗设备、疫苗药品生产研发企业的私募股权投资基金，建立登记备案“绿色通道”，切实提高服务效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灵活妥善调整企业信息披露等监管事项。上市公司、挂牌公司、公司债券发行人受疫情影响，在法定期限内披露2019年年报或2020年第一季度季报有困难的，证监会、证券交易所、全国中小企业股份转让系统要依法妥善安排。上市公司受疫情影响，难以按期披露业绩预告或业绩快报的，可向证券交易所申请延期办理；难以在原预约日期披露2019年年报的，可向证券交易所申请延期至2020年4月30日前披露。湖北省证券基金经营机构可向当地证监局申请延期办理年度报告的审计、披露和报备。受疫情影响较大的证券基金经营机构管理的公募基金或其他资产管理产品，管理人可向当地证监局申请延期办理年报审计和披露。对疫情严重地区的证券基金期货经营机构，适当放宽相关风控指标监管标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一）适当放宽资本市场相关业务办理时限。适当延长上市公司并购重组行政许可财务资料有效期和重组预案披露后发布召开股东大会通知的时限。如因受疫情影响确实不能按期更新财务资料或发出股东大会通知的，公司可在充分披露疫情对本次重组的具体影响后，申请财务资料有效期延长或股东大会通知时间延期1个月，最多可申请延期3次。疫情期间，对股票发行人的反馈意见回复时限、告知函回复时限、财务报告到期终止时限，以及已核发的再融资批文有效期，自本通知发布之日起暂缓计算。已取得债券发行许可，因疫情影响未能在许可有效期内完成发行的，可向证监会申请延期发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二）减免疫情严重地区公司上市等部分费用。免收湖北省上市公司、挂牌公司应向证券交易所、全国中小企业股份转让系统缴纳的2020年度上市年费和挂牌年费。免除湖北省期货公司应向期货交易所缴纳的2020年度会费和席位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四、建立“绿色通道”，切实提高外汇及跨境人民币业务办理效率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三）便利防疫物资进口。银行应当为疫情防控相关物资进口、捐赠等跨境人民币业务开辟“绿色通道”。对有关部门和地方政府所需的疫情防控物资进口，外汇局各分支机构要指导辖区内银行简化进口购付汇业务流程与材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（二十四）便捷资金入账和结汇。对于境内外因支援疫情防控汇入的外汇捐赠资金业务，银行可直接通过受赠单位已有的经常项目外汇结算账户办理，暂停实施需开立捐赠外汇账户的要求。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五）支持企业跨境融资防控疫情。企业办理与疫情防控相关的资本项目收入结汇支付时，无需事前、逐笔提交单证材料，由银行加强对企业资金使用真实性的事后检查。对疫情防控确有需要的，可取消企业借用外债限额等，并可线上申请外债登记，便利企业开展跨境融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六）支持个人和企业合理用汇需求。银行应当密切关注个人用汇需求，鼓励通过手机银行等线上渠道办理个人外汇业务。与疫情防控有关的其他特殊外汇及人民币跨境业务，银行可先行办理、事后检查，并分别向所在地外汇局分支机构、人民银行分支机构报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七）简化疫情防控相关跨境人民币业务办理流程。支持银行在“展业三原则”基础上，凭企业提交的收付款指令，直接为其办理疫情防控相关进口跨境人民币结算业务以及资本项目下收入人民币资金在境内支付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五、加强金融系统党的领导，为打赢疫情防控阻击战提供坚强政治保证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（二十八）强化疫情防控的组织保障。金融管理部门和金融机构要增强“四个意识”</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坚定“四个自信”</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做到“两个维护”，切实把思想和行动统一到习近平总书记的重要指示精神上来，把打赢疫情防控阻击战作为当前重大政治任务，全力以赴做好各项金融服务工作。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九）做好自身的疫情防控工作。金融管理部门和金融机构要完善疫情应对工作机制，持续关注员工特别是从疫情较重地区返回员工的健康情况，建立日报制度，加大疫情排查力度，做好员工防疫安排，努力为员工提供必要的防疫用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三十）配合地方政府加强应急管理。金融管理部门和金融机构要按照属地原则，配合当地政府做好组织协调，及时处理突发事件。服从当地政府防疫安排，对防控疫情需要征用的人员车辆、设备设施等，不得推诿拒绝。各单位要继续严格执行应急值守制度，确保政令畅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各单位在执行中遇到的情况请及时报告。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中国人民银行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财政部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银保监会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证监会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国家外汇管理局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2020年1月31日</w:t>
      </w:r>
    </w:p>
    <w:p>
      <w:pPr>
        <w:rPr>
          <w:rFonts w:hint="eastAsia" w:ascii="宋体" w:hAnsi="宋体" w:eastAsia="宋体" w:cs="宋体"/>
          <w:color w:val="000000"/>
          <w:kern w:val="0"/>
          <w:sz w:val="44"/>
          <w:szCs w:val="44"/>
          <w:highlight w:val="none"/>
          <w:lang w:val="en-US" w:eastAsia="zh-CN"/>
        </w:rPr>
      </w:pPr>
      <w:r>
        <w:rPr>
          <w:rFonts w:hint="eastAsia" w:ascii="宋体" w:hAnsi="宋体" w:eastAsia="宋体" w:cs="宋体"/>
          <w:color w:val="000000"/>
          <w:kern w:val="0"/>
          <w:sz w:val="44"/>
          <w:szCs w:val="44"/>
          <w:highlight w:val="none"/>
          <w:lang w:val="en-US" w:eastAsia="zh-CN"/>
        </w:rPr>
        <w:br w:type="page"/>
      </w:r>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79" w:name="_Toc16525"/>
      <w:r>
        <w:rPr>
          <w:rFonts w:hint="eastAsia" w:ascii="宋体" w:hAnsi="宋体" w:eastAsia="宋体" w:cs="宋体"/>
          <w:color w:val="000000"/>
          <w:kern w:val="0"/>
          <w:sz w:val="44"/>
          <w:szCs w:val="44"/>
          <w:highlight w:val="none"/>
          <w:lang w:val="en-US" w:eastAsia="zh-CN"/>
        </w:rPr>
        <w:t>生态环境部办公厅关</w:t>
      </w:r>
      <w:r>
        <w:rPr>
          <w:rFonts w:hint="eastAsia" w:ascii="宋体" w:hAnsi="宋体" w:eastAsia="宋体" w:cs="宋体"/>
          <w:color w:val="000000"/>
          <w:kern w:val="0"/>
          <w:sz w:val="44"/>
          <w:szCs w:val="44"/>
          <w:lang w:val="en-US" w:eastAsia="zh-CN"/>
        </w:rPr>
        <w:t>于做好新型冠状病毒</w:t>
      </w:r>
      <w:bookmarkEnd w:id="379"/>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80" w:name="_Toc3386"/>
      <w:r>
        <w:rPr>
          <w:rFonts w:hint="eastAsia" w:ascii="宋体" w:hAnsi="宋体" w:eastAsia="宋体" w:cs="宋体"/>
          <w:color w:val="000000"/>
          <w:kern w:val="0"/>
          <w:sz w:val="44"/>
          <w:szCs w:val="44"/>
          <w:lang w:val="en-US" w:eastAsia="zh-CN"/>
        </w:rPr>
        <w:t>感染的肺炎疫情医疗污水和城镇污水监管工作</w:t>
      </w:r>
      <w:bookmarkEnd w:id="380"/>
    </w:p>
    <w:p>
      <w:pPr>
        <w:widowControl w:val="0"/>
        <w:wordWrap/>
        <w:adjustRightInd/>
        <w:snapToGrid/>
        <w:spacing w:line="560" w:lineRule="exact"/>
        <w:ind w:right="0"/>
        <w:jc w:val="center"/>
        <w:textAlignment w:val="auto"/>
        <w:outlineLvl w:val="0"/>
        <w:rPr>
          <w:rFonts w:hint="eastAsia" w:ascii="宋体" w:hAnsi="宋体" w:eastAsia="宋体" w:cs="宋体"/>
          <w:color w:val="000000"/>
          <w:kern w:val="0"/>
          <w:sz w:val="44"/>
          <w:szCs w:val="44"/>
          <w:lang w:val="en-US" w:eastAsia="zh-CN"/>
        </w:rPr>
      </w:pPr>
      <w:bookmarkStart w:id="381" w:name="_Toc2006"/>
      <w:r>
        <w:rPr>
          <w:rFonts w:hint="eastAsia" w:ascii="宋体" w:hAnsi="宋体" w:eastAsia="宋体" w:cs="宋体"/>
          <w:color w:val="000000"/>
          <w:kern w:val="0"/>
          <w:sz w:val="44"/>
          <w:szCs w:val="44"/>
          <w:lang w:val="en-US" w:eastAsia="zh-CN"/>
        </w:rPr>
        <w:t>的通知</w:t>
      </w:r>
      <w:bookmarkEnd w:id="381"/>
    </w:p>
    <w:p>
      <w:pPr>
        <w:widowControl w:val="0"/>
        <w:wordWrap/>
        <w:adjustRightInd/>
        <w:snapToGrid/>
        <w:spacing w:line="560"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640" w:firstLineChars="20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环办水体函〔2020〕52号</w:t>
      </w:r>
    </w:p>
    <w:p>
      <w:pPr>
        <w:widowControl w:val="0"/>
        <w:wordWrap/>
        <w:adjustRightInd/>
        <w:snapToGrid/>
        <w:spacing w:line="560" w:lineRule="exact"/>
        <w:ind w:left="0" w:leftChars="0" w:right="0" w:firstLine="640" w:firstLineChars="20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各省、自治区、直辖市生态环境厅（局），新疆生产建设兵团生态环境局：</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为有效应对新型冠状病毒感染的肺炎疫情（以下简称疫情），进一步加强医疗污水和城镇污水监管工作，防止新型冠状病毒通过污水传播扩散，现将有关事项通知如下。</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高度重视医疗污水和城镇污水监管工作，将其作为疫情防控工作的一项重要内容抓紧抓实。进一步加强医疗污水收集、污染治理设施运行、污染物排放等监督管理；主动加强与卫生健康、城镇排水等部门的协调配合，健全联动机制，形成工作合力。</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已发生疫情的地方，当地生态环境部门要指导督促接收新型冠状病毒感染的肺炎患者或疑似患者诊疗的定点医疗机构（医院、卫生院等）、相关临时隔离场所及研究机构，严格执行《医疗机构水污染物排放标准》（GB 18466-2005），参照《医院污水处理技术指南》（环发〔2003〕197号）、《医院污水处理工程技术规范》（HJ 2029-2013）和《新型冠状病毒污染的医疗污水应急处理技术方案（试行）》（见附件）等有关要求，对污水和废弃物进行分类收集和处理，确保稳定达标排放。对没有医疗污水处理设施或污水处理能力未达到相关要求的医院，应督促其参照《医院污水处理工程技术规范》及《医院污水处理技术指南》，因地制宜建设临时性污水处理罐（箱），采取加氯、过氧乙酸等措施进行杀菌消毒。切实加强对医疗污水消毒情况的监督检查，严禁未经消毒处理或处理未达标的医疗污水排放。对隔离区要指导其对外排粪便和污水进行必要的杀菌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地方生态环境部门要督促城镇污水处理厂切实加强消毒工作，结合实际，采取投加消毒剂或臭氧、紫外线消毒等措施，确保出水粪大肠菌群数指标达到《城镇污水处理厂污染物排放标准》（GB 18918-2002）要求。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当前公共场所和家庭为防控疫情多采用含氯消毒剂进行消毒，排入城镇污水处理厂的污水余氯量可能偏高，影响生化处理单元正常运行。地方生态环境部门要督促各城镇污水处理厂密切关注进水水质余氯指标的变化情况，及时采取有针对性的应对措施，确保出水达标。</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三、未发生疫情的地方，当地生态环境部门要密切关注疫情发展，指导督促本行政区域内医疗机构、接纳医疗污水的城镇污水处理机构等提前做好应对准备。</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加大农村医疗污水处置的监管力度，指导督促卫生院（所）因地制宜采取加氯、过氧乙酸等措施进行专门的灭菌消毒，防止病毒通过医疗污水扩散。严格污水灌溉的环境管理，禁止向农田灌溉渠道排放医疗污水。</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进一步加强饮用水水源地保护，做好水质监测，确保饮用水水源不受污染。加大对农贸市场、集贸市场、超市、车站、机场、码头等重点场所污水收集处理的现场监督检查力度，依法查处违法排污，严防发生污染事故。</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在当地党委政府统一领导下，做好本行政区域内医疗污水和城镇污水处理、污染物排放信息发布工作。按照生态环境部调度安排，及时准确统计报送当地医疗污水和城镇污水监管情况。要加强与卫生健康、城镇排水、农业农村、公安等部门信息共享，强化联防联控，严防疫情扩散蔓延，合力打赢疫情防控阻击战。</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特此通知。</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附件：新型冠状病毒污染的医疗污水应急处理技术方案（试行）</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生态环境部办公厅</w:t>
      </w:r>
    </w:p>
    <w:p>
      <w:pPr>
        <w:widowControl w:val="0"/>
        <w:wordWrap/>
        <w:adjustRightInd/>
        <w:snapToGrid/>
        <w:spacing w:line="560" w:lineRule="exact"/>
        <w:ind w:left="0" w:leftChars="0" w:right="0" w:firstLine="0" w:firstLineChars="0"/>
        <w:jc w:val="righ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2020年2月1日</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p>
    <w:p>
      <w:pPr>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br w:type="page"/>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附件</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新型冠状病毒污染的医疗污水应急处理技术方案（试行）</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为了有效应对目前我国发生的新型冠状病毒感染的肺炎疫情（以下简称疫情）患者及治疗过程产生污水对环境的污染，规范医疗污水应急处理、杀菌消毒要求，保护生态环境和人体健康，特制定本方案。</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本方案适用于接收新型冠状病毒感染的肺炎患者（以下简称肺炎患者）或疑似患者诊疗的定点医疗机构（医院、卫生院等）、相关临时隔离场所以及研究机构等产生污水的处理。疫情期间，以上机构产生的污水应作为传染病医疗机构污水进行管控，强化杀菌消毒，确保出水粪大肠菌群数等各项指标达到《医疗机构水污染物排放标准》的相关要求。地方有更严格的地方污染物排放标准的，从其规定。</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一、编制依据</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（一）《中华人民共和国水污染防治法》</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（二）《中华人民共和国传染病防治法》</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 《突发公共卫生事件应急条例》（国务院令第 376 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（四）《国家突发环境事件应急预案》（国办函〔2014〕119 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 《医疗机构水污染物排放标准》（GB 18466-2005）</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 《城镇污水处理厂污染物排放标准》（GB 18918-2002）</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（七） 《医院污水处理工程技术规范》（HJ 2029-2013）</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（八） 《医院污水处理技术指南》（环发〔2003〕197号）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（九） 《“SARS”病毒污染的污水应急处理技术方案》（环明传〔2003〕3号）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（十） 《室外排水设计规范》（GB 50014-2006）</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（十一） 《氯气安全规程》（GB 11984-2008）</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（十二） 《疫源地消毒总则》（GB 19193-2015）</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二、总体要求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（一）加强分类管理，严防污染扩散</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接收肺炎患者或疑似患者诊疗的定点医疗机构（医院、卫生院等）以及相关单位产生的污水应加强杀菌消毒。对于已建设污水处理设施的，应强化工艺控制和运行管理，采取有效措施，确保达标排放；对于未建设污水处理设施的，应参照《医院污水处理技术指南》《医院污水处理工程技术规范》等，因地制宜建设临时性污水处理罐（箱），禁止污水直接排放或处理未达标排放。不得将固体传染性废物、各种化学废液弃置和倾倒排入下水道。</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（二）强化消毒灭菌，控制病毒扩散</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对于产生的污水最有效的消毒方法是投加消毒剂。目前消毒剂主要以强氧化剂为主，这些消毒剂的来源主要可分为两类。一类是化学药剂，另一类是产生消毒剂的设备。应根据不同情形选择适用的消毒剂种类和消毒方式，保证达到消毒效果。</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三、采用化学药剂的消毒处理应急方案</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（一）常用药剂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医院污水消毒常采用含氯消毒剂（如次氯酸钠、漂白粉、漂白精、液氯等）消毒、过氧化物类消毒剂消毒（如过氧乙酸等）、臭氧消毒等措施。</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（二）药剂配制</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所有化学药剂的配制均要求用塑料容器和塑料工具。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（三）投药技术</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采用含氯消毒剂消毒应遵守《室外排水设计规范》要求。投放液氯用真空加氯机，并将投氯管出口淹没在污水中，且应遵守《氯气安全规程》要求；二氧化氯用二氧化氯发生器；次氯酸钠用发生器或液体药剂；臭氧用臭氧发生器。加药设备至少为2套，1用1备。没有条件时，也可以在污水入口处直接投加。各医院污水处理可根据实际情况优化消毒剂的投加点或投加量。</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采用含氯消毒剂消毒且医院污水排至地表水体时，应采取脱氯措施。采用臭氧消毒时，在工艺末端必须设置尾气处理装置，反应后排出的臭氧尾气必须经过分解破坏，达到排放标准。</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四、采用专用设备的消毒处理应急方案</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（一）污水量测算</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国内市场上可提供的成套消毒剂制备设备主要是二氧化氯发生器和臭氧发生器，这些设备基本可以采用自动化操作方式，设备选型根据产生的污水量而定。污水量的计算方法包括按用水量计算法、按日均污水量和变化系数计算法等，计算公式和参数选择参照《医院污水处理工程技术规范》执行。</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（二）消毒剂投加量</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1.消毒剂消毒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接收肺炎患者或疑似患者诊疗的定点医疗机构（医院、卫生院等）以及相关单位，采用液氯、二氧化氯、氯酸钠、漂白粉或漂白精消毒时，参考有效氯投加量为50mg/L。消毒接触池的接触时间≥1.5小时，余氯量大于6.5mg/L（以游离氯计），粪大肠菌群数＜100个/L。若因现有氯化消毒设施能力限制难以达到前述接触时间要求，接触时间为1.0小时的，余氯大于10mg/L（以游离氯计），参考有效氯投加量为80mg/L，粪大肠菌群数＜100个/L；若接触时间不足1.0小时的，投氯量与余氯还需适当加大。</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2.臭氧消毒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采用臭氧消毒，污水悬浮物浓度应小于20mg/L，接触时间大于0.5小时，投加量大于50mg/L，大肠菌群去除率不小于99.99%，粪大肠菌群数＜100个/L。</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3.肺炎患者排泄物及污物消毒方法</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应按照《疫源地消毒总则》相关要求消毒。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五、污泥处理处置要求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（一）污泥在贮泥池中进行消毒，贮泥池有效容积应不小于处理系统24小时产泥量，且不宜小于1m3。贮泥池内需采取搅拌措施，以利于污泥加药消毒。</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（二）应尽量避免进行与人体暴露的污泥脱水处理，尽可能采用离心脱水装置。</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（三）医院污泥应按危险废物处理处置要求，由具有危险废物处理处置资质的单位进行集中处置。</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（四）污泥清掏前应按照《医疗机构水污染物排放标准》表4的规定进行监测。</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六、其他要求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（一）污水应急处理的其他技术要点，可参照《医院污水处理技术指南》《医院污水处理工程技术规范》相关要求。</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（二）严格按照《医疗机构水污染物排放标准》的规定，对相关处理设施排出口和单位污水外排口开展水质监测和评价。</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以疫情暴发期集中收治区为重点，加强城镇污水处理厂出水的消毒工作，结合实际采取投加消毒剂或臭氧、紫外线消毒等措施，确保出水粪大肠菌群数指标达到《城镇污水处理厂污染物排放标准》要求，对剩余污泥采取必要的消毒措施，防止病毒扩散。</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（四）污水应急处理中要加强污水处理站废气、污泥排放的控制和管理，防止病原体在不同介质中转移。</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（五）位于室内的污水处理工程必须设有强制通风设备，并为工作人员配备工作服、手套、面罩、护目镜、防毒面具以及急救用品。</w:t>
      </w:r>
    </w:p>
    <w:p>
      <w:pPr>
        <w:widowControl w:val="0"/>
        <w:wordWrap/>
        <w:adjustRightInd/>
        <w:snapToGrid/>
        <w:spacing w:line="560" w:lineRule="exact"/>
        <w:ind w:left="0" w:leftChars="0" w:right="0" w:firstLine="0" w:firstLineChars="0"/>
        <w:jc w:val="both"/>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（六）地方各级生态环境部门和医疗污水处理单位可参考本方案及相关标准规范，因地制宜确定疫情期间医疗污水应急处理的具体要求。</w:t>
      </w:r>
    </w:p>
    <w:p>
      <w:pPr>
        <w:widowControl w:val="0"/>
        <w:wordWrap/>
        <w:adjustRightInd/>
        <w:snapToGrid/>
        <w:ind w:firstLine="0" w:firstLineChars="0"/>
        <w:textAlignment w:val="auto"/>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仿宋" w:hAnsi="仿宋" w:eastAsia="仿宋" w:cs="仿宋"/>
          <w:i w:val="0"/>
          <w:caps w:val="0"/>
          <w:color w:val="auto"/>
          <w:spacing w:val="0"/>
          <w:sz w:val="32"/>
          <w:szCs w:val="32"/>
          <w:shd w:val="clear" w:color="080000" w:fill="FFFFFF"/>
        </w:rPr>
      </w:pPr>
      <w:bookmarkStart w:id="382" w:name="_Toc27596"/>
      <w:r>
        <w:rPr>
          <w:rStyle w:val="23"/>
          <w:rFonts w:hint="eastAsia" w:ascii="宋体" w:hAnsi="宋体" w:eastAsia="宋体" w:cs="宋体"/>
          <w:b w:val="0"/>
          <w:bCs/>
          <w:i w:val="0"/>
          <w:caps w:val="0"/>
          <w:color w:val="auto"/>
          <w:spacing w:val="0"/>
          <w:sz w:val="44"/>
          <w:szCs w:val="44"/>
          <w:shd w:val="clear" w:color="0A0000" w:fill="FFFFFF"/>
        </w:rPr>
        <w:t>国务院应对新型冠状病毒肺炎疫情联防联控机制关于依法科学精准做好新冠肺炎疫情防控工作的通知</w:t>
      </w:r>
      <w:r>
        <w:rPr>
          <w:rStyle w:val="23"/>
          <w:rFonts w:hint="eastAsia" w:ascii="仿宋" w:hAnsi="仿宋" w:eastAsia="仿宋" w:cs="仿宋"/>
          <w:i w:val="0"/>
          <w:caps w:val="0"/>
          <w:color w:val="auto"/>
          <w:spacing w:val="0"/>
          <w:sz w:val="32"/>
          <w:szCs w:val="32"/>
          <w:shd w:val="clear" w:color="080000" w:fill="FFFFFF"/>
        </w:rPr>
        <w:br w:type="textWrapping"/>
      </w:r>
      <w:bookmarkEnd w:id="38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sz w:val="32"/>
          <w:szCs w:val="32"/>
          <w:shd w:val="clear" w:color="070000" w:fill="FFFFFF"/>
        </w:rPr>
      </w:pPr>
      <w:r>
        <w:rPr>
          <w:rFonts w:hint="eastAsia" w:ascii="楷体" w:hAnsi="楷体" w:eastAsia="楷体" w:cs="楷体"/>
          <w:i w:val="0"/>
          <w:caps w:val="0"/>
          <w:color w:val="auto"/>
          <w:spacing w:val="0"/>
          <w:sz w:val="32"/>
          <w:szCs w:val="32"/>
          <w:shd w:val="clear" w:color="070000" w:fill="FFFFFF"/>
        </w:rPr>
        <w:t>联防联控机制发〔2020〕28号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各省、自治区、直辖市及新疆生产建设兵团应对新型冠状病毒肺炎疫情联防联控机制（领导小组、指挥部）：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为贯彻落实国务院应对新型冠状病毒肺炎疫情联防联控机制关于科学防治精准施策分区分级做好新冠肺炎疫情防控工作的指导意见，进一步提高新冠肺炎疫情防控工作的科学性、精准性，依据《中华人民共和国传染病防治法》、《突发公共卫生事件应急条例》等法律法规，现就做好防控工作有关事项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黑体" w:hAnsi="黑体" w:eastAsia="黑体" w:cs="黑体"/>
          <w:b w:val="0"/>
          <w:bCs/>
          <w:i w:val="0"/>
          <w:caps w:val="0"/>
          <w:color w:val="auto"/>
          <w:spacing w:val="0"/>
          <w:sz w:val="32"/>
          <w:szCs w:val="32"/>
        </w:rPr>
      </w:pPr>
      <w:r>
        <w:rPr>
          <w:rStyle w:val="23"/>
          <w:rFonts w:hint="eastAsia" w:ascii="黑体" w:hAnsi="黑体" w:eastAsia="黑体" w:cs="黑体"/>
          <w:b w:val="0"/>
          <w:bCs/>
          <w:i w:val="0"/>
          <w:caps w:val="0"/>
          <w:color w:val="auto"/>
          <w:spacing w:val="0"/>
          <w:sz w:val="32"/>
          <w:szCs w:val="32"/>
          <w:shd w:val="clear" w:color="0A0000" w:fill="FFFFFF"/>
        </w:rPr>
        <w:t>一、 总体要求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根据当前疫情防控形势发展趋势变化，突出重点、统筹兼顾、分类指导、分区施策，坚持依法防控、科学防治、精准施策，加强重点人群、重点场所管控，着力抓实抓细各项措施，提高疫情防控的科学性、精准性和针对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二、 具体措施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（一）加强人员社会管控，严防输入和扩散风险。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实行人员分类管理。根据居民近期旅行史或居住史、目前健康状况、病例密切接触史等判断其传播疾病风险，将居民划分为高风险、中风险、低风险人员，采取针对性的管控措施。高风险人员在定点医疗机构、定点医学观察机构或居家实施严格的隔离治疗或医学观察，相关机构和社区对其进行严格管控。中风险人员严格落实居家隔离医学观察要求，自觉接受社区管理。低风险人员体温检测正常可出行和复工。对疫情特别严重的湖北省继续采取最严格的防控措施，已实施交通管控的武汉市和湖北省其他地市，严控人员输出；未实施交通管控的地市，人员抵达目的地后一律集中隔离14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有效落实“四早”措施。有关部门、医疗卫生机构要认真落实传染病早发现、早报告、早隔离、早治疗的“四早”措施，切断传播途径，防止扩散。要做好新冠肺炎病例、聚集性疫情、社区疫情的监测和报告，鼓励单位和个人发现、报告相关病例和疫情。要强化实验室检测和诊断，切实提升检测质量和诊断时效。要综合运用流行病学调查和大数据分析方法，及时发现可疑病例、密切接触者并进行追踪管理。各地要指定发热门诊、定点收治医院开展发热病人筛查，及时诊断并隔离治疗新冠肺炎病例，做到“应检尽检”、“应收尽收”、“应治尽治”，防止漏诊、误诊，防止轻症转重症。</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3.鼓励实行动态健康认证。鼓励有条件的地区推广个人健康码等信息平台，不具备信息化条件的地区可采用个人健康申报等方式，居民通过网络平台申领电子健康码或通过社区申领纸质版健康码（健康通行卡），获得出行、复工等资格。政府有关部门、用人单位、社区等综合判断个人健康风险等级，实现特殊时期动态健康认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（二）做好重点场所防控，严防扩散风险。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落实社区防控责任。充分发挥社区动员能力，实行网格化、地毯式管理，责任到人，联系到户，确保各项防控措施切实落实、不留死角。针对未发现病例的社区，实行“外防输入”的策略，做好组织动员、健康教育、信息告知、重点地区和高风险地区返回人员管理、环境卫生治理、物资准备等工作。针对出现病例或暴发疫情的社区，实行“内防扩散、外防输出”的策略，在采取上述措施基础上，还应当做好密切接触者管理和消毒等工作。针对出现疫情传播的社区，实行“内防蔓延、外防输出”的策略，进一步实行疫区封锁、限制人员聚集等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落实用工单位防控责任。用工单位严格落实复工复产疫情防控要求，做好返岗员工登记报备并建立员工健康台账。对于需要接受隔离医学观察但无相关症状的员工，经检测筛查排除感染，可适当缩短隔离时间，在做好防护措施的情况下提前返岗。做好办公场所、工区及公共区域、职工宿舍的通风消毒、环境清理等工作，为员工配备必要的个人防护用品。实行“进出检”制度，做好员工日常体温检测和健康监测。实施分区作业、分散错峰就餐，控制会议频次和规模，尽量减少人员聚集。鼓励具备条件的企事业单位采取错时上下班、弹性工作制或居家办公方式。单位应当设立隔离观察区域，员工出现可疑症状时应当及时隔离并安排就近就医，配合当地疾控部门做好病例报告、流行病学调查、相关区域封闭消毒等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3.落实院校防控责任。各地根据疫情发展情况确定开学时间，严禁学生提前返校。院校开学前做好预案和监测设备准备、隔离空间预备、环境卫生改善等工作。开学后学校医务室加强监测，对来自疫情防控重点地区、和确诊病人有过接触以及有相应症状的学生，采取单独隔离措施。开展“晨午晚检”，实行“日报告”、“零报告”制度，加强因病缺勤管理，对因病缺勤学生和教职员工及时追访和上报。校园实行封闭管理，禁止校外人员进入，不组织大型集体活动。学生和教职员工如出现发热、乏力、干咳等可疑症状，应当及时隔离并安排就近就医，发现病例的院校，要及时向辖区疾控机构或医疗机构上报，积极配合做好流行病学调查，以班级为单位，确定防控管理场所，排查甄别密接人员，严格采取消毒隔离等针对性防控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4.加强公共服务类场所防控。对农贸市场、商场、超市等生活必需类场所及酒店、宾馆等生活服务类场所，在精准有序推动开业的同时，严格落实环境卫生整治、消毒、通风、“进出检”、限流等措施，商超物品尽量提前包装标价，推荐顾客自助购物、自助结算，缩短排队等候时间。提供住宿服务的经营单位要如实登记旅客信息，对来自疫情防控重点地区的旅客进行排查并及时报告当地疾控机构，按照疾控机构的指导采取相应措施。对公共交通工具和机场、车站、码头等人员密集场所，按要求设立留验站，配备必要人员设备，严格落实体温筛检等防控措施，发现可疑人员应当劝阻其登乘，进行暂时隔离，并立即通知检疫部门或当地卫生健康部门及时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5.加强特殊场所疫情防控。对监管场所、养老机构、福利院、精神卫生医疗机构等特殊场所，重点防控输入性疫情和内部疾病传播。要开展预防性卫生措施，全面排查入监干警职工、养老机构、福利院、精神卫生医疗机构工作人员等，落实体温检测和健康监测制度，禁止有可疑症状的人员上岗。要密切关注服刑人员、机构老年人、儿童、精神障碍患者的健康状况，出现新冠肺炎可疑症状，应当立即隔离观察并及时送医排查。要做好防控物资配备，加强日常消毒和环境卫生，加强个人卫生防护。出现确诊、疑似病例，应对其可能活动场所开展全面消杀，规范处置个人物品，对其密切接触者按要求进行集中隔离医学观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6.加强农村疫情防控。充分发挥农村基层党组织、村民自治组织以及乡镇卫生院、村卫生室作用，组织动员农民群众开展群防群控。减少集市等人群聚集活动，做好出外打工人员防疫常识教育。对乡镇（涉农街道）和村组实行网格化管理，对发现病例的县，对疫点进行终末消毒和环境卫生清理，除有病例村组外，允许其他村组村民有序出行。具备条件且防控措施到位的乡村旅游场所，可逐步有序对外开放，经营主体落实防控责任，确保游客和工作人员健康安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三、加强组织领导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一）强化责任落实。各地各级要增强大局意识，统筹抓好疫情防控和经济社会发展，压紧压实属地责任、部门责任、单位责任、家庭责任、个人责任，依法依规落实科学防控、精准施策总要求，推动由全面防控向精准防控、重点防控转变。</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二）强化信息通报。各省、自治区、直辖市人民政府要尽快公布当前本省低风险、中风险、高风险县（市、区、旗）名单，落实分区分级管控要求，并将动态调整的风险地区名单作为疫情防控工作措施日报告内容及时报送国家卫生健康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三）强化宣传引导。切实加强传染病防治法等法律法规宣传，引导全社会在法治轨道上统筹推进各项防控措施。及时回应媒体关切，引导群众切身感受疫情发展的向好趋势。全面做好政策解读，进一步凝聚民心、坚定信心、稳定人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shd w:val="clear" w:color="070000" w:fill="FFFFFF"/>
        </w:rPr>
      </w:pPr>
      <w:r>
        <w:rPr>
          <w:rFonts w:hint="eastAsia" w:ascii="仿宋" w:hAnsi="仿宋" w:eastAsia="仿宋" w:cs="仿宋"/>
          <w:i w:val="0"/>
          <w:caps w:val="0"/>
          <w:color w:val="auto"/>
          <w:spacing w:val="0"/>
          <w:sz w:val="32"/>
          <w:szCs w:val="32"/>
          <w:shd w:val="clear" w:color="070000" w:fill="FFFFFF"/>
        </w:rPr>
        <w:t>（四）强化监测评估。动态评估防控成效，及时调整防控策略，全面提高建章立制规范性、风险识别合理性、措施落实精准性。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附件：1.</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"http://www.gov.cn/xinwen/2020-02/25/5483024/files/a0a520167bcf4f7b840cd1b23b417bae.docx"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人员健康管理技术方案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"http://www.gov.cn/xinwen/2020-02/25/5483024/files/ee1e4f2dc5504b3d918f1d88763ec73e.docx"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新冠肺炎“四早”技术方案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3.</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"http://www.gov.cn/xinwen/2020-02/25/5483024/files/4eb534aec90c4102a0151840741880ab.docx"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医疗机构新冠肺炎防控技术方案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4.</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"http://www.gov.cn/xinwen/2020-02/25/5483024/files/c380cb57f0c2467ab4b378e3021106be.docx"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社区（乡镇、村）新冠肺炎防控技术方案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5.</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"http://www.gov.cn/xinwen/2020-02/25/5483024/files/cf707c686f2f497c9ae30a0dd215e63a.docx"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办公场所和公共场所新冠肺炎防控技术方案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6.</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"http://www.gov.cn/xinwen/2020-02/25/5483024/files/6f3b666c0dd2410cb59f44d1684025ba.docx"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工业企业和建筑施工企业新冠肺炎防控技术方案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7.</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"http://www.gov.cn/xinwen/2020-02/25/5483024/files/30a619c049dc4cbda0c379f51576a7d0.docx"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商场、超市等场所新冠肺炎防控技术方案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8.</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"http://www.gov.cn/xinwen/2020-02/25/5483024/files/3ba361ed67ee4775b40c2577aa98c8e9.docx"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客运场站及交通运输工具新冠肺炎防控技术方案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9.</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"http://www.gov.cn/xinwen/2020-02/25/5483024/files/2325308af24345f2a18ed67ffd13e050.docx"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托幼机构新冠肺炎防控技术方案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10.</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"http://www.gov.cn/xinwen/2020-02/25/5483024/files/10a541c8e9f445799ddadcd0a4321421.docx"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中小学校新冠肺炎防控技术方案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11.</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"http://www.gov.cn/xinwen/2020-02/25/5483024/files/1d54600955b545dca4b91407cba45b00.docx"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Fonts w:hint="eastAsia" w:ascii="仿宋" w:hAnsi="仿宋" w:eastAsia="仿宋" w:cs="仿宋"/>
          <w:i w:val="0"/>
          <w:caps w:val="0"/>
          <w:color w:val="auto"/>
          <w:spacing w:val="0"/>
          <w:sz w:val="32"/>
          <w:szCs w:val="32"/>
          <w:u w:val="none"/>
          <w:shd w:val="clear" w:color="080000" w:fill="FFFFFF"/>
        </w:rPr>
        <w:fldChar w:fldCharType="end"/>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"http://www.gov.cn/xinwen/2020-02/25/5483024/files/7d1090201f7845fea1aa4b68635b7060.docx"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大专院校新冠肺炎防控技术方案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12.</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"http://www.gov.cn/xinwen/2020-02/25/5483024/files/ce2970be44eb40559ead4367fe2ba034.docx"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Fonts w:hint="eastAsia" w:ascii="仿宋" w:hAnsi="仿宋" w:eastAsia="仿宋" w:cs="仿宋"/>
          <w:i w:val="0"/>
          <w:caps w:val="0"/>
          <w:color w:val="auto"/>
          <w:spacing w:val="0"/>
          <w:sz w:val="32"/>
          <w:szCs w:val="32"/>
          <w:u w:val="none"/>
          <w:shd w:val="clear" w:color="080000" w:fill="FFFFFF"/>
        </w:rPr>
        <w:fldChar w:fldCharType="end"/>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"http://www.gov.cn/xinwen/2020-02/25/5483024/files/334072b2b32a4faf817babb271d2efbc.docx"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监狱新冠肺炎防控技术方案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13.</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"http://www.gov.cn/xinwen/2020-02/25/5483024/files/a7411a866b6a4affb7655f41a6276d01.docx"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养老机构（老年福利院）老年人新冠肺炎防控技术方案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14.</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"http://www.gov.cn/xinwen/2020-02/25/5483024/files/e150979dd4954ea2911150cc674869d9.docx"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儿童福利院新冠肺炎防控技术方案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15.</w:t>
      </w:r>
      <w:r>
        <w:rPr>
          <w:rFonts w:hint="eastAsia" w:ascii="仿宋" w:hAnsi="仿宋" w:eastAsia="仿宋" w:cs="仿宋"/>
          <w:i w:val="0"/>
          <w:caps w:val="0"/>
          <w:color w:val="auto"/>
          <w:spacing w:val="0"/>
          <w:sz w:val="32"/>
          <w:szCs w:val="32"/>
          <w:u w:val="none"/>
          <w:shd w:val="clear" w:color="080000" w:fill="FFFFFF"/>
        </w:rPr>
        <w:fldChar w:fldCharType="begin"/>
      </w:r>
      <w:r>
        <w:rPr>
          <w:rFonts w:hint="eastAsia" w:ascii="仿宋" w:hAnsi="仿宋" w:eastAsia="仿宋" w:cs="仿宋"/>
          <w:i w:val="0"/>
          <w:caps w:val="0"/>
          <w:color w:val="auto"/>
          <w:spacing w:val="0"/>
          <w:sz w:val="32"/>
          <w:szCs w:val="32"/>
          <w:u w:val="none"/>
          <w:shd w:val="clear" w:color="080000" w:fill="FFFFFF"/>
        </w:rPr>
        <w:instrText xml:space="preserve"> HYPERLINK "http://www.gov.cn/xinwen/2020-02/25/5483024/files/400318f621084c33b5360a7aeaea7eb8.docx" \t "http://www.gov.cn/xinwen/2020-02/25/_blank" </w:instrText>
      </w:r>
      <w:r>
        <w:rPr>
          <w:rFonts w:hint="eastAsia" w:ascii="仿宋" w:hAnsi="仿宋" w:eastAsia="仿宋" w:cs="仿宋"/>
          <w:i w:val="0"/>
          <w:caps w:val="0"/>
          <w:color w:val="auto"/>
          <w:spacing w:val="0"/>
          <w:sz w:val="32"/>
          <w:szCs w:val="32"/>
          <w:u w:val="none"/>
          <w:shd w:val="clear" w:color="080000" w:fill="FFFFFF"/>
        </w:rPr>
        <w:fldChar w:fldCharType="separate"/>
      </w:r>
      <w:r>
        <w:rPr>
          <w:rStyle w:val="27"/>
          <w:rFonts w:hint="eastAsia" w:ascii="仿宋" w:hAnsi="仿宋" w:eastAsia="仿宋" w:cs="仿宋"/>
          <w:i w:val="0"/>
          <w:caps w:val="0"/>
          <w:color w:val="auto"/>
          <w:spacing w:val="0"/>
          <w:sz w:val="32"/>
          <w:szCs w:val="32"/>
          <w:u w:val="none"/>
          <w:shd w:val="clear" w:color="090000" w:fill="FFFFFF"/>
        </w:rPr>
        <w:t>精神卫生医疗机构新冠肺炎防控技术方案</w:t>
      </w:r>
      <w:r>
        <w:rPr>
          <w:rFonts w:hint="eastAsia" w:ascii="仿宋" w:hAnsi="仿宋" w:eastAsia="仿宋" w:cs="仿宋"/>
          <w:i w:val="0"/>
          <w:caps w:val="0"/>
          <w:color w:val="auto"/>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outlineLvl w:val="9"/>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outlineLvl w:val="9"/>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outlineLvl w:val="9"/>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国务院应对新型冠状病毒肺炎疫情</w:t>
      </w:r>
      <w:r>
        <w:rPr>
          <w:rFonts w:hint="eastAsia" w:ascii="仿宋" w:hAnsi="仿宋" w:eastAsia="仿宋" w:cs="仿宋"/>
          <w:i w:val="0"/>
          <w:caps w:val="0"/>
          <w:color w:val="auto"/>
          <w:spacing w:val="0"/>
          <w:sz w:val="32"/>
          <w:szCs w:val="32"/>
          <w:shd w:val="clear" w:color="070000" w:fill="FFFFFF"/>
        </w:rPr>
        <w:br w:type="textWrapping"/>
      </w:r>
      <w:r>
        <w:rPr>
          <w:rFonts w:hint="eastAsia" w:ascii="仿宋" w:hAnsi="仿宋" w:eastAsia="仿宋" w:cs="仿宋"/>
          <w:i w:val="0"/>
          <w:caps w:val="0"/>
          <w:color w:val="auto"/>
          <w:spacing w:val="0"/>
          <w:sz w:val="32"/>
          <w:szCs w:val="32"/>
          <w:shd w:val="clear" w:color="070000" w:fill="FFFFFF"/>
        </w:rPr>
        <w:t>联防联控机制</w:t>
      </w:r>
      <w:r>
        <w:rPr>
          <w:rFonts w:hint="eastAsia" w:ascii="仿宋" w:hAnsi="仿宋" w:eastAsia="仿宋" w:cs="仿宋"/>
          <w:i w:val="0"/>
          <w:caps w:val="0"/>
          <w:color w:val="auto"/>
          <w:spacing w:val="0"/>
          <w:sz w:val="32"/>
          <w:szCs w:val="32"/>
          <w:shd w:val="clear" w:color="070000" w:fill="FFFFFF"/>
        </w:rPr>
        <w:br w:type="textWrapping"/>
      </w:r>
      <w:r>
        <w:rPr>
          <w:rFonts w:hint="eastAsia" w:ascii="仿宋" w:hAnsi="仿宋" w:eastAsia="仿宋" w:cs="仿宋"/>
          <w:i w:val="0"/>
          <w:caps w:val="0"/>
          <w:color w:val="auto"/>
          <w:spacing w:val="0"/>
          <w:sz w:val="32"/>
          <w:szCs w:val="32"/>
          <w:shd w:val="clear" w:color="070000" w:fill="FFFFFF"/>
        </w:rPr>
        <w:t>2020年2月24日</w:t>
      </w:r>
    </w:p>
    <w:p>
      <w:pPr>
        <w:wordWrap/>
        <w:adjustRightInd/>
        <w:snapToGrid/>
        <w:spacing w:line="560" w:lineRule="exact"/>
        <w:textAlignment w:val="auto"/>
        <w:outlineLvl w:val="9"/>
        <w:rPr>
          <w:rFonts w:hint="eastAsia" w:ascii="仿宋" w:hAnsi="仿宋" w:eastAsia="仿宋" w:cs="仿宋"/>
          <w:color w:val="auto"/>
          <w:sz w:val="32"/>
          <w:szCs w:val="32"/>
        </w:rPr>
      </w:pPr>
    </w:p>
    <w:p>
      <w:pPr>
        <w:wordWrap/>
        <w:adjustRightInd/>
        <w:snapToGrid/>
        <w:spacing w:line="560" w:lineRule="exact"/>
        <w:textAlignment w:val="auto"/>
        <w:outlineLvl w:val="9"/>
        <w:rPr>
          <w:rFonts w:hint="eastAsia" w:ascii="仿宋" w:hAnsi="仿宋" w:eastAsia="仿宋" w:cs="仿宋"/>
          <w:color w:val="auto"/>
          <w:sz w:val="32"/>
          <w:szCs w:val="32"/>
        </w:rPr>
      </w:pPr>
    </w:p>
    <w:p>
      <w:pPr>
        <w:wordWrap/>
        <w:spacing w:line="560" w:lineRule="exact"/>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widowControl/>
        <w:wordWrap/>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w:t>
      </w:r>
    </w:p>
    <w:p>
      <w:pPr>
        <w:widowControl w:val="0"/>
        <w:wordWrap/>
        <w:adjustRightInd/>
        <w:snapToGrid/>
        <w:spacing w:line="560" w:lineRule="exact"/>
        <w:jc w:val="both"/>
        <w:textAlignment w:val="auto"/>
        <w:rPr>
          <w:rFonts w:hint="eastAsia" w:ascii="宋体" w:hAnsi="宋体" w:eastAsia="宋体" w:cs="宋体"/>
          <w:color w:val="auto"/>
          <w:sz w:val="44"/>
          <w:szCs w:val="44"/>
        </w:rPr>
      </w:pPr>
    </w:p>
    <w:p>
      <w:pPr>
        <w:widowControl w:val="0"/>
        <w:wordWrap/>
        <w:adjustRightInd/>
        <w:snapToGrid/>
        <w:spacing w:line="560" w:lineRule="exact"/>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rPr>
        <w:t>人员健康管理技术方案</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一、健康风险判定标准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根据居民近期旅行史或居住史、目前健康状况、病例密切接触史等判断其传播疾病风险，将居民划分为三类：</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（一）高风险人员。</w:t>
      </w:r>
      <w:r>
        <w:rPr>
          <w:rFonts w:hint="eastAsia" w:ascii="仿宋" w:hAnsi="仿宋" w:eastAsia="仿宋" w:cs="仿宋"/>
          <w:color w:val="auto"/>
          <w:sz w:val="32"/>
          <w:szCs w:val="32"/>
        </w:rPr>
        <w:t>来自疫情防控重点地区和高风险地区的人员；确诊病人；疑似病人；正在实施集中隔离医学观察的无症状感染者；正在实施集中或居家隔离医学观察的密切接触者；其他需要纳入高风险人员管理的人员。</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（二）中风险人员。</w:t>
      </w:r>
      <w:r>
        <w:rPr>
          <w:rFonts w:hint="eastAsia" w:ascii="仿宋" w:hAnsi="仿宋" w:eastAsia="仿宋" w:cs="仿宋"/>
          <w:color w:val="auto"/>
          <w:sz w:val="32"/>
          <w:szCs w:val="32"/>
        </w:rPr>
        <w:t>来自疫情中风险地区的人员；有发热、干咳、气促、呼吸道症状的人员；实施居家观察未满14天的治愈出院确诊病人；解除医学隔离未满14天的无症状感染者；其他需要纳入中风险人员管理的人员。</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（三）低风险人员。</w:t>
      </w:r>
      <w:r>
        <w:rPr>
          <w:rFonts w:hint="eastAsia" w:ascii="仿宋" w:hAnsi="仿宋" w:eastAsia="仿宋" w:cs="仿宋"/>
          <w:color w:val="auto"/>
          <w:sz w:val="32"/>
          <w:szCs w:val="32"/>
        </w:rPr>
        <w:t>来自疫情低风险地区的人员；高风险、中风险人员以外的人员。</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Style w:val="23"/>
          <w:rFonts w:hint="eastAsia" w:ascii="黑体" w:hAnsi="黑体" w:eastAsia="黑体" w:cs="黑体"/>
          <w:b w:val="0"/>
          <w:bCs/>
          <w:i w:val="0"/>
          <w:caps w:val="0"/>
          <w:color w:val="auto"/>
          <w:spacing w:val="0"/>
          <w:sz w:val="32"/>
          <w:szCs w:val="32"/>
          <w:shd w:val="clear" w:color="0A0000" w:fill="FFFFFF"/>
        </w:rPr>
      </w:pPr>
      <w:r>
        <w:rPr>
          <w:rStyle w:val="23"/>
          <w:rFonts w:hint="eastAsia" w:ascii="黑体" w:hAnsi="黑体" w:eastAsia="黑体" w:cs="黑体"/>
          <w:b w:val="0"/>
          <w:bCs/>
          <w:i w:val="0"/>
          <w:caps w:val="0"/>
          <w:color w:val="auto"/>
          <w:spacing w:val="0"/>
          <w:sz w:val="32"/>
          <w:szCs w:val="32"/>
          <w:shd w:val="clear" w:color="0A0000" w:fill="FFFFFF"/>
        </w:rPr>
        <w:t>二、管理措施</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Style w:val="23"/>
          <w:rFonts w:hint="eastAsia" w:ascii="黑体" w:hAnsi="黑体" w:eastAsia="黑体" w:cs="黑体"/>
          <w:b w:val="0"/>
          <w:bCs/>
          <w:i w:val="0"/>
          <w:caps w:val="0"/>
          <w:color w:val="auto"/>
          <w:spacing w:val="0"/>
          <w:kern w:val="0"/>
          <w:sz w:val="32"/>
          <w:szCs w:val="32"/>
          <w:shd w:val="clear" w:color="0B0000" w:fill="FFFFFF"/>
          <w:lang w:val="en-US" w:eastAsia="zh-CN"/>
        </w:rPr>
        <w:t>（一）高风险人员。</w:t>
      </w:r>
      <w:r>
        <w:rPr>
          <w:rFonts w:hint="eastAsia" w:ascii="仿宋" w:hAnsi="仿宋" w:eastAsia="仿宋" w:cs="仿宋"/>
          <w:color w:val="auto"/>
          <w:sz w:val="32"/>
          <w:szCs w:val="32"/>
        </w:rPr>
        <w:t>来自疫情特别严重的湖北省的人员应当自到达目的地开始实行集中隔离医学观察14天。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来自其他高风险地区的人员应当自到达目的地开始实行集中或居家隔离医学观察14天。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确诊病人、疑似病人应当在具备有效隔离条件和防护条件的定点医疗机构隔离治疗至符合出院标准。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无症状感染者应当实行集中隔离医学观察14天，原则上连续两次标本核酸检测阴性（采样时间至少间隔1天）后可解除隔离。</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密切接触者应当实行集中隔离医学观察，不具备条件的地区可采取居家隔离医学观察，医学观察期为与病例或无症状感染者末次接触后14天。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相关机构和社区负责对高风险人员进行严格管控。</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（二）中风险人员。</w:t>
      </w:r>
      <w:r>
        <w:rPr>
          <w:rFonts w:hint="eastAsia" w:ascii="仿宋" w:hAnsi="仿宋" w:eastAsia="仿宋" w:cs="仿宋"/>
          <w:color w:val="auto"/>
          <w:sz w:val="32"/>
          <w:szCs w:val="32"/>
        </w:rPr>
        <w:t>来自疫情中风险地区的人员应当自到达目的地开始居家隔离医学观察14天。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治愈出院的确诊病人、解除集中隔离的无症状感染者应当居家隔离医学观察14天。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中风险人员应当严格落实居家隔离医学观察要求，自觉接受社区管理。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（三）低风险人员。</w:t>
      </w:r>
      <w:r>
        <w:rPr>
          <w:rFonts w:hint="eastAsia" w:ascii="仿宋" w:hAnsi="仿宋" w:eastAsia="仿宋" w:cs="仿宋"/>
          <w:color w:val="auto"/>
          <w:sz w:val="32"/>
          <w:szCs w:val="32"/>
        </w:rPr>
        <w:t>体温检测正常可出行和复工。</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三、健康认证申领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居民可通过申领个人健康码、健康通行卡等健康认证满足出行和复工需要。</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（一）个人健康码申领。</w:t>
      </w:r>
      <w:r>
        <w:rPr>
          <w:rFonts w:hint="eastAsia" w:ascii="仿宋" w:hAnsi="仿宋" w:eastAsia="仿宋" w:cs="仿宋"/>
          <w:color w:val="auto"/>
          <w:sz w:val="32"/>
          <w:szCs w:val="32"/>
        </w:rPr>
        <w:t>已建立个人健康码管理平台的地区，居民通过网络平台进行个人健康码申领，系统自动按照健康风险高低审核生成红、黄、绿等三色“健康码”。</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孤寡老人、远郊农村人员等没有条件通过网络平台申领的人员，可由社区人员负责代为申领并生成纸质“健康码”（有效期14天）。</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（二）健康通行卡申领。</w:t>
      </w:r>
      <w:r>
        <w:rPr>
          <w:rFonts w:hint="eastAsia" w:ascii="仿宋" w:hAnsi="仿宋" w:eastAsia="仿宋" w:cs="仿宋"/>
          <w:color w:val="auto"/>
          <w:sz w:val="32"/>
          <w:szCs w:val="32"/>
        </w:rPr>
        <w:t>不具备条件建立个人信息码管理平台的地区，居民自行填写个人健康申报表（各地根据实际自行设计申报表样式），符合低风险人员条件的，经社区（村）审核通过，发放加盖社区（村）公章的健康通行卡（有效期14天）。</w:t>
      </w:r>
    </w:p>
    <w:p>
      <w:pPr>
        <w:wordWrap/>
        <w:adjustRightInd/>
        <w:snapToGrid/>
        <w:spacing w:line="560" w:lineRule="exact"/>
        <w:textAlignment w:val="auto"/>
        <w:rPr>
          <w:rFonts w:hint="eastAsia" w:ascii="仿宋" w:hAnsi="仿宋" w:eastAsia="仿宋" w:cs="仿宋"/>
          <w:color w:val="auto"/>
          <w:sz w:val="32"/>
          <w:szCs w:val="32"/>
        </w:rPr>
      </w:pPr>
    </w:p>
    <w:p>
      <w:pPr>
        <w:wordWrap/>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widowControl/>
        <w:wordWrap/>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附件2</w:t>
      </w:r>
    </w:p>
    <w:p>
      <w:pPr>
        <w:widowControl w:val="0"/>
        <w:wordWrap/>
        <w:adjustRightInd/>
        <w:snapToGrid/>
        <w:spacing w:line="560" w:lineRule="exact"/>
        <w:jc w:val="both"/>
        <w:textAlignment w:val="auto"/>
        <w:rPr>
          <w:rFonts w:hint="eastAsia" w:ascii="宋体" w:hAnsi="宋体" w:eastAsia="宋体" w:cs="宋体"/>
          <w:color w:val="auto"/>
          <w:sz w:val="44"/>
          <w:szCs w:val="44"/>
        </w:rPr>
      </w:pPr>
    </w:p>
    <w:p>
      <w:pPr>
        <w:widowControl w:val="0"/>
        <w:wordWrap/>
        <w:adjustRightInd/>
        <w:snapToGrid/>
        <w:spacing w:line="560" w:lineRule="exact"/>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rPr>
        <w:t>新冠肺炎“四早”技术方案</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四早”（早发现、早报告、早隔离、早治疗）是传染病防控的重要手段。为有效推动“四早”落实，助力新冠肺炎疫情歼灭战，依据有关法律法规和预案，结合新冠肺炎疫情特点和发展趋势，在总结前期新冠肺炎疫情防控工作经验教训基础上，制定本技术方案。</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一、早发现、早报告</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为进一步提高早期发现病例的能力，各省（区、市）应当设立新型冠状病毒肺炎监测网络，该监测网络成员单位包括各级各类医疗机构和疾病预防控制机构。</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（一）病例监测报告。</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1.监测对象：发热（体温大于37.4℃），伴上呼吸道症状，有可疑接触史或旅行史者。</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2.监测时间：截至2020年12月，各级各类医疗机构和疾控机构每日开展病例监测排查工作。</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3.监测地点：所有门急诊、发热门诊和住院病房等相关诊室均开展病例监测工作。</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标本采集及实验室检测：医疗机构采集病例临床标本（详见《新型冠状病毒肺炎防控方案（第五版）》标本采集与检测部分），送当地指定的疾控机构或医疗机构或第三方检测机构实验室进行检测。承担检测工作的机构接到标本后应当立即开展检测，24小时内完成并反馈检测结果。</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5.环境标本监测和血清流行病学调查：根据实际需要适时开展。</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6.流行病学调查：疾控机构接到病例报告后应当立即开展流行病学调查，并于24小时内完成。同时，快速追踪密切接触者，防止疫情蔓延。</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病例报告：医疗机构发现病例后立即进行网络直报，疾控机构接到报告后应当立即调查核实，并于2小时内完成三级确认审核。无网络直报条件的填写传染病报告卡并在2小时内寄送疾控机构，由疾控机构进行网络直报。医疗机构需在24小时内，根据实验室检测结果，结合病情进展及时对病例分类、临床严重程度对网络直报病例进行订正。</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（二）聚集性疫情监测报告。</w:t>
      </w:r>
      <w:r>
        <w:rPr>
          <w:rFonts w:hint="eastAsia" w:ascii="仿宋" w:hAnsi="仿宋" w:eastAsia="仿宋" w:cs="仿宋"/>
          <w:color w:val="auto"/>
          <w:sz w:val="32"/>
          <w:szCs w:val="32"/>
        </w:rPr>
        <w:t>疾控机构接到聚集性疫情报告后2小时内在突发公共卫生事件报告管理信息系统进行网络直报，同时报告当地卫生健康行政部门，由当地卫生健康行政部门立即报告当地人民政府，同时报告上级卫生健康行政部门和国务院卫生健康主管部门。</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（三）社区疫情监测。</w:t>
      </w:r>
      <w:r>
        <w:rPr>
          <w:rFonts w:hint="eastAsia" w:ascii="仿宋" w:hAnsi="仿宋" w:eastAsia="仿宋" w:cs="仿宋"/>
          <w:color w:val="auto"/>
          <w:sz w:val="32"/>
          <w:szCs w:val="32"/>
        </w:rPr>
        <w:t>联防联控、群防群控，基层社区（村）、单位实行网格化管理，做好辖区和单位内人员往来摸排、健康监测登记和体温监测，发现可疑病例及时向附近的疾病预防控制机构或者医疗机构报告。</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（四）单位和个人监测。</w:t>
      </w:r>
      <w:r>
        <w:rPr>
          <w:rFonts w:hint="eastAsia" w:ascii="仿宋" w:hAnsi="仿宋" w:eastAsia="仿宋" w:cs="仿宋"/>
          <w:color w:val="auto"/>
          <w:sz w:val="32"/>
          <w:szCs w:val="32"/>
        </w:rPr>
        <w:t>鼓励单位和个人发现新冠肺炎病人或疑似新冠肺炎病人时，及时向附近的疾病预防控制机构或者医疗机构报告。新冠肺炎病人或疑似新冠肺炎病人拒绝配合的，依据《传染病防治法》中乙类甲管类条款，可强制执行。</w:t>
      </w:r>
    </w:p>
    <w:p>
      <w:pPr>
        <w:widowControl w:val="0"/>
        <w:wordWrap/>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二、早隔离、早治疗</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（一）隔离医学观察及密切接触者管理。</w:t>
      </w:r>
      <w:r>
        <w:rPr>
          <w:rFonts w:hint="eastAsia" w:ascii="仿宋" w:hAnsi="仿宋" w:eastAsia="仿宋" w:cs="仿宋"/>
          <w:color w:val="auto"/>
          <w:sz w:val="32"/>
          <w:szCs w:val="32"/>
        </w:rPr>
        <w:t>各省份应当设置集中医学隔离观察点。发现相关病例后，立即采取隔离措施，追踪密切接触者，落实可疑病例就地医疗救治和疫情防控的属地化管理，防止疫情扩散蔓延。同时，做好医务人员防护措施，严防院内感染。县（区）级卫生健康行政部门会同相关部门组织实施密切接触者追踪和管理，应当根据密切接触者管理方案（第五版）明确解除隔离标准。</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黑体" w:hAnsi="黑体" w:eastAsia="黑体" w:cs="黑体"/>
          <w:color w:val="auto"/>
          <w:sz w:val="32"/>
          <w:szCs w:val="32"/>
        </w:rPr>
        <w:t>（二）医疗救治。</w:t>
      </w:r>
      <w:r>
        <w:rPr>
          <w:rFonts w:hint="eastAsia" w:ascii="仿宋" w:hAnsi="仿宋" w:eastAsia="仿宋" w:cs="仿宋"/>
          <w:color w:val="auto"/>
          <w:sz w:val="32"/>
          <w:szCs w:val="32"/>
        </w:rPr>
        <w:t>各省份指定定点收治医院，并成立医疗救治专家组，在出现病例后，指导收治医院做好医疗救治工作，推进医疗救治关口前移，提早提供医疗服务，加强对轻症患者的医疗救治，减少轻症向重症的转化，重点加强重症病例救治，降低病死率。各医疗机构根据《诊疗方案》对病人进行分类治疗，采用对症和支持治疗、抗病毒、抗炎、中西医结合等方法综合施治，对符合解除隔离和出院标准的病人及时安排解除隔离或出院。</w:t>
      </w:r>
    </w:p>
    <w:p>
      <w:pPr>
        <w:widowControl w:val="0"/>
        <w:wordWrap/>
        <w:adjustRightInd/>
        <w:snapToGrid/>
        <w:spacing w:line="560" w:lineRule="exact"/>
        <w:ind w:firstLine="640" w:firstLineChars="200"/>
        <w:textAlignment w:val="auto"/>
        <w:rPr>
          <w:rFonts w:hint="eastAsia" w:ascii="仿宋" w:hAnsi="仿宋" w:eastAsia="仿宋" w:cs="仿宋"/>
          <w:color w:val="auto"/>
          <w:sz w:val="32"/>
          <w:szCs w:val="32"/>
        </w:rPr>
      </w:pPr>
    </w:p>
    <w:p>
      <w:pPr>
        <w:pStyle w:val="7"/>
        <w:wordWrap/>
        <w:spacing w:line="560" w:lineRule="exact"/>
        <w:ind w:firstLine="0" w:firstLineChars="0"/>
        <w:jc w:val="center"/>
        <w:textAlignment w:val="auto"/>
        <w:rPr>
          <w:sz w:val="28"/>
        </w:rPr>
      </w:pPr>
      <w:r>
        <w:rPr>
          <w:rFonts w:ascii="Calibri" w:hAnsi="Calibri" w:eastAsia="宋体" w:cs="Times New Roman"/>
          <w:kern w:val="2"/>
          <w:sz w:val="32"/>
          <w:szCs w:val="24"/>
          <w:lang w:val="en-US" w:eastAsia="zh-CN" w:bidi="ar-SA"/>
        </w:rPr>
        <w:pict>
          <v:rect id="文本框 11" o:spid="_x0000_s1026" o:spt="1" style="position:absolute;left:0pt;margin-left:18.35pt;margin-top:95pt;height:23.4pt;width:33pt;z-index:251660288;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txbxContent>
            </v:textbox>
          </v:rect>
        </w:pict>
      </w:r>
      <w:r>
        <w:rPr>
          <w:rFonts w:ascii="Calibri" w:hAnsi="Calibri" w:eastAsia="宋体" w:cs="Times New Roman"/>
          <w:kern w:val="2"/>
          <w:sz w:val="32"/>
          <w:szCs w:val="24"/>
          <w:lang w:val="en-US" w:eastAsia="zh-CN" w:bidi="ar-SA"/>
        </w:rPr>
        <w:pict>
          <v:rect id="矩形 12" o:spid="_x0000_s1027" o:spt="1" style="position:absolute;left:0pt;margin-left:27.7pt;margin-top:109.35pt;height:20pt;width:20pt;z-index:251659264;mso-width-relative:page;mso-height-relative:page;" fillcolor="#FFFFFF" filled="t" o:preferrelative="t" stroked="t" coordsize="21600,21600">
            <v:path/>
            <v:fill on="t" focussize="0,0"/>
            <v:stroke weight="1.25pt" color="#FFFFFF" color2="#FFFFFF" miterlimit="2"/>
            <v:imagedata gain="65536f" blacklevel="0f" gamma="0" o:title=""/>
            <o:lock v:ext="edit" position="f" selection="f" grouping="f" rotation="f" cropping="f" text="f" aspectratio="f"/>
          </v:rect>
        </w:pict>
      </w:r>
    </w:p>
    <w:p>
      <w:pPr>
        <w:widowControl w:val="0"/>
        <w:wordWrap/>
        <w:adjustRightInd/>
        <w:snapToGrid/>
        <w:spacing w:line="560" w:lineRule="exact"/>
        <w:jc w:val="center"/>
        <w:textAlignment w:val="auto"/>
        <w:rPr>
          <w:sz w:val="28"/>
        </w:rPr>
      </w:pPr>
      <w:r>
        <w:rPr>
          <w:rFonts w:hint="eastAsia" w:ascii="仿宋" w:hAnsi="仿宋" w:eastAsia="仿宋" w:cs="仿宋"/>
          <w:color w:val="auto"/>
          <w:sz w:val="32"/>
          <w:szCs w:val="32"/>
        </w:rPr>
        <w:t>早发现早报告流程图</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略</w:t>
      </w:r>
      <w:r>
        <w:rPr>
          <w:rFonts w:hint="eastAsia" w:ascii="仿宋" w:hAnsi="仿宋" w:eastAsia="仿宋" w:cs="仿宋"/>
          <w:color w:val="auto"/>
          <w:sz w:val="32"/>
          <w:szCs w:val="32"/>
          <w:lang w:eastAsia="zh-CN"/>
        </w:rPr>
        <w:t>）</w:t>
      </w:r>
    </w:p>
    <w:p>
      <w:pPr>
        <w:pStyle w:val="18"/>
        <w:wordWrap/>
        <w:spacing w:before="0" w:beforeAutospacing="0" w:after="0" w:afterAutospacing="0" w:line="560" w:lineRule="exact"/>
        <w:textAlignment w:val="auto"/>
        <w:rPr>
          <w:rFonts w:hint="eastAsia" w:ascii="黑体" w:hAnsi="黑体" w:eastAsia="黑体"/>
          <w:sz w:val="32"/>
          <w:szCs w:val="32"/>
        </w:rPr>
      </w:pPr>
    </w:p>
    <w:p>
      <w:pPr>
        <w:pStyle w:val="18"/>
        <w:wordWrap/>
        <w:spacing w:before="0" w:beforeAutospacing="0" w:after="0" w:afterAutospacing="0" w:line="560" w:lineRule="exact"/>
        <w:textAlignment w:val="auto"/>
        <w:rPr>
          <w:rFonts w:hint="eastAsia" w:ascii="黑体" w:hAnsi="黑体" w:eastAsia="黑体"/>
          <w:sz w:val="32"/>
          <w:szCs w:val="32"/>
        </w:rPr>
      </w:pPr>
    </w:p>
    <w:p>
      <w:pPr>
        <w:wordWrap/>
        <w:spacing w:line="560" w:lineRule="exact"/>
        <w:textAlignment w:val="auto"/>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附件3</w:t>
      </w:r>
    </w:p>
    <w:p>
      <w:pPr>
        <w:widowControl w:val="0"/>
        <w:wordWrap/>
        <w:adjustRightInd/>
        <w:snapToGrid/>
        <w:spacing w:line="560" w:lineRule="exact"/>
        <w:jc w:val="both"/>
        <w:textAlignment w:val="auto"/>
        <w:rPr>
          <w:rFonts w:hint="eastAsia" w:ascii="宋体" w:hAnsi="宋体" w:eastAsia="宋体" w:cs="宋体"/>
          <w:color w:val="auto"/>
          <w:sz w:val="44"/>
          <w:szCs w:val="44"/>
        </w:rPr>
      </w:pPr>
    </w:p>
    <w:p>
      <w:pPr>
        <w:widowControl w:val="0"/>
        <w:wordWrap/>
        <w:adjustRightInd/>
        <w:snapToGrid/>
        <w:spacing w:line="560" w:lineRule="exact"/>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rPr>
        <w:t>医疗机构新冠肺炎防控技术方案</w:t>
      </w:r>
    </w:p>
    <w:p>
      <w:pPr>
        <w:pStyle w:val="18"/>
        <w:wordWrap/>
        <w:spacing w:before="0" w:beforeAutospacing="0" w:after="0" w:afterAutospacing="0" w:line="560" w:lineRule="exact"/>
        <w:jc w:val="center"/>
        <w:textAlignment w:val="auto"/>
        <w:rPr>
          <w:rFonts w:ascii="黑体" w:hAnsi="黑体" w:eastAsia="黑体"/>
          <w:sz w:val="44"/>
          <w:szCs w:val="32"/>
        </w:rPr>
      </w:pPr>
    </w:p>
    <w:p>
      <w:pPr>
        <w:pStyle w:val="18"/>
        <w:wordWrap/>
        <w:spacing w:before="0" w:beforeAutospacing="0" w:after="0" w:afterAutospacing="0" w:line="560" w:lineRule="exact"/>
        <w:ind w:firstLine="645"/>
        <w:textAlignment w:val="auto"/>
        <w:rPr>
          <w:rFonts w:ascii="黑体" w:hAnsi="黑体" w:eastAsia="黑体"/>
          <w:sz w:val="32"/>
          <w:szCs w:val="32"/>
        </w:rPr>
      </w:pPr>
      <w:r>
        <w:rPr>
          <w:rFonts w:hint="eastAsia" w:ascii="黑体" w:hAnsi="黑体" w:eastAsia="黑体"/>
          <w:sz w:val="32"/>
          <w:szCs w:val="32"/>
        </w:rPr>
        <w:t>一、基本要求</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（一）制定应急预案和工作流程。医疗机构应当根据新型冠状病毒的病原学特点，结合传染源、传播途径、易感人群和诊疗条件等，建立预警机制，制定应急预案和工作流程。</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（二）开展全员培训。依据岗位职责确定针对不同人员的培训内容，使其熟练掌握新型冠状病毒感染的防控知识、方法与技能，做到早发现、早报告、早隔离、早诊断、早治疗、早控制。</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三）做好医务人员防护。医疗机构应当规范消毒、隔离和防护工作，储备质量合格、数量充足的防护物资，确保医务人员个人防护到位。在严格落实标准预防的基础上，强化接触传播、飞沫传播和空气传播的感染防控。</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（四）关注医务人员健康。医疗机构应当合理调配人力资源和班次安排，避免医务人员过度劳累。针对岗位特点和风险评估结果，开展主动健康监测。采取多种措施，保障医务人员健康地为患者提供医疗服务。</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五）加强感染监测。做好早期预警预报，加强对感染防控工作的监督与指导，发现隐患，及时改进。发现疑似或确诊新型冠状病毒感染的肺炎患者时，应当按照有关要求及时报告，并在2小时内上报信息，做好相应处置工作。</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六）做好清洁消毒管理。按照《医院空气净化管理规范》，加强诊疗环境的通风，有条件的医疗机构可进行空气消毒，也可配备循环风空气消毒设备。严格执行《医疗机构消毒技术规范》，做好诊疗环境、医疗器械、患者用物等的清洁消毒，严格患者呼吸道分泌物、排泄物、呕吐物的处理，严格终末消毒。</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七）加强患者就诊管理。医疗机构应当做好就诊患者的管理，尽量减少患者的拥挤，以减少医院感染的风险。发现疑似或确诊感染新型冠状病毒的患者时，依法采取隔离或者控制传播措施，并按照规定对患者的陪同人员和其他密切接触人员采取医学观察及其他必要的预防措施。不具备救治能力的，及时将患者转诊到具备救治能力的医疗机构诊疗。</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（八）加强患者教育。医疗机构应当积极开展就诊患者及其陪同人员的教育，使其了解新型冠状病毒的防护知识，指导其正确洗手、咳嗽礼仪、医学观察和居家隔离等。</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九）加强感染暴发管理。严格落实医疗机构感染预防与控制的各项规章制度，最大限度降低感染暴发的风险。增强敏感性，一旦发生新型冠状病毒感染疑似暴发或暴发，医疗机构必须按照规定及时报告，并依据相关标准和流程，启动应急预案，配合做好调查处置工作。</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（十）加强医疗废物管理。将新型冠状病毒感染确诊或疑似患者产生的医疗废物，纳入感染性医疗废物管理，严格按照《医疗废物管理条例》和《医疗卫生机构医疗废物管理办法》有关规定，进行规范处置。</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黑体" w:hAnsi="黑体" w:eastAsia="黑体"/>
          <w:sz w:val="32"/>
          <w:szCs w:val="32"/>
        </w:rPr>
        <w:t>二、重点部门管理</w:t>
      </w:r>
      <w:r>
        <w:rPr>
          <w:rFonts w:hint="eastAsia" w:ascii="黑体" w:hAnsi="黑体" w:eastAsia="黑体"/>
          <w:sz w:val="32"/>
          <w:szCs w:val="32"/>
        </w:rPr>
        <w:br w:type="textWrapping"/>
      </w:r>
      <w:r>
        <w:rPr>
          <w:rFonts w:hint="eastAsia" w:ascii="楷体" w:hAnsi="楷体" w:eastAsia="楷体"/>
          <w:sz w:val="32"/>
          <w:szCs w:val="32"/>
        </w:rPr>
        <w:t>　</w:t>
      </w:r>
      <w:r>
        <w:rPr>
          <w:rFonts w:hint="eastAsia" w:ascii="仿宋" w:hAnsi="仿宋" w:eastAsia="仿宋" w:cs="仿宋"/>
          <w:sz w:val="32"/>
          <w:szCs w:val="32"/>
        </w:rPr>
        <w:t>　（一）发热门诊。</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1.发热门诊建筑布局和工作流程应当符合《医院隔离技术规范》等有关要求。</w:t>
      </w:r>
      <w:r>
        <w:rPr>
          <w:rFonts w:hint="eastAsia" w:ascii="仿宋" w:hAnsi="仿宋" w:eastAsia="仿宋" w:cs="仿宋"/>
          <w:sz w:val="32"/>
          <w:szCs w:val="32"/>
        </w:rPr>
        <w:br w:type="textWrapping"/>
      </w:r>
      <w:r>
        <w:rPr>
          <w:rFonts w:hint="eastAsia" w:ascii="仿宋" w:hAnsi="仿宋" w:eastAsia="仿宋" w:cs="仿宋"/>
          <w:sz w:val="32"/>
          <w:szCs w:val="32"/>
        </w:rPr>
        <w:t>　　2.留观室或抢救室加强通风；如使用机械通风，应当控制气流方向，由清洁侧流向污染侧。</w:t>
      </w:r>
      <w:r>
        <w:rPr>
          <w:rFonts w:hint="eastAsia" w:ascii="仿宋" w:hAnsi="仿宋" w:eastAsia="仿宋" w:cs="仿宋"/>
          <w:sz w:val="32"/>
          <w:szCs w:val="32"/>
        </w:rPr>
        <w:br w:type="textWrapping"/>
      </w:r>
      <w:r>
        <w:rPr>
          <w:rFonts w:hint="eastAsia" w:ascii="仿宋" w:hAnsi="仿宋" w:eastAsia="仿宋" w:cs="仿宋"/>
          <w:sz w:val="32"/>
          <w:szCs w:val="32"/>
        </w:rPr>
        <w:t>　　3.配备符合要求、数量充足的医务人员防护用品，发热门诊出入口应当设有速干手消毒剂等手卫生设施。</w:t>
      </w:r>
      <w:r>
        <w:rPr>
          <w:rFonts w:hint="eastAsia" w:ascii="仿宋" w:hAnsi="仿宋" w:eastAsia="仿宋" w:cs="仿宋"/>
          <w:sz w:val="32"/>
          <w:szCs w:val="32"/>
        </w:rPr>
        <w:br w:type="textWrapping"/>
      </w:r>
      <w:r>
        <w:rPr>
          <w:rFonts w:hint="eastAsia" w:ascii="仿宋" w:hAnsi="仿宋" w:eastAsia="仿宋" w:cs="仿宋"/>
          <w:sz w:val="32"/>
          <w:szCs w:val="32"/>
        </w:rPr>
        <w:t>　　4.医务人员开展诊疗工作应当执行标准预防。要正确佩戴医用外科口罩或医用防护口罩，戴口罩前和摘口罩后应当进行洗手或手卫生消毒。进出发热门诊和留观病房，严格按照《医务人员穿脱防护用品的流程》要求，正确穿脱防护用品。</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5.医务人员应当掌握新型冠状病毒感染的流行病学特点与临床特征，按照诊疗规范进行患者筛查，对疑似或确诊患者立即采取隔离措施并及时报告。</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6.患者转出后按《医疗机构消毒技术规范》进行终末处理。</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7.医疗机构应当为患者及陪同人员提供口罩并指导其正确佩戴。</w:t>
      </w:r>
      <w:r>
        <w:rPr>
          <w:rFonts w:hint="eastAsia" w:ascii="仿宋" w:hAnsi="仿宋" w:eastAsia="仿宋" w:cs="仿宋"/>
          <w:sz w:val="32"/>
          <w:szCs w:val="32"/>
        </w:rPr>
        <w:br w:type="textWrapping"/>
      </w:r>
      <w:r>
        <w:rPr>
          <w:rFonts w:hint="eastAsia" w:ascii="仿宋" w:hAnsi="仿宋" w:eastAsia="仿宋" w:cs="仿宋"/>
          <w:sz w:val="32"/>
          <w:szCs w:val="32"/>
        </w:rPr>
        <w:t>　　（二）急诊。</w:t>
      </w:r>
      <w:r>
        <w:rPr>
          <w:rFonts w:hint="eastAsia" w:ascii="仿宋" w:hAnsi="仿宋" w:eastAsia="仿宋" w:cs="仿宋"/>
          <w:sz w:val="32"/>
          <w:szCs w:val="32"/>
        </w:rPr>
        <w:br w:type="textWrapping"/>
      </w:r>
      <w:r>
        <w:rPr>
          <w:rFonts w:hint="eastAsia" w:ascii="仿宋" w:hAnsi="仿宋" w:eastAsia="仿宋" w:cs="仿宋"/>
          <w:sz w:val="32"/>
          <w:szCs w:val="32"/>
        </w:rPr>
        <w:t>　　1.落实预检分诊制度，引导发热患者至发热门诊就诊，制定并完善重症患者的转出、救治应急预案并严格执行。</w:t>
      </w:r>
      <w:r>
        <w:rPr>
          <w:rFonts w:hint="eastAsia" w:ascii="仿宋" w:hAnsi="仿宋" w:eastAsia="仿宋" w:cs="仿宋"/>
          <w:sz w:val="32"/>
          <w:szCs w:val="32"/>
        </w:rPr>
        <w:br w:type="textWrapping"/>
      </w:r>
      <w:r>
        <w:rPr>
          <w:rFonts w:hint="eastAsia" w:ascii="仿宋" w:hAnsi="仿宋" w:eastAsia="仿宋" w:cs="仿宋"/>
          <w:sz w:val="32"/>
          <w:szCs w:val="32"/>
        </w:rPr>
        <w:t>　　2.合理设置隔离区域，满足疑似或确诊患者就地隔离和救治的需要。</w:t>
      </w:r>
      <w:r>
        <w:rPr>
          <w:rFonts w:hint="eastAsia" w:ascii="仿宋" w:hAnsi="仿宋" w:eastAsia="仿宋" w:cs="仿宋"/>
          <w:sz w:val="32"/>
          <w:szCs w:val="32"/>
        </w:rPr>
        <w:br w:type="textWrapping"/>
      </w:r>
      <w:r>
        <w:rPr>
          <w:rFonts w:hint="eastAsia" w:ascii="仿宋" w:hAnsi="仿宋" w:eastAsia="仿宋" w:cs="仿宋"/>
          <w:sz w:val="32"/>
          <w:szCs w:val="32"/>
        </w:rPr>
        <w:t>　　3.医务人员严格执行预防措施，做好个人防护和诊疗环境的管理。实施急诊气管插管等感染性职业暴露风险较高的诊疗措施时，应当按照接治确诊患者的要求采取预防措施。</w:t>
      </w:r>
      <w:r>
        <w:rPr>
          <w:rFonts w:hint="eastAsia" w:ascii="仿宋" w:hAnsi="仿宋" w:eastAsia="仿宋" w:cs="仿宋"/>
          <w:sz w:val="32"/>
          <w:szCs w:val="32"/>
        </w:rPr>
        <w:br w:type="textWrapping"/>
      </w:r>
      <w:r>
        <w:rPr>
          <w:rFonts w:hint="eastAsia" w:ascii="仿宋" w:hAnsi="仿宋" w:eastAsia="仿宋" w:cs="仿宋"/>
          <w:sz w:val="32"/>
          <w:szCs w:val="32"/>
        </w:rPr>
        <w:t>　　4.诊疗区域应当保持良好的通风并定时清洁消毒。</w:t>
      </w:r>
      <w:r>
        <w:rPr>
          <w:rFonts w:hint="eastAsia" w:ascii="仿宋" w:hAnsi="仿宋" w:eastAsia="仿宋" w:cs="仿宋"/>
          <w:sz w:val="32"/>
          <w:szCs w:val="32"/>
        </w:rPr>
        <w:br w:type="textWrapping"/>
      </w:r>
      <w:r>
        <w:rPr>
          <w:rFonts w:hint="eastAsia" w:ascii="仿宋" w:hAnsi="仿宋" w:eastAsia="仿宋" w:cs="仿宋"/>
          <w:sz w:val="32"/>
          <w:szCs w:val="32"/>
        </w:rPr>
        <w:t>　　5.采取设置等候区等有效措施，避免人群聚集。</w:t>
      </w:r>
      <w:r>
        <w:rPr>
          <w:rFonts w:hint="eastAsia" w:ascii="仿宋" w:hAnsi="仿宋" w:eastAsia="仿宋" w:cs="仿宋"/>
          <w:sz w:val="32"/>
          <w:szCs w:val="32"/>
        </w:rPr>
        <w:br w:type="textWrapping"/>
      </w:r>
      <w:r>
        <w:rPr>
          <w:rFonts w:hint="eastAsia" w:ascii="仿宋" w:hAnsi="仿宋" w:eastAsia="仿宋" w:cs="仿宋"/>
          <w:sz w:val="32"/>
          <w:szCs w:val="32"/>
        </w:rPr>
        <w:t>　　（三）普通病区（房）。</w:t>
      </w:r>
      <w:r>
        <w:rPr>
          <w:rFonts w:hint="eastAsia" w:ascii="仿宋" w:hAnsi="仿宋" w:eastAsia="仿宋" w:cs="仿宋"/>
          <w:sz w:val="32"/>
          <w:szCs w:val="32"/>
        </w:rPr>
        <w:br w:type="textWrapping"/>
      </w:r>
      <w:r>
        <w:rPr>
          <w:rFonts w:hint="eastAsia" w:ascii="仿宋" w:hAnsi="仿宋" w:eastAsia="仿宋" w:cs="仿宋"/>
          <w:sz w:val="32"/>
          <w:szCs w:val="32"/>
        </w:rPr>
        <w:t>　　1.应当设置应急隔离病室，用于疑似或确诊患者的隔离与救治，建立相关工作制度及流程，备有充足的应对急性呼吸道传染病的消毒和防护用品。</w:t>
      </w:r>
      <w:r>
        <w:rPr>
          <w:rFonts w:hint="eastAsia" w:ascii="仿宋" w:hAnsi="仿宋" w:eastAsia="仿宋" w:cs="仿宋"/>
          <w:sz w:val="32"/>
          <w:szCs w:val="32"/>
        </w:rPr>
        <w:br w:type="textWrapping"/>
      </w:r>
      <w:r>
        <w:rPr>
          <w:rFonts w:hint="eastAsia" w:ascii="仿宋" w:hAnsi="仿宋" w:eastAsia="仿宋" w:cs="仿宋"/>
          <w:sz w:val="32"/>
          <w:szCs w:val="32"/>
        </w:rPr>
        <w:t>　　2.病区（房）内发现疑似或确诊患者，启动相关应急预案和工作流程，按规范要求实施及时有效隔离、救治和转诊。</w:t>
      </w:r>
      <w:r>
        <w:rPr>
          <w:rFonts w:hint="eastAsia" w:ascii="仿宋" w:hAnsi="仿宋" w:eastAsia="仿宋" w:cs="仿宋"/>
          <w:sz w:val="32"/>
          <w:szCs w:val="32"/>
        </w:rPr>
        <w:br w:type="textWrapping"/>
      </w:r>
      <w:r>
        <w:rPr>
          <w:rFonts w:hint="eastAsia" w:ascii="仿宋" w:hAnsi="仿宋" w:eastAsia="仿宋" w:cs="仿宋"/>
          <w:sz w:val="32"/>
          <w:szCs w:val="32"/>
        </w:rPr>
        <w:t>　　3.疑似或确诊患者宜专人诊疗与护理，限制无关医务人员的出入，原则上不探视；有条件的可以安置在负压病房。</w:t>
      </w:r>
      <w:r>
        <w:rPr>
          <w:rFonts w:hint="eastAsia" w:ascii="仿宋" w:hAnsi="仿宋" w:eastAsia="仿宋" w:cs="仿宋"/>
          <w:sz w:val="32"/>
          <w:szCs w:val="32"/>
        </w:rPr>
        <w:br w:type="textWrapping"/>
      </w:r>
      <w:r>
        <w:rPr>
          <w:rFonts w:hint="eastAsia" w:ascii="仿宋" w:hAnsi="仿宋" w:eastAsia="仿宋" w:cs="仿宋"/>
          <w:sz w:val="32"/>
          <w:szCs w:val="32"/>
        </w:rPr>
        <w:t>　　4.不具备救治条件的非定点医院，应当及时转到有隔离和救治能力的定点医院。等候转诊期间对患者采取有效的隔离和救治措施。</w:t>
      </w:r>
      <w:r>
        <w:rPr>
          <w:rFonts w:hint="eastAsia" w:ascii="仿宋" w:hAnsi="仿宋" w:eastAsia="仿宋" w:cs="仿宋"/>
          <w:sz w:val="32"/>
          <w:szCs w:val="32"/>
        </w:rPr>
        <w:br w:type="textWrapping"/>
      </w:r>
      <w:r>
        <w:rPr>
          <w:rFonts w:hint="eastAsia" w:ascii="仿宋" w:hAnsi="仿宋" w:eastAsia="仿宋" w:cs="仿宋"/>
          <w:sz w:val="32"/>
          <w:szCs w:val="32"/>
        </w:rPr>
        <w:t>　　5.患者转出后按《医疗机构消毒技术规范》对其接触环境进行终末处理。</w:t>
      </w:r>
      <w:r>
        <w:rPr>
          <w:rFonts w:hint="eastAsia" w:ascii="仿宋" w:hAnsi="仿宋" w:eastAsia="仿宋" w:cs="仿宋"/>
          <w:sz w:val="32"/>
          <w:szCs w:val="32"/>
        </w:rPr>
        <w:br w:type="textWrapping"/>
      </w:r>
      <w:r>
        <w:rPr>
          <w:rFonts w:hint="eastAsia" w:ascii="仿宋" w:hAnsi="仿宋" w:eastAsia="仿宋" w:cs="仿宋"/>
          <w:sz w:val="32"/>
          <w:szCs w:val="32"/>
        </w:rPr>
        <w:t>　　（四）收治疑似或确诊新型冠状病毒感染的肺炎患者的病区（房）。</w:t>
      </w:r>
      <w:r>
        <w:rPr>
          <w:rFonts w:hint="eastAsia" w:ascii="仿宋" w:hAnsi="仿宋" w:eastAsia="仿宋" w:cs="仿宋"/>
          <w:sz w:val="32"/>
          <w:szCs w:val="32"/>
        </w:rPr>
        <w:br w:type="textWrapping"/>
      </w:r>
      <w:r>
        <w:rPr>
          <w:rFonts w:hint="eastAsia" w:ascii="仿宋" w:hAnsi="仿宋" w:eastAsia="仿宋" w:cs="仿宋"/>
          <w:sz w:val="32"/>
          <w:szCs w:val="32"/>
        </w:rPr>
        <w:t>　　1.建筑布局和工作流程应当符合《医院隔离技术规范》等有关要求，并配备符合要求、数量合适的医务人员防护用品。设置负压病区（房）的医疗机构应当按相关要求实施规范管理。</w:t>
      </w:r>
      <w:r>
        <w:rPr>
          <w:rFonts w:hint="eastAsia" w:ascii="仿宋" w:hAnsi="仿宋" w:eastAsia="仿宋" w:cs="仿宋"/>
          <w:sz w:val="32"/>
          <w:szCs w:val="32"/>
        </w:rPr>
        <w:br w:type="textWrapping"/>
      </w:r>
      <w:r>
        <w:rPr>
          <w:rFonts w:hint="eastAsia" w:ascii="仿宋" w:hAnsi="仿宋" w:eastAsia="仿宋" w:cs="仿宋"/>
          <w:sz w:val="32"/>
          <w:szCs w:val="32"/>
        </w:rPr>
        <w:t>　　2.对疑似或确诊患者应当及时采取隔离措施，疑似患者和确诊患者应当分开安置；疑似患者进行单间隔离，经病原学确诊的患者可以同室安置。</w:t>
      </w:r>
      <w:r>
        <w:rPr>
          <w:rFonts w:hint="eastAsia" w:ascii="仿宋" w:hAnsi="仿宋" w:eastAsia="仿宋" w:cs="仿宋"/>
          <w:sz w:val="32"/>
          <w:szCs w:val="32"/>
        </w:rPr>
        <w:br w:type="textWrapping"/>
      </w:r>
      <w:r>
        <w:rPr>
          <w:rFonts w:hint="eastAsia" w:ascii="仿宋" w:hAnsi="仿宋" w:eastAsia="仿宋" w:cs="仿宋"/>
          <w:sz w:val="32"/>
          <w:szCs w:val="32"/>
        </w:rPr>
        <w:t>　　3.在实施标准预防的基础上，采取接触隔离、飞沫隔离和空气隔离等措施。具体措施包括：</w:t>
      </w:r>
      <w:r>
        <w:rPr>
          <w:rFonts w:hint="eastAsia" w:ascii="仿宋" w:hAnsi="仿宋" w:eastAsia="仿宋" w:cs="仿宋"/>
          <w:sz w:val="32"/>
          <w:szCs w:val="32"/>
        </w:rPr>
        <w:br w:type="textWrapping"/>
      </w:r>
      <w:r>
        <w:rPr>
          <w:rFonts w:hint="eastAsia" w:ascii="仿宋" w:hAnsi="仿宋" w:eastAsia="仿宋" w:cs="仿宋"/>
          <w:sz w:val="32"/>
          <w:szCs w:val="32"/>
        </w:rPr>
        <w:t>　　（1）进出隔离病房，应当严格执行《医院隔离技术规范》《医务人员穿脱防护用品的流程》，正确实施手卫生及穿脱防护用品。</w:t>
      </w:r>
      <w:r>
        <w:rPr>
          <w:rFonts w:hint="eastAsia" w:ascii="仿宋" w:hAnsi="仿宋" w:eastAsia="仿宋" w:cs="仿宋"/>
          <w:sz w:val="32"/>
          <w:szCs w:val="32"/>
        </w:rPr>
        <w:br w:type="textWrapping"/>
      </w:r>
      <w:r>
        <w:rPr>
          <w:rFonts w:hint="eastAsia" w:ascii="仿宋" w:hAnsi="仿宋" w:eastAsia="仿宋" w:cs="仿宋"/>
          <w:sz w:val="32"/>
          <w:szCs w:val="32"/>
        </w:rPr>
        <w:t>　　（2）应当制定医务人员穿脱防护用品的流程；制作流程图和配置穿衣镜。配备熟练感染防控技术的人员督导医务人员防护用品的穿脱，防止污染。</w:t>
      </w:r>
      <w:r>
        <w:rPr>
          <w:rFonts w:hint="eastAsia" w:ascii="仿宋" w:hAnsi="仿宋" w:eastAsia="仿宋" w:cs="仿宋"/>
          <w:sz w:val="32"/>
          <w:szCs w:val="32"/>
        </w:rPr>
        <w:br w:type="textWrapping"/>
      </w:r>
      <w:r>
        <w:rPr>
          <w:rFonts w:hint="eastAsia" w:ascii="仿宋" w:hAnsi="仿宋" w:eastAsia="仿宋" w:cs="仿宋"/>
          <w:sz w:val="32"/>
          <w:szCs w:val="32"/>
        </w:rPr>
        <w:t>　　（3）用于诊疗疑似或确诊患者的听诊器、体温计、血压计等医疗器具及护理物品应当专人专用。若条件有限，不能保障医疗器具专人专用时，每次使用后应当进行规范的清洁和消毒。</w:t>
      </w:r>
      <w:r>
        <w:rPr>
          <w:rFonts w:hint="eastAsia" w:ascii="仿宋" w:hAnsi="仿宋" w:eastAsia="仿宋" w:cs="仿宋"/>
          <w:sz w:val="32"/>
          <w:szCs w:val="32"/>
        </w:rPr>
        <w:br w:type="textWrapping"/>
      </w:r>
      <w:r>
        <w:rPr>
          <w:rFonts w:hint="eastAsia" w:ascii="仿宋" w:hAnsi="仿宋" w:eastAsia="仿宋" w:cs="仿宋"/>
          <w:sz w:val="32"/>
          <w:szCs w:val="32"/>
        </w:rPr>
        <w:t>　　4.重症患者应当收治在重症监护病房或者具备监护和抢救条件的病室，收治重症患者的监护病房或者具备监护和抢救条件的病室不得收治其他患者。</w:t>
      </w:r>
      <w:r>
        <w:rPr>
          <w:rFonts w:hint="eastAsia" w:ascii="仿宋" w:hAnsi="仿宋" w:eastAsia="仿宋" w:cs="仿宋"/>
          <w:sz w:val="32"/>
          <w:szCs w:val="32"/>
        </w:rPr>
        <w:br w:type="textWrapping"/>
      </w:r>
      <w:r>
        <w:rPr>
          <w:rFonts w:hint="eastAsia" w:ascii="仿宋" w:hAnsi="仿宋" w:eastAsia="仿宋" w:cs="仿宋"/>
          <w:sz w:val="32"/>
          <w:szCs w:val="32"/>
        </w:rPr>
        <w:t>　　5.严格探视制度，原则上不设陪护。若患者病情危重等特殊情况必须探视的，探视者必须严格按照规定做好个人防护。</w:t>
      </w:r>
      <w:r>
        <w:rPr>
          <w:rFonts w:hint="eastAsia" w:ascii="仿宋" w:hAnsi="仿宋" w:eastAsia="仿宋" w:cs="仿宋"/>
          <w:sz w:val="32"/>
          <w:szCs w:val="32"/>
        </w:rPr>
        <w:br w:type="textWrapping"/>
      </w:r>
      <w:r>
        <w:rPr>
          <w:rFonts w:hint="eastAsia" w:ascii="仿宋" w:hAnsi="仿宋" w:eastAsia="仿宋" w:cs="仿宋"/>
          <w:sz w:val="32"/>
          <w:szCs w:val="32"/>
        </w:rPr>
        <w:t>　　6.按照《医院空气净化管理规范》规定，进行空气净化。</w:t>
      </w:r>
      <w:r>
        <w:rPr>
          <w:rFonts w:hint="eastAsia" w:ascii="仿宋_GB2312" w:hAnsi="仿宋_GB2312" w:eastAsia="仿宋_GB2312" w:cs="仿宋_GB2312"/>
          <w:sz w:val="32"/>
          <w:szCs w:val="32"/>
        </w:rPr>
        <w:br w:type="textWrapping"/>
      </w:r>
      <w:r>
        <w:rPr>
          <w:rFonts w:hint="eastAsia" w:ascii="黑体" w:hAnsi="黑体" w:eastAsia="黑体"/>
          <w:sz w:val="32"/>
          <w:szCs w:val="32"/>
        </w:rPr>
        <w:t>　　三、医务人员防护</w:t>
      </w:r>
      <w:r>
        <w:rPr>
          <w:rFonts w:hint="eastAsia" w:ascii="黑体" w:hAnsi="黑体" w:eastAsia="黑体"/>
          <w:sz w:val="32"/>
          <w:szCs w:val="32"/>
        </w:rPr>
        <w:br w:type="textWrapping"/>
      </w:r>
      <w:r>
        <w:rPr>
          <w:rFonts w:hint="eastAsia" w:ascii="仿宋" w:hAnsi="仿宋" w:eastAsia="仿宋"/>
          <w:sz w:val="32"/>
          <w:szCs w:val="32"/>
        </w:rPr>
        <w:t>　</w:t>
      </w:r>
      <w:r>
        <w:rPr>
          <w:rFonts w:hint="eastAsia" w:ascii="仿宋" w:hAnsi="仿宋" w:eastAsia="仿宋" w:cs="仿宋"/>
          <w:sz w:val="32"/>
          <w:szCs w:val="32"/>
        </w:rPr>
        <w:t>　（一）医疗机构和医务人员应当强化标准预防措施的落实，做好诊区、病区（房）的通风管理，严格落实《医务人员手卫生规范》要求，佩戴医用外科口罩/医用防护口罩，必要时戴乳胶手套。</w:t>
      </w:r>
      <w:r>
        <w:rPr>
          <w:rFonts w:hint="eastAsia" w:ascii="仿宋" w:hAnsi="仿宋" w:eastAsia="仿宋" w:cs="仿宋"/>
          <w:sz w:val="32"/>
          <w:szCs w:val="32"/>
        </w:rPr>
        <w:br w:type="textWrapping"/>
      </w:r>
      <w:r>
        <w:rPr>
          <w:rFonts w:hint="eastAsia" w:ascii="仿宋" w:hAnsi="仿宋" w:eastAsia="仿宋" w:cs="仿宋"/>
          <w:sz w:val="32"/>
          <w:szCs w:val="32"/>
        </w:rPr>
        <w:t>　　（二）采取飞沫隔离、接触隔离和空气隔离防护措施，根据不同情形，做到以下防护。</w:t>
      </w:r>
      <w:r>
        <w:rPr>
          <w:rFonts w:hint="eastAsia" w:ascii="仿宋" w:hAnsi="仿宋" w:eastAsia="仿宋" w:cs="仿宋"/>
          <w:sz w:val="32"/>
          <w:szCs w:val="32"/>
        </w:rPr>
        <w:br w:type="textWrapping"/>
      </w:r>
      <w:r>
        <w:rPr>
          <w:rFonts w:hint="eastAsia" w:ascii="仿宋" w:hAnsi="仿宋" w:eastAsia="仿宋" w:cs="仿宋"/>
          <w:sz w:val="32"/>
          <w:szCs w:val="32"/>
        </w:rPr>
        <w:t>　　1.接触患者的血液、体液、分泌物、排泄物、呕吐物及污染物品时：戴清洁手套，脱手套后洗手。</w:t>
      </w:r>
      <w:r>
        <w:rPr>
          <w:rFonts w:hint="eastAsia" w:ascii="仿宋" w:hAnsi="仿宋" w:eastAsia="仿宋" w:cs="仿宋"/>
          <w:sz w:val="32"/>
          <w:szCs w:val="32"/>
        </w:rPr>
        <w:br w:type="textWrapping"/>
      </w:r>
      <w:r>
        <w:rPr>
          <w:rFonts w:hint="eastAsia" w:ascii="仿宋" w:hAnsi="仿宋" w:eastAsia="仿宋" w:cs="仿宋"/>
          <w:sz w:val="32"/>
          <w:szCs w:val="32"/>
        </w:rPr>
        <w:t>　　2.可能受到患者血液、体液、分泌物等喷溅时：戴医用防护口罩、护目镜、穿防渗隔离衣。</w:t>
      </w:r>
      <w:r>
        <w:rPr>
          <w:rFonts w:hint="eastAsia" w:ascii="仿宋" w:hAnsi="仿宋" w:eastAsia="仿宋" w:cs="仿宋"/>
          <w:sz w:val="32"/>
          <w:szCs w:val="32"/>
        </w:rPr>
        <w:br w:type="textWrapping"/>
      </w:r>
      <w:r>
        <w:rPr>
          <w:rFonts w:hint="eastAsia" w:ascii="仿宋" w:hAnsi="仿宋" w:eastAsia="仿宋" w:cs="仿宋"/>
          <w:sz w:val="32"/>
          <w:szCs w:val="32"/>
        </w:rPr>
        <w:t>　　3.为疑似患者或确诊患者实施可能产生气溶胶的操作（如气管插管、无创通气、气管切开，心肺复苏，插管前手动通气和支气管镜检查等）时：</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（1）采取空气隔离措施；</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（2）佩戴医用防护口罩，并进行密闭性能检测；</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（3）眼部防护（如护目镜或面罩）；</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（4）穿防体液渗入的长袖隔离衣，戴手套；</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（5）操作应当在通风良好的房间内进行；</w:t>
      </w:r>
    </w:p>
    <w:p>
      <w:pPr>
        <w:pStyle w:val="18"/>
        <w:wordWrap/>
        <w:spacing w:before="0" w:beforeAutospacing="0" w:after="0" w:afterAutospacing="0" w:line="560" w:lineRule="exact"/>
        <w:ind w:firstLine="645"/>
        <w:textAlignment w:val="auto"/>
        <w:rPr>
          <w:rFonts w:hint="eastAsia" w:ascii="仿宋" w:hAnsi="仿宋" w:eastAsia="仿宋" w:cs="仿宋"/>
          <w:sz w:val="32"/>
          <w:szCs w:val="32"/>
        </w:rPr>
      </w:pPr>
      <w:r>
        <w:rPr>
          <w:rFonts w:hint="eastAsia" w:ascii="仿宋" w:hAnsi="仿宋" w:eastAsia="仿宋" w:cs="仿宋"/>
          <w:sz w:val="32"/>
          <w:szCs w:val="32"/>
        </w:rPr>
        <w:t>（6）房间中人数限制在患者所需护理和支持的最低数量。</w:t>
      </w:r>
    </w:p>
    <w:p>
      <w:pPr>
        <w:pStyle w:val="18"/>
        <w:wordWrap/>
        <w:spacing w:before="0" w:beforeAutospacing="0" w:after="0" w:afterAutospacing="0" w:line="560" w:lineRule="exact"/>
        <w:ind w:firstLine="645"/>
        <w:textAlignment w:val="auto"/>
        <w:rPr>
          <w:rFonts w:hint="eastAsia" w:ascii="黑体" w:hAnsi="黑体" w:eastAsia="黑体" w:cs="黑体"/>
          <w:szCs w:val="32"/>
        </w:rPr>
      </w:pPr>
      <w:r>
        <w:rPr>
          <w:rFonts w:hint="eastAsia" w:ascii="仿宋" w:hAnsi="仿宋" w:eastAsia="仿宋" w:cs="仿宋"/>
          <w:sz w:val="32"/>
          <w:szCs w:val="32"/>
        </w:rPr>
        <w:t>（三）医务人员使用的防护用品应当符合国家有关标准。</w:t>
      </w:r>
      <w:r>
        <w:rPr>
          <w:rFonts w:hint="eastAsia" w:ascii="仿宋" w:hAnsi="仿宋" w:eastAsia="仿宋" w:cs="仿宋"/>
          <w:sz w:val="32"/>
          <w:szCs w:val="32"/>
        </w:rPr>
        <w:br w:type="textWrapping"/>
      </w:r>
      <w:r>
        <w:rPr>
          <w:rFonts w:hint="eastAsia" w:ascii="仿宋" w:hAnsi="仿宋" w:eastAsia="仿宋" w:cs="仿宋"/>
          <w:sz w:val="32"/>
          <w:szCs w:val="32"/>
        </w:rPr>
        <w:t>　　（四）医用外科口罩、医用防护口罩、护目镜、隔离衣等防护用品被患者血液、体液、分泌物等污染时应当及时更换。</w:t>
      </w:r>
      <w:r>
        <w:rPr>
          <w:rFonts w:hint="eastAsia" w:ascii="仿宋" w:hAnsi="仿宋" w:eastAsia="仿宋" w:cs="仿宋"/>
          <w:sz w:val="32"/>
          <w:szCs w:val="32"/>
        </w:rPr>
        <w:br w:type="textWrapping"/>
      </w:r>
      <w:r>
        <w:rPr>
          <w:rFonts w:hint="eastAsia" w:ascii="仿宋" w:hAnsi="仿宋" w:eastAsia="仿宋" w:cs="仿宋"/>
          <w:sz w:val="32"/>
          <w:szCs w:val="32"/>
        </w:rPr>
        <w:t>　　（五）正确使用防护用品，戴手套前应当洗手，脱去手套或隔离服后应当立即流动水洗手。</w:t>
      </w:r>
      <w:r>
        <w:rPr>
          <w:rFonts w:hint="eastAsia" w:ascii="仿宋" w:hAnsi="仿宋" w:eastAsia="仿宋" w:cs="仿宋"/>
          <w:sz w:val="32"/>
          <w:szCs w:val="32"/>
        </w:rPr>
        <w:br w:type="textWrapping"/>
      </w:r>
      <w:r>
        <w:rPr>
          <w:rFonts w:hint="eastAsia" w:ascii="仿宋" w:hAnsi="仿宋" w:eastAsia="仿宋" w:cs="仿宋"/>
          <w:sz w:val="32"/>
          <w:szCs w:val="32"/>
        </w:rPr>
        <w:t>　　（六）严格执行锐器伤防范措施。</w:t>
      </w:r>
      <w:r>
        <w:rPr>
          <w:rFonts w:hint="eastAsia" w:ascii="仿宋" w:hAnsi="仿宋" w:eastAsia="仿宋" w:cs="仿宋"/>
          <w:sz w:val="32"/>
          <w:szCs w:val="32"/>
        </w:rPr>
        <w:br w:type="textWrapping"/>
      </w:r>
      <w:r>
        <w:rPr>
          <w:rFonts w:hint="eastAsia" w:ascii="仿宋" w:hAnsi="仿宋" w:eastAsia="仿宋" w:cs="仿宋"/>
          <w:sz w:val="32"/>
          <w:szCs w:val="32"/>
        </w:rPr>
        <w:t>　　（七）每位患者用后的医疗器械、器具应当按照《医疗机构消毒技术规范》要求进行清洁与消毒。</w:t>
      </w:r>
      <w:r>
        <w:rPr>
          <w:rFonts w:hint="eastAsia" w:ascii="仿宋" w:hAnsi="仿宋" w:eastAsia="仿宋" w:cs="仿宋"/>
          <w:sz w:val="32"/>
          <w:szCs w:val="32"/>
        </w:rPr>
        <w:br w:type="textWrapping"/>
      </w:r>
      <w:r>
        <w:rPr>
          <w:rFonts w:hint="eastAsia" w:ascii="黑体" w:hAnsi="黑体" w:eastAsia="黑体"/>
          <w:sz w:val="32"/>
          <w:szCs w:val="32"/>
        </w:rPr>
        <w:t>　　四、加强患者管理</w:t>
      </w:r>
      <w:r>
        <w:rPr>
          <w:rFonts w:hint="eastAsia" w:ascii="黑体" w:hAnsi="黑体" w:eastAsia="黑体"/>
          <w:sz w:val="32"/>
          <w:szCs w:val="32"/>
        </w:rPr>
        <w:br w:type="textWrapping"/>
      </w:r>
      <w:r>
        <w:rPr>
          <w:rFonts w:hint="eastAsia" w:ascii="仿宋" w:hAnsi="仿宋" w:eastAsia="仿宋"/>
          <w:sz w:val="32"/>
          <w:szCs w:val="32"/>
        </w:rPr>
        <w:t>　</w:t>
      </w:r>
      <w:r>
        <w:rPr>
          <w:rFonts w:hint="eastAsia" w:ascii="仿宋" w:hAnsi="仿宋" w:eastAsia="仿宋" w:cs="仿宋"/>
          <w:sz w:val="32"/>
          <w:szCs w:val="32"/>
        </w:rPr>
        <w:t>　（一）对疑似或确诊患者及时进行隔离，并按照指定规范路线由专人引导进入隔离区。</w:t>
      </w:r>
      <w:r>
        <w:rPr>
          <w:rFonts w:hint="eastAsia" w:ascii="仿宋" w:hAnsi="仿宋" w:eastAsia="仿宋" w:cs="仿宋"/>
          <w:sz w:val="32"/>
          <w:szCs w:val="32"/>
        </w:rPr>
        <w:br w:type="textWrapping"/>
      </w:r>
      <w:r>
        <w:rPr>
          <w:rFonts w:hint="eastAsia" w:ascii="仿宋" w:hAnsi="仿宋" w:eastAsia="仿宋" w:cs="仿宋"/>
          <w:sz w:val="32"/>
          <w:szCs w:val="32"/>
        </w:rPr>
        <w:t>　　（二）患者进入病区前更换患者服，个人物品及换下的衣服集中消毒处理后，存放于指定地点由医疗机构统一保管。</w:t>
      </w:r>
      <w:r>
        <w:rPr>
          <w:rFonts w:hint="eastAsia" w:ascii="仿宋" w:hAnsi="仿宋" w:eastAsia="仿宋" w:cs="仿宋"/>
          <w:sz w:val="32"/>
          <w:szCs w:val="32"/>
        </w:rPr>
        <w:br w:type="textWrapping"/>
      </w:r>
      <w:r>
        <w:rPr>
          <w:rFonts w:hint="eastAsia" w:ascii="仿宋" w:hAnsi="仿宋" w:eastAsia="仿宋" w:cs="仿宋"/>
          <w:sz w:val="32"/>
          <w:szCs w:val="32"/>
        </w:rPr>
        <w:t>　　（三）指导患者正确选择、佩戴口罩，正确实施咳嗽礼仪和手卫生。</w:t>
      </w:r>
      <w:r>
        <w:rPr>
          <w:rFonts w:hint="eastAsia" w:ascii="仿宋" w:hAnsi="仿宋" w:eastAsia="仿宋" w:cs="仿宋"/>
          <w:sz w:val="32"/>
          <w:szCs w:val="32"/>
        </w:rPr>
        <w:br w:type="textWrapping"/>
      </w:r>
      <w:r>
        <w:rPr>
          <w:rFonts w:hint="eastAsia" w:ascii="仿宋" w:hAnsi="仿宋" w:eastAsia="仿宋" w:cs="仿宋"/>
          <w:sz w:val="32"/>
          <w:szCs w:val="32"/>
        </w:rPr>
        <w:t>　　（四）加强对患者探视或陪护人员的管理。</w:t>
      </w:r>
      <w:r>
        <w:rPr>
          <w:rFonts w:hint="eastAsia" w:ascii="仿宋" w:hAnsi="仿宋" w:eastAsia="仿宋" w:cs="仿宋"/>
          <w:sz w:val="32"/>
          <w:szCs w:val="32"/>
        </w:rPr>
        <w:br w:type="textWrapping"/>
      </w:r>
      <w:r>
        <w:rPr>
          <w:rFonts w:hint="eastAsia" w:ascii="仿宋" w:hAnsi="仿宋" w:eastAsia="仿宋" w:cs="仿宋"/>
          <w:sz w:val="32"/>
          <w:szCs w:val="32"/>
        </w:rPr>
        <w:t>　　（五）对被隔离的患者，原则上其活动限制在隔离病房内，减少患者的移动和转换病房，若确需离开隔离病房或隔离区域时，应当采取相应措施如佩戴医用外科口罩，防止患者对其他患者和环境造成污染。</w:t>
      </w:r>
      <w:r>
        <w:rPr>
          <w:rFonts w:hint="eastAsia" w:ascii="仿宋" w:hAnsi="仿宋" w:eastAsia="仿宋" w:cs="仿宋"/>
          <w:sz w:val="32"/>
          <w:szCs w:val="32"/>
        </w:rPr>
        <w:br w:type="textWrapping"/>
      </w:r>
      <w:r>
        <w:rPr>
          <w:rFonts w:hint="eastAsia" w:ascii="仿宋" w:hAnsi="仿宋" w:eastAsia="仿宋" w:cs="仿宋"/>
          <w:sz w:val="32"/>
          <w:szCs w:val="32"/>
        </w:rPr>
        <w:t>　　（六）疑似或确诊患者出院、转院时，应当更换干净衣服后方可离开，按《医疗机构消毒技术规范》对其接触环境进行终末消毒。</w:t>
      </w:r>
      <w:r>
        <w:rPr>
          <w:rFonts w:hint="eastAsia" w:ascii="仿宋" w:hAnsi="仿宋" w:eastAsia="仿宋" w:cs="仿宋"/>
          <w:sz w:val="32"/>
          <w:szCs w:val="32"/>
        </w:rPr>
        <w:br w:type="textWrapping"/>
      </w:r>
      <w:r>
        <w:rPr>
          <w:rFonts w:hint="eastAsia" w:ascii="仿宋" w:hAnsi="仿宋" w:eastAsia="仿宋" w:cs="仿宋"/>
          <w:sz w:val="32"/>
          <w:szCs w:val="32"/>
        </w:rPr>
        <w:t>　　（七）疑似或确诊患者死亡的，对尸体应当及时进行处理。处理方法为：用3000mg/L的含氯消毒剂或0.5%过氧乙酸棉球或纱布填塞患者口、鼻、耳、肛门等所有开放通道；用双层布单包裹尸体，装入双层尸体袋中，由专用车辆直接送至指定地点火化。患者住院期间使用的个人物品经消毒后方可随患者或家属带回家。</w:t>
      </w:r>
    </w:p>
    <w:p>
      <w:pPr>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附件4</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社区（乡镇、村）新冠肺炎防控技术方案</w:t>
      </w:r>
    </w:p>
    <w:p>
      <w:pPr>
        <w:wordWrap/>
        <w:adjustRightInd w:val="0"/>
        <w:snapToGrid w:val="0"/>
        <w:spacing w:line="560" w:lineRule="exact"/>
        <w:ind w:firstLine="883" w:firstLineChars="200"/>
        <w:textAlignment w:val="auto"/>
        <w:outlineLvl w:val="9"/>
        <w:rPr>
          <w:rFonts w:ascii="宋体" w:hAnsi="宋体" w:eastAsia="仿宋_GB2312" w:cs="Times New Roman"/>
          <w:b/>
          <w:sz w:val="44"/>
          <w:szCs w:val="44"/>
        </w:rPr>
      </w:pPr>
    </w:p>
    <w:p>
      <w:pPr>
        <w:wordWrap/>
        <w:adjustRightInd w:val="0"/>
        <w:snapToGrid w:val="0"/>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一、落实责任</w:t>
      </w:r>
    </w:p>
    <w:p>
      <w:pPr>
        <w:wordWrap/>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kern w:val="0"/>
          <w:sz w:val="32"/>
          <w:szCs w:val="32"/>
        </w:rPr>
        <w:t>（一）落实主体责任。</w:t>
      </w:r>
      <w:r>
        <w:rPr>
          <w:rFonts w:hint="eastAsia" w:ascii="仿宋" w:hAnsi="仿宋" w:eastAsia="仿宋" w:cs="仿宋"/>
          <w:sz w:val="32"/>
          <w:szCs w:val="32"/>
        </w:rPr>
        <w:t>压实属地、部门、单位、个人“四方责任”，落实落细基层社区（乡镇、村）、单位网格化管理，指导做好辖区和单位内人员往来摸排和健康监测登记工作，对重点场所、重点人群和重点环节进行体温监测，尽早发现可疑病例。</w:t>
      </w:r>
    </w:p>
    <w:p>
      <w:pPr>
        <w:wordWrap/>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kern w:val="0"/>
          <w:sz w:val="32"/>
          <w:szCs w:val="32"/>
        </w:rPr>
        <w:t>（二）推进联防联控协同防控。</w:t>
      </w:r>
      <w:r>
        <w:rPr>
          <w:rFonts w:hint="eastAsia" w:ascii="仿宋" w:hAnsi="仿宋" w:eastAsia="仿宋" w:cs="仿宋"/>
          <w:sz w:val="32"/>
          <w:szCs w:val="32"/>
        </w:rPr>
        <w:t>部门通力协作，及时排查来自疫情高风险地区人员，提高社区摸排工作效率，快速追踪密切接触者。通过视频滚动播放、张贴宣传材料、广播等手段，播放疫情防范知识，提高社区居民防范认识。</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Times New Roman"/>
          <w:sz w:val="32"/>
          <w:szCs w:val="32"/>
        </w:rPr>
        <w:t>二、</w:t>
      </w:r>
      <w:r>
        <w:rPr>
          <w:rFonts w:hint="eastAsia" w:ascii="黑体" w:hAnsi="黑体" w:eastAsia="黑体" w:cs="黑体"/>
          <w:sz w:val="32"/>
          <w:szCs w:val="32"/>
        </w:rPr>
        <w:t>社区未发现病例</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实施“外防输入”的策略，具体措施包括组织动员、健康教育、信息告知、重点地区和高风险地区返回人员管理、环境卫生治理、物资准备等。</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组织动员：社区要建立新冠肺炎疫情防控工作组织体系，以街道（乡镇）和社区（村）干部、社区卫生服务中心和家庭医生为主，鼓励居民和志愿者参与，组成专兼职结合的工作队伍，实施网格化、地毯式管理，责任落实到人，对社区（村）、楼栋（自然村）、家庭进行全覆盖，落实防控措施。</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2.健康教育：充分利用多种手段</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有针对性地开展新冠肺炎防控知识宣传</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积极倡导讲卫生、除陋习</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摒弃乱扔、乱吐等不文明行为</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营造“每个人是自己健康第一责任人”“我的健康我做主”的良好氛围。使群众充分了解健康知识</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掌握防护要点</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养成手卫生、多通风、保持清洁的良好习惯</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 xml:space="preserve"> 减少出行，避免参加集会、聚会，乘坐公共交通或前往人群密集场所时做好防护，戴口罩，避免接触动物（尤其是野生动物）、禽类或其粪便。</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3.信息告知：向公众发布就诊信息，出现呼吸道症状无发热者到社区卫生服务中心（乡镇卫生院）就诊，发热患者到发热门诊就诊，新型冠状病毒感染者到定点医院就诊。每日发布本地及本社区疫情信息，提示出行、旅行风险。</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4.重点地区和高风险地区返回人员管理：社区要发布告示，要求从疫情防控重点地区和高风险地区返回人员应当立即到所在村支部或社区进行登记，按规定接受集中或居家隔离14天。所有重点地区和高风险地区返乡的出现发热呼吸道症状者，及时就近就医排查，根据要求居家隔离或到政府指定地点或医院隔离。隔离期间请与本地医务人员或疾控中心保持联系，以便跟踪观察。</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5.环境卫生治理：社区（乡镇、村）开展以环境整治为主、药物消杀为辅的病媒生物综合防制</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对居民小区、垃圾中转站、建筑工地等重点场所进行卫生清理</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处理垃圾污物</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消除鼠、蟑、蚊、蝇等病媒生物孳生环境。及时组织开展全面的病媒生物防制与消杀</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有效降低病媒生物密度。</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 w:hAnsi="仿宋" w:eastAsia="仿宋" w:cs="仿宋"/>
          <w:b w:val="0"/>
          <w:bCs w:val="0"/>
          <w:sz w:val="32"/>
          <w:szCs w:val="32"/>
        </w:rPr>
        <w:t>6.物资准备：医疗机构物资保障供应与管理，由专人负责，统一管理，统一调拨，做到日清月结、账实相符。各社区卫生服务中心（乡镇卫生院）按照“分级、分类、定额”的管理原则，根据社区或防控要求实施不同级别的防护措施，根据不同任务和工作人数定额发放相应防控物资。社区和家庭备置必需的防控物品和物资，如体温计、口罩、消毒用品等。社区居民物资保障，通过电商下单、供应商配送等多种方式保障物资的采购。鼓励开展露天广场交易日常物资，超市限时限流营业，避免居民集中采购、取送物资。组织专人做好孤寡老人、残疾人、单亲家庭等物资的采购与配送。</w:t>
      </w:r>
    </w:p>
    <w:p>
      <w:pPr>
        <w:wordWrap/>
        <w:adjustRightInd w:val="0"/>
        <w:snapToGrid w:val="0"/>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三、社区出现病例或暴发疫情</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采取“内防扩散、外防输出”的策略，具体包括上述6项措施，以及密切接触者管理、加强消毒。</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7.密切接触者管理：充分发挥社区预防保健医生、家庭签约医生、社区干部等网格管理员的作用，对新冠肺炎确诊病例的密切接触者开展排查并实施集中隔离医学观察，不具备条件的地区可采取居家隔离医学观察，并加强对居家观察对象的管理。每日随访密切接触者的健康状况，指导观察对象监测自身情况的变化，并随时做好记录。做好病人的隔离控制和转送定点医院等准备工作。</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 xml:space="preserve">8.消毒：社区要协助疾控机构，做好病例家庭、楼栋单元、单位办公室、会议室等疫点的消毒，以及公共场所清洁消毒。   </w:t>
      </w:r>
    </w:p>
    <w:p>
      <w:pPr>
        <w:wordWrap/>
        <w:adjustRightInd w:val="0"/>
        <w:snapToGrid w:val="0"/>
        <w:spacing w:line="560" w:lineRule="exact"/>
        <w:ind w:firstLine="640" w:firstLineChars="200"/>
        <w:textAlignment w:val="auto"/>
        <w:outlineLvl w:val="9"/>
        <w:rPr>
          <w:rFonts w:ascii="楷体" w:hAnsi="楷体" w:eastAsia="楷体" w:cs="Times New Roman"/>
          <w:sz w:val="32"/>
          <w:szCs w:val="32"/>
        </w:rPr>
      </w:pPr>
      <w:r>
        <w:rPr>
          <w:rFonts w:hint="eastAsia" w:ascii="黑体" w:hAnsi="黑体" w:eastAsia="黑体" w:cs="Times New Roman"/>
          <w:sz w:val="32"/>
          <w:szCs w:val="32"/>
        </w:rPr>
        <w:t>四、社区传播疫情</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采取“内防蔓延、外防输出”的策略，具体包括上述8项措施，以及疫区封锁、限制人员聚集等2项措施。</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9.疫区封锁：对划为疫区的社区，必要时可采取疫区封锁措施，限制人员进出，临时征用房屋、交通工具等。</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10.限制人员聚集：社区内限制或停止集市、集会等人群聚集的活动，关闭公共浴池、温泉、影院、网吧、商场等公共场所。必要时停工、停业、停课。</w:t>
      </w:r>
    </w:p>
    <w:p>
      <w:pPr>
        <w:wordWrap/>
        <w:adjustRightInd w:val="0"/>
        <w:snapToGrid w:val="0"/>
        <w:spacing w:line="560" w:lineRule="exact"/>
        <w:ind w:firstLine="640" w:firstLineChars="200"/>
        <w:textAlignment w:val="auto"/>
        <w:outlineLvl w:val="9"/>
        <w:rPr>
          <w:rFonts w:hint="eastAsia" w:ascii="黑体" w:hAnsi="黑体" w:eastAsia="黑体" w:cs="Times New Roman"/>
          <w:sz w:val="32"/>
          <w:szCs w:val="32"/>
        </w:rPr>
      </w:pPr>
      <w:r>
        <w:rPr>
          <w:rFonts w:hint="eastAsia" w:ascii="黑体" w:hAnsi="黑体" w:eastAsia="黑体" w:cs="Times New Roman"/>
          <w:sz w:val="32"/>
          <w:szCs w:val="32"/>
        </w:rPr>
        <w:t>五、居民健康指导</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11.保持家庭、楼内等室内场所空气流通。尽可能避免到封闭、空气不流通的公众场所和人员集中的场所，到人群聚集的公共场所或与人交谈时应当佩戴医用口罩。</w:t>
      </w:r>
    </w:p>
    <w:p>
      <w:pPr>
        <w:wordWrap/>
        <w:adjustRightInd w:val="0"/>
        <w:snapToGrid w:val="0"/>
        <w:spacing w:line="560" w:lineRule="exact"/>
        <w:ind w:firstLine="640" w:firstLineChars="200"/>
        <w:textAlignment w:val="auto"/>
        <w:outlineLvl w:val="9"/>
        <w:rPr>
          <w:rFonts w:hint="eastAsia" w:ascii="仿宋" w:hAnsi="仿宋" w:eastAsia="仿宋" w:cs="仿宋"/>
          <w:b w:val="0"/>
          <w:bCs w:val="0"/>
          <w:sz w:val="32"/>
          <w:szCs w:val="32"/>
        </w:rPr>
      </w:pPr>
      <w:r>
        <w:rPr>
          <w:rFonts w:hint="eastAsia" w:ascii="仿宋" w:hAnsi="仿宋" w:eastAsia="仿宋" w:cs="仿宋"/>
          <w:b w:val="0"/>
          <w:bCs w:val="0"/>
          <w:sz w:val="32"/>
          <w:szCs w:val="32"/>
        </w:rPr>
        <w:t>12.注意个人卫生。咳嗽或打喷嚏时，应当使用纸巾、弯曲手肘窝遮掩口鼻，防止飞沫传播。注意手卫生。咳嗽、饭前便后、接触公共物品（门把手或电梯按钮等）、处理动物排泄物后，要用流水洗手；或者使用含酒精成分的免洗洗手液；不用手触碰鼻腔和眼睛。污染的一次性物品（纸巾、口罩、手套等）应当放置在专门的垃圾袋内，绑紧袋口。避免共用日常生活物品（如牙刷、餐具、毛巾、床单等）。</w:t>
      </w:r>
    </w:p>
    <w:p>
      <w:pPr>
        <w:wordWrap/>
        <w:adjustRightInd w:val="0"/>
        <w:snapToGrid w:val="0"/>
        <w:spacing w:line="560" w:lineRule="exact"/>
        <w:ind w:firstLine="640" w:firstLineChars="200"/>
        <w:textAlignment w:val="auto"/>
        <w:outlineLvl w:val="9"/>
        <w:rPr>
          <w:rFonts w:hint="eastAsia" w:ascii="黑体" w:hAnsi="黑体" w:eastAsia="黑体" w:cs="黑体"/>
          <w:szCs w:val="32"/>
        </w:rPr>
      </w:pPr>
      <w:r>
        <w:rPr>
          <w:rFonts w:hint="eastAsia" w:ascii="仿宋" w:hAnsi="仿宋" w:eastAsia="仿宋" w:cs="仿宋"/>
          <w:b w:val="0"/>
          <w:bCs w:val="0"/>
          <w:sz w:val="32"/>
          <w:szCs w:val="32"/>
        </w:rPr>
        <w:t>13.特殊人群照顾。为老人、儿童、慢性病患者等特殊人群，提供24小时电话或者线上咨询服务。可根据社区条件，为独居或行动不便者，提供必要的上门医疗服务。</w:t>
      </w:r>
    </w:p>
    <w:p>
      <w:pPr>
        <w:wordWrap/>
        <w:spacing w:line="560" w:lineRule="exact"/>
        <w:textAlignment w:val="auto"/>
        <w:outlineLvl w:val="9"/>
      </w:pPr>
    </w:p>
    <w:p>
      <w:pPr>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附件5</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办公场所和公共场所新冠肺炎</w:t>
      </w: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防控技术方案</w:t>
      </w:r>
    </w:p>
    <w:p>
      <w:pPr>
        <w:wordWrap/>
        <w:spacing w:line="560" w:lineRule="exact"/>
        <w:textAlignment w:val="auto"/>
        <w:outlineLvl w:val="9"/>
        <w:rPr>
          <w:rFonts w:hint="eastAsia" w:ascii="黑体" w:hAnsi="黑体" w:eastAsia="黑体" w:cs="Times New Roman"/>
          <w:sz w:val="32"/>
          <w:szCs w:val="32"/>
        </w:rPr>
      </w:pPr>
      <w:r>
        <w:rPr>
          <w:rFonts w:hint="eastAsia" w:ascii="黑体" w:hAnsi="黑体" w:eastAsia="黑体" w:cs="Times New Roman"/>
          <w:sz w:val="32"/>
          <w:szCs w:val="32"/>
        </w:rPr>
        <w:t xml:space="preserve">  </w:t>
      </w:r>
    </w:p>
    <w:p>
      <w:pPr>
        <w:wordWrap/>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 xml:space="preserve">  一、工作前的准备</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Times New Roman"/>
          <w:sz w:val="32"/>
          <w:szCs w:val="32"/>
        </w:rPr>
        <w:t xml:space="preserve">    </w:t>
      </w:r>
      <w:r>
        <w:rPr>
          <w:rFonts w:hint="eastAsia" w:ascii="仿宋" w:hAnsi="仿宋" w:eastAsia="仿宋" w:cs="仿宋"/>
          <w:sz w:val="32"/>
          <w:szCs w:val="32"/>
        </w:rPr>
        <w:t xml:space="preserve">（一）保障防护物资配备。准备口罩、消毒剂、洗手液、速干手消毒剂、体温计等防控物资。强化人员培训。安排专人进行消毒操作规程和疫情防控措施的培训，提升疫情防控和应急处置能力。   </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（二）在办公场所和公共场所入口处要提醒人员，必要时佩戴口罩。在醒目位置张贴健康提示，利用各种显示屏宣传新冠肺炎及其他传染病防控知识。</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（三）可增设废弃口罩专用垃圾桶，用于投放使用过的口罩，并注意及时清理。</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（四）预防性消毒。日常以通风换气和清洁卫生为主，同时对接触较多的公用物品和部位进行预防性消毒。必要时对地面、墙壁等进行预防性消毒。</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（五）对员工进行健康监测。实行每日健康监测制度，建立体温监测登记本。外地返回工作人员需进行登记，并按属地管理原则进行管理。每天上班前应当对员工进行体温测量。</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（六）健康教育。对复工人员发放宣传手册，在办公场所和公共场所人流量大的地方张贴卫生防护海报，播放宣传视频，以及通过微信公众号、微博定向推送防护知识资料。</w:t>
      </w:r>
    </w:p>
    <w:p>
      <w:pPr>
        <w:wordWrap/>
        <w:spacing w:line="560" w:lineRule="exact"/>
        <w:textAlignment w:val="auto"/>
        <w:outlineLvl w:val="9"/>
        <w:rPr>
          <w:rFonts w:ascii="黑体" w:hAnsi="黑体" w:eastAsia="黑体" w:cs="Times New Roman"/>
          <w:sz w:val="32"/>
          <w:szCs w:val="32"/>
        </w:rPr>
      </w:pPr>
      <w:r>
        <w:rPr>
          <w:rFonts w:hint="eastAsia" w:ascii="Calibri" w:hAnsi="Calibri" w:eastAsia="仿宋_GB2312" w:cs="Times New Roman"/>
          <w:sz w:val="32"/>
          <w:szCs w:val="32"/>
        </w:rPr>
        <w:t xml:space="preserve">    </w:t>
      </w:r>
      <w:r>
        <w:rPr>
          <w:rFonts w:hint="eastAsia" w:ascii="黑体" w:hAnsi="黑体" w:eastAsia="黑体" w:cs="Times New Roman"/>
          <w:sz w:val="32"/>
          <w:szCs w:val="32"/>
        </w:rPr>
        <w:t>二、场所内的卫生要求</w:t>
      </w:r>
    </w:p>
    <w:p>
      <w:pPr>
        <w:wordWrap/>
        <w:spacing w:line="560" w:lineRule="exact"/>
        <w:textAlignment w:val="auto"/>
        <w:outlineLvl w:val="9"/>
        <w:rPr>
          <w:rFonts w:hint="eastAsia" w:ascii="仿宋" w:hAnsi="仿宋" w:eastAsia="仿宋" w:cs="仿宋"/>
          <w:sz w:val="32"/>
          <w:szCs w:val="32"/>
        </w:rPr>
      </w:pPr>
      <w:r>
        <w:rPr>
          <w:rFonts w:hint="eastAsia" w:ascii="楷体" w:hAnsi="楷体" w:eastAsia="楷体" w:cs="Times New Roman"/>
          <w:sz w:val="32"/>
          <w:szCs w:val="32"/>
        </w:rPr>
        <w:t xml:space="preserve">    </w:t>
      </w:r>
      <w:r>
        <w:rPr>
          <w:rFonts w:hint="eastAsia" w:ascii="仿宋" w:hAnsi="仿宋" w:eastAsia="仿宋" w:cs="仿宋"/>
          <w:sz w:val="32"/>
          <w:szCs w:val="32"/>
        </w:rPr>
        <w:t>（一）通风换气。</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1.优先打开窗户，采用自然通风。有条件的可以开启排风扇等抽气装置以加强室内空气流动。</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2.使用集中空调通风系统时，应当保证集中空调通风系统运转正常。应关闭回风，使用全新风运行，确保室内有足够的新风量。</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3.应当保证厢式电梯的排气扇、地下车库通风系统运转正常。</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（二）空调运行。</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1.采用全新风方式运行并关闭空调加湿功能，确保新风直接取自室外、进风口清洁、出风口通畅。</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2.定期对空调进风口、出风口消毒采用有效氯500 mg/L的消毒液擦拭；加强对风机盘管的凝结水盘、冷却水的清洁消毒；空调通风系统的清洗消毒按照《公共场所集中空调通风系统清洗消毒规范》进行。</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（三）垃圾收集处理。</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1.分类收集，及时清运。普通垃圾放入黑色塑料袋，口罩等防护用品垃圾按照生活垃圾分类处理。垃圾筒及垃圾点周围无散落，垃圾存放点各类垃圾及时清运，垃圾无超时超量堆放。</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2.清洁消毒。垃圾转运车和垃圾筒保持清洁，可定期用有效氯500mg/L的含氯消毒剂喷洒或擦拭消毒；垃圾点墙壁、地面应保持清洁，可定期用有效氯500mg/L的含氯消毒液喷洒。</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（四）自动扶梯、厢式电梯。</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1.建议尽量避免乘坐厢式电梯，乘坐时应当佩戴口罩。</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2.厢式电梯的地面、侧壁应当保持清洁，每日消毒2次。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3.电梯按钮、自动扶梯扶手等经常接触部位每日消毒应当不少于3次。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（五）地下车库。</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地下车库的地面应当保持清洁。停车取卡按键等人员经常接触部位每日消毒应当不少于3次。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（六）会议室、办公室、多功能厅。</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1.保持办公区环境清洁，建议每日通风3次，每次20～30分钟，通风时注意保暖。</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2.工作人员应当佩戴口罩，交谈时保持1米以上距离。</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3.减少开会频次和会议时长，会议期间温度适宜时应当开窗或开门。建议采用网络视频会议等方式。</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（七）餐厅餐饮场所（区域）、食堂和茶水间。</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1.保持空气流通，以清洁为主，预防性消毒为辅。</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2.采取有效的分流措施，鼓励打包和外卖，避免人员密集和聚餐活动。</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3.餐厅每日消毒1次。</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（八）卫生间。</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1. 加强空气流通。确保洗手盆、地漏等水封隔离效果。</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2.每日随时进行卫生清洁，保持地面、墙壁清洁，洗手池无污垢，便池无粪便污物积累。</w:t>
      </w:r>
    </w:p>
    <w:p>
      <w:pPr>
        <w:wordWrap/>
        <w:spacing w:line="560" w:lineRule="exact"/>
        <w:textAlignment w:val="auto"/>
        <w:outlineLvl w:val="9"/>
        <w:rPr>
          <w:rFonts w:hint="eastAsia" w:ascii="仿宋" w:hAnsi="仿宋" w:eastAsia="仿宋" w:cs="仿宋"/>
          <w:sz w:val="32"/>
          <w:szCs w:val="32"/>
        </w:rPr>
      </w:pPr>
      <w:r>
        <w:rPr>
          <w:rFonts w:hint="eastAsia" w:ascii="仿宋" w:hAnsi="仿宋" w:eastAsia="仿宋" w:cs="仿宋"/>
          <w:sz w:val="32"/>
          <w:szCs w:val="32"/>
        </w:rPr>
        <w:t>3.物品表面消毒用有效氯500 mg/L的含氯消毒剂对公共台面、洗手池、门把手和卫生洁具等物体表面进行擦拭，30分钟后用清水擦拭干净。</w:t>
      </w:r>
    </w:p>
    <w:p>
      <w:pPr>
        <w:wordWrap/>
        <w:spacing w:line="560" w:lineRule="exact"/>
        <w:ind w:firstLine="648"/>
        <w:textAlignment w:val="auto"/>
        <w:outlineLvl w:val="9"/>
        <w:rPr>
          <w:rFonts w:ascii="黑体" w:hAnsi="黑体" w:eastAsia="黑体" w:cs="Times New Roman"/>
          <w:bCs/>
          <w:sz w:val="32"/>
          <w:szCs w:val="32"/>
        </w:rPr>
      </w:pPr>
      <w:r>
        <w:rPr>
          <w:rFonts w:hint="eastAsia" w:ascii="黑体" w:hAnsi="黑体" w:eastAsia="黑体" w:cs="Times New Roman"/>
          <w:bCs/>
          <w:sz w:val="32"/>
          <w:szCs w:val="32"/>
        </w:rPr>
        <w:t>三、疫情应对</w:t>
      </w:r>
    </w:p>
    <w:p>
      <w:pPr>
        <w:widowControl w:val="0"/>
        <w:wordWrap/>
        <w:adjustRightInd/>
        <w:snapToGrid/>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（一）设置应急区域。可在办公场所或公共场所内设立应急区域；当出现疑似症状人员时，及时到该区域进行暂时隔离，再按照相关规定处理。</w:t>
      </w:r>
    </w:p>
    <w:p>
      <w:pPr>
        <w:widowControl w:val="0"/>
        <w:wordWrap/>
        <w:adjustRightInd/>
        <w:snapToGrid/>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（二）加强健康监测。员工在岗期间注意自身健康状况监测，按照“早发现、早报告、早隔离、早治疗”的原则做好自我管理。经营单位应当合理安排员工轮休。</w:t>
      </w:r>
    </w:p>
    <w:p>
      <w:pPr>
        <w:widowControl w:val="0"/>
        <w:wordWrap/>
        <w:adjustRightInd/>
        <w:snapToGrid/>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出现疑似病例应对。当员工出现发热、乏力、干咳等可疑症状时，要及时安排就近就医，在专业人员指导下对其工作活动场所及使用的物品进行消毒处理。经营场所须及时向相关部门报告，在专业人员指导下对密切接触者开展排查，实施隔离观察。</w:t>
      </w:r>
    </w:p>
    <w:p>
      <w:pPr>
        <w:pStyle w:val="18"/>
        <w:wordWrap/>
        <w:spacing w:before="0" w:beforeAutospacing="0" w:after="0" w:afterAutospacing="0" w:line="560" w:lineRule="exact"/>
        <w:textAlignment w:val="auto"/>
        <w:outlineLvl w:val="9"/>
        <w:rPr>
          <w:rFonts w:hint="eastAsia" w:ascii="黑体" w:hAnsi="黑体" w:eastAsia="黑体"/>
          <w:sz w:val="32"/>
          <w:szCs w:val="32"/>
        </w:rPr>
      </w:pPr>
    </w:p>
    <w:p>
      <w:pPr>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附件6</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工业企业和建筑施工企业</w:t>
      </w: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新冠肺炎防控技术方案</w:t>
      </w:r>
    </w:p>
    <w:p>
      <w:pPr>
        <w:wordWrap/>
        <w:adjustRightInd w:val="0"/>
        <w:snapToGrid w:val="0"/>
        <w:spacing w:line="560" w:lineRule="exact"/>
        <w:ind w:left="-160" w:leftChars="-50" w:right="-160" w:rightChars="-50"/>
        <w:jc w:val="center"/>
        <w:textAlignment w:val="auto"/>
        <w:outlineLvl w:val="9"/>
        <w:rPr>
          <w:rFonts w:ascii="方正小标宋简体" w:hAnsi="方正小标宋简体" w:eastAsia="方正小标宋简体" w:cs="方正小标宋简体"/>
          <w:b/>
          <w:spacing w:val="-20"/>
          <w:sz w:val="28"/>
          <w:szCs w:val="16"/>
        </w:rPr>
      </w:pP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为指导工业企业和建筑施工企业落实好新冠肺炎疫情防控各项工作要求，做到稳步有序复工复产，根据《企事业单位复工复产疫情防控措施指南》，制定本方案。</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一、</w:t>
      </w:r>
      <w:r>
        <w:rPr>
          <w:rFonts w:ascii="黑体" w:hAnsi="黑体" w:eastAsia="黑体" w:cs="黑体"/>
          <w:sz w:val="32"/>
          <w:szCs w:val="32"/>
        </w:rPr>
        <w:t>加强疫情防控组织领导</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1.成立疫情防控机构。企业主要负责人是疫情防控第一责任人，要成立疫情防控组织机构，建立内部疫情防控体系，制定疫情防控工作方案，明确疫情防控应急措施和处置流程。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落实疫情防控责任。企业要将防控责任落实到部门、班组、岗位和个人，做好疫情防控、物资储备、生活保障、治安保卫等工作。配备专人负责体温检测、通风消毒、个人防护用品发放、宣传教育等工作，指定专人负责本单位疫情防控情况的收集和报送工作。</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二、</w:t>
      </w:r>
      <w:r>
        <w:rPr>
          <w:rFonts w:ascii="黑体" w:hAnsi="黑体" w:eastAsia="黑体" w:cs="黑体"/>
          <w:sz w:val="32"/>
          <w:szCs w:val="32"/>
        </w:rPr>
        <w:t>加强员工管理和健康监测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3.有序组织员工返岗。提前调度掌握返岗员工健康情况，对符合疫情防控要求的员工，合理组织分批次返岗。对返岗员工能够集中运送的，鼓励采取专车或包车等方式运送并做好防护。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4.严格返岗员工管理。建立员工健康台账，按照当地要求进行报备和分区分类进行健康管理。设立可疑症状报告电话，员工出现可疑症状时，要及时向本单位如实报告。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5.做好日常体温检测。每天在员工上下班时进行体温检测，并做好记录。指定专人每天汇总员工健康状况，向当地疾控部门报告，发现异常情况要立即报告并采取相应防控措施。</w:t>
      </w:r>
    </w:p>
    <w:p>
      <w:pPr>
        <w:widowControl/>
        <w:wordWrap/>
        <w:autoSpaceDE w:val="0"/>
        <w:adjustRightInd w:val="0"/>
        <w:snapToGrid w:val="0"/>
        <w:spacing w:line="560" w:lineRule="exact"/>
        <w:ind w:firstLine="640" w:firstLineChars="200"/>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三、工作场所</w:t>
      </w:r>
      <w:r>
        <w:rPr>
          <w:rFonts w:hint="eastAsia" w:ascii="Times New Roman" w:hAnsi="Times New Roman" w:eastAsia="黑体" w:cs="Times New Roman"/>
          <w:sz w:val="32"/>
          <w:szCs w:val="32"/>
        </w:rPr>
        <w:t>疫情</w:t>
      </w:r>
      <w:r>
        <w:rPr>
          <w:rFonts w:ascii="Times New Roman" w:hAnsi="Times New Roman" w:eastAsia="黑体" w:cs="Times New Roman"/>
          <w:sz w:val="32"/>
          <w:szCs w:val="32"/>
        </w:rPr>
        <w:t>防控和管理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（一）矿山企业。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厂区出入口登记与管理。对进出厂区的员工进行体温检测，发现体温异常人员立即将其转移至临时隔离区域，并按相关规定进行处置。加强外来人员登记与管理，尽可能减少不必要的外来人员进入；确需进入厂区的，需询问单位、健康状况、接触疫情发生地区人员等情况，体温检测符合要求并佩戴口罩，方可入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7.井工矿防控管理。按照采矿、掘进等不同工序作业特点，采取错时上下班制，合理分流，有效避免人员集中出入井。</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分时段、分批次乘坐罐笼、人车、架空乘人装置(猴车)和无轨胶轮车等运输工具，罐笼、人车和无轨胶轮车设定乘坐人数上限并分散乘坐，架空乘人装置(猴车)加大间距。</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缩短班前会时间，会议室保证通风良好，参会人员必须佩戴口罩，增大座位间隔。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采矿过程中如打眼、支护、瓦斯抽采等作业应当避免人员聚集，工作面回风侧应当尽量减少作业人员数量和工作时间。</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合理组织安排班中餐，确保分时段、分区域、分批次就餐。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在安全允许的条件下，使用有效的消毒剂（禁止使用酒精）每天定时对主要通风机、局部通风机、巷道路面、硐室和运输工具进行消毒处理。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井下作业前应当对频繁接触的设备设施和劳动工具等进行消毒。出井口设置洗手池，配备必要的洗消用品。人员出井交还的矿灯、自救器、人员定位卡等应当消毒后再归还。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更衣洗澡分时段、分批次进行，应当使用淋浴，洗澡时增加与其他人距离，洗澡更衣后尽快离开。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8.露天矿防控管理。穿孔、装载、运输作业优先使用机械化、自动化程度高、带空调驾驶室的设备，司机换岗时应当对驾驶室进行消毒处理。车辆进出时，门卫室值班员和司机应当避免不必要的接触。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9.其他矿山开采防控管理。针对有多人操作的设备，应当定时对操作按钮、把手等人员接触频次高的物体或部件表面进行消毒，允许佩戴手套操作的岗位，员工尽量佩戴手套进行操作。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（二）制造业以及电力、热力、燃气及水生产和供应企业。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厂区出入口登记与管理。对进出厂区的员工进行体温检测，发现体温异常人员立即将其转移至临时隔离区域，并按相关规定进行处置。加强外来人员登记与管理，尽可能减少不必要的外来人员进入；确需进入厂区的，需询问单位、健康状况、接触疫情发生地区人员等情况，体温检测符合要求并佩戴口罩，方可入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工作场所清洁和消毒。保持工作环境整洁卫生，定期消毒。做好工作场所物体表面的清洁消毒，应当对操作按钮、把手等人员接触频次高的物体或部件表面定时消毒。操作岗位允许佩戴手套的，员工尽量佩戴手套进行操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工作场所通风换气。工作场所应当加强通风换气，保持室内空气流通，在工艺允许的情况下首选自然通风，在自然通风不能满足要求的情况下，辅以机械通风。采用机械通风的厂房，应当保证充足的新风输入，人均新风量应当≥30m3/h。使用中央空调通风时，要按照《新型冠状病毒肺炎流行期间办公场所和公共场所空调通风系统运行管理指南》对空调系统进行管理，定期对空调系统进行清洗，对空调回风口过滤网进行消毒。采用全新风模式时关闭回风系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（三）建筑施工企业。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13.实施封闭式管理。对建筑施工项目严格实施全封闭式管理，实行进出场登记和体温检测，24小时设岗。生活区远离工地的工程项目，鼓励专车接送员工。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14.减少人员聚集。控制活动单元人数，分散开展班前教育、技术交底等活动。优化工序衔接，控制施工现场不同作业队伍人员流动，减少人员聚集。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15.优化施工工艺。应当采用先进工艺技术，实现“机械化换人、自动化减人”。施工设备、试验器具等应当由专人使用，原则上“一人一机”，轮流使用的，要做好消毒处理。</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四、</w:t>
      </w:r>
      <w:r>
        <w:rPr>
          <w:rFonts w:ascii="黑体" w:hAnsi="黑体" w:eastAsia="黑体" w:cs="黑体"/>
          <w:sz w:val="32"/>
          <w:szCs w:val="32"/>
        </w:rPr>
        <w:t>公共区域疫情防控和管理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16.会议管理。控制会议频次和规模，尽量缩短会议时间。提倡采用视频、电话等线上会议。必须集中召开的会议，参会人员需做好个人防护。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就餐管理。员工食堂应当设置洗手设施和配备消毒用品，供就餐人员洗手消毒。做好炊具餐具消毒工作，不具备消毒条件的要使用一次性餐具，采取分餐、错峰用餐等措施，减少人员聚集，用餐时避免面对面就坐，不与他人交谈。</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18.宿舍管理。员工宿舍应当严控入住人数，设置可开启窗户，定时通风，对通风不畅的宿舍应当安装排风扇等机械通风设备。盥洗室配设洗手池和消毒用品，定时清洁。</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19.清洁消毒。安排专人对办公区域、会议场所、生活设施及其他人员活动场所和相关物品定时消毒，电梯按钮、门把手等频繁接触部位应当适当增加消毒次数。</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做好医务服务。设立医务室的企业要调配必要的药物和防护物资，配合疾控部门规范开展隔离观察和追踪管理。未设立医务室的企业要与就近医疗机构建立联系，确保员工及时得到救治或医疗服务。关心关爱员工心理健康，及时疏解员工心理压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21.垃圾收集处理。在公共区域设置口罩专用回收箱，加强垃圾箱清洁，定期进行消毒处理。加强垃圾分类管理，及时收集并清运。</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五、指导员工做好个人防护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22.强化宣传教育。企业应当对员工进行疫情防控教育，让员工掌握正确佩戴口罩、清洁消毒等防护知识，增强自我防护意识。在厂区和生活区显著位置张贴卫生防疫宣传海报挂图等宣传品。</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    23.加强个人防护。员工在进入厂区或施工现场后应当全程佩戴符合要求的口罩。接触粉尘的工作场所应当优先选用KN95/N95及以上可更换滤棉式半面罩、全面罩，定期消毒，更换滤芯，使用过程中应当有效防止因喷雾、水幕、湿式作业淋湿滤芯而降低防护性能。接触化学毒物的劳动者，除配备与职业病危害因素相适应的防毒面具（含滤毒盒）外，还应当根据工作场所人员情况，选配具有防颗粒功能的滤棉。在宿舍、食堂、澡堂、地面值班室、办公室、休息室等区域可佩戴一次性医用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保持良好卫生习惯。加强手部卫生，尤其是在佩戴和摘除口罩/面具、更换滤棉后，应当及时洗手。现场没有洗手设施时，可使用免洗消毒用品进行消毒。打喷嚏或咳嗽时要用纸巾、手绢、衣袖等遮挡，倡导合理膳食、适量运动、规律作息等健康生活方式。</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25.加强班后活动管理。休息期间，员工要减少不必要外出，避免去人群聚集尤其是空气流动性差的场所，不得聚集聊天、打牌等，降低聚集感染风险。</w:t>
      </w:r>
    </w:p>
    <w:p>
      <w:pPr>
        <w:wordWrap/>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六、</w:t>
      </w:r>
      <w:r>
        <w:rPr>
          <w:rFonts w:ascii="黑体" w:hAnsi="黑体" w:eastAsia="黑体" w:cs="黑体"/>
          <w:sz w:val="32"/>
          <w:szCs w:val="32"/>
        </w:rPr>
        <w:t>做好异常情况处置与报告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26.设立隔离观察区域。当员工出现可疑症状时，应当及时到该区域进行暂时隔离，并报告当地疾控部门，按照相关规范要求及时安排员工就近就医。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27.封闭相关区域并进行消毒。发现可疑症状员工后，立即隔离其工作岗位和宿舍，并根据医学观察情况进一步封闭其所在工作场所以及员工宿舍等生活场所，严禁无关人员进入，同时在专业人员指导下对其活动场所及使用物品进行消毒。配合有关方面做好密切接触者防控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28.做好发现病例后的应对处置。企业一旦发现病例，要实施内防扩散、外防输出的防控措施，配合有关部门开展流行病学调查、密切接触者追踪管理、疫点消毒等工作。根据疫情严重程度，暂时关闭工作场所，待疫情得到控制后再恢复生产。</w:t>
      </w:r>
    </w:p>
    <w:p>
      <w:pPr>
        <w:wordWrap/>
        <w:spacing w:line="560" w:lineRule="exact"/>
        <w:textAlignment w:val="auto"/>
        <w:outlineLvl w:val="9"/>
        <w:rPr>
          <w:rFonts w:ascii="Calibri" w:hAnsi="Calibri" w:eastAsia="仿宋_GB2312" w:cs="Times New Roman"/>
          <w:sz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附件7</w:t>
      </w:r>
    </w:p>
    <w:p>
      <w:pPr>
        <w:widowControl w:val="0"/>
        <w:wordWrap/>
        <w:adjustRightInd/>
        <w:snapToGrid/>
        <w:spacing w:line="560" w:lineRule="exact"/>
        <w:jc w:val="both"/>
        <w:textAlignment w:val="auto"/>
        <w:outlineLvl w:val="9"/>
        <w:rPr>
          <w:rFonts w:hint="eastAsia" w:ascii="宋体" w:hAnsi="宋体" w:eastAsia="宋体" w:cs="宋体"/>
          <w:color w:val="auto"/>
          <w:sz w:val="44"/>
          <w:szCs w:val="44"/>
        </w:rPr>
      </w:pPr>
    </w:p>
    <w:p>
      <w:pPr>
        <w:widowControl w:val="0"/>
        <w:wordWrap/>
        <w:adjustRightInd/>
        <w:snapToGrid/>
        <w:spacing w:line="560" w:lineRule="exact"/>
        <w:jc w:val="center"/>
        <w:textAlignment w:val="auto"/>
        <w:outlineLvl w:val="9"/>
        <w:rPr>
          <w:rFonts w:hint="eastAsia" w:ascii="宋体" w:hAnsi="宋体" w:eastAsia="宋体" w:cs="宋体"/>
          <w:color w:val="auto"/>
          <w:sz w:val="44"/>
          <w:szCs w:val="44"/>
        </w:rPr>
      </w:pPr>
      <w:r>
        <w:rPr>
          <w:rFonts w:hint="eastAsia" w:ascii="宋体" w:hAnsi="宋体" w:eastAsia="宋体" w:cs="宋体"/>
          <w:color w:val="auto"/>
          <w:sz w:val="44"/>
          <w:szCs w:val="44"/>
        </w:rPr>
        <w:t>商场、超市等场所新冠肺炎防控技术方案</w:t>
      </w:r>
    </w:p>
    <w:p>
      <w:pPr>
        <w:widowControl/>
        <w:wordWrap/>
        <w:spacing w:line="560" w:lineRule="exact"/>
        <w:ind w:firstLine="640" w:firstLineChars="200"/>
        <w:textAlignment w:val="auto"/>
        <w:outlineLvl w:val="9"/>
        <w:rPr>
          <w:rFonts w:hint="eastAsia" w:ascii="黑体" w:hAnsi="宋体" w:eastAsia="黑体" w:cs="黑体"/>
          <w:kern w:val="0"/>
          <w:sz w:val="32"/>
          <w:szCs w:val="32"/>
        </w:rPr>
      </w:pPr>
    </w:p>
    <w:p>
      <w:pPr>
        <w:widowControl/>
        <w:wordWrap/>
        <w:spacing w:line="560" w:lineRule="exact"/>
        <w:ind w:firstLine="640" w:firstLineChars="200"/>
        <w:textAlignment w:val="auto"/>
        <w:outlineLvl w:val="9"/>
        <w:rPr>
          <w:rFonts w:ascii="黑体" w:hAnsi="宋体" w:eastAsia="黑体" w:cs="黑体"/>
          <w:kern w:val="0"/>
          <w:sz w:val="32"/>
          <w:szCs w:val="32"/>
        </w:rPr>
      </w:pPr>
      <w:r>
        <w:rPr>
          <w:rFonts w:hint="eastAsia" w:ascii="黑体" w:hAnsi="宋体" w:eastAsia="黑体" w:cs="黑体"/>
          <w:kern w:val="0"/>
          <w:sz w:val="32"/>
          <w:szCs w:val="32"/>
        </w:rPr>
        <w:t>一、恢复营业前准备</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（一）落实主体责任。商场、超市等负责人是疫情防控第一责任人，制定应急预案，明确相关人员工作职责，做好员工信息采集工作。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（二）场内保洁清理。营业前打开门窗，加强通风。清理场所内积存的杂物垃圾，做到卫生无死角。有条件的，可对集中空调系统进行预防性清洗消毒。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（三）复岗人员培训。对负责体温检测、消毒液配制、防控知识宣教、应急隔离区管理的人员开展专业知识培训。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（四）防控物资配备。提前采购足够的口罩、消毒剂、洗手液、速干手消毒剂、体温计等防控物资。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（五）设置防控区域。在场所内明确标示体温检测区、应急隔离区、防控物资储备区、垃圾处理区等关键区域。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（六）掌握应急措施。提前了解当地定点收治医院，确保发现从业人员出现疑似症状时能及时送院诊治。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黑体" w:hAnsi="宋体" w:eastAsia="黑体" w:cs="黑体"/>
          <w:kern w:val="0"/>
          <w:sz w:val="32"/>
          <w:szCs w:val="32"/>
        </w:rPr>
        <w:t>二、营业中卫生管理</w:t>
      </w:r>
      <w:r>
        <w:rPr>
          <w:rFonts w:ascii="黑体" w:hAnsi="宋体" w:eastAsia="黑体" w:cs="黑体"/>
          <w:kern w:val="0"/>
          <w:sz w:val="32"/>
          <w:szCs w:val="32"/>
        </w:rPr>
        <w:br w:type="textWrapping"/>
      </w:r>
      <w:r>
        <w:rPr>
          <w:rFonts w:hint="eastAsia" w:ascii="楷体" w:hAnsi="楷体" w:eastAsia="楷体" w:cs="楷体"/>
          <w:kern w:val="0"/>
          <w:sz w:val="32"/>
          <w:szCs w:val="32"/>
        </w:rPr>
        <w:t xml:space="preserve">   </w:t>
      </w:r>
      <w:r>
        <w:rPr>
          <w:rFonts w:hint="eastAsia" w:ascii="仿宋" w:hAnsi="仿宋" w:eastAsia="仿宋" w:cs="仿宋"/>
          <w:sz w:val="32"/>
          <w:szCs w:val="32"/>
        </w:rPr>
        <w:t xml:space="preserve"> （一）实施人员体温检测。应当在经营场所门口设置专人对每位上岗员工和顾客测量体温，体温正常方可进入。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加强室内通风。加强室内空气流通，首选自然通风，尽可能打开门窗通风换气。运行的空调通风系统应当每周对开放式冷却塔、过滤网、过滤器、净化器、新风口、空气处理机组、表冷器、加热（湿）器、冷凝水盘等设备部件进行清洗、消毒或更换。空调通风系统需关闭回风系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（三）合理使用电梯。限制每次乘坐电梯的人数，乘梯时相互之间注意保持适当距离。尽量减少乘坐厢式电梯，低楼层购物推荐走安全通道，较高楼层优先使用扶梯并尽量避免与扶手直接接触。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（四）缩短顾客等候时间。应当控制高峰时期客流量，通过管控分流减少同时进入顾客人数。物品尽量提前包装标价，便于顾客直接结算。推荐顾客自助购物、自助结算，尽量减少排队时间。</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（五）卫生间保洁。使用卫生间时，应当打开排气扇。使用完毕后，应当盖上马桶盖再冲水。卫生间下水管存水弯应当维持一定的水封高度。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（六）垃圾清运处理。每天产生的垃圾应当在专门垃圾处理区域内分类管理、定点暂放、及时清理。垃圾暂存地周围应当保持清洁，每天至少进行一次消毒。</w:t>
      </w:r>
    </w:p>
    <w:p>
      <w:pPr>
        <w:widowControl/>
        <w:wordWrap/>
        <w:spacing w:line="560" w:lineRule="exact"/>
        <w:ind w:firstLine="640" w:firstLineChars="200"/>
        <w:textAlignment w:val="auto"/>
        <w:outlineLvl w:val="9"/>
        <w:rPr>
          <w:rFonts w:ascii="黑体" w:hAnsi="宋体" w:eastAsia="黑体" w:cs="黑体"/>
          <w:kern w:val="0"/>
          <w:sz w:val="32"/>
          <w:szCs w:val="32"/>
        </w:rPr>
      </w:pPr>
      <w:r>
        <w:rPr>
          <w:rFonts w:hint="eastAsia" w:ascii="黑体" w:hAnsi="黑体" w:eastAsia="黑体" w:cs="楷体"/>
          <w:kern w:val="0"/>
          <w:sz w:val="32"/>
          <w:szCs w:val="32"/>
        </w:rPr>
        <w:t>三、清洁与消毒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一）物体表面清洁消毒。应当保持环境整洁卫生，每天定期消毒，并做好清洁消毒记录。对高频接触的物体表面（如收银台、柜台、休息区、服务台、游戏机、电梯间按钮、扶手、门把手、公共桌椅座椅、购物篮、购物车、临时物品存储柜等），可用含有效氯250-500mg/L的含氯消毒剂进行擦拭。  </w:t>
      </w:r>
    </w:p>
    <w:p>
      <w:pPr>
        <w:widowControl/>
        <w:wordWrap/>
        <w:autoSpaceDE w:val="0"/>
        <w:adjustRightInd w:val="0"/>
        <w:snapToGrid w:val="0"/>
        <w:spacing w:line="560" w:lineRule="exact"/>
        <w:ind w:firstLine="640" w:firstLineChars="200"/>
        <w:textAlignment w:val="auto"/>
        <w:outlineLvl w:val="9"/>
        <w:rPr>
          <w:rFonts w:hint="eastAsia" w:ascii="Times New Roman" w:hAnsi="Times New Roman" w:eastAsia="仿宋_GB2312" w:cs="Times New Roman"/>
          <w:sz w:val="32"/>
          <w:szCs w:val="32"/>
        </w:rPr>
      </w:pPr>
      <w:r>
        <w:rPr>
          <w:rFonts w:hint="eastAsia" w:ascii="仿宋" w:hAnsi="仿宋" w:eastAsia="仿宋" w:cs="仿宋"/>
          <w:sz w:val="32"/>
          <w:szCs w:val="32"/>
        </w:rPr>
        <w:t>建议每天至少在营业前和结束后各消毒一次，可根据客流量情况适当增加消毒次数。</w:t>
      </w:r>
      <w:r>
        <w:rPr>
          <w:rFonts w:hint="eastAsia" w:ascii="仿宋" w:hAnsi="仿宋" w:eastAsia="仿宋" w:cs="仿宋"/>
          <w:sz w:val="32"/>
          <w:szCs w:val="32"/>
        </w:rPr>
        <w:br w:type="textWrapping"/>
      </w:r>
      <w:r>
        <w:rPr>
          <w:rFonts w:hint="eastAsia" w:ascii="仿宋" w:hAnsi="仿宋" w:eastAsia="仿宋" w:cs="仿宋"/>
          <w:sz w:val="32"/>
          <w:szCs w:val="32"/>
        </w:rPr>
        <w:t xml:space="preserve">    （二）垃圾桶消毒。可定期对垃圾桶等垃圾盛放容器进行清洁消毒处理。可用有效氯500mg/L的含氯消毒剂进行擦拭，也可采用消毒湿巾进行擦拭。</w:t>
      </w:r>
      <w:r>
        <w:rPr>
          <w:rFonts w:hint="eastAsia" w:ascii="仿宋" w:hAnsi="仿宋" w:eastAsia="仿宋" w:cs="仿宋"/>
          <w:sz w:val="32"/>
          <w:szCs w:val="32"/>
        </w:rPr>
        <w:br w:type="textWrapping"/>
      </w:r>
      <w:r>
        <w:rPr>
          <w:rFonts w:hint="eastAsia" w:ascii="仿宋" w:hAnsi="仿宋" w:eastAsia="仿宋" w:cs="仿宋"/>
          <w:sz w:val="32"/>
          <w:szCs w:val="32"/>
        </w:rPr>
        <w:t xml:space="preserve">    （三）卫生洁具消毒。卫生洁具可用有效氯500mg/L的含氯消毒剂擦拭消毒，作用30分钟后，清水冲洗干净。</w:t>
      </w:r>
      <w:r>
        <w:rPr>
          <w:rFonts w:hint="eastAsia" w:ascii="仿宋" w:hAnsi="仿宋" w:eastAsia="仿宋" w:cs="仿宋"/>
          <w:sz w:val="32"/>
          <w:szCs w:val="32"/>
        </w:rPr>
        <w:br w:type="textWrapping"/>
      </w:r>
      <w:r>
        <w:rPr>
          <w:rFonts w:hint="eastAsia" w:ascii="仿宋" w:hAnsi="仿宋" w:eastAsia="仿宋" w:cs="仿宋"/>
          <w:sz w:val="32"/>
          <w:szCs w:val="32"/>
        </w:rPr>
        <w:t xml:space="preserve">    （四）工作服消毒。定期更换工作服；可用流通蒸汽或煮沸消毒30分钟，或先用500mg/L的含氯消毒液浸泡30分钟，然后常规清洗。</w:t>
      </w:r>
      <w:r>
        <w:rPr>
          <w:rFonts w:hint="eastAsia" w:ascii="仿宋" w:hAnsi="仿宋" w:eastAsia="仿宋" w:cs="仿宋"/>
          <w:sz w:val="32"/>
          <w:szCs w:val="32"/>
        </w:rPr>
        <w:br w:type="textWrapping"/>
      </w:r>
      <w:r>
        <w:rPr>
          <w:rFonts w:hint="eastAsia" w:ascii="仿宋" w:hAnsi="仿宋" w:eastAsia="仿宋" w:cs="仿宋"/>
          <w:sz w:val="32"/>
          <w:szCs w:val="32"/>
        </w:rPr>
        <w:t xml:space="preserve">    （五）方便顾客洗手。确保经营场所内洗手设施运行正常，在问询台和收银台等处配备速干手消毒剂。有条件时可配备感应式手消毒设施。</w:t>
      </w:r>
      <w:r>
        <w:rPr>
          <w:rFonts w:hint="eastAsia" w:ascii="Times New Roman" w:hAnsi="Times New Roman" w:eastAsia="仿宋_GB2312" w:cs="Times New Roman"/>
          <w:sz w:val="32"/>
          <w:szCs w:val="32"/>
        </w:rPr>
        <w:t xml:space="preserve">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黑体" w:hAnsi="宋体" w:eastAsia="黑体" w:cs="黑体"/>
          <w:kern w:val="0"/>
          <w:sz w:val="32"/>
          <w:szCs w:val="32"/>
        </w:rPr>
        <w:t>四、人员防护</w:t>
      </w:r>
      <w:r>
        <w:rPr>
          <w:rFonts w:ascii="黑体" w:hAnsi="宋体" w:eastAsia="黑体" w:cs="黑体"/>
          <w:kern w:val="0"/>
          <w:sz w:val="32"/>
          <w:szCs w:val="32"/>
        </w:rPr>
        <w:br w:type="textWrapping"/>
      </w:r>
      <w:r>
        <w:rPr>
          <w:rFonts w:hint="eastAsia" w:ascii="仿宋" w:hAnsi="仿宋" w:eastAsia="仿宋" w:cs="仿宋"/>
          <w:kern w:val="0"/>
          <w:sz w:val="32"/>
          <w:szCs w:val="32"/>
        </w:rPr>
        <w:t xml:space="preserve">    </w:t>
      </w:r>
      <w:r>
        <w:rPr>
          <w:rFonts w:hint="eastAsia" w:ascii="仿宋" w:hAnsi="仿宋" w:eastAsia="仿宋" w:cs="仿宋"/>
          <w:sz w:val="32"/>
          <w:szCs w:val="32"/>
        </w:rPr>
        <w:t>（一）佩戴口罩。从业人员在岗时应当佩戴防护口罩。顾客也要佩戴口罩。从业人员与顾客服务交流时宜保持一定距离和避免直接接触。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（二）注意手卫生。工作人员在上岗期间应当经常洗手，可用有效的含醇速干手消毒剂。特殊条件下，也可使用含氯或过氧化氢手消毒剂。有肉眼可见污染物时，应当使用洗手液在流动水下洗手。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（三）员工错时就餐。员工用餐场所应当保持通风换气，员工应当采取错峰、打包的方式就餐。加强公用餐（饮）具的清洁消毒，餐（饮）具应当一人一具一用一消毒，每日对餐桌椅及地面进行清洁和消毒。</w:t>
      </w:r>
    </w:p>
    <w:p>
      <w:pPr>
        <w:widowControl/>
        <w:wordWrap/>
        <w:spacing w:line="560" w:lineRule="exact"/>
        <w:ind w:firstLine="640" w:firstLineChars="200"/>
        <w:textAlignment w:val="auto"/>
        <w:outlineLvl w:val="9"/>
        <w:rPr>
          <w:rFonts w:ascii="黑体" w:hAnsi="黑体" w:eastAsia="黑体" w:cs="楷体"/>
          <w:kern w:val="0"/>
          <w:sz w:val="32"/>
          <w:szCs w:val="32"/>
        </w:rPr>
      </w:pPr>
      <w:r>
        <w:rPr>
          <w:rFonts w:hint="eastAsia" w:ascii="黑体" w:hAnsi="黑体" w:eastAsia="黑体" w:cs="楷体"/>
          <w:kern w:val="0"/>
          <w:sz w:val="32"/>
          <w:szCs w:val="32"/>
        </w:rPr>
        <w:t>五、疫情应对</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（一）设置应急区域。可在经营场所内设立应急区域；当出现疑似症状人员时，及时到该区域进行暂时隔离，再按照相关规定处理。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（二）加强健康监测。员工在岗期间注意自身健康状况监测，按照“早发现、早报告、早隔离、早治疗”的原则做好自我管理。经营单位应当合理安排员工轮休。</w:t>
      </w:r>
    </w:p>
    <w:p>
      <w:pPr>
        <w:widowControl/>
        <w:wordWrap/>
        <w:autoSpaceDE w:val="0"/>
        <w:adjustRightInd w:val="0"/>
        <w:snapToGrid w:val="0"/>
        <w:spacing w:line="560" w:lineRule="exact"/>
        <w:ind w:firstLine="640" w:firstLineChars="200"/>
        <w:textAlignment w:val="auto"/>
        <w:outlineLvl w:val="9"/>
        <w:rPr>
          <w:rFonts w:ascii="仿宋_GB2312" w:hAnsi="Calibri" w:eastAsia="仿宋_GB2312" w:cs="Times New Roman"/>
          <w:kern w:val="2"/>
          <w:sz w:val="28"/>
          <w:szCs w:val="24"/>
          <w:lang w:val="en-US" w:eastAsia="zh-CN" w:bidi="ar-SA"/>
        </w:rPr>
      </w:pPr>
      <w:r>
        <w:rPr>
          <w:rFonts w:hint="eastAsia" w:ascii="仿宋" w:hAnsi="仿宋" w:eastAsia="仿宋" w:cs="仿宋"/>
          <w:sz w:val="32"/>
          <w:szCs w:val="32"/>
        </w:rPr>
        <w:t>（三）出现疑似病例应对。当员工出现发热、乏力、干咳等可疑症状时，要及时安排就近就医，在专业人员指导下对其工作活动场所及使用的物品进行消毒处理。经营场所须及时向相关部门报告，在专业人员指导下对密切接触者开展排查，实施隔离观察。</w:t>
      </w: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ordWrap/>
        <w:spacing w:line="560" w:lineRule="exact"/>
        <w:textAlignment w:val="auto"/>
        <w:outlineLvl w:val="9"/>
        <w:rPr>
          <w:rFonts w:ascii="Calibri" w:hAnsi="Calibri" w:eastAsia="仿宋_GB2312" w:cs="Times New Roman"/>
          <w:sz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附件8</w:t>
      </w:r>
    </w:p>
    <w:p>
      <w:pPr>
        <w:widowControl/>
        <w:wordWrap/>
        <w:adjustRightInd w:val="0"/>
        <w:snapToGrid w:val="0"/>
        <w:spacing w:line="560" w:lineRule="exact"/>
        <w:jc w:val="center"/>
        <w:textAlignment w:val="auto"/>
        <w:outlineLvl w:val="9"/>
        <w:rPr>
          <w:rFonts w:hint="eastAsia" w:ascii="宋体" w:hAnsi="宋体" w:eastAsia="宋体" w:cs="宋体"/>
          <w:b w:val="0"/>
          <w:bCs w:val="0"/>
          <w:kern w:val="0"/>
          <w:sz w:val="44"/>
          <w:szCs w:val="44"/>
        </w:rPr>
      </w:pPr>
    </w:p>
    <w:p>
      <w:pPr>
        <w:widowControl/>
        <w:wordWrap/>
        <w:adjustRightInd w:val="0"/>
        <w:snapToGrid w:val="0"/>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客运场站及交通运输工具新冠肺炎</w:t>
      </w:r>
    </w:p>
    <w:p>
      <w:pPr>
        <w:widowControl/>
        <w:wordWrap/>
        <w:adjustRightInd w:val="0"/>
        <w:snapToGrid w:val="0"/>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防控技术方案</w:t>
      </w:r>
    </w:p>
    <w:p>
      <w:pPr>
        <w:wordWrap/>
        <w:spacing w:line="560" w:lineRule="exact"/>
        <w:textAlignment w:val="auto"/>
        <w:outlineLvl w:val="9"/>
        <w:rPr>
          <w:rFonts w:ascii="Times New Roman" w:hAnsi="Times New Roman" w:eastAsia="仿宋" w:cs="Times New Roman"/>
          <w:b/>
          <w:sz w:val="28"/>
          <w:szCs w:val="28"/>
        </w:rPr>
      </w:pPr>
    </w:p>
    <w:p>
      <w:pPr>
        <w:wordWrap/>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一、运前准备工作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（一）做好物资保障。做好交通运输工具的检测维护，保证运力充足，优先选择安全技术状况良好的交通运输工具投入运营。为客运站场、交通运输工具工作人员配备消毒剂、手持体温检测仪。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（二）强化人员培训。加强客运场站、交通运输工具消毒、通风等操作规程和疫情防控措施的培训，提升一线从业人员疫情防控和应急处置能力。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做好乘客信息登记。对乘坐三类以上客运班线和客运包车、实行实名制管理的客运船舶、飞机等出行的乘客，相关交通运输经营者应当通过购票环节申报和扫描二维码网上申报等方式，采集乘客身份证件类型及号码、联系电话等信息。</w:t>
      </w:r>
    </w:p>
    <w:p>
      <w:pPr>
        <w:wordWrap/>
        <w:spacing w:line="560" w:lineRule="exact"/>
        <w:ind w:firstLine="640" w:firstLineChars="200"/>
        <w:textAlignment w:val="auto"/>
        <w:outlineLvl w:val="9"/>
        <w:rPr>
          <w:rFonts w:ascii="黑体" w:hAnsi="黑体" w:eastAsia="黑体" w:cs="Times New Roman"/>
          <w:sz w:val="32"/>
          <w:szCs w:val="32"/>
        </w:rPr>
      </w:pPr>
      <w:r>
        <w:rPr>
          <w:rFonts w:hint="eastAsia" w:ascii="黑体" w:hAnsi="黑体" w:eastAsia="黑体" w:cs="Times New Roman"/>
          <w:sz w:val="32"/>
          <w:szCs w:val="32"/>
        </w:rPr>
        <w:t>二、运行中卫生管理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（一）铁路。</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通过售票控制乘客数量，尽可能安排乘客隔位、分散就坐。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2.在火车站增加体温测量设备，对进出站乘客进行体温检测，高于37.3℃的乘客</w:t>
      </w:r>
      <w:bookmarkStart w:id="383" w:name="_Hlk31528189"/>
      <w:r>
        <w:rPr>
          <w:rFonts w:hint="eastAsia" w:ascii="仿宋" w:hAnsi="仿宋" w:eastAsia="仿宋" w:cs="仿宋"/>
          <w:sz w:val="32"/>
          <w:szCs w:val="32"/>
        </w:rPr>
        <w:t>应当在应急区域进行暂时隔离，</w:t>
      </w:r>
      <w:bookmarkEnd w:id="383"/>
      <w:r>
        <w:rPr>
          <w:rFonts w:hint="eastAsia" w:ascii="仿宋" w:hAnsi="仿宋" w:eastAsia="仿宋" w:cs="仿宋"/>
          <w:sz w:val="32"/>
          <w:szCs w:val="32"/>
        </w:rPr>
        <w:t>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增加候车室和旅客列车卫生间等公用设施清洗消毒频次，有条件时配备速干手消毒剂、感应式手消毒设施。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旅客列车载客前应当对车厢进行清洁消毒。座椅套等纺织物应当保持清洁，并定期洗涤、消毒处理。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保障候车室和旅客列车车厢空调系统正常，以最大新风量运行。</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乘客、乘务员佩戴口罩，乘客保持安静、减少交流，打喷嚏时用纸巾遮住口鼻，或采用肘臂遮挡等。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旅客列车宜配备手持体温检测仪、在适当位置设立应急区域，临时隔离出现发热、干呕等症状乘客。</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旅客列车宜配备消毒剂，乘客呕吐时，采用消毒剂对呕吐物进行覆盖消毒，清除呕吐物并使用消毒剂进行物体表面消毒处理。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在车站电子屏、旅客列车车厢滚动电子屏和广播等开展卫生防护知识宣传。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（二）道路客运。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合理组织运力，通过售票、包车团组人数限制，控制乘客数量，尽可能安排乘客隔位、分散就坐。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在汽车客运站增加体温测量设备，对进出站乘客进行体温检测，具备条件的汽车客运站设置应急区域，高于37.3℃的乘客应当在应急区域进行暂时隔离，再按照其他相关规范要求进行处理。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增加车站公用设施和公共区域的消毒频次，卫生间和洗手池配备消毒液。</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车辆每次出行载客前应当对车厢进行清洁消毒。座椅套等纺织物应当保持清洁，并定期洗涤、消毒处理。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在自然气温、行驶速度等条件允许的情况下，尽量关闭车内空调，开窗通风。若使用空调系统，应当增加清洗消毒频次。适当提高进入服务区停车休息的频次，对客车进行通风换气。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乘客、乘务员和驾驶员佩戴口罩，乘客保持安静、减少交流，打喷嚏时用纸巾遮住口鼻，或采用肘臂遮挡等。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三类以上客运班线客车和客运包车宜配备手持体温检测仪，将车厢后两排设置为应急区域，使用简易窗帘（盖布）遮挡，临时隔离出现发热、干呕等症状乘客。</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三类以上客运班线客车和客运包车宜配备消毒剂，乘客呕吐时，采用消毒剂对呕吐物进行覆盖消毒，清除呕吐物并使用消毒剂进行物体表面消毒处理。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在汽车客运站和客运车辆上通过广播、视频、海报等开展卫生防护知识宣传。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（三）水路客运。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合理组织运力，通过售票控制乘客数量，尽可能安排乘客隔位、分散就坐。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在客运码头增加体温测量设备，对进出站乘客进行体温检测，具备条件的客运码头设置应急区域，高于37.3℃的乘客应当在应急区域进行暂时隔离，再按照其他相关规范要求进行处理。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客运码头增加公用设施和公共区域的消毒频次，卫生间和洗手池配备消毒液，保持排风系统正常运行，定期对座椅等公用设施消毒。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有条件的船舶，可在内部咨询台或服务台配备速干手消毒剂；船舶每次出行载客前应当对船舱、驾驶台等重要场所表面进行清洁消毒。座椅套等纺织物应当保持清洁，并定期洗涤、消毒处理。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船舶行驶过程中，应当使用最大通风量；气温适合的，建议船舱开窗通风，保持室内空气流通。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乘客、船舶工作人员佩戴口罩，乘客保持安静、减少交流，打喷嚏时用纸巾遮住口鼻，或采用肘臂遮挡等。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优化服务流程，简化餐食供应。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船舶宜配备手持体温检测仪，在适当位置设立应急区域，临时隔离出现发热、干呕等症状乘客。</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船舶宜配备消毒剂，乘客呕吐时，采用消毒剂对呕吐物进行覆盖消毒，清除呕吐物并使用消毒剂进行物体表面消毒处理。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 在客运码头和船舶上通过广播、视频、海报等开展卫生防护知识宣传。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（四）民航。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如条件允许，在乘客值机时，安排乘客隔位、分散就坐。</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在机场增加体温测量设备，对进出港乘客进行体温检测，高于37.3℃的乘客应当在应急区域进行暂时隔离，再按照其他相关规范要求进行处理。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在值机柜台配备速干手消毒剂。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增加客舱乘客经常接触的客舱内物体表面、盥洗室等公用设施擦拭清洁消毒频次。座椅套等纺织物应当保持清洁，并定期洗涤、消毒处理。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检修保障候机厅和机舱空调系统正常，加强空气流通。航空器飞行过程中，在保障安全的前提下，加强通风；地面运行期间，使用APU系统的气源进行通气。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客舱乘务员佩戴口罩，可携带含醇类消毒湿巾。乘客佩戴口罩，保持安静、减少交流，打喷嚏时用纸巾遮住口鼻，或采用肘臂遮挡等。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通过控制登机时间减少乘客在客舱等待时间。优化服务流程，简化餐食供应。</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 xml:space="preserve">8. 机舱宜配备手持体温检测仪、在后舱设置应急区域，临时隔离出现发热、干呕等症状乘客。条件允许时，对发热乘客原座位周围前后左右排的乘客配发口罩，并禁止各舱位间人员流动。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 对乘客呕吐等状况，必要时使用机载防疫包，按程序进行操作。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 在候站楼电子屏、航空器客舱和座椅后面液晶屏等开展卫生防护知识宣传。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（五）城市公共汽电车。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根据客流情况，合理组织运力，降低车厢拥挤度。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在自然气温、行驶速度等条件允许的情况下，尽量关闭车内空调，开窗通风。若使用空调系统，应当增加清洗消毒频次。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车辆每次出行载客前应当对车厢进行清洁消毒。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乘客、乘务员和驾驶员佩戴口罩，乘客保持安静、减少交流，打喷嚏时用纸巾遮住口鼻，或采用肘臂遮挡等。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车辆宜配备消毒剂，乘客呕吐时，采用消毒剂对呕吐物进行覆盖消毒，清除呕吐物并使用消毒剂进行物体表面消毒处理。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在车厢通过广播、视频、海报等开展卫生防护知识宣传。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（六）城市轨道交通。</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根据客流情况，合理组织运力，降低车厢拥挤度。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在城市轨道交通站增加体温测量设备，对进站乘客进行体温检测，高于37.3℃的乘客应当在应急区域进行暂时隔离，再按照其他相关规范要求进行处理。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增加城市轨道交通站公用设施和公共区域的消毒频次，卫生间和洗手池配备消毒液。站厅卫生间等公用设施配备速干手消毒剂，有条件时可配备感应式手消毒设施。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列车每次出行载客前应当对车厢进行清洁消毒。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加强设备巡检，保障站台和列车车厢通风系统正常运行。</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 乘客、与乘客接触的城市轨道交通运营服务人员佩戴口罩，乘客保持安静、减少交流，打喷嚏时用纸巾遮住口鼻，或采用肘臂遮挡等。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 城市轨道交通站宜配备消毒剂，站内或到站列车上的乘客呕吐时，采用消毒剂对呕吐物进行覆盖消毒，清除呕吐物并使用消毒剂进行物体表面消毒处理。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 在城市轨道交通站厅和列车车厢通过广播、视频、海报等开展卫生防护知识宣传。</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（七）出租汽车。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 车辆每日出行载客前应当对车辆内部进行清洁消毒。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 司机携带含醇类消毒湿巾，增加车门把手等部位的清洗消毒频次。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 在自然气温、行驶速度等条件允许的情况下，尽量关闭车内空调，开窗通风。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 司机佩戴口罩，提醒车上的乘客佩戴口罩并减少交流，打喷嚏时用纸巾遮住口鼻，或采用肘臂遮挡等。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 车辆宜配备消毒剂，乘客呕吐时，采用消毒剂对呕吐物进行覆盖消毒，清除呕吐物并使用消毒剂进行物体表面消毒处理。</w:t>
      </w:r>
    </w:p>
    <w:p>
      <w:pPr>
        <w:widowControl/>
        <w:wordWrap/>
        <w:autoSpaceDE w:val="0"/>
        <w:adjustRightInd w:val="0"/>
        <w:snapToGrid w:val="0"/>
        <w:spacing w:line="560" w:lineRule="exact"/>
        <w:ind w:firstLine="640" w:firstLineChars="200"/>
        <w:textAlignment w:val="auto"/>
        <w:outlineLvl w:val="9"/>
        <w:rPr>
          <w:rFonts w:ascii="Calibri" w:hAnsi="Calibri" w:eastAsia="仿宋_GB2312" w:cs="Times New Roman"/>
          <w:sz w:val="32"/>
        </w:rPr>
      </w:pPr>
      <w:r>
        <w:rPr>
          <w:rFonts w:hint="eastAsia" w:ascii="仿宋" w:hAnsi="仿宋" w:eastAsia="仿宋" w:cs="仿宋"/>
          <w:sz w:val="32"/>
          <w:szCs w:val="32"/>
        </w:rPr>
        <w:t>6. 通过车载广播、汽车座椅背面张贴宣传海报或提示性标语等方式开展卫生防护知识宣传。</w:t>
      </w: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附件9</w:t>
      </w:r>
    </w:p>
    <w:p>
      <w:pPr>
        <w:wordWrap/>
        <w:autoSpaceDE w:val="0"/>
        <w:autoSpaceDN w:val="0"/>
        <w:spacing w:line="560" w:lineRule="exact"/>
        <w:ind w:left="383" w:right="698"/>
        <w:jc w:val="center"/>
        <w:textAlignment w:val="auto"/>
        <w:outlineLvl w:val="9"/>
        <w:rPr>
          <w:rFonts w:hint="eastAsia" w:ascii="宋体" w:hAnsi="宋体" w:eastAsia="宋体" w:cs="宋体"/>
          <w:b w:val="0"/>
          <w:bCs w:val="0"/>
          <w:kern w:val="0"/>
          <w:sz w:val="44"/>
          <w:szCs w:val="44"/>
        </w:rPr>
      </w:pPr>
    </w:p>
    <w:p>
      <w:pPr>
        <w:wordWrap/>
        <w:autoSpaceDE w:val="0"/>
        <w:autoSpaceDN w:val="0"/>
        <w:spacing w:line="560" w:lineRule="exact"/>
        <w:ind w:left="383" w:right="698"/>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托幼机构新冠肺炎防控技术方案</w:t>
      </w:r>
    </w:p>
    <w:p>
      <w:pPr>
        <w:wordWrap/>
        <w:autoSpaceDE w:val="0"/>
        <w:autoSpaceDN w:val="0"/>
        <w:spacing w:line="560" w:lineRule="exact"/>
        <w:jc w:val="left"/>
        <w:textAlignment w:val="auto"/>
        <w:outlineLvl w:val="9"/>
        <w:rPr>
          <w:rFonts w:ascii="宋体" w:hAnsi="Arial Unicode MS" w:eastAsia="Arial Unicode MS" w:cs="Arial Unicode MS"/>
          <w:b/>
          <w:kern w:val="0"/>
          <w:sz w:val="50"/>
          <w:szCs w:val="31"/>
        </w:rPr>
      </w:pPr>
    </w:p>
    <w:p>
      <w:pPr>
        <w:wordWrap/>
        <w:adjustRightInd w:val="0"/>
        <w:snapToGrid w:val="0"/>
        <w:spacing w:line="560" w:lineRule="exact"/>
        <w:ind w:firstLine="640" w:firstLineChars="200"/>
        <w:textAlignment w:val="auto"/>
        <w:outlineLvl w:val="9"/>
        <w:rPr>
          <w:rFonts w:ascii="黑体" w:hAnsi="黑体" w:eastAsia="黑体" w:cs="黑体"/>
          <w:kern w:val="0"/>
          <w:sz w:val="32"/>
          <w:szCs w:val="32"/>
        </w:rPr>
      </w:pPr>
      <w:r>
        <w:rPr>
          <w:rFonts w:hint="eastAsia" w:ascii="黑体" w:hAnsi="黑体" w:eastAsia="黑体" w:cs="黑体"/>
          <w:kern w:val="0"/>
          <w:sz w:val="32"/>
          <w:szCs w:val="32"/>
        </w:rPr>
        <w:t>一、托幼机构开园前</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制定本园疫情防控工作方案，包括疫情防控工作领导小组、各岗位工作责任制度（第一责任人、各部门、各班级、各老师）、疫情防控工作流程、信息上报流程、家长沟通机制、应急处置预案等，制度明确，责任到人，并进行培训和演练。托幼机构主要负责人是本单位疫情防控第一责任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2.每日了解教职员工及儿童健康情况，实行“日报告”、“零报告”制度，每天根据防控要求向主管部门报告具体情况。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3.根据上级主管部门要求和最新版新冠肺炎防控方案对全体教职员工进行制度、知识和技能培训。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4.开园前对园区进行卫生清洁和预防性消毒。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5.所有外出的教职员工和儿童，返回居住地后应当居家隔离14天，健康者方可入园。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6.做好防控工作的相关物资储备，准备充足的洗手液、手消毒剂、口罩、手套、酒精、消毒液、体温计、呕吐包、紫外线消毒灯等。</w:t>
      </w:r>
    </w:p>
    <w:p>
      <w:pPr>
        <w:widowControl/>
        <w:wordWrap/>
        <w:autoSpaceDE w:val="0"/>
        <w:adjustRightInd w:val="0"/>
        <w:snapToGrid w:val="0"/>
        <w:spacing w:line="560" w:lineRule="exact"/>
        <w:ind w:firstLine="640" w:firstLineChars="200"/>
        <w:textAlignment w:val="auto"/>
        <w:outlineLvl w:val="9"/>
        <w:rPr>
          <w:rFonts w:ascii="仿宋_GB2312" w:hAnsi="仿宋_GB2312" w:eastAsia="仿宋_GB2312" w:cs="仿宋_GB2312"/>
          <w:kern w:val="0"/>
          <w:sz w:val="32"/>
          <w:szCs w:val="32"/>
        </w:rPr>
      </w:pPr>
      <w:r>
        <w:rPr>
          <w:rFonts w:hint="eastAsia" w:ascii="仿宋" w:hAnsi="仿宋" w:eastAsia="仿宋" w:cs="仿宋"/>
          <w:sz w:val="32"/>
          <w:szCs w:val="32"/>
        </w:rPr>
        <w:t>7.设立（临时）隔离室，位置相对独立，以备人员出现发热等情况时立即进行隔离使用。</w:t>
      </w:r>
    </w:p>
    <w:p>
      <w:pPr>
        <w:wordWrap/>
        <w:adjustRightInd w:val="0"/>
        <w:snapToGrid w:val="0"/>
        <w:spacing w:line="560" w:lineRule="exact"/>
        <w:ind w:firstLine="640" w:firstLineChars="200"/>
        <w:jc w:val="left"/>
        <w:textAlignment w:val="auto"/>
        <w:outlineLvl w:val="9"/>
        <w:rPr>
          <w:rFonts w:ascii="黑体" w:hAnsi="黑体" w:eastAsia="黑体" w:cs="黑体"/>
          <w:kern w:val="0"/>
          <w:sz w:val="32"/>
          <w:szCs w:val="32"/>
        </w:rPr>
      </w:pPr>
      <w:r>
        <w:rPr>
          <w:rFonts w:hint="eastAsia" w:ascii="黑体" w:hAnsi="黑体" w:eastAsia="黑体" w:cs="黑体"/>
          <w:kern w:val="0"/>
          <w:sz w:val="32"/>
          <w:szCs w:val="32"/>
        </w:rPr>
        <w:t>二、托幼机构开园后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8.每日了解教职员工及儿童健康情况，实行“日报告”、“零报告”制度，每天根据防控要求向主管部门报告具体情况。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9.对各类生活、学习、工作场所（如活动室、睡眠室、盥洗室、教师办公室、音乐室、洗手间等）加强通风换气，每日通风不少于3次，每次不少于30分钟。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10.对园区进行日常消毒。地面和公共区域设施可使用含氯消毒剂（有效氯250mg/L-500mg/L）擦拭，作用30分钟后用清水擦净。公共上课场所（如音乐室、舞蹈室、活动室等）每批学生进入之前都要进行一次消毒。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11.加强物体表面清洁消毒，每天定期消毒并记录。对门把手、水龙头、楼梯扶手、床围栏等高频接触表面，可用有效氯250~500mg/L的含氯消毒剂进行擦拭。每日“三餐两点”前对儿童就餐桌面常规消毒。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加强餐（饮）具的清洁消毒，餐（饮）具应当一人一具一消毒。餐（饮）具去残渣、清洗后，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13.卫生洁具可用500mg/L的含氯消毒剂浸泡或擦拭消毒，作用30分钟后，清水冲洗干净，晾干待用。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15.建议教师授课时佩戴医用口罩。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16.教职员工和儿童每天入园时测体温，严格落实儿童晨午晚检和全日观察制度。晨检时工作人员要佩戴口罩和一次性手套。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17.严格落实教职员工及儿童手卫生措施。儿童出现以下情况必须洗手：入园后、进食前、如厕前后、从户外进入室内、接触污渍后、擤鼻涕后、打喷嚏用手遮掩口鼻后、手弄脏后等。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18.严格执行家长接送儿童不入园制度。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19.加强因病缺勤管理。做好缺勤、早退、病事假记录，发现因病缺勤的教职员工和儿童及时进行追访、登记和上报。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20.不宜组织大型集体活动。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通过各种形式面向教职员工、儿童和家长开展新冠肺炎预防的宣传教育。教会儿童正确的洗手方法，培养儿童养成良好卫生习惯，咳嗽、打喷嚏时用纸巾、衣袖遮挡口鼻。指导家长在疫情防控期间不带儿童去人员密集和空间密闭场所。</w:t>
      </w:r>
    </w:p>
    <w:p>
      <w:pPr>
        <w:wordWrap/>
        <w:adjustRightInd w:val="0"/>
        <w:snapToGrid w:val="0"/>
        <w:spacing w:line="560" w:lineRule="exact"/>
        <w:ind w:firstLine="640" w:firstLineChars="200"/>
        <w:jc w:val="left"/>
        <w:textAlignment w:val="auto"/>
        <w:outlineLvl w:val="9"/>
        <w:rPr>
          <w:rFonts w:ascii="黑体" w:hAnsi="黑体" w:eastAsia="黑体" w:cs="黑体"/>
          <w:kern w:val="0"/>
          <w:sz w:val="32"/>
          <w:szCs w:val="32"/>
        </w:rPr>
      </w:pPr>
      <w:r>
        <w:rPr>
          <w:rFonts w:hint="eastAsia" w:ascii="黑体" w:hAnsi="黑体" w:eastAsia="黑体" w:cs="黑体"/>
          <w:kern w:val="0"/>
          <w:sz w:val="32"/>
          <w:szCs w:val="32"/>
        </w:rPr>
        <w:t>三、出现疑似感染症状应急处置</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22.教职员工出现发热、干咳、乏力等症状，嘱其立即佩戴口罩去辖区内发热门诊就诊。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23.儿童出现发热、干咳、乏力等症状，应当立即使用（临时）隔离室，对该儿童采取有效的隔离措施，同时通知家长领返，带儿童去辖区内设有儿科发热门诊的医疗机构就诊，并做好防护。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24.对共同生活、学习的一般接触者进行健康风险告知，如出现发热、干咳等呼吸道症状以及腹泻、结膜充血等症状时要及时就医。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25.安排专人负责与接受隔离的教职员工或儿童的家长进行联系，了解教职员工或儿童每日健康状况。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附件10</w:t>
      </w:r>
    </w:p>
    <w:p>
      <w:pPr>
        <w:wordWrap/>
        <w:autoSpaceDE w:val="0"/>
        <w:autoSpaceDN w:val="0"/>
        <w:spacing w:line="560" w:lineRule="exact"/>
        <w:ind w:left="115"/>
        <w:jc w:val="left"/>
        <w:textAlignment w:val="auto"/>
        <w:outlineLvl w:val="9"/>
        <w:rPr>
          <w:rFonts w:hint="eastAsia" w:ascii="宋体" w:hAnsi="宋体" w:eastAsia="宋体" w:cs="宋体"/>
          <w:b w:val="0"/>
          <w:bCs w:val="0"/>
          <w:kern w:val="0"/>
          <w:sz w:val="44"/>
          <w:szCs w:val="44"/>
        </w:rPr>
      </w:pPr>
    </w:p>
    <w:p>
      <w:pPr>
        <w:wordWrap/>
        <w:autoSpaceDE w:val="0"/>
        <w:autoSpaceDN w:val="0"/>
        <w:spacing w:line="560" w:lineRule="exact"/>
        <w:ind w:left="115"/>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中小学校新冠肺炎防控技术方案</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一、中小学校开学前</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1.学校每日掌握教职员工及学生健康情况，实行“日报告”、“零报告”制度，并向主管部门报告。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2.学校对全体教职员工开展防控制度、个人防护与消毒等知识和技能培训。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3.开学前对学校进行彻底清洁，对物体表面进行预防性消毒处理，教室开窗通风。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4.所有外出或外地的教职员工和学生，返回居住地后应当居家隔离14天后方可返校。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5.做好洗手液、手消毒剂、口罩、手套、消毒剂等防控物资的储备。</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6.设立（临时）隔离室，位置相对独立，以备人员出现发热等症状时立即进行暂时隔离。</w:t>
      </w:r>
    </w:p>
    <w:p>
      <w:pPr>
        <w:widowControl/>
        <w:wordWrap/>
        <w:autoSpaceDE w:val="0"/>
        <w:adjustRightInd w:val="0"/>
        <w:snapToGrid w:val="0"/>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 w:hAnsi="仿宋" w:eastAsia="仿宋" w:cs="仿宋"/>
          <w:sz w:val="32"/>
          <w:szCs w:val="32"/>
        </w:rPr>
        <w:t>7.制定疫情防控应急预案，制度明确，责任到人，并进行培训、演练，校长是本单位疫情防控第一责任人。</w:t>
      </w:r>
    </w:p>
    <w:p>
      <w:pPr>
        <w:wordWrap/>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二、中小学校开学后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8.每日掌握教职员工及学生健康情况，加强对学生及教职员工的晨、午检工作，实行“日报告”、“零报告”制度，并向主管部门报告。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9.妥善保管消毒剂，标识明确，避免误食或灼伤。实施消毒处理时，操作人员应当采取有效防护措施。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各类生活、学习、工作场所（如教室、宿舍、图书馆、学生实验室、体育活动场所、餐厅、教师办公室、洗手间等）加强通风换气。每日通风不少于3次，每次不少于30分钟。课间尽量开窗通风，也可采用机械排风。如使用空调，应当保证空调系统供风安全，保证充足的新风输入，所有排风直接排到室外。</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加强物体表面清洁消毒。应当保持教室、宿舍、图书馆、餐厅等场所环境整洁卫生，每天定期消毒并记录。对门把手、水龙头、楼梯扶手、宿舍床围栏、室内健身器材等高频接触表面，可用有效氯250～500mg/L的含氯消毒剂进行擦拭，也可采用消毒湿巾进行擦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加强餐（饮）具的清洁消毒，餐（饮）具应当一人一具一用一消毒，建议学生自带餐具。餐（饮）具去残渣、清洗后，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13.卫生洁具可用有效氯500mg/L的含氯消毒剂浸泡或擦拭消毒，作用30分钟后，清水冲洗干净。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14.确保学校洗手设施运行正常，中小学校每40～45人设一个洗手盆或0.6m长盥洗槽，并备有洗手液、肥皂等，配备速干手消毒剂，有条件时可配备感应式手消毒设施。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16.建议教师授课时佩戴医用口罩。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严格落实教职员工及学生手卫生措施。餐前、便前便后、接触垃圾后、外出归来、使用体育器材、学校电脑等公用物品后、接触动物后、触摸眼睛等“易感”部位之前，接触污染物品之后，均要洗手。洗手时应当采用洗手液或肥皂，在流动水下按照正确洗手法彻底洗净双手，也可使用速干手消毒剂揉搓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18.加强因病缺勤管理。做好缺勤、早退、请假记录，对因病缺勤的教职员工和学生及时追访和上报。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19.不应组织大型集体活动。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20.对教职员工、学生和家长开展个人防护与消毒等防控知识宣传和指导。示范学生正确的洗手方法，培养学生养成良好卫生习惯，咳嗽、打喷嚏时用纸巾、衣袖遮挡口鼻。</w:t>
      </w:r>
    </w:p>
    <w:p>
      <w:pPr>
        <w:wordWrap/>
        <w:adjustRightInd w:val="0"/>
        <w:snapToGrid w:val="0"/>
        <w:spacing w:line="560" w:lineRule="exact"/>
        <w:ind w:firstLine="640" w:firstLineChars="200"/>
        <w:textAlignment w:val="auto"/>
        <w:outlineLvl w:val="9"/>
        <w:rPr>
          <w:rFonts w:hint="eastAsia" w:ascii="黑体" w:hAnsi="黑体" w:eastAsia="黑体" w:cs="黑体"/>
          <w:sz w:val="32"/>
          <w:szCs w:val="32"/>
        </w:rPr>
      </w:pPr>
      <w:r>
        <w:rPr>
          <w:rFonts w:hint="eastAsia" w:ascii="黑体" w:hAnsi="黑体" w:eastAsia="黑体" w:cs="黑体"/>
          <w:sz w:val="32"/>
          <w:szCs w:val="32"/>
        </w:rPr>
        <w:t>三、出现疑似感染症状应急处置</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教职员工如出现发热、干咳、乏力、鼻塞、流涕、咽痛、腹泻等症状，应当立即上报学校负责人，并及时按规定去定点医院就医。尽量避免乘坐公交、地铁等公共交通工具，前往医院路上和医院内应当全程佩戴医用外科口罩（或其他更高级别的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22.学生如出现发热、干咳、乏力、鼻塞、流涕、咽痛、腹泻等症状，应当及时向学校反馈并采取相应措施。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23.教职员工或学生中如出现新冠肺炎疑似病例，应当立即向辖区疾病预防控制部门报告，并配合相关部门做好密切接触者的管理。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24.对共同生活、学习的一般接触者进行风险告知，如出现发热、干咳等疑似症状时及时就医。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25.专人负责与接受隔离的教职员工或学生的家长联系，掌握其健康状况。</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p>
    <w:p>
      <w:pPr>
        <w:wordWrap/>
        <w:spacing w:line="560" w:lineRule="exact"/>
        <w:textAlignment w:val="auto"/>
        <w:outlineLvl w:val="9"/>
        <w:rPr>
          <w:rFonts w:ascii="Calibri" w:hAnsi="Calibri" w:eastAsia="仿宋_GB2312" w:cs="Times New Roman"/>
          <w:sz w:val="32"/>
        </w:rPr>
      </w:pPr>
    </w:p>
    <w:p>
      <w:pPr>
        <w:wordWrap/>
        <w:spacing w:line="560" w:lineRule="exact"/>
        <w:textAlignment w:val="auto"/>
        <w:outlineLvl w:val="9"/>
        <w:rPr>
          <w:rFonts w:hint="eastAsia" w:ascii="黑体" w:hAnsi="黑体" w:eastAsia="黑体"/>
          <w:sz w:val="32"/>
          <w:szCs w:val="32"/>
        </w:rPr>
      </w:pPr>
      <w:r>
        <w:rPr>
          <w:rFonts w:hint="eastAsia" w:ascii="黑体" w:hAnsi="黑体" w:eastAsia="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附件11</w:t>
      </w:r>
    </w:p>
    <w:p>
      <w:pPr>
        <w:wordWrap/>
        <w:spacing w:line="560" w:lineRule="exact"/>
        <w:jc w:val="center"/>
        <w:textAlignment w:val="auto"/>
        <w:outlineLvl w:val="9"/>
        <w:rPr>
          <w:rFonts w:hint="eastAsia" w:ascii="宋体" w:hAnsi="宋体" w:eastAsia="宋体" w:cs="宋体"/>
          <w:b w:val="0"/>
          <w:bCs w:val="0"/>
          <w:kern w:val="0"/>
          <w:sz w:val="44"/>
          <w:szCs w:val="44"/>
        </w:rPr>
      </w:pPr>
    </w:p>
    <w:p>
      <w:pPr>
        <w:wordWrap/>
        <w:spacing w:line="560" w:lineRule="exact"/>
        <w:jc w:val="center"/>
        <w:textAlignment w:val="auto"/>
        <w:outlineLvl w:val="9"/>
        <w:rPr>
          <w:rFonts w:hint="eastAsia" w:ascii="宋体" w:hAnsi="宋体" w:eastAsia="宋体" w:cs="宋体"/>
          <w:b w:val="0"/>
          <w:bCs w:val="0"/>
          <w:sz w:val="44"/>
          <w:szCs w:val="44"/>
        </w:rPr>
      </w:pPr>
      <w:r>
        <w:rPr>
          <w:rFonts w:hint="eastAsia" w:ascii="宋体" w:hAnsi="宋体" w:eastAsia="宋体" w:cs="宋体"/>
          <w:b w:val="0"/>
          <w:bCs w:val="0"/>
          <w:kern w:val="0"/>
          <w:sz w:val="44"/>
          <w:szCs w:val="44"/>
        </w:rPr>
        <w:t>大专院校</w:t>
      </w:r>
      <w:r>
        <w:rPr>
          <w:rFonts w:hint="eastAsia" w:ascii="宋体" w:hAnsi="宋体" w:eastAsia="宋体" w:cs="宋体"/>
          <w:b w:val="0"/>
          <w:bCs w:val="0"/>
          <w:sz w:val="44"/>
          <w:szCs w:val="44"/>
        </w:rPr>
        <w:t>新冠肺炎</w:t>
      </w:r>
      <w:r>
        <w:rPr>
          <w:rFonts w:hint="eastAsia" w:ascii="宋体" w:hAnsi="宋体" w:eastAsia="宋体" w:cs="宋体"/>
          <w:b w:val="0"/>
          <w:bCs w:val="0"/>
          <w:kern w:val="0"/>
          <w:sz w:val="44"/>
          <w:szCs w:val="44"/>
        </w:rPr>
        <w:t>防控</w:t>
      </w:r>
      <w:r>
        <w:rPr>
          <w:rFonts w:hint="eastAsia" w:ascii="宋体" w:hAnsi="宋体" w:eastAsia="宋体" w:cs="宋体"/>
          <w:b w:val="0"/>
          <w:bCs w:val="0"/>
          <w:sz w:val="44"/>
          <w:szCs w:val="44"/>
        </w:rPr>
        <w:t>技术方案</w:t>
      </w:r>
    </w:p>
    <w:p>
      <w:pPr>
        <w:wordWrap/>
        <w:adjustRightInd w:val="0"/>
        <w:snapToGrid w:val="0"/>
        <w:spacing w:line="560" w:lineRule="exact"/>
        <w:ind w:firstLine="640" w:firstLineChars="200"/>
        <w:textAlignment w:val="auto"/>
        <w:outlineLvl w:val="9"/>
        <w:rPr>
          <w:rFonts w:ascii="黑体" w:hAnsi="黑体" w:eastAsia="黑体" w:cs="黑体"/>
          <w:sz w:val="32"/>
          <w:szCs w:val="32"/>
        </w:rPr>
      </w:pPr>
    </w:p>
    <w:p>
      <w:pPr>
        <w:wordWrap/>
        <w:adjustRightInd w:val="0"/>
        <w:snapToGrid w:val="0"/>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一、大专院校开学前</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1.学校每日掌握教职员工及学生健康情况，实行“日报告”、“零报告”制度，并向主管部门报告。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2.学校对全体教职员工开展防控制度、个人防护与消毒等知识和技能培训。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3.开学前对学校进行彻底清洁，对物体表面进行预防性消毒处理，教室开窗通风。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4.所有外出的教职员工和学生，返回居住地后应当居家隔离14天，健康者方可返校。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5.做好洗手液、手消毒剂、口罩、手套、消毒剂等防控物资的储备。</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6.设立（临时）隔离室，位置相对独立，以备人员出现发热等症状时立即进行暂时隔离。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7.制定疫情防控应急预案，制度明确，责任到人，并进行培训、演练，校长是本单位疫情防控第一责任人。</w:t>
      </w:r>
    </w:p>
    <w:p>
      <w:pPr>
        <w:wordWrap/>
        <w:adjustRightInd w:val="0"/>
        <w:snapToGrid w:val="0"/>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二、大专院校开学后</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8.每日掌握教职员工及学生健康情况，加强对学生及教职员工的晨、午检工作，实行“日报告”、“零报告”制度，并向主管部门报告。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加强物体表面清洁消毒。应当保持教室、宿舍、图书馆、学生实验室、体育活动场所、餐厅等场所环境卫生整洁，每日定期消毒并记录。对门把手、课桌椅、讲台、电脑键盘、鼠标、水龙头、楼梯扶手、宿舍床围栏、室内健身器材、电梯间按钮等高频接触表面，可用有效氯250～500mg/L的含氯消毒剂进行喷洒或擦拭，也可采用消毒湿巾进行擦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10.加强重点场所地面清洁消毒。应当加强学校食堂、浴室及宿舍地面的清洁，定期消毒并记录。可使用有效氯500mg/L的含氯消毒液擦拭消毒。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各类生活、学习、工作场所（如教室、宿舍、图书馆、学生实验室、体育活动场所、餐厅、教师办公室、洗手间等）加强通风换气。每日通风不少于3次，每次不少于30分钟。课间尽量开窗通风，也可采用机械排风。如使用空调，应当保证空调系统供风安全，保证充足的新风输入，所有排风直接排到室外。</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12.加强餐（饮）具的清洁消毒，餐（饮）具应当一人一具一用一消毒，建议学生自带餐具。餐（饮）具去残渣、清洗后，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13.宿舍要定期清洁，做好个人卫生。被褥及个人衣物要定期晾晒、定期洗涤。如需消毒处理，可煮沸消毒30分钟，或先用有效氯500mg/L的含氯消毒液浸泡30分钟后，再常规清洗。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14.加强垃圾分类管理，及时收集清运，并做好垃圾盛装容器的清洁，可用有效氯500mg/L的含氯消毒剂定期对其进行消毒处理。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15.加强个人防护。校门值守人员、清洁人员及食堂工作人员等应当佩戴一次性使用医用口罩或医用外科口罩。食堂工作人员还应穿工作服，并保持工作服清洁，工作服应当定期洗涤、消毒。可煮沸消毒30分钟，或先用500mg/L的含氯消毒液浸泡30分钟，然后常规清洗。清洁消毒人员在配制和使用化学消毒剂时，还应做好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16.严格落实教职员工及学生手卫生措施。餐前、便前便后、接触垃圾、外出归来、使用体育器材、学校电脑等公用物品后、接触动物后、触摸眼睛等“易感”部位之前，接触污染物品之后，均要洗手。洗手时应当采用洗手液或肥皂，在流动水下按照正确洗手法彻底洗净双手，也可使用速干手消毒剂揉搓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17.加强因病缺勤管理。做好缺勤、早退、请假记录，对因病缺勤的教职员工和学生及时追访和上报。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18.不应组织大型集体活动。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19.设立健康宣教课堂，由专人定期对学校内的教职员工和学生进行个人防护与消毒等防控知识宣传和指导。指导教职员工和学生在疫情防控期间避免到人群聚集尤其是空气流动性差的场所，减少不必要的外出。如果外出，应当做好个人防护和手卫生，去人口较为密集的公共场所、乘坐公共交通工具、厢式电梯等必须正确佩戴医用口罩。</w:t>
      </w:r>
    </w:p>
    <w:p>
      <w:pPr>
        <w:wordWrap/>
        <w:adjustRightInd w:val="0"/>
        <w:snapToGrid w:val="0"/>
        <w:spacing w:line="560" w:lineRule="exact"/>
        <w:ind w:firstLine="640" w:firstLineChars="200"/>
        <w:textAlignment w:val="auto"/>
        <w:outlineLvl w:val="9"/>
        <w:rPr>
          <w:rFonts w:ascii="黑体" w:hAnsi="黑体" w:eastAsia="黑体" w:cs="黑体"/>
          <w:sz w:val="32"/>
          <w:szCs w:val="32"/>
        </w:rPr>
      </w:pPr>
      <w:r>
        <w:rPr>
          <w:rFonts w:hint="eastAsia" w:ascii="黑体" w:hAnsi="黑体" w:eastAsia="黑体" w:cs="黑体"/>
          <w:sz w:val="32"/>
          <w:szCs w:val="32"/>
        </w:rPr>
        <w:t>三、出现疑似感染症状应急处置</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20.教职员工如出现发热、干咳、乏力、鼻塞、流涕、咽痛、腹泻等症状，应当立即上报学校负责人，并及时按规定去定点医院就医。尽量避免乘坐公交、地铁等公共交通工具，前往医院路上和医院内应当全程佩戴医用外科口罩（或其他更高级别的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21.如学生出现发热、干咳、乏力、鼻塞、流涕、咽痛、腹泻等症状，及时向学校报告并采取相应措施。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22.教职员工或学生中如出现新冠肺炎疑似病例，应当立即向辖区疾病预防控制部门报告，并配合相关部门做好密切接触者的管理。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23.对共同生活、学习的一般接触者进行风险告知，如出现发热、干咳等呼吸道症状以及腹泻、结膜充血等症状时要及时就医。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24.专人负责与接受隔离的教职员工或学生的家长进行联系，掌握其健康状况。</w:t>
      </w:r>
    </w:p>
    <w:p>
      <w:pPr>
        <w:widowControl/>
        <w:wordWrap/>
        <w:autoSpaceDE w:val="0"/>
        <w:adjustRightInd w:val="0"/>
        <w:snapToGrid w:val="0"/>
        <w:spacing w:line="560" w:lineRule="exact"/>
        <w:ind w:firstLine="640" w:firstLineChars="200"/>
        <w:textAlignment w:val="auto"/>
        <w:outlineLvl w:val="9"/>
        <w:rPr>
          <w:rFonts w:ascii="Calibri" w:hAnsi="Calibri" w:eastAsia="仿宋_GB2312" w:cs="Times New Roman"/>
          <w:sz w:val="32"/>
        </w:rPr>
      </w:pPr>
    </w:p>
    <w:p>
      <w:pPr>
        <w:pStyle w:val="18"/>
        <w:wordWrap/>
        <w:spacing w:before="0" w:beforeAutospacing="0" w:after="0" w:afterAutospacing="0" w:line="560" w:lineRule="exact"/>
        <w:textAlignment w:val="auto"/>
        <w:outlineLvl w:val="9"/>
        <w:rPr>
          <w:rFonts w:hint="eastAsia" w:ascii="黑体" w:hAnsi="黑体" w:eastAsia="黑体"/>
          <w:sz w:val="32"/>
          <w:szCs w:val="32"/>
        </w:rPr>
      </w:pPr>
    </w:p>
    <w:p>
      <w:pPr>
        <w:outlineLvl w:val="9"/>
        <w:rPr>
          <w:rFonts w:hint="eastAsia" w:ascii="黑体" w:hAnsi="黑体" w:eastAsia="黑体" w:cs="黑体"/>
          <w:kern w:val="0"/>
          <w:sz w:val="32"/>
          <w:szCs w:val="32"/>
        </w:rPr>
      </w:pPr>
      <w:r>
        <w:rPr>
          <w:rFonts w:hint="eastAsia" w:ascii="黑体" w:hAnsi="黑体" w:eastAsia="黑体" w:cs="黑体"/>
          <w:kern w:val="0"/>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附件12</w:t>
      </w:r>
    </w:p>
    <w:p>
      <w:pPr>
        <w:widowControl/>
        <w:wordWrap/>
        <w:spacing w:line="560" w:lineRule="exact"/>
        <w:jc w:val="center"/>
        <w:textAlignment w:val="auto"/>
        <w:outlineLvl w:val="9"/>
        <w:rPr>
          <w:rFonts w:hint="eastAsia" w:ascii="宋体" w:hAnsi="宋体" w:eastAsia="宋体" w:cs="宋体"/>
          <w:b w:val="0"/>
          <w:bCs w:val="0"/>
          <w:kern w:val="0"/>
          <w:sz w:val="44"/>
          <w:szCs w:val="44"/>
        </w:rPr>
      </w:pPr>
    </w:p>
    <w:p>
      <w:pPr>
        <w:widowControl/>
        <w:wordWrap/>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监狱新冠肺炎防控技术方案</w:t>
      </w:r>
    </w:p>
    <w:p>
      <w:pPr>
        <w:widowControl/>
        <w:wordWrap/>
        <w:spacing w:line="560" w:lineRule="exact"/>
        <w:jc w:val="center"/>
        <w:textAlignment w:val="auto"/>
        <w:outlineLvl w:val="9"/>
        <w:rPr>
          <w:rFonts w:hint="eastAsia" w:ascii="宋体" w:hAnsi="宋体" w:eastAsia="宋体" w:cs="宋体"/>
          <w:b/>
          <w:kern w:val="0"/>
          <w:sz w:val="44"/>
          <w:szCs w:val="44"/>
        </w:rPr>
      </w:pPr>
    </w:p>
    <w:p>
      <w:pPr>
        <w:wordWrap/>
        <w:adjustRightInd w:val="0"/>
        <w:snapToGrid w:val="0"/>
        <w:spacing w:line="560" w:lineRule="exact"/>
        <w:ind w:firstLine="640"/>
        <w:textAlignment w:val="auto"/>
        <w:outlineLvl w:val="9"/>
        <w:rPr>
          <w:rFonts w:ascii="黑体" w:hAnsi="黑体" w:eastAsia="黑体" w:cs="仿宋"/>
          <w:sz w:val="32"/>
          <w:szCs w:val="32"/>
        </w:rPr>
      </w:pPr>
      <w:r>
        <w:rPr>
          <w:rFonts w:hint="eastAsia" w:ascii="黑体" w:hAnsi="黑体" w:eastAsia="黑体" w:cs="黑体"/>
          <w:sz w:val="32"/>
          <w:szCs w:val="32"/>
        </w:rPr>
        <w:t>一、监狱卫生管理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4" w:name="bookmark3"/>
      <w:r>
        <w:rPr>
          <w:rFonts w:hint="eastAsia" w:ascii="仿宋" w:hAnsi="仿宋" w:eastAsia="仿宋" w:cs="仿宋"/>
          <w:sz w:val="32"/>
          <w:szCs w:val="32"/>
        </w:rPr>
        <w:t>（</w:t>
      </w:r>
      <w:bookmarkEnd w:id="384"/>
      <w:r>
        <w:rPr>
          <w:rFonts w:hint="eastAsia" w:ascii="仿宋" w:hAnsi="仿宋" w:eastAsia="仿宋" w:cs="仿宋"/>
          <w:sz w:val="32"/>
          <w:szCs w:val="32"/>
        </w:rPr>
        <w:t>一）建立工作人员和服刑人员健康监测制度。由专人负责每天对进入单位的人员进行测量。</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（二）有班车的单位，应当设专人在上班车前对上车人员进行体温测量，发热症状者禁止乘坐班车。对出现发热、咳嗽等症状的工作人员，禁止进入单位，并立即指导及时就医。</w:t>
      </w:r>
      <w:bookmarkStart w:id="385" w:name="bookmark5"/>
    </w:p>
    <w:bookmarkEnd w:id="385"/>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6" w:name="bookmark6"/>
      <w:r>
        <w:rPr>
          <w:rFonts w:hint="eastAsia" w:ascii="仿宋" w:hAnsi="仿宋" w:eastAsia="仿宋" w:cs="仿宋"/>
          <w:sz w:val="32"/>
          <w:szCs w:val="32"/>
        </w:rPr>
        <w:t>（</w:t>
      </w:r>
      <w:bookmarkEnd w:id="386"/>
      <w:r>
        <w:rPr>
          <w:rFonts w:hint="eastAsia" w:ascii="仿宋" w:hAnsi="仿宋" w:eastAsia="仿宋" w:cs="仿宋"/>
          <w:sz w:val="32"/>
          <w:szCs w:val="32"/>
        </w:rPr>
        <w:t>三）应当采取全封闭管理，禁止人员探视，减少狱警和工作人员的进出，限制监狱内人员流动生活必需品可以采用送货上门的方式</w:t>
      </w:r>
      <w:r>
        <w:rPr>
          <w:rFonts w:hint="eastAsia" w:ascii="仿宋" w:hAnsi="仿宋" w:eastAsia="仿宋" w:cs="仿宋"/>
          <w:sz w:val="32"/>
          <w:szCs w:val="32"/>
          <w:lang w:val="zh-CN"/>
        </w:rPr>
        <w:t>。新入监人员</w:t>
      </w:r>
      <w:r>
        <w:rPr>
          <w:rFonts w:hint="eastAsia" w:ascii="仿宋" w:hAnsi="仿宋" w:eastAsia="仿宋" w:cs="仿宋"/>
          <w:sz w:val="32"/>
          <w:szCs w:val="32"/>
        </w:rPr>
        <w:t>应当隔离观察14天，无异常后方可入监。</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7" w:name="bookmark7"/>
      <w:r>
        <w:rPr>
          <w:rFonts w:hint="eastAsia" w:ascii="仿宋" w:hAnsi="仿宋" w:eastAsia="仿宋" w:cs="仿宋"/>
          <w:sz w:val="32"/>
          <w:szCs w:val="32"/>
        </w:rPr>
        <w:t>（</w:t>
      </w:r>
      <w:bookmarkEnd w:id="387"/>
      <w:r>
        <w:rPr>
          <w:rFonts w:hint="eastAsia" w:ascii="仿宋" w:hAnsi="仿宋" w:eastAsia="仿宋" w:cs="仿宋"/>
          <w:sz w:val="32"/>
          <w:szCs w:val="32"/>
        </w:rPr>
        <w:t>四）防控物资储备。注意调配必要的药物和防护物资，以满足疫情防控需要。配合疾控机构规范开展病例流行病 学调查和密切接触者的隔离观察，追踪管理。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（五）按照监狱情况，预估并配备各类防疫物资，如口罩、防护服、护目镜、消毒工具、消毒剂等。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（六）加强防控知识培训。结合健康培训教育、警示告知等制度，组织开展多种形式的新冠肺炎防控知识培训和宣传教育，提高狱警和服刑人员自我防护意识和</w:t>
      </w:r>
      <w:r>
        <w:rPr>
          <w:rFonts w:hint="eastAsia" w:ascii="仿宋" w:hAnsi="仿宋" w:eastAsia="仿宋" w:cs="仿宋"/>
          <w:sz w:val="32"/>
          <w:szCs w:val="32"/>
          <w:lang w:val="zh-CN"/>
        </w:rPr>
        <w:t>能力。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88" w:name="bookmark25"/>
      <w:r>
        <w:rPr>
          <w:rFonts w:hint="eastAsia" w:ascii="仿宋" w:hAnsi="仿宋" w:eastAsia="仿宋" w:cs="仿宋"/>
          <w:sz w:val="32"/>
          <w:szCs w:val="32"/>
        </w:rPr>
        <w:t>（</w:t>
      </w:r>
      <w:bookmarkEnd w:id="388"/>
      <w:r>
        <w:rPr>
          <w:rFonts w:hint="eastAsia" w:ascii="仿宋" w:hAnsi="仿宋" w:eastAsia="仿宋" w:cs="仿宋"/>
          <w:sz w:val="32"/>
          <w:szCs w:val="32"/>
        </w:rPr>
        <w:t>七）鼓励开展心理健康服务。了解受到疫情影响人员及服刑人员的心理健康状况，疏解在严峻疫情下的焦虑恐惧情绪。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（八）设立隔离观察区域。当工作人员或服刑人员出现发热、乏力、干咳等可疑症状时，及时到该区域进行暂时隔离，再按照相关规范要求进行处理。</w:t>
      </w:r>
    </w:p>
    <w:p>
      <w:pPr>
        <w:wordWrap/>
        <w:adjustRightInd w:val="0"/>
        <w:snapToGrid w:val="0"/>
        <w:spacing w:line="560" w:lineRule="exact"/>
        <w:ind w:firstLine="640"/>
        <w:textAlignment w:val="auto"/>
        <w:outlineLvl w:val="9"/>
        <w:rPr>
          <w:rFonts w:hint="eastAsia" w:ascii="黑体" w:hAnsi="黑体" w:eastAsia="黑体" w:cs="黑体"/>
          <w:sz w:val="32"/>
          <w:szCs w:val="32"/>
        </w:rPr>
      </w:pPr>
      <w:bookmarkStart w:id="389" w:name="bookmark31"/>
      <w:r>
        <w:rPr>
          <w:rFonts w:hint="eastAsia" w:ascii="黑体" w:hAnsi="黑体" w:eastAsia="黑体" w:cs="黑体"/>
          <w:sz w:val="32"/>
          <w:szCs w:val="32"/>
        </w:rPr>
        <w:t>二、预防性卫生措施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（一）通风</w:t>
      </w:r>
      <w:r>
        <w:rPr>
          <w:rFonts w:hint="eastAsia" w:ascii="仿宋" w:hAnsi="仿宋" w:eastAsia="仿宋" w:cs="仿宋"/>
          <w:sz w:val="32"/>
          <w:szCs w:val="32"/>
          <w:lang w:val="zh-CN"/>
        </w:rPr>
        <w:t>换气。</w:t>
      </w:r>
      <w:r>
        <w:rPr>
          <w:rFonts w:hint="eastAsia" w:ascii="仿宋" w:hAnsi="仿宋" w:eastAsia="仿宋" w:cs="仿宋"/>
          <w:sz w:val="32"/>
          <w:szCs w:val="32"/>
        </w:rPr>
        <w:t>加强监管区和行政办公区的通风换气，保持室内空气流通，在气温状况允许的情况下首选开窗自然通风。每天早、中和晚开窗各1次，每次通风时间至少30分钟。应当采取错峰放风和休息，尽可能避免或减少人员聚集和集体</w:t>
      </w:r>
      <w:r>
        <w:rPr>
          <w:rFonts w:hint="eastAsia" w:ascii="仿宋" w:hAnsi="仿宋" w:eastAsia="仿宋" w:cs="仿宋"/>
          <w:sz w:val="32"/>
          <w:szCs w:val="32"/>
          <w:lang w:val="zh-CN"/>
        </w:rPr>
        <w:t>活动</w:t>
      </w:r>
      <w:r>
        <w:rPr>
          <w:rFonts w:hint="eastAsia" w:ascii="仿宋" w:hAnsi="仿宋" w:eastAsia="仿宋" w:cs="仿宋"/>
          <w:sz w:val="32"/>
          <w:szCs w:val="32"/>
        </w:rPr>
        <w:t>。</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0" w:name="bookmark10"/>
      <w:r>
        <w:rPr>
          <w:rFonts w:hint="eastAsia" w:ascii="仿宋" w:hAnsi="仿宋" w:eastAsia="仿宋" w:cs="仿宋"/>
          <w:sz w:val="32"/>
          <w:szCs w:val="32"/>
        </w:rPr>
        <w:t>（</w:t>
      </w:r>
      <w:bookmarkEnd w:id="390"/>
      <w:r>
        <w:rPr>
          <w:rFonts w:hint="eastAsia" w:ascii="仿宋" w:hAnsi="仿宋" w:eastAsia="仿宋" w:cs="仿宋"/>
          <w:sz w:val="32"/>
          <w:szCs w:val="32"/>
        </w:rPr>
        <w:t>二）卫生防护设施。确保工作场所内洗手、洗眼、喷淋设施运行正常。</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1" w:name="bookmark11"/>
      <w:r>
        <w:rPr>
          <w:rFonts w:hint="eastAsia" w:ascii="仿宋" w:hAnsi="仿宋" w:eastAsia="仿宋" w:cs="仿宋"/>
          <w:sz w:val="32"/>
          <w:szCs w:val="32"/>
        </w:rPr>
        <w:t>（</w:t>
      </w:r>
      <w:bookmarkEnd w:id="391"/>
      <w:r>
        <w:rPr>
          <w:rFonts w:hint="eastAsia" w:ascii="仿宋" w:hAnsi="仿宋" w:eastAsia="仿宋" w:cs="仿宋"/>
          <w:sz w:val="32"/>
          <w:szCs w:val="32"/>
        </w:rPr>
        <w:t>三）清洁与消毒。</w:t>
      </w:r>
      <w:bookmarkStart w:id="392" w:name="bookmark12"/>
      <w:bookmarkEnd w:id="392"/>
      <w:r>
        <w:rPr>
          <w:rFonts w:hint="eastAsia" w:ascii="仿宋" w:hAnsi="仿宋" w:eastAsia="仿宋" w:cs="仿宋"/>
          <w:sz w:val="32"/>
          <w:szCs w:val="32"/>
        </w:rPr>
        <w:t>做好监管区和行政办公区物体表面的清洁消毒</w:t>
      </w:r>
      <w:r>
        <w:rPr>
          <w:rFonts w:hint="eastAsia" w:ascii="仿宋" w:hAnsi="仿宋" w:eastAsia="仿宋" w:cs="仿宋"/>
          <w:sz w:val="32"/>
          <w:szCs w:val="32"/>
          <w:lang w:val="zh-CN"/>
        </w:rPr>
        <w:t>。保</w:t>
      </w:r>
      <w:r>
        <w:rPr>
          <w:rFonts w:hint="eastAsia" w:ascii="仿宋" w:hAnsi="仿宋" w:eastAsia="仿宋" w:cs="仿宋"/>
          <w:sz w:val="32"/>
          <w:szCs w:val="32"/>
        </w:rPr>
        <w:t>持环境整洁卫生</w:t>
      </w:r>
      <w:r>
        <w:rPr>
          <w:rFonts w:hint="eastAsia" w:ascii="仿宋" w:hAnsi="仿宋" w:eastAsia="仿宋" w:cs="仿宋"/>
          <w:sz w:val="32"/>
          <w:szCs w:val="32"/>
          <w:lang w:eastAsia="zh-CN"/>
        </w:rPr>
        <w:t>，</w:t>
      </w:r>
      <w:r>
        <w:rPr>
          <w:rFonts w:hint="eastAsia" w:ascii="仿宋" w:hAnsi="仿宋" w:eastAsia="仿宋" w:cs="仿宋"/>
          <w:sz w:val="32"/>
          <w:szCs w:val="32"/>
        </w:rPr>
        <w:t>定期消毒并做好清洁消毒记录。加强场所、餐（饮）具定期</w:t>
      </w:r>
      <w:r>
        <w:rPr>
          <w:rFonts w:hint="eastAsia" w:ascii="仿宋" w:hAnsi="仿宋" w:eastAsia="仿宋" w:cs="仿宋"/>
          <w:sz w:val="32"/>
          <w:szCs w:val="32"/>
          <w:lang w:val="zh-CN"/>
        </w:rPr>
        <w:t>消毒。</w:t>
      </w:r>
      <w:r>
        <w:rPr>
          <w:rFonts w:hint="eastAsia" w:ascii="仿宋" w:hAnsi="仿宋" w:eastAsia="仿宋" w:cs="仿宋"/>
          <w:sz w:val="32"/>
          <w:szCs w:val="32"/>
        </w:rPr>
        <w:t>对高频接触的物体表面，可用含氯消毒剂进行喷洒或擦拭，或采用消毒湿巾</w:t>
      </w:r>
      <w:r>
        <w:rPr>
          <w:rFonts w:hint="eastAsia" w:ascii="仿宋" w:hAnsi="仿宋" w:eastAsia="仿宋" w:cs="仿宋"/>
          <w:sz w:val="32"/>
          <w:szCs w:val="32"/>
          <w:lang w:val="zh-CN"/>
        </w:rPr>
        <w:t>擦拭。</w:t>
      </w:r>
      <w:r>
        <w:rPr>
          <w:rFonts w:hint="eastAsia" w:ascii="仿宋" w:hAnsi="仿宋" w:eastAsia="仿宋" w:cs="仿宋"/>
          <w:sz w:val="32"/>
          <w:szCs w:val="32"/>
        </w:rPr>
        <w:t>配备手消毒剂。</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物表清洁消毒。保持地面的整洁卫生。使用含氯消毒剂（有效氯250mg/L～500mg/L）湿式拖布拖拭。发现呕吐物时，应当立即使用一次性吸水材料加足量消毒剂（如含氯消毒剂）或有效的消毒干巾对呕吐物进行覆盖消毒。清除呕吐物后，使用季铵盐类消毒剂或含氯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3" w:name="bookmark13"/>
      <w:bookmarkEnd w:id="393"/>
      <w:bookmarkStart w:id="394" w:name="bookmark14"/>
      <w:bookmarkEnd w:id="394"/>
      <w:r>
        <w:rPr>
          <w:rFonts w:hint="eastAsia" w:ascii="仿宋" w:hAnsi="仿宋" w:eastAsia="仿宋" w:cs="仿宋"/>
          <w:sz w:val="32"/>
          <w:szCs w:val="32"/>
        </w:rPr>
        <w:t>2.空调通风系统。定期对空调进风口、出风口消毒采用含有效氯500mg/L的消毒液擦拭；加强对风机盘管的凝结水盘、冷却水的清洁消毒；空调通风系统的清洗消毒按照《公共场所集中空调通风系统清洗消毒规范》（WS/T 396）进行。</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3.公共卫生间。</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（1）卫生间应当保持清洁和干爽，空气流通，提供洗手液，并保证水龙头等设施正常使用。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（2）应当增加卫生间的巡查频次，视情况增加消毒次数。</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（3）为防止空气气溶胶污染，洗手盆、淋浴等排水管道要勤冲洗，确保∪型管道和下水道的水封隔离效果。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（4）公共台面、洗手池、门把手、马桶按键等物体表面进行消毒，用含有效氯500mg/L的消毒液进行喷洒或擦拭，30分钟后清水擦拭干净。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4.学习用房、文体活动用房、技能培训用房、劳动改造用房及其他服务用房。</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（1）保持环境清洁，建议每日通风3次，每次20-30分钟，通风时注意保暖。</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（2）处于单人环境下的人员原则上可以不佩戴口罩。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（3）处于多人聚集环境下的工作人员应当佩戴医用口罩，人与人之间保持1米以上距离。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（4）进入服务用房前洗手消毒。人员间隔1米以上。</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（5）尽量减少集体活动，控制集体活动时间，集体活动时间过长时，开窗通风1次。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（6）活动结束后场地、家具须进行消毒。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5.厨房与餐厅（监管区）、食堂与餐厅（行政办公区）。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（1）保持空气流通，以清洁为主，预防性消毒为辅。</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（2）采取有效的分流措施，鼓励错峰用餐，避免人员密集和聚餐活动。</w:t>
      </w:r>
    </w:p>
    <w:bookmarkEnd w:id="389"/>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（3）餐厅每日消毒3次，早中和晚上各1次。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加强餐（饮）具的清洁消毒，餐（饮）具应当一人一具一用一消毒。餐（饮）具去残渣、清洗后，可煮沸或流通蒸汽消毒15分钟；或采用热力消毒柜等消毒方式；或采用有效氯250mg/L的含氯消毒剂浸泡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（4）严禁生食和熟食用品混用，避免肉类生食。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5" w:name="bookmark16"/>
      <w:r>
        <w:rPr>
          <w:rFonts w:hint="eastAsia" w:ascii="仿宋" w:hAnsi="仿宋" w:eastAsia="仿宋" w:cs="仿宋"/>
          <w:sz w:val="32"/>
          <w:szCs w:val="32"/>
        </w:rPr>
        <w:t>（</w:t>
      </w:r>
      <w:bookmarkEnd w:id="395"/>
      <w:r>
        <w:rPr>
          <w:rFonts w:hint="eastAsia" w:ascii="仿宋" w:hAnsi="仿宋" w:eastAsia="仿宋" w:cs="仿宋"/>
          <w:sz w:val="32"/>
          <w:szCs w:val="32"/>
        </w:rPr>
        <w:t>四）垃圾</w:t>
      </w:r>
      <w:r>
        <w:rPr>
          <w:rFonts w:hint="eastAsia" w:ascii="仿宋" w:hAnsi="仿宋" w:eastAsia="仿宋" w:cs="仿宋"/>
          <w:sz w:val="32"/>
          <w:szCs w:val="32"/>
          <w:lang w:val="zh-CN"/>
        </w:rPr>
        <w:t>处理。</w:t>
      </w:r>
      <w:r>
        <w:rPr>
          <w:rFonts w:hint="eastAsia" w:ascii="仿宋" w:hAnsi="仿宋" w:eastAsia="仿宋" w:cs="仿宋"/>
          <w:sz w:val="32"/>
          <w:szCs w:val="32"/>
        </w:rPr>
        <w:t>加强垃圾分类收集，及时清运。增加垃圾桶等垃圾盛装容器的清洁消毒频次。可用含有效氯500mg/L的含氯消毒剂进行喷洒或擦拭。</w:t>
      </w:r>
    </w:p>
    <w:p>
      <w:pPr>
        <w:wordWrap/>
        <w:adjustRightInd w:val="0"/>
        <w:snapToGrid w:val="0"/>
        <w:spacing w:line="560" w:lineRule="exact"/>
        <w:ind w:firstLine="640"/>
        <w:textAlignment w:val="auto"/>
        <w:outlineLvl w:val="9"/>
        <w:rPr>
          <w:rFonts w:ascii="黑体" w:hAnsi="黑体" w:eastAsia="黑体" w:cs="仿宋"/>
          <w:sz w:val="32"/>
          <w:szCs w:val="32"/>
        </w:rPr>
      </w:pPr>
      <w:r>
        <w:rPr>
          <w:rFonts w:hint="eastAsia" w:ascii="黑体" w:hAnsi="黑体" w:eastAsia="黑体" w:cs="仿宋"/>
          <w:sz w:val="32"/>
          <w:szCs w:val="32"/>
        </w:rPr>
        <w:t>三、个人防护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bookmarkStart w:id="396" w:name="bookmark27"/>
      <w:r>
        <w:rPr>
          <w:rFonts w:hint="eastAsia" w:ascii="仿宋" w:hAnsi="仿宋" w:eastAsia="仿宋" w:cs="仿宋"/>
          <w:sz w:val="32"/>
          <w:szCs w:val="32"/>
        </w:rPr>
        <w:t>（</w:t>
      </w:r>
      <w:bookmarkEnd w:id="396"/>
      <w:r>
        <w:rPr>
          <w:rFonts w:hint="eastAsia" w:ascii="仿宋" w:hAnsi="仿宋" w:eastAsia="仿宋" w:cs="仿宋"/>
          <w:sz w:val="32"/>
          <w:szCs w:val="32"/>
        </w:rPr>
        <w:t>一）干警、工作人员。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1.干警、工作人员正确佩戴口罩，加强手卫生措施，随时进行手卫生。洗手或使用速干手消毒剂，有肉眼可见污染物时，应当用洗手液在流动水下洗手。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2.打喷嚏和咳嗽时应当用纸巾或手肘部位（不是双手）遮蔽口鼻，将打喷嚏和咳嗽时使用过的纸巾放入有盖的垃圾桶内，打喷嚏和咳嗽后应当用肥皂或洗手液彻底清洗双手。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3.与监狱内其他工作人员减少交流，必须交流时不得摘下口罩，并保持一定距离。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4.注意身体状况。在岗期间注意身体状况，当出现发热、咳嗽等症状时，要及时按规定去定点医院就医，尽量避免乘坐公交、地铁等公共交通工具，前往医院路上和医院内应当全程佩戴口罩。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（二）服刑人员。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w:t>
      </w:r>
      <w:bookmarkStart w:id="397" w:name="bookmark28"/>
      <w:r>
        <w:rPr>
          <w:rFonts w:hint="eastAsia" w:ascii="仿宋" w:hAnsi="仿宋" w:eastAsia="仿宋" w:cs="仿宋"/>
          <w:sz w:val="32"/>
          <w:szCs w:val="32"/>
        </w:rPr>
        <w:t>服刑人员应当佩戴口罩</w:t>
      </w:r>
      <w:bookmarkEnd w:id="397"/>
      <w:r>
        <w:rPr>
          <w:rFonts w:hint="eastAsia" w:ascii="仿宋" w:hAnsi="仿宋" w:eastAsia="仿宋" w:cs="仿宋"/>
          <w:sz w:val="32"/>
          <w:szCs w:val="32"/>
        </w:rPr>
        <w:t>，加强手卫生，养成勤洗手的习惯。</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2.打喷嚏和咳嗽时应当用手肘部位（不是双手）遮蔽口鼻，避免喷向其他服刑人员，打喷嚏和咳嗽后应当用肥皂或洗手液彻底清洗双手。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3.与探视人员交流时不得摘下口罩，保持一定距离并避免直接接触。</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4.服刑人员放风或休息时应当佩戴口罩，减少与其他服刑人员直接接触，条件允许时，尽量与他人保持一定距离。</w:t>
      </w:r>
      <w:r>
        <w:rPr>
          <w:rFonts w:hint="eastAsia" w:ascii="仿宋" w:hAnsi="仿宋" w:eastAsia="仿宋" w:cs="仿宋"/>
          <w:sz w:val="32"/>
          <w:szCs w:val="32"/>
        </w:rPr>
        <w:br w:type="textWrapping"/>
      </w:r>
      <w:r>
        <w:rPr>
          <w:rFonts w:hint="eastAsia" w:ascii="仿宋" w:hAnsi="仿宋" w:eastAsia="仿宋" w:cs="仿宋"/>
          <w:sz w:val="32"/>
          <w:szCs w:val="32"/>
        </w:rPr>
        <w:t xml:space="preserve">    5.服刑期间注意身体状况，当出现发热、咳嗽等症状时，要及时向干警汇报，并在干警监护下就医排查。</w:t>
      </w:r>
    </w:p>
    <w:p>
      <w:pPr>
        <w:wordWrap/>
        <w:adjustRightInd w:val="0"/>
        <w:snapToGrid w:val="0"/>
        <w:spacing w:line="560" w:lineRule="exact"/>
        <w:ind w:firstLine="640"/>
        <w:textAlignment w:val="auto"/>
        <w:outlineLvl w:val="9"/>
        <w:rPr>
          <w:rFonts w:ascii="黑体" w:hAnsi="黑体" w:eastAsia="黑体" w:cs="仿宋"/>
          <w:sz w:val="32"/>
          <w:szCs w:val="32"/>
        </w:rPr>
      </w:pPr>
      <w:r>
        <w:rPr>
          <w:rFonts w:hint="eastAsia" w:ascii="黑体" w:hAnsi="黑体" w:eastAsia="黑体" w:cs="仿宋"/>
          <w:sz w:val="32"/>
          <w:szCs w:val="32"/>
        </w:rPr>
        <w:t>四、</w:t>
      </w:r>
      <w:bookmarkStart w:id="398" w:name="bookmark9"/>
      <w:r>
        <w:rPr>
          <w:rFonts w:hint="eastAsia" w:ascii="黑体" w:hAnsi="黑体" w:eastAsia="黑体" w:cs="仿宋"/>
          <w:sz w:val="32"/>
          <w:szCs w:val="32"/>
        </w:rPr>
        <w:t>疫情应对</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（一）发现病例监狱。</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症状筛查。尽快组织开展针对全体服刑人员、干警的症状筛查，发现有发热（腋下体温高于37.3℃）、咳嗽、气促等症状之一者，登记异常症状者名单。对异常症状的干警和服刑人员进行CT检查，有肺部磨玻璃样变化或斑片样变化的，进行临床诊断和实验室病原学诊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2.疏散服刑人员。将密切接触者尽快分流到其他羁押场所，阻断传染途径，减少交叉感染风险，切实落实隔离要求。加强对流转人员的症状监测，异常者转回本部监狱。</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3.建立病人区、隔离区、隔离观察区和一般区域。配发一次性口罩，每天每人2只，加强防护。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4.抽调监狱行政和后勤等人员组建干警后备队。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5.重点防控措施。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（1）加强调通风、正确戴口罩、勤洗手、减少不必要的人员流动和接触、加强日常消毒。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（2）监舍开窗，并去掉塑料薄膜通风。工区可采用电风扇机械通风。在监区现有水龙头旁边配发肥皂或洗手液，增加洗手效果。如果实在无法洗手，可用75%酒精擦拭双手。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（3）对病人曾经居住过的场所需进行终末消毒，由专业人员负责监狱终末消毒。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（二）疫情扩散监狱。</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1.人员筛查。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（1）症状筛查：对接触确诊病例的干警和服刑人员进行症状筛查，有发热（腋下体温高于37.3℃）、咳嗽、气促等症状之一者，登记异常症状者名单。</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（2）CT筛查和病原学监测：对异常症状的干警和服刑人员进行CT检查，有肺部磨玻璃样变化或斑片样变化的，进行临床诊断和实验室病原学诊断。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2.分区管理（分干警和服刑人员）。</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按以下四类人员情况进行分区管理：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（1）待转诊的重症和普通新冠病人区。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（2）轻型确诊病人（咽拭子核酸检测阳性，肺部CT无明显异常）隔离区。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（3）疑似病例、异常症状者（发热、咳嗽、气促之一者）隔离观察区。密切接触者在隔离观察区进行医学观察。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（4）无症状者。服刑人员，可在现有监号和监区。</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现有其他疾病的患者的诊疗区，要与上述隔离区分隔，避免交叉感染。</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3.不具备隔离、诊疗条件的监狱，应当及时将重症病例（确诊和疑似病例）转入重症定点救治医院，普通新冠肺炎病人（确诊和疑似病例）转入定点收治医院，并加强就诊期间监管。</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4.终末消毒。对病人曾经居住过的场所应当进行终末消毒，由专业人员负责监狱终末消毒。</w:t>
      </w:r>
    </w:p>
    <w:p>
      <w:pPr>
        <w:wordWrap/>
        <w:adjustRightInd w:val="0"/>
        <w:snapToGrid w:val="0"/>
        <w:spacing w:line="560" w:lineRule="exact"/>
        <w:ind w:firstLine="640"/>
        <w:textAlignment w:val="auto"/>
        <w:outlineLvl w:val="9"/>
        <w:rPr>
          <w:rFonts w:ascii="仿宋" w:hAnsi="仿宋" w:eastAsia="仿宋" w:cs="仿宋"/>
          <w:sz w:val="32"/>
          <w:szCs w:val="32"/>
        </w:rPr>
      </w:pPr>
    </w:p>
    <w:bookmarkEnd w:id="398"/>
    <w:p>
      <w:pPr>
        <w:widowControl/>
        <w:wordWrap/>
        <w:spacing w:beforeAutospacing="0" w:afterAutospacing="0" w:line="560" w:lineRule="exact"/>
        <w:jc w:val="left"/>
        <w:textAlignment w:val="auto"/>
        <w:outlineLvl w:val="9"/>
        <w:rPr>
          <w:rFonts w:hint="eastAsia" w:ascii="仿宋_GB2312" w:hAnsi="仿宋_GB2312" w:eastAsia="仿宋_GB2312" w:cs="仿宋_GB2312"/>
          <w:kern w:val="0"/>
          <w:sz w:val="32"/>
          <w:szCs w:val="32"/>
          <w:lang w:val="en-US" w:eastAsia="zh-CN" w:bidi="ar-SA"/>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wordWrap/>
        <w:spacing w:line="560" w:lineRule="exact"/>
        <w:textAlignment w:val="auto"/>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附件13</w:t>
      </w:r>
    </w:p>
    <w:p>
      <w:pPr>
        <w:widowControl/>
        <w:wordWrap/>
        <w:spacing w:line="560" w:lineRule="exact"/>
        <w:jc w:val="center"/>
        <w:textAlignment w:val="auto"/>
        <w:outlineLvl w:val="9"/>
        <w:rPr>
          <w:rFonts w:hint="eastAsia" w:ascii="宋体" w:hAnsi="宋体" w:eastAsia="宋体" w:cs="宋体"/>
          <w:b w:val="0"/>
          <w:bCs w:val="0"/>
          <w:kern w:val="0"/>
          <w:sz w:val="44"/>
          <w:szCs w:val="44"/>
        </w:rPr>
      </w:pPr>
    </w:p>
    <w:p>
      <w:pPr>
        <w:widowControl/>
        <w:wordWrap/>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养老机构（老年福利院）老年人新冠肺炎</w:t>
      </w:r>
    </w:p>
    <w:p>
      <w:pPr>
        <w:widowControl/>
        <w:wordWrap/>
        <w:spacing w:line="560" w:lineRule="exact"/>
        <w:jc w:val="center"/>
        <w:textAlignment w:val="auto"/>
        <w:outlineLvl w:val="9"/>
        <w:rPr>
          <w:rFonts w:hint="eastAsia" w:ascii="宋体" w:hAnsi="宋体" w:eastAsia="宋体" w:cs="宋体"/>
          <w:b w:val="0"/>
          <w:bCs w:val="0"/>
          <w:kern w:val="0"/>
          <w:sz w:val="44"/>
          <w:szCs w:val="44"/>
        </w:rPr>
      </w:pPr>
      <w:r>
        <w:rPr>
          <w:rFonts w:hint="eastAsia" w:ascii="宋体" w:hAnsi="宋体" w:eastAsia="宋体" w:cs="宋体"/>
          <w:b w:val="0"/>
          <w:bCs w:val="0"/>
          <w:kern w:val="0"/>
          <w:sz w:val="44"/>
          <w:szCs w:val="44"/>
        </w:rPr>
        <w:t>防控技术方案</w:t>
      </w:r>
    </w:p>
    <w:p>
      <w:pPr>
        <w:widowControl/>
        <w:wordWrap/>
        <w:spacing w:line="560" w:lineRule="exact"/>
        <w:textAlignment w:val="auto"/>
        <w:outlineLvl w:val="9"/>
        <w:rPr>
          <w:rFonts w:ascii="仿宋" w:hAnsi="仿宋" w:eastAsia="仿宋" w:cs="仿宋"/>
          <w:kern w:val="0"/>
          <w:sz w:val="32"/>
          <w:szCs w:val="32"/>
        </w:rPr>
      </w:pPr>
    </w:p>
    <w:p>
      <w:pPr>
        <w:widowControl/>
        <w:wordWrap/>
        <w:spacing w:line="560" w:lineRule="exact"/>
        <w:ind w:firstLine="660"/>
        <w:textAlignment w:val="auto"/>
        <w:outlineLvl w:val="9"/>
        <w:rPr>
          <w:rFonts w:hint="eastAsia" w:ascii="仿宋_GB2312" w:hAnsi="仿宋_GB2312" w:eastAsia="仿宋_GB2312" w:cs="仿宋_GB2312"/>
          <w:kern w:val="0"/>
          <w:sz w:val="32"/>
          <w:szCs w:val="32"/>
        </w:rPr>
      </w:pPr>
      <w:r>
        <w:rPr>
          <w:rFonts w:hint="eastAsia" w:ascii="黑体" w:hAnsi="黑体" w:eastAsia="黑体" w:cs="仿宋"/>
          <w:kern w:val="0"/>
          <w:sz w:val="32"/>
          <w:szCs w:val="32"/>
        </w:rPr>
        <w:t>一、密切关注老年人健康状况</w:t>
      </w:r>
      <w:r>
        <w:rPr>
          <w:rFonts w:hint="eastAsia" w:ascii="仿宋" w:hAnsi="仿宋" w:eastAsia="仿宋" w:cs="仿宋"/>
          <w:kern w:val="0"/>
          <w:sz w:val="32"/>
          <w:szCs w:val="32"/>
        </w:rPr>
        <w:br w:type="textWrapping"/>
      </w:r>
      <w:r>
        <w:rPr>
          <w:rFonts w:hint="eastAsia" w:ascii="仿宋" w:hAnsi="仿宋" w:eastAsia="仿宋" w:cs="仿宋"/>
          <w:kern w:val="0"/>
          <w:sz w:val="32"/>
          <w:szCs w:val="32"/>
        </w:rPr>
        <w:t xml:space="preserve">   </w:t>
      </w:r>
      <w:r>
        <w:rPr>
          <w:rFonts w:hint="eastAsia" w:ascii="楷体_GB2312" w:hAnsi="楷体_GB2312" w:eastAsia="楷体_GB2312" w:cs="楷体_GB2312"/>
          <w:sz w:val="32"/>
          <w:szCs w:val="32"/>
        </w:rPr>
        <w:t xml:space="preserve"> </w:t>
      </w:r>
      <w:r>
        <w:rPr>
          <w:rFonts w:hint="eastAsia" w:ascii="仿宋" w:hAnsi="仿宋" w:eastAsia="仿宋" w:cs="仿宋"/>
          <w:sz w:val="32"/>
          <w:szCs w:val="32"/>
        </w:rPr>
        <w:t>（一）测量体温。每天早晚各为老年人测量1次体温（接触式体温计要做到个人专用，若不能做到个人专用，则需彻底消毒后再用。非接触式体温枪应当按照使用要求定期消毒），随时询问老年人身体情况。</w:t>
      </w:r>
      <w:r>
        <w:rPr>
          <w:rFonts w:hint="eastAsia" w:ascii="仿宋" w:hAnsi="仿宋" w:eastAsia="仿宋" w:cs="仿宋"/>
          <w:sz w:val="32"/>
          <w:szCs w:val="32"/>
        </w:rPr>
        <w:br w:type="textWrapping"/>
      </w:r>
      <w:r>
        <w:rPr>
          <w:rFonts w:hint="eastAsia" w:ascii="仿宋" w:hAnsi="仿宋" w:eastAsia="仿宋" w:cs="仿宋"/>
          <w:sz w:val="32"/>
          <w:szCs w:val="32"/>
        </w:rPr>
        <w:t xml:space="preserve">    （二）慢性疾病老年人管理。提醒慢性病长期服药老年人，要规律服药，不轻易自行换药或停药，有身体不适要及时告知护理人员。有条件的养老机构应当通过检测血压、血糖、呼吸状况、体重等方式，观察慢性病老年人身体状况，注意有无用药不足或过量的表现，以及药物不良反应（特别是体位性低血压、低血糖），预防跌倒。</w:t>
      </w:r>
      <w:r>
        <w:rPr>
          <w:rFonts w:hint="eastAsia" w:ascii="仿宋" w:hAnsi="仿宋" w:eastAsia="仿宋" w:cs="仿宋"/>
          <w:sz w:val="32"/>
          <w:szCs w:val="32"/>
        </w:rPr>
        <w:br w:type="textWrapping"/>
      </w:r>
      <w:r>
        <w:rPr>
          <w:rFonts w:hint="eastAsia" w:ascii="仿宋" w:hAnsi="仿宋" w:eastAsia="仿宋" w:cs="仿宋"/>
          <w:sz w:val="32"/>
          <w:szCs w:val="32"/>
        </w:rPr>
        <w:t xml:space="preserve">    （三）加强新冠肺炎知识宣教。告知老年人，目前针对新冠肺炎，没有确认有效的抗病毒治疗方法，切勿擅自预防性服药。</w:t>
      </w:r>
      <w:r>
        <w:rPr>
          <w:rFonts w:hint="eastAsia" w:ascii="仿宋" w:hAnsi="仿宋" w:eastAsia="仿宋" w:cs="仿宋"/>
          <w:sz w:val="32"/>
          <w:szCs w:val="32"/>
        </w:rPr>
        <w:br w:type="textWrapping"/>
      </w:r>
      <w:r>
        <w:rPr>
          <w:rFonts w:hint="eastAsia" w:ascii="仿宋_GB2312" w:hAnsi="仿宋_GB2312" w:eastAsia="仿宋_GB2312" w:cs="仿宋_GB2312"/>
          <w:kern w:val="0"/>
          <w:sz w:val="32"/>
          <w:szCs w:val="32"/>
        </w:rPr>
        <w:t xml:space="preserve">    </w:t>
      </w:r>
      <w:r>
        <w:rPr>
          <w:rFonts w:hint="eastAsia" w:ascii="黑体" w:hAnsi="黑体" w:eastAsia="黑体" w:cs="黑体"/>
          <w:kern w:val="0"/>
          <w:sz w:val="32"/>
          <w:szCs w:val="32"/>
        </w:rPr>
        <w:t>二、就医指南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老年人身体出现不适或疾病发作，养老机构应当及时与老年人和家属沟通商量，达成一致后，通过机构内医务人员处置、电话求助医疗机构、请医疗机构医生出诊、拨打120急救电话就医或由家属送医。有条件的或根据入住服务协议，由养老机构工作人员随同协助就医。</w:t>
      </w:r>
      <w:r>
        <w:rPr>
          <w:rFonts w:hint="eastAsia" w:ascii="仿宋" w:hAnsi="仿宋" w:eastAsia="仿宋" w:cs="仿宋"/>
          <w:sz w:val="32"/>
          <w:szCs w:val="32"/>
        </w:rPr>
        <w:br w:type="textWrapping"/>
      </w:r>
      <w:r>
        <w:rPr>
          <w:rFonts w:hint="eastAsia" w:ascii="仿宋" w:hAnsi="仿宋" w:eastAsia="仿宋" w:cs="仿宋"/>
          <w:sz w:val="32"/>
          <w:szCs w:val="32"/>
        </w:rPr>
        <w:t xml:space="preserve">    （一）慢性基础疾病（高血压、糖尿病等）、皮肤病、一般过敏、轻微扭伤擦伤、普通牙科治疗、常规康复等，可采取上门诊视等方式保守治疗，不建议外出就医。老年人常用药物由家属、机构通过委托取药、代购等方式解决。</w:t>
      </w:r>
      <w:r>
        <w:rPr>
          <w:rFonts w:hint="eastAsia" w:ascii="仿宋" w:hAnsi="仿宋" w:eastAsia="仿宋" w:cs="仿宋"/>
          <w:sz w:val="32"/>
          <w:szCs w:val="32"/>
        </w:rPr>
        <w:br w:type="textWrapping"/>
      </w:r>
      <w:r>
        <w:rPr>
          <w:rFonts w:hint="eastAsia" w:ascii="仿宋" w:hAnsi="仿宋" w:eastAsia="仿宋" w:cs="仿宋"/>
          <w:sz w:val="32"/>
          <w:szCs w:val="32"/>
        </w:rPr>
        <w:t xml:space="preserve">    （二）出现咳嗽、咳痰、咽痛、头痛等症状且无加重，没有流行病学史的老年人（14天内没有接触过新冠肺炎确诊患者或疑似患者、没有出入有确诊或疑似患者社区或活动场所），可在机构内按一般感冒治疗，暂不外出就医；有慢性呼吸道疾病（慢性阻塞性肺疾病、支气管哮喘等），病情稳定的老年人可在医生指导下常规用药，若病情加重危及生命则须立即联系医疗机构进行转诊。</w:t>
      </w:r>
      <w:r>
        <w:rPr>
          <w:rFonts w:hint="eastAsia" w:ascii="仿宋" w:hAnsi="仿宋" w:eastAsia="仿宋" w:cs="仿宋"/>
          <w:sz w:val="32"/>
          <w:szCs w:val="32"/>
        </w:rPr>
        <w:br w:type="textWrapping"/>
      </w:r>
      <w:r>
        <w:rPr>
          <w:rFonts w:hint="eastAsia" w:ascii="仿宋" w:hAnsi="仿宋" w:eastAsia="仿宋" w:cs="仿宋"/>
          <w:sz w:val="32"/>
          <w:szCs w:val="32"/>
        </w:rPr>
        <w:t xml:space="preserve">    （三）急性发热，如确无流行病学史，可先在机构内隔离观察，按一般感冒发热进行治疗；如机构内有条件，可完善血常规、肝肾功能、CRP等常规检查（或抽血送附近医疗机构检验）。同时咨询相关医疗机构，有必要再送医。</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（四）急危重症患者应当及时就医。老年人一旦出现慢性病急性加重或突发急病，养老机构应当立即实施力所能及的抢救措施，同时拨打120急救电话送医，并及时通知老年人家属。</w:t>
      </w:r>
    </w:p>
    <w:p>
      <w:pPr>
        <w:widowControl/>
        <w:wordWrap/>
        <w:autoSpaceDE w:val="0"/>
        <w:adjustRightInd w:val="0"/>
        <w:snapToGrid w:val="0"/>
        <w:spacing w:line="560" w:lineRule="exact"/>
        <w:ind w:firstLine="640" w:firstLineChars="200"/>
        <w:textAlignment w:val="auto"/>
        <w:outlineLvl w:val="9"/>
        <w:rPr>
          <w:rFonts w:hint="eastAsia" w:ascii="仿宋_GB2312" w:hAnsi="仿宋_GB2312" w:eastAsia="仿宋_GB2312" w:cs="仿宋_GB2312"/>
          <w:kern w:val="0"/>
          <w:sz w:val="32"/>
          <w:szCs w:val="32"/>
        </w:rPr>
      </w:pPr>
      <w:r>
        <w:rPr>
          <w:rFonts w:hint="eastAsia" w:ascii="仿宋" w:hAnsi="仿宋" w:eastAsia="仿宋" w:cs="仿宋"/>
          <w:sz w:val="32"/>
          <w:szCs w:val="32"/>
        </w:rPr>
        <w:t>急危重症包括但不限于急性心衰、卒中、心肌梗塞、心跳呼吸骤停、急性损伤创伤、急性中毒、急性胸痛腹痛、消化道出血、肠梗阻、重症肺炎、严重腹泻脱水等疾病，以及神经、心脏、呼吸、消化、泌尿等系统的危急重情况。</w:t>
      </w:r>
      <w:r>
        <w:rPr>
          <w:rFonts w:hint="eastAsia" w:ascii="仿宋" w:hAnsi="仿宋" w:eastAsia="仿宋" w:cs="仿宋"/>
          <w:sz w:val="32"/>
          <w:szCs w:val="32"/>
        </w:rPr>
        <w:br w:type="textWrapping"/>
      </w:r>
      <w:r>
        <w:rPr>
          <w:rFonts w:hint="eastAsia" w:ascii="仿宋_GB2312" w:hAnsi="仿宋_GB2312" w:eastAsia="仿宋_GB2312" w:cs="仿宋_GB2312"/>
          <w:kern w:val="0"/>
          <w:sz w:val="32"/>
          <w:szCs w:val="32"/>
        </w:rPr>
        <w:t xml:space="preserve">    </w:t>
      </w:r>
      <w:r>
        <w:rPr>
          <w:rFonts w:hint="eastAsia" w:ascii="黑体" w:hAnsi="黑体" w:eastAsia="黑体" w:cs="黑体"/>
          <w:kern w:val="0"/>
          <w:sz w:val="32"/>
          <w:szCs w:val="32"/>
        </w:rPr>
        <w:t>三、疫情应对</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（一）老年人出现新冠肺炎可疑症状（包括发热、干咳、乏力、鼻塞、流涕、咽痛、腹泻等），不排除有流行病学史的，应当立即执行隔离观察，并及时送医疗机构排查。</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被确诊为疑似病例或确诊病例的，应当立即送定点医疗机构就诊；养老机构须及时向相关部门报告，在当地卫生健康、民政部门指导下对密切接触者（接触的其他老年人及工作人员等）开展排查，实施14天隔离观察；机构开展全面消杀、规范处置个人物品等相关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（三）在医疗机构就诊后返回养老机构的老年人和陪同工作人员，应当隔离观察14天，无异常后方可入住和工作。新冠肺炎老年人治愈后需返回养老机构的，应当隔离观察14天，无异常后方可入住。</w:t>
      </w:r>
    </w:p>
    <w:p>
      <w:pPr>
        <w:wordWrap/>
        <w:spacing w:line="560" w:lineRule="exact"/>
        <w:textAlignment w:val="auto"/>
        <w:outlineLvl w:val="9"/>
        <w:rPr>
          <w:rFonts w:ascii="Calibri" w:hAnsi="Calibri" w:eastAsia="仿宋_GB2312" w:cs="Times New Roman"/>
          <w:sz w:val="32"/>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widowControl/>
        <w:wordWrap/>
        <w:spacing w:line="560" w:lineRule="exact"/>
        <w:textAlignment w:val="auto"/>
        <w:outlineLvl w:val="9"/>
        <w:rPr>
          <w:rFonts w:hint="eastAsia" w:ascii="黑体" w:hAnsi="黑体" w:eastAsia="黑体" w:cs="黑体"/>
          <w:sz w:val="32"/>
          <w:szCs w:val="32"/>
        </w:rPr>
      </w:pPr>
    </w:p>
    <w:p>
      <w:pPr>
        <w:outlineLvl w:val="9"/>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附件14</w:t>
      </w:r>
    </w:p>
    <w:p>
      <w:pPr>
        <w:widowControl/>
        <w:wordWrap/>
        <w:spacing w:line="560" w:lineRule="exact"/>
        <w:textAlignment w:val="auto"/>
        <w:outlineLvl w:val="9"/>
        <w:rPr>
          <w:rFonts w:hint="eastAsia" w:ascii="宋体" w:hAnsi="宋体" w:eastAsia="宋体" w:cs="宋体"/>
          <w:b w:val="0"/>
          <w:bCs w:val="0"/>
          <w:sz w:val="44"/>
          <w:szCs w:val="44"/>
          <w:lang w:val="en-US" w:eastAsia="zh-CN"/>
        </w:rPr>
      </w:pPr>
    </w:p>
    <w:p>
      <w:pPr>
        <w:widowControl/>
        <w:wordWrap/>
        <w:spacing w:line="560" w:lineRule="exact"/>
        <w:jc w:val="center"/>
        <w:textAlignment w:val="auto"/>
        <w:outlineLvl w:val="9"/>
        <w:rPr>
          <w:rFonts w:hint="eastAsia" w:ascii="宋体" w:hAnsi="宋体" w:eastAsia="宋体" w:cs="宋体"/>
          <w:b w:val="0"/>
          <w:bCs w:val="0"/>
          <w:sz w:val="44"/>
          <w:szCs w:val="44"/>
          <w:lang w:val="en-US" w:eastAsia="zh-CN"/>
        </w:rPr>
      </w:pPr>
      <w:r>
        <w:rPr>
          <w:rFonts w:hint="eastAsia" w:ascii="宋体" w:hAnsi="宋体" w:eastAsia="宋体" w:cs="宋体"/>
          <w:b w:val="0"/>
          <w:bCs w:val="0"/>
          <w:sz w:val="44"/>
          <w:szCs w:val="44"/>
          <w:lang w:val="en-US" w:eastAsia="zh-CN"/>
        </w:rPr>
        <w:t>儿童福利院新冠肺炎防控技术方案</w:t>
      </w:r>
    </w:p>
    <w:p>
      <w:pPr>
        <w:widowControl w:val="0"/>
        <w:wordWrap/>
        <w:adjustRightInd w:val="0"/>
        <w:snapToGrid w:val="0"/>
        <w:spacing w:line="560" w:lineRule="exact"/>
        <w:ind w:left="672" w:leftChars="210" w:firstLine="433" w:firstLineChars="98"/>
        <w:jc w:val="left"/>
        <w:textAlignment w:val="auto"/>
        <w:outlineLvl w:val="9"/>
        <w:rPr>
          <w:rFonts w:ascii="黑体" w:hAnsi="黑体" w:eastAsia="黑体" w:cs="仿宋"/>
          <w:b w:val="0"/>
          <w:bCs/>
          <w:kern w:val="2"/>
          <w:sz w:val="32"/>
          <w:szCs w:val="32"/>
          <w:lang w:val="en-US" w:eastAsia="zh-CN" w:bidi="ar-SA"/>
        </w:rPr>
      </w:pPr>
      <w:r>
        <w:rPr>
          <w:rFonts w:ascii="宋体" w:hAnsi="宋体" w:eastAsia="宋体" w:cs="黑体"/>
          <w:b/>
          <w:bCs/>
          <w:kern w:val="2"/>
          <w:sz w:val="44"/>
          <w:szCs w:val="44"/>
          <w:lang w:val="en-US" w:eastAsia="zh-CN" w:bidi="ar-SA"/>
        </w:rPr>
        <w:br w:type="textWrapping"/>
      </w:r>
      <w:r>
        <w:rPr>
          <w:rFonts w:hint="eastAsia" w:ascii="黑体" w:hAnsi="黑体" w:eastAsia="黑体" w:cs="仿宋"/>
          <w:b w:val="0"/>
          <w:bCs/>
          <w:kern w:val="2"/>
          <w:sz w:val="32"/>
          <w:szCs w:val="32"/>
          <w:lang w:val="en-US" w:eastAsia="zh-CN" w:bidi="ar-SA"/>
        </w:rPr>
        <w:t>　一、卫生管理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（一）落实主体责任。儿童福利院负责人是疫情防控第一责任人，建立防控制度，组织院内护理人员、医务人员、后勤人员制定应急方案，做好相关人员的信息采集工作。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建立健康监测制度。安排专人对福利院中的工作人员和儿童进行体温监测，每日实行晨检和晚检，体温异常者或有咳嗽、乏力等症状的人员应当及时就医排查，做到“早发现、早报告、早诊断、早隔离、早治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三）加强防控知识宣教。用健康提示、张贴宣传画、视频播放等多种方式（不可聚集性学习），加强新冠肺炎防治知识科学宣传普及，引导儿童充分了解新冠肺炎防治知识，学会正确的洗手方法，养成良好卫生习惯。 </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（四）建立进出人员登记制度。在新冠肺炎流行期间，尽可能减少不必要人员的访视。所有人员进入福利院前进行体温监测，异常者不得入内；减少后勤采购人员等物资采购频次，尽量采取送货上门等方式。</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（五）发挥医务室的作用。注意配备相关药物、各类防护用品和消毒物资，如口罩、防护服、护目镜、洗手液、消毒工具、消毒剂等。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（六）鼓励开展心理健康服务。了解受疫情影响儿童的心理健康状况，疏解儿童的焦虑恐惧情绪。</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（七）合理控制人员密度。充分利用福利院内空间，合理控制居住房间、活动室、盥洗室、洗浴间、游戏区、图书阅览区、办公区等区域内护理人员和儿童数量，人与人之间保持1米以上距离。</w:t>
      </w:r>
    </w:p>
    <w:p>
      <w:pPr>
        <w:widowControl w:val="0"/>
        <w:wordWrap/>
        <w:adjustRightInd w:val="0"/>
        <w:snapToGrid w:val="0"/>
        <w:spacing w:line="560" w:lineRule="exact"/>
        <w:ind w:firstLine="640" w:firstLineChars="200"/>
        <w:jc w:val="left"/>
        <w:textAlignment w:val="auto"/>
        <w:outlineLvl w:val="9"/>
        <w:rPr>
          <w:rFonts w:ascii="黑体" w:hAnsi="黑体" w:eastAsia="黑体" w:cs="仿宋"/>
          <w:b w:val="0"/>
          <w:bCs/>
          <w:kern w:val="2"/>
          <w:sz w:val="32"/>
          <w:szCs w:val="32"/>
          <w:lang w:val="en-US" w:eastAsia="zh-CN" w:bidi="ar-SA"/>
        </w:rPr>
      </w:pPr>
      <w:r>
        <w:rPr>
          <w:rFonts w:hint="eastAsia" w:ascii="黑体" w:hAnsi="黑体" w:eastAsia="黑体" w:cs="仿宋"/>
          <w:b w:val="0"/>
          <w:bCs/>
          <w:kern w:val="2"/>
          <w:sz w:val="32"/>
          <w:szCs w:val="32"/>
          <w:lang w:val="en-US" w:eastAsia="zh-CN" w:bidi="ar-SA"/>
        </w:rPr>
        <w:t>二、预防性卫生措施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（一）通风换气。保持室内空气流通，采取切实可行的措施加强空气流通。在气温状况允许的情况下，可开门开窗。每日开窗2-3次，每次时间30分钟，同时注意保暖，避免室温改变引起儿童着凉感冒。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（二）清洁消毒。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做好物体表面和地面清洁消毒。保持室内各区域环境整洁卫生，每天定期消毒，并做好清洁消毒记录。对日常高频接触的物体表面，可用含氯消毒剂（有效氯浓度250mg/L-500mg/L）擦拭；保持地面整洁卫生，可用含氯消毒剂（有效氯浓度250mg/L-500mg/L）湿式拖布拖拭。</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2.呕吐物处理。当发现人呕吐物时，应当立即用一次性吸水材料加足量消毒液或有效的消毒干巾对呕吐物进行覆盖消毒，清除呕吐物后，再使用季铵盐类消毒剂或含氯消毒剂进行物体表面消毒处理。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3.餐（饮）具清洁消毒。餐（饮）具去残渣、清洗后，煮沸或流通蒸汽消毒15分钟；或采用热力消毒柜等消毒方式；或采用有效氯含量为250 mg/L溶液，浸泡消毒30分钟，消毒后应当将残留消毒剂冲净。</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4.纺织品的清洁消毒。保持衣服、被褥、床单等纺织物清洁，定期洗涤。如需消毒处理，可用流通蒸汽或煮沸消毒30分钟，或先用含有效氯500mg/L的消毒液浸泡30分钟，然后常规清洗。</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5.公共卫生间、洗浴间清洁消毒。对福利院内公共卫生间、洗浴间（更衣室、洗浴室）的卫生洁具每日消毒，可用含有效氯500mg/L的消毒剂浸泡或擦拭，作用30分钟后，清水冲洗待用。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（三）餐厅和食堂防护。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1.保持空气流通，以清洁为主，预防性消毒为辅。</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2.采取有效的分流措施，鼓励错峰用餐，保持1米以上距离，避免人员密集和聚餐活动。</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3.餐厅每日消毒3次，餐桌椅使用后进行消毒。食饮具一人一用一消毒。</w:t>
      </w:r>
    </w:p>
    <w:p>
      <w:pPr>
        <w:widowControl w:val="0"/>
        <w:wordWrap/>
        <w:adjustRightInd w:val="0"/>
        <w:snapToGrid w:val="0"/>
        <w:spacing w:line="560" w:lineRule="exact"/>
        <w:ind w:firstLine="640" w:firstLineChars="200"/>
        <w:jc w:val="left"/>
        <w:textAlignment w:val="auto"/>
        <w:outlineLvl w:val="9"/>
        <w:rPr>
          <w:rFonts w:ascii="黑体" w:hAnsi="黑体" w:eastAsia="黑体" w:cs="仿宋"/>
          <w:b w:val="0"/>
          <w:bCs/>
          <w:kern w:val="2"/>
          <w:sz w:val="32"/>
          <w:szCs w:val="32"/>
          <w:lang w:val="en-US" w:eastAsia="zh-CN" w:bidi="ar-SA"/>
        </w:rPr>
      </w:pPr>
      <w:r>
        <w:rPr>
          <w:rFonts w:hint="eastAsia" w:ascii="黑体" w:hAnsi="黑体" w:eastAsia="黑体" w:cs="仿宋"/>
          <w:b w:val="0"/>
          <w:bCs/>
          <w:kern w:val="2"/>
          <w:sz w:val="32"/>
          <w:szCs w:val="32"/>
          <w:lang w:val="en-US" w:eastAsia="zh-CN" w:bidi="ar-SA"/>
        </w:rPr>
        <w:t>三、个人防护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（一）护理人员个人防护。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1.加强手卫生。护理人员在上岗期间应当经常洗手，或用有效的速干手消毒剂揉搓双手；有肉眼可见污染物时，应当使用洗手液在流动水下洗手。在工作中避免用手或手套触碰眼睛。</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2.佩戴口罩。护理人员应当佩戴防护口罩，在护理儿童和婴幼儿的时候不得摘下口罩。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3.保持良好卫生习惯。不要对着儿童和婴幼儿打喷嚏、呼气。如果咳嗽和打喷嚏时，要用纸巾捂住口鼻，如果来不及就用手肘捂住口鼻，然后再去清洗手肘。另外，先丢弃捂住口鼻的纸巾，再洗手。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（二）儿童个人防护。</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1.尽量佩戴口罩。引导儿童在集体活动时正确佩戴口罩。</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2.儿童出现以下情况必须洗手：吃东西前、上厕所前后、从户外进入室内、玩玩具前后、玩耍后、擤鼻涕后、打喷嚏用手遮掩口鼻后、手弄脏后等。</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3.打喷嚏和咳嗽时应当用纸巾或手肘部位遮蔽口鼻，将打喷嚏和咳嗽时使用过的纸巾放入有盖的垃圾桶内，打喷嚏和咳嗽后应当用肥皂或洗手液彻底清洗双手。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（三）婴幼儿的卫生防护。婴幼儿主要是以被动防护为主，即靠护理人员的防护来间接保护婴幼儿。</w:t>
      </w:r>
    </w:p>
    <w:p>
      <w:pPr>
        <w:widowControl w:val="0"/>
        <w:wordWrap/>
        <w:adjustRightInd w:val="0"/>
        <w:snapToGrid w:val="0"/>
        <w:spacing w:line="560" w:lineRule="exact"/>
        <w:ind w:firstLine="640" w:firstLineChars="200"/>
        <w:jc w:val="left"/>
        <w:textAlignment w:val="auto"/>
        <w:outlineLvl w:val="9"/>
        <w:rPr>
          <w:rFonts w:ascii="黑体" w:hAnsi="黑体" w:eastAsia="黑体" w:cs="仿宋"/>
          <w:b w:val="0"/>
          <w:bCs/>
          <w:kern w:val="2"/>
          <w:sz w:val="32"/>
          <w:szCs w:val="32"/>
          <w:lang w:val="en-US" w:eastAsia="zh-CN" w:bidi="ar-SA"/>
        </w:rPr>
      </w:pPr>
      <w:r>
        <w:rPr>
          <w:rFonts w:hint="eastAsia" w:ascii="黑体" w:hAnsi="黑体" w:eastAsia="黑体" w:cs="仿宋"/>
          <w:b w:val="0"/>
          <w:bCs/>
          <w:kern w:val="2"/>
          <w:sz w:val="32"/>
          <w:szCs w:val="32"/>
          <w:lang w:val="en-US" w:eastAsia="zh-CN" w:bidi="ar-SA"/>
        </w:rPr>
        <w:t>四、防控措施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（一）一般措施。</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1.设立隔离观察区域。当护理人员、儿童出现发热、乏力、干咳等可疑症状时，及时到该区域进行暂时隔离，再按照相关规范要求进行处理。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2.加强健康监测。护理人员应当注意自身健康状况监测，福利院应当合理安排工作人员轮休。</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3.加强室外环境整治。加强对院内公共区域清扫力度，彻底清除院内以及角落散落的堆积物和垃圾，做到日产日清，卫生无死角。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4.加强物体表面清洁消毒。应当保持居住房间、食堂或餐厅、澡堂、公共活动区等场所环境卫生整洁，每日定期消毒并记录。</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5.加强重点场所地面清洁消毒。应当加强居住房间、食堂或餐厅、澡堂、公共活动区等场所地面的清洁，每日定期消毒并记录。可使用有效氯500mg/L的含氯消毒液擦拭消毒。</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6.加强垃圾分类管理，及时收集清运，并做好垃圾盛装容器的清洁，可用有效氯500mg/L的含氯消毒剂定期对其进行消毒处理。</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eastAsia="仿宋" w:cs="仿宋"/>
          <w:sz w:val="32"/>
          <w:szCs w:val="32"/>
          <w:lang w:val="en-US" w:eastAsia="zh-CN"/>
        </w:rPr>
        <w:tab/>
      </w:r>
      <w:r>
        <w:rPr>
          <w:rFonts w:hint="eastAsia" w:ascii="仿宋" w:hAnsi="仿宋" w:eastAsia="仿宋" w:cs="仿宋"/>
          <w:sz w:val="32"/>
          <w:szCs w:val="32"/>
          <w:lang w:val="en-US" w:eastAsia="zh-CN"/>
        </w:rPr>
        <w:t>发现病例。</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1.护理人员和儿童出现新冠肺炎可疑症状（包括发热、干咳、乏力、鼻塞、流涕、咽痛、腹泻等），不排除有流行病学史的，应当立即在隔离区执行隔离观察。</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被确诊为疑似病例或确诊病例的，应当立即送定点医疗机构就诊；福利机构须及时向相关部门报告，在当地卫生健康、民政部门指导下对密切接触者开展排查，实施14天隔离观察；机构开展全面消杀、规范处置个人物品等相关工作。</w:t>
      </w:r>
    </w:p>
    <w:p>
      <w:pPr>
        <w:widowControl/>
        <w:wordWrap/>
        <w:autoSpaceDE w:val="0"/>
        <w:adjustRightInd w:val="0"/>
        <w:snapToGrid w:val="0"/>
        <w:spacing w:line="56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3.在医疗机构就诊后返回福利机构的儿童及陪同工作人员，应当隔离观察14天，无异常后方可入住和工作。新冠肺炎儿童治愈后需返回福利机构的，应当隔离观察14天，无异常后方可入住。</w:t>
      </w:r>
    </w:p>
    <w:p>
      <w:pPr>
        <w:widowControl w:val="0"/>
        <w:wordWrap/>
        <w:adjustRightInd w:val="0"/>
        <w:snapToGrid w:val="0"/>
        <w:spacing w:line="560" w:lineRule="exact"/>
        <w:ind w:firstLine="640" w:firstLineChars="200"/>
        <w:jc w:val="left"/>
        <w:textAlignment w:val="auto"/>
        <w:outlineLvl w:val="9"/>
        <w:rPr>
          <w:rFonts w:ascii="仿宋" w:hAnsi="仿宋" w:eastAsia="仿宋" w:cs="宋体"/>
          <w:b w:val="0"/>
          <w:bCs/>
          <w:kern w:val="0"/>
          <w:sz w:val="32"/>
          <w:szCs w:val="32"/>
          <w:lang w:val="en-US" w:eastAsia="zh-CN" w:bidi="ar-SA"/>
        </w:rPr>
      </w:pPr>
      <w:r>
        <w:rPr>
          <w:rFonts w:hint="eastAsia" w:ascii="仿宋" w:hAnsi="仿宋" w:eastAsia="仿宋" w:cs="仿宋"/>
          <w:b w:val="0"/>
          <w:bCs/>
          <w:kern w:val="2"/>
          <w:sz w:val="32"/>
          <w:szCs w:val="32"/>
          <w:lang w:val="en-US" w:eastAsia="zh-CN" w:bidi="ar-SA"/>
        </w:rPr>
        <w:t>　</w:t>
      </w: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idowControl w:val="0"/>
        <w:wordWrap/>
        <w:spacing w:line="560" w:lineRule="exact"/>
        <w:ind w:right="234" w:rightChars="73"/>
        <w:jc w:val="both"/>
        <w:textAlignment w:val="auto"/>
        <w:outlineLvl w:val="9"/>
        <w:rPr>
          <w:rFonts w:ascii="仿宋_GB2312" w:hAnsi="Calibri" w:eastAsia="仿宋_GB2312" w:cs="Times New Roman"/>
          <w:kern w:val="2"/>
          <w:sz w:val="28"/>
          <w:szCs w:val="24"/>
          <w:lang w:val="en-US" w:eastAsia="zh-CN" w:bidi="ar-SA"/>
        </w:rPr>
      </w:pPr>
    </w:p>
    <w:p>
      <w:pPr>
        <w:wordWrap/>
        <w:spacing w:line="560" w:lineRule="exact"/>
        <w:textAlignment w:val="auto"/>
        <w:outlineLvl w:val="9"/>
        <w:rPr>
          <w:rFonts w:hint="eastAsia" w:ascii="黑体" w:hAnsi="黑体" w:eastAsia="黑体" w:cs="黑体"/>
          <w:sz w:val="32"/>
          <w:szCs w:val="32"/>
        </w:rPr>
      </w:pPr>
      <w:r>
        <w:rPr>
          <w:rFonts w:hint="eastAsia" w:ascii="黑体" w:hAnsi="黑体" w:eastAsia="黑体" w:cs="黑体"/>
          <w:sz w:val="32"/>
          <w:szCs w:val="32"/>
        </w:rPr>
        <w:br w:type="page"/>
      </w:r>
    </w:p>
    <w:p>
      <w:pPr>
        <w:widowControl/>
        <w:wordWrap/>
        <w:spacing w:line="560" w:lineRule="exact"/>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附件15</w:t>
      </w:r>
    </w:p>
    <w:p>
      <w:pPr>
        <w:widowControl/>
        <w:wordWrap/>
        <w:spacing w:line="560" w:lineRule="exact"/>
        <w:textAlignment w:val="auto"/>
        <w:outlineLvl w:val="9"/>
        <w:rPr>
          <w:rFonts w:hint="eastAsia" w:ascii="宋体" w:hAnsi="宋体" w:eastAsia="宋体" w:cs="宋体"/>
          <w:b w:val="0"/>
          <w:bCs w:val="0"/>
          <w:sz w:val="44"/>
          <w:szCs w:val="44"/>
          <w:lang w:val="en-US" w:eastAsia="zh-CN"/>
        </w:rPr>
      </w:pPr>
    </w:p>
    <w:p>
      <w:pPr>
        <w:widowControl/>
        <w:wordWrap/>
        <w:spacing w:line="560" w:lineRule="exact"/>
        <w:jc w:val="center"/>
        <w:textAlignment w:val="auto"/>
        <w:outlineLvl w:val="9"/>
        <w:rPr>
          <w:rFonts w:hint="eastAsia" w:ascii="宋体" w:hAnsi="宋体" w:eastAsia="宋体" w:cs="宋体"/>
          <w:b w:val="0"/>
          <w:bCs w:val="0"/>
          <w:sz w:val="44"/>
          <w:szCs w:val="44"/>
          <w:lang w:val="en-US" w:eastAsia="zh-CN"/>
        </w:rPr>
      </w:pPr>
      <w:r>
        <w:rPr>
          <w:rFonts w:hint="eastAsia" w:ascii="宋体" w:hAnsi="宋体" w:eastAsia="宋体" w:cs="宋体"/>
          <w:b w:val="0"/>
          <w:bCs w:val="0"/>
          <w:sz w:val="44"/>
          <w:szCs w:val="44"/>
          <w:lang w:val="en-US" w:eastAsia="zh-CN"/>
        </w:rPr>
        <w:t>精神卫生医疗机构新冠肺炎防控技术方案</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Times New Roman"/>
          <w:sz w:val="32"/>
          <w:szCs w:val="32"/>
        </w:rPr>
      </w:pPr>
    </w:p>
    <w:p>
      <w:pPr>
        <w:wordWrap/>
        <w:spacing w:line="560" w:lineRule="exact"/>
        <w:ind w:left="640" w:leftChars="200" w:firstLine="217" w:firstLineChars="68"/>
        <w:textAlignment w:val="auto"/>
        <w:outlineLvl w:val="9"/>
        <w:rPr>
          <w:rFonts w:ascii="黑体" w:hAnsi="黑体" w:eastAsia="黑体"/>
          <w:b w:val="0"/>
          <w:bCs w:val="0"/>
          <w:sz w:val="32"/>
          <w:szCs w:val="48"/>
        </w:rPr>
      </w:pPr>
      <w:r>
        <w:rPr>
          <w:rFonts w:hint="eastAsia" w:ascii="黑体" w:hAnsi="黑体" w:eastAsia="黑体"/>
          <w:b w:val="0"/>
          <w:bCs w:val="0"/>
          <w:sz w:val="32"/>
          <w:szCs w:val="48"/>
        </w:rPr>
        <w:t>一、卫生管理</w:t>
      </w:r>
      <w:r>
        <w:rPr>
          <w:rFonts w:ascii="黑体" w:hAnsi="黑体" w:eastAsia="黑体"/>
          <w:b w:val="0"/>
          <w:bCs w:val="0"/>
          <w:sz w:val="32"/>
          <w:szCs w:val="48"/>
        </w:rPr>
        <w:t>要求</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1.制定新冠肺炎疫情期间门诊、住院诊疗相关应急预案与工作流程，制定院内感染应对预案，储备防护用品和消毒物资。</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与当地具有新冠肺炎诊疗能力的综合性医疗机构建立联络会诊机制；精神专科医院设立观察隔离病区，综合医院精神科设置应急隔离病室，新入院的精神障碍患者在此病区/病室观察14天后再转入普通病区/病室。有条件的机构，设立发热病区，在院感专家的指导下，改造门诊和病房隔离区，科学设置医务人员和患者通道及医疗垃圾转运通道，降低交叉感染风险。</w:t>
      </w:r>
    </w:p>
    <w:p>
      <w:pPr>
        <w:wordWrap/>
        <w:spacing w:line="560" w:lineRule="exact"/>
        <w:ind w:firstLine="640" w:firstLineChars="200"/>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3.开展新冠肺炎防控知识全员培训，掌握新冠肺炎的临床特征、诊断标准、治疗原则和防护措施，及时发现患者并转介到定点医院治疗，为定点医院提供精神科联络会诊工作，做到早隔离、早诊断、早治疗。</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4.采取严格的门诊和住院限制措施，科学有序开展医疗工作，尽量减少门诊患者复诊次数，并尽量缩短住院时间。减少并严格管理医院出入口，暂停家属探视，限制陪诊人员数量。</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5.各部门密切协作，落实院内感染各项防范措施，确保消毒隔离和防护措施落实到位，所有区域均要注意环境卫生和通风换气，做好做实病区清洁和消毒管理，指定专人进行督导检查。</w:t>
      </w:r>
    </w:p>
    <w:p>
      <w:pPr>
        <w:pStyle w:val="18"/>
        <w:shd w:val="clear" w:color="auto" w:fill="FFFFFF"/>
        <w:wordWrap/>
        <w:spacing w:before="0" w:beforeAutospacing="0" w:after="0" w:afterAutospacing="0" w:line="560" w:lineRule="exact"/>
        <w:ind w:firstLine="640" w:firstLineChars="200"/>
        <w:jc w:val="both"/>
        <w:textAlignment w:val="auto"/>
        <w:outlineLvl w:val="9"/>
        <w:rPr>
          <w:rFonts w:ascii="黑体" w:hAnsi="黑体" w:eastAsia="黑体" w:cs="Times New Roman"/>
          <w:sz w:val="32"/>
          <w:szCs w:val="32"/>
        </w:rPr>
      </w:pPr>
      <w:r>
        <w:rPr>
          <w:rFonts w:hint="eastAsia" w:ascii="黑体" w:hAnsi="黑体" w:eastAsia="黑体"/>
          <w:sz w:val="32"/>
          <w:szCs w:val="32"/>
        </w:rPr>
        <w:t>二</w:t>
      </w:r>
      <w:r>
        <w:rPr>
          <w:rFonts w:ascii="黑体" w:hAnsi="黑体" w:eastAsia="黑体"/>
          <w:sz w:val="32"/>
          <w:szCs w:val="32"/>
        </w:rPr>
        <w:t>、预防性卫生措施</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加强诊疗环境的通风换气，可采取排风（包括自然通风和机械排风）措施，保持室内空气流通。每日通风2～3次，每次不少于30分钟，并根据气候条件适时调节；或安装排风设备，加强排风；也可使用合法有效的循环风空气消毒机。</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加强院区和人员管理，在医院入口处设置非接触式测温仪，在门诊大厅、电梯间、候诊室等人员较为密集的场所，放置速干手消毒剂。就诊者、陪诊人员及相关人员进入门诊诊疗区域前均须佩戴口罩，同时加强手卫生。</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3.加强住院患者，特别是严重精神障碍患者的管理治疗和照护，尽量减少外出活动，降低冲动行为发生的风险。</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加强住院患者的饮食管理，病房采用送餐制。餐（饮）具应当一人一具一用一消毒，餐（饮）具去残渣、清洗后，煮沸或流通蒸汽消毒15分钟；或采用热力消毒柜等消毒方式；或采用有效氯浓度250mg/L含氯消毒剂溶液，浸泡消毒30分钟，消毒后应当将残留消毒剂冲净。</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门（急）诊的医务人员接诊不同患者时应当加强手卫生，严格洗手和/或手消毒。可选用含醇速干手消毒剂或醇类复配速干手消毒剂，或直接用75%乙醇进行擦拭消毒；醇类过敏者，可选择季铵盐类等有效的非醇类手消毒剂；特殊条件下，也可使用3%过氧化氢消毒剂、0.5%碘伏或0.05%含氯消毒剂等擦拭或浸泡双手，并适当延长消毒作用时间。有肉眼可见污染物时应当先使用洗手液在流动水下洗手，然后按上述方法消毒。</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6.新冠肺炎流行期间，所有诊疗用品、物体表面和环境等均应当加强日常清洁消毒。尽量选择一次性诊疗用品，非一次性诊疗用品应当首选压力蒸汽灭菌，不耐热物品可选择化学消毒剂或低温灭菌设备进行消毒或灭菌；环境物体表面可选择含氯消毒剂、二氧化氯等消毒剂擦拭、喷洒或浸泡消毒。 </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7.加强医院感染管理与监测。对医务人员及后勤人员开展新冠肺炎诊疗、传染病分级防护、手卫生、医疗垃圾处理、环境卫生和消毒隔离等医院感染知识的系统培训。</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8.加强重点人群管理（包括物业、保安、食堂人员），与相关服务企业建立联防联控责任，严格管理派遣服务人员，规范手卫生、环境保洁和消毒操作流程。</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9.指导基层组织做好居家严重精神障碍患者的管理治疗和社区照护，对在封闭管理区居住的患者，采取送药上门、网络诊疗等方式，保障患者居家治疗。对于出现明显精神症状、情绪暴躁、或行为冲动等病情不稳定患者，有条件的要及时收治到隔离病区/病室，没有条件的要及时送至定点医院。</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黑体" w:hAnsi="黑体" w:eastAsia="黑体"/>
          <w:sz w:val="32"/>
          <w:szCs w:val="32"/>
        </w:rPr>
      </w:pPr>
      <w:r>
        <w:rPr>
          <w:rFonts w:hint="eastAsia" w:ascii="黑体" w:hAnsi="黑体" w:eastAsia="黑体"/>
          <w:sz w:val="32"/>
          <w:szCs w:val="32"/>
        </w:rPr>
        <w:t>三、个人防护</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隔离病区/病室工作人员应当加强个人防护，严格评估并采取相应的防护等级。穿戴相应的工作服、一次性工作帽、一次性手套、医用一次性防护服、医用防护口罩或动力送风过滤式呼吸器、防护面屏或护目镜、工作鞋或胶靴、防水靴套等。</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2.其他工作医护人员需做好标准预防，严格做好手卫生，尽量避免与患者近距离接触。</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3.严格按照“两前三后”的指征做好手卫生，用速干手消毒剂揉搓双手；有肉眼可见污染物时，先用洗手液在流动水下洗手后再进行手消毒，洗手严格按照“六步洗手法”操作进行。</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4.科学排班，避免过度劳累，杜绝带病工作；密切注意自身健康状况，出现不适及时采取应对措施，并及时隔离和就医。</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黑体" w:hAnsi="黑体" w:eastAsia="黑体"/>
          <w:sz w:val="32"/>
          <w:szCs w:val="32"/>
        </w:rPr>
      </w:pPr>
      <w:r>
        <w:rPr>
          <w:rFonts w:hint="eastAsia" w:ascii="黑体" w:hAnsi="黑体" w:eastAsia="黑体"/>
          <w:sz w:val="32"/>
          <w:szCs w:val="32"/>
        </w:rPr>
        <w:t>四、疫情防控策略</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1.成立疫情防控领导小组。党政主要负责人任组长，其他院领导任副组长，成员包括各相关职能部门负责人。负责领导、组织、协调院内新冠肺炎疫情防控的各项工作。</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2.细化防控方案，加强就诊患者风险评估，调整常规诊疗服务，按照岗位风险和防护标准，严格细化医务人员分级防护和环境、物表消毒等防控方案。</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 xml:space="preserve">3.根据现状，制定应急预案，对病房可能发生新冠肺炎疑似病例的情况，制定《新型冠状病毒肺炎疑似病例应急处置方案》，并进行实操演练，确保各环节衔接通畅，及时对可疑病例进行有效研判、处置与转运。 </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4.对新入院患者应当进行门诊筛查，详细询问新冠肺炎流行病学接触史，做好相关检查，对新入院患者，设置隔离观察病房，并制定相关工作的制度和规范。</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对住院的精神障碍患者发现有疑似或者确诊新冠肺炎的，应当立即采取隔离措施，将患者转诊到定点医院治疗，并及时向当地卫生健康行政部门报告。对暂时无法转出到定点医院的确诊患者，精神卫生医疗机构应当立即设置发热病区，请具有新冠肺炎诊疗能力的综合性医疗机构派员会诊。同时，精神卫生医疗机构应当立即采取措施，隔离密切接触的医务人员和患者医学观察14天，并彻底消毒病房。</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黑体" w:hAnsi="黑体" w:eastAsia="黑体"/>
          <w:sz w:val="32"/>
          <w:szCs w:val="32"/>
        </w:rPr>
      </w:pPr>
      <w:r>
        <w:rPr>
          <w:rFonts w:hint="eastAsia" w:ascii="黑体" w:hAnsi="黑体" w:eastAsia="黑体"/>
          <w:sz w:val="32"/>
          <w:szCs w:val="32"/>
        </w:rPr>
        <w:t>五、疫情防控措施</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加强门诊入口管理。设立门诊入口唯一通道，门诊入口和出口分列，工作人员和就诊人员通道分列。就诊者、陪诊人员及相关人员进入门诊诊疗区域前均须佩戴口罩和配合测量体温。有发热或呼吸道症状的陪同人员，引导至发热门诊就诊（如有），或建议去当地定点医疗机构发热门诊就诊。</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严格预检分诊制度。门诊应当设置独立的预检分诊台，就诊患者进行手卫生和打喷嚏的健康宣教，就诊过程要求佩戴口腔，避免人群聚集。预检护士须询问所有就诊者的新冠肺炎相关流行病学史，同时询问是否有咳嗽、乏力、肌痛、腹泻等临床症状。无发热、临床症状及相关流行病学史的患者，在合理防护基础上，按门诊常规流程就诊。</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设立隔离诊室。疫情期间建议设立隔离诊室，用于满足有发热或流行病学重点监控对象的患者隔离和救治需要，隔离区域及诊室须与其他普通诊室区域相区分，设置从预检至隔离诊室的独立通道，避免穿过人群相对密集的候诊区。完成诊疗后由门诊部按照医院感染要求对隔离诊室及通道进行清洁消毒，医疗废物按规定处理。</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4.设置隔离病区/病室。设置观察隔离病区/病室，有条件的医院建议设置应急隔离病区，用于新入院患者的观察与隔离，建立相关工作制度及流程，备有充足的应对急性呼吸道传染病的消毒和防护用品。</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5.加强病房管理，严格把握患者住院适应症，尽量缩短住院时间。疫情期间暂停现场探视，有条件的医院暂停病房医生出诊，减少交叉感染的风险。原则上不设陪护遵守医院规定每日进行健康监测。</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6.复诊、随访可以适当调整时限，或鼓励采用互联网医院等远程诊治途径。对于病情稳定的患者，适当延长处方药物时间，最长可开具3个月药量。</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7.疑似或确诊新冠肺炎的精神障碍患者须收治在所在地的定点医疗机构，精神病医院应当配合提供相应的联络会诊服务。</w:t>
      </w:r>
    </w:p>
    <w:p>
      <w:pPr>
        <w:pStyle w:val="18"/>
        <w:shd w:val="clear" w:color="auto" w:fill="FFFFFF"/>
        <w:wordWrap/>
        <w:spacing w:before="0" w:beforeAutospacing="0" w:after="0" w:afterAutospacing="0" w:line="560" w:lineRule="exact"/>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kern w:val="2"/>
          <w:sz w:val="32"/>
          <w:szCs w:val="32"/>
          <w:lang w:val="en-US" w:eastAsia="zh-CN" w:bidi="ar-SA"/>
        </w:rPr>
        <w:t>8.出现疑似或确诊新冠肺炎的精神障碍患者所在精神病医院应当进行终末消毒，由医疗机构安排专人进行，疾病预防控制机构做好技术指导。非专业人员开展消毒工作前应当接受当地疾病预防控制机构专业培训，采取正确的消毒方法并做好个人防护。</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ordWrap/>
        <w:adjustRightInd/>
        <w:snapToGrid/>
        <w:spacing w:line="560" w:lineRule="exact"/>
        <w:jc w:val="center"/>
        <w:textAlignment w:val="auto"/>
        <w:outlineLvl w:val="0"/>
        <w:rPr>
          <w:rFonts w:hint="eastAsia"/>
          <w:sz w:val="44"/>
          <w:szCs w:val="44"/>
        </w:rPr>
      </w:pPr>
      <w:bookmarkStart w:id="399" w:name="_Toc9080"/>
      <w:r>
        <w:rPr>
          <w:rFonts w:hint="eastAsia"/>
          <w:sz w:val="44"/>
          <w:szCs w:val="44"/>
        </w:rPr>
        <w:t>国务院应对新型冠状病毒肺炎疫情联防联控机制关于印发公众科学戴口罩指引</w:t>
      </w:r>
      <w:bookmarkEnd w:id="399"/>
    </w:p>
    <w:p>
      <w:pPr>
        <w:wordWrap/>
        <w:adjustRightInd/>
        <w:snapToGrid/>
        <w:spacing w:line="560" w:lineRule="exact"/>
        <w:jc w:val="center"/>
        <w:textAlignment w:val="auto"/>
        <w:outlineLvl w:val="0"/>
        <w:rPr>
          <w:rFonts w:hint="eastAsia"/>
          <w:sz w:val="44"/>
          <w:szCs w:val="44"/>
        </w:rPr>
      </w:pPr>
      <w:bookmarkStart w:id="400" w:name="_Toc29945"/>
      <w:r>
        <w:rPr>
          <w:rFonts w:hint="eastAsia"/>
          <w:sz w:val="44"/>
          <w:szCs w:val="44"/>
        </w:rPr>
        <w:t>的通知</w:t>
      </w:r>
      <w:bookmarkEnd w:id="400"/>
    </w:p>
    <w:p>
      <w:pPr>
        <w:wordWrap/>
        <w:adjustRightInd/>
        <w:snapToGrid/>
        <w:spacing w:line="560" w:lineRule="exact"/>
        <w:jc w:val="center"/>
        <w:textAlignment w:val="auto"/>
        <w:rPr>
          <w:rFonts w:hint="eastAsia"/>
          <w:sz w:val="44"/>
          <w:szCs w:val="44"/>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84848"/>
          <w:spacing w:val="0"/>
          <w:sz w:val="32"/>
          <w:szCs w:val="32"/>
          <w:u w:val="none"/>
        </w:rPr>
      </w:pPr>
      <w:r>
        <w:rPr>
          <w:rFonts w:hint="eastAsia" w:ascii="楷体" w:hAnsi="楷体" w:eastAsia="楷体" w:cs="楷体"/>
          <w:i w:val="0"/>
          <w:caps w:val="0"/>
          <w:color w:val="484848"/>
          <w:spacing w:val="0"/>
          <w:sz w:val="32"/>
          <w:szCs w:val="32"/>
          <w:u w:val="none"/>
        </w:rPr>
        <w:t>联防联控机制发〔2020〕33号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各省、自治区、直辖市及新疆生产建设兵团应对新型冠状病毒肺炎疫情联防联控机制（领导小组、指挥部）：</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根据当前防控形势和全面有序恢复正常生产生活秩序需要，我们组织编制了《公众科学戴口罩指引》。本指引从普通公众、特定场所人员、重点人员以及职业暴露人员进行分类，并对不同场景下戴口罩提出科学建议。现印发给你们，请参照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国务院应对新型冠状病毒肺炎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疫情联防联控机制 </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2020年3月17日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rPr>
          <w:rStyle w:val="23"/>
          <w:rFonts w:ascii="微软雅黑" w:hAnsi="微软雅黑" w:eastAsia="微软雅黑" w:cs="微软雅黑"/>
          <w:i w:val="0"/>
          <w:caps w:val="0"/>
          <w:color w:val="484848"/>
          <w:spacing w:val="0"/>
          <w:sz w:val="44"/>
          <w:szCs w:val="44"/>
          <w:u w:val="none"/>
        </w:rPr>
      </w:pPr>
      <w:r>
        <w:rPr>
          <w:rStyle w:val="23"/>
          <w:rFonts w:ascii="微软雅黑" w:hAnsi="微软雅黑" w:eastAsia="微软雅黑" w:cs="微软雅黑"/>
          <w:i w:val="0"/>
          <w:caps w:val="0"/>
          <w:color w:val="484848"/>
          <w:spacing w:val="0"/>
          <w:sz w:val="44"/>
          <w:szCs w:val="44"/>
          <w:u w:val="none"/>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宋体" w:hAnsi="宋体" w:eastAsia="宋体" w:cs="宋体"/>
          <w:b w:val="0"/>
          <w:bCs/>
          <w:i w:val="0"/>
          <w:caps w:val="0"/>
          <w:color w:val="484848"/>
          <w:spacing w:val="0"/>
          <w:sz w:val="44"/>
          <w:szCs w:val="44"/>
          <w:u w:val="none"/>
        </w:rPr>
      </w:pPr>
      <w:r>
        <w:rPr>
          <w:rStyle w:val="23"/>
          <w:rFonts w:hint="eastAsia" w:ascii="宋体" w:hAnsi="宋体" w:eastAsia="宋体" w:cs="宋体"/>
          <w:b w:val="0"/>
          <w:bCs/>
          <w:i w:val="0"/>
          <w:caps w:val="0"/>
          <w:color w:val="484848"/>
          <w:spacing w:val="0"/>
          <w:sz w:val="44"/>
          <w:szCs w:val="44"/>
          <w:u w:val="none"/>
        </w:rPr>
        <w:t>公众科学戴口罩指引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科学戴口罩，对于新冠肺炎、流感等呼吸道传染病具有预防作用，既保护自己，又有益于公众健康。目前，在抗击新冠肺炎疫情形势下，为引导公众科学戴口罩，有效防控疫情，保护公众健康，特提出以下指引。  </w:t>
      </w:r>
      <w:r>
        <w:rPr>
          <w:rFonts w:hint="eastAsia" w:ascii="仿宋" w:hAnsi="仿宋" w:eastAsia="仿宋" w:cs="仿宋"/>
          <w:i w:val="0"/>
          <w:caps w:val="0"/>
          <w:color w:val="484848"/>
          <w:spacing w:val="0"/>
          <w:sz w:val="32"/>
          <w:szCs w:val="32"/>
          <w:u w:val="none"/>
        </w:rPr>
        <w:br w:type="textWrapping"/>
      </w:r>
      <w:r>
        <w:rPr>
          <w:rFonts w:ascii="黑体" w:hAnsi="宋体" w:eastAsia="黑体" w:cs="黑体"/>
          <w:i w:val="0"/>
          <w:caps w:val="0"/>
          <w:color w:val="484848"/>
          <w:spacing w:val="0"/>
          <w:sz w:val="32"/>
          <w:szCs w:val="32"/>
          <w:u w:val="none"/>
        </w:rPr>
        <w:t>　　一、普通公众</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（一）居家、户外，无人员聚集、通风良好。</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防护建议：不戴口罩。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（二）处于人员密集场所，如办公、购物、餐厅、会议室、车间等；或乘坐厢式电梯、公共交通工具等。</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防护建议：在中、低风险地区，应随身备用口罩（一次性使用医用口罩或医用外科口罩），在与其他人近距离接触（小于等于1米）时戴口罩。在高风险地区，戴一次性使用医用口罩。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（三）对于咳嗽或打喷嚏等感冒症状者。</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防护建议：戴一次性使用医用口罩或医用外科口罩。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（四）对于与居家隔离、出院康复人员共同生活的人员。</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防护建议：戴一次性使用医用口罩或医用外科口罩。</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二、特定场所人员</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（一）处于人员密集的医院、汽车站、火车站、地铁站、机场、超市、餐馆、公共交通工具以及社区和单位进出口等场所。</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防护建议：在中、低风险地区，工作人员戴一次性使用医用口罩或医用外科口罩。在高风险地区，工作人员戴医用外科口罩或符合KN95/N95及以上级别的防护口罩。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（二）在监狱、养老院、福利院、精神卫生医疗机构，以及学校的教室、工地宿舍等人员密集场所。</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在中、低风险地区，日常应随身备用口罩（一次性使用医用口罩或医用外科口罩），在人员聚集或与其他人近距离接触（小于等于1米）时戴口罩。在高风险地区，工作人员戴医用外科口罩或符合KN95/N95及以上级别的防护口罩；其他人员戴一次性使用医用口罩。</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三、重点人员</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新型冠状病毒肺炎疑似病例、确诊病例和无症状感染者；新型冠状病毒肺炎密切接触者；入境人员(从入境开始到隔离结束)。</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防护建议：戴医用外科口罩或无呼气阀符合KN95/N95及以上级别的防护口罩。</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四、职业暴露人员</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（一）普通门诊、病房等医务人员；低风险地区医疗机构急诊医务人员；从事疫情防控相关的行政管理人员、警察、保安、保洁等。</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防护建议：戴医用外科口罩。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在新型冠状病毒肺炎确诊病例、疑似病例患者的病房、ICU工作的人员；指定医疗机构发热门诊的医务人员；中、高风险地区医疗机构急诊科的医务人员；流行病学调查、实验室检测、环境消毒人员；转运确诊和疑似病例人员。</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防护建议：戴医用防护口罩。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（三）从事呼吸道标本采集的操作人员；进行新型冠状病毒肺炎患者气管切开、气管插管、气管镜检查、吸痰、心肺复苏操作，或肺移植手术、病理解剖的工作人员。</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防护建议：头罩式（或全面型）动力送风过滤式呼吸防护器，或半面型动力送风过滤式呼吸防护器加戴护目镜或全面屏；两种呼吸防护器均需选用P100防颗粒物过滤元件，过滤元件不可重复使用，防护器具消毒后使用。</w:t>
      </w:r>
      <w:r>
        <w:rPr>
          <w:rFonts w:hint="eastAsia" w:ascii="仿宋" w:hAnsi="仿宋" w:eastAsia="仿宋" w:cs="仿宋"/>
          <w:i w:val="0"/>
          <w:caps w:val="0"/>
          <w:color w:val="484848"/>
          <w:spacing w:val="0"/>
          <w:sz w:val="32"/>
          <w:szCs w:val="32"/>
          <w:u w:val="none"/>
        </w:rPr>
        <w:br w:type="textWrapping"/>
      </w:r>
      <w:r>
        <w:rPr>
          <w:rFonts w:hint="eastAsia" w:ascii="黑体" w:hAnsi="宋体" w:eastAsia="黑体" w:cs="黑体"/>
          <w:i w:val="0"/>
          <w:caps w:val="0"/>
          <w:color w:val="484848"/>
          <w:spacing w:val="0"/>
          <w:sz w:val="32"/>
          <w:szCs w:val="32"/>
          <w:u w:val="none"/>
        </w:rPr>
        <w:t>　　五、使用注意事项</w:t>
      </w:r>
      <w:r>
        <w:rPr>
          <w:rFonts w:hint="eastAsia" w:ascii="黑体" w:hAnsi="宋体" w:eastAsia="黑体" w:cs="黑体"/>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（一）呼吸防护用品包括口罩和面具，佩戴前、脱除后应洗手。</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（二）佩戴口罩时注意正反和上下，口罩应遮盖口鼻，调整鼻夹至贴合面部。</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（三）佩戴过程中避免用手触摸口罩内外侧，应通过摘取两端线绳脱去口罩。</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（四）佩戴多个口罩不能有效增加防护效果，反而增加呼吸阻力，并可能破坏密合性。</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（五）各种对口罩的清洗、消毒等措施均无证据证明其有效性。</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　　（六）一次性使用医用口罩和医用外科口罩均为限次使用，累计使用不超过8小时。职业暴露人员使用口罩不超过4小时，不可重复使用。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spacing w:before="225" w:beforeAutospacing="0" w:after="0" w:afterAutospacing="0"/>
        <w:ind w:left="0" w:right="0" w:firstLine="0"/>
        <w:jc w:val="center"/>
        <w:rPr>
          <w:rFonts w:hint="eastAsia" w:ascii="楷体" w:hAnsi="楷体" w:eastAsia="楷体" w:cs="楷体"/>
          <w:color w:val="000000"/>
          <w:kern w:val="0"/>
          <w:sz w:val="32"/>
          <w:szCs w:val="32"/>
          <w:lang w:val="en-US" w:eastAsia="zh-CN" w:bidi="ar-SA"/>
        </w:rPr>
      </w:pPr>
      <w:r>
        <w:rPr>
          <w:rFonts w:hint="eastAsia" w:ascii="Times New Roman" w:hAnsi="Times New Roman" w:eastAsia="宋体" w:cs="Times New Roman"/>
          <w:bCs/>
          <w:kern w:val="44"/>
          <w:sz w:val="44"/>
          <w:szCs w:val="44"/>
          <w:lang w:val="en-US" w:eastAsia="zh-CN" w:bidi="ar-SA"/>
        </w:rPr>
        <w:t>关于进一步做好冷链食品追溯管理工作的通知</w:t>
      </w:r>
      <w:r>
        <w:rPr>
          <w:rFonts w:hint="eastAsia" w:ascii="Times New Roman" w:hAnsi="Times New Roman" w:eastAsia="宋体" w:cs="Times New Roman"/>
          <w:bCs/>
          <w:kern w:val="44"/>
          <w:sz w:val="44"/>
          <w:szCs w:val="44"/>
          <w:lang w:val="en-US" w:eastAsia="zh-CN" w:bidi="ar-SA"/>
        </w:rPr>
        <w:br w:type="textWrapping"/>
      </w:r>
      <w:r>
        <w:rPr>
          <w:rFonts w:hint="eastAsia" w:ascii="楷体" w:hAnsi="楷体" w:eastAsia="楷体" w:cs="楷体"/>
          <w:color w:val="000000"/>
          <w:kern w:val="0"/>
          <w:sz w:val="32"/>
          <w:szCs w:val="32"/>
          <w:lang w:val="en-US" w:eastAsia="zh-CN" w:bidi="ar-SA"/>
        </w:rPr>
        <w:t>联防联控机制综发〔2020〕263号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各省、自治区、直辖市及新疆生产建设兵团应对新型冠状病毒肺炎疫情联防联控机制（领导小组、指挥部）: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为做好“外防输入、内防反弹”常态化疫情防控工作，突出加强关键环节、重点领域防控措施，严防新冠肺炎疫情输入风险，按照国务院联防联控机制部署，市场监管总局会同海关总署制定了进一步做好冷链食品追溯管理工作措施。现就有关事项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一、工作目标</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建立和完善由国家级平台、省级平台和企业级平台组成的冷链食品追溯管理系统，以畜禽肉、水产品等为重点，实现重点冷链食品从海关进口查验到贮存分销、生产加工、批发零售、餐饮服务全链条信息化追溯，完善人物同查、人物共防措施，建立问题产品的快速精准反应机制，严格管控疫情风险，维护公众身体健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二、工作任务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（一）加快追溯平台建设。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1. 建设国家指挥平台。由市场监管总局开发建设，定位为指挥预警。通过“异构识别”机制，依据各地现有工作基础，在不统一制定标准、不统一编码赋码、不改变各地系统的情况下，实现追溯信息省际互认互通。力争在2020年11月底建成上线。</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2. 优化完善省级平台。省级平台定位为追溯信息管理和公共服务，帮助重点冷链食品生产经营者实现信息化追溯和数据对接。由各省（区、市）市场监管部门负责建设或在原有追溯信息化系统基础上进行优化改造，并按照统一数据对接规程（见附件）接入国家级平台。北京、天津、辽宁、上海、江苏、浙江、福建、山东、广东、重庆等有条件的省份应当于2020年12月中旬完成建设改造和试运行，12月底前实现与国家平台对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3. 实现企业数据对接。按照属地管理原则，各省（区、市）市场监管部门应当会同有关部门制定发布省级平台接口标准规范，指导督促重点冷链食品供应链各个企业与省级平台对接追溯关键信息。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（二）广泛推广应用。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4. 全面摸清底数。各地要对重点冷链食品进口商、生产经营企业、第三方冷库、食用农产品批发市场入场销售者、商场超市、生鲜电商和餐饮企业等进行排摸，全面掌握底数和实际情况。</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5. 明确主体责任。重点冷链食品生产经营者应当按照《食品安全法》以及《食品药品监管总局关于发布食品生产经营企业建立食品安全追溯体系若干规定的公告》（2017年第39号）、《市场监管总局关于加强冷藏冷冻食品质量安全管理的公告》（2020年第10号）等要求，严格执行进货查验、出厂销售记录等制度，建立食品安全追溯体系。生产经营企业应当及时、准确记录每批次重点冷链食品的检验检疫信息、核酸检测结果、业经消毒的证明、货物来源去向和数量、位置等关键数据。</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6. 加强培训指导。各地要加强对重点冷链食品生产经营者的培训指导，引导重点冷链食品生产经营企业进行自我承诺，落实专人联络。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（三）强化信息通报和应急处置。</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7. 强化信息管理。各地要重点核查重点冷链食品生产经营企业进出库台账记录、索证索票情况，指导相关生产经营者准确填写、记录数据信息，及时报告发现的问题。各地海关要与市场监管部门对接重点冷链食品进口相关信息，实现信息共享和校验，具体实现方式由海关总署和市场监管总局研究确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8. 实现追踪溯源。各地市场监管部门接到重点冷链食品新冠病毒检测阳性通报后，应当立即利用省级平台对同批次食品的流向进行溯源倒查和精准定位，并利用国家平台上报食品关键信息，迅速组织力量按相关规定开展排查核实。对于流向外省（区、市）的同批次食品，根据追溯清查情况，原则上由省级市场监管部门及时提请当地联防联控机制向涉疫食品流出地及流入地省级联防联控机制通报涉疫食品及相关生产经营者情况，包括涉疫食品名称、批号、数量、销售日期、销售者及联系方式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三、工作要求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（一）快速精准追溯。鼓励企业采用信息化手段自动识别产品信息，实时反映重点冷链食品关键信息，实现正向可追踪，逆向可溯源，发生问题时产品可处置、原因可查清、风险可管控。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严格信息发布。各省级市场监管部门要加强信息审核，确保数据真实准确。未经省级市场监管部门许可不得擅自发布冷链食品追溯相关信息。针对突发情况及人民群众关注度较高的新闻事件和舆情热点，会同相关部门通过公告、召开新闻发布会等形式及时回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（三）确保信息安全。按照“必要性”、“需要时”和“最小限度”原则访问和获取企业追溯信息数据，科学设置访问权限，保护企业商业秘密，进行必要的脱敏处理。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四）加强组织领导。各省（区、市）联防联控机制要落实疫情防控属地责任，强化进口冷链食品输入风险防控措施，建立相关部门协作机制。按照国务院联防联控机制有关文件要求，加大投入保障和工作力度，组织精干力量集中攻坚、专班推进追溯平台建设。有关工作情况将纳入食品安全工作评议考核。</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请于11月30日前将各省（区、市）市场监管部门业务联系人和技术联系人名单报送市场监管总局。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4800" w:leftChars="1400" w:right="0" w:hanging="320" w:hangingChars="1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国务院应对新型冠状病毒肺炎</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疫情联防联控机制综合组</w:t>
      </w:r>
      <w:r>
        <w:rPr>
          <w:rFonts w:hint="eastAsia" w:ascii="仿宋" w:hAnsi="仿宋" w:eastAsia="仿宋" w:cs="仿宋"/>
          <w:i w:val="0"/>
          <w:caps w:val="0"/>
          <w:color w:val="484848"/>
          <w:spacing w:val="0"/>
          <w:sz w:val="32"/>
          <w:szCs w:val="32"/>
          <w:u w:val="none"/>
        </w:rPr>
        <w:br w:type="textWrapping"/>
      </w:r>
      <w:r>
        <w:rPr>
          <w:rFonts w:hint="eastAsia" w:ascii="仿宋" w:hAnsi="仿宋" w:eastAsia="仿宋" w:cs="仿宋"/>
          <w:i w:val="0"/>
          <w:caps w:val="0"/>
          <w:color w:val="484848"/>
          <w:spacing w:val="0"/>
          <w:sz w:val="32"/>
          <w:szCs w:val="32"/>
          <w:u w:val="none"/>
        </w:rPr>
        <w:t>（代章）</w:t>
      </w:r>
      <w:r>
        <w:rPr>
          <w:rFonts w:hint="eastAsia" w:ascii="宋体" w:hAnsi="宋体" w:eastAsia="宋体" w:cs="宋体"/>
          <w:i w:val="0"/>
          <w:caps w:val="0"/>
          <w:color w:val="333333"/>
          <w:spacing w:val="0"/>
          <w:sz w:val="24"/>
          <w:szCs w:val="24"/>
          <w:shd w:val="clear" w:color="auto" w:fill="FFFFFF"/>
        </w:rPr>
        <w:br w:type="textWrapping"/>
      </w:r>
      <w:r>
        <w:rPr>
          <w:rFonts w:hint="eastAsia" w:ascii="宋体" w:hAnsi="宋体" w:eastAsia="宋体" w:cs="宋体"/>
          <w:i w:val="0"/>
          <w:caps w:val="0"/>
          <w:color w:val="333333"/>
          <w:spacing w:val="0"/>
          <w:sz w:val="24"/>
          <w:szCs w:val="24"/>
          <w:shd w:val="clear" w:color="auto" w:fill="FFFFFF"/>
          <w:lang w:val="en-US" w:eastAsia="zh-CN"/>
        </w:rPr>
        <w:t xml:space="preserve">    </w:t>
      </w:r>
      <w:r>
        <w:rPr>
          <w:rFonts w:hint="eastAsia" w:ascii="仿宋" w:hAnsi="仿宋" w:eastAsia="仿宋" w:cs="仿宋"/>
          <w:i w:val="0"/>
          <w:caps w:val="0"/>
          <w:color w:val="484848"/>
          <w:spacing w:val="0"/>
          <w:sz w:val="32"/>
          <w:szCs w:val="32"/>
          <w:u w:val="none"/>
        </w:rPr>
        <w:t>2020年11月27日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4800" w:leftChars="1400" w:right="0" w:hanging="320" w:hangingChars="10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关于保障群众基本就医需求并做好医疗机构感染防控工作的通知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楷体" w:hAnsi="楷体" w:eastAsia="楷体" w:cs="楷体"/>
          <w:color w:val="000000"/>
          <w:kern w:val="0"/>
          <w:sz w:val="32"/>
          <w:szCs w:val="32"/>
          <w:lang w:val="en-US" w:eastAsia="zh-CN" w:bidi="ar-SA"/>
        </w:rPr>
      </w:pPr>
      <w:r>
        <w:rPr>
          <w:rFonts w:hint="eastAsia" w:ascii="Times New Roman" w:hAnsi="Times New Roman" w:eastAsia="宋体" w:cs="Times New Roman"/>
          <w:bCs/>
          <w:kern w:val="44"/>
          <w:sz w:val="44"/>
          <w:szCs w:val="44"/>
          <w:lang w:val="en-US" w:eastAsia="zh-CN" w:bidi="ar-SA"/>
        </w:rPr>
        <w:br w:type="textWrapping"/>
      </w:r>
      <w:r>
        <w:rPr>
          <w:rFonts w:hint="eastAsia" w:ascii="楷体" w:hAnsi="楷体" w:eastAsia="楷体" w:cs="楷体"/>
          <w:color w:val="000000"/>
          <w:kern w:val="0"/>
          <w:sz w:val="32"/>
          <w:szCs w:val="32"/>
          <w:lang w:val="en-US" w:eastAsia="zh-CN" w:bidi="ar-SA"/>
        </w:rPr>
        <w:t>联防联控机制医疗发〔2021〕25号</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楷体" w:hAnsi="楷体" w:eastAsia="楷体" w:cs="楷体"/>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各省、自治区、直辖市及新疆生产建设兵团卫生健康委：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当前，新冠肺炎疫情防控形势严峻复杂，个别地区存在医疗机构感染防控措施落实不到位、发生院内聚集性疫情的情况。这引起了医疗机构进一步强化感控要求的落实，同时，也给部分群众就医带来影响，甚至基本就医需求不能得到满足。为指导各地做好医疗服务，保障群众基本就医需求，同时，落实好常态化疫情防控下感控措施，现将有关要求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一、充分认识保障医疗服务和做好感染防控的关系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提供医疗服务是医疗机构的首要职责，做好感染防控是保障医疗质量安全的基本要求。在做好感染防控的前提下，为群众提供优质医疗服务，是医疗机构具有较高管理水平的重要体现。医疗机构在保障群众基本医疗服务的同时，必须做好感染防控工作，不得因为感染防控采取一关了之、一封了之、一停了之等“一刀切”手段，影响群众获得基本医疗服务。保障基本医疗服务和做好感染防控，是医疗机构日常诊疗的两个方面，二者并不矛盾，应当共同做好、协同推进。</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二、切实保障患者基本医疗需求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医疗机构要根据不同患者的医疗需求，进行分类救治，满足患者基本就医需求。对于急危重症患者，应当及时有效救治，医务人员做好防护，不得推诿拒诊。对于门诊慢性病患者，视患者病情可将处方用量延长至12周，并发挥基层医疗卫生机构作用，加强家庭医生团队对慢性病患者的日常管理。对于血液透析患者、放化疗等肿瘤患者以及其他需要维持定期治疗的重症患者，以及孕产妇和新生儿等特殊群体，要切实保障连续的医疗服务。对于择期手术患者，要加强与患者的解释沟通，结合疫情防控形势和患者病情需要确定手术时间。同时，利用“互联网+医疗”的优势作用，做好互联网诊疗咨询服务。积极推进分级诊疗，发挥医联体整体效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三、落实各项感染防控措施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医疗机构要按照《关于进一步做好常态化疫情防控下医疗机构感染防控工作的通知》（联防联控机制综发〔2020〕269号）等要求，全面落实各项感控措施。进一步完善预约诊疗和预检分诊，按时段安排好患者就诊时间，减少人员聚集。严格落实首诊负责制，对发热门诊患者以及普通门诊疑似新冠肺炎患者，要加强核酸检测等检验检查，在排除新冠病毒感染前不得允许患者离开医院。对新入院患者和陪护人员落实“应检尽检”，设置并利用好隔离区域或过渡病室，通过核酸筛查和隔离降低感染风险。合理确定床位使用比例，禁止加床收治患者。严格患者陪护及探视管理，新冠肺炎救治定点医疗机构原则上不探视、不陪护，非定点医疗机构非必须不陪护、不探视，确需陪护的，要固定陪护人员并进行核酸检测。持续开展全员培训，严格执行标准预防等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四、加强现场指导和督导检查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rPr>
        <w:t>地方卫生健康行政部门要强化日常监管，要求医疗机构做好医疗服务，不得以等待核酸检测结果、开展感染防控等为由，延误患者治疗或推诿拖延。对群众反映基本就医需求不能得到满足的情况，要及时进行核查，造成严重后果的，要追究相关医疗机构和人员的责任。同时，各级感控质控中心、院感专家组要为医疗机构做好感染防控提供技术指导，加强人员培训和现场指导，提高医疗机构和医务人员感控意识和能力水平。</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5440" w:leftChars="1400" w:right="0" w:hanging="960" w:hangingChars="3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lang w:val="en-US" w:eastAsia="zh-CN"/>
        </w:rPr>
        <w:t>国务院应对新冠肺炎疫情联防联控机制医疗救治组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4800" w:leftChars="1500" w:right="0" w:firstLine="960" w:firstLineChars="300"/>
        <w:jc w:val="both"/>
        <w:textAlignment w:val="auto"/>
        <w:rPr>
          <w:rFonts w:hint="eastAsia" w:ascii="仿宋" w:hAnsi="仿宋" w:eastAsia="仿宋" w:cs="仿宋"/>
          <w:i w:val="0"/>
          <w:caps w:val="0"/>
          <w:color w:val="484848"/>
          <w:spacing w:val="0"/>
          <w:sz w:val="32"/>
          <w:szCs w:val="32"/>
          <w:u w:val="none"/>
        </w:rPr>
      </w:pPr>
      <w:r>
        <w:rPr>
          <w:rFonts w:hint="eastAsia" w:ascii="仿宋" w:hAnsi="仿宋" w:eastAsia="仿宋" w:cs="仿宋"/>
          <w:i w:val="0"/>
          <w:caps w:val="0"/>
          <w:color w:val="484848"/>
          <w:spacing w:val="0"/>
          <w:sz w:val="32"/>
          <w:szCs w:val="32"/>
          <w:u w:val="none"/>
          <w:lang w:val="en-US" w:eastAsia="zh-CN"/>
        </w:rPr>
        <w:t>2021年1月21日</w:t>
      </w:r>
    </w:p>
    <w:p/>
    <w:p>
      <w:pPr>
        <w:pStyle w:val="4"/>
      </w:pPr>
    </w:p>
    <w:p/>
    <w:p>
      <w:pPr>
        <w:pStyle w:val="4"/>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关于印发全员新型冠状病毒核酸检测组织</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实施指南的通知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楷体" w:hAnsi="楷体" w:eastAsia="楷体" w:cs="楷体"/>
          <w:color w:val="000000"/>
          <w:kern w:val="0"/>
          <w:sz w:val="32"/>
          <w:szCs w:val="32"/>
          <w:lang w:val="en-US" w:eastAsia="zh-CN" w:bidi="ar-SA"/>
        </w:rPr>
      </w:pPr>
      <w:r>
        <w:rPr>
          <w:rFonts w:hint="eastAsia" w:ascii="Times New Roman" w:hAnsi="Times New Roman" w:eastAsia="宋体" w:cs="Times New Roman"/>
          <w:bCs/>
          <w:kern w:val="44"/>
          <w:sz w:val="44"/>
          <w:szCs w:val="44"/>
          <w:lang w:val="en-US" w:eastAsia="zh-CN" w:bidi="ar-SA"/>
        </w:rPr>
        <w:br w:type="textWrapping"/>
      </w:r>
      <w:r>
        <w:rPr>
          <w:rFonts w:hint="eastAsia" w:ascii="楷体" w:hAnsi="楷体" w:eastAsia="楷体" w:cs="楷体"/>
          <w:color w:val="000000"/>
          <w:kern w:val="0"/>
          <w:sz w:val="32"/>
          <w:szCs w:val="32"/>
          <w:lang w:val="en-US" w:eastAsia="zh-CN" w:bidi="ar-SA"/>
        </w:rPr>
        <w:t>联防联控机制综发〔2021〕27号</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各省、自治区、直辖市及新疆生产建设兵团应对新冠肺炎疫情联防联控机制（领导小组、指挥部）：</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为全面做好新冠肺炎疫情防控，落实“四早”关键措施，指导各地开展新冠病毒全员核酸检测，科学高效完成人群筛查工作，我们组织制定了《全员新型冠状病毒核酸检测组织实施指南》（可在国家卫生健康委网站“医政医管”栏目下载）。现印发你们，请参照执行。</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jc w:val="right"/>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国务院应对新型冠状病毒肺炎疫情联防联控机制综合组</w:t>
      </w:r>
      <w:r>
        <w:rPr>
          <w:rFonts w:hint="eastAsia" w:ascii="仿宋" w:hAnsi="仿宋" w:eastAsia="仿宋" w:cs="仿宋"/>
          <w:color w:val="000000"/>
          <w:kern w:val="0"/>
          <w:sz w:val="32"/>
          <w:szCs w:val="32"/>
          <w:lang w:val="en-US" w:eastAsia="zh-CN" w:bidi="ar-SA"/>
        </w:rPr>
        <w:br w:type="textWrapping"/>
      </w:r>
      <w:r>
        <w:rPr>
          <w:rFonts w:hint="eastAsia" w:ascii="仿宋" w:hAnsi="仿宋" w:eastAsia="仿宋" w:cs="仿宋"/>
          <w:color w:val="000000"/>
          <w:kern w:val="0"/>
          <w:sz w:val="32"/>
          <w:szCs w:val="32"/>
          <w:lang w:val="en-US" w:eastAsia="zh-CN" w:bidi="ar-SA"/>
        </w:rPr>
        <w:t>2021年2月7日</w:t>
      </w:r>
    </w:p>
    <w:p>
      <w:pPr>
        <w:wordWrap/>
        <w:adjustRightInd/>
        <w:snapToGrid/>
        <w:spacing w:line="560" w:lineRule="exact"/>
        <w:textAlignment w:val="auto"/>
        <w:outlineLvl w:val="9"/>
        <w:rPr>
          <w:rFonts w:hint="eastAsia" w:ascii="仿宋" w:hAnsi="仿宋" w:eastAsia="仿宋" w:cs="仿宋"/>
          <w:color w:val="000000"/>
          <w:kern w:val="0"/>
          <w:sz w:val="32"/>
          <w:szCs w:val="32"/>
          <w:lang w:val="en-US" w:eastAsia="zh-CN" w:bidi="ar-SA"/>
        </w:rPr>
      </w:pPr>
    </w:p>
    <w:p>
      <w:pPr>
        <w:pStyle w:val="4"/>
        <w:rPr>
          <w:rFonts w:hint="eastAsia" w:ascii="仿宋" w:hAnsi="仿宋" w:eastAsia="仿宋" w:cs="仿宋"/>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关于做好在内地的港澳同胞接种新冠病毒疫苗有关工作的通知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0" w:lineRule="atLeast"/>
        <w:ind w:left="0" w:right="0" w:firstLine="0"/>
        <w:jc w:val="center"/>
        <w:textAlignment w:val="auto"/>
        <w:outlineLvl w:val="9"/>
        <w:rPr>
          <w:rFonts w:hint="eastAsia" w:ascii="Times New Roman" w:hAnsi="Times New Roman" w:eastAsia="宋体" w:cs="Times New Roman"/>
          <w:bCs/>
          <w:kern w:val="44"/>
          <w:sz w:val="44"/>
          <w:szCs w:val="44"/>
          <w:lang w:val="en-US" w:eastAsia="zh-CN" w:bidi="ar-SA"/>
        </w:rPr>
      </w:pP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各省、自治区、直辖市及新疆生产建设兵团应对新冠病毒肺炎疫情联防联控机制（领导小组、指挥部），国务院应对新冠病毒肺炎疫情联防联控机制各成员单位：</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按照国务院联防联控机制关于新冠病毒疫苗接种的总体部署安排，现就做好在内地的港澳同胞接种新冠病毒疫苗有关工作通知如下：</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一、在内地工作和生活的港澳同胞可在知情自愿的前提下，凭公安部门制发的港澳居民居住证或内地医保参保凭证免费接种疫苗。有关保障政策与内地居民保持一致。</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二、在内地各类学校工作和学习的港澳籍师生接种疫苗政策与内地师生一视同仁，同等对待。</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三、港澳同胞在内地接种疫苗后出现异常反应的，有关救治和补偿政策原则上与内地居民保持一致。</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四、不在第一、二项接种范围内的港澳同胞原则上不纳入在内地免费接种疫苗范围。如今后开放自费接种疫苗，可在知情自愿的前提下参加自费接种。</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请各地切实做好组织实施工作，重要工作情况及时上报。</w:t>
      </w:r>
    </w:p>
    <w:p>
      <w:pPr>
        <w:pStyle w:val="18"/>
        <w:widowControl/>
        <w:pBdr>
          <w:top w:val="none" w:color="auto" w:sz="0" w:space="0"/>
          <w:left w:val="none" w:color="auto" w:sz="0" w:space="0"/>
          <w:bottom w:val="none" w:color="auto" w:sz="0" w:space="0"/>
          <w:right w:val="none" w:color="auto" w:sz="0" w:space="0"/>
        </w:pBdr>
        <w:shd w:val="clear" w:color="auto" w:fill="FFFFFF"/>
        <w:wordWrap/>
        <w:adjustRightInd/>
        <w:snapToGrid/>
        <w:spacing w:before="225" w:beforeAutospacing="0" w:after="0" w:afterAutospacing="0" w:line="560" w:lineRule="exact"/>
        <w:ind w:left="0" w:right="0" w:firstLine="420"/>
        <w:jc w:val="right"/>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国务院应对新冠病毒肺炎疫情联防联控机制综合组</w:t>
      </w:r>
      <w:r>
        <w:rPr>
          <w:rFonts w:hint="eastAsia" w:ascii="仿宋" w:hAnsi="仿宋" w:eastAsia="仿宋" w:cs="仿宋"/>
          <w:color w:val="000000"/>
          <w:kern w:val="0"/>
          <w:sz w:val="32"/>
          <w:szCs w:val="32"/>
          <w:lang w:val="en-US" w:eastAsia="zh-CN" w:bidi="ar-SA"/>
        </w:rPr>
        <w:br w:type="textWrapping"/>
      </w:r>
      <w:r>
        <w:rPr>
          <w:rFonts w:hint="eastAsia" w:ascii="仿宋" w:hAnsi="仿宋" w:eastAsia="仿宋" w:cs="仿宋"/>
          <w:color w:val="000000"/>
          <w:kern w:val="0"/>
          <w:sz w:val="32"/>
          <w:szCs w:val="32"/>
          <w:lang w:val="en-US" w:eastAsia="zh-CN" w:bidi="ar-SA"/>
        </w:rPr>
        <w:t>2021年4月6日</w:t>
      </w:r>
    </w:p>
    <w:p>
      <w:pPr>
        <w:wordWrap/>
        <w:adjustRightInd/>
        <w:snapToGrid/>
        <w:spacing w:line="560" w:lineRule="exact"/>
        <w:textAlignment w:val="auto"/>
        <w:outlineLvl w:val="9"/>
        <w:rPr>
          <w:rFonts w:hint="eastAsia" w:ascii="仿宋" w:hAnsi="仿宋" w:eastAsia="仿宋" w:cs="仿宋"/>
          <w:color w:val="000000"/>
          <w:kern w:val="0"/>
          <w:sz w:val="32"/>
          <w:szCs w:val="32"/>
          <w:lang w:val="en-US" w:eastAsia="zh-CN" w:bidi="ar-SA"/>
        </w:rPr>
      </w:pPr>
    </w:p>
    <w:p>
      <w:pPr>
        <w:pStyle w:val="4"/>
        <w:rPr>
          <w:rFonts w:hint="eastAsia" w:ascii="仿宋" w:hAnsi="仿宋" w:eastAsia="仿宋" w:cs="仿宋"/>
          <w:color w:val="000000"/>
          <w:kern w:val="0"/>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both"/>
        <w:textAlignment w:val="auto"/>
        <w:rPr>
          <w:rFonts w:hint="eastAsia" w:ascii="仿宋" w:hAnsi="仿宋" w:eastAsia="仿宋" w:cs="仿宋"/>
          <w:i w:val="0"/>
          <w:caps w:val="0"/>
          <w:color w:val="484848"/>
          <w:spacing w:val="0"/>
          <w:sz w:val="32"/>
          <w:szCs w:val="32"/>
          <w:u w:val="none"/>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i w:val="0"/>
          <w:caps w:val="0"/>
          <w:color w:val="484848"/>
          <w:spacing w:val="0"/>
          <w:sz w:val="32"/>
          <w:szCs w:val="32"/>
          <w:u w:val="none"/>
        </w:rPr>
      </w:pPr>
    </w:p>
    <w:p>
      <w:pPr>
        <w:wordWrap/>
        <w:adjustRightInd/>
        <w:snapToGrid/>
        <w:spacing w:line="560" w:lineRule="exact"/>
        <w:jc w:val="lef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01" w:name="_Toc27996"/>
      <w:r>
        <w:rPr>
          <w:rFonts w:hint="eastAsia" w:ascii="Times New Roman" w:hAnsi="Times New Roman" w:eastAsia="宋体" w:cs="Times New Roman"/>
          <w:bCs/>
          <w:kern w:val="44"/>
          <w:sz w:val="44"/>
          <w:szCs w:val="44"/>
          <w:lang w:val="en-US" w:eastAsia="zh-CN" w:bidi="ar-SA"/>
        </w:rPr>
        <w:t>市场监管总局关于坚决维护防疫用品市场价格秩序的公告</w:t>
      </w:r>
      <w:bookmarkEnd w:id="369"/>
      <w:bookmarkEnd w:id="370"/>
      <w:bookmarkEnd w:id="371"/>
      <w:bookmarkEnd w:id="372"/>
      <w:bookmarkEnd w:id="373"/>
      <w:bookmarkEnd w:id="374"/>
      <w:bookmarkEnd w:id="375"/>
      <w:bookmarkEnd w:id="376"/>
      <w:bookmarkEnd w:id="377"/>
      <w:bookmarkEnd w:id="378"/>
      <w:bookmarkEnd w:id="401"/>
    </w:p>
    <w:p>
      <w:pPr>
        <w:widowControl w:val="0"/>
        <w:wordWrap/>
        <w:adjustRightInd/>
        <w:snapToGrid/>
        <w:spacing w:line="560" w:lineRule="exact"/>
        <w:ind w:left="0" w:leftChars="0" w:right="0"/>
        <w:jc w:val="center"/>
        <w:textAlignment w:val="auto"/>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left="0" w:leftChars="0" w:right="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2020年第3号</w:t>
      </w:r>
    </w:p>
    <w:p>
      <w:pPr>
        <w:widowControl w:val="0"/>
        <w:wordWrap/>
        <w:adjustRightInd/>
        <w:snapToGrid/>
        <w:spacing w:line="560" w:lineRule="exact"/>
        <w:ind w:left="0" w:leftChars="0" w:right="0" w:firstLine="560" w:firstLineChars="200"/>
        <w:jc w:val="both"/>
        <w:textAlignment w:val="auto"/>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left="0" w:leftChars="0" w:right="0" w:firstLine="640" w:firstLineChars="200"/>
        <w:jc w:val="both"/>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新型冠状病毒肺炎疫情发生以来，市场监管部门加强价格监督检查和指导，广大经营者恪守商业道德、依法诚信经营，积极组织防疫用品生产、保障销售，与全社会一道众志成城、抗击疫情，保持防疫用品市场价格秩序总体平稳。但也有少数经营者借防疫用品需求激增之机，哄抬口罩等相关商品价格，严重违背商业道德，严重违反价格法律法规。为打赢抗击疫情攻坚战、保护广大群众和合法经营者正当权益，依据《价格法》《价格违法行为行政处罚规定》等法律法规，现就加强口罩、消毒杀菌用品、抗病毒药品及相关医疗器械等防疫用品市场价格监管，维护防疫用品市场价格秩序有关事项公告如下：</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一、凡捏造、散布涨价信息，大量囤积市场供应紧张的防疫用品，大幅度提高销售价格，串通涨价，以及其他违反价格法律法规的行为，各级市场监管部门要依法从严从重从快查处，典型案例及时予以公开曝光。</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二、广大经营者要切实履行社会责任，严格依法经营，合法合理行使自主定价权，严格执行政府依法制定的价格干预措施和紧急措施，做到明码标价、诚信经营。</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三、广大群众积极监督，发现串通涨价、哄抬价格或者其他价格违法行为的，及时拨打12315举报。</w:t>
      </w:r>
    </w:p>
    <w:p>
      <w:pPr>
        <w:widowControl w:val="0"/>
        <w:wordWrap/>
        <w:adjustRightInd/>
        <w:snapToGrid/>
        <w:spacing w:line="560" w:lineRule="exact"/>
        <w:ind w:left="0" w:leftChars="0" w:right="0" w:firstLine="640" w:firstLineChars="200"/>
        <w:jc w:val="lef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四、各地市场监管部门要加强价格监管工作力度，维护好市场秩序。</w:t>
      </w:r>
    </w:p>
    <w:p>
      <w:pPr>
        <w:widowControl w:val="0"/>
        <w:wordWrap/>
        <w:adjustRightInd/>
        <w:snapToGrid/>
        <w:spacing w:line="560" w:lineRule="exact"/>
        <w:ind w:left="0" w:leftChars="0" w:right="0" w:firstLine="5440" w:firstLineChars="1700"/>
        <w:jc w:val="right"/>
        <w:textAlignment w:val="auto"/>
        <w:rPr>
          <w:rFonts w:hint="eastAsia" w:ascii="仿宋" w:hAnsi="仿宋" w:eastAsia="仿宋" w:cs="仿宋"/>
          <w:color w:val="000000"/>
          <w:kern w:val="0"/>
          <w:sz w:val="32"/>
          <w:szCs w:val="32"/>
          <w:lang w:val="en-US" w:eastAsia="zh-CN"/>
        </w:rPr>
      </w:pPr>
    </w:p>
    <w:p>
      <w:pPr>
        <w:widowControl w:val="0"/>
        <w:wordWrap/>
        <w:adjustRightInd/>
        <w:snapToGrid/>
        <w:spacing w:line="560" w:lineRule="exact"/>
        <w:ind w:left="0" w:leftChars="0" w:right="0" w:firstLine="5440" w:firstLineChars="1700"/>
        <w:jc w:val="right"/>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市场监管总局</w:t>
      </w:r>
    </w:p>
    <w:p>
      <w:pPr>
        <w:wordWrap/>
        <w:adjustRightInd/>
        <w:snapToGrid/>
        <w:spacing w:line="560" w:lineRule="exact"/>
        <w:ind w:right="0"/>
        <w:jc w:val="right"/>
        <w:textAlignment w:val="auto"/>
        <w:rPr>
          <w:rFonts w:hint="eastAsia" w:ascii="仿宋" w:hAnsi="仿宋" w:eastAsia="仿宋" w:cs="仿宋"/>
          <w:b w:val="0"/>
          <w:bCs w:val="0"/>
          <w:color w:val="000000"/>
          <w:sz w:val="32"/>
          <w:szCs w:val="32"/>
          <w:lang w:val="en-US" w:eastAsia="zh-CN"/>
        </w:rPr>
      </w:pPr>
      <w:r>
        <w:rPr>
          <w:rFonts w:hint="eastAsia" w:ascii="仿宋" w:hAnsi="仿宋" w:eastAsia="仿宋" w:cs="仿宋"/>
          <w:color w:val="000000"/>
          <w:kern w:val="0"/>
          <w:sz w:val="32"/>
          <w:szCs w:val="32"/>
          <w:lang w:val="en-US" w:eastAsia="zh-CN"/>
        </w:rPr>
        <w:t xml:space="preserve">                        2020年1月25日</w:t>
      </w: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wordWrap/>
        <w:adjustRightInd/>
        <w:snapToGrid/>
        <w:spacing w:line="560" w:lineRule="exact"/>
        <w:ind w:right="0"/>
        <w:jc w:val="center"/>
        <w:textAlignment w:val="auto"/>
        <w:rPr>
          <w:rFonts w:hint="eastAsia" w:ascii="方正小标宋简体" w:hAnsi="方正小标宋简体" w:eastAsia="方正小标宋简体" w:cs="方正小标宋简体"/>
          <w:b w:val="0"/>
          <w:bCs w:val="0"/>
          <w:color w:val="000000"/>
          <w:sz w:val="32"/>
          <w:szCs w:val="32"/>
          <w:lang w:val="en-US" w:eastAsia="zh-CN"/>
        </w:rPr>
      </w:pPr>
    </w:p>
    <w:p>
      <w:pPr>
        <w:rPr>
          <w:rFonts w:hint="eastAsia" w:ascii="Times New Roman" w:hAnsi="Times New Roman" w:eastAsia="宋体" w:cs="Times New Roman"/>
          <w:bCs/>
          <w:kern w:val="44"/>
          <w:sz w:val="44"/>
          <w:szCs w:val="44"/>
          <w:lang w:val="en-US" w:eastAsia="zh-CN" w:bidi="ar-SA"/>
        </w:rPr>
      </w:pPr>
      <w:bookmarkStart w:id="402" w:name="_Toc32727"/>
      <w:bookmarkStart w:id="403" w:name="_Toc15884"/>
      <w:bookmarkStart w:id="404" w:name="_Toc13900"/>
      <w:bookmarkStart w:id="405" w:name="_Toc30728"/>
      <w:bookmarkStart w:id="406" w:name="_Toc2518"/>
      <w:bookmarkStart w:id="407" w:name="_Toc19223"/>
      <w:bookmarkStart w:id="408" w:name="_Toc30613"/>
      <w:bookmarkStart w:id="409" w:name="_Toc4113"/>
      <w:bookmarkStart w:id="410" w:name="_Toc22650"/>
      <w:bookmarkStart w:id="411" w:name="_Toc24631"/>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2" w:name="_Toc31276"/>
      <w:r>
        <w:rPr>
          <w:rFonts w:hint="eastAsia" w:ascii="Times New Roman" w:hAnsi="Times New Roman" w:eastAsia="宋体" w:cs="Times New Roman"/>
          <w:bCs/>
          <w:kern w:val="44"/>
          <w:sz w:val="44"/>
          <w:szCs w:val="44"/>
          <w:lang w:val="en-US" w:eastAsia="zh-CN" w:bidi="ar-SA"/>
        </w:rPr>
        <w:t>市场监管总局关于新型冠状病毒感染肺炎疫情防控期间查处哄抬价格违法行为的指导意见</w:t>
      </w:r>
      <w:bookmarkEnd w:id="412"/>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jc w:val="center"/>
        <w:textAlignment w:val="auto"/>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国市监竞争﹝2020﹞21号</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各省、自治区、直辖市及新疆生产建设兵团市场监督管理局（厅、委）：</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为确保新型冠状病毒感染肺炎疫情（以下简称疫情）防控期间口罩、抗病毒药品、消毒杀菌用品、相关医疗器械等防疫用品以及与群众日常生活相关的粮油肉蛋菜奶等基本民生商品市场价格秩序稳定，强化和规范各级市场监管部门查处哄抬价格违法行为，依照《价格法》《价格违法行为行政处罚规定》等法律法规，现提出如下指导意见：</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一、经营者不得捏造、散布防疫用品、民生商品涨价信息。经营者有捏造或者散布的任意一项行为，即可认定构成《价格违法行为行政处罚规定》第六条第（一）项所规定的哄抬价格违法行为。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二、经营者存在以下情形的，可以认定为捏造涨价信息。</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（一）虚构购进成本的；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（二）虚构本地区货源紧张或者市场需求激增的；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（三）虚构其他经营者已经或者准备提价的；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（四）虚构可能推高防疫用品、民生商品价格预期的其他信息的。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三、经营者存在以下情形的，可以认定为散布涨价信息。</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（一）散布捏造的涨价信息的；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（二）散布的信息虽不属于捏造信息，但使用“严重缺货”“即将全线提价”等紧迫性用语或者诱导性用语，推高价格预期的；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（三）散布言论，号召或者诱导其他经营者提高价格的；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（四）散布可能推高防疫用品、民生商品价格预期的其他信息的。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四、经营者有以下情形之一，可以认定构成《价格违法行为行政处罚规定》第六条第（二）项所规定的哄抬价格违法行为。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（一）生产防疫用品及防疫用品原材料的经营者，不及时将已生产的产品投放市场，经市场监管部门告诫仍继续囤积的；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（二）批发环节经营者，不及时将防疫用品、民生商品流转至消费终端，经市场监管部门告诫仍继续囤积的；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（三）零售环节经营者除为保持经营连续性保留必要库存外，不及时将相关商品对外销售，经市场监管部门告诫仍继续囤积的。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生产环节、批发环节经营者能够证明其出现本条第（一）项、第（二）项情形，属于按照政府或者政府有关部门要求，为防疫需要进行物资储备或者计划调拨的，不构成哄抬价格违法行为。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对于零售领域经营者，市场监管部门已经通过公告、发放提醒告诫书等形式，统一向经营者告诫不得非法囤积的，视为已依法履行告诫程序，可以不再进行告诫，直接认定具有囤积行为的经营者构成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五、经营者出现下列情形之一，可以认定构成《价格违法行为行政处罚规定》第六条第（三）项所规定的哄抬价格违法行为。</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（一）在销售防疫用品过程中，强制搭售其他商品，变相提高防疫用品价格的；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（二）未提高防疫用品或者民生商品价格，但大幅度提高配送费用或者收取其他费用的；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（三）经营者销售同品种商品，超过1月19日前（含当日，下同）最后一次实际交易的进销差价率的；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（四）疫情发生前未实际销售，或者1月19日前实际交易情况无法查证的，经营者在购进成本基础上大幅提高价格对外销售，经市场监管部门告诫，仍不立即改正的。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经营者有本条第（三）项情形，未造成实际危害后果，经市场监管部门告诫立即改正的，可以依法从轻、减轻或者免予处罚。</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本条第（四）项“大幅度提高”，由市场监管部门综合考虑经营者的实际经营状况、主观恶性和违法行为社会危害程度等因素，在案件查办过程中结合实际具体认定。</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六、出现下列情形，对于哄抬价格违法行为，市场监管部门可以按无违法所得论处。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（一）无合法销售或者收费票据的；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（二）隐匿、销毁销售或者收费票据的；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（三）隐瞒销售或收费票据数量、账簿与票据金额不符导致计算违法所得金额无依据的；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（四）实际成交金额过低但违法行为情节恶劣的；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（五）其他违法所得无法准确核定的情形。</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七、出现下列情形，对于无违法所得或者视为无违法所得的哄抬价格违法行为，市场监管部门应当依据《价格违法行为行政处罚规定》第六条规定的情节较重或者情节严重的罚则进行处罚；经营者违法所得能够明确计算的，应当依法从重处罚。</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（一）捏造或者散布疫情扩散、防治方面的虚假信息，引发群众恐慌，进而推高价格预期的；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（二）同时使用多种手段哄抬价格的；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（三）哄抬价格行为持续时间长、影响范围广的；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（四）哄抬价格之外还有其他价格违法行为的；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（五）疫情防控期间，有两次以上哄抬价格违法行为的；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（六）隐匿、毁损相关证据材料或者提供虚假资料的；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（七）拒不配合依法开展的价格监督检查的；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（八）其他应当被认定为情节较重或者情节严重的情形。</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八、经营者违反省级人民政府依法实施的价格干预措施关于限定差价率、利润率或者限价相关规定的，构成不执行价格干预措施的违法行为，不按哄抬价格违法行为进行查处。</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九、市场监管部门发现经营者哄抬价格违法行为构成犯罪的，应当依法移送公安机关。</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十、各省 、自治区、直辖市市场监管部门可根据本意见，报经省级人民政府同意，出台认定哄抬价格违法行为的具体标准以及依法简化相关执法程序的细化措施，并向市场监管总局（价监竞争局）备案。在本意见出台前，省级市场监管部门或者其他有关部门经省级人民政府同意，已经就认定哄抬价格违法行为作出具体规定的，继续执行。</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十一、国家有关部门宣布疫情结束之日起，本意见自动停止实施。</w:t>
      </w:r>
    </w:p>
    <w:p>
      <w:pPr>
        <w:widowControl w:val="0"/>
        <w:wordWrap/>
        <w:adjustRightInd/>
        <w:snapToGrid/>
        <w:spacing w:line="560" w:lineRule="exact"/>
        <w:ind w:right="0" w:firstLine="0" w:firstLineChars="0"/>
        <w:jc w:val="both"/>
        <w:textAlignment w:val="auto"/>
        <w:outlineLvl w:val="9"/>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firstLine="0" w:firstLineChars="0"/>
        <w:jc w:val="right"/>
        <w:textAlignment w:val="auto"/>
        <w:outlineLvl w:val="9"/>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firstLine="0" w:firstLineChars="0"/>
        <w:jc w:val="right"/>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市场监管总局</w:t>
      </w:r>
    </w:p>
    <w:p>
      <w:pPr>
        <w:widowControl w:val="0"/>
        <w:wordWrap/>
        <w:adjustRightInd/>
        <w:snapToGrid/>
        <w:spacing w:line="560" w:lineRule="exact"/>
        <w:ind w:right="0" w:firstLine="0" w:firstLineChars="0"/>
        <w:jc w:val="right"/>
        <w:textAlignment w:val="auto"/>
        <w:outlineLvl w:val="9"/>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2020年2月1日</w:t>
      </w:r>
    </w:p>
    <w:p>
      <w:pPr>
        <w:widowControl w:val="0"/>
        <w:wordWrap/>
        <w:adjustRightInd/>
        <w:snapToGrid/>
        <w:spacing w:line="560" w:lineRule="exact"/>
        <w:ind w:right="0" w:firstLine="640" w:firstLineChars="200"/>
        <w:jc w:val="both"/>
        <w:textAlignment w:val="auto"/>
        <w:outlineLvl w:val="9"/>
        <w:rPr>
          <w:rFonts w:hint="eastAsia" w:ascii="仿宋" w:hAnsi="仿宋" w:eastAsia="仿宋" w:cs="仿宋"/>
          <w:color w:val="auto"/>
          <w:kern w:val="0"/>
          <w:sz w:val="32"/>
          <w:szCs w:val="32"/>
          <w:lang w:val="en-US" w:eastAsia="zh-CN"/>
        </w:rPr>
      </w:pP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auto"/>
          <w:kern w:val="0"/>
          <w:sz w:val="32"/>
          <w:szCs w:val="32"/>
          <w:lang w:val="en-US" w:eastAsia="zh-CN"/>
        </w:rPr>
      </w:pPr>
    </w:p>
    <w:p>
      <w:pPr>
        <w:rPr>
          <w:rFonts w:hint="eastAsia" w:ascii="Times New Roman" w:hAnsi="Times New Roman" w:eastAsia="宋体" w:cs="Times New Roman"/>
          <w:bCs/>
          <w:color w:val="auto"/>
          <w:kern w:val="44"/>
          <w:sz w:val="44"/>
          <w:szCs w:val="44"/>
          <w:lang w:val="en-US" w:eastAsia="zh-CN" w:bidi="ar-SA"/>
        </w:rPr>
      </w:pPr>
    </w:p>
    <w:p>
      <w:pPr>
        <w:rPr>
          <w:rFonts w:hint="eastAsia" w:ascii="Times New Roman" w:hAnsi="Times New Roman" w:eastAsia="宋体" w:cs="Times New Roman"/>
          <w:bCs/>
          <w:color w:val="auto"/>
          <w:kern w:val="44"/>
          <w:sz w:val="44"/>
          <w:szCs w:val="44"/>
          <w:lang w:val="en-US" w:eastAsia="zh-CN" w:bidi="ar-SA"/>
        </w:rPr>
      </w:pPr>
      <w:r>
        <w:rPr>
          <w:rFonts w:hint="eastAsia" w:ascii="Times New Roman" w:hAnsi="Times New Roman" w:eastAsia="宋体" w:cs="Times New Roman"/>
          <w:bCs/>
          <w:color w:val="auto"/>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3" w:name="_Toc31680"/>
      <w:r>
        <w:rPr>
          <w:rFonts w:hint="eastAsia" w:ascii="Times New Roman" w:hAnsi="Times New Roman" w:eastAsia="宋体" w:cs="Times New Roman"/>
          <w:bCs/>
          <w:kern w:val="44"/>
          <w:sz w:val="44"/>
          <w:szCs w:val="44"/>
          <w:lang w:val="en-US" w:eastAsia="zh-CN" w:bidi="ar-SA"/>
        </w:rPr>
        <w:t>国家药监局关于严厉打击制售假劣药品医疗器械违法行为切实保障新型冠状病毒感染肺炎疫情防控药品医疗器械安全的通知</w:t>
      </w:r>
      <w:bookmarkEnd w:id="413"/>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auto"/>
          <w:kern w:val="0"/>
          <w:sz w:val="32"/>
          <w:szCs w:val="32"/>
          <w:lang w:val="en-US" w:eastAsia="zh-CN"/>
        </w:rPr>
      </w:pPr>
      <w:r>
        <w:rPr>
          <w:rFonts w:hint="eastAsia" w:ascii="楷体" w:hAnsi="楷体" w:eastAsia="楷体" w:cs="楷体"/>
          <w:color w:val="auto"/>
          <w:kern w:val="0"/>
          <w:sz w:val="32"/>
          <w:szCs w:val="32"/>
          <w:lang w:val="en-US" w:eastAsia="zh-CN"/>
        </w:rPr>
        <w:t>国药监法〔2020〕3号</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各省、自治区、直辖市药品监督管理局，新疆生产建设兵团药品监督管理局：</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新型冠状病毒感染肺炎疫情发生以来，在党中央国务院坚强领导下，各地各部门和社会各界众志成城，全力奋战，防控工作有力有序开展。2月3日，中共中央政治局常务委员会召开会议，研究加强疫情防控工作，习近平总书记发表重要讲话，就下一步疫情防控工作作出部署安排，并明确指出，要严厉打击制售假劣药品、医疗器械、医用卫生材料等违法犯罪行为。为切实落实总书记要求和中央政治局常委会会议精神，保障疫情防控所需药品、医疗器械产品安全，有效维护医务工作者和患者合法权益，现就加强疫情防控期间监管执法，严厉打击制售假劣药品医疗器械违法行为通知如下：</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一、统一思想认识，坚决落实党中央要求</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做好疫情防控工作直接关系人民生命安全和身体健康，直接关系经济发展、社会稳定和改革开放大局。党中央高度重视，多次召开会议进行专题研究部署，习近平总书记就疫情防控工作作出重要批示指示，提出明确要求。确保疫情防控所需药品医疗器械质量安全，是落实习近平总书记“把落实工作抓实抓细”重要指示的要求，是各级药品监管部门义不容辞的责任，是打赢疫情防控阻击战的重要保障。各地要把加强药品医疗器械领域监管执法作为落实中共中央《关于加强党的领导、为打赢疫情防控阻击战提供坚强政治保证的通知》的重要任务和当前最重要的工作，切实增强“四个意识”</w:t>
      </w:r>
      <w:r>
        <w:rPr>
          <w:rFonts w:hint="eastAsia" w:ascii="仿宋_GB2312" w:hAnsi="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lang w:val="en-US" w:eastAsia="zh-CN"/>
        </w:rPr>
        <w:t>坚定“四个自信”</w:t>
      </w:r>
      <w:r>
        <w:rPr>
          <w:rFonts w:hint="eastAsia" w:ascii="仿宋_GB2312" w:hAnsi="仿宋_GB2312" w:cs="仿宋_GB2312"/>
          <w:color w:val="000000"/>
          <w:kern w:val="0"/>
          <w:sz w:val="32"/>
          <w:szCs w:val="32"/>
          <w:lang w:val="en-US" w:eastAsia="zh-CN"/>
        </w:rPr>
        <w:t>、</w:t>
      </w:r>
      <w:r>
        <w:rPr>
          <w:rFonts w:hint="eastAsia" w:ascii="仿宋_GB2312" w:hAnsi="仿宋_GB2312" w:eastAsia="仿宋_GB2312" w:cs="仿宋_GB2312"/>
          <w:color w:val="000000"/>
          <w:kern w:val="0"/>
          <w:sz w:val="32"/>
          <w:szCs w:val="32"/>
          <w:lang w:val="en-US" w:eastAsia="zh-CN"/>
        </w:rPr>
        <w:t>做到“两个维护”，认真贯彻落实党中央决策部署，进一步强化监督检查和案件查办工作，严厉打击各类违法犯罪行为，切实维护疫情防控期间药品医疗器械市场秩序。</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二、突出重点产品，加大监督检查力度</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对国务院规定的疫情防控重点物资中的药品、新型冠状病毒感染的肺炎诊疗方案中的药品及疫情防控相关的其他药品，医用防护服、医用口罩及相关诊断试剂、呼吸机等医疗器械，切实加大监督检查力度。对生产企业重点加强药品和医疗器械生产质量管理规范执行情况的监督检查，督促落实全过程合规的主体责任和严格出厂检验与放行的各项要求。对经营企业重点检查药品医疗器械的注册证明文件、进货渠道、储运条件，督促严格落实从合法渠道购入药品医疗器械，按照法规规定和说明书要求储存运输，督促零售企业执业药师履行处方审核和用药指导责任，对购买抗病毒类、抗生素类药品的顾客进行科学引导，防止盲目抢购和囤积。强化药品、医疗器械网络销售的监管，督促相关企业严格质量管理，确保网售药品、医疗器械可追溯。严格监督网络销售第三方服务平台切实履行责任，加强对入驻药品医疗器械网络销售企业的登记核查和信息发布的审核。</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要加强对疫情防控所需药品和医疗器械的抽查检验力度，发现可能危害人体健康的药品、不符合法定要求的医疗器械，要立即采取依法查封扣押等措施，第一时间控制问题产品，严防继续流入市场造成危害。</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　三、发挥协同优势，加强联合执法</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要充分发挥联防联控机制作用，进一步加强部门联动和区域协作。各级药品监督管理部门要与公安、市场监管等部门密切沟通协作，依法联合打击药品医疗器械领域违法犯罪行为。检查中发现疫情防控药品涉嫌垄断、虚假广告等违法行为的，要及时移交市场监管部门查处。要加大线上线下检查巡查力度，协调配合网络监管部门及时做好违法网站关闭等工作。要加强与公安机关的协作，形成打击合力，坚决捣毁非法生产窝点，摧毁非法销售链条，依法严惩犯罪分子。对阻碍执法、拒不配合等违法行为，协调公安部门依法处理。要强化行政执法与刑事司法的衔接，涉嫌犯罪的，及时依法移送公安机关追究刑事责任。对跨区域的案件，要协调合作依法查办，涉及疫情防控的药品医疗器械案件，协查部门要快速核实，及时回复，不得拖延。</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四、狠抓案件查办，严惩重处各类违法行为</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严格落实“四个最严”要求，对疫情防控期间各类违法行为，要依照《药品管理法》《医疗器械监督管理条例》等法律法规规定，从严从重从快查处，做到利剑高悬、以儆效尤。药品领域重点查处生产销售标明的适应症或者功能主治超出规定范围的药品以及过期药品等假药、劣药和生产销售未取得药品批准证明文件的药品等违法行为。医疗器械领域重点查处以普通或者工业用防尘口罩冒充医用口罩、回收利用过期失效或者已使用医用口罩等非法制售医用口罩、医用防护服等防护产品，以及生产销售未经注册、不符合国家强制性标准或者产品技术要求的医疗器械等违法行为。</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要充分发挥投诉举报、监督检查、互联网监测、部门通报等渠道的作用，广泛收集线索，周密筹划，及时查处。对排查出的假劣药和其他案件线索，要及时做好取证、产品定性等工作，为深挖窝点奠定基础。发现标明的适应症或者功能主治超出规定范围的药品、过期药品、未标明或者更改有效期、产品批号的药品以及其他有充分证据证明其为假药或者劣药的，无需送药品检验机构检验，依法直接立案查处；涉嫌犯罪的，依法及时移送公安机关。</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对防控期间查处的各类违法案件，要依法及时向社会公布。对牵涉面广，可能涉及系统性、区域性风险，或者敏感性强、易被舆论炒作的重大涉案事项，要及时协调沟通，进行风险分析，必要时按规定报告上级机关。发布重大案件信息前，要按程序通报相关部门；联合督办的重大案件的信息发布，要商联合督办部门同意。案件查办过程中涉及重大药品安全事件等需要由国家或者省统一发布的药品安全信息的，应当按规定及时报告上级机关并通报相关部门。</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黑体" w:hAnsi="黑体" w:eastAsia="黑体" w:cs="黑体"/>
          <w:color w:val="000000"/>
          <w:kern w:val="0"/>
          <w:sz w:val="32"/>
          <w:szCs w:val="32"/>
          <w:lang w:val="en-US" w:eastAsia="zh-CN"/>
        </w:rPr>
        <w:t>　五、加强组织保障，严格责任追究</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各级药品监管部门要把新型冠状病毒感染的肺炎疫情防控作为当前重大政治任务来抓，切实加强组织领导，明确任务分工，逐级落实责任。要引导和激励广大党员干部坚决贯彻党中央国务院部署，主要领导干部要靠前指挥，身先士卒，切实履行岗位职责。要坚决反对形式主义、官僚主义，进一步加强监管执法队伍建设，强化技术支撑，做好后勤保障，将监管干部更多的部署在监管执法第一线，让基层干部把更多精力投入到疫情防控第一线。要注重在疫情防控第一线考察、识别、评价、使用干部，把党员干部在疫情防控期间的实际表现作为考察其政治素质、宗旨意识、全局观念、驾驭能力、担当精神的重要内容，对表现突出的干部及时予以表彰。要严肃纪律，严格责任追究，对不敢担当、作风飘浮、履职不力的，除追究直接责任人责任外，情节严重的还要对主要领导进行问责；失职渎职的，要依法依纪严肃查处。</w:t>
      </w:r>
    </w:p>
    <w:p>
      <w:pPr>
        <w:widowControl w:val="0"/>
        <w:wordWrap/>
        <w:adjustRightInd/>
        <w:snapToGrid/>
        <w:spacing w:line="560" w:lineRule="exact"/>
        <w:ind w:right="0" w:firstLine="0" w:firstLineChars="0"/>
        <w:jc w:val="both"/>
        <w:textAlignment w:val="auto"/>
        <w:outlineLvl w:val="9"/>
        <w:rPr>
          <w:rFonts w:hint="eastAsia" w:ascii="仿宋_GB2312" w:hAnsi="仿宋_GB2312" w:eastAsia="仿宋_GB2312" w:cs="仿宋_GB2312"/>
          <w:color w:val="000000"/>
          <w:kern w:val="0"/>
          <w:sz w:val="32"/>
          <w:szCs w:val="32"/>
          <w:lang w:val="en-US" w:eastAsia="zh-CN"/>
        </w:rPr>
      </w:pPr>
    </w:p>
    <w:p>
      <w:pPr>
        <w:pStyle w:val="7"/>
        <w:rPr>
          <w:rFonts w:hint="eastAsia" w:ascii="仿宋_GB2312" w:hAnsi="仿宋_GB2312" w:eastAsia="仿宋_GB2312" w:cs="仿宋_GB2312"/>
          <w:color w:val="000000"/>
          <w:kern w:val="0"/>
          <w:sz w:val="32"/>
          <w:szCs w:val="32"/>
          <w:lang w:val="en-US" w:eastAsia="zh-CN"/>
        </w:rPr>
      </w:pPr>
    </w:p>
    <w:p>
      <w:pPr>
        <w:pStyle w:val="7"/>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国家药监局</w:t>
      </w:r>
    </w:p>
    <w:p>
      <w:pPr>
        <w:widowControl w:val="0"/>
        <w:wordWrap/>
        <w:adjustRightInd/>
        <w:snapToGrid/>
        <w:spacing w:line="560" w:lineRule="exact"/>
        <w:ind w:right="0" w:firstLine="0" w:firstLineChars="0"/>
        <w:jc w:val="right"/>
        <w:textAlignment w:val="auto"/>
        <w:outlineLvl w:val="9"/>
        <w:rPr>
          <w:rFonts w:hint="eastAsia" w:ascii="Times New Roman" w:hAnsi="Times New Roman" w:eastAsia="宋体" w:cs="Times New Roman"/>
          <w:bCs/>
          <w:kern w:val="44"/>
          <w:sz w:val="44"/>
          <w:szCs w:val="44"/>
          <w:lang w:val="en-US" w:eastAsia="zh-CN" w:bidi="ar-SA"/>
        </w:rPr>
      </w:pPr>
      <w:r>
        <w:rPr>
          <w:rFonts w:hint="eastAsia" w:ascii="仿宋_GB2312" w:hAnsi="仿宋_GB2312" w:eastAsia="仿宋_GB2312" w:cs="仿宋_GB2312"/>
          <w:color w:val="000000"/>
          <w:kern w:val="0"/>
          <w:sz w:val="32"/>
          <w:szCs w:val="32"/>
          <w:lang w:val="en-US" w:eastAsia="zh-CN"/>
        </w:rPr>
        <w:t>2020年2月4日</w:t>
      </w:r>
    </w:p>
    <w:p>
      <w:pPr>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4" w:name="_Toc8492"/>
      <w:r>
        <w:rPr>
          <w:rFonts w:hint="eastAsia" w:ascii="Times New Roman" w:hAnsi="Times New Roman" w:eastAsia="宋体" w:cs="Times New Roman"/>
          <w:bCs/>
          <w:kern w:val="44"/>
          <w:sz w:val="44"/>
          <w:szCs w:val="44"/>
          <w:lang w:val="en-US" w:eastAsia="zh-CN" w:bidi="ar-SA"/>
        </w:rPr>
        <w:t>市场监管总局关于疫情防控期间严厉打击口罩等防控物资生产领域价格违法行为的紧急通知</w:t>
      </w:r>
      <w:bookmarkEnd w:id="414"/>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auto"/>
          <w:kern w:val="0"/>
          <w:sz w:val="32"/>
          <w:szCs w:val="32"/>
          <w:lang w:val="en-US" w:eastAsia="zh-CN"/>
        </w:rPr>
      </w:pPr>
      <w:r>
        <w:rPr>
          <w:rFonts w:hint="eastAsia" w:ascii="楷体" w:hAnsi="楷体" w:eastAsia="楷体" w:cs="楷体"/>
          <w:color w:val="auto"/>
          <w:kern w:val="0"/>
          <w:sz w:val="32"/>
          <w:szCs w:val="32"/>
          <w:lang w:val="en-US" w:eastAsia="zh-CN"/>
        </w:rPr>
        <w:t>国市监竞争﹝2020﹞24号</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各省、自治区、直辖市及计划单列市、副省级城市、新疆生产建设兵团市场监管局（厅、委）：</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为进一步加强口罩等防控物资生产领域价格监管、严厉打击该领域价格违法行为，维护市场价格秩序、保障防控物资供应，现就有关事项通知如下：</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一、提高政治站位，坚决贯彻落实习近平总书记重要指示批示精神</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当前，全国各地、各行业、各领域都在贯彻落实党中央决策部署，把疫情防控工作作为当前最重要的工作来抓，按照坚定信心、同舟共济、科学防治、精准施策的要求，不断找差距、补短板，扎实做好各项防控工作，坚决打赢疫情防控阻击战。各级市场监管部门要在党委、政府领导下，不断增强大局观念和全局意识，坚决贯彻落实习近平总书记重要指示批示精神，充分认识做好防控物资保供稳价工作的极端重要性和万分紧迫性，坚决服从中央应对疫情工作领导小组及国务院联防联控机制安排，扎实履行市场监管职责，积极支持增产扩能，全力保障口罩等防控物资生产供应，坚决维护市场价格秩序。</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二、突出工作重点，全面加强口罩等防控物资生产领域市场价格监管</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一）摸清底数，加快排查，切实提高口罩等防控物资生产领域价格监管工作针对性和有效性。各级市场监管部门要主动与有关部门、行业协会和企业加强沟通协调，加强调查研究，摸清辖区口罩等防控物资生产设备和原辅材料供应企业等基本情况，做到底数清、情况明，为提高价格监管效率筑牢基础。</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二）依法从重从严从快，严厉打击口罩等防控物资生产领域价格违法行为。各级市场监管部门不仅要加强口罩等防控物资销售环节的价格监管，还要加强生产设备和原辅材料供应全链条价格行为监管，加大执法力度，按照《市场监管总局关于新型冠状病毒感染肺炎疫情防控期间查处哄抬价格违法行为的指导意见》（国市监竞争〔2020〕21号）要求尽快作出处罚，做到露头就打，绝不姑息。相关案例及时报总局，总局将在全国范围进一步加大公开曝光力度，形成震慑。</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三）积极倡议，引导企业主动承担社会责任参与社会共治。各级市场监管部门在严格执法过程中要秉持宽严相济的原则，引导辖区口罩等防控物资生产设备和原辅材料供应企业加强自律，依法合规经营，积极参与总局开展的“保价格、保质量、保供应”系列行动，主动向社会作出承诺，在疫情防控期间全力支援防疫工作，做到价格不涨、质量不降、供应不断，自觉接受社会监督，发挥社会共治积极作用。</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三、明确责任分工，确保口罩等防控物资生产领域价格监管取得实效</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一）强化组织领导，迅速部署行动。各级市场监管部门要迅速行动起来，把打击口罩等防控物资生产领域价格违法行为、加强防控物资市场价格监管纳入全国市场监管系统疫情防控工作总体部署，研究制定细化措施和行动方案，组织精干力量全面加大执法力度。</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二）加强协同联动，提升工作合力。各级市场监管部门加强监管执法的同时，也要注重发挥职能优势，上下联动、各方协同、形成合力，在服务口罩等防控物资生产、供应方面主动担当作为，对新增产能的市场准入要特事特办、开通绿色通道，确保企业尽快开工生产。要灵活运用行政指导、行政约谈、提醒告诫等手段，督促企业守法诚信经营。要强化质量抽查结果运用，与价格监管同等发力，助力保供。各级市场监管部门对同一企业的监管要加强统筹，科学合理整合开展，减少对企业正常生产经营秩序的干预。</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　　各级市场监管部门要统一思想，充分认识口罩等防控物资生产领域保供稳价工作的重要性，增强使命感和责任担当，按通知要求切实做好本职工作，用实际行动增强人民群众夺取抗击疫情胜利的信心和决心。</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auto"/>
          <w:kern w:val="0"/>
          <w:sz w:val="32"/>
          <w:szCs w:val="32"/>
          <w:lang w:val="en-US" w:eastAsia="zh-CN"/>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市场监管总局</w:t>
      </w: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2020年2月5日</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i w:val="0"/>
          <w:caps w:val="0"/>
          <w:color w:val="333333"/>
          <w:spacing w:val="0"/>
          <w:sz w:val="44"/>
          <w:szCs w:val="44"/>
        </w:rPr>
      </w:pPr>
      <w:bookmarkStart w:id="415" w:name="_Toc3041"/>
      <w:r>
        <w:rPr>
          <w:rFonts w:hint="eastAsia" w:ascii="宋体" w:hAnsi="宋体" w:eastAsia="宋体" w:cs="宋体"/>
          <w:i w:val="0"/>
          <w:caps w:val="0"/>
          <w:color w:val="333333"/>
          <w:spacing w:val="-11"/>
          <w:kern w:val="0"/>
          <w:sz w:val="44"/>
          <w:szCs w:val="44"/>
          <w:shd w:val="clear" w:color="080000" w:fill="FFFFFF"/>
          <w:lang w:val="en-US" w:eastAsia="zh-CN"/>
        </w:rPr>
        <w:t>市场监管总局 农业农村部 国家林草局</w:t>
      </w:r>
      <w:bookmarkEnd w:id="415"/>
    </w:p>
    <w:p>
      <w:pPr>
        <w:widowControl/>
        <w:pBdr>
          <w:top w:val="none" w:color="auto" w:sz="0" w:space="0"/>
          <w:left w:val="none" w:color="auto" w:sz="0" w:space="0"/>
          <w:bottom w:val="none" w:color="auto" w:sz="0" w:space="0"/>
          <w:right w:val="none" w:color="auto" w:sz="0" w:space="0"/>
        </w:pBdr>
        <w:shd w:val="clear" w:color="06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i w:val="0"/>
          <w:caps w:val="0"/>
          <w:color w:val="333333"/>
          <w:spacing w:val="0"/>
          <w:sz w:val="44"/>
          <w:szCs w:val="44"/>
        </w:rPr>
      </w:pPr>
      <w:bookmarkStart w:id="416" w:name="_Toc28295"/>
      <w:r>
        <w:rPr>
          <w:rFonts w:hint="eastAsia" w:ascii="宋体" w:hAnsi="宋体" w:eastAsia="宋体" w:cs="宋体"/>
          <w:i w:val="0"/>
          <w:caps w:val="0"/>
          <w:color w:val="333333"/>
          <w:spacing w:val="0"/>
          <w:kern w:val="0"/>
          <w:sz w:val="44"/>
          <w:szCs w:val="44"/>
          <w:shd w:val="clear" w:color="080000" w:fill="FFFFFF"/>
          <w:lang w:val="en-US" w:eastAsia="zh-CN"/>
        </w:rPr>
        <w:t>关于加强野生动物市场监管 积极做好疫情防控工作的紧急通知</w:t>
      </w:r>
      <w:bookmarkEnd w:id="416"/>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楷体" w:hAnsi="楷体" w:eastAsia="楷体" w:cs="楷体"/>
          <w:sz w:val="32"/>
          <w:szCs w:val="32"/>
        </w:rPr>
      </w:pPr>
      <w:r>
        <w:rPr>
          <w:rFonts w:hint="eastAsia" w:ascii="楷体" w:hAnsi="楷体" w:eastAsia="楷体" w:cs="楷体"/>
          <w:i w:val="0"/>
          <w:caps w:val="0"/>
          <w:color w:val="333333"/>
          <w:spacing w:val="0"/>
          <w:sz w:val="32"/>
          <w:szCs w:val="32"/>
          <w:shd w:val="clear" w:color="070000" w:fill="FFFFFF"/>
        </w:rPr>
        <w:t>国市监明电〔2020〕2号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各省、自治区、直辖市及新疆生产建设兵团市场监管局（厅、委）、农业农村（农牧）厅（局、委）、林草主管部门：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近期，湖北省武汉市等多个地区发生新型冠状病毒感染的肺炎疫情。党中央、国务院高度重视，习近平总书记作出重要指示，李克强总理作出批示。按照国务院常务会议、国务院联防联控机制电视电话会议和联防联控机制会议精神，现就加强野生动物市场监管，做好疫情防控工作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一、切实增强疫情防控工作的责任感使命感。各地各部门要把人民群众生命安全和身体健康放在第一位，充分认识当前加强野生动物市场监管的重要性，在当地党委、政府的统一领导下，积极发挥各自职能作用，研究制定针对性强的具体措施，全力以赴做好市场监管工作，切实维护人民群众生命健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二、加强重点环节重点场所监管。各地林草、农业农村和市场监管部门要依照《野生动物保护法》规定和职责分工，突出饲养、繁育、运输、出售、购买等环节，加强检验检疫力度，对竹鼠、獾等可能携带新型冠状病毒的野生动物，在其饲养繁育场所实施封控隔离，严禁对外扩散，禁止转运贩卖。对其他未经检疫合格的野生动物，一律严禁进入市场。突出农贸市场、超市、餐饮等重点场所以及网站，开展联合检查，加强隐患排查，严厉打击野生动物违法违规交易，涉嫌犯罪的，及时移送司法机关。各地要根据实际情况，及时调整优化需要重点监管的环节和场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三、武汉市相关部门要在当地党委、政府的领导下，加强农（集）贸市场、超市、餐饮等各类野生动物经营场所的整治，严格落实野生动物交易市场关闭措施，严禁野生动物交易，严禁野生动物转运贩卖进出武汉市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四、加强科普宣传，倡导健康饮食。各相关部门要大力宣传非法经营野生动物的法律后果，增强经营者法律意识。要加强食用野生动物健康风险提示，增强消费者自我保护意识，为强化野生动物市场监管和疫情防控营造良好氛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五、各地各部门根据联防联控机制的具体安排，密切协作配合，加强值班值守，形成监管合力，要及时处置群众投诉举报，提高整体防控效果。监管执法人员在工作中要做好自身安全防范。工作中遇到重大紧急情况，及时报告当地党委、政府和上级部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both"/>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both"/>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right"/>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　　　市场监管总局    农业农村部　　国家林草局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right"/>
        <w:textAlignment w:val="auto"/>
        <w:rPr>
          <w:rFonts w:hint="eastAsia" w:ascii="仿宋" w:hAnsi="仿宋" w:eastAsia="仿宋" w:cs="仿宋"/>
          <w:sz w:val="32"/>
          <w:szCs w:val="32"/>
        </w:rPr>
      </w:pPr>
      <w:r>
        <w:rPr>
          <w:rFonts w:hint="eastAsia" w:ascii="仿宋" w:hAnsi="仿宋" w:eastAsia="仿宋" w:cs="仿宋"/>
          <w:i w:val="0"/>
          <w:caps w:val="0"/>
          <w:color w:val="333333"/>
          <w:spacing w:val="0"/>
          <w:sz w:val="32"/>
          <w:szCs w:val="32"/>
          <w:shd w:val="clear" w:color="070000" w:fill="FFFFFF"/>
        </w:rPr>
        <w:t>2020年1月21日  </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7" w:name="_Toc822"/>
      <w:r>
        <w:rPr>
          <w:rFonts w:hint="eastAsia" w:ascii="Times New Roman" w:hAnsi="Times New Roman" w:eastAsia="宋体" w:cs="Times New Roman"/>
          <w:bCs/>
          <w:kern w:val="44"/>
          <w:sz w:val="44"/>
          <w:szCs w:val="44"/>
          <w:lang w:val="en-US" w:eastAsia="zh-CN" w:bidi="ar-SA"/>
        </w:rPr>
        <w:t>市场监管总局 农业农村部 国家林草局</w:t>
      </w:r>
      <w:bookmarkEnd w:id="417"/>
      <w:r>
        <w:rPr>
          <w:rFonts w:hint="eastAsia" w:ascii="Times New Roman" w:hAnsi="Times New Roman" w:eastAsia="宋体" w:cs="Times New Roman"/>
          <w:bCs/>
          <w:kern w:val="44"/>
          <w:sz w:val="44"/>
          <w:szCs w:val="44"/>
          <w:lang w:val="en-US" w:eastAsia="zh-CN" w:bidi="ar-SA"/>
        </w:rPr>
        <w:t xml:space="preserve"> </w:t>
      </w:r>
    </w:p>
    <w:p>
      <w:pPr>
        <w:keepNext/>
        <w:keepLines/>
        <w:widowControl w:val="0"/>
        <w:wordWrap/>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18" w:name="_Toc24692"/>
      <w:r>
        <w:rPr>
          <w:rFonts w:hint="eastAsia" w:ascii="Times New Roman" w:hAnsi="Times New Roman" w:eastAsia="宋体" w:cs="Times New Roman"/>
          <w:bCs/>
          <w:kern w:val="44"/>
          <w:sz w:val="44"/>
          <w:szCs w:val="44"/>
          <w:lang w:val="en-US" w:eastAsia="zh-CN" w:bidi="ar-SA"/>
        </w:rPr>
        <w:t>关于禁止野生动物交易的公告</w:t>
      </w:r>
      <w:bookmarkEnd w:id="402"/>
      <w:bookmarkEnd w:id="403"/>
      <w:bookmarkEnd w:id="404"/>
      <w:bookmarkEnd w:id="405"/>
      <w:bookmarkEnd w:id="406"/>
      <w:bookmarkEnd w:id="407"/>
      <w:bookmarkEnd w:id="408"/>
      <w:bookmarkEnd w:id="409"/>
      <w:bookmarkEnd w:id="410"/>
      <w:bookmarkEnd w:id="411"/>
      <w:bookmarkEnd w:id="418"/>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2020年第4号</w:t>
      </w:r>
    </w:p>
    <w:p>
      <w:pPr>
        <w:widowControl w:val="0"/>
        <w:wordWrap/>
        <w:adjustRightInd/>
        <w:snapToGrid/>
        <w:spacing w:line="560" w:lineRule="exact"/>
        <w:ind w:right="0" w:firstLine="560" w:firstLineChars="200"/>
        <w:jc w:val="both"/>
        <w:textAlignment w:val="auto"/>
        <w:outlineLvl w:val="9"/>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为严防新型冠状病毒感染的肺炎疫情，阻断可能的传染源和传播途径，市场监管总局、农业农村部、国家林草局决定，自本公告发布之日起至全国疫情解除期间，禁止野生动物交易活动。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一、各地饲养繁育野生动物场所实施隔离，严禁野生动物对外扩散和转运贩卖。</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二、各地农（集）贸市场、超市、餐饮单位、电商平台等经营场所，严禁任何形式的野生动物交易活动。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三、社会各界发现违法违规交易野生动物的，可通过 12315 热线或平台举报。</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四、各地各相关部门要加强检查，发现有违反本公告规定的，要依法依规严肃查处，对经营者、经营场所分别予以停业整顿、查封，涉嫌犯罪的，移送公安机关。</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五、消费者要充分认识食用野生动物的健康风险，远离“野味”，健康饮食。</w:t>
      </w:r>
    </w:p>
    <w:p>
      <w:pPr>
        <w:widowControl w:val="0"/>
        <w:wordWrap/>
        <w:spacing w:before="0" w:line="560" w:lineRule="exact"/>
        <w:jc w:val="both"/>
        <w:textAlignment w:val="auto"/>
        <w:rPr>
          <w:rFonts w:hint="eastAsia" w:ascii="仿宋_GB2312" w:hAnsi="仿宋_GB2312" w:eastAsia="仿宋_GB2312" w:cs="仿宋_GB2312"/>
          <w:color w:val="000000"/>
          <w:kern w:val="0"/>
          <w:sz w:val="32"/>
          <w:szCs w:val="32"/>
          <w:lang w:val="en-US" w:eastAsia="zh-CN" w:bidi="ar-SA"/>
        </w:rPr>
      </w:pPr>
    </w:p>
    <w:p>
      <w:pPr>
        <w:widowControl w:val="0"/>
        <w:wordWrap/>
        <w:spacing w:before="0" w:line="560" w:lineRule="exact"/>
        <w:jc w:val="both"/>
        <w:textAlignment w:val="auto"/>
        <w:rPr>
          <w:rFonts w:hint="eastAsia" w:ascii="仿宋_GB2312" w:hAnsi="仿宋_GB2312" w:eastAsia="仿宋_GB2312" w:cs="仿宋_GB2312"/>
          <w:color w:val="000000"/>
          <w:kern w:val="0"/>
          <w:sz w:val="32"/>
          <w:szCs w:val="32"/>
          <w:lang w:val="en-US" w:eastAsia="zh-CN" w:bidi="ar-SA"/>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市场监管总局 农业农村部 国家林草局 </w:t>
      </w:r>
    </w:p>
    <w:p>
      <w:pPr>
        <w:widowControl w:val="0"/>
        <w:wordWrap/>
        <w:adjustRightInd/>
        <w:snapToGrid/>
        <w:spacing w:line="560" w:lineRule="exact"/>
        <w:ind w:right="0" w:firstLine="4800" w:firstLineChars="150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2020年1月26日</w:t>
      </w:r>
    </w:p>
    <w:p>
      <w:pPr>
        <w:rPr>
          <w:rFonts w:hint="eastAsia" w:ascii="宋体" w:hAnsi="宋体" w:eastAsia="宋体" w:cs="Arial"/>
          <w:bCs/>
          <w:sz w:val="44"/>
          <w:szCs w:val="44"/>
          <w:lang w:val="en-US" w:eastAsia="zh-CN"/>
        </w:rPr>
      </w:pPr>
      <w:r>
        <w:rPr>
          <w:rFonts w:hint="eastAsia" w:ascii="宋体" w:hAnsi="宋体" w:eastAsia="宋体" w:cs="Arial"/>
          <w:bCs/>
          <w:sz w:val="44"/>
          <w:szCs w:val="44"/>
          <w:lang w:val="en-US" w:eastAsia="zh-CN"/>
        </w:rPr>
        <w:br w:type="page"/>
      </w:r>
    </w:p>
    <w:p>
      <w:pPr>
        <w:pStyle w:val="4"/>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000000"/>
          <w:spacing w:val="0"/>
          <w:sz w:val="44"/>
          <w:szCs w:val="44"/>
        </w:rPr>
      </w:pPr>
      <w:bookmarkStart w:id="419" w:name="_Toc17232"/>
      <w:r>
        <w:rPr>
          <w:rFonts w:hint="eastAsia" w:ascii="宋体" w:hAnsi="宋体" w:eastAsia="宋体" w:cs="宋体"/>
          <w:b w:val="0"/>
          <w:bCs/>
          <w:i w:val="0"/>
          <w:caps w:val="0"/>
          <w:color w:val="000000"/>
          <w:spacing w:val="0"/>
          <w:sz w:val="44"/>
          <w:szCs w:val="44"/>
        </w:rPr>
        <w:t>农业农村部农产品质量安全监管司</w:t>
      </w:r>
      <w:bookmarkEnd w:id="419"/>
    </w:p>
    <w:p>
      <w:pPr>
        <w:pStyle w:val="4"/>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000000"/>
          <w:spacing w:val="0"/>
          <w:sz w:val="44"/>
          <w:szCs w:val="44"/>
        </w:rPr>
      </w:pPr>
      <w:bookmarkStart w:id="420" w:name="_Toc1445"/>
      <w:r>
        <w:rPr>
          <w:rFonts w:hint="eastAsia" w:ascii="宋体" w:hAnsi="宋体" w:eastAsia="宋体" w:cs="宋体"/>
          <w:b w:val="0"/>
          <w:bCs/>
          <w:i w:val="0"/>
          <w:caps w:val="0"/>
          <w:color w:val="000000"/>
          <w:spacing w:val="0"/>
          <w:sz w:val="44"/>
          <w:szCs w:val="44"/>
        </w:rPr>
        <w:t>关于进一步加强新冠肺炎疫情防控期间</w:t>
      </w:r>
      <w:bookmarkEnd w:id="420"/>
    </w:p>
    <w:p>
      <w:pPr>
        <w:pStyle w:val="4"/>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000000"/>
          <w:spacing w:val="0"/>
          <w:sz w:val="44"/>
          <w:szCs w:val="44"/>
        </w:rPr>
      </w:pPr>
      <w:bookmarkStart w:id="421" w:name="_Toc11734"/>
      <w:r>
        <w:rPr>
          <w:rFonts w:hint="eastAsia" w:ascii="宋体" w:hAnsi="宋体" w:eastAsia="宋体" w:cs="宋体"/>
          <w:b w:val="0"/>
          <w:bCs/>
          <w:i w:val="0"/>
          <w:caps w:val="0"/>
          <w:color w:val="000000"/>
          <w:spacing w:val="0"/>
          <w:sz w:val="44"/>
          <w:szCs w:val="44"/>
        </w:rPr>
        <w:t>农产品质量安全工作的通知</w:t>
      </w:r>
      <w:bookmarkEnd w:id="421"/>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各省、自治区、直辖市及计划单列市农业农村（农牧）、畜牧兽医、海洋渔业厅（局、委），新疆生产建设兵团农业农村局；相关农产品质量安全检测机构：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近日，国务院应对新冠肺炎疫情联防联控机制印发《关于压实</w:t>
      </w:r>
      <w:r>
        <w:rPr>
          <w:rFonts w:hint="eastAsia" w:ascii="仿宋" w:hAnsi="仿宋" w:eastAsia="仿宋" w:cs="仿宋"/>
          <w:i w:val="0"/>
          <w:caps w:val="0"/>
          <w:color w:val="000000"/>
          <w:spacing w:val="0"/>
          <w:sz w:val="32"/>
          <w:szCs w:val="32"/>
          <w:lang w:val="en-US"/>
        </w:rPr>
        <w:t>“</w:t>
      </w:r>
      <w:r>
        <w:rPr>
          <w:rFonts w:hint="eastAsia" w:ascii="仿宋" w:hAnsi="仿宋" w:eastAsia="仿宋" w:cs="仿宋"/>
          <w:i w:val="0"/>
          <w:caps w:val="0"/>
          <w:color w:val="000000"/>
          <w:spacing w:val="0"/>
          <w:sz w:val="32"/>
          <w:szCs w:val="32"/>
        </w:rPr>
        <w:t>菜篮子</w:t>
      </w:r>
      <w:r>
        <w:rPr>
          <w:rFonts w:hint="eastAsia" w:ascii="仿宋" w:hAnsi="仿宋" w:eastAsia="仿宋" w:cs="仿宋"/>
          <w:i w:val="0"/>
          <w:caps w:val="0"/>
          <w:color w:val="000000"/>
          <w:spacing w:val="0"/>
          <w:sz w:val="32"/>
          <w:szCs w:val="32"/>
          <w:lang w:val="en-US"/>
        </w:rPr>
        <w:t>”</w:t>
      </w:r>
      <w:r>
        <w:rPr>
          <w:rFonts w:hint="eastAsia" w:ascii="仿宋" w:hAnsi="仿宋" w:eastAsia="仿宋" w:cs="仿宋"/>
          <w:i w:val="0"/>
          <w:caps w:val="0"/>
          <w:color w:val="000000"/>
          <w:spacing w:val="0"/>
          <w:sz w:val="32"/>
          <w:szCs w:val="32"/>
        </w:rPr>
        <w:t>市长负责制 做好农产品稳产保供工作的通知》，要求加大蔬菜农药、禽蛋和水产品兽药残留监测监管力度，切实守好“菜篮子”产品质量安全底线。农业农村部部长韩长赋再次指示，要确保上市农产品质量安全，不能出现系统性、区域性、链条式问题，不能给疫情防控大局添乱。为进一步做好疫情防控期间农产品质量安全工作，结合《农业农村部办公厅关于疫情防控期间坚决确保农产品质量安全的通知》（农明字〔</w:t>
      </w:r>
      <w:r>
        <w:rPr>
          <w:rFonts w:hint="eastAsia" w:ascii="仿宋" w:hAnsi="仿宋" w:eastAsia="仿宋" w:cs="仿宋"/>
          <w:i w:val="0"/>
          <w:caps w:val="0"/>
          <w:color w:val="000000"/>
          <w:spacing w:val="0"/>
          <w:sz w:val="32"/>
          <w:szCs w:val="32"/>
          <w:lang w:val="en-US"/>
        </w:rPr>
        <w:t>2020</w:t>
      </w:r>
      <w:r>
        <w:rPr>
          <w:rFonts w:hint="eastAsia" w:ascii="仿宋" w:hAnsi="仿宋" w:eastAsia="仿宋" w:cs="仿宋"/>
          <w:i w:val="0"/>
          <w:caps w:val="0"/>
          <w:color w:val="000000"/>
          <w:spacing w:val="0"/>
          <w:sz w:val="32"/>
          <w:szCs w:val="32"/>
        </w:rPr>
        <w:t>〕第</w:t>
      </w:r>
      <w:r>
        <w:rPr>
          <w:rFonts w:hint="eastAsia" w:ascii="仿宋" w:hAnsi="仿宋" w:eastAsia="仿宋" w:cs="仿宋"/>
          <w:i w:val="0"/>
          <w:caps w:val="0"/>
          <w:color w:val="000000"/>
          <w:spacing w:val="0"/>
          <w:sz w:val="32"/>
          <w:szCs w:val="32"/>
          <w:lang w:val="en-US"/>
        </w:rPr>
        <w:t>8</w:t>
      </w:r>
      <w:r>
        <w:rPr>
          <w:rFonts w:hint="eastAsia" w:ascii="仿宋" w:hAnsi="仿宋" w:eastAsia="仿宋" w:cs="仿宋"/>
          <w:i w:val="0"/>
          <w:caps w:val="0"/>
          <w:color w:val="000000"/>
          <w:spacing w:val="0"/>
          <w:sz w:val="32"/>
          <w:szCs w:val="32"/>
        </w:rPr>
        <w:t>号）印发以来各地实施情况，现就有关操作性要求通知如下。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　一、关于防范系统性区域性链条式风险问题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　</w:t>
      </w:r>
      <w:r>
        <w:rPr>
          <w:rFonts w:hint="eastAsia" w:ascii="仿宋" w:hAnsi="仿宋" w:eastAsia="仿宋" w:cs="仿宋"/>
          <w:i w:val="0"/>
          <w:caps w:val="0"/>
          <w:color w:val="000000"/>
          <w:spacing w:val="0"/>
          <w:sz w:val="32"/>
          <w:szCs w:val="32"/>
        </w:rPr>
        <w:t>从近年来监测评估情况看，农产品质量安全风险隐患在一些地方、一些品种上仍然存在，有的还比较突出。根据当前季节特点、生产状况和正在上市农产品往年情况，要重点关注以下问题：蔬菜水果方面，芹菜、菠菜、小白菜和豇豆中使用毒死蜱、克百威、氧乐果、甲拌磷等禁用农药，韭菜中腐霉利超标；草莓中烯酰吗啉和阿维菌素超标问题。畜禽产品方面，牛肉中使用克伦特罗、猪肉中使用沙丁胺醇等“瘦肉精”类非法添加物，鸡蛋中使用恩诺沙星、环丙沙星、氟苯尼考等禁用药物，鸡肉（乌鸡）中使用氧氟沙星等停用药物及恩诺沙星、氟苯尼考超标，收购、屠宰、加工病死猪等病死畜禽问题。水产品方面，乌鳢、加州鲈鱼、大菱鲆、大黄鱼等养殖水产品中使用氧氟沙星等停用药物和恩诺沙星、环丙沙星超标，鳜鱼等水产品中使用孔雀石绿、硝基呋喃等问题。从未知风险看，部分地方特色品种以及尚未纳入监测计划的禁用药物，监控数据不足，存在未知风险隐患。从产品供应实际看，前一阶段部分地方农产品滞销卖难，下一阶段很多农产品可能集中上市，存在滥用保鲜剂及其他禁用药物风险。各地要对照上述问题，结合本地区、本行业、本阶段特点，认真排查风险隐患，做到心中有数。同时，压实主体责任，加强培训指导，教育农民坚决抵制禁用药物和非法添加物，执行好用药安全间隔期和休药期规定，严禁收购、贩运、加工病死猪等病死畜禽，确保农产品质量安全“产出来”，防止发生重大农产品质量安全事件。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日前，农业农村部已印发第一季度国家农产品质量安全例行监测计划，根据疫情防控形势对风险监测工作做出专门安排。各地也要结合本地实际制定计划，迅速开展本地区风险监测工作，对“菜篮子”产品风险隐患做到心中有数。监测过程中要把握服务“菜篮子”产品有效供应、不得影响农产品上市的原则，做到快速抽样、快速检测、快出报告。监测品种重点关注市场需求量大的“菜篮子”产品；监测方式要灵活，以市场随机抽样为主，可本地、就近抽样；检测参数主要聚焦高毒农药、禁用药物，抽样数量尽可能少而精，具有代表性。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Style w:val="23"/>
          <w:rFonts w:hint="eastAsia" w:ascii="黑体" w:hAnsi="黑体" w:eastAsia="黑体" w:cs="黑体"/>
          <w:b w:val="0"/>
          <w:bCs/>
          <w:i w:val="0"/>
          <w:caps w:val="0"/>
          <w:color w:val="000000"/>
          <w:spacing w:val="0"/>
          <w:sz w:val="32"/>
          <w:szCs w:val="32"/>
        </w:rPr>
      </w:pPr>
      <w:r>
        <w:rPr>
          <w:rStyle w:val="23"/>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二、关于农产品上市问题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近期，因部分地区采购者需要提供相关合格证明，有的地方使用食用农产品合格证，有的地方采取快检方式，有的地方出具检测报告，有的地方将合格证与产品检测相结合，均为保障“菜篮子”产品质量安全发挥了积极作用。疫情防控期间，农产品质量安全工作要与“菜篮子”产品保供统筹兼顾，要服务于“菜篮子”产品快速上市。一是用好食用农产品合格证。鼓励生产主体对农产品质量安全自我承诺并自行开具合格证，这是最便捷的证明方式，也是压实生产经营主体责任的有效办法。但要注意，合格证制度刚刚试行，多数生产主体尚未掌握，各地农业农村部门要做好服务，指导生产者迅速开出合格证，不要影响疫情防控期间“菜篮子”产品保供。二是发挥快速检测作用。对有检测需求的生产主体，要充分用好快速检测手段，鼓励乡镇监管站到田间地头开展检测服务，确保农产品及时上市供应。三是定量检测要突出“快”字。对于需要提供定量检测报告的，质检机构要靠前服务，当天收样、当天出结果。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各地在推进合格证制度时，要把握好</w:t>
      </w:r>
      <w:r>
        <w:rPr>
          <w:rFonts w:hint="eastAsia" w:ascii="仿宋" w:hAnsi="仿宋" w:eastAsia="仿宋" w:cs="仿宋"/>
          <w:i w:val="0"/>
          <w:caps w:val="0"/>
          <w:color w:val="000000"/>
          <w:spacing w:val="0"/>
          <w:sz w:val="32"/>
          <w:szCs w:val="32"/>
          <w:lang w:val="en-US"/>
        </w:rPr>
        <w:t>3</w:t>
      </w:r>
      <w:r>
        <w:rPr>
          <w:rFonts w:hint="eastAsia" w:ascii="仿宋" w:hAnsi="仿宋" w:eastAsia="仿宋" w:cs="仿宋"/>
          <w:i w:val="0"/>
          <w:caps w:val="0"/>
          <w:color w:val="000000"/>
          <w:spacing w:val="0"/>
          <w:sz w:val="32"/>
          <w:szCs w:val="32"/>
        </w:rPr>
        <w:t>点：一是坚持生产主体自行开具。合格证也是承诺证，应由生产主体在自控自检的基础上自行开具，政府部门和质检机构不得代替和背书，不得在合格证上加盖政府公章。二是指导规范开具。疫情防控期间，鼓励通过网络、微信、电话等方式加强宣传培训，指导生产主体正确开具，确保信息完整。合格证上生产主体承诺内容要突出醒目，特别要凸显主体承诺打勾情况。质检机构在开展检测工作中，应积极指导生产主体正确开具合格证。三是确保真实性。依托乡镇监管站和村级协管员开展摸底排查，健全生产主体名录，防止冒用。鼓励有条件的地方，将合格证与追溯、防伪码结合。对于虚假开具的要公开信息，纳入信用管理，实施联合惩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Style w:val="23"/>
          <w:rFonts w:hint="eastAsia" w:ascii="黑体" w:hAnsi="黑体" w:eastAsia="黑体" w:cs="黑体"/>
          <w:b w:val="0"/>
          <w:bCs/>
          <w:i w:val="0"/>
          <w:caps w:val="0"/>
          <w:color w:val="000000"/>
          <w:spacing w:val="0"/>
          <w:sz w:val="32"/>
          <w:szCs w:val="32"/>
        </w:rPr>
      </w:pPr>
      <w:r>
        <w:rPr>
          <w:rFonts w:hint="eastAsia" w:ascii="仿宋" w:hAnsi="仿宋" w:eastAsia="仿宋" w:cs="仿宋"/>
          <w:i w:val="0"/>
          <w:caps w:val="0"/>
          <w:color w:val="000000"/>
          <w:spacing w:val="0"/>
          <w:sz w:val="32"/>
          <w:szCs w:val="32"/>
        </w:rPr>
        <w:t>     </w:t>
      </w:r>
      <w:r>
        <w:rPr>
          <w:rStyle w:val="23"/>
          <w:rFonts w:hint="eastAsia" w:ascii="仿宋" w:hAnsi="仿宋" w:eastAsia="仿宋" w:cs="仿宋"/>
          <w:i w:val="0"/>
          <w:caps w:val="0"/>
          <w:color w:val="000000"/>
          <w:spacing w:val="0"/>
          <w:sz w:val="32"/>
          <w:szCs w:val="32"/>
        </w:rPr>
        <w:t> </w:t>
      </w:r>
      <w:r>
        <w:rPr>
          <w:rStyle w:val="23"/>
          <w:rFonts w:hint="eastAsia" w:ascii="黑体" w:hAnsi="黑体" w:eastAsia="黑体" w:cs="黑体"/>
          <w:b w:val="0"/>
          <w:bCs/>
          <w:i w:val="0"/>
          <w:caps w:val="0"/>
          <w:color w:val="000000"/>
          <w:spacing w:val="0"/>
          <w:sz w:val="32"/>
          <w:szCs w:val="32"/>
        </w:rPr>
        <w:t>  三、关于严防假劣农资坑农害农问题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从</w:t>
      </w:r>
      <w:r>
        <w:rPr>
          <w:rFonts w:hint="eastAsia" w:ascii="仿宋" w:hAnsi="仿宋" w:eastAsia="仿宋" w:cs="仿宋"/>
          <w:i w:val="0"/>
          <w:caps w:val="0"/>
          <w:color w:val="000000"/>
          <w:spacing w:val="0"/>
          <w:sz w:val="32"/>
          <w:szCs w:val="32"/>
          <w:lang w:val="en-US"/>
        </w:rPr>
        <w:t>2019</w:t>
      </w:r>
      <w:r>
        <w:rPr>
          <w:rFonts w:hint="eastAsia" w:ascii="仿宋" w:hAnsi="仿宋" w:eastAsia="仿宋" w:cs="仿宋"/>
          <w:i w:val="0"/>
          <w:caps w:val="0"/>
          <w:color w:val="000000"/>
          <w:spacing w:val="0"/>
          <w:sz w:val="32"/>
          <w:szCs w:val="32"/>
        </w:rPr>
        <w:t>年农资产品监督抽查情况看，主要问题有：农药有效成分含量不符合要求、标明成分未检出、擅自添加其他农药等问题，分别在不合格产品中占比</w:t>
      </w:r>
      <w:r>
        <w:rPr>
          <w:rFonts w:hint="eastAsia" w:ascii="仿宋" w:hAnsi="仿宋" w:eastAsia="仿宋" w:cs="仿宋"/>
          <w:i w:val="0"/>
          <w:caps w:val="0"/>
          <w:color w:val="000000"/>
          <w:spacing w:val="0"/>
          <w:sz w:val="32"/>
          <w:szCs w:val="32"/>
          <w:lang w:val="en-US"/>
        </w:rPr>
        <w:t>41.5%</w:t>
      </w:r>
      <w:r>
        <w:rPr>
          <w:rFonts w:hint="eastAsia" w:ascii="仿宋" w:hAnsi="仿宋" w:eastAsia="仿宋" w:cs="仿宋"/>
          <w:i w:val="0"/>
          <w:caps w:val="0"/>
          <w:color w:val="000000"/>
          <w:spacing w:val="0"/>
          <w:sz w:val="32"/>
          <w:szCs w:val="32"/>
        </w:rPr>
        <w:t>、</w:t>
      </w:r>
      <w:r>
        <w:rPr>
          <w:rFonts w:hint="eastAsia" w:ascii="仿宋" w:hAnsi="仿宋" w:eastAsia="仿宋" w:cs="仿宋"/>
          <w:i w:val="0"/>
          <w:caps w:val="0"/>
          <w:color w:val="000000"/>
          <w:spacing w:val="0"/>
          <w:sz w:val="32"/>
          <w:szCs w:val="32"/>
          <w:lang w:val="en-US"/>
        </w:rPr>
        <w:t>27.5%</w:t>
      </w:r>
      <w:r>
        <w:rPr>
          <w:rFonts w:hint="eastAsia" w:ascii="仿宋" w:hAnsi="仿宋" w:eastAsia="仿宋" w:cs="仿宋"/>
          <w:i w:val="0"/>
          <w:caps w:val="0"/>
          <w:color w:val="000000"/>
          <w:spacing w:val="0"/>
          <w:sz w:val="32"/>
          <w:szCs w:val="32"/>
        </w:rPr>
        <w:t>、</w:t>
      </w:r>
      <w:r>
        <w:rPr>
          <w:rFonts w:hint="eastAsia" w:ascii="仿宋" w:hAnsi="仿宋" w:eastAsia="仿宋" w:cs="仿宋"/>
          <w:i w:val="0"/>
          <w:caps w:val="0"/>
          <w:color w:val="000000"/>
          <w:spacing w:val="0"/>
          <w:sz w:val="32"/>
          <w:szCs w:val="32"/>
          <w:lang w:val="en-US"/>
        </w:rPr>
        <w:t>17.6%</w:t>
      </w:r>
      <w:r>
        <w:rPr>
          <w:rFonts w:hint="eastAsia" w:ascii="仿宋" w:hAnsi="仿宋" w:eastAsia="仿宋" w:cs="仿宋"/>
          <w:i w:val="0"/>
          <w:caps w:val="0"/>
          <w:color w:val="000000"/>
          <w:spacing w:val="0"/>
          <w:sz w:val="32"/>
          <w:szCs w:val="32"/>
        </w:rPr>
        <w:t>；兽药含量不合格、中药有效成分未检出、非法添加等问题；肥料养分含量不足（在不合格产品中占比</w:t>
      </w:r>
      <w:r>
        <w:rPr>
          <w:rFonts w:hint="eastAsia" w:ascii="仿宋" w:hAnsi="仿宋" w:eastAsia="仿宋" w:cs="仿宋"/>
          <w:i w:val="0"/>
          <w:caps w:val="0"/>
          <w:color w:val="000000"/>
          <w:spacing w:val="0"/>
          <w:sz w:val="32"/>
          <w:szCs w:val="32"/>
          <w:lang w:val="en-US"/>
        </w:rPr>
        <w:t>75%</w:t>
      </w:r>
      <w:r>
        <w:rPr>
          <w:rFonts w:hint="eastAsia" w:ascii="仿宋" w:hAnsi="仿宋" w:eastAsia="仿宋" w:cs="仿宋"/>
          <w:i w:val="0"/>
          <w:caps w:val="0"/>
          <w:color w:val="000000"/>
          <w:spacing w:val="0"/>
          <w:sz w:val="32"/>
          <w:szCs w:val="32"/>
        </w:rPr>
        <w:t>）、大量元素水溶肥料合格率低（</w:t>
      </w:r>
      <w:r>
        <w:rPr>
          <w:rFonts w:hint="eastAsia" w:ascii="仿宋" w:hAnsi="仿宋" w:eastAsia="仿宋" w:cs="仿宋"/>
          <w:i w:val="0"/>
          <w:caps w:val="0"/>
          <w:color w:val="000000"/>
          <w:spacing w:val="0"/>
          <w:sz w:val="32"/>
          <w:szCs w:val="32"/>
          <w:lang w:val="en-US"/>
        </w:rPr>
        <w:t>79.2%</w:t>
      </w:r>
      <w:r>
        <w:rPr>
          <w:rFonts w:hint="eastAsia" w:ascii="仿宋" w:hAnsi="仿宋" w:eastAsia="仿宋" w:cs="仿宋"/>
          <w:i w:val="0"/>
          <w:caps w:val="0"/>
          <w:color w:val="000000"/>
          <w:spacing w:val="0"/>
          <w:sz w:val="32"/>
          <w:szCs w:val="32"/>
        </w:rPr>
        <w:t>）、标签标识等问题。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当前春耕生产在即，部分地区受疫情防控措施影响，农资供应出现紧缺，假劣农资可能趁虚而入。各地要围绕使用量大、合格率不高、风险隐患多的重点农资品种加强监管，严厉打击各类违法违规行为，严罚严管、重罚重判、快审快结。农药重点打击非法生产经营禁用高毒农药、假冒伪劣农药、隐性添加农药成分等行为；兽药重点加强对假劣兽药、抗寄生虫类药物、兽用抗菌药和中兽药散剂等的监督管理；肥料重点查处有效成分不足、虚标含量及偷换养分等行为；种子种苗重点查处无证生产和纯度不合格产品。要加强对农民的宣传教育，指导农民科学购买农资产品，做到“三要三不”，要到正规门店购买、要买正规包装带标签的、要索取购销凭证，不买无证无牌的、不买标识不清标注不全的、不贪便宜买农资“忽悠团”的。鼓励支持农资企业、连锁经营店、农资合作社、农资电商等提供网络订购、上门配送、直销直供等服务，进一步畅通放心农资下乡进村渠道。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Style w:val="23"/>
          <w:rFonts w:hint="eastAsia" w:ascii="黑体" w:hAnsi="黑体" w:eastAsia="黑体" w:cs="黑体"/>
          <w:b w:val="0"/>
          <w:bCs/>
          <w:i w:val="0"/>
          <w:caps w:val="0"/>
          <w:color w:val="000000"/>
          <w:spacing w:val="0"/>
          <w:sz w:val="32"/>
          <w:szCs w:val="32"/>
        </w:rPr>
      </w:pPr>
      <w:r>
        <w:rPr>
          <w:rStyle w:val="23"/>
          <w:rFonts w:hint="eastAsia" w:ascii="黑体" w:hAnsi="黑体" w:eastAsia="黑体" w:cs="黑体"/>
          <w:b w:val="0"/>
          <w:bCs/>
          <w:i w:val="0"/>
          <w:caps w:val="0"/>
          <w:color w:val="000000"/>
          <w:spacing w:val="0"/>
          <w:sz w:val="32"/>
          <w:szCs w:val="32"/>
        </w:rPr>
        <w:t>　　四、关于工作方式问题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当前，疫情防控工作到了最吃劲的关键阶段，各级农业农村部门要勇于担当，积极作为，为疫情防控期间守好农产品质量安全底线提供坚强保障。一是改进工作作风。提高工作主动性和前瞻性，特殊时期要敢于打破常规，创新方法。坚持问题导向，措施要有针对性、阶段性和操作性，一件一件予以解决，不可只发文件、不求落实。二是密切联系一线。建立重点生产主体点对点联系机制，及时掌握政策措施落实情况，了解生产主体在质量安全方面的困难需求并帮助协调解决。充分发挥互联网、微信、信息平台、农村大喇叭等作用，将宣传指导延伸到基层。县级以上农业农村部门要开通农产品质量专线电话，畅通基层反映问题和投诉举报渠道。三是压实属地责任。根据《地方党政领导干部食品安全责任制规定》《中共中央国务院关于深化改革加强食品安全工作的意见》，进一步强化党政同责，将各地相关工作情况纳入食品安全评议考核、农产品质量安全监管延伸绩效考核。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疫情防控期间，农产品质量安全检测等相关问题请及时反映。联系电话：</w:t>
      </w:r>
      <w:r>
        <w:rPr>
          <w:rFonts w:hint="eastAsia" w:ascii="仿宋" w:hAnsi="仿宋" w:eastAsia="仿宋" w:cs="仿宋"/>
          <w:i w:val="0"/>
          <w:caps w:val="0"/>
          <w:color w:val="000000"/>
          <w:spacing w:val="0"/>
          <w:sz w:val="32"/>
          <w:szCs w:val="32"/>
          <w:lang w:val="en-US"/>
        </w:rPr>
        <w:t>010-59198536</w:t>
      </w:r>
      <w:r>
        <w:rPr>
          <w:rFonts w:hint="eastAsia" w:ascii="仿宋" w:hAnsi="仿宋" w:eastAsia="仿宋" w:cs="仿宋"/>
          <w:i w:val="0"/>
          <w:caps w:val="0"/>
          <w:color w:val="000000"/>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600" w:lineRule="exact"/>
        <w:ind w:left="0" w:right="0" w:firstLine="0"/>
        <w:jc w:val="both"/>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农业农村部农产品质量安全监管司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t>　　                                                                                               </w:t>
      </w:r>
      <w:r>
        <w:rPr>
          <w:rFonts w:hint="eastAsia" w:ascii="仿宋" w:hAnsi="仿宋" w:eastAsia="仿宋" w:cs="仿宋"/>
          <w:i w:val="0"/>
          <w:caps w:val="0"/>
          <w:color w:val="000000"/>
          <w:spacing w:val="0"/>
          <w:sz w:val="32"/>
          <w:szCs w:val="32"/>
          <w:lang w:val="en-US"/>
        </w:rPr>
        <w:t>2020</w:t>
      </w:r>
      <w:r>
        <w:rPr>
          <w:rFonts w:hint="eastAsia" w:ascii="仿宋" w:hAnsi="仿宋" w:eastAsia="仿宋" w:cs="仿宋"/>
          <w:i w:val="0"/>
          <w:caps w:val="0"/>
          <w:color w:val="000000"/>
          <w:spacing w:val="0"/>
          <w:sz w:val="32"/>
          <w:szCs w:val="32"/>
        </w:rPr>
        <w:t>年</w:t>
      </w:r>
      <w:r>
        <w:rPr>
          <w:rFonts w:hint="eastAsia" w:ascii="仿宋" w:hAnsi="仿宋" w:eastAsia="仿宋" w:cs="仿宋"/>
          <w:i w:val="0"/>
          <w:caps w:val="0"/>
          <w:color w:val="000000"/>
          <w:spacing w:val="0"/>
          <w:sz w:val="32"/>
          <w:szCs w:val="32"/>
          <w:lang w:val="en-US"/>
        </w:rPr>
        <w:t>2</w:t>
      </w:r>
      <w:r>
        <w:rPr>
          <w:rFonts w:hint="eastAsia" w:ascii="仿宋" w:hAnsi="仿宋" w:eastAsia="仿宋" w:cs="仿宋"/>
          <w:i w:val="0"/>
          <w:caps w:val="0"/>
          <w:color w:val="000000"/>
          <w:spacing w:val="0"/>
          <w:sz w:val="32"/>
          <w:szCs w:val="32"/>
        </w:rPr>
        <w:t>月</w:t>
      </w:r>
      <w:r>
        <w:rPr>
          <w:rFonts w:hint="eastAsia" w:ascii="仿宋" w:hAnsi="仿宋" w:eastAsia="仿宋" w:cs="仿宋"/>
          <w:i w:val="0"/>
          <w:caps w:val="0"/>
          <w:color w:val="000000"/>
          <w:spacing w:val="0"/>
          <w:sz w:val="32"/>
          <w:szCs w:val="32"/>
          <w:lang w:val="en-US"/>
        </w:rPr>
        <w:t>14</w:t>
      </w:r>
      <w:r>
        <w:rPr>
          <w:rFonts w:hint="eastAsia" w:ascii="仿宋" w:hAnsi="仿宋" w:eastAsia="仿宋" w:cs="仿宋"/>
          <w:i w:val="0"/>
          <w:caps w:val="0"/>
          <w:color w:val="000000"/>
          <w:spacing w:val="0"/>
          <w:sz w:val="32"/>
          <w:szCs w:val="32"/>
        </w:rPr>
        <w:t>日</w:t>
      </w:r>
      <w:r>
        <w:rPr>
          <w:rFonts w:hint="eastAsia" w:ascii="仿宋" w:hAnsi="仿宋" w:eastAsia="仿宋" w:cs="仿宋"/>
          <w:i w:val="0"/>
          <w:caps w:val="0"/>
          <w:color w:val="000000"/>
          <w:spacing w:val="0"/>
          <w:sz w:val="32"/>
          <w:szCs w:val="32"/>
          <w:lang w:val="en-US"/>
        </w:rPr>
        <w:t>       </w:t>
      </w:r>
      <w:r>
        <w:rPr>
          <w:rFonts w:hint="eastAsia" w:ascii="仿宋" w:hAnsi="仿宋" w:eastAsia="仿宋" w:cs="仿宋"/>
          <w:i w:val="0"/>
          <w:caps w:val="0"/>
          <w:color w:val="000000"/>
          <w:spacing w:val="0"/>
          <w:sz w:val="32"/>
          <w:szCs w:val="32"/>
        </w:rPr>
        <w:t> </w:t>
      </w:r>
    </w:p>
    <w:p>
      <w:pPr>
        <w:wordWrap/>
        <w:adjustRightInd/>
        <w:snapToGrid/>
        <w:spacing w:line="560" w:lineRule="exac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shd w:val="clear" w:color="090000" w:fill="FFFFFF"/>
        </w:rPr>
      </w:pPr>
      <w:bookmarkStart w:id="422" w:name="_Toc24881"/>
      <w:r>
        <w:rPr>
          <w:rFonts w:hint="eastAsia" w:ascii="宋体" w:hAnsi="宋体" w:eastAsia="宋体" w:cs="宋体"/>
          <w:b w:val="0"/>
          <w:bCs/>
          <w:i w:val="0"/>
          <w:caps w:val="0"/>
          <w:color w:val="333333"/>
          <w:spacing w:val="0"/>
          <w:sz w:val="44"/>
          <w:szCs w:val="44"/>
          <w:shd w:val="clear" w:color="090000" w:fill="FFFFFF"/>
        </w:rPr>
        <w:t>国家林草局关于贯彻落实《全国人民代表大会常务委员会关于全面禁止非法野生动物交易、革除滥食野生动物陋习、切实保障人民群众生命健康安全的决定》的通知</w:t>
      </w:r>
      <w:bookmarkEnd w:id="42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br w:type="textWrapping"/>
      </w:r>
      <w:r>
        <w:rPr>
          <w:rFonts w:hint="eastAsia" w:ascii="楷体" w:hAnsi="楷体" w:eastAsia="楷体" w:cs="楷体"/>
          <w:i w:val="0"/>
          <w:caps w:val="0"/>
          <w:color w:val="333333"/>
          <w:spacing w:val="0"/>
          <w:sz w:val="32"/>
          <w:szCs w:val="32"/>
          <w:shd w:val="clear" w:color="070000" w:fill="FFFFFF"/>
        </w:rPr>
        <w:t>林护发〔2020〕22号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各省、自治区、直辖市林业和草原主管部门，内蒙古、大兴安岭森工（林业）集团公司，新疆生产建设兵团林业和草原主管部门，国家林业和草原局各司局、各派出机构、各直属单位：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2月24日，十三届全国人大常委会第十六次会议审议通过了《全国人民代表大会常务委员会关于全面禁止非法野生动物交易、革除滥食野生动物陋习、切实保障人民群众生命健康安全的决定》（以下简称《决定》）。为贯彻执行《决定》精神，全面禁止食用野生动物，现就有关要求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rPr>
      </w:pPr>
      <w:r>
        <w:rPr>
          <w:rFonts w:hint="eastAsia" w:ascii="黑体" w:hAnsi="黑体" w:eastAsia="黑体" w:cs="黑体"/>
          <w:i w:val="0"/>
          <w:caps w:val="0"/>
          <w:color w:val="333333"/>
          <w:spacing w:val="0"/>
          <w:sz w:val="32"/>
          <w:szCs w:val="32"/>
          <w:shd w:val="clear" w:color="070000" w:fill="FFFFFF"/>
        </w:rPr>
        <w:t>一、深入学习领会《决定》精神，统一思想认识，提高政治站位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非法野生动物交易、滥食野生动物不仅危害野生动物种群安全和国家生态安全，而且对公共卫生安全和人民群众身体健康构成重大隐患。党中央对此高度重视，习近平总书记多次作出重要指示批示。在当前新冠肺炎疫情防控的关键时期，全国人大常委会聚焦滥食野生动物这一突出问题出台专门决定，不仅为全面禁食野生动物，严厉打击非法野生动物交易，从源头上防范和控制公共卫生安全风险提供了有力的法制保障，而且对提高全社会的生态保护和公共卫生安全意识，加强生态文明建设，促进人与自然和谐共生，具有重要意义。各级林业和草原主管部门要立即组织专题学习，以习近平新时代中国特色社会主义思想为指导，进一步增强“四个意识”</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坚定“四个自信”</w:t>
      </w:r>
      <w:r>
        <w:rPr>
          <w:rFonts w:hint="eastAsia" w:ascii="仿宋" w:hAnsi="仿宋" w:eastAsia="仿宋" w:cs="仿宋"/>
          <w:i w:val="0"/>
          <w:caps w:val="0"/>
          <w:color w:val="333333"/>
          <w:spacing w:val="0"/>
          <w:sz w:val="32"/>
          <w:szCs w:val="32"/>
          <w:shd w:val="clear" w:color="070000" w:fill="FFFFFF"/>
          <w:lang w:eastAsia="zh-CN"/>
        </w:rPr>
        <w:t>、</w:t>
      </w:r>
      <w:r>
        <w:rPr>
          <w:rFonts w:hint="eastAsia" w:ascii="仿宋" w:hAnsi="仿宋" w:eastAsia="仿宋" w:cs="仿宋"/>
          <w:i w:val="0"/>
          <w:caps w:val="0"/>
          <w:color w:val="333333"/>
          <w:spacing w:val="0"/>
          <w:sz w:val="32"/>
          <w:szCs w:val="32"/>
          <w:shd w:val="clear" w:color="070000" w:fill="FFFFFF"/>
        </w:rPr>
        <w:t>做到“两个维护”，深入领会出台《决定》的必要性和紧迫性，准确把握《决定》精神，提高政治站位，强化责任担当，加强组织领导，周密部署，综合施策，坚决贯彻执行《决定》各项规定。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二、严厉打击乱捕滥猎、非法交易野生动物等活动，坚决取缔非法野生动物市场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林业和草原主管部门要抓住《决定》公布施行的有利时机，集中调配力量，在野生动物重要分布区、栖息地，实行分区划片，明确保护责任，全面加强野生动物保护。特别是在候鸟大规模集群的越冬地、繁殖地、迁飞通道，要加密保护哨站、巡护线路的设置，进一步加大野外巡护看守力度，全面清除鸟网、猎套等非法猎捕工具，切实维护候鸟等野生动物种群安全。要主动配合市场监管、网络监管、交通运输等部门，对市场上摆卖食用野生动物的摊位、门店、野味餐馆等场所一律依法予以关闭、查封，对网络发布的食用野生动物交易信息和其他非法野生动物交易广告一律依法予以清除，进一步净化市场环境和网络空间；对违法运输、寄递野生动物及制品的，加大查验追踪力度，依《决定》加重处罚，切实有效阻断非法交易链条。要建立有奖举报机制，广泛收集违法犯罪线索，并配合公安机关对大案要案一追到底，摧毁犯罪团伙，从严加重惩处，形成强大的震慑声势，坚决遏制乱捕滥猎、非法交易野生动物等违法犯罪活动的势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三、全面整顿野生动物人工繁育和经营利用从业机构，依法清理许可证件及文书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林业和草原主管部门要对本区域所有以食用为目的从事野生动物人工繁育、经营利用的机构，开展一次彻底的检查整顿。对违法从事野生动物人工繁育、经营利用活动的机构，依法加重处罚；对取得人工繁育许可证，以食用为目的从事陆生野生动物人工繁育的，须撤回并注销所核发的人工繁育许可证件或文书，并一律停止为食用目的出售、运输野生动物等活动；对从业机构人工繁育种类列入《畜禽遗传资源目录》、林业和草原主管部门已核发人工繁育许可证件或文书的，须一律撤回并注销所核发的许可证件或文书，其人工繁育种群管理适用《畜牧法》的规定；对从业机构人工繁育种类列入《人工繁育国家重点保护水生野生动物名录》或《国家重点保护经济水生动植物资源名录》，林业和草原主管部门已核发人工繁育许可证件或文书的，也一律撤回并注销所核发的许可证件或文书，今后按水生野生动物管理；对以食用为目的从事野生动物经营利用的机构，已取得以食用为目的的经营利用许可证件和文书一律予以撤回并注销或申明作废，停止一切以食用为目的的经营利用陆生野生动物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四、一律停止受理以食用为目的猎捕、经营野生动物等活动的申请，严格规范对非食用性利用野生动物活动的审批行为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自《决定》公布之日起，各级林业和草原主管部门一律停止受理以食用为目的猎捕、出售、购买、进口野生动物等活动的行政许可申请。因科研、药用、展示等特殊情况，需要对野生动物进行非食用性利用的，依法负责审批的林业和草原主管部门要制定严格的审批条件和程序，列明需提交的证明材料，建立科学评估机制，经审核确认来源合法、符合法定条件的，方可予以批准，并须在批准文件中明确要求申请人依法接受检验检疫，有效防范疫源疫病的传播和扩散。同时，要加强对非食用性利用野生动物活动的后续监管，防止滥用、虐待等不当方式，坚决杜绝假借合法渠道从事非法交易活动和食用的行为。要加强对审批工作人员的政治思想教育、政策学习和专业培训，进一步规范行政审批行为，提高审批质量，对行政许可工作中的徇私舞弊、玩忽职守、滥用职权等不依法履行职责的，一律依法依规从严查处、决不姑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五、完善配套法规和制度，夯实依法保护基础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林业和草原主管部门要按照《决定》精神，对有关法规、规章体系进行一次全面梳理，对配套法规、制度不健全或与《决定》不相符的，积极争取立法机关、人民政府及早进行修改和完善。重点要加快《国家重点保护野生动物名录》、《国家保护的有重要生态、科学、社会价值的陆生野生动物名录》和地方重点保护野生动物名录的调整进度，积极推进《陆生野生动物保护实施条例》修订，抓紧制定野生动物人工繁育、专用标识等配套管理办法和技术标准。各省、自治区、直辖市林业和草原主管部门要积极争取地方立法机关及时研究修订地方保护法规，适时开展《野生动物保护法》执行情况调研，坚持以问题为导向，研究探讨解决问题的策略，为进一步修改完善法律法规提供科学依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六、周密部署安排，科学妥善处置后续事宜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在推进《决定》贯彻执行过程中，各级林业和草原主管部门要对可能面临的野生动物收容安置和一定补偿等问题预先进行研判，及时向当地人民政府报告。要依据物种习性和本地实际情况，科学制定工作方案，在当地人民政府的领导下组织实施，并对从业机构和人员做好解释说明，加强野生动物处置工作的指导和监督，确保科学稳妥实施。重点地区还要提前做好应急预案，及时化解隐患，严防出现违法出售野生动物用于食用等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i w:val="0"/>
          <w:caps w:val="0"/>
          <w:color w:val="333333"/>
          <w:spacing w:val="0"/>
          <w:sz w:val="32"/>
          <w:szCs w:val="32"/>
          <w:shd w:val="clear" w:color="070000" w:fill="FFFFFF"/>
        </w:rPr>
      </w:pPr>
      <w:r>
        <w:rPr>
          <w:rFonts w:hint="eastAsia" w:ascii="黑体" w:hAnsi="黑体" w:eastAsia="黑体" w:cs="黑体"/>
          <w:i w:val="0"/>
          <w:caps w:val="0"/>
          <w:color w:val="333333"/>
          <w:spacing w:val="0"/>
          <w:sz w:val="32"/>
          <w:szCs w:val="32"/>
          <w:shd w:val="clear" w:color="070000" w:fill="FFFFFF"/>
        </w:rPr>
        <w:t>七、广泛开展宣传教育，引导全社会树立生态文明新风尚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林业和草原主管部门要多渠道、多形式、多层次加强野生动物保护宣传和公众教育，会同宣传、教育等有关部门，大力宣传出台《决定》的重大意义，普及野生动物保护知识和禁止食用野生动物的规定。通过举办专题宣传、专家讲解、进校园、进乡村等活动，科学解读滥食野生动物对生物安全、生态安全和公共卫生安全的危害，倡导绿色、健康、文明的饮食理念。健全社会监督机制，密切关注网络舆情动态，主动回应社会关切，广泛争取理解和支持。积极发挥各类野生动物保护社会团体、公益组织和广大志愿者的桥梁纽带作用，鼓励和引导社会公众自觉抵制、主动举报滥食野生动物行为，形成政府主导、全社会参与、共同革除滥食野生动物陋习的新局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贯彻落实《决定》的有关情况请及时上报我局。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t>特此通知。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国家林业和草原局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2020年2月27日</w:t>
      </w:r>
    </w:p>
    <w:p>
      <w:pPr>
        <w:wordWrap/>
        <w:adjustRightInd/>
        <w:snapToGrid/>
        <w:spacing w:line="560" w:lineRule="exac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shd w:val="clear" w:color="090000" w:fill="FFFFFF"/>
        </w:rPr>
      </w:pPr>
      <w:bookmarkStart w:id="423" w:name="_Toc8325"/>
      <w:r>
        <w:rPr>
          <w:rFonts w:hint="eastAsia" w:ascii="宋体" w:hAnsi="宋体" w:eastAsia="宋体" w:cs="宋体"/>
          <w:b w:val="0"/>
          <w:bCs/>
          <w:i w:val="0"/>
          <w:caps w:val="0"/>
          <w:color w:val="333333"/>
          <w:spacing w:val="0"/>
          <w:sz w:val="44"/>
          <w:szCs w:val="44"/>
          <w:shd w:val="clear" w:color="090000" w:fill="FFFFFF"/>
        </w:rPr>
        <w:t>农业农村部关于贯彻落实《全国人民代表大会常务委员会关于全面禁止非法野生动物交易、革除滥食野生动物陋习、切实保障人民群众生命健康安全的决定》进一步加强水生野生动物保护管理的通知</w:t>
      </w:r>
      <w:bookmarkEnd w:id="423"/>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b/>
          <w:i w:val="0"/>
          <w:caps w:val="0"/>
          <w:color w:val="333333"/>
          <w:spacing w:val="0"/>
          <w:sz w:val="32"/>
          <w:szCs w:val="32"/>
          <w:shd w:val="clear" w:color="080000" w:fill="FFFFFF"/>
        </w:rPr>
        <w:br w:type="textWrapping"/>
      </w:r>
      <w:r>
        <w:rPr>
          <w:rFonts w:hint="eastAsia" w:ascii="楷体" w:hAnsi="楷体" w:eastAsia="楷体" w:cs="楷体"/>
          <w:i w:val="0"/>
          <w:caps w:val="0"/>
          <w:color w:val="333333"/>
          <w:spacing w:val="0"/>
          <w:sz w:val="32"/>
          <w:szCs w:val="32"/>
          <w:shd w:val="clear" w:color="070000" w:fill="FFFFFF"/>
        </w:rPr>
        <w:t>农渔发〔2020〕3号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各省、自治区、直辖市农业农村（农牧）厅（局、委），福建省海洋与渔业局，新疆生产建设兵团水产局：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为贯彻落实好《全国人民代表大会常务委员会关于全面禁止非法野生动物交易、革除滥食野生动物陋习、切实保障人民群众生命健康安全的决定》（以下简称《决定》），进一步加强水生野生动物保护管理，现就有关事项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090000" w:fill="FFFFFF"/>
        </w:rPr>
        <w:t>一、提高政治站位，坚决贯彻落实好《决定》精神</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非法野生动物交易特别是滥食野生动物行为不仅破坏野生动物资源、危害生态安全，还会对公共卫生安全构成重大隐患。党中央、国务院对此高度重视，习近平总书记多次作出重要指示批示，要求坚决取缔和严厉打击非法野生动物市场和贸易，从源头防控重大公共卫生风险。《决定》的出台，为禁止和严厉打击一切非法捕杀、交易、食用野生动物的行为，提供了更加严格有力的法律保障。各级农业农村（渔业）主管部门要深入学习领会《决定》精神，增强紧迫感、责任感和使命感，以《决定》的贯彻落实为契机，推动进一步加强水生野生动物保护管理。要积极向同级党委和政府汇报，争取当地党委和政府对水生野生动物保护的重视和支持，加强组织领导，制定工作方案，明确任务分工，强化责任担当，确保《决定》落实到位、有效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二、加强衔接配合，形成水生野生动物保护工作合力</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要做好《决定》与《野生动物保护法》《渔业法》及地方性法律法规的衔接，形成保护水生野生动物的制度合力。要协调好有关名录的关系，明确水生野生动物的范围，对于列入国家重点保护水生野生动物名录、《〈濒危野生动植物种国际贸易公约〉附录水生动物物种核准为国家重点保护野生动物名录》以及《人工繁育国家重点保护水生野生动物名录》的物种，要严格按照《决定》要求进行管理，对凡是《野生动物保护法》要求禁止猎捕、交易、运输、食用的，必须一律严格禁止。对于列入《国家重点保护经济水生动植物资源名录》的物种和我部公告的水产新品种，要按照《渔业法》等法律法规严格管理。中华鳖、乌龟等列入上述水生动物相关名录的两栖爬行类动物，按照水生动物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三、加大执法力度，严厉打击各类涉及水生野生动物的违法犯罪行为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农业农村（渔业）主管部门要主动与市场监管、公安、林草等部门加强沟通，建立和完善打击野生动物非法贸易部门联席会议制度，明确执法管理范围和责任分工，形成机制合力，提高《决定》执行的针对性、有效性。要根据《关于联合开展打击野生动物违规交易专项执法行动的通知》要求，继续联合相关部门保持高压态势，坚决取缔非法水生野生动物市场，严厉打击各类违规交易，斩断水生野生动物非法交易利益链。要结合中国渔政“亮剑”系列专项执法行动，将打击水生野生动物非法捕捞贩卖等行为作为渔政执法重点，联合相关部门，针对重点地区、重点场所、重点物种、重点环节，加强执法监管，确保“全覆盖、无死角”。对于违反《野生动物保护法》非法猎捕、交易、运输、食用水生野生动物的，要按照《决定》要求在现行法律规定基础上加重处罚；同时要强化以案说法，适时公开一批典型案件，提高法律的震慑力。</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四、强化源头管理，严格水生野生动物审批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农业农村（渔业）主管部门要认真梳理负责的水生野生动物行政许可事项，制定完善工作规范和办事指南，按照《决定》要求严格审批管理，确保水生野生动物行政许可工作规范、有序。要提高相关工作人员的业务素质，重点对水生野生动物来源合法性、申报材料的真实性，以及与审批条件的相符性严格把关，从严控制准入门槛。对于不符合审批条件和要求的，坚决不予批准。要按照“双随机、一公开”的原则，加强事中事后监管，完善相关档案和标识制度，推动水生野生动物动态化、可追溯管理。要加强水生野生动物标识管理，对于标识管理范围内的，必须严格执行标识管理有关规定，未取得标识的一律不得进入市场。对检查中发现的违法违规行为及时要求限期整改并依法予以处罚，确保水生野生动物人工繁育等活动依法依规、有序开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五、做好宣传引导，创造良好的社会环境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级农业农村（渔业）主管部门要做好《决定》以及相关法律法规的宣传解读，加大普法宣传力度，提高全社会水生野生动物保护意识，强化法治能力和水平。要充分发挥行业协会、社会组织和新闻媒体的作用，利用世界野生动植物日、全国水生野生动物保护科普宣传月等重要时间节点，以及水生生物增殖放流活动等机会，加强水生野生动物保护知识的宣传普及，引导社会公众树立科学文明的饮食观，摒弃滥食野生动物陋习，彻底铲除野生动物非法交易的生存土壤。要发挥好公众参与和社会监督作用，利用各种举报渠道，主动接受人民群众的监督，推动形成全社会保护水生野生动物的良好氛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t>贯彻落实《决定》的有关情况请及时报送我部渔业渔政管理局。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农业农村部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2020年3月4日</w:t>
      </w:r>
    </w:p>
    <w:p>
      <w:pPr>
        <w:wordWrap/>
        <w:adjustRightInd/>
        <w:snapToGrid/>
        <w:spacing w:line="560" w:lineRule="exact"/>
        <w:textAlignment w:val="auto"/>
        <w:rPr>
          <w:rFonts w:hint="eastAsia" w:ascii="仿宋" w:hAnsi="仿宋" w:eastAsia="仿宋" w:cs="仿宋"/>
          <w:sz w:val="32"/>
          <w:szCs w:val="32"/>
        </w:rPr>
      </w:pP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widowControl w:val="0"/>
        <w:wordWrap/>
        <w:adjustRightInd/>
        <w:snapToGrid/>
        <w:spacing w:line="560" w:lineRule="exact"/>
        <w:jc w:val="center"/>
        <w:textAlignment w:val="auto"/>
        <w:outlineLvl w:val="0"/>
        <w:rPr>
          <w:rFonts w:hint="eastAsia" w:ascii="宋体" w:hAnsi="宋体" w:eastAsia="宋体" w:cs="宋体"/>
          <w:sz w:val="44"/>
          <w:szCs w:val="44"/>
        </w:rPr>
      </w:pPr>
      <w:bookmarkStart w:id="424" w:name="_Toc15343"/>
      <w:r>
        <w:rPr>
          <w:rFonts w:hint="eastAsia" w:ascii="宋体" w:hAnsi="宋体" w:eastAsia="宋体" w:cs="宋体"/>
          <w:sz w:val="44"/>
          <w:szCs w:val="44"/>
        </w:rPr>
        <w:t>交通运输部关于进一步依法加强野生动物运输管理工作的通知</w:t>
      </w:r>
      <w:bookmarkEnd w:id="424"/>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rPr>
      </w:pPr>
      <w:r>
        <w:rPr>
          <w:rFonts w:hint="eastAsia" w:ascii="楷体" w:hAnsi="楷体" w:eastAsia="楷体" w:cs="楷体"/>
          <w:sz w:val="32"/>
          <w:szCs w:val="32"/>
        </w:rPr>
        <w:t>交法规〔2020〕3号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各省、自治区、直辖市、新疆生产建设兵团交通运输厅（局、委），部属各单位，部内各司局：</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为深入贯彻落实《全国人民代表大会常务委员会关于全面禁止非法野生动物交易、革除滥食野生动物陋习、切实保障人民群众生命健康安全的决定》（以下简称《决定》），现就进一步依法加强野生动物运输管理工作通知如下：</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一、提升政治站位，高度重视野生动物运输管理工作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级交通运输主管部门要深入学习贯彻习近平总书记关于新冠肺炎疫情防控重要指示精神，切实增强“四个意识”、坚定“四个自信”、做到“两个维护”，把思想和行动统一到党中央、国务院的决策部署上来。全面禁止非法野生动物交易和运输、革除滥食野生动物陋习涉及保障人民群众人身健康安全，影响重大公共卫生风险防控治理体系构建，要严格落实《决定》，全面禁止以食用为目的运输在野外环境自然生长繁殖的陆生野生动物。对于以其他目的需要运输的野生动物，应当依照《决定》、野生动物保护法和其他有关法律规定执行。</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二、全面依法落实运输环节责任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道路水路运输经营者要按照野生动物保护法、动物防疫法、道路运输条例、国内水路运输管理规定等相关要求，不得运输法律、行政法规等禁止运输的野生动物。在运输法律、行政法规等规定凭证运输的野生动物时，应当依照野生动物保护法、动物防疫法等法律规定，持有或者附有野生动物保护主管部门、动物卫生监督机构等部门开具的合法来源证明、特许猎捕证以及检疫证明等，未依法取得上述证明证件的，承运人一律不得承运。</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道路货运经营者要严格落实零担货物受理抽检抽查制度，做好托运人身份查验和登记，按照《零担货物道路运输服务规范》根据受理货物票数相应要求的3%、5%、8%比例进行抽检抽查，并做好相关信息记录。道路客运经营者要按照《客运班车行李舱载货运输规范》等要求，实施托运物品实名登记、开封验视和安全检查制度，严防通过客运班车行李舱运输野生动物。</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水路运输经营者要按照《国内水路运输管理规定》要求认真落实货运实名制规定，与托运人订立运输合同，对托运人身份信息进行查验，对托运人身份信息、托运货物信息进行登记并保存至运输合同履行完毕后6个月。水路运输经营者收到实名举报或者相关证据证明托运人涉嫌非法运输及谎报瞒报野生动物及其制品的，应当对相关货物进行检查。发现非法托运野生动物或者拒绝接受检查的，应当拒绝运输。</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道路水路运输经营者在检查查验中发现违禁运输野生动物的，应当依照野生动物保护法、动物防疫法、陆生野生动物保护实施条例、水生野生动物保护实施条例、重大动物疫情应急条例等规定及时报告野生动物保护主管部门、动物卫生监督机构等部门处理。</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三、做好动物运输环节的疫情防控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物疫病预防控制机构依法对动物疫病的发生、流行等情况进行监测时，道路水路运输经营者不得拒绝或者阻碍。道路水路运输经营者应当做好免疫、消毒等动物疫病预防工作。患有人畜共患传染病的人员不得直接从事运输活动。不得运输发生动物疫病的动物产品。</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四、加强涉及野生动物运输的执法监管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当前，各级交通运输主管部门及其执法机构要把野生动物运输环节管理作为贯彻落实《决定》的一项重要工作抓好抓紧抓实抓细。积极配合相关部门健全完善野生动物保护监管执法管理体制，加强联合执法和协调配合，建立健全执法协作机制，坚决取缔和严厉打击非法运输野生动物行为。特别是在疫情防控期间，要加大执法力度，督促道路水路运输经营者严格按照相关规范要求做好抽检抽查、登记、验视等工作。督促道路水路运输经营者严格落实野生动物运输相关规定，在执法中发现有非法运输野生动物及其制品的，应当责令整改，整改不合格的，予以通报。同时，建立案件移送制度，及时向野生动物保护主管部门、动物卫生监督机构等部门进行移交，并积极配合其依法查处。</w:t>
      </w:r>
    </w:p>
    <w:p>
      <w:pPr>
        <w:widowControl w:val="0"/>
        <w:wordWrap/>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五、强化普法宣传教育</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级交通运输主管部门要按照“谁执法谁普法”责任制的要求，以“防控疫情、法治同行”为主题，在公共交通工具、货运站场、公路客运站、物流园区、高速公路服务区等经营场所，开展《决定》和传染病防治法、野生动物保护法、动物防疫法等法律法规宣传，张贴违禁物品和限运货物、凭证运输货物相关图文宣传资料，进一步增强交通运输从业人员与社会公众的法治意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各级交通运输主管部门要加强野生动物运输环节存在问题的摸排梳理，为后续野生动物保护、疫情防控等立法、应急预案及制度完善等提出意见建议。</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国家铁路局、中国民用航空局、国家邮政局参照本通知有关要求，对铁路运输、航空运输和邮政寄递涉及野生动物运输的相关工作做好部署安排。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交通运输部</w:t>
      </w:r>
    </w:p>
    <w:p>
      <w:pPr>
        <w:widowControl w:val="0"/>
        <w:wordWrap/>
        <w:adjustRightInd/>
        <w:snapToGrid/>
        <w:spacing w:line="560" w:lineRule="exact"/>
        <w:jc w:val="right"/>
        <w:textAlignment w:val="auto"/>
        <w:rPr>
          <w:rFonts w:hint="eastAsia" w:ascii="仿宋" w:hAnsi="仿宋" w:eastAsia="仿宋" w:cs="仿宋"/>
          <w:sz w:val="32"/>
          <w:szCs w:val="32"/>
        </w:rPr>
      </w:pPr>
      <w:r>
        <w:rPr>
          <w:rFonts w:hint="eastAsia" w:ascii="仿宋" w:hAnsi="仿宋" w:eastAsia="仿宋" w:cs="仿宋"/>
          <w:sz w:val="32"/>
          <w:szCs w:val="32"/>
        </w:rPr>
        <w:t xml:space="preserve"> 2020年3月14日</w:t>
      </w:r>
    </w:p>
    <w:p>
      <w:pPr>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br w:type="page"/>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5" w:name="_Toc7344"/>
      <w:r>
        <w:rPr>
          <w:rFonts w:hint="eastAsia" w:ascii="Times New Roman" w:hAnsi="Times New Roman" w:eastAsia="宋体" w:cs="Times New Roman"/>
          <w:bCs/>
          <w:kern w:val="44"/>
          <w:sz w:val="44"/>
          <w:szCs w:val="44"/>
          <w:lang w:val="en-US" w:eastAsia="zh-CN" w:bidi="ar-SA"/>
        </w:rPr>
        <w:t>人力资源社会保障部 教育部 财政部</w:t>
      </w:r>
      <w:bookmarkEnd w:id="425"/>
      <w:r>
        <w:rPr>
          <w:rFonts w:hint="eastAsia" w:ascii="Times New Roman" w:hAnsi="Times New Roman" w:eastAsia="宋体" w:cs="Times New Roman"/>
          <w:bCs/>
          <w:kern w:val="44"/>
          <w:sz w:val="44"/>
          <w:szCs w:val="44"/>
          <w:lang w:val="en-US" w:eastAsia="zh-CN" w:bidi="ar-SA"/>
        </w:rPr>
        <w:t xml:space="preserve"> </w:t>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6" w:name="_Toc25571"/>
      <w:r>
        <w:rPr>
          <w:rFonts w:hint="eastAsia" w:ascii="Times New Roman" w:hAnsi="Times New Roman" w:eastAsia="宋体" w:cs="Times New Roman"/>
          <w:bCs/>
          <w:kern w:val="44"/>
          <w:sz w:val="44"/>
          <w:szCs w:val="44"/>
          <w:lang w:val="en-US" w:eastAsia="zh-CN" w:bidi="ar-SA"/>
        </w:rPr>
        <w:t>交通运输部 国家卫生健康委关于做好疫情</w:t>
      </w:r>
      <w:bookmarkEnd w:id="426"/>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7" w:name="_Toc2711"/>
      <w:r>
        <w:rPr>
          <w:rFonts w:hint="eastAsia" w:ascii="Times New Roman" w:hAnsi="Times New Roman" w:eastAsia="宋体" w:cs="Times New Roman"/>
          <w:bCs/>
          <w:kern w:val="44"/>
          <w:sz w:val="44"/>
          <w:szCs w:val="44"/>
          <w:lang w:val="en-US" w:eastAsia="zh-CN" w:bidi="ar-SA"/>
        </w:rPr>
        <w:t>防控期间有关就业工作的通知</w:t>
      </w:r>
      <w:bookmarkEnd w:id="427"/>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人社部明电〔2020〕2号</w:t>
      </w:r>
    </w:p>
    <w:p>
      <w:pPr>
        <w:pStyle w:val="3"/>
        <w:rPr>
          <w:rFonts w:hint="eastAsia"/>
          <w:lang w:val="en-US" w:eastAsia="zh-CN"/>
        </w:rPr>
      </w:pP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各省、自治区、直辖市及新疆生产建设兵团人力资源社会保障厅（局）、教育厅（教委）、财政厅（局）、交通运输厅（局）、卫生健康委：</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党中央、国务院高度重视新型冠状病毒感染肺炎疫情防控和农民工、高校毕业生等重点群体就业工作。当前疫情防控正处于关键期，即将迎来农民工等人员返岗复工和高校毕业生求职高峰，做好疫情防控和就业工作责任重大。为坚决贯彻中央决策部署，切实做好当前农民工、高校毕业生等重点群体就业工作，现就有关事项通知如下：</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一、有力确保重点企业用工。对保障疫情防控、公共事业运行、群众生活必需及其他涉及重要国计民生企业、重大工程，指定专人对接，优先发布用工信息，通过本地挖潜、余缺调剂、组织见习、协调实习生等，满足企业阶段性用工需求。对当地难以满足的，在符合疫情防控要求的前提下，协助企业定向跨区域招聘。对具有一定规模的，通过联防联控机制协调交通运输部门制定运送方案，有条件的可组织集中运送直达目的地。对春节期间（截至2020年2月9日）开工生产、配送疫情防控急需物资的企业，符合条件的可给予一次性吸纳就业补贴。对提供职业介绍的人力资源服务机构，按规定给予就业创业服务补助。</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二、做好返岗复工企业和劳动者的疫情防控。根据春节假期调整和防控疫情安排，抓紧摸清辖区内企业、工程项目开复工时间，在人社部门官网、官微开设专区发布。督促用人单位通过电话、短信、微信等方式，向员工通报开复工时间。加强输入地、输出地信息对接，依托公共就业人才服务机构、劳务站等向辖区内劳动者推送开复工时间。针对农民工等人员流动特点，编制发布预防手册，指导劳动者做好居家隔离和返岗务工的相关防护。针对企业行业不同特点特别是劳动密集程度，指导其做好卫生防疫、检测仪器及药品配置等工作，改善劳动者生产生活条件。</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三、关心关爱重点地区劳动者。对滞留在疫情严重地区的劳动者，通过发送慰问短信、公告、慰问信等形式，关心其健康和生活情况，妥善做好安抚和疏导。对已离开湖北返乡的劳动者，指导其主动居家隔离。对暂时难以外出且有就业意愿的农民工，开发一批就地就近就业岗位，有创业意愿的同等享受当地创业扶持政策，给予一次性创业补贴，确有困难的可按规定通过公益性岗位托底安置。疫情防控期间，湖北等疫情严重地区受疫情影响失业的参保人员，可通过失业保险基金，按照不高于当地失业保险金标准发放失业补助金，具体办法报请省级人民政府确定。失业保险金和失业补助金不得同时发放。生活确实困难的，可按规定申请临时救助。维护劳动者合法权益，各类人力资源服务机构和用人单位不得发布拒绝招录疫情严重地区劳动者的招聘信息。各类用人单位不得以来自疫情严重地区为由拒绝招用相关人员。对因疫情导致劳动者暂不能返岗提供正常劳动的，企业不得解除劳动合同或退回劳务派遣用工。</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四、支持中小微企业稳定就业。加大失业保险稳岗返还力度，将中小微企业失业保险稳岗返还政策裁员率标准由不高于上年度统筹地区城镇登记失业率，放宽到不高于上年度全国城镇调查失业率控制目标，对参保职工30人（含）以下的企业，裁员率放宽至不超过企业职工总数20%。同时，湖北等重点地区可结合实际情况将所有受疫情影响企业的稳岗返还政策裁员率标准放宽至上年度全国城镇调查失业率控制目标。具体实施办法由相关省级人民政府确定。支持企业开展在岗培训，受疫情影响的企业在确保防疫安全情况下，在停工期、恢复期组织职工参加线下或线上职业培训的，可按规定纳入补贴类培训范围。统筹使用工业企业结构调整专项奖补资金，用于支持符合条件的受疫情影响企业稳定岗位、保障基本生活等支出。发挥创业担保贷款作用，对已发放个人创业担保贷款，借款人患新型冠状病毒感染肺炎的，可向贷款银行申请展期还款，展期期限原则上不超过1年，财政部门继续给予贴息支持。对受疫情影响暂时失去收入来源的个人和小微企业，申请贷款时予以优先支持。加大创业载体奖补力度，支持创业孵化园区、示范基地降低或减免创业者场地租金等费用。</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五、完善高校毕业生就业举措。暂停各类高校毕业生就业现场招聘活动，充分利用国家、地方、高校毕业生就业网开展就业服务，完善高校毕业生就业信息共享发布机制。鼓励高校和用人单位利用互联网进行供需对接，实行网上面试、网上签约、网上报到，引导用人单位适当延长招聘时间、推迟体检时间、推迟签约录取。公共就业人才服务机构要延长报到接收时间，可通过信函、传真、网络等方式为高校毕业生办理就业协议签订、就业报到手续。视情调整2020年度事业单位和国有企业招聘、基层服务项目招募笔试面试时间，笔试已经结束的推迟面试时间，调整后的时间要及时告知考生并向社会公告。加强求职心理疏导，组织有经验的职业指导师、心理咨询师和高校心理学教师，推出一批在线咨询指导课，开通心理热线。</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六、推广优化线上招聘服务。暂停举办现场招聘和跨地区劳务协作。组织各级各类公共就业人才服务机构、人力资源服务机构加大线上招聘力度，推行视频招聘、远程面试，动态发布岗位信息，加快向中国公共招聘网（http://job.mohrss.gov.cn）归集共享，实施“就业服务不打烊、网上招聘不停歇”的线上春风行动。根据当地疫情状况和党委政府部署，确定并公告公共就业服务机构和窗口开放时间，引导就业政策、就业服务尽可能网上办、自助办，切实加快审核进度，有序疏导现场流量，及时消毒、保持通风，配备体温检测设施，做好疫情防控工作。</w:t>
      </w:r>
    </w:p>
    <w:p>
      <w:pPr>
        <w:widowControl w:val="0"/>
        <w:wordWrap/>
        <w:overflowPunct w:val="0"/>
        <w:spacing w:beforeAutospacing="0" w:afterAutospacing="0" w:line="560" w:lineRule="exact"/>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上述有关补贴类政策执行期限为疫情防控期间。各地要深入贯彻习近平总书记重要指示精神，坚决落实党中央、国务院关于应对疫情的重大决策部署，压实责任、主动作为、加强协调，积极回应群众关切，科学研判当前市场供求，引导用人单位和重点群体有序招聘求职，确保社会大局稳定。</w:t>
      </w: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w:t>
      </w: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人力资源社会保障部  教育部  财政部交通运输部   国家卫生健康委</w:t>
      </w:r>
    </w:p>
    <w:p>
      <w:pPr>
        <w:widowControl w:val="0"/>
        <w:wordWrap/>
        <w:overflowPunct w:val="0"/>
        <w:spacing w:beforeAutospacing="0" w:afterAutospacing="0" w:line="560" w:lineRule="exact"/>
        <w:jc w:val="righ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2020年2月5日</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br w:type="page"/>
      </w:r>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8" w:name="_Toc14212"/>
      <w:r>
        <w:rPr>
          <w:rFonts w:hint="eastAsia" w:ascii="Times New Roman" w:hAnsi="Times New Roman" w:eastAsia="宋体" w:cs="Times New Roman"/>
          <w:bCs/>
          <w:kern w:val="44"/>
          <w:sz w:val="44"/>
          <w:szCs w:val="44"/>
          <w:lang w:val="en-US" w:eastAsia="zh-CN" w:bidi="ar-SA"/>
        </w:rPr>
        <w:t>人力资源社会保障部办公厅</w:t>
      </w:r>
      <w:bookmarkEnd w:id="428"/>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29" w:name="_Toc19408"/>
      <w:r>
        <w:rPr>
          <w:rFonts w:hint="eastAsia" w:ascii="Times New Roman" w:hAnsi="Times New Roman" w:eastAsia="宋体" w:cs="Times New Roman"/>
          <w:bCs/>
          <w:kern w:val="44"/>
          <w:sz w:val="44"/>
          <w:szCs w:val="44"/>
          <w:lang w:val="en-US" w:eastAsia="zh-CN" w:bidi="ar-SA"/>
        </w:rPr>
        <w:t>关于妥善处理新型冠状病毒感染的肺炎</w:t>
      </w:r>
      <w:bookmarkEnd w:id="429"/>
    </w:p>
    <w:p>
      <w:pPr>
        <w:keepNext/>
        <w:keepLines/>
        <w:widowControl w:val="0"/>
        <w:wordWrap/>
        <w:adjustRightInd/>
        <w:snapToGrid/>
        <w:spacing w:before="0"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430" w:name="_Toc805"/>
      <w:r>
        <w:rPr>
          <w:rFonts w:hint="eastAsia" w:ascii="Times New Roman" w:hAnsi="Times New Roman" w:eastAsia="宋体" w:cs="Times New Roman"/>
          <w:bCs/>
          <w:kern w:val="44"/>
          <w:sz w:val="44"/>
          <w:szCs w:val="44"/>
          <w:lang w:val="en-US" w:eastAsia="zh-CN" w:bidi="ar-SA"/>
        </w:rPr>
        <w:t>疫情防控期间劳动关系问题的通知</w:t>
      </w:r>
      <w:bookmarkEnd w:id="430"/>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人社厅明电[2020]5号</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各省、自治区、直辖市及新疆生产建设兵团人力资源社会保障厅（局）：</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为做好新型冠状病毒感染的肺炎疫情防控工作，妥善处理好疫情防控期间劳动关系问题，维护职工合法权益，保障企业正常生产经营秩序，促进劳动关系和谐稳定，现就有关问题通知如下：</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一、对新型冠状病毒感染的肺炎患者、疑似病人、密切接触者在其隔离治疗期间或医学观察期间以及因政府实施隔离措施或采取其他紧急措施导致不能提供正常劳动的企业职工，企业应当支付职工在此期间的工作报酬，并不得依据劳动合同法第四十条、四十一条与职工解除劳动合同。在此期间，劳动合同到期的，分别顺延至职工医疗期期满、医学观察期期满、隔离期期满或者政府采取的紧急措施结束。</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二、企业因受疫情影响导致生产经营困难的，可以通过与职工协商一致采取调整薪酬、轮岗轮休、缩短工时等方式稳定工作岗位，尽量不裁员或者少裁员。符合条件的企业，可按规定享受稳岗补贴。企业停工停产在一个工资支付周期内的，企业应按劳动合同规定的标准支付职工工资。超过一个工资支付周期的，若职工提供了正常劳动，企业支付给职工的工资不得低于当地最低工资标准。职工没有提供正常劳动的，企业应当发放生活费，生活费标准按各省、自治区、直辖市规定的办法执行。</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三、因受疫情影响造成当事人不能在法定仲裁时效期间申请劳动人事争议仲裁的，仲裁时效中止。从中止时效的原因消除之日起，仲裁时效期间继续计算。因受疫情影响导致劳动人事争议仲裁机构难以按法定时限审理案件的，可相应顺延审理期限。</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四、各地人力资源社会保障部门要加强对受疫情影响企业的劳动用工指导和服务，加大劳动保障监察执法力度，切实保障职工合法权益。</w:t>
      </w:r>
    </w:p>
    <w:p>
      <w:pPr>
        <w:widowControl w:val="0"/>
        <w:wordWrap/>
        <w:overflowPunct w:val="0"/>
        <w:spacing w:beforeAutospacing="0" w:afterAutospacing="0" w:line="560" w:lineRule="exact"/>
        <w:jc w:val="left"/>
        <w:textAlignment w:val="auto"/>
        <w:rPr>
          <w:rFonts w:hint="eastAsia" w:ascii="宋体" w:hAnsi="宋体" w:eastAsia="仿宋_GB2312" w:cs="仿宋_GB2312"/>
          <w:color w:val="000000"/>
          <w:sz w:val="32"/>
          <w:szCs w:val="32"/>
          <w:lang w:val="en-US" w:eastAsia="zh-CN"/>
        </w:rPr>
      </w:pPr>
    </w:p>
    <w:p>
      <w:pPr>
        <w:widowControl w:val="0"/>
        <w:wordWrap/>
        <w:overflowPunct w:val="0"/>
        <w:spacing w:beforeAutospacing="0" w:afterAutospacing="0" w:line="560" w:lineRule="exact"/>
        <w:jc w:val="righ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人力资源社会保障部办公厅</w:t>
      </w:r>
    </w:p>
    <w:p>
      <w:pPr>
        <w:widowControl w:val="0"/>
        <w:wordWrap/>
        <w:overflowPunct w:val="0"/>
        <w:spacing w:beforeAutospacing="0" w:afterAutospacing="0" w:line="560" w:lineRule="exact"/>
        <w:jc w:val="right"/>
        <w:textAlignment w:val="auto"/>
        <w:rPr>
          <w:rFonts w:hint="eastAsia" w:ascii="宋体" w:hAnsi="宋体" w:eastAsia="仿宋_GB2312" w:cs="仿宋_GB2312"/>
          <w:color w:val="000000"/>
          <w:sz w:val="32"/>
          <w:szCs w:val="32"/>
          <w:lang w:val="en-US" w:eastAsia="zh-CN"/>
        </w:rPr>
      </w:pPr>
      <w:r>
        <w:rPr>
          <w:rFonts w:hint="eastAsia" w:ascii="仿宋" w:hAnsi="仿宋" w:eastAsia="仿宋" w:cs="仿宋"/>
          <w:color w:val="000000"/>
          <w:sz w:val="32"/>
          <w:szCs w:val="32"/>
          <w:lang w:val="en-US" w:eastAsia="zh-CN"/>
        </w:rPr>
        <w:t>2020年1月24日</w:t>
      </w:r>
    </w:p>
    <w:p>
      <w:pPr>
        <w:widowControl w:val="0"/>
        <w:wordWrap/>
        <w:overflowPunct w:val="0"/>
        <w:spacing w:beforeAutospacing="0" w:afterAutospacing="0" w:line="560" w:lineRule="exact"/>
        <w:jc w:val="left"/>
        <w:textAlignment w:val="auto"/>
        <w:rPr>
          <w:rFonts w:hint="eastAsia" w:ascii="宋体" w:hAnsi="宋体" w:eastAsia="宋体" w:cs="宋体"/>
          <w:color w:val="000000"/>
          <w:sz w:val="44"/>
          <w:szCs w:val="44"/>
        </w:rPr>
      </w:pPr>
      <w:r>
        <w:rPr>
          <w:rFonts w:hint="eastAsia" w:ascii="宋体" w:hAnsi="宋体" w:eastAsia="仿宋_GB2312" w:cs="仿宋_GB2312"/>
          <w:color w:val="000000"/>
          <w:sz w:val="32"/>
          <w:szCs w:val="32"/>
          <w:lang w:val="en-US" w:eastAsia="zh-CN"/>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rPr>
      </w:pPr>
      <w:bookmarkStart w:id="431" w:name="_Toc28716"/>
      <w:r>
        <w:rPr>
          <w:rFonts w:hint="eastAsia" w:ascii="宋体" w:hAnsi="宋体" w:eastAsia="宋体" w:cs="宋体"/>
          <w:b w:val="0"/>
          <w:bCs/>
          <w:i w:val="0"/>
          <w:caps w:val="0"/>
          <w:color w:val="333333"/>
          <w:spacing w:val="0"/>
          <w:sz w:val="44"/>
          <w:szCs w:val="44"/>
          <w:shd w:val="clear" w:color="090000" w:fill="FFFFFF"/>
        </w:rPr>
        <w:t>国务院办公厅关于应对新冠肺炎疫情影响</w:t>
      </w:r>
      <w:bookmarkEnd w:id="431"/>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333333"/>
          <w:spacing w:val="0"/>
          <w:sz w:val="44"/>
          <w:szCs w:val="44"/>
        </w:rPr>
      </w:pPr>
      <w:bookmarkStart w:id="432" w:name="_Toc24818"/>
      <w:r>
        <w:rPr>
          <w:rFonts w:hint="eastAsia" w:ascii="宋体" w:hAnsi="宋体" w:eastAsia="宋体" w:cs="宋体"/>
          <w:b w:val="0"/>
          <w:bCs/>
          <w:i w:val="0"/>
          <w:caps w:val="0"/>
          <w:color w:val="333333"/>
          <w:spacing w:val="0"/>
          <w:sz w:val="44"/>
          <w:szCs w:val="44"/>
          <w:shd w:val="clear" w:color="090000" w:fill="FFFFFF"/>
        </w:rPr>
        <w:t>强化稳就业举措的实施意见</w:t>
      </w:r>
      <w:bookmarkEnd w:id="432"/>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333333"/>
          <w:spacing w:val="0"/>
          <w:sz w:val="32"/>
          <w:szCs w:val="32"/>
        </w:rPr>
      </w:pPr>
      <w:r>
        <w:rPr>
          <w:rFonts w:hint="eastAsia" w:ascii="楷体" w:hAnsi="楷体" w:eastAsia="楷体" w:cs="楷体"/>
          <w:i w:val="0"/>
          <w:caps w:val="0"/>
          <w:color w:val="333333"/>
          <w:spacing w:val="0"/>
          <w:sz w:val="32"/>
          <w:szCs w:val="32"/>
          <w:shd w:val="clear" w:color="070000" w:fill="FFFFFF"/>
        </w:rPr>
        <w:t>国办发〔2020〕6号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333333"/>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各省、自治区、直辖市人民政府，国务院各部委、各直属机构：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为深入贯彻习近平总书记关于统筹推进新冠肺炎疫情防控和经济社会发展工作的重要指示精神，加快恢复和稳定就业，经国务院同意，现提出如下意见：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color="090000" w:fill="FFFFFF"/>
        </w:rPr>
        <w:t>一、更好实施就业优先政策</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一）推动企业复工复产。坚持分区分级精准防控，提高复工复产服务便利度，取消不合理审批，坚决纠正限制劳动者返岗的不合理规定。加快重大工程项目、出口重点企业开复工，以制造业、建筑业、物流业、公共服务业和农业生产等为突破口，全力以赴推动重点行业和低风险地区就业，循序渐进带动其他行业和地区就业。协调解决复工复产企业日常防护物资需求，督促其落实工作场所、食堂宿舍等防控措施。（发展改革委、工业和信息化部、交通运输部、卫生健康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加大减负稳岗力度。加快实施阶段性、有针对性的减税降费政策。加大失业保险稳岗返还，对不裁员或少裁员的中小微企业，返还标准最高可提至企业及其职工上年度缴纳失业保险费的100%，湖北省可放宽到所有企业；对暂时生产经营困难且恢复有望、坚持不裁员或少裁员的参保企业，适当放宽其稳岗返还政策认定标准，重点向受疫情影响企业倾斜，返还标准可按不超过6个月的当地月人均失业保险金和参保职工人数确定，或按不超过3个月的企业及其职工应缴纳社会保险费确定。2020年6月底前，允许工程建设项目暂缓缴存农民工工资保证金，支付记录良好的企业可免缴。切实落实企业吸纳重点群体就业的定额税收减免、担保贷款及贴息、就业补贴等政策。加快实施阶段性减免、缓缴社会保险费政策，减免期间企业吸纳就业困难人员的社会保险补贴期限可顺延。（财政部、人力资源社会保障部、住房城乡建设部、交通运输部、水利部、人民银行、税务总局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三）提升投资和产业带动就业能力。实施重大产业就业影响评估，明确重要产业规划带动就业目标，优先投资就业带动能力强、有利于农村劳动力就地就近就业和高校毕业生就业的产业。加快制定和完善引导相关产业向中西部地区转移的政策措施。对部分带动就业能力强、环境影响可控的项目，制定环评审批正面清单，加大环评“放管服”改革力度，审慎采取查封扣押、限产停产等措施。（发展改革委、人力资源社会保障部、生态环境部、商务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四）优化自主创业环境。深化“证照分离”改革，推进“照后减证”和简化审批，简化住所（经营场所）登记手续，申请人提交场所合法使用证明即可登记。充分发挥创业投资促进“双创”和增加就业的独特作用，对带动就业能力强的创业投资企业予以引导基金扶持、政府项目对接等政策支持。加大创业担保贷款支持力度，扩大政策覆盖范围，优先支持受疫情影响的重点群体，对优质创业项目免除反担保要求。政府投资开发的孵化基地等创业载体应安排一定比例场地，免费向高校毕业生、农民工等重点群体提供。各类城市创优评先项目应将带动就业能力强的“小店经济”、步行街发展状况作为重要条件。（发展改革委、工业和信息化部、财政部、人力资源社会保障部、商务部、人民银行、市场监管总局、银保监会、全国妇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五）支持多渠道灵活就业。合理设定无固定经营场所摊贩管理模式，预留自由市场、摊点群等经营网点。支持劳动者依托平台就业，平台就业人员购置生产经营必需工具的，可申请创业担保贷款及贴息；引导平台企业放宽入驻条件、降低管理服务费，与平台就业人员就劳动报酬、工作时间、劳动保护等建立制度化、常态化沟通协调机制。取消灵活就业人员参加企业职工基本养老保险的省内城乡户籍限制，对就业困难人员、离校2年内未就业高校毕业生灵活就业后缴纳社会保险费的，按规定给予一定的社会保险补贴。（财政部、人力资源社会保障部、自然资源部、人民银行、市场监管总局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二、引导农民工安全有序转移就业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六）引导有序外出就业。强化重点企业用工调度保障、农民工“点对点、一站式”返岗复工服务，推广健康信息互认等机制，提升对成规模集中返岗劳动者的输送保障能力。引导劳动者有序求职就业，及时收集发布用工信息，加强输出地和输入地信息对接，鼓励低风险地区农民工尽快返岗复工。对组织集中返岗、劳务输出涉及的交通运输、卫生防疫等给予支持。对人力资源服务机构、劳务经纪人开展跨区域有组织劳务输出的，给予就业创业服务补助。（公安部、财政部、人力资源社会保障部、交通运输部、卫生健康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七）支持就地就近就业。抓好春季农业生产，大力发展新型农业经营主体，组织暂时无法外出的农民工投入春耕备耕，从事特色养殖、精深加工、生态旅游等行业。在县城和中心镇建设一批城镇基础设施、公共服务设施，加强农业基础设施建设，实施农村人居环境改善工程，开展以工代赈工程建设，优先吸纳农村贫困劳动力和低收入群体就业。（发展改革委、人力资源社会保障部、交通运输部、农业农村部、卫生健康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八）优先支持贫困劳动力就业。企业复工复产、重大项目开工、物流体系建设等优先组织和使用贫困劳动力，鼓励企业更多招用贫困劳动力。支持扶贫龙头企业、扶贫车间尽快复工。利用公益性岗位提供更多就地就近就业机会，优先对贫困劳动力托底安置。加大对“三区三州”等深度贫困地区、52个未摘帽贫困县、易地扶贫搬迁大型安置区的支持力度。对吸纳贫困劳动力就业规模大的，各地可通过财政专项扶贫资金给予一次性奖励。（发展改革委、财政部、人力资源社会保障部、农业农村部、扶贫办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三、拓宽高校毕业生就业渠道</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九）扩大企业吸纳规模。对中小微企业招用毕业年度高校毕业生并签订1年以上劳动合同的，给予一次性吸纳就业补贴。国有企业今明两年连续扩大高校毕业生招聘规模，不得随意毁约，不得将本单位实习期限作为招聘入职的前提条件。（财政部、人力资源社会保障部、国资委、烟草局、邮政局等部门和企业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扩大基层就业规模。各级事业单位空缺岗位今明两年提高专项招聘高校毕业生的比例。开发城乡社区等基层公共管理和社会服务岗位。扩大“三支一扶”计划等基层服务项目招募规模。出台改革措施，允许部分专业高校毕业生免试取得相关职业资格证书。畅通民营企业专业技术职称评审渠道。（教育部、民政部、财政部、人力资源社会保障部、农业农村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一）扩大招生入伍规模。扩大2020年硕士研究生招生和普通高校专升本招生规模。扩大大学生应征入伍规模，健全参军入伍激励政策，大力提高应届毕业生征集比例。（发展改革委、教育部、财政部、退役军人部、中央军委政治工作部、中央军委国防动员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二）扩大就业见习规模。支持企业、政府投资项目、科研项目设立见习岗位。对因疫情影响见习暂时中断的，相应延长见习单位补贴期限。对见习期未满与高校毕业生签订劳动合同的，给予见习单位剩余期限见习补贴。（财政部、人力资源社会保障部、商务部、国资委、共青团中央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三）适当延迟录用接收。引导用人单位推迟面试体检和签约录取时间。对延迟离校的应届毕业生，相应延长报到接收、档案转递、落户办理时限。离校未就业毕业生可根据本人意愿，将户口、档案在学校保留2年或转入生源地公共就业人才服务机构，以应届毕业生身份参加用人单位考试、录用，落实工作单位后参照应届毕业生办理相关手续。（教育部、人力资源社会保障部、国资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四、加强困难人员兜底保障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四）保障失业人员基本生活。畅通失业保险金申领渠道，放宽失业保险申领期限，2020年4月底前实现线上申领失业保险金。对领取失业保险金期满仍未就业的失业人员、不符合领取失业保险金条件的参保失业人员，发放6个月的失业补助金，标准不高于当地失业保险金的80%。对生活困难的失业人员及家庭，按规定及时纳入最低生活保障、临时救助等社会救助范围。（民政部、财政部、人力资源社会保障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五）强化困难人员就业援助。动态调整就业困难人员认定标准，及时将受疫情影响人员纳入就业援助范围，确保零就业家庭动态清零。对通过市场渠道确实难以就业的，利用公益性岗位托底安置。开发一批消杀防疫、保洁环卫等临时性公益岗位，根据工作任务和工作时间，给予一定的岗位补贴和社会保险补贴，补贴期限最长不超过6个月，所需资金可从就业补助资金中列支。（财政部、人力资源社会保障部、中国残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六）加大对湖北等疫情严重地区就业支持。建立农资点对点保障运输绿色通道，支持湖北省组织农业生产。对湖北高校及湖北籍2020届高校毕业生给予一次性求职创业补贴，湖北省各级事业单位可面向湖北高校及湖北籍高校毕业生开展专项招聘，高校毕业生基层服务项目向湖北省倾斜。做好湖北省疫情解除后的就业工作，加大资金、政策、项目倾斜，开展专场招聘和专项帮扶。维护就业公平，坚决纠正针对疫情严重地区劳动者的就业歧视。（发展改革委、教育部、工业和信息化部、财政部、人力资源社会保障部、农业农村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五、完善职业培训和就业服务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七）大规模开展职业技能培训。加大失业人员、农民工等职业技能培训力度，实施农民工等重点群体专项培训，适当延长培训时间。对企业组织职工参加线上线下培训，组织新招用农民工、高校毕业生参加岗前培训的，给予职业培训补贴。动态发布新职业，组织制定急需紧缺职业技能标准。（财政部、人力资源社会保障部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八）优化就业服务。2020年3月底前开放线上失业登记。推进在线办理就业服务和补贴申领。持续开展线上招聘服务，发挥公共就业服务机构、高校就业指导机构、经营性人力资源服务机构作用，加大岗位信息、职业指导、网上面试等服务供给。对大龄和低技能劳动者，通过电话、短信等方式推送岗位信息，提供求职、应聘等专门服务。低风险地区可有序开展小型专项供需对接活动。优化用工指导服务，鼓励困难企业与职工协商采取调整薪酬、轮岗轮休、灵活安排工作时间等方式稳定岗位，依法规范裁员行为。（教育部、财政部、人力资源社会保障部、全国总工会、全国工商联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i w:val="0"/>
          <w:caps w:val="0"/>
          <w:color w:val="333333"/>
          <w:spacing w:val="0"/>
          <w:sz w:val="32"/>
          <w:szCs w:val="32"/>
          <w:shd w:val="clear" w:color="090000" w:fill="FFFFFF"/>
        </w:rPr>
      </w:pPr>
      <w:r>
        <w:rPr>
          <w:rFonts w:hint="eastAsia" w:ascii="黑体" w:hAnsi="黑体" w:eastAsia="黑体" w:cs="黑体"/>
          <w:b w:val="0"/>
          <w:bCs/>
          <w:i w:val="0"/>
          <w:caps w:val="0"/>
          <w:color w:val="333333"/>
          <w:spacing w:val="0"/>
          <w:sz w:val="32"/>
          <w:szCs w:val="32"/>
          <w:shd w:val="clear" w:color="090000" w:fill="FFFFFF"/>
        </w:rPr>
        <w:t>六、压实就业工作责任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十九）强化组织领导。各地区各有关部门要在确保疫情防控到位的前提下，毫不放松抓紧抓实抓细稳就业各项工作。县级以上地方政府要加快建立由政府负责人牵头的就业工作领导机制，压实工作责任，细化实化扶持政策。各有关部门要同向发力，围绕稳就业需要，落实完善政策措施，形成工作合力。要健全公共就业服务体系，加强基层公共就业服务能力建设，提升基本公共就业服务水平。（各有关部门和单位、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加强资金保障。加大就业补助资金和稳岗补贴投入力度。支持市县政府根据稳就业工作推进和政策实施需要，统筹用好就业创业、职业培训、风险储备等方面资金。失业保险基金结余大的地区，要加速稳岗返还、保生活政策落地见效。（财政部、人力资源社会保障部、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一）强化表扬激励。持续开展就业工作表扬激励，完善激励办法，对落实稳就业政策措施工作力度大、促进重点群体就业创业等任务完成较好的地方，及时予以资金支持等方面的表扬激励。（人力资源社会保障部、财政部牵头，各有关部门和单位、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二十二）加强督促落实。细化分解目标任务，在相关督查工作中将稳就业作为重要内容，重点督促政策服务落地及重点群体就业、资金保障落实等。对不履行促进就业职责，产生严重后果或造成恶劣社会影响的，依法依规严肃问责。完善劳动力调查，研究建立省级调查失业率按月统计发布制度，启动就业岗位调查，做好化解失业风险的政策储备和应对预案。（人力资源社会保障部、统计局牵头，各有关部门和单位、各省级人民政府按职责分工负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上述新增补贴政策，受理截止期限为2020年12月31日。各地区各有关部门要抓紧政策实施，发挥政策最大效应，工作中遇到的重要情况和重大问题及时报告国务院。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shd w:val="clear" w:color="070000" w:fill="FFFFFF"/>
        </w:rPr>
      </w:pPr>
      <w:r>
        <w:rPr>
          <w:rFonts w:hint="eastAsia" w:ascii="仿宋" w:hAnsi="仿宋" w:eastAsia="仿宋" w:cs="仿宋"/>
          <w:i w:val="0"/>
          <w:caps w:val="0"/>
          <w:color w:val="333333"/>
          <w:spacing w:val="0"/>
          <w:sz w:val="32"/>
          <w:szCs w:val="32"/>
          <w:shd w:val="clear" w:color="070000" w:fill="FFFFFF"/>
        </w:rPr>
        <w:t>国务院办公厅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333333"/>
          <w:spacing w:val="0"/>
          <w:sz w:val="32"/>
          <w:szCs w:val="32"/>
        </w:rPr>
      </w:pPr>
      <w:r>
        <w:rPr>
          <w:rFonts w:hint="eastAsia" w:ascii="仿宋" w:hAnsi="仿宋" w:eastAsia="仿宋" w:cs="仿宋"/>
          <w:i w:val="0"/>
          <w:caps w:val="0"/>
          <w:color w:val="333333"/>
          <w:spacing w:val="0"/>
          <w:sz w:val="32"/>
          <w:szCs w:val="32"/>
          <w:shd w:val="clear" w:color="070000" w:fill="FFFFFF"/>
        </w:rPr>
        <w:t>2020年3月18日 </w:t>
      </w:r>
    </w:p>
    <w:p>
      <w:pPr>
        <w:wordWrap/>
        <w:adjustRightInd/>
        <w:snapToGrid/>
        <w:spacing w:line="560" w:lineRule="exact"/>
        <w:ind w:firstLine="640" w:firstLineChars="200"/>
        <w:textAlignment w:val="auto"/>
        <w:rPr>
          <w:rFonts w:hint="eastAsia" w:ascii="仿宋" w:hAnsi="仿宋" w:eastAsia="仿宋" w:cs="仿宋"/>
          <w:sz w:val="32"/>
          <w:szCs w:val="32"/>
        </w:rPr>
      </w:pPr>
    </w:p>
    <w:p>
      <w:pPr>
        <w:widowControl w:val="0"/>
        <w:wordWrap/>
        <w:overflowPunct w:val="0"/>
        <w:adjustRightInd/>
        <w:snapToGrid/>
        <w:spacing w:beforeAutospacing="0" w:afterAutospacing="0" w:line="560" w:lineRule="exact"/>
        <w:textAlignment w:val="auto"/>
        <w:rPr>
          <w:rFonts w:hint="eastAsia" w:ascii="宋体" w:hAnsi="宋体" w:cs="Arial"/>
          <w:kern w:val="0"/>
          <w:szCs w:val="32"/>
          <w:lang w:eastAsia="zh-CN"/>
        </w:rPr>
      </w:pPr>
      <w:r>
        <w:rPr>
          <w:rFonts w:hint="eastAsia" w:ascii="宋体" w:hAnsi="宋体" w:cs="Arial"/>
          <w:kern w:val="0"/>
          <w:szCs w:val="32"/>
          <w:lang w:eastAsia="zh-CN"/>
        </w:rPr>
        <w:br w:type="page"/>
      </w:r>
    </w:p>
    <w:p>
      <w:pPr>
        <w:widowControl w:val="0"/>
        <w:wordWrap/>
        <w:overflowPunct w:val="0"/>
        <w:adjustRightInd/>
        <w:snapToGrid/>
        <w:spacing w:beforeAutospacing="0" w:afterAutospacing="0" w:line="560" w:lineRule="exact"/>
        <w:ind w:right="0"/>
        <w:jc w:val="center"/>
        <w:textAlignment w:val="auto"/>
        <w:outlineLvl w:val="0"/>
        <w:rPr>
          <w:rFonts w:hint="eastAsia" w:ascii="宋体" w:hAnsi="宋体" w:eastAsia="宋体" w:cs="宋体"/>
          <w:b w:val="0"/>
          <w:bCs/>
          <w:sz w:val="44"/>
          <w:szCs w:val="44"/>
        </w:rPr>
      </w:pPr>
      <w:bookmarkStart w:id="433" w:name="_Toc21569"/>
      <w:r>
        <w:rPr>
          <w:rFonts w:hint="eastAsia" w:ascii="宋体" w:hAnsi="宋体" w:eastAsia="宋体" w:cs="宋体"/>
          <w:b w:val="0"/>
          <w:bCs/>
          <w:sz w:val="44"/>
          <w:szCs w:val="44"/>
        </w:rPr>
        <w:t>广东省突发公共卫生事件应急办法</w:t>
      </w:r>
      <w:bookmarkEnd w:id="433"/>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640" w:leftChars="200" w:right="640" w:rightChars="200" w:firstLine="0" w:firstLineChars="0"/>
        <w:jc w:val="left"/>
        <w:textAlignment w:val="auto"/>
        <w:outlineLvl w:val="9"/>
        <w:rPr>
          <w:rFonts w:hint="eastAsia" w:ascii="宋体" w:hAnsi="宋体" w:eastAsia="楷体_GB2312" w:cs="楷体_GB2312"/>
          <w:b w:val="0"/>
          <w:bCs/>
          <w:sz w:val="32"/>
          <w:szCs w:val="32"/>
        </w:rPr>
      </w:pPr>
      <w:r>
        <w:rPr>
          <w:rFonts w:hint="eastAsia" w:ascii="宋体" w:hAnsi="宋体" w:eastAsia="楷体_GB2312" w:cs="楷体_GB2312"/>
          <w:b w:val="0"/>
          <w:bCs/>
          <w:sz w:val="32"/>
          <w:szCs w:val="32"/>
        </w:rPr>
        <w:t>（2003年11月27日广东省第十届人民代表大会常务委员会第七次会议通过）</w:t>
      </w:r>
    </w:p>
    <w:p>
      <w:pPr>
        <w:widowControl w:val="0"/>
        <w:wordWrap/>
        <w:overflowPunct w:val="0"/>
        <w:adjustRightInd/>
        <w:snapToGrid/>
        <w:spacing w:beforeAutospacing="0" w:afterAutospacing="0" w:line="560" w:lineRule="exact"/>
        <w:ind w:right="0" w:firstLine="640"/>
        <w:jc w:val="left"/>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第一条</w:t>
      </w:r>
      <w:r>
        <w:rPr>
          <w:rFonts w:hint="eastAsia" w:ascii="宋体" w:hAnsi="宋体" w:eastAsia="仿宋_GB2312" w:cs="仿宋_GB2312"/>
          <w:b w:val="0"/>
          <w:bCs/>
          <w:sz w:val="32"/>
          <w:szCs w:val="32"/>
        </w:rPr>
        <w:t>　根据国务院《突发公共卫生事件应急条例》，结合本省实际，制定本办法。</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第二条</w:t>
      </w:r>
      <w:r>
        <w:rPr>
          <w:rFonts w:hint="eastAsia" w:ascii="宋体" w:hAnsi="宋体" w:eastAsia="仿宋_GB2312" w:cs="仿宋_GB2312"/>
          <w:b w:val="0"/>
          <w:bCs/>
          <w:sz w:val="32"/>
          <w:szCs w:val="32"/>
        </w:rPr>
        <w:t xml:space="preserve">  本办法所称突发公共卫生事件（以下简称突发事件），是指突然发生，造成或者可能造成社会公众健康严重损害的重大传染病疫情、群体性不明原因疾病、重大食物和职业中毒以及其他严重影响公众健康的事件。</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仿宋_GB2312" w:cs="仿宋_GB2312"/>
          <w:b w:val="0"/>
          <w:bCs/>
          <w:sz w:val="32"/>
          <w:szCs w:val="32"/>
        </w:rPr>
        <w:t>本办法所称疾病预防控制机构，是指疾病预防控制中心、职业病防治院（所）和鼠疫防治站（所）。</w:t>
      </w:r>
    </w:p>
    <w:p>
      <w:pPr>
        <w:pStyle w:val="35"/>
        <w:widowControl w:val="0"/>
        <w:wordWrap/>
        <w:overflowPunct w:val="0"/>
        <w:adjustRightInd/>
        <w:snapToGrid/>
        <w:spacing w:beforeAutospacing="0" w:afterAutospacing="0" w:line="560" w:lineRule="exact"/>
        <w:ind w:right="0" w:firstLine="643"/>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第三条</w:t>
      </w:r>
      <w:r>
        <w:rPr>
          <w:rFonts w:hint="eastAsia" w:ascii="宋体" w:hAnsi="宋体" w:eastAsia="仿宋_GB2312" w:cs="仿宋_GB2312"/>
          <w:b w:val="0"/>
          <w:bCs/>
          <w:sz w:val="32"/>
          <w:szCs w:val="32"/>
        </w:rPr>
        <w:t xml:space="preserve">  本省行政区域内突发事件应急处理工作适用本办法。</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第四条</w:t>
      </w:r>
      <w:r>
        <w:rPr>
          <w:rFonts w:hint="eastAsia" w:ascii="宋体" w:hAnsi="宋体" w:eastAsia="仿宋_GB2312" w:cs="仿宋_GB2312"/>
          <w:b w:val="0"/>
          <w:bCs/>
          <w:sz w:val="32"/>
          <w:szCs w:val="32"/>
        </w:rPr>
        <w:t xml:space="preserve">  突发事件应急工作，应当</w:t>
      </w:r>
      <w:r>
        <w:rPr>
          <w:rFonts w:hint="eastAsia" w:ascii="宋体" w:hAnsi="宋体" w:eastAsia="仿宋_GB2312" w:cs="仿宋_GB2312"/>
          <w:b w:val="0"/>
          <w:bCs/>
          <w:iCs/>
          <w:sz w:val="32"/>
          <w:szCs w:val="32"/>
        </w:rPr>
        <w:t>做到</w:t>
      </w:r>
      <w:r>
        <w:rPr>
          <w:rFonts w:hint="eastAsia" w:ascii="宋体" w:hAnsi="宋体" w:eastAsia="仿宋_GB2312" w:cs="仿宋_GB2312"/>
          <w:b w:val="0"/>
          <w:bCs/>
          <w:sz w:val="32"/>
          <w:szCs w:val="32"/>
        </w:rPr>
        <w:t>反应及时、沉着应对，</w:t>
      </w:r>
      <w:r>
        <w:rPr>
          <w:rFonts w:hint="eastAsia" w:ascii="宋体" w:hAnsi="宋体" w:eastAsia="仿宋_GB2312" w:cs="仿宋_GB2312"/>
          <w:b w:val="0"/>
          <w:bCs/>
          <w:spacing w:val="-6"/>
          <w:sz w:val="32"/>
          <w:szCs w:val="32"/>
        </w:rPr>
        <w:t>科学防治</w:t>
      </w:r>
      <w:r>
        <w:rPr>
          <w:rFonts w:hint="eastAsia" w:ascii="宋体" w:hAnsi="宋体" w:eastAsia="仿宋_GB2312" w:cs="仿宋_GB2312"/>
          <w:b w:val="0"/>
          <w:bCs/>
          <w:i/>
          <w:iCs/>
          <w:spacing w:val="-6"/>
          <w:sz w:val="32"/>
          <w:szCs w:val="32"/>
        </w:rPr>
        <w:t>、</w:t>
      </w:r>
      <w:r>
        <w:rPr>
          <w:rFonts w:hint="eastAsia" w:ascii="宋体" w:hAnsi="宋体" w:eastAsia="仿宋_GB2312" w:cs="仿宋_GB2312"/>
          <w:b w:val="0"/>
          <w:bCs/>
          <w:spacing w:val="-6"/>
          <w:sz w:val="32"/>
          <w:szCs w:val="32"/>
        </w:rPr>
        <w:t>规范管理，加强宣传、正确引导，依靠群众、协同作战。</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b w:val="0"/>
          <w:bCs/>
          <w:sz w:val="32"/>
          <w:szCs w:val="32"/>
        </w:rPr>
        <w:t>第</w:t>
      </w:r>
      <w:r>
        <w:rPr>
          <w:rFonts w:hint="eastAsia" w:ascii="宋体" w:hAnsi="宋体" w:eastAsia="黑体"/>
          <w:b w:val="0"/>
          <w:bCs/>
          <w:iCs/>
          <w:sz w:val="32"/>
          <w:szCs w:val="32"/>
        </w:rPr>
        <w:t>五条</w:t>
      </w:r>
      <w:r>
        <w:rPr>
          <w:rFonts w:hint="eastAsia" w:ascii="宋体" w:hAnsi="宋体" w:eastAsia="仿宋_GB2312" w:cs="仿宋_GB2312"/>
          <w:b w:val="0"/>
          <w:bCs/>
          <w:iCs/>
          <w:sz w:val="32"/>
          <w:szCs w:val="32"/>
        </w:rPr>
        <w:t xml:space="preserve"> </w:t>
      </w:r>
      <w:r>
        <w:rPr>
          <w:rFonts w:hint="eastAsia" w:ascii="宋体" w:hAnsi="宋体" w:eastAsia="仿宋_GB2312" w:cs="仿宋_GB2312"/>
          <w:b w:val="0"/>
          <w:bCs/>
          <w:sz w:val="32"/>
          <w:szCs w:val="32"/>
        </w:rPr>
        <w:t xml:space="preserve"> 突发事件应急处理工作实行统一领导、分级负责。</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省人民政府统一领导全省突发事件的应急处理工作</w:t>
      </w:r>
      <w:r>
        <w:rPr>
          <w:rFonts w:hint="eastAsia" w:ascii="宋体" w:hAnsi="宋体" w:eastAsia="仿宋_GB2312" w:cs="仿宋_GB2312"/>
          <w:b w:val="0"/>
          <w:bCs/>
          <w:i/>
          <w:iCs/>
          <w:sz w:val="32"/>
          <w:szCs w:val="32"/>
        </w:rPr>
        <w:t>。</w:t>
      </w:r>
    </w:p>
    <w:p>
      <w:pPr>
        <w:pStyle w:val="35"/>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市、县（区）人民政府具体负责本行政区域内突发事件的应急处理工作。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第六条</w:t>
      </w:r>
      <w:r>
        <w:rPr>
          <w:rFonts w:hint="eastAsia" w:ascii="宋体" w:hAnsi="宋体" w:eastAsia="仿宋_GB2312" w:cs="仿宋_GB2312"/>
          <w:b w:val="0"/>
          <w:bCs/>
          <w:sz w:val="32"/>
          <w:szCs w:val="32"/>
        </w:rPr>
        <w:t xml:space="preserve">  突发事件发生后，省人民政府和发生地的市、县（区）人民政府应当迅速成立由有关部门组成的突发事件应急处理指挥部（以下简称指挥部），由本级人民政府主要领导人担任总指挥，负责领导、指挥本行政区域内突发事件应急处理工作，按照突发事件应急预案，及时组织有关部门落实各项应急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指挥部的主要职责：</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i/>
          <w:iCs/>
          <w:sz w:val="32"/>
          <w:szCs w:val="32"/>
          <w:u w:val="single"/>
        </w:rPr>
      </w:pPr>
      <w:r>
        <w:rPr>
          <w:rFonts w:hint="eastAsia" w:ascii="宋体" w:hAnsi="宋体" w:eastAsia="仿宋_GB2312" w:cs="仿宋_GB2312"/>
          <w:b w:val="0"/>
          <w:bCs/>
          <w:sz w:val="32"/>
          <w:szCs w:val="32"/>
        </w:rPr>
        <w:t>　　（一）指令卫生行政主管部门立即组织医疗救治，并会同有关部门对突发事件发生原因、涉及人群、地域范围、危害程度、影响及发展趋势进行调查研究，科学分析，报告情况，提出防治规范和工作指引，采取控制和预防措施；</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（二）指令科技行政主管部门</w:t>
      </w:r>
      <w:r>
        <w:rPr>
          <w:rFonts w:hint="eastAsia" w:ascii="宋体" w:hAnsi="宋体" w:eastAsia="仿宋_GB2312" w:cs="仿宋_GB2312"/>
          <w:b w:val="0"/>
          <w:bCs/>
          <w:iCs/>
          <w:sz w:val="32"/>
          <w:szCs w:val="32"/>
        </w:rPr>
        <w:t>组织</w:t>
      </w:r>
      <w:r>
        <w:rPr>
          <w:rFonts w:hint="eastAsia" w:ascii="宋体" w:hAnsi="宋体" w:eastAsia="仿宋_GB2312" w:cs="仿宋_GB2312"/>
          <w:b w:val="0"/>
          <w:bCs/>
          <w:sz w:val="32"/>
          <w:szCs w:val="32"/>
        </w:rPr>
        <w:t>医疗卫生机构和有关科研机构整合科研资源，开展科研协作和联合攻关；</w:t>
      </w:r>
    </w:p>
    <w:p>
      <w:pPr>
        <w:pStyle w:val="3"/>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i/>
          <w:iCs/>
          <w:sz w:val="32"/>
          <w:szCs w:val="32"/>
          <w:u w:val="single"/>
        </w:rPr>
      </w:pPr>
      <w:r>
        <w:rPr>
          <w:rFonts w:hint="eastAsia" w:ascii="宋体" w:hAnsi="宋体" w:eastAsia="仿宋_GB2312" w:cs="仿宋_GB2312"/>
          <w:b w:val="0"/>
          <w:bCs/>
          <w:sz w:val="32"/>
          <w:szCs w:val="32"/>
        </w:rPr>
        <w:t>　　（三）指令有关行政主管部门迅速调集突发事件应急处理所必需的人力、财力和物力；</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（四）</w:t>
      </w:r>
      <w:r>
        <w:rPr>
          <w:rFonts w:hint="eastAsia" w:ascii="宋体" w:hAnsi="宋体" w:eastAsia="仿宋_GB2312" w:cs="仿宋_GB2312"/>
          <w:b w:val="0"/>
          <w:bCs/>
          <w:iCs/>
          <w:sz w:val="32"/>
          <w:szCs w:val="32"/>
        </w:rPr>
        <w:t>必要时</w:t>
      </w:r>
      <w:r>
        <w:rPr>
          <w:rFonts w:hint="eastAsia" w:ascii="宋体" w:hAnsi="宋体" w:eastAsia="仿宋_GB2312" w:cs="仿宋_GB2312"/>
          <w:b w:val="0"/>
          <w:bCs/>
          <w:sz w:val="32"/>
          <w:szCs w:val="32"/>
        </w:rPr>
        <w:t>，经省指挥部决定，依法对传染病疫点或</w:t>
      </w:r>
      <w:r>
        <w:rPr>
          <w:rFonts w:hint="eastAsia" w:ascii="宋体" w:hAnsi="宋体" w:eastAsia="仿宋_GB2312" w:cs="仿宋_GB2312"/>
          <w:b w:val="0"/>
          <w:bCs/>
          <w:iCs/>
          <w:sz w:val="32"/>
          <w:szCs w:val="32"/>
        </w:rPr>
        <w:t>者</w:t>
      </w:r>
      <w:r>
        <w:rPr>
          <w:rFonts w:hint="eastAsia" w:ascii="宋体" w:hAnsi="宋体" w:eastAsia="仿宋_GB2312" w:cs="仿宋_GB2312"/>
          <w:b w:val="0"/>
          <w:bCs/>
          <w:sz w:val="32"/>
          <w:szCs w:val="32"/>
        </w:rPr>
        <w:t>疫区采取封锁、隔离、疏散、停市、停会、停演、停工、停业、停课等紧急措施；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（五）对本行政区域的突发事件应急处理工作进行督察和指导。</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第七条</w:t>
      </w:r>
      <w:r>
        <w:rPr>
          <w:rFonts w:hint="eastAsia" w:ascii="宋体" w:hAnsi="宋体" w:eastAsia="仿宋_GB2312" w:cs="仿宋_GB2312"/>
          <w:b w:val="0"/>
          <w:bCs/>
          <w:sz w:val="32"/>
          <w:szCs w:val="32"/>
        </w:rPr>
        <w:t xml:space="preserve">  乡镇人民政府、街道办事处应当根据指挥部和上级人民政府的统一部署，做好本区域的突发事件防范、应急处理工作。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居民委员会、村民委员会和社会团体、机关、企业事业单位，</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应当根据指挥部和当地人民政府的统一部署，做好本单位的突发事件防范、应急处理工作。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第八条</w:t>
      </w:r>
      <w:r>
        <w:rPr>
          <w:rFonts w:hint="eastAsia" w:ascii="宋体" w:hAnsi="宋体" w:eastAsia="仿宋_GB2312" w:cs="仿宋_GB2312"/>
          <w:b w:val="0"/>
          <w:bCs/>
          <w:sz w:val="32"/>
          <w:szCs w:val="32"/>
        </w:rPr>
        <w:t xml:space="preserve">  各级人民政府应当贯彻预防为主的方针，建立健全疫情信息网络体系、疾病预防控制体系、医疗救治体系、环境卫生体系和卫生执法监督体系，加强应急卫生救治队伍建设，提高公共卫生服务水平和应对突发事件的能力。随着经济的发展应当逐年增加财政投入，保证其正常运行。</w:t>
      </w:r>
    </w:p>
    <w:p>
      <w:pPr>
        <w:pStyle w:val="35"/>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 w:cs="仿宋"/>
          <w:b w:val="0"/>
          <w:bCs/>
          <w:sz w:val="32"/>
          <w:szCs w:val="32"/>
        </w:rPr>
      </w:pPr>
      <w:r>
        <w:rPr>
          <w:rFonts w:hint="eastAsia" w:ascii="宋体" w:hAnsi="宋体" w:eastAsia="仿宋_GB2312" w:cs="仿宋_GB2312"/>
          <w:b w:val="0"/>
          <w:bCs/>
          <w:sz w:val="32"/>
          <w:szCs w:val="32"/>
        </w:rPr>
        <w:t>省人民政府对经济欠发达地区突发事件防范和应急处理工作给予财政、技术支持。</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第九条</w:t>
      </w:r>
      <w:r>
        <w:rPr>
          <w:rFonts w:hint="eastAsia" w:ascii="宋体" w:hAnsi="宋体" w:eastAsia="仿宋_GB2312" w:cs="仿宋_GB2312"/>
          <w:b w:val="0"/>
          <w:bCs/>
          <w:sz w:val="32"/>
          <w:szCs w:val="32"/>
        </w:rPr>
        <w:t>　省人民政府根据</w:t>
      </w:r>
      <w:r>
        <w:rPr>
          <w:rFonts w:hint="eastAsia" w:ascii="宋体" w:hAnsi="宋体" w:eastAsia="仿宋_GB2312" w:cs="仿宋_GB2312"/>
          <w:b w:val="0"/>
          <w:bCs/>
          <w:iCs/>
          <w:sz w:val="32"/>
          <w:szCs w:val="32"/>
        </w:rPr>
        <w:t>全国突发事件应急预案，结合</w:t>
      </w:r>
      <w:r>
        <w:rPr>
          <w:rFonts w:hint="eastAsia" w:ascii="宋体" w:hAnsi="宋体" w:eastAsia="仿宋_GB2312" w:cs="仿宋_GB2312"/>
          <w:b w:val="0"/>
          <w:bCs/>
          <w:sz w:val="32"/>
          <w:szCs w:val="32"/>
        </w:rPr>
        <w:t>本省实际，制定全省突发事件应急预案。市、县（区）人民政府应当</w:t>
      </w:r>
      <w:r>
        <w:rPr>
          <w:rFonts w:hint="eastAsia" w:ascii="宋体" w:hAnsi="宋体" w:eastAsia="仿宋_GB2312" w:cs="仿宋_GB2312"/>
          <w:b w:val="0"/>
          <w:bCs/>
          <w:iCs/>
          <w:sz w:val="32"/>
          <w:szCs w:val="32"/>
        </w:rPr>
        <w:t>根据全省突发事件应急预案，</w:t>
      </w:r>
      <w:r>
        <w:rPr>
          <w:rFonts w:hint="eastAsia" w:ascii="宋体" w:hAnsi="宋体" w:eastAsia="仿宋_GB2312" w:cs="仿宋_GB2312"/>
          <w:b w:val="0"/>
          <w:bCs/>
          <w:sz w:val="32"/>
          <w:szCs w:val="32"/>
        </w:rPr>
        <w:t>结合本地实际，制定本地突发事件</w:t>
      </w:r>
      <w:r>
        <w:rPr>
          <w:rFonts w:hint="eastAsia" w:ascii="宋体" w:hAnsi="宋体" w:eastAsia="仿宋_GB2312" w:cs="仿宋_GB2312"/>
          <w:b w:val="0"/>
          <w:bCs/>
          <w:iCs/>
          <w:sz w:val="32"/>
          <w:szCs w:val="32"/>
        </w:rPr>
        <w:t>应急</w:t>
      </w:r>
      <w:r>
        <w:rPr>
          <w:rFonts w:hint="eastAsia" w:ascii="宋体" w:hAnsi="宋体" w:eastAsia="仿宋_GB2312" w:cs="仿宋_GB2312"/>
          <w:b w:val="0"/>
          <w:bCs/>
          <w:sz w:val="32"/>
          <w:szCs w:val="32"/>
        </w:rPr>
        <w:t>实施预案。</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第十条</w:t>
      </w:r>
      <w:r>
        <w:rPr>
          <w:rFonts w:hint="eastAsia" w:ascii="宋体" w:hAnsi="宋体" w:eastAsia="仿宋_GB2312" w:cs="仿宋_GB2312"/>
          <w:b w:val="0"/>
          <w:bCs/>
          <w:sz w:val="32"/>
          <w:szCs w:val="32"/>
        </w:rPr>
        <w:t xml:space="preserve">  县级以上人民政府负责突发事件应急日常工作的机构应当履行下列职责：</w:t>
      </w:r>
    </w:p>
    <w:p>
      <w:pPr>
        <w:pStyle w:val="40"/>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（一）宣传、贯彻突发事件防范和应急处理的法律、法规、政策和应急预案；</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（二）督促、指导有关部门建立健全疫情信息网络体系、疾病预防控制体系、医疗救治体系、环境卫生体系和卫生执法监督体系；</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（三）督促、指导有关部门落实突发事件防范和应急措施；</w:t>
      </w:r>
    </w:p>
    <w:p>
      <w:pPr>
        <w:pStyle w:val="40"/>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（四）收集、分析和报告本行政区域内突发事件信息；</w:t>
      </w:r>
    </w:p>
    <w:p>
      <w:pPr>
        <w:pStyle w:val="40"/>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（五）根据应急预案，督促有关部门做好应急所必需的人才、物资、技术等准备工作；</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b w:val="0"/>
          <w:bCs/>
          <w:sz w:val="32"/>
          <w:szCs w:val="32"/>
        </w:rPr>
      </w:pPr>
      <w:r>
        <w:rPr>
          <w:rFonts w:hint="eastAsia" w:ascii="宋体" w:hAnsi="宋体" w:eastAsia="仿宋_GB2312" w:cs="仿宋_GB2312"/>
          <w:b w:val="0"/>
          <w:bCs/>
          <w:sz w:val="32"/>
          <w:szCs w:val="32"/>
        </w:rPr>
        <w:t>（六）组织突发事件应急人员培训和应急演练。</w:t>
      </w:r>
    </w:p>
    <w:p>
      <w:pPr>
        <w:pStyle w:val="41"/>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Cs/>
          <w:sz w:val="32"/>
          <w:szCs w:val="32"/>
        </w:rPr>
      </w:pPr>
      <w:r>
        <w:rPr>
          <w:rFonts w:hint="eastAsia" w:ascii="宋体" w:hAnsi="宋体" w:eastAsia="黑体" w:cs="黑体"/>
          <w:b w:val="0"/>
          <w:bCs/>
          <w:sz w:val="32"/>
          <w:szCs w:val="32"/>
        </w:rPr>
        <w:t>第十一条</w:t>
      </w:r>
      <w:r>
        <w:rPr>
          <w:rFonts w:hint="eastAsia" w:ascii="宋体" w:hAnsi="宋体" w:eastAsia="仿宋_GB2312" w:cs="仿宋_GB2312"/>
          <w:b w:val="0"/>
          <w:bCs/>
          <w:sz w:val="32"/>
          <w:szCs w:val="32"/>
        </w:rPr>
        <w:t xml:space="preserve">  各级医疗、疾病预防控制、卫生监督等机构按照各自职责分工，负责突发事件日常监测、报告、预警和应急现场处理</w:t>
      </w:r>
      <w:r>
        <w:rPr>
          <w:rFonts w:hint="eastAsia" w:ascii="宋体" w:hAnsi="宋体" w:eastAsia="仿宋_GB2312" w:cs="仿宋_GB2312"/>
          <w:b w:val="0"/>
          <w:bCs/>
          <w:iCs/>
          <w:sz w:val="32"/>
          <w:szCs w:val="32"/>
        </w:rPr>
        <w:t xml:space="preserve">。 </w:t>
      </w:r>
    </w:p>
    <w:p>
      <w:pPr>
        <w:pStyle w:val="41"/>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黑体" w:cs="黑体"/>
          <w:b w:val="0"/>
          <w:bCs/>
          <w:sz w:val="32"/>
          <w:szCs w:val="32"/>
        </w:rPr>
        <w:t>第十二条</w:t>
      </w:r>
      <w:r>
        <w:rPr>
          <w:rFonts w:hint="eastAsia" w:ascii="宋体" w:hAnsi="宋体" w:eastAsia="仿宋_GB2312" w:cs="仿宋_GB2312"/>
          <w:b w:val="0"/>
          <w:bCs/>
          <w:sz w:val="32"/>
          <w:szCs w:val="32"/>
        </w:rPr>
        <w:t>　县级以上人民政府和有关部门应当按照突发事件应急预案要求，保证应急设施、设备、救治药品、医疗器械、消毒和杀虫灭鼠药械等物资供应与储备。</w:t>
      </w:r>
    </w:p>
    <w:p>
      <w:pPr>
        <w:widowControl w:val="0"/>
        <w:tabs>
          <w:tab w:val="left" w:pos="720"/>
          <w:tab w:val="left" w:pos="900"/>
        </w:tabs>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第十三条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iCs/>
          <w:sz w:val="32"/>
          <w:szCs w:val="32"/>
        </w:rPr>
        <w:t>地级以上市人民政府应当设置与应对突发事件相适应的紧急救援中心，设置与传染病防治工作需要相适应的传染病专科医院，或者指定具备传染病防治条件和能力的医疗机构承担传染病防治任务。</w:t>
      </w:r>
      <w:r>
        <w:rPr>
          <w:rFonts w:hint="eastAsia" w:ascii="宋体" w:hAnsi="宋体" w:eastAsia="仿宋_GB2312" w:cs="仿宋_GB2312"/>
          <w:b w:val="0"/>
          <w:bCs/>
          <w:sz w:val="32"/>
          <w:szCs w:val="32"/>
        </w:rPr>
        <w:t>县级人民政府应当指定具备传染病防治条件和能力的医疗机构设置传染病病区，承担本区域传染病</w:t>
      </w:r>
      <w:r>
        <w:rPr>
          <w:rFonts w:hint="eastAsia" w:ascii="宋体" w:hAnsi="宋体" w:eastAsia="仿宋_GB2312" w:cs="仿宋_GB2312"/>
          <w:b w:val="0"/>
          <w:bCs/>
          <w:iCs/>
          <w:sz w:val="32"/>
          <w:szCs w:val="32"/>
        </w:rPr>
        <w:t>防</w:t>
      </w:r>
      <w:r>
        <w:rPr>
          <w:rFonts w:hint="eastAsia" w:ascii="宋体" w:hAnsi="宋体" w:eastAsia="仿宋_GB2312" w:cs="仿宋_GB2312"/>
          <w:b w:val="0"/>
          <w:bCs/>
          <w:sz w:val="32"/>
          <w:szCs w:val="32"/>
        </w:rPr>
        <w:t>治任务。所需经费由当地人民政府纳入财政预算。</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iCs/>
          <w:sz w:val="32"/>
          <w:szCs w:val="32"/>
        </w:rPr>
        <w:t>紧急救援中心可以接受本级</w:t>
      </w:r>
      <w:r>
        <w:rPr>
          <w:rFonts w:hint="eastAsia" w:ascii="宋体" w:hAnsi="宋体" w:eastAsia="仿宋_GB2312" w:cs="仿宋_GB2312"/>
          <w:b w:val="0"/>
          <w:bCs/>
          <w:sz w:val="32"/>
          <w:szCs w:val="32"/>
        </w:rPr>
        <w:t>卫生行政主管部门委托，指挥、调度本行政区域内医院的急救资源，开展伤病员的现场急救、转运和重症病人途中监护。</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iCs/>
          <w:sz w:val="32"/>
          <w:szCs w:val="32"/>
        </w:rPr>
        <w:t>紧急救援中心、</w:t>
      </w:r>
      <w:r>
        <w:rPr>
          <w:rFonts w:hint="eastAsia" w:ascii="宋体" w:hAnsi="宋体" w:eastAsia="仿宋_GB2312" w:cs="仿宋_GB2312"/>
          <w:b w:val="0"/>
          <w:bCs/>
          <w:sz w:val="32"/>
          <w:szCs w:val="32"/>
        </w:rPr>
        <w:t>传染病专科医院的设置应当符合国务院卫生行政主管部门制定的标准；传染病病区的设置应当符合省卫生行政主管部门制定的标准。</w:t>
      </w:r>
    </w:p>
    <w:p>
      <w:pPr>
        <w:widowControl w:val="0"/>
        <w:wordWrap/>
        <w:overflowPunct w:val="0"/>
        <w:adjustRightInd/>
        <w:snapToGrid/>
        <w:spacing w:beforeAutospacing="0" w:afterAutospacing="0" w:line="560" w:lineRule="exact"/>
        <w:ind w:right="0" w:firstLine="470" w:firstLineChars="147"/>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第十四条</w:t>
      </w:r>
      <w:r>
        <w:rPr>
          <w:rFonts w:hint="eastAsia" w:ascii="宋体" w:hAnsi="宋体" w:eastAsia="仿宋_GB2312" w:cs="仿宋_GB2312"/>
          <w:b w:val="0"/>
          <w:bCs/>
          <w:sz w:val="32"/>
          <w:szCs w:val="32"/>
        </w:rPr>
        <w:t>　各级疾病预防控制机构、卫生监督机构和急救医疗服务机构，应当配备和储备与开展突发事件日常监测及突发事件发生后的调查、控制和医疗救护、现场处置、监督检查、监测检验、卫生防护相适应的物质条件和技术力量，提高应对突发事件的能力。</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社区卫生服务机构应当协助有关部门、医疗卫生机构落实本地区突发事件应急的有关措施。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第十五条</w:t>
      </w:r>
      <w:r>
        <w:rPr>
          <w:rFonts w:hint="eastAsia" w:ascii="宋体" w:hAnsi="宋体" w:eastAsia="仿宋_GB2312" w:cs="仿宋_GB2312"/>
          <w:b w:val="0"/>
          <w:bCs/>
          <w:sz w:val="32"/>
          <w:szCs w:val="32"/>
        </w:rPr>
        <w:t xml:space="preserve">  省和地级以上市卫生行政主管部门应当设立由疾病预防控制、职业中毒防治、医疗救治和卫生监督等专业技术人员，以及高等院校、科研院所科研人员参加的不同类别的应急处理专家组，负责进行突发事件的流行病学调查、事故分析、应急评估以及医疗救治和现场应急处理的指导。</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省和地级以上市卫生行政主管部门应当在现有的医疗卫生机构内，建立机动的应急医疗卫生队伍，应对各种突发事件。</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第十六条</w:t>
      </w:r>
      <w:r>
        <w:rPr>
          <w:rFonts w:hint="eastAsia" w:ascii="宋体" w:hAnsi="宋体" w:eastAsia="仿宋_GB2312" w:cs="仿宋_GB2312"/>
          <w:b w:val="0"/>
          <w:bCs/>
          <w:sz w:val="32"/>
          <w:szCs w:val="32"/>
        </w:rPr>
        <w:t xml:space="preserve">  各级人民政府应当加强农村卫生工作，加强乡镇卫生院（医院）建设，落实公共卫生、医疗急救和应对突发事件必要的专业人员、经费、设施、设备。</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第十七条</w:t>
      </w:r>
      <w:r>
        <w:rPr>
          <w:rFonts w:hint="eastAsia" w:ascii="宋体" w:hAnsi="宋体" w:eastAsia="仿宋_GB2312" w:cs="仿宋_GB2312"/>
          <w:b w:val="0"/>
          <w:bCs/>
          <w:sz w:val="32"/>
          <w:szCs w:val="32"/>
        </w:rPr>
        <w:t>　各级人民政府及其有关部门、企业事业单位应当依照法律、法规和规章的规定，做好传染病、食物中毒、职业中毒，以及其他严重影响公众健康事件的预防工作，防止病原体废水、废物污染。</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第十八条</w:t>
      </w:r>
      <w:r>
        <w:rPr>
          <w:rFonts w:hint="eastAsia" w:ascii="宋体" w:hAnsi="宋体" w:eastAsia="仿宋_GB2312" w:cs="仿宋_GB2312"/>
          <w:b w:val="0"/>
          <w:bCs/>
          <w:sz w:val="32"/>
          <w:szCs w:val="32"/>
        </w:rPr>
        <w:t xml:space="preserve">  县级以上卫生行政主管部门和有关部门、企业事业单位、社会团体，应当开展健康教育和突发事件应急知识的教育，增强全社会的防范意识和能力。</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新闻媒体应当开展突发事件应急知识的公益宣传。</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Cs/>
          <w:sz w:val="32"/>
          <w:szCs w:val="32"/>
        </w:rPr>
      </w:pPr>
      <w:r>
        <w:rPr>
          <w:rFonts w:hint="eastAsia" w:ascii="宋体" w:hAnsi="宋体" w:eastAsia="黑体" w:cs="黑体"/>
          <w:b w:val="0"/>
          <w:bCs/>
          <w:sz w:val="32"/>
          <w:szCs w:val="32"/>
        </w:rPr>
        <w:t>第十九条</w:t>
      </w:r>
      <w:r>
        <w:rPr>
          <w:rFonts w:hint="eastAsia" w:ascii="宋体" w:hAnsi="宋体" w:eastAsia="仿宋_GB2312" w:cs="仿宋_GB2312"/>
          <w:b w:val="0"/>
          <w:bCs/>
          <w:sz w:val="32"/>
          <w:szCs w:val="32"/>
        </w:rPr>
        <w:t>　突发事件发生后，当地卫生行政主管部门应当迅速组织专家对突发事件进行综合评估，并向同级人民政府提出是否启动突发事件应急实施预案的建议。</w:t>
      </w:r>
      <w:r>
        <w:rPr>
          <w:rFonts w:hint="eastAsia" w:ascii="宋体" w:hAnsi="宋体" w:eastAsia="仿宋_GB2312" w:cs="仿宋_GB2312"/>
          <w:b w:val="0"/>
          <w:bCs/>
          <w:iCs/>
          <w:sz w:val="32"/>
          <w:szCs w:val="32"/>
        </w:rPr>
        <w:t>接到建议的人民政府作出是否启动应急实施预案的决定后，应当立即向省卫生行政主管部门和省人民政府报告。</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在全省范围内或者跨市范围内启动全省应急预案，由省卫生行政主管部门提出建议，报省人民政府决定。</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第二十条</w:t>
      </w:r>
      <w:r>
        <w:rPr>
          <w:rFonts w:hint="eastAsia" w:ascii="宋体" w:hAnsi="宋体" w:eastAsia="仿宋_GB2312" w:cs="仿宋_GB2312"/>
          <w:b w:val="0"/>
          <w:bCs/>
          <w:sz w:val="32"/>
          <w:szCs w:val="32"/>
        </w:rPr>
        <w:t xml:space="preserve">  突发事件发生后，任何单位和个人应当服从指挥部作出的决定和命令，配合落实应急处理措施。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iCs/>
          <w:sz w:val="32"/>
          <w:szCs w:val="32"/>
        </w:rPr>
        <w:t>第二十一条</w:t>
      </w:r>
      <w:r>
        <w:rPr>
          <w:rFonts w:hint="eastAsia" w:ascii="宋体" w:hAnsi="宋体" w:eastAsia="仿宋_GB2312" w:cs="仿宋_GB2312"/>
          <w:b w:val="0"/>
          <w:bCs/>
          <w:iCs/>
          <w:sz w:val="32"/>
          <w:szCs w:val="32"/>
        </w:rPr>
        <w:t xml:space="preserve">  各级卫生行政主管部门和医疗卫生机构，应当对传染病做到早发现、早报告、早隔离、早治疗，切断传播途径，防止扩散。</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第二十二条</w:t>
      </w:r>
      <w:r>
        <w:rPr>
          <w:rFonts w:hint="eastAsia" w:ascii="宋体" w:hAnsi="宋体" w:eastAsia="仿宋_GB2312" w:cs="仿宋_GB2312"/>
          <w:b w:val="0"/>
          <w:bCs/>
          <w:sz w:val="32"/>
          <w:szCs w:val="32"/>
        </w:rPr>
        <w:t>　各级人民政府应当建立健全延伸到乡村和城市社区的突发事件信息报告系统。</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
          <w:sz w:val="32"/>
          <w:szCs w:val="32"/>
          <w:u w:val="single"/>
          <w:em w:val="dot"/>
        </w:rPr>
      </w:pPr>
      <w:r>
        <w:rPr>
          <w:rFonts w:hint="eastAsia" w:ascii="宋体" w:hAnsi="宋体" w:eastAsia="仿宋_GB2312" w:cs="仿宋_GB2312"/>
          <w:b w:val="0"/>
          <w:bCs/>
          <w:sz w:val="32"/>
          <w:szCs w:val="32"/>
        </w:rPr>
        <w:t>突发事件发生后，负责突发事件监测机构、医疗卫生机构和有关单位应当在2小时内向所在地县级人民政府卫生行政主管部门报告；接到报告的卫生行政主管部门应当在2小时内向本级人民政府报告，并同时向上级人民政府卫生行政主管部门报告。县级人民政府应当在接到报告后2小时内向上一级人民政府报告，同时向省人民政府报告。</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第二十三条</w:t>
      </w:r>
      <w:r>
        <w:rPr>
          <w:rFonts w:hint="eastAsia" w:ascii="宋体" w:hAnsi="宋体" w:eastAsia="仿宋_GB2312" w:cs="仿宋_GB2312"/>
          <w:b w:val="0"/>
          <w:bCs/>
          <w:sz w:val="32"/>
          <w:szCs w:val="32"/>
        </w:rPr>
        <w:t xml:space="preserve">  各级卫生行政主管部门应当建立和完善医疗机构、疾病预防控制机构之间信息传递的网络，发挥医疗救治体系的哨点监测和预警功能，实现医疗卫生机构与疾病预防控制机构和卫生行政部门之间的信息共享。</w:t>
      </w:r>
    </w:p>
    <w:p>
      <w:pPr>
        <w:pStyle w:val="35"/>
        <w:widowControl w:val="0"/>
        <w:wordWrap/>
        <w:overflowPunct w:val="0"/>
        <w:adjustRightInd/>
        <w:snapToGrid/>
        <w:spacing w:beforeAutospacing="0" w:afterAutospacing="0" w:line="560" w:lineRule="exact"/>
        <w:ind w:right="0" w:firstLine="672"/>
        <w:textAlignment w:val="auto"/>
        <w:outlineLvl w:val="9"/>
        <w:rPr>
          <w:rFonts w:hint="eastAsia" w:ascii="宋体" w:hAnsi="宋体" w:eastAsia="仿宋_GB2312"/>
          <w:b w:val="0"/>
          <w:bCs/>
          <w:sz w:val="32"/>
          <w:szCs w:val="32"/>
        </w:rPr>
      </w:pPr>
      <w:r>
        <w:rPr>
          <w:rFonts w:hint="eastAsia" w:ascii="宋体" w:hAnsi="宋体" w:eastAsia="仿宋_GB2312" w:cs="仿宋_GB2312"/>
          <w:b w:val="0"/>
          <w:bCs/>
          <w:sz w:val="32"/>
          <w:szCs w:val="32"/>
        </w:rPr>
        <w:t>各级医疗机构应当及时向所在地疾病预防控制机构报告突发事件中患者的收治情况。</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第二十四条</w:t>
      </w:r>
      <w:r>
        <w:rPr>
          <w:rFonts w:hint="eastAsia" w:ascii="宋体" w:hAnsi="宋体" w:eastAsia="仿宋_GB2312" w:cs="仿宋_GB2312"/>
          <w:b w:val="0"/>
          <w:bCs/>
          <w:sz w:val="32"/>
          <w:szCs w:val="32"/>
        </w:rPr>
        <w:t xml:space="preserve">  各级人民政府，各级医疗、疾病预防控制、卫生监督等机构和有关单位在传染病暴发、流行期间，实行疫情日报告制度和零报告制度。</w:t>
      </w:r>
    </w:p>
    <w:p>
      <w:pPr>
        <w:pStyle w:val="36"/>
        <w:widowControl w:val="0"/>
        <w:wordWrap/>
        <w:overflowPunct w:val="0"/>
        <w:adjustRightInd/>
        <w:snapToGrid/>
        <w:spacing w:beforeAutospacing="0" w:after="0" w:afterAutospacing="0" w:line="560" w:lineRule="exact"/>
        <w:ind w:left="0" w:leftChars="0"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第二十五条</w:t>
      </w:r>
      <w:r>
        <w:rPr>
          <w:rFonts w:hint="eastAsia" w:ascii="宋体" w:hAnsi="宋体" w:eastAsia="仿宋_GB2312" w:cs="仿宋_GB2312"/>
          <w:b/>
          <w:sz w:val="32"/>
          <w:szCs w:val="32"/>
        </w:rPr>
        <w:t xml:space="preserve"> </w:t>
      </w:r>
      <w:r>
        <w:rPr>
          <w:rFonts w:hint="eastAsia" w:ascii="宋体" w:hAnsi="宋体" w:eastAsia="仿宋_GB2312" w:cs="仿宋_GB2312"/>
          <w:sz w:val="32"/>
          <w:szCs w:val="32"/>
        </w:rPr>
        <w:t xml:space="preserve"> </w:t>
      </w:r>
      <w:r>
        <w:rPr>
          <w:rFonts w:hint="eastAsia" w:ascii="宋体" w:hAnsi="宋体" w:eastAsia="仿宋_GB2312" w:cs="仿宋_GB2312"/>
          <w:b w:val="0"/>
          <w:bCs/>
          <w:sz w:val="32"/>
          <w:szCs w:val="32"/>
        </w:rPr>
        <w:t>医疗卫生机构应当对因突发事件致病的人员，提供医疗救护和现场救援，不得拒收或者推诿。对需要转送的病人，应当按照规定将病人及其病历记录的复印件转送至接诊的或者指定的医疗机构。</w:t>
      </w:r>
    </w:p>
    <w:p>
      <w:pPr>
        <w:pStyle w:val="36"/>
        <w:widowControl w:val="0"/>
        <w:wordWrap/>
        <w:overflowPunct w:val="0"/>
        <w:adjustRightInd/>
        <w:snapToGrid/>
        <w:spacing w:beforeAutospacing="0" w:after="0" w:afterAutospacing="0" w:line="560" w:lineRule="exact"/>
        <w:ind w:left="0" w:leftChars="0"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对收治的病人实行先收治、后结算的办法。所需费用按国</w:t>
      </w:r>
    </w:p>
    <w:p>
      <w:pPr>
        <w:pStyle w:val="36"/>
        <w:widowControl w:val="0"/>
        <w:wordWrap/>
        <w:overflowPunct w:val="0"/>
        <w:adjustRightInd/>
        <w:snapToGrid/>
        <w:spacing w:beforeAutospacing="0" w:after="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家和省的有关规定执行。</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第二十六条</w:t>
      </w:r>
      <w:r>
        <w:rPr>
          <w:rFonts w:hint="eastAsia" w:ascii="宋体" w:hAnsi="宋体" w:eastAsia="仿宋_GB2312" w:cs="仿宋_GB2312"/>
          <w:b w:val="0"/>
          <w:bCs/>
          <w:sz w:val="32"/>
          <w:szCs w:val="32"/>
        </w:rPr>
        <w:t xml:space="preserve">  医疗机构应当建立健全突发事件医疗救护应急机制。突发事件发生后，医疗机构必须按照指挥部或者上级卫生行政主管部门的指令，参加应急医疗救治，严格落实隔离、消毒、个人防护等卫生防护措施，防止交叉感染和污染。</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医疗机构应当协助疾病预防控制机构采集样本。被采集者应当予以配合。</w:t>
      </w:r>
    </w:p>
    <w:p>
      <w:pPr>
        <w:widowControl w:val="0"/>
        <w:wordWrap/>
        <w:overflowPunct w:val="0"/>
        <w:adjustRightInd/>
        <w:snapToGrid/>
        <w:spacing w:beforeAutospacing="0" w:afterAutospacing="0" w:line="560" w:lineRule="exact"/>
        <w:ind w:left="640"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第二十七条</w:t>
      </w:r>
      <w:r>
        <w:rPr>
          <w:rFonts w:hint="eastAsia" w:ascii="宋体" w:hAnsi="宋体" w:eastAsia="仿宋_GB2312" w:cs="仿宋_GB2312"/>
          <w:b w:val="0"/>
          <w:bCs/>
          <w:sz w:val="32"/>
          <w:szCs w:val="32"/>
        </w:rPr>
        <w:t xml:space="preserve">  医疗机构和殡仪馆应当按照有关法律法规，对</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造成或者可能造成社会公众健康严重损害的传染病人尸体，以及有关场所、物品、车辆等进行消毒处理。对尸体应当就近、就地</w:t>
      </w:r>
      <w:r>
        <w:rPr>
          <w:rFonts w:hint="eastAsia" w:ascii="宋体" w:hAnsi="宋体" w:eastAsia="仿宋_GB2312" w:cs="仿宋_GB2312"/>
          <w:b w:val="0"/>
          <w:bCs/>
          <w:spacing w:val="-9"/>
          <w:sz w:val="32"/>
          <w:szCs w:val="32"/>
        </w:rPr>
        <w:t>火化，不得举行遗体告别仪式或者用遗体进行其他形式的丧葬活动。</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仿宋_GB2312" w:cs="仿宋_GB2312"/>
          <w:b w:val="0"/>
          <w:bCs/>
          <w:sz w:val="32"/>
          <w:szCs w:val="32"/>
        </w:rPr>
        <w:t>对参与尸体消毒处理、搬运和火化的工作人员应当进行防病知识培训并配备必要的防护设施。</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iCs/>
          <w:sz w:val="32"/>
          <w:szCs w:val="32"/>
        </w:rPr>
      </w:pPr>
      <w:r>
        <w:rPr>
          <w:rFonts w:hint="eastAsia" w:ascii="宋体" w:hAnsi="宋体" w:eastAsia="黑体" w:cs="黑体"/>
          <w:b w:val="0"/>
          <w:bCs/>
          <w:sz w:val="32"/>
          <w:szCs w:val="32"/>
        </w:rPr>
        <w:t>第二十八条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iCs/>
          <w:sz w:val="32"/>
          <w:szCs w:val="32"/>
        </w:rPr>
        <w:t>县级以上人民政府应当对参加突发事件应急处理的有关人员，给予适当补助和保健津贴；对参加突发事件应急处理作出贡献的人员，给予表彰和奖励；对因参与应急处理工作致病、致残、死亡的人员，按照国家有关规定，给予相应的补助和抚恤。</w:t>
      </w:r>
    </w:p>
    <w:p>
      <w:pPr>
        <w:widowControl w:val="0"/>
        <w:wordWrap/>
        <w:overflowPunct w:val="0"/>
        <w:adjustRightInd/>
        <w:snapToGrid/>
        <w:spacing w:beforeAutospacing="0" w:afterAutospacing="0" w:line="560" w:lineRule="exact"/>
        <w:ind w:right="0" w:firstLine="645"/>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全社会应当尊重参加突发事件应急处理工作的有关人员；对因参加突发事件应急处理工作而导致其本人和亲属的正常工作、学习、生活受到影响的，各级人民政府和有关部门应当给予必要的帮助。</w:t>
      </w:r>
    </w:p>
    <w:p>
      <w:pPr>
        <w:pStyle w:val="42"/>
        <w:widowControl w:val="0"/>
        <w:wordWrap/>
        <w:overflowPunct w:val="0"/>
        <w:adjustRightInd/>
        <w:snapToGrid/>
        <w:spacing w:beforeAutospacing="0" w:after="0" w:afterAutospacing="0" w:line="560" w:lineRule="exact"/>
        <w:ind w:left="0" w:leftChars="0"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第二十九条</w:t>
      </w:r>
      <w:r>
        <w:rPr>
          <w:rFonts w:hint="eastAsia" w:ascii="宋体" w:hAnsi="宋体" w:eastAsia="仿宋_GB2312" w:cs="仿宋_GB2312"/>
          <w:b w:val="0"/>
          <w:bCs/>
          <w:sz w:val="32"/>
          <w:szCs w:val="32"/>
        </w:rPr>
        <w:t xml:space="preserve">  突发事件发生后的应急调查、预防控制、医疗救治和医疗救助等补助经费和奖励经费从本级财政预备费中统筹安排。</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第三十条</w:t>
      </w:r>
      <w:r>
        <w:rPr>
          <w:rFonts w:hint="eastAsia" w:ascii="宋体" w:hAnsi="宋体" w:eastAsia="仿宋_GB2312" w:cs="仿宋_GB2312"/>
          <w:b w:val="0"/>
          <w:bCs/>
          <w:sz w:val="32"/>
          <w:szCs w:val="32"/>
        </w:rPr>
        <w:t xml:space="preserve">  指挥部未依照本办法第六条的规定履行职责的，对指挥部负责人、负有责任的主管人员和其他责任人员依法给予行政处分；造成传染病传播、流行或者对社会公众健康造成其他严重危害后果，构成犯罪的，依法追究刑事责任。</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第三十一条</w:t>
      </w:r>
      <w:r>
        <w:rPr>
          <w:rFonts w:hint="eastAsia" w:ascii="宋体" w:hAnsi="宋体" w:eastAsia="仿宋_GB2312" w:cs="仿宋_GB2312"/>
          <w:b w:val="0"/>
          <w:bCs/>
          <w:sz w:val="32"/>
          <w:szCs w:val="32"/>
        </w:rPr>
        <w:t xml:space="preserve">  负责突发事件应急日常工作的机构未依照本办法第十条的规定履行职责的，由同级人民政府对主要负责人、负有责任的主管人员和其他责任人员依法给予行政处分。</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第三十二条</w:t>
      </w:r>
      <w:r>
        <w:rPr>
          <w:rFonts w:hint="eastAsia" w:ascii="宋体" w:hAnsi="宋体" w:eastAsia="仿宋_GB2312" w:cs="仿宋_GB2312"/>
          <w:b w:val="0"/>
          <w:bCs/>
          <w:sz w:val="32"/>
          <w:szCs w:val="32"/>
        </w:rPr>
        <w:t xml:space="preserve">  各级人民政府及其所属部门未依照本办法的规定履行应急处理职责的，由上级行政机关对主要负责人、负有责任的主管人员和其他责任人员依法给予行政处分；造成传染病传播、流行或者对社会公众健康造成其它严重后果，构成犯罪的，依法追究刑事责任。</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 w:cs="仿宋"/>
          <w:b w:val="0"/>
          <w:bCs/>
          <w:sz w:val="32"/>
          <w:szCs w:val="32"/>
        </w:rPr>
      </w:pPr>
      <w:r>
        <w:rPr>
          <w:rFonts w:hint="eastAsia" w:ascii="宋体" w:hAnsi="宋体" w:eastAsia="黑体" w:cs="黑体"/>
          <w:b w:val="0"/>
          <w:bCs/>
          <w:sz w:val="32"/>
          <w:szCs w:val="32"/>
        </w:rPr>
        <w:t>第三十三条</w:t>
      </w:r>
      <w:r>
        <w:rPr>
          <w:rFonts w:hint="eastAsia" w:ascii="宋体" w:hAnsi="宋体" w:eastAsia="仿宋_GB2312" w:cs="仿宋_GB2312"/>
          <w:b/>
          <w:sz w:val="32"/>
          <w:szCs w:val="32"/>
        </w:rPr>
        <w:t xml:space="preserve"> </w:t>
      </w:r>
      <w:r>
        <w:rPr>
          <w:rFonts w:hint="eastAsia" w:ascii="宋体" w:hAnsi="宋体" w:eastAsia="仿宋_GB2312" w:cs="仿宋_GB2312"/>
          <w:sz w:val="32"/>
          <w:szCs w:val="32"/>
        </w:rPr>
        <w:t xml:space="preserve"> </w:t>
      </w:r>
      <w:r>
        <w:rPr>
          <w:rFonts w:hint="eastAsia" w:ascii="宋体" w:hAnsi="宋体" w:eastAsia="仿宋" w:cs="仿宋"/>
          <w:b w:val="0"/>
          <w:bCs/>
          <w:sz w:val="32"/>
          <w:szCs w:val="32"/>
        </w:rPr>
        <w:t>本办法自公布之日起施行。</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b w:val="0"/>
          <w:bCs/>
          <w:sz w:val="32"/>
          <w:szCs w:val="32"/>
        </w:rPr>
      </w:pPr>
      <w:r>
        <w:rPr>
          <w:rFonts w:hint="eastAsia" w:ascii="宋体" w:hAnsi="宋体" w:eastAsia="仿宋_GB2312"/>
          <w:b w:val="0"/>
          <w:bCs/>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34" w:name="_Toc8668"/>
      <w:r>
        <w:rPr>
          <w:rFonts w:hint="eastAsia" w:ascii="宋体" w:hAnsi="宋体" w:eastAsia="宋体" w:cs="宋体"/>
          <w:color w:val="000000"/>
          <w:sz w:val="44"/>
          <w:szCs w:val="44"/>
        </w:rPr>
        <w:t>广东省突发事件应对条例</w:t>
      </w:r>
      <w:bookmarkEnd w:id="434"/>
    </w:p>
    <w:p>
      <w:pPr>
        <w:widowControl w:val="0"/>
        <w:wordWrap/>
        <w:overflowPunct w:val="0"/>
        <w:spacing w:beforeAutospacing="0" w:afterAutospacing="0" w:line="560" w:lineRule="exact"/>
        <w:ind w:right="0"/>
        <w:jc w:val="both"/>
        <w:textAlignment w:val="auto"/>
        <w:outlineLvl w:val="9"/>
        <w:rPr>
          <w:rFonts w:hint="eastAsia" w:ascii="宋体" w:hAnsi="宋体" w:eastAsia="宋体" w:cs="宋体"/>
          <w:sz w:val="32"/>
          <w:szCs w:val="32"/>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 xml:space="preserve">（2010年6月2日广东省第十一届人民代表大会常务委员会第十九次会议通过 </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rPr>
        <w:t xml:space="preserve">2010年6月2日公布 </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rPr>
        <w:t>自2010年7月1日起施行）</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宋体" w:cs="宋体"/>
          <w:sz w:val="32"/>
          <w:szCs w:val="32"/>
        </w:rPr>
      </w:pPr>
    </w:p>
    <w:p>
      <w:pPr>
        <w:widowControl w:val="0"/>
        <w:wordWrap/>
        <w:overflowPunct w:val="0"/>
        <w:spacing w:beforeAutospacing="0" w:afterAutospacing="0" w:line="560" w:lineRule="exact"/>
        <w:ind w:right="0" w:firstLine="640" w:firstLineChars="200"/>
        <w:jc w:val="center"/>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目    录</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宋体" w:cs="宋体"/>
          <w:sz w:val="32"/>
          <w:szCs w:val="32"/>
        </w:rPr>
      </w:pP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第二章  预防与应急准备</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第三章  监测与预警</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第四章  应急处置与救援</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第五章  事后恢复与重建</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第六章  评估与考核</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第七章  法律责任</w:t>
      </w:r>
    </w:p>
    <w:p>
      <w:pPr>
        <w:widowControl w:val="0"/>
        <w:wordWrap/>
        <w:overflowPunct w:val="0"/>
        <w:spacing w:beforeAutospacing="0" w:afterAutospacing="0" w:line="560" w:lineRule="exact"/>
        <w:ind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第八章  附则</w:t>
      </w:r>
    </w:p>
    <w:p>
      <w:pPr>
        <w:widowControl w:val="0"/>
        <w:wordWrap/>
        <w:overflowPunct w:val="0"/>
        <w:spacing w:beforeAutospacing="0" w:afterAutospacing="0" w:line="560" w:lineRule="exact"/>
        <w:ind w:right="0"/>
        <w:jc w:val="both"/>
        <w:textAlignment w:val="auto"/>
        <w:outlineLvl w:val="9"/>
        <w:rPr>
          <w:rFonts w:hint="eastAsia" w:ascii="宋体" w:hAnsi="宋体" w:eastAsia="宋体" w:cs="宋体"/>
          <w:color w:val="000000"/>
          <w:sz w:val="32"/>
          <w:szCs w:val="32"/>
          <w:lang w:eastAsia="zh-CN"/>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第一章  总则</w:t>
      </w:r>
    </w:p>
    <w:p>
      <w:pPr>
        <w:widowControl w:val="0"/>
        <w:wordWrap/>
        <w:overflowPunct w:val="0"/>
        <w:spacing w:beforeAutospacing="0" w:afterAutospacing="0" w:line="560" w:lineRule="exact"/>
        <w:ind w:right="0"/>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第一条</w:t>
      </w:r>
      <w:r>
        <w:rPr>
          <w:rFonts w:hint="eastAsia" w:ascii="宋体" w:hAnsi="宋体" w:eastAsia="仿宋_GB2312" w:cs="仿宋_GB2312"/>
          <w:color w:val="000000"/>
          <w:kern w:val="0"/>
          <w:sz w:val="32"/>
          <w:szCs w:val="32"/>
        </w:rPr>
        <w:t xml:space="preserve">  为了预防和减少突发事件的发生，控制、减轻和消除突发事件引起的社会危害，规范突发事件应对活动，保护人民生命财产安全，维护国家安全、公共安全、环境安全和社会秩序，依据《中华人民共和国突发事件应对法》及有关法律、行政法规的规定，制定本条例。</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第二条</w:t>
      </w:r>
      <w:r>
        <w:rPr>
          <w:rFonts w:hint="eastAsia" w:ascii="宋体" w:hAnsi="宋体" w:eastAsia="仿宋_GB2312" w:cs="仿宋_GB2312"/>
          <w:color w:val="000000"/>
          <w:kern w:val="0"/>
          <w:sz w:val="32"/>
          <w:szCs w:val="32"/>
        </w:rPr>
        <w:t xml:space="preserve">  本条例适用于本省行政区域内突发事件的预防与应急准备、监测与预警、应急处置与救援、事后恢复与重建、评估与考核等活动。</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本条例所称突发事件，是指突然发生，造成或者可能造成严重社会危害，需要采取应急处置措施予以应对的自然灾害、事故灾难、公共卫生事件和社会安全事件。</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第三条</w:t>
      </w:r>
      <w:r>
        <w:rPr>
          <w:rFonts w:hint="eastAsia" w:ascii="宋体" w:hAnsi="宋体" w:eastAsia="仿宋_GB2312" w:cs="仿宋_GB2312"/>
          <w:color w:val="000000"/>
          <w:kern w:val="0"/>
          <w:sz w:val="32"/>
          <w:szCs w:val="32"/>
        </w:rPr>
        <w:t xml:space="preserve"> </w:t>
      </w:r>
      <w:r>
        <w:rPr>
          <w:rFonts w:hint="eastAsia" w:ascii="宋体" w:hAnsi="宋体" w:cs="仿宋_GB2312"/>
          <w:color w:val="000000"/>
          <w:kern w:val="0"/>
          <w:sz w:val="32"/>
          <w:szCs w:val="32"/>
          <w:lang w:val="en-US" w:eastAsia="zh-CN"/>
        </w:rPr>
        <w:t xml:space="preserve"> </w:t>
      </w:r>
      <w:r>
        <w:rPr>
          <w:rFonts w:hint="eastAsia" w:ascii="宋体" w:hAnsi="宋体" w:eastAsia="仿宋_GB2312" w:cs="仿宋_GB2312"/>
          <w:color w:val="000000"/>
          <w:kern w:val="0"/>
          <w:sz w:val="32"/>
          <w:szCs w:val="32"/>
        </w:rPr>
        <w:t>县级以上人民政府是所辖行政区域内突发事件应对工作的行政领导机关。上级人民政府应当对下级人民政府应急管理工作进行指导，必要时可派出工作组。</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中央直属驻粤有关单位应当依照法定职责，根据履行统一领导职责或者组织处置突发事件的人民政府的要求，予以配合和支持。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法律、行政法规规定由国务院有关部门对突发事件的应对工作负责的，县级以上人民政府应当予以配合和支持。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第四条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kern w:val="0"/>
          <w:sz w:val="32"/>
          <w:szCs w:val="32"/>
        </w:rPr>
        <w:t xml:space="preserve"> </w:t>
      </w:r>
      <w:r>
        <w:rPr>
          <w:rFonts w:hint="eastAsia" w:ascii="宋体" w:hAnsi="宋体" w:eastAsia="仿宋_GB2312" w:cs="仿宋_GB2312"/>
          <w:color w:val="000000"/>
          <w:kern w:val="0"/>
          <w:sz w:val="32"/>
          <w:szCs w:val="32"/>
        </w:rPr>
        <w:t>县级以上人民政府应当设立突发事件应急委员会，统一领导、综合协调本级人民政府有关部门和下级人民政府开展突发事件应对工作。突发事件应急委员会主任由本级人民政府主要负责人担任，相关部门、驻地解放军、武装警察部队和中央直属驻粤有关单位的主要负责人为成员。</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各级突发事件应急委员会根据工作需要，设立专项应急指挥机构，按类别组织、协调和指挥同类别突发事件应对工作。专项应急指挥机构接受本级突发事件应急委员会的领导。</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第五条</w:t>
      </w:r>
      <w:r>
        <w:rPr>
          <w:rFonts w:hint="eastAsia" w:ascii="宋体" w:hAnsi="宋体" w:eastAsia="仿宋_GB2312" w:cs="仿宋_GB2312"/>
          <w:color w:val="000000"/>
          <w:kern w:val="0"/>
          <w:sz w:val="32"/>
          <w:szCs w:val="32"/>
        </w:rPr>
        <w:t xml:space="preserve">  县级以上人民政府设立的应急管理办公室，负责本级突发事件应急委员会日常工作。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有关部门应当加强专业应急指挥机构建设。省突发事件专项应急指挥机构、突发事件应急委员会成员单位应当设立应急管理办事机构，配备专职工作人员。</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乡级人民政府、街道办事处可以根据需要设立或者确定应急管理办事机构，建立健全二十四小时值班制度。</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第六条</w:t>
      </w:r>
      <w:r>
        <w:rPr>
          <w:rFonts w:hint="eastAsia" w:ascii="宋体" w:hAnsi="宋体" w:eastAsia="仿宋_GB2312" w:cs="仿宋_GB2312"/>
          <w:color w:val="000000"/>
          <w:kern w:val="0"/>
          <w:sz w:val="32"/>
          <w:szCs w:val="32"/>
        </w:rPr>
        <w:t xml:space="preserve">  各级突发事件应急委员会及其成员单位、专项应急指挥机构应当根据需要成立应急管理专家组，建立健全专家决策咨询制度。</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color w:val="000000"/>
          <w:kern w:val="0"/>
          <w:sz w:val="32"/>
          <w:szCs w:val="32"/>
        </w:rPr>
        <w:t>第七条</w:t>
      </w:r>
      <w:r>
        <w:rPr>
          <w:rFonts w:hint="eastAsia" w:ascii="宋体" w:hAnsi="宋体" w:eastAsia="仿宋_GB2312" w:cs="仿宋_GB2312"/>
          <w:color w:val="000000"/>
          <w:kern w:val="0"/>
          <w:sz w:val="32"/>
          <w:szCs w:val="32"/>
        </w:rPr>
        <w:t xml:space="preserve">  县级以上人民政府应当组织编制应急体系建设规划，并将其纳入国民经济和社会发展规划。</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第八条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sz w:val="32"/>
          <w:szCs w:val="32"/>
        </w:rPr>
        <w:t xml:space="preserve"> </w:t>
      </w:r>
      <w:r>
        <w:rPr>
          <w:rFonts w:hint="eastAsia" w:ascii="宋体" w:hAnsi="宋体" w:eastAsia="仿宋_GB2312" w:cs="仿宋_GB2312"/>
          <w:color w:val="000000"/>
          <w:kern w:val="0"/>
          <w:sz w:val="32"/>
          <w:szCs w:val="32"/>
        </w:rPr>
        <w:t>县级以上人民政府应当把突发事件应对工作所需经费列入财政预算，各级财政的预备费应当优先保证应对突发事件的需要。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第九条</w:t>
      </w:r>
      <w:r>
        <w:rPr>
          <w:rFonts w:hint="eastAsia" w:ascii="宋体" w:hAnsi="宋体" w:eastAsia="仿宋_GB2312" w:cs="仿宋_GB2312"/>
          <w:color w:val="000000"/>
          <w:kern w:val="0"/>
          <w:sz w:val="32"/>
          <w:szCs w:val="32"/>
        </w:rPr>
        <w:t xml:space="preserve">  省人民政府应当采取扶持政策和优惠措施，鼓励和支持高等院校、科研院所和相关机构等开展公共安全技术理论研究，开发用于突发事件预防、监测、预警、应急处置与救援的新技术、新设备和新工具，促进应急管理教学科研一体化。</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第十条</w:t>
      </w:r>
      <w:r>
        <w:rPr>
          <w:rFonts w:hint="eastAsia" w:ascii="宋体" w:hAnsi="宋体" w:eastAsia="仿宋_GB2312" w:cs="仿宋_GB2312"/>
          <w:color w:val="000000"/>
          <w:kern w:val="0"/>
          <w:sz w:val="32"/>
          <w:szCs w:val="32"/>
        </w:rPr>
        <w:t xml:space="preserve">  县级以上人民政府及其有关部门应当加强应急管理区域合作，建立健全应急管理联动机制。</w:t>
      </w:r>
    </w:p>
    <w:p>
      <w:pPr>
        <w:widowControl w:val="0"/>
        <w:wordWrap/>
        <w:overflowPunct w:val="0"/>
        <w:adjustRightInd w:val="0"/>
        <w:snapToGrid w:val="0"/>
        <w:spacing w:beforeAutospacing="0" w:afterAutospacing="0" w:line="560" w:lineRule="exact"/>
        <w:ind w:left="40" w:right="0" w:firstLine="630"/>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仿宋" w:cs="仿宋"/>
          <w:b/>
          <w:color w:val="000000"/>
          <w:kern w:val="0"/>
          <w:sz w:val="32"/>
          <w:szCs w:val="32"/>
        </w:rPr>
      </w:pPr>
      <w:r>
        <w:rPr>
          <w:rFonts w:hint="eastAsia" w:ascii="宋体" w:hAnsi="宋体" w:eastAsia="黑体" w:cs="黑体"/>
          <w:color w:val="000000"/>
          <w:kern w:val="0"/>
          <w:sz w:val="32"/>
          <w:szCs w:val="32"/>
        </w:rPr>
        <w:t>第二章  预防与应急准备</w:t>
      </w:r>
    </w:p>
    <w:p>
      <w:pPr>
        <w:widowControl w:val="0"/>
        <w:tabs>
          <w:tab w:val="left" w:pos="3405"/>
        </w:tabs>
        <w:wordWrap/>
        <w:overflowPunct w:val="0"/>
        <w:spacing w:beforeAutospacing="0" w:afterAutospacing="0" w:line="560" w:lineRule="exact"/>
        <w:ind w:right="0"/>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第十一条</w:t>
      </w:r>
      <w:r>
        <w:rPr>
          <w:rFonts w:hint="eastAsia" w:ascii="宋体" w:hAnsi="宋体" w:eastAsia="仿宋_GB2312" w:cs="仿宋_GB2312"/>
          <w:color w:val="000000"/>
          <w:kern w:val="0"/>
          <w:sz w:val="32"/>
          <w:szCs w:val="32"/>
        </w:rPr>
        <w:t xml:space="preserve">  本省根据国家规定建立健全突发事件应急预案体系，完善应急预案管理办法。</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省人民政府负责统筹各级、各类应急预案，加强对应急预案的管理。</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第十二条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b/>
          <w:kern w:val="0"/>
          <w:sz w:val="32"/>
          <w:szCs w:val="32"/>
        </w:rPr>
        <w:t xml:space="preserve"> </w:t>
      </w:r>
      <w:r>
        <w:rPr>
          <w:rFonts w:hint="eastAsia" w:ascii="宋体" w:hAnsi="宋体" w:eastAsia="仿宋_GB2312" w:cs="仿宋_GB2312"/>
          <w:color w:val="000000"/>
          <w:kern w:val="0"/>
          <w:sz w:val="32"/>
          <w:szCs w:val="32"/>
        </w:rPr>
        <w:t>省人民政府负责制定省总体应急预案，组织制定省专项应急预案，省人民政府有关部门负责制定本部门省级应急预案。</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市、县人民政府参照省制定预案的做法，制定相应的应急预案；乡级人民政府、街道办事处结合本行政区域实际，制定应急预案；居民委员会、村民委员会在所在地人民政府的指导下，制定相关应急预案。</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企业事业单位根据有关法律、法规、规章制定本单位应急预案；重大活动主办单位、公共场所经营或者管理单位根据有关法律、法规、规章制定具体应急预案。</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应急预案制订单位应当根据应急预案制定应急操作规程。</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第十三条</w:t>
      </w:r>
      <w:r>
        <w:rPr>
          <w:rFonts w:hint="eastAsia" w:ascii="宋体" w:hAnsi="宋体" w:eastAsia="仿宋_GB2312" w:cs="仿宋_GB2312"/>
          <w:color w:val="000000"/>
          <w:kern w:val="0"/>
          <w:sz w:val="32"/>
          <w:szCs w:val="32"/>
        </w:rPr>
        <w:t xml:space="preserve">  应急预案应当结合实际情况适时修改、完善，保障其可操作性。</w:t>
      </w:r>
    </w:p>
    <w:p>
      <w:pPr>
        <w:widowControl w:val="0"/>
        <w:wordWrap/>
        <w:overflowPunct w:val="0"/>
        <w:adjustRightInd w:val="0"/>
        <w:snapToGrid w:val="0"/>
        <w:spacing w:beforeAutospacing="0" w:afterAutospacing="0" w:line="560" w:lineRule="exact"/>
        <w:ind w:left="40" w:right="0" w:firstLine="63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乡级人民政府、街道办事处、居民委员会、村民委员会的应急预案每两年至少研究修改一次，其他应急预案每三年至少研究修改一次。</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sz w:val="32"/>
          <w:szCs w:val="32"/>
        </w:rPr>
      </w:pPr>
      <w:r>
        <w:rPr>
          <w:rFonts w:hint="eastAsia" w:ascii="宋体" w:hAnsi="宋体" w:eastAsia="黑体" w:cs="黑体"/>
          <w:color w:val="000000"/>
          <w:kern w:val="0"/>
          <w:sz w:val="32"/>
          <w:szCs w:val="32"/>
        </w:rPr>
        <w:t>第十四条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sz w:val="32"/>
          <w:szCs w:val="32"/>
        </w:rPr>
        <w:t>县级人民政府及其有关部门、乡级人民政府、街道办事处、居民委员会、村民委员会应当及时调解处理可能引发社会安全事件的矛盾纠纷。</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sz w:val="32"/>
          <w:szCs w:val="32"/>
        </w:rPr>
      </w:pPr>
      <w:r>
        <w:rPr>
          <w:rFonts w:hint="eastAsia" w:ascii="宋体" w:hAnsi="宋体" w:eastAsia="黑体" w:cs="黑体"/>
          <w:color w:val="000000"/>
          <w:kern w:val="0"/>
          <w:sz w:val="32"/>
          <w:szCs w:val="32"/>
        </w:rPr>
        <w:t>第十五条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sz w:val="32"/>
          <w:szCs w:val="32"/>
        </w:rPr>
        <w:t>所有单位应当建立健全安全管理制度，定期检查本单位各项安全防范措施的落实情况，及时消除事故隐患；掌握并及时处理本单位存在的可能引发社会安全事件的问题，防止矛盾激化和事态扩大；对本单位可能发生的突发事件和采取安全防范措施的情况，应当按照规定及时向所在地人民政府或者人民政府有关部门报告。</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第十六条</w:t>
      </w:r>
      <w:r>
        <w:rPr>
          <w:rFonts w:hint="eastAsia" w:ascii="宋体" w:hAnsi="宋体" w:eastAsia="仿宋_GB2312" w:cs="仿宋_GB2312"/>
          <w:color w:val="000000"/>
          <w:kern w:val="0"/>
          <w:sz w:val="32"/>
          <w:szCs w:val="32"/>
        </w:rPr>
        <w:t xml:space="preserve">  县级以上人民政府应当加强专业应急救援队伍建设，必要时可以依托本地消防队伍建立综合性应急救援队伍。</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交通、通讯、电力、供水、供气、医疗和其他提供公共服务的企业事业单位应当建立以本单位职工为主体的应急救援队伍。高危行业企业应当建立专职或者兼职的应急救援队伍。</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应急救援队伍应当具备专业的应急救援知识和技能，配备先进和充足的装备，提高救援能力。</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第十七条</w:t>
      </w:r>
      <w:r>
        <w:rPr>
          <w:rFonts w:hint="eastAsia" w:ascii="宋体" w:hAnsi="宋体" w:eastAsia="仿宋_GB2312" w:cs="仿宋_GB2312"/>
          <w:color w:val="000000"/>
          <w:kern w:val="0"/>
          <w:sz w:val="32"/>
          <w:szCs w:val="32"/>
        </w:rPr>
        <w:t xml:space="preserve">  县级以上人民政府设立的突发事件应急委员会以及专项应急组织机构应当加强对应急救援队伍的培训，按照应急预案组织开展应急演练。</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及其有关部门应当开展面向社会的公共安全知识宣传、普及、教育活动，增强全民的公共安全和社会责任意识，提高全社会防灾减灾意识和预防、避险、自救、互救等能力，发挥公民、法人和其他组织应对突发事件的作用。</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乡级人民政府、街道办事处和其他机关、企业事业单位应当组织社会公众和本单位人员开展应急演练和应急知识普及活动。</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第十八条</w:t>
      </w:r>
      <w:r>
        <w:rPr>
          <w:rFonts w:hint="eastAsia" w:ascii="宋体" w:hAnsi="宋体" w:eastAsia="仿宋_GB2312" w:cs="仿宋_GB2312"/>
          <w:color w:val="000000"/>
          <w:kern w:val="0"/>
          <w:sz w:val="32"/>
          <w:szCs w:val="32"/>
        </w:rPr>
        <w:t xml:space="preserve"> </w:t>
      </w:r>
      <w:r>
        <w:rPr>
          <w:rFonts w:hint="eastAsia" w:ascii="宋体" w:hAnsi="宋体" w:cs="仿宋_GB2312"/>
          <w:color w:val="000000"/>
          <w:kern w:val="0"/>
          <w:sz w:val="32"/>
          <w:szCs w:val="32"/>
          <w:lang w:val="en-US" w:eastAsia="zh-CN"/>
        </w:rPr>
        <w:t xml:space="preserve"> </w:t>
      </w:r>
      <w:r>
        <w:rPr>
          <w:rFonts w:hint="eastAsia" w:ascii="宋体" w:hAnsi="宋体" w:eastAsia="仿宋_GB2312" w:cs="仿宋_GB2312"/>
          <w:color w:val="000000"/>
          <w:kern w:val="0"/>
          <w:sz w:val="32"/>
          <w:szCs w:val="32"/>
        </w:rPr>
        <w:t>县级以上人民政府应当建立应急志愿者服务工作联席会议制度，负责统筹、协调和指导应急志愿者队伍的招募、培训、演练、参与应急救援等活动。具体办法由省人民政府自本条例实施之日起一年内制定。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第十九条</w:t>
      </w:r>
      <w:r>
        <w:rPr>
          <w:rFonts w:hint="eastAsia" w:ascii="宋体" w:hAnsi="宋体" w:eastAsia="仿宋_GB2312" w:cs="仿宋_GB2312"/>
          <w:color w:val="000000"/>
          <w:kern w:val="0"/>
          <w:sz w:val="32"/>
          <w:szCs w:val="32"/>
        </w:rPr>
        <w:t xml:space="preserve">  县级以上人民政府及其有关部门应当建立行政决策和应急管理工作决策的风险分析制度。上级行政机关要求下级行政机关提供重大决策事项、重大建设项目等风险分析报告的，下级行政机关应当提供。</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县级以上突发事件应急委员会应当建立公共安全形势分析会议制度，由主要负责人主持会议，定期对公共安全形势进行分析，提出应对的建议和对策。</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第二十条</w:t>
      </w:r>
      <w:r>
        <w:rPr>
          <w:rFonts w:hint="eastAsia" w:ascii="宋体" w:hAnsi="宋体" w:eastAsia="仿宋_GB2312" w:cs="仿宋_GB2312"/>
          <w:color w:val="000000"/>
          <w:kern w:val="0"/>
          <w:sz w:val="32"/>
          <w:szCs w:val="32"/>
        </w:rPr>
        <w:t xml:space="preserve">  县级以上人民政府应当组织有关部门定期对危险源、危险区域进行排查、登记。下级人民政府应当将危险源、危险区域的风险隐患排查情况报上一级人民政府备案，并按照国家规定及时向社会公布。</w:t>
      </w:r>
    </w:p>
    <w:p>
      <w:pPr>
        <w:widowControl w:val="0"/>
        <w:wordWrap/>
        <w:overflowPunct w:val="0"/>
        <w:adjustRightInd w:val="0"/>
        <w:snapToGrid w:val="0"/>
        <w:spacing w:beforeAutospacing="0" w:afterAutospacing="0" w:line="560" w:lineRule="exact"/>
        <w:ind w:right="0" w:firstLine="63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有关部门和单位应当采取安全防范措施，定期对危险源、危险区域进行风险评估和隐患排查。</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县级以上人民政府应当建立危险源、危险区域的信息数据库，定期更新并分析相关的信息数据。</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第二十一条</w:t>
      </w:r>
      <w:r>
        <w:rPr>
          <w:rFonts w:hint="eastAsia" w:ascii="宋体" w:hAnsi="宋体" w:eastAsia="仿宋_GB2312" w:cs="仿宋_GB2312"/>
          <w:color w:val="000000"/>
          <w:kern w:val="0"/>
          <w:sz w:val="32"/>
          <w:szCs w:val="32"/>
        </w:rPr>
        <w:t xml:space="preserve">  省人民政府负责建立全省应急平台体系和统一的数据库；县级以上人民政府应当建立本行政区域应急平台和统一的数据库，并纳入全省应急平台体系。</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全省应急平台体系承担突发事件的监测监控、预测预警、信息报告、综合研判、辅助决策、指挥调度、异地会商、事后评估等功能。</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第二十二条</w:t>
      </w:r>
      <w:r>
        <w:rPr>
          <w:rFonts w:hint="eastAsia" w:ascii="宋体" w:hAnsi="宋体" w:eastAsia="仿宋_GB2312" w:cs="仿宋_GB2312"/>
          <w:color w:val="000000"/>
          <w:kern w:val="0"/>
          <w:sz w:val="32"/>
          <w:szCs w:val="32"/>
        </w:rPr>
        <w:t xml:space="preserve">  县级以上人民政府应当将应急避护场所建设纳入本级城乡建设规划，统筹安排应对突发事件所需的设备和基础设施建设。</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县级以上人民政府应当明确应急避护场所的管理单位，在应急避护场所设置统一、规范的明显标志，储备必要的物资，提供必要的医疗条件。</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应急避护场所管理单位应当加强对应急避护场所的维护和管理，保证其正常使用。</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第二十三条</w:t>
      </w:r>
      <w:r>
        <w:rPr>
          <w:rFonts w:hint="eastAsia" w:ascii="宋体" w:hAnsi="宋体" w:eastAsia="仿宋_GB2312" w:cs="仿宋_GB2312"/>
          <w:color w:val="000000"/>
          <w:kern w:val="0"/>
          <w:sz w:val="32"/>
          <w:szCs w:val="32"/>
        </w:rPr>
        <w:t xml:space="preserve">  本省按照统筹规划、分级负责、统一调配、资源共享的原则，建立省、市、县三级应急物资保障系统，完善重要应急物资的监管、生产、储备、更新、调拨和紧急配送体系，并根据不同区域突发事件的特点，分部门、分区域布局省级应急物资储备。</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县级以上人民政府建立应急物资储备运输工作联席会议制度，日常工作由经信部门负责。</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第二十四条</w:t>
      </w:r>
      <w:r>
        <w:rPr>
          <w:rFonts w:hint="eastAsia" w:ascii="宋体" w:hAnsi="宋体" w:eastAsia="仿宋_GB2312" w:cs="仿宋_GB2312"/>
          <w:color w:val="000000"/>
          <w:kern w:val="0"/>
          <w:sz w:val="32"/>
          <w:szCs w:val="32"/>
        </w:rPr>
        <w:t xml:space="preserve">  发展改革、经信、民政等部门按照各自职责负责储备重要物资及基本生活物资。专业应急部门负责储备本部门处置突发事件所需的专业应急物资和装备。</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县级以上人民政府有关部门储备应急物资应当征求本级人民政府应急管理办公室意见。各地、各有关部门物资储备情况应报上一级人民政府应急管理办公室或者同级人民政府应急管理办公室备案。</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县级以上人民政府应当鼓励和引导社区、企业事业单位和家庭储备基本的应急自救物资和生活必需品。</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第二十五条</w:t>
      </w:r>
      <w:r>
        <w:rPr>
          <w:rFonts w:hint="eastAsia" w:ascii="宋体" w:hAnsi="宋体" w:eastAsia="仿宋_GB2312" w:cs="仿宋_GB2312"/>
          <w:color w:val="000000"/>
          <w:kern w:val="0"/>
          <w:sz w:val="32"/>
          <w:szCs w:val="32"/>
        </w:rPr>
        <w:t xml:space="preserve">  鼓励公民、法人和其他组织为突发事件应对工作提供物资、资金、技术支持和捐赠。</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民政部门、红十字会向社会公开募集、接收突发事件应急处置所需要的物资、资金和技术支持。</w:t>
      </w:r>
    </w:p>
    <w:p>
      <w:pPr>
        <w:widowControl w:val="0"/>
        <w:wordWrap/>
        <w:overflowPunct w:val="0"/>
        <w:adjustRightInd w:val="0"/>
        <w:snapToGrid w:val="0"/>
        <w:spacing w:beforeAutospacing="0" w:afterAutospacing="0" w:line="560" w:lineRule="exact"/>
        <w:ind w:right="0" w:firstLine="61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县级以上人民政府应当定期向社会公布捐赠款物等的来源、数量、发放和使用情况，并邀请捐赠代表参与监督。</w:t>
      </w:r>
    </w:p>
    <w:p>
      <w:pPr>
        <w:widowControl w:val="0"/>
        <w:wordWrap/>
        <w:overflowPunct w:val="0"/>
        <w:adjustRightInd w:val="0"/>
        <w:snapToGrid w:val="0"/>
        <w:spacing w:beforeAutospacing="0" w:afterAutospacing="0" w:line="560" w:lineRule="exact"/>
        <w:ind w:left="61" w:leftChars="19"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县级以上人民政府应当组织监察、审计部门对捐赠款物的拨付和使用等情况进行监察和审计，并及时向社会公开监察和审计结果。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color w:val="000000"/>
          <w:kern w:val="0"/>
          <w:sz w:val="32"/>
          <w:szCs w:val="32"/>
        </w:rPr>
        <w:t>第二十六条</w:t>
      </w:r>
      <w:r>
        <w:rPr>
          <w:rFonts w:hint="eastAsia" w:ascii="宋体" w:hAnsi="宋体" w:eastAsia="仿宋_GB2312" w:cs="仿宋_GB2312"/>
          <w:color w:val="000000"/>
          <w:kern w:val="0"/>
          <w:sz w:val="32"/>
          <w:szCs w:val="32"/>
        </w:rPr>
        <w:t xml:space="preserve"> </w:t>
      </w:r>
      <w:r>
        <w:rPr>
          <w:rFonts w:hint="eastAsia" w:ascii="宋体" w:hAnsi="宋体" w:eastAsia="仿宋_GB2312" w:cs="仿宋_GB2312"/>
          <w:kern w:val="0"/>
          <w:sz w:val="32"/>
          <w:szCs w:val="32"/>
        </w:rPr>
        <w:t xml:space="preserve"> </w:t>
      </w:r>
      <w:r>
        <w:rPr>
          <w:rFonts w:hint="eastAsia" w:ascii="宋体" w:hAnsi="宋体" w:eastAsia="仿宋_GB2312" w:cs="仿宋_GB2312"/>
          <w:color w:val="000000"/>
          <w:kern w:val="0"/>
          <w:sz w:val="32"/>
          <w:szCs w:val="32"/>
        </w:rPr>
        <w:t>鼓励保险公司开展产品和服务创新，为处置突发事件提供保险服务。鼓励社会公众参与商业保险和参加互助保险，建立风险分担机制。</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color w:val="000000"/>
          <w:kern w:val="0"/>
          <w:sz w:val="32"/>
          <w:szCs w:val="32"/>
        </w:rPr>
        <w:t>第二十七条</w:t>
      </w:r>
      <w:r>
        <w:rPr>
          <w:rFonts w:hint="eastAsia" w:ascii="宋体" w:hAnsi="宋体" w:eastAsia="仿宋_GB2312" w:cs="仿宋_GB2312"/>
          <w:color w:val="000000"/>
          <w:kern w:val="0"/>
          <w:sz w:val="32"/>
          <w:szCs w:val="32"/>
        </w:rPr>
        <w:t xml:space="preserve">  新闻媒体应当按照相关规定对突发事件进行及时、客观、真实的报道，无偿开展突发事件预防与应急、自救互救知识的公益宣传。</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color w:val="000000"/>
          <w:kern w:val="0"/>
          <w:sz w:val="32"/>
          <w:szCs w:val="32"/>
        </w:rPr>
      </w:pPr>
      <w:r>
        <w:rPr>
          <w:rFonts w:hint="eastAsia" w:ascii="宋体" w:hAnsi="宋体" w:eastAsia="黑体" w:cs="黑体"/>
          <w:color w:val="000000"/>
          <w:kern w:val="0"/>
          <w:sz w:val="32"/>
          <w:szCs w:val="32"/>
        </w:rPr>
        <w:t>第三章  监测与预警</w:t>
      </w:r>
    </w:p>
    <w:p>
      <w:pPr>
        <w:widowControl w:val="0"/>
        <w:wordWrap/>
        <w:overflowPunct w:val="0"/>
        <w:spacing w:beforeAutospacing="0" w:afterAutospacing="0" w:line="560" w:lineRule="exact"/>
        <w:ind w:right="0" w:firstLine="608" w:firstLineChars="190"/>
        <w:textAlignment w:val="auto"/>
        <w:outlineLvl w:val="9"/>
        <w:rPr>
          <w:rFonts w:hint="eastAsia" w:ascii="宋体" w:hAnsi="宋体" w:eastAsia="宋体" w:cs="宋体"/>
          <w:color w:val="000000"/>
          <w:kern w:val="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 xml:space="preserve">第二十八条 </w:t>
      </w:r>
      <w:r>
        <w:rPr>
          <w:rFonts w:hint="eastAsia" w:ascii="宋体" w:hAnsi="宋体" w:eastAsia="仿宋_GB2312" w:cs="仿宋_GB2312"/>
          <w:color w:val="000000"/>
          <w:kern w:val="0"/>
          <w:sz w:val="32"/>
          <w:szCs w:val="32"/>
        </w:rPr>
        <w:t xml:space="preserve"> 县级以上人民政府应当依托应急平台体系，建立统一的突发事件信息报送系统，形成突发事件信息报送快速反应机制和舆情收集、分析机制。</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各级人民政府应当及时向上级人民政府报送突发事件信息。较大以上突发事件发生后，地级以上市人民政府应当在两小时内将突发事件信息上报省人民政府，并向相关市人民政府通报。</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敏感性突发事件信息，不受突发事件分级标准限制，发生地的人民政府应当立即上报省人民政府。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第二十九条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kern w:val="0"/>
          <w:sz w:val="32"/>
          <w:szCs w:val="32"/>
        </w:rPr>
        <w:t xml:space="preserve"> </w:t>
      </w:r>
      <w:r>
        <w:rPr>
          <w:rFonts w:hint="eastAsia" w:ascii="宋体" w:hAnsi="宋体" w:eastAsia="仿宋_GB2312" w:cs="仿宋_GB2312"/>
          <w:color w:val="000000"/>
          <w:kern w:val="0"/>
          <w:sz w:val="32"/>
          <w:szCs w:val="32"/>
        </w:rPr>
        <w:t>县级以上人民政府应当建立突发事件信息报告员制度，聘请新闻媒体记者，乡级人民政府、街道办事处、居民委员会、村民委员会工作人员，派出所民警，社区（乡镇）卫生院医生，企业安全员，学校负责安全保卫的教职工等担任突发事件信息报告员。</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公民、法人或者其他组织获悉突发事件信息，应当立即通过报警电话等各种渠道向当地人民政府、有关主管部门或者指定的专业机构报告。</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县级以上人民政府及其有关部门应当建立健全突发事件监测体系，配备必要的设备和设施以及专职或者兼职人员，对可能发生的突发事件进行监测。</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第三十一条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能够预警的突发事件即将发生或者发生的可能性增大时，县级以上人民政府应当向社会公开发布相应级别的警报，决定并宣布相关地区进入预警期，同时向上一级人民政府报告，必要时可以越级上报，并向当地驻军和可能受到危害的毗邻或者相关的县级以上人民政府通报。</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b w:val="0"/>
          <w:bCs/>
          <w:color w:val="000000"/>
          <w:kern w:val="0"/>
          <w:sz w:val="32"/>
          <w:szCs w:val="32"/>
        </w:rPr>
        <w:t>第三十二条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本省通过省突发事件预警信息发布系统统一发布突发事件预警信息。</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二级以上预警信息，由省人民政府应急管理办公室根据省人民政府授权负责发布；三级预警信息，由各地级以上市人民政府应急管理办公室根据本级人民政府授权负责发布；四级预警信息由县级人民政府应急管理办公室根据本级人民政府授权负责发布。</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县级以上人民政府有关单位启动应急响应后根据需要和相关规定发布专项预警信息。</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县级以上人民政府应当利用广播、电视、报刊、互联网、手机短信、电子显示屏、有线广播、宣传车等，采用公开播送、派发传单、逐户通知等方式发布预警信息。对老、幼、病、残等特殊人群和通信、广播、电视盲区以及偏远地区的人群，应当采取足以使其知悉的有效方式发布预警信息。</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第三十三条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各级人民政府及其有关部门接到预警信息后，应当按照有关规定采取有效措施做好防御工作，避免或者减轻突发事件造成或者可能造成的损害。</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企事业单位、社会团体、公民接到预警信息后，应当配合政府及其有关部门做好突发事件应对工作。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第三十四条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发布突发事件预警信息的人民政府应当根据事态的发展，按照有关规定适时调整预警级别，及时更新发布预警信息。</w:t>
      </w:r>
    </w:p>
    <w:p>
      <w:pPr>
        <w:widowControl w:val="0"/>
        <w:wordWrap/>
        <w:overflowPunct w:val="0"/>
        <w:adjustRightInd w:val="0"/>
        <w:snapToGrid w:val="0"/>
        <w:spacing w:beforeAutospacing="0" w:afterAutospacing="0" w:line="560" w:lineRule="exact"/>
        <w:ind w:left="40" w:right="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 xml:space="preserve">    上级人民政府认为下级人民政府发布的预警信息不恰当的，应当责令下级人民政府改正或者直接发布有关预警信息。</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有事实证明不可能发生突发事件或者危险已经解除的，发布预警信息的人民政府应当立即在原公布范围内宣布解除警报，终止预警期，并解除已经采取的有关措施。</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第四章  应急处置与救援</w:t>
      </w:r>
    </w:p>
    <w:p>
      <w:pPr>
        <w:widowControl w:val="0"/>
        <w:wordWrap/>
        <w:overflowPunct w:val="0"/>
        <w:spacing w:beforeAutospacing="0" w:afterAutospacing="0" w:line="560" w:lineRule="exact"/>
        <w:ind w:right="0"/>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第三十五条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突发事件发生后，县级以上人民政府及其有关部门应当立即启动应急响应，</w:t>
      </w:r>
      <w:r>
        <w:rPr>
          <w:rFonts w:hint="eastAsia" w:ascii="宋体" w:hAnsi="宋体" w:eastAsia="仿宋_GB2312" w:cs="仿宋_GB2312"/>
          <w:sz w:val="32"/>
          <w:szCs w:val="32"/>
        </w:rPr>
        <w:t>针对突发事件的性质、特点和危害程度，组织有关部门，调动应急救援队伍和社会力量，</w:t>
      </w:r>
      <w:r>
        <w:rPr>
          <w:rFonts w:hint="eastAsia" w:ascii="宋体" w:hAnsi="宋体" w:eastAsia="仿宋_GB2312" w:cs="仿宋_GB2312"/>
          <w:color w:val="000000"/>
          <w:kern w:val="0"/>
          <w:sz w:val="32"/>
          <w:szCs w:val="32"/>
        </w:rPr>
        <w:t>依照法律、法规、规章规定的应急措施进行处置。</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突发事件发生后，事发地县级人民政府应当立即采取措施控制事态发展，组织开展应急救援和处置工作，并立即向上一级人民政府报告。事发地县级人民政府不能消除或者不能有效控制突发事件引起的严重社会危害的，应当在采取先期处置措施的同时，报请上一级人民政府组织处置。</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突发事件由上级人民政府统一领导和组织处置的，事发地人民政府应当做好先期处置和协助善后工作。</w:t>
      </w:r>
    </w:p>
    <w:p>
      <w:pPr>
        <w:widowControl w:val="0"/>
        <w:wordWrap/>
        <w:overflowPunct w:val="0"/>
        <w:adjustRightInd w:val="0"/>
        <w:snapToGrid w:val="0"/>
        <w:spacing w:beforeAutospacing="0" w:afterAutospacing="0" w:line="560" w:lineRule="exact"/>
        <w:ind w:right="0" w:firstLine="620" w:firstLineChars="194"/>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第三十六条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突发事件应急处置工作实行现场指挥官制度。</w:t>
      </w:r>
    </w:p>
    <w:p>
      <w:pPr>
        <w:widowControl w:val="0"/>
        <w:wordWrap/>
        <w:overflowPunct w:val="0"/>
        <w:adjustRightInd w:val="0"/>
        <w:snapToGrid w:val="0"/>
        <w:spacing w:beforeAutospacing="0" w:afterAutospacing="0" w:line="560" w:lineRule="exact"/>
        <w:ind w:right="0" w:firstLine="620" w:firstLineChars="194"/>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履行统一领导职责或者组织处置突发事件的人民政府应当根据应急处置工作的需要设立现场指挥部，派出或者指定现场指挥官，统一组织、指挥现场应急救援工作。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现场指挥官有权决定现场处置方案，协调有关单位和部门的现场应急处置工作，调度现场应急救援队伍。各有关部门、单位、公众应当服从和配合现场指挥官的指挥。</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第三十七条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政府依法实施应急征用，应当向被征用的单位或者个人签发应急处置征用令并做好登记造册工作。征用令包括征用单位名称、地址、联系办法、执行人员姓名、征用用途、征用时间以及征用财产的名称、数量、型号等内容。被征用的单位或者个人拒不执行应急处置征用令的，征用执行人员在情况紧迫并且没有其他替代方式时可以强制征用。</w:t>
      </w:r>
    </w:p>
    <w:p>
      <w:pPr>
        <w:widowControl w:val="0"/>
        <w:wordWrap/>
        <w:overflowPunct w:val="0"/>
        <w:adjustRightInd w:val="0"/>
        <w:snapToGrid w:val="0"/>
        <w:spacing w:beforeAutospacing="0" w:afterAutospacing="0" w:line="560" w:lineRule="exact"/>
        <w:ind w:left="40" w:right="0" w:firstLine="63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被征用的财产使用后，实施征用的人民政府应当返还被征用人。单位、个人的财产被征用或者征用后毁损、灭失的，实施征用的人民政府应当按照国家和省的有关规定给予补偿。</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第三十八条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救灾物资的紧急采购由采购单位自行组织，各级集中采购代理机构协助配合。符合相应资格条件的供应商有两家以上的，按照符合采购需求、质量和服务相等且报价最低的原则确定成交供应商，只有一家供应商的，可以直接确定其为应急采购的供应商。</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监察、财政、物价部门应当派员监督救灾物资的紧急采购。</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第三十九条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省人民政府应当建立和完善全省应急交通运输综合协调机制。铁路、公路、水运、航空部门应当确保救援人员和受到突发事件危害的人员、救援物资、救援设备优先运输。</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处置突发事件期间，配备由省人民政府制发的应急标志的应急处置工作人员和交通工具可以优先通行。突发事件的威胁和危害得到控制或者消除后，有关部门应当及时收回应急标志。</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sz w:val="32"/>
          <w:szCs w:val="32"/>
        </w:rPr>
        <w:t xml:space="preserve"> </w:t>
      </w:r>
      <w:r>
        <w:rPr>
          <w:rFonts w:hint="eastAsia" w:ascii="宋体" w:hAnsi="宋体" w:eastAsia="仿宋_GB2312" w:cs="仿宋_GB2312"/>
          <w:color w:val="000000"/>
          <w:kern w:val="0"/>
          <w:sz w:val="32"/>
          <w:szCs w:val="32"/>
        </w:rPr>
        <w:t>县级以上人民政府在突发事件发生后，应当加强价格监管，从严惩处囤积居奇、哄抬物价和制假售假等扰乱市场秩序的行为，稳定市场价格，维护市场秩序。</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第四十一条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县级以上人民政府及其财政部门在突发事件发生后应当简化财政资金的审批和划拨程序，保障应急处置所需资金。</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第四十二条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履行统一领导职责或者组织处置突发事件的人民政府应当及时向受到突发事件危害的人员提供食品、饮用水、医疗和住所等基本生活保障。在灾民临时安置场所设立基本生活保障和心理干预服务站点，配备必要的公众信息传播设施。</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第四十三条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县级以上人民政府根据有关法律、法规、规章，建立健全突发事件信息公开制度和新闻发言人制度。</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履行统一领导职责或者组织处置突发事件的人民政府，应当按照国家规定的权限准确、及时发布有关突发事件事态发展和应急处置工作的信息。</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任何单位和个人不得编造、传播有关突发事件事态发展或者应急处置工作的虚假信息。</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宋体" w:cs="宋体"/>
          <w:color w:val="00000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第五章  事后恢复与重建</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第四十四条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突发事件发生地或者受影响地的县级以上人民政府应当组织编制恢复重建规划，制定救助、救治、康复、补偿、抚慰、抚恤、安置和心理干预等善后工作计划，有序开展恢复重建工作。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第四十五条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突发事件的威胁和危害得到基本控制或者消除后，宣布启动应急响应的人民政府应当及时宣布结束应急响应，停止执行应急处置措施，同时采取或者继续实施疫病防治、疫情或者灾害监控、污染治理、宣传疏导以及心理危机干预等必要措施，防止发生自然灾害、事故灾难、公共卫生事件的次生、衍生事件，防止重新引发社会安全事件。</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sz w:val="32"/>
          <w:szCs w:val="32"/>
        </w:rPr>
      </w:pPr>
      <w:r>
        <w:rPr>
          <w:rFonts w:hint="eastAsia" w:ascii="宋体" w:hAnsi="宋体" w:eastAsia="黑体" w:cs="黑体"/>
          <w:b w:val="0"/>
          <w:bCs/>
          <w:color w:val="000000"/>
          <w:kern w:val="0"/>
          <w:sz w:val="32"/>
          <w:szCs w:val="32"/>
        </w:rPr>
        <w:t>第四十六条</w:t>
      </w:r>
      <w:r>
        <w:rPr>
          <w:rFonts w:hint="eastAsia" w:ascii="宋体" w:hAnsi="宋体" w:eastAsia="仿宋_GB2312" w:cs="仿宋_GB2312"/>
          <w:color w:val="000000"/>
          <w:kern w:val="0"/>
          <w:sz w:val="32"/>
          <w:szCs w:val="32"/>
        </w:rPr>
        <w:t xml:space="preserve">  履行统一领导职责或者组织处置突发事件的人民政府应当尽快组织修复被损坏的通信、交通、供电、供水、供气和医疗等公共设施。</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 w:cs="仿宋"/>
          <w:color w:val="000000"/>
          <w:kern w:val="0"/>
          <w:sz w:val="32"/>
          <w:szCs w:val="32"/>
        </w:rPr>
      </w:pPr>
      <w:r>
        <w:rPr>
          <w:rFonts w:hint="eastAsia" w:ascii="宋体" w:hAnsi="宋体" w:eastAsia="黑体" w:cs="黑体"/>
          <w:b w:val="0"/>
          <w:bCs/>
          <w:color w:val="000000"/>
          <w:kern w:val="0"/>
          <w:sz w:val="32"/>
          <w:szCs w:val="32"/>
        </w:rPr>
        <w:t>第四十七条</w:t>
      </w:r>
      <w:r>
        <w:rPr>
          <w:rFonts w:hint="eastAsia" w:ascii="宋体" w:hAnsi="宋体" w:eastAsia="仿宋_GB2312" w:cs="仿宋_GB2312"/>
          <w:b/>
          <w:kern w:val="0"/>
          <w:sz w:val="32"/>
          <w:szCs w:val="32"/>
        </w:rPr>
        <w:t xml:space="preserve">  </w:t>
      </w:r>
      <w:r>
        <w:rPr>
          <w:rFonts w:hint="eastAsia" w:ascii="宋体" w:hAnsi="宋体" w:eastAsia="仿宋_GB2312" w:cs="仿宋_GB2312"/>
          <w:color w:val="000000"/>
          <w:kern w:val="0"/>
          <w:sz w:val="32"/>
          <w:szCs w:val="32"/>
        </w:rPr>
        <w:t>履行统一领导职责或者组织处置突发事件的人民政府采取突发事件应对措施，对公民、法人和其他组织造成财产损失的，应当给予补偿。具体办法由省人民政府自本条例实施之日起一年内制定。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第四十八条</w:t>
      </w:r>
      <w:r>
        <w:rPr>
          <w:rFonts w:hint="eastAsia" w:ascii="宋体" w:hAnsi="宋体" w:eastAsia="仿宋_GB2312" w:cs="仿宋_GB2312"/>
          <w:b/>
          <w:color w:val="000000"/>
          <w:kern w:val="0"/>
          <w:sz w:val="32"/>
          <w:szCs w:val="32"/>
        </w:rPr>
        <w:t xml:space="preserve"> </w:t>
      </w:r>
      <w:r>
        <w:rPr>
          <w:rFonts w:hint="eastAsia" w:ascii="宋体" w:hAnsi="宋体" w:eastAsia="仿宋_GB2312" w:cs="仿宋_GB2312"/>
          <w:color w:val="000000"/>
          <w:kern w:val="0"/>
          <w:sz w:val="32"/>
          <w:szCs w:val="32"/>
        </w:rPr>
        <w:t xml:space="preserve"> 突发事件发生地受灾人员需要过渡性安置的，履行统一领导职责或者组织处置突发事件的人民政府应当根据突发事件发生地的实际情况，做好安置工作。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过渡性安置点的规模应当适度，并应当设置在交通便利、方便受灾人员恢复生产和生活的区域。</w:t>
      </w:r>
    </w:p>
    <w:p>
      <w:pPr>
        <w:widowControl w:val="0"/>
        <w:wordWrap/>
        <w:overflowPunct w:val="0"/>
        <w:spacing w:beforeAutospacing="0" w:afterAutospacing="0" w:line="560" w:lineRule="exact"/>
        <w:ind w:right="0" w:firstLine="645"/>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履行统一领导职责或者组织处置突发事件的人民政府应当在过渡性安置点采取相应的防灾、防疫措施，建设必要的配套基础设施和公共服务设施，保障受灾人员的安全和基本生活需要。</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第四十九条</w:t>
      </w:r>
      <w:r>
        <w:rPr>
          <w:rFonts w:hint="eastAsia" w:ascii="宋体" w:hAnsi="宋体" w:eastAsia="仿宋_GB2312" w:cs="仿宋_GB2312"/>
          <w:color w:val="000000"/>
          <w:kern w:val="0"/>
          <w:sz w:val="32"/>
          <w:szCs w:val="32"/>
        </w:rPr>
        <w:t xml:space="preserve">  突发事件发生地的公民应当服从人民政府、居民委员会、村民委员会或者所属单位的指挥和安排，配合人民政</w:t>
      </w:r>
      <w:r>
        <w:rPr>
          <w:rFonts w:hint="eastAsia" w:ascii="宋体" w:hAnsi="宋体" w:eastAsia="仿宋_GB2312" w:cs="仿宋_GB2312"/>
          <w:color w:val="000000"/>
          <w:spacing w:val="-6"/>
          <w:kern w:val="0"/>
          <w:sz w:val="32"/>
          <w:szCs w:val="32"/>
        </w:rPr>
        <w:t>府采取的应急处置措施，积极参加应急救援、事后恢复与重建工作。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第五十条</w:t>
      </w:r>
      <w:r>
        <w:rPr>
          <w:rFonts w:hint="eastAsia" w:ascii="宋体" w:hAnsi="宋体" w:eastAsia="仿宋_GB2312" w:cs="仿宋_GB2312"/>
          <w:color w:val="000000"/>
          <w:kern w:val="0"/>
          <w:sz w:val="32"/>
          <w:szCs w:val="32"/>
        </w:rPr>
        <w:t xml:space="preserve">  突发事件对事发地经济社会造成严重影响的，县级以上人民政府应当根据损失评估情况和有关规定，依法给予费用减免、财政资助等政策扶持，组织提供物资和人力等支持。</w:t>
      </w:r>
    </w:p>
    <w:p>
      <w:pPr>
        <w:widowControl w:val="0"/>
        <w:wordWrap/>
        <w:overflowPunct w:val="0"/>
        <w:adjustRightInd w:val="0"/>
        <w:snapToGrid w:val="0"/>
        <w:spacing w:beforeAutospacing="0" w:afterAutospacing="0" w:line="560" w:lineRule="exact"/>
        <w:ind w:left="40" w:right="0"/>
        <w:textAlignment w:val="auto"/>
        <w:outlineLvl w:val="9"/>
        <w:rPr>
          <w:rFonts w:hint="eastAsia" w:ascii="宋体" w:hAnsi="宋体" w:eastAsia="宋体" w:cs="宋体"/>
          <w:color w:val="00000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第六章  评估与考核</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第五十一条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政府应当将突发事件防范和应对工作纳入行政机关主要负责人和有关负责人年度绩效考核范围，建立应急管理工作相关指标体系，健全责任追究制度。具体办法由省人民政府自本条例实施之日起一年内制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第五十二条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应急响应结束后，突发事件发生地和受影响地的县级人民政府应当组织对突发事件应对工作进行调查评估，并向本级人民代表大会常务委员会和上一级人民政府报告。发生较大以上突发事件的，负责处置工作的地级以上市人民政府或者有关应急指挥机构应当将调查评估情况报告省人民政府。</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第五十三条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县级以上人民代表大会常务委员会应当加强对本级人民政府及其有关部门执行有关应急管理法律、法规、规章的监督检查。</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第五十四条</w:t>
      </w:r>
      <w:r>
        <w:rPr>
          <w:rFonts w:hint="eastAsia" w:ascii="宋体" w:hAnsi="宋体" w:eastAsia="仿宋_GB2312" w:cs="仿宋_GB2312"/>
          <w:color w:val="000000"/>
          <w:kern w:val="0"/>
          <w:sz w:val="32"/>
          <w:szCs w:val="32"/>
        </w:rPr>
        <w:t xml:space="preserve">  上级人民政府应当对下级人民政府应急管理工作进行专项监督检查和考核。</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第七章  法律责任</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宋体" w:cs="宋体"/>
          <w:b w:val="0"/>
          <w:bCs/>
          <w:color w:val="000000"/>
          <w:kern w:val="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第五十五条</w:t>
      </w:r>
      <w:r>
        <w:rPr>
          <w:rFonts w:hint="eastAsia" w:ascii="宋体" w:hAnsi="宋体" w:eastAsia="仿宋_GB2312" w:cs="仿宋_GB2312"/>
          <w:color w:val="000000"/>
          <w:kern w:val="0"/>
          <w:sz w:val="32"/>
          <w:szCs w:val="32"/>
        </w:rPr>
        <w:t xml:space="preserve">  对违反本条例的行为，法律、法规已经规定法律责任的，依照法律、法规的规定处理。</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第五十六条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地方各级人民政府和县级以上各级人民政府有关部门违反本条例规定，有下列情形之一的，由上级行政机关或者监察机关对其直接负责的主管人员和其他直接责任人员给予记过或者记大过处分；情节较重的，给予降级或者撤职处分；情节严重的，给予开除处分；构成犯罪的，依法追究刑事责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（一）拒绝或者拖延执行所在行政机关或者上级行政机关有关应对突发事件的决定、命令的；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（二）迟报、谎报、瞒报、漏报突发事件信息的；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（三）玩忽职守导致突发事件发生或者危害扩大的；</w:t>
      </w:r>
    </w:p>
    <w:p>
      <w:pPr>
        <w:widowControl w:val="0"/>
        <w:wordWrap/>
        <w:overflowPunct w:val="0"/>
        <w:adjustRightInd w:val="0"/>
        <w:snapToGrid w:val="0"/>
        <w:spacing w:beforeAutospacing="0" w:afterAutospacing="0" w:line="560" w:lineRule="exact"/>
        <w:ind w:right="0" w:firstLine="616" w:firstLineChars="200"/>
        <w:textAlignment w:val="auto"/>
        <w:outlineLvl w:val="9"/>
        <w:rPr>
          <w:rFonts w:hint="eastAsia" w:ascii="宋体" w:hAnsi="宋体" w:eastAsia="仿宋_GB2312" w:cs="仿宋_GB2312"/>
          <w:color w:val="000000"/>
          <w:spacing w:val="-6"/>
          <w:kern w:val="0"/>
          <w:sz w:val="32"/>
          <w:szCs w:val="32"/>
        </w:rPr>
      </w:pPr>
      <w:r>
        <w:rPr>
          <w:rFonts w:hint="eastAsia" w:ascii="宋体" w:hAnsi="宋体" w:eastAsia="仿宋_GB2312" w:cs="仿宋_GB2312"/>
          <w:color w:val="000000"/>
          <w:spacing w:val="-6"/>
          <w:kern w:val="0"/>
          <w:sz w:val="32"/>
          <w:szCs w:val="32"/>
        </w:rPr>
        <w:t>（四）截留、挪用、私分或者变相私分应急专项资金、物资的；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000000"/>
          <w:kern w:val="0"/>
          <w:sz w:val="32"/>
          <w:szCs w:val="32"/>
        </w:rPr>
      </w:pPr>
      <w:r>
        <w:rPr>
          <w:rFonts w:hint="eastAsia" w:ascii="宋体" w:hAnsi="宋体" w:eastAsia="仿宋_GB2312" w:cs="仿宋_GB2312"/>
          <w:color w:val="000000"/>
          <w:kern w:val="0"/>
          <w:sz w:val="32"/>
          <w:szCs w:val="32"/>
        </w:rPr>
        <w:t>（五）突发事件发生后采取违法手段歪曲、掩盖事实逃避法律追究，或者包庇对突发事件负有责任的单位或者个人的。</w:t>
      </w:r>
    </w:p>
    <w:p>
      <w:pPr>
        <w:widowControl w:val="0"/>
        <w:wordWrap/>
        <w:overflowPunct w:val="0"/>
        <w:adjustRightInd w:val="0"/>
        <w:snapToGrid w:val="0"/>
        <w:spacing w:beforeAutospacing="0" w:afterAutospacing="0" w:line="560" w:lineRule="exact"/>
        <w:ind w:left="40" w:right="0"/>
        <w:textAlignment w:val="auto"/>
        <w:outlineLvl w:val="9"/>
        <w:rPr>
          <w:rFonts w:hint="eastAsia" w:ascii="宋体" w:hAnsi="宋体" w:eastAsia="宋体" w:cs="宋体"/>
          <w:color w:val="000000"/>
          <w:kern w:val="0"/>
          <w:sz w:val="32"/>
          <w:szCs w:val="32"/>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b w:val="0"/>
          <w:bCs/>
          <w:color w:val="000000"/>
          <w:kern w:val="0"/>
          <w:sz w:val="32"/>
          <w:szCs w:val="32"/>
        </w:rPr>
      </w:pPr>
      <w:r>
        <w:rPr>
          <w:rFonts w:hint="eastAsia" w:ascii="宋体" w:hAnsi="宋体" w:eastAsia="黑体" w:cs="黑体"/>
          <w:b w:val="0"/>
          <w:bCs/>
          <w:color w:val="000000"/>
          <w:kern w:val="0"/>
          <w:sz w:val="32"/>
          <w:szCs w:val="32"/>
        </w:rPr>
        <w:t>第八章  附则</w:t>
      </w:r>
    </w:p>
    <w:p>
      <w:pPr>
        <w:widowControl w:val="0"/>
        <w:wordWrap/>
        <w:overflowPunct w:val="0"/>
        <w:spacing w:beforeAutospacing="0" w:afterAutospacing="0" w:line="560" w:lineRule="exact"/>
        <w:ind w:right="0"/>
        <w:jc w:val="center"/>
        <w:textAlignment w:val="auto"/>
        <w:outlineLvl w:val="9"/>
        <w:rPr>
          <w:rFonts w:hint="eastAsia" w:ascii="宋体" w:hAnsi="宋体" w:eastAsia="宋体" w:cs="宋体"/>
          <w:color w:val="000000"/>
          <w:kern w:val="0"/>
          <w:sz w:val="32"/>
          <w:szCs w:val="32"/>
        </w:rPr>
      </w:pP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color w:val="000000"/>
          <w:kern w:val="0"/>
          <w:sz w:val="32"/>
          <w:szCs w:val="32"/>
        </w:rPr>
      </w:pPr>
      <w:r>
        <w:rPr>
          <w:rFonts w:hint="eastAsia" w:ascii="宋体" w:hAnsi="宋体" w:eastAsia="黑体" w:cs="黑体"/>
          <w:b w:val="0"/>
          <w:bCs/>
          <w:color w:val="000000"/>
          <w:kern w:val="0"/>
          <w:sz w:val="32"/>
          <w:szCs w:val="32"/>
        </w:rPr>
        <w:t>第五十七条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color w:val="000000"/>
          <w:kern w:val="0"/>
          <w:sz w:val="32"/>
          <w:szCs w:val="32"/>
        </w:rPr>
        <w:t xml:space="preserve"> 预防和处置突发事件涉及事项，法律、法规没有规定的，省人民政府可以作出规定。</w:t>
      </w:r>
    </w:p>
    <w:p>
      <w:pPr>
        <w:widowControl w:val="0"/>
        <w:wordWrap/>
        <w:overflowPunct w:val="0"/>
        <w:adjustRightInd w:val="0"/>
        <w:snapToGrid w:val="0"/>
        <w:spacing w:beforeAutospacing="0" w:afterAutospacing="0" w:line="560" w:lineRule="exact"/>
        <w:ind w:right="0" w:firstLine="627" w:firstLineChars="196"/>
        <w:textAlignment w:val="auto"/>
        <w:outlineLvl w:val="9"/>
        <w:rPr>
          <w:rFonts w:hint="eastAsia" w:ascii="宋体" w:hAnsi="宋体" w:eastAsia="仿宋_GB2312" w:cs="仿宋_GB2312"/>
          <w:sz w:val="32"/>
          <w:szCs w:val="32"/>
        </w:rPr>
      </w:pPr>
      <w:r>
        <w:rPr>
          <w:rFonts w:hint="eastAsia" w:ascii="宋体" w:hAnsi="宋体" w:eastAsia="黑体" w:cs="黑体"/>
          <w:b w:val="0"/>
          <w:bCs/>
          <w:color w:val="000000"/>
          <w:kern w:val="0"/>
          <w:sz w:val="32"/>
          <w:szCs w:val="32"/>
        </w:rPr>
        <w:t>第五十八条</w:t>
      </w:r>
      <w:r>
        <w:rPr>
          <w:rFonts w:hint="eastAsia" w:ascii="宋体" w:hAnsi="宋体" w:eastAsia="仿宋_GB2312" w:cs="仿宋_GB2312"/>
          <w:b w:val="0"/>
          <w:bCs/>
          <w:color w:val="000000"/>
          <w:kern w:val="0"/>
          <w:sz w:val="32"/>
          <w:szCs w:val="32"/>
        </w:rPr>
        <w:t xml:space="preserve">  </w:t>
      </w:r>
      <w:r>
        <w:rPr>
          <w:rFonts w:hint="eastAsia" w:ascii="宋体" w:hAnsi="宋体" w:eastAsia="仿宋_GB2312" w:cs="仿宋_GB2312"/>
          <w:kern w:val="0"/>
          <w:sz w:val="32"/>
          <w:szCs w:val="32"/>
        </w:rPr>
        <w:t>其他省、自治区、直辖市发生突发事件时，根据国务院要求或者实际需要，由省人民政府统一部署，组织参与应急处置与救援、灾后恢复与重建工作。国务院及其组成部门直接指令本省人民政府有关部门参与突发事件应对工作的，接收指令的部门应当及时报告省人民政府。</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b w:val="0"/>
          <w:bCs/>
          <w:sz w:val="32"/>
          <w:szCs w:val="32"/>
          <w:lang w:eastAsia="zh-CN"/>
        </w:rPr>
      </w:pPr>
      <w:r>
        <w:rPr>
          <w:rFonts w:hint="eastAsia" w:ascii="宋体" w:hAnsi="宋体" w:eastAsia="黑体" w:cs="黑体"/>
          <w:b w:val="0"/>
          <w:bCs/>
          <w:color w:val="000000"/>
          <w:kern w:val="0"/>
          <w:sz w:val="32"/>
          <w:szCs w:val="32"/>
        </w:rPr>
        <w:t>第五十九条</w:t>
      </w:r>
      <w:r>
        <w:rPr>
          <w:rFonts w:hint="eastAsia" w:ascii="宋体" w:hAnsi="宋体" w:eastAsia="仿宋_GB2312" w:cs="仿宋_GB2312"/>
          <w:b w:val="0"/>
          <w:bCs/>
          <w:kern w:val="0"/>
          <w:sz w:val="32"/>
          <w:szCs w:val="32"/>
        </w:rPr>
        <w:t xml:space="preserve"> </w:t>
      </w:r>
      <w:r>
        <w:rPr>
          <w:rFonts w:hint="eastAsia" w:ascii="宋体" w:hAnsi="宋体" w:eastAsia="仿宋_GB2312" w:cs="仿宋_GB2312"/>
          <w:b/>
          <w:kern w:val="0"/>
          <w:sz w:val="32"/>
          <w:szCs w:val="32"/>
        </w:rPr>
        <w:t xml:space="preserve"> </w:t>
      </w:r>
      <w:r>
        <w:rPr>
          <w:rFonts w:hint="eastAsia" w:ascii="宋体" w:hAnsi="宋体" w:eastAsia="仿宋_GB2312" w:cs="仿宋_GB2312"/>
          <w:kern w:val="0"/>
          <w:sz w:val="32"/>
          <w:szCs w:val="32"/>
        </w:rPr>
        <w:t>本条例自2010年7月1日起施行。</w:t>
      </w:r>
    </w:p>
    <w:p>
      <w:pPr>
        <w:widowControl w:val="0"/>
        <w:wordWrap/>
        <w:adjustRightInd/>
        <w:snapToGrid/>
        <w:spacing w:line="560" w:lineRule="exact"/>
        <w:jc w:val="center"/>
        <w:textAlignment w:val="auto"/>
        <w:outlineLvl w:val="0"/>
        <w:rPr>
          <w:rFonts w:hint="eastAsia" w:ascii="宋体" w:hAnsi="宋体" w:eastAsia="宋体" w:cs="宋体"/>
          <w:sz w:val="44"/>
          <w:szCs w:val="44"/>
        </w:rPr>
      </w:pPr>
      <w:r>
        <w:rPr>
          <w:rFonts w:hint="eastAsia" w:ascii="宋体" w:hAnsi="宋体" w:eastAsia="宋体" w:cs="宋体"/>
          <w:color w:val="000000"/>
          <w:sz w:val="44"/>
          <w:szCs w:val="44"/>
        </w:rPr>
        <w:br w:type="page"/>
      </w:r>
      <w:bookmarkStart w:id="435" w:name="_Toc6442"/>
      <w:r>
        <w:rPr>
          <w:rFonts w:hint="eastAsia" w:ascii="宋体" w:hAnsi="宋体" w:eastAsia="宋体" w:cs="宋体"/>
          <w:sz w:val="44"/>
          <w:szCs w:val="44"/>
        </w:rPr>
        <w:t>广东省人民代表大会常务委员会关于依法防控新型冠状病毒肺炎疫情切实保障人民群众生命健康安全的决定</w:t>
      </w:r>
      <w:bookmarkEnd w:id="435"/>
    </w:p>
    <w:p>
      <w:pPr>
        <w:widowControl w:val="0"/>
        <w:wordWrap/>
        <w:adjustRightInd/>
        <w:snapToGrid/>
        <w:spacing w:line="560" w:lineRule="exact"/>
        <w:jc w:val="center"/>
        <w:textAlignment w:val="auto"/>
        <w:rPr>
          <w:rFonts w:hint="eastAsia" w:ascii="仿宋" w:hAnsi="仿宋" w:eastAsia="仿宋" w:cs="仿宋"/>
          <w:sz w:val="32"/>
          <w:szCs w:val="32"/>
        </w:rPr>
      </w:pPr>
    </w:p>
    <w:p>
      <w:pPr>
        <w:widowControl w:val="0"/>
        <w:wordWrap/>
        <w:adjustRightInd/>
        <w:snapToGrid/>
        <w:spacing w:line="560" w:lineRule="exact"/>
        <w:ind w:left="640" w:leftChars="200" w:right="640" w:rightChars="200"/>
        <w:jc w:val="center"/>
        <w:textAlignment w:val="auto"/>
        <w:rPr>
          <w:rFonts w:hint="eastAsia" w:ascii="楷体" w:hAnsi="楷体" w:eastAsia="楷体" w:cs="楷体"/>
          <w:sz w:val="32"/>
          <w:szCs w:val="32"/>
        </w:rPr>
      </w:pPr>
      <w:r>
        <w:rPr>
          <w:rFonts w:hint="eastAsia" w:ascii="楷体" w:hAnsi="楷体" w:eastAsia="楷体" w:cs="楷体"/>
          <w:sz w:val="32"/>
          <w:szCs w:val="32"/>
        </w:rPr>
        <w:t>（2020年2月11日广东省第十三届人民代表大会常务委员会第十八次会议通过）</w:t>
      </w:r>
    </w:p>
    <w:p>
      <w:pPr>
        <w:widowControl w:val="0"/>
        <w:wordWrap/>
        <w:adjustRightInd/>
        <w:snapToGrid/>
        <w:spacing w:line="560" w:lineRule="exact"/>
        <w:textAlignment w:val="auto"/>
        <w:rPr>
          <w:rFonts w:hint="eastAsia" w:ascii="仿宋" w:hAnsi="仿宋" w:eastAsia="仿宋" w:cs="仿宋"/>
          <w:sz w:val="32"/>
          <w:szCs w:val="32"/>
        </w:rPr>
      </w:pPr>
    </w:p>
    <w:p>
      <w:pPr>
        <w:widowControl w:val="0"/>
        <w:wordWrap/>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　　为深入贯彻落实习近平总书记关于“全面提高依法防控依法治理能力、为疫情防控工作提供有力法治保障”的重要指示，贯彻落实党中央决策部署和省委工作要求，在法治轨道上统筹推进各项疫情防控工作，坚决打赢疫情防控的人民战争、总体战、阻击战，保障人民群众生命安全和身体健康，根据《中华人民共和国传染病防治法》《中华人民共和国突发事件应对法》《突发公共卫生事件应急条例》和《广东省突发事件应对条例》《广东省突发公共卫生事件应急办法》等有关法律法规，结合本省疫情防控实际，作出如下决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 疫情防控工作应当坚持党的领导，按照坚定信心、同舟共济、科学防治、精准施策的要求，贯彻依法依规、有序规范、联防联控、群防群治的原则，落实“四个一”应急处置机制，把区域治理、部门治理、行业治理、基层治理、单位治理有机结合起来，充分调动各方面的积极性，提高疫情防控的科学性、及时性和有效性，提高我省治理体系和治理能力现代化水平。</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 坚持全国全省“一盘棋”，服从国家和省的统一指挥、统一协调、统一调度。县级以上地方人民政府及其有关部门应当切实履行属地责任、部门责任，以最严纪律、最有力举措、最坚定信心“外防输入、内防扩散”，做好下列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健全覆盖省、市、县（市、区）、乡镇（街道）、村（社区）的五级防护网络，建立跨部门、跨层级、跨区域防控体系，落实全省联防联控、群防群治工作机制，全力做好疫情监测、排查、预警、防控等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（二）落实“早发现、早报告、早隔离、早治疗”措施，按照“集中病例、集中专家、集中资源、集中救治”原则，全力做好确诊病人的医疗救治工作，抓好隔离人员的防治工作；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（三）加强疫情防控物资生产、供给、调配的统筹，保障重要物资供应并优先满足一线医护人员和救治病人的需要，加大生活必需品的生产、供给力度，支持和推动企业有序复工复产，保障居民正常生活需要；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（四）严格落实疫情报告和信息发布制度，按照法定内容、程序、方式、时限及时准确公布疫情信息，公开透明回应社会关切，不得缓报、漏报、瞒报、谎报；</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（五）统筹做好返工、返校、返岗工作，制定健康监测、交通组织、物资保障等相应疫情防控预案，督促企业和学校科学合理安排生产和教学活动，做好返工、返校、返岗后的疫情防控工作；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（六）根据疫情防控需要，可以与本行政区域周边地区建立疫情防控合作机制，加强信息沟通和工作协同，共同做好疫情联防联控；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（七）依法规范捐赠、受赠行为，加强对受赠财物的规范管理，捐赠财物的接收、支出、发放、使用和管理情况应当依法公开并接受捐赠人和社会的监督，确保受赠财物全部及时用于疫情防控；</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依托“粤省事”“粤商通”等数字政府移动平台，加强业务协同办理，优化政务服务流程，引导企业和群众网上办理业务，减少企业和群众办事跑动和聚集。县级以上地方人民政府在不与宪法、法律、行政法规相抵触，不与本省地方性法规基本原则相违背的前提下，可以根据疫情防控需要，在医疗卫生、防疫管理、隔离观察、道口管理、交通运输、社区管理、市场管理、场所管理、生产经营、劳动保障、市容环境、野生动物管理等方面，规定临时性应急行政管理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 切实推动防控重心向基层下移，构筑城乡社区疫情防控严密防线，全力加强联防联控、群防群治。乡镇人民政府和街道办事处应当按照上级人民政府的统一部署，组织指导居民委员会、村民委员会、业主委员会、物业服务企业、志愿服务组织等依法依规有针对性地采取防控措施，加强对城乡结合部、流动人口多以及疫情严重的城乡社区防控力量的布局，做好疫情防控工作。居民委员会、村民委员会应当发挥群众自治作用，实行网格化管理，协助人民政府做好下列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（一）做好从疫情严重地区返回人员情况摸查，落实“一人一册”和开展健康监测，及时报送疫情防控信息，督促相关人员按照有关规定进行隔离医学观察；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（二）加强居家隔离医学观察人员的健康监测和管理，提供生活服务保障；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（三）动员村（社区）居民、社区社会组织、辖区单位参与疫情防控工作；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（四）协助相关部门做好疫情防控宣传教育和卫生健康提示；</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发挥村（社区）法律顾问作用，加强疫情防控法治宣传和法律服务。业主委员会、物业服务企业、志愿服务组织应当配合居民委员会、村民委员会做好疫情防控工作，加强居住地区人员往来和车辆进出管理，采取必要措施限制外来人员和车辆进入居住区，加强重点公共区域的清洁和消毒。根据疫情防控需要，机关、事业单位、国有企业应当安排工作人员参与城乡社区疫情防控工作，并提供必要的支持。</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 本省行政区域内的机关、企业事业单位、社会团体和其他组织应当落实疫情防控主体责任，依法做好下列疫情防控工作：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（一）建立健全疫情防控工作责任制和管理制度；</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（二）对本单位场所、设施实施卫生消毒；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（三）配备必要的防护物品和设施；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（四）对本单位人员和往来人员开展健康监测；</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（五）督促密切接触者、来自疫情严重地区的人员按照有关规定进行隔离医学观察；</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（六）发现异常情况及时报告相关主管部门并采取相应的防控措施；</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（七）按照人民政府要求组织人员参加疫情防控工作；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（八）严格执行人民政府关于复工复产、开学等规定；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人民政府要求开展的其他疫情防控工作。交通运输、农贸市场、商场超市、宾馆饭店、金融机构、学校、文体场馆、养老服务机构等公共服务单位应当落实消毒通风、体温监测、人流控制等疫情防控措施。严禁农贸市场、餐饮单位、商场超市、电商平台等交易、消费场所开展野生动物交易、消费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 在本省行政区域内居住、工作、生活、学习、旅游以及从事其他活动的个人，应当服从、配合疫情防控指挥、管理和安排，积极参与、支持疫情防控工作，履行下列疫情防控义务：</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（一）增强自我防护意识，严格遵守在公共场所佩戴口罩的规定；</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（二）减少外出、聚集活动；</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（三）依法接受调查、监测、隔离医学观察、隔离治疗等防控措施，如实提供有关情况；</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（四）出现发热、乏力、干咳等症状时，及时前往发热门诊就医，并避免乘坐公共交通工具；</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（五）革除滥食野生动物的陋习，不得滥食野生动物，养成文明、卫生的饮食习惯；</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（六）不得隐瞒、缓报或者谎报疫病史、疫情严重地区旅行史、与确诊或者疑似病人接触史；</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（七）不得阻碍医疗机构、医务人员正常的诊疗和救治工作；</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服从依法采取的其他疫情防控措施。从疫情严重地区返回的人员，应当主动向居住地村（社区）报告健康状况，按照有关规定进行隔离医学观察，配合相关服务管理。确诊病人、病原携带者、疑似病人应当依法接受隔离治疗，密切接触者在指定场所接受医学观察或者其他必要的预防措施；不得拒绝接受检疫、强制隔离或者治疗、医学观察等，隔离期未满不得擅自脱离隔离治疗或者医学观察。任何个人发现确诊病人、疑似病人时，应当及时向附近的疾病预防控制机构或者医疗机构报告。任何单位和个人都有权向各级人民政府及其有关部门报告疫情传播的隐患和风险，有权举报违反本决定的其他情况。接受举报的机关，应当及时调查处理。</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 各级行政执法机关、司法机关应当及时依法严厉查处各类哄抬防疫用品、药品和民生用品价格的违法行为，严厉打击抗拒疫情防控、暴力伤医、制假售假、造谣传谣等妨碍疫情防控的违法犯罪行为，保障社会安定有序。违反法律法规和本决定规定，有下列行为之一的，由有关部门依法予以处理；构成违反治安管理行为的，由公安机关依法予以处罚；构成犯罪的，依法追究刑事责任。</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（一）不服从人民政府及其有关部门发布的决定、命令或者不配合依法采取的调查、检验、采集样本等疫情防控措施，阻碍疫情防控工作人员执行职务的；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（二）确诊病人、病原携带者、疑似病人拒绝接受隔离治疗、隔离期未满擅自脱离隔离治疗，或者来自疫情严重地区、与疫情严重地区人员密切接触，不服从隔离管理，故意隐瞒经历的；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（三）未履行疫情报告和信息发布制度，缓报、漏报、瞒报或者谎报疫情信息，未及时、准确公布疫情信息的；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（四）阻碍卫生医疗机构、医务人员正常诊疗和救治工作，实施阻拦、推搡、撕扯、侮辱、恐吓、殴打医务人员等危害医务人员人身安全的行为，扰乱医疗秩序的；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（五）哄抬防疫用品、药品或者民生用品价格，生产、销售伪劣的疫情防治、防护产品、物资、药品和医用器材，扰乱市场秩序的；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（六）编造、传播有关疫情和防控工作虚假信息，扰乱社会秩序的；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（七）出售、购买、利用、运输、携带、寄递野生动物及其制品，为出售、购买野生动物及其制品发布广告及提供交易服务，滥食野生动物的；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（八）利用职务上的便利，侵吞、截留或者以其他手段非法占有疫情防控款物，或者挪用疫情防控款物的；</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故意泄露涉及个人隐私的有关信息、资料的。个人有隐瞒病史、疫情严重地区旅行史、与病人或者疑似病人接触史、逃避隔离医学观察等行为的，除依法追究法律责任外，有关部门还应当按照国家和本省有关规定，将其失信信息向本省公共信用信息平台归集，依法予以惩戒。</w:t>
      </w:r>
    </w:p>
    <w:p>
      <w:pPr>
        <w:widowControl w:val="0"/>
        <w:wordWrap/>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 对于未依照法律、法规和本决定规定履行疫情防控职责的行政机关，由其上级行政机关责令改正；对直接负责的主管人员和其他直接责任人员，依法给予处分；构成犯罪的，依法追究刑事责任。对于在疫情防控工作中不依法履行职责，滥用职权、玩忽职守、徇私舞弊的国家工作人员，依法给予处分；构成犯罪的，依法追究刑事责任。本决定自公布之日起施行。终止日期由广东省人民代表大会常务委员会另行公布。</w:t>
      </w: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widowControl w:val="0"/>
        <w:wordWrap w:val="0"/>
        <w:adjustRightInd/>
        <w:snapToGrid/>
        <w:spacing w:before="0" w:beforeLines="0" w:after="0" w:afterLines="0" w:line="590" w:lineRule="exact"/>
        <w:ind w:right="0" w:firstLine="0" w:firstLineChars="0"/>
        <w:jc w:val="right"/>
        <w:textAlignment w:val="auto"/>
        <w:outlineLvl w:val="9"/>
        <w:rPr>
          <w:rFonts w:hint="eastAsia" w:ascii="宋体" w:hAnsi="宋体" w:eastAsia="宋体" w:cs="宋体"/>
          <w:kern w:val="0"/>
          <w:sz w:val="32"/>
          <w:szCs w:val="32"/>
        </w:rPr>
      </w:pPr>
    </w:p>
    <w:p>
      <w:pPr>
        <w:widowControl w:val="0"/>
        <w:wordWrap/>
        <w:overflowPunct w:val="0"/>
        <w:adjustRightInd w:val="0"/>
        <w:snapToGrid w:val="0"/>
        <w:spacing w:beforeLines="0" w:afterLines="0" w:line="590" w:lineRule="exact"/>
        <w:ind w:left="0" w:leftChars="0"/>
        <w:jc w:val="center"/>
        <w:textAlignment w:val="auto"/>
        <w:outlineLvl w:val="9"/>
        <w:rPr>
          <w:rFonts w:hint="eastAsia" w:ascii="宋体" w:hAnsi="宋体" w:eastAsia="宋体" w:cs="宋体"/>
          <w:color w:val="auto"/>
          <w:sz w:val="44"/>
          <w:lang w:val="en-US" w:eastAsia="zh-CN"/>
        </w:rPr>
      </w:pPr>
      <w:r>
        <w:rPr>
          <w:rFonts w:hint="eastAsia" w:ascii="宋体" w:hAnsi="宋体" w:eastAsia="宋体" w:cs="宋体"/>
          <w:color w:val="auto"/>
          <w:sz w:val="44"/>
          <w:lang w:val="en-US" w:eastAsia="zh-CN"/>
        </w:rPr>
        <w:t>广东省人民代表大会常务委员会</w:t>
      </w:r>
    </w:p>
    <w:p>
      <w:pPr>
        <w:widowControl w:val="0"/>
        <w:wordWrap/>
        <w:overflowPunct w:val="0"/>
        <w:adjustRightInd w:val="0"/>
        <w:snapToGrid w:val="0"/>
        <w:spacing w:beforeLines="0" w:afterLines="0" w:line="590" w:lineRule="exact"/>
        <w:ind w:left="0" w:leftChars="0"/>
        <w:jc w:val="center"/>
        <w:textAlignment w:val="auto"/>
        <w:outlineLvl w:val="9"/>
        <w:rPr>
          <w:rFonts w:hint="eastAsia" w:ascii="宋体" w:hAnsi="宋体" w:eastAsia="宋体" w:cs="宋体"/>
          <w:color w:val="auto"/>
          <w:sz w:val="44"/>
          <w:lang w:val="en-US" w:eastAsia="zh-CN"/>
        </w:rPr>
      </w:pPr>
      <w:r>
        <w:rPr>
          <w:rFonts w:hint="eastAsia" w:ascii="宋体" w:hAnsi="宋体" w:eastAsia="宋体" w:cs="宋体"/>
          <w:color w:val="auto"/>
          <w:sz w:val="44"/>
          <w:lang w:val="en-US" w:eastAsia="zh-CN"/>
        </w:rPr>
        <w:t>关于制止餐饮浪费的决定</w:t>
      </w:r>
    </w:p>
    <w:p>
      <w:pPr>
        <w:widowControl w:val="0"/>
        <w:wordWrap/>
        <w:adjustRightInd/>
        <w:snapToGrid/>
        <w:spacing w:beforeLines="0" w:afterLines="0" w:line="590" w:lineRule="exact"/>
        <w:ind w:right="0"/>
        <w:jc w:val="left"/>
        <w:textAlignment w:val="auto"/>
        <w:outlineLvl w:val="9"/>
        <w:rPr>
          <w:rFonts w:hint="eastAsia" w:ascii="宋体" w:hAnsi="宋体" w:eastAsia="楷体_GB2312" w:cs="楷体_GB2312"/>
          <w:color w:val="auto"/>
        </w:rPr>
      </w:pPr>
    </w:p>
    <w:p>
      <w:pPr>
        <w:widowControl w:val="0"/>
        <w:wordWrap/>
        <w:adjustRightInd/>
        <w:snapToGrid/>
        <w:spacing w:beforeLines="0" w:afterLines="0" w:line="590" w:lineRule="exact"/>
        <w:ind w:left="640" w:leftChars="200" w:right="640" w:rightChars="200" w:firstLine="0" w:firstLineChars="0"/>
        <w:jc w:val="left"/>
        <w:textAlignment w:val="auto"/>
        <w:outlineLvl w:val="9"/>
        <w:rPr>
          <w:rFonts w:hint="eastAsia" w:ascii="楷体_GB2312" w:hAnsi="楷体_GB2312" w:eastAsia="楷体_GB2312" w:cs="楷体_GB2312"/>
          <w:color w:val="auto"/>
          <w:lang w:val="en-US" w:eastAsia="zh-CN"/>
        </w:rPr>
      </w:pPr>
      <w:r>
        <w:rPr>
          <w:rFonts w:hint="eastAsia" w:ascii="楷体_GB2312" w:hAnsi="楷体_GB2312" w:eastAsia="楷体_GB2312" w:cs="楷体_GB2312"/>
          <w:color w:val="auto"/>
        </w:rPr>
        <w:t>（</w:t>
      </w:r>
      <w:r>
        <w:rPr>
          <w:rFonts w:hint="eastAsia" w:ascii="楷体_GB2312" w:hAnsi="楷体_GB2312" w:eastAsia="楷体_GB2312" w:cs="楷体_GB2312"/>
          <w:color w:val="auto"/>
          <w:lang w:val="en-US" w:eastAsia="zh-CN"/>
        </w:rPr>
        <w:t>2020年11月27日广东省第十三届人民代表大会常务</w:t>
      </w:r>
    </w:p>
    <w:p>
      <w:pPr>
        <w:widowControl w:val="0"/>
        <w:wordWrap/>
        <w:adjustRightInd/>
        <w:snapToGrid/>
        <w:spacing w:beforeLines="0" w:afterLines="0" w:line="590" w:lineRule="exact"/>
        <w:ind w:left="640" w:leftChars="200" w:right="640" w:rightChars="200" w:firstLine="0" w:firstLineChars="0"/>
        <w:jc w:val="left"/>
        <w:textAlignment w:val="auto"/>
        <w:outlineLvl w:val="9"/>
        <w:rPr>
          <w:rFonts w:hint="eastAsia" w:ascii="楷体_GB2312" w:hAnsi="楷体_GB2312" w:eastAsia="楷体_GB2312" w:cs="楷体_GB2312"/>
          <w:color w:val="auto"/>
        </w:rPr>
      </w:pPr>
      <w:r>
        <w:rPr>
          <w:rFonts w:hint="eastAsia" w:ascii="楷体_GB2312" w:hAnsi="楷体_GB2312" w:eastAsia="楷体_GB2312" w:cs="楷体_GB2312"/>
          <w:color w:val="auto"/>
          <w:lang w:val="en-US" w:eastAsia="zh-CN"/>
        </w:rPr>
        <w:t>委员会第二十六次会议通过</w:t>
      </w:r>
      <w:r>
        <w:rPr>
          <w:rFonts w:hint="eastAsia" w:ascii="楷体_GB2312" w:hAnsi="楷体_GB2312" w:eastAsia="楷体_GB2312" w:cs="楷体_GB2312"/>
          <w:color w:val="auto"/>
        </w:rPr>
        <w:t>）</w:t>
      </w:r>
    </w:p>
    <w:p>
      <w:pPr>
        <w:widowControl w:val="0"/>
        <w:wordWrap/>
        <w:overflowPunct w:val="0"/>
        <w:snapToGrid/>
        <w:spacing w:beforeLines="0" w:afterLines="0" w:line="590" w:lineRule="exact"/>
        <w:ind w:left="0" w:leftChars="0" w:right="0"/>
        <w:jc w:val="both"/>
        <w:textAlignment w:val="auto"/>
        <w:outlineLvl w:val="9"/>
        <w:rPr>
          <w:rFonts w:hint="eastAsia" w:ascii="宋体" w:hAnsi="宋体" w:eastAsia="宋体" w:cs="宋体"/>
          <w:color w:val="000000"/>
          <w:kern w:val="0"/>
          <w:sz w:val="32"/>
          <w:szCs w:val="32"/>
          <w:highlight w:val="none"/>
        </w:rPr>
      </w:pP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为了制止餐饮浪费，营造厉行节约、反对浪费的社会风尚，弘扬中华民族勤俭节约</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传统美德，践行社会主义核心价值观，根据宪法和有关法律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法规，结合本省实际，作出如下决定</w:t>
      </w:r>
      <w:r>
        <w:rPr>
          <w:rFonts w:hint="eastAsia" w:ascii="仿宋_GB2312" w:hAnsi="仿宋_GB2312" w:eastAsia="仿宋_GB2312" w:cs="仿宋_GB2312"/>
          <w:sz w:val="32"/>
          <w:szCs w:val="32"/>
          <w:lang w:eastAsia="zh-CN"/>
        </w:rPr>
        <w:t>：</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一、制止餐饮浪费是全社会的共同责任，应当坚持政府引导、部门协同、行业自律、人人有责、社会监督和依法规范的原则，多措并举综合治理餐饮浪费。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本决定所称餐饮浪费，是指对尚可食用或者饮用的餐饮食品未按照其功能目的利用。</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二、各级人民政府应当加强制止餐饮浪费工作的统筹协调，建立健全工作机制，畅通投诉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举报渠道，加强监督管理，持续推动全社会</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精神文明建设</w:t>
      </w:r>
      <w:r>
        <w:rPr>
          <w:rFonts w:hint="eastAsia" w:ascii="仿宋_GB2312" w:hAnsi="仿宋_GB2312" w:eastAsia="仿宋_GB2312" w:cs="仿宋_GB2312"/>
          <w:sz w:val="32"/>
          <w:szCs w:val="32"/>
          <w:lang w:eastAsia="zh-CN"/>
        </w:rPr>
        <w:t>指导机构</w:t>
      </w:r>
      <w:r>
        <w:rPr>
          <w:rFonts w:hint="eastAsia" w:ascii="仿宋_GB2312" w:hAnsi="仿宋_GB2312" w:eastAsia="仿宋_GB2312" w:cs="仿宋_GB2312"/>
          <w:sz w:val="32"/>
          <w:szCs w:val="32"/>
        </w:rPr>
        <w:t>应当将制止餐饮浪费纳入群众性精神文明创建活动内容，制定制止餐饮浪费示范公约，加强公益广告宣传。</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商务主管部门应当</w:t>
      </w:r>
      <w:r>
        <w:rPr>
          <w:rFonts w:hint="eastAsia" w:ascii="仿宋_GB2312" w:hAnsi="仿宋_GB2312" w:eastAsia="仿宋_GB2312" w:cs="仿宋_GB2312"/>
          <w:sz w:val="32"/>
          <w:szCs w:val="32"/>
          <w:lang w:val="en-US" w:eastAsia="zh-CN"/>
        </w:rPr>
        <w:t>研究制定政策措施，引导发展节约型餐饮企业</w:t>
      </w:r>
      <w:r>
        <w:rPr>
          <w:rFonts w:hint="eastAsia" w:ascii="仿宋_GB2312" w:hAnsi="仿宋_GB2312" w:eastAsia="仿宋_GB2312" w:cs="仿宋_GB2312"/>
          <w:sz w:val="32"/>
          <w:szCs w:val="32"/>
        </w:rPr>
        <w:t>，建立健全制止餐饮浪费的标准化</w:t>
      </w:r>
      <w:r>
        <w:rPr>
          <w:rFonts w:hint="eastAsia" w:ascii="仿宋_GB2312" w:hAnsi="仿宋_GB2312" w:eastAsia="仿宋_GB2312" w:cs="仿宋_GB2312"/>
          <w:sz w:val="32"/>
          <w:szCs w:val="32"/>
          <w:lang w:val="en-US" w:eastAsia="zh-CN"/>
        </w:rPr>
        <w:t>服务</w:t>
      </w:r>
      <w:r>
        <w:rPr>
          <w:rFonts w:hint="eastAsia" w:ascii="仿宋_GB2312" w:hAnsi="仿宋_GB2312" w:eastAsia="仿宋_GB2312" w:cs="仿宋_GB2312"/>
          <w:sz w:val="32"/>
          <w:szCs w:val="32"/>
        </w:rPr>
        <w:t>体系和行业规范。</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市场监督管理部门应当加强对餐饮经营者制止餐饮浪费情况的监督检查，督促餐饮经营者制止餐饮浪费。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网信、教育、文化和旅游、</w:t>
      </w:r>
      <w:r>
        <w:rPr>
          <w:rFonts w:hint="eastAsia" w:ascii="仿宋_GB2312" w:hAnsi="仿宋_GB2312" w:eastAsia="仿宋_GB2312" w:cs="仿宋_GB2312"/>
          <w:sz w:val="32"/>
          <w:szCs w:val="32"/>
          <w:lang w:eastAsia="zh-CN"/>
        </w:rPr>
        <w:t>卫生健康、</w:t>
      </w:r>
      <w:r>
        <w:rPr>
          <w:rFonts w:hint="eastAsia" w:ascii="仿宋_GB2312" w:hAnsi="仿宋_GB2312" w:eastAsia="仿宋_GB2312" w:cs="仿宋_GB2312"/>
          <w:sz w:val="32"/>
          <w:szCs w:val="32"/>
        </w:rPr>
        <w:t>民政、农业农村、住房城乡建设、粮食和储备等主管部门</w:t>
      </w:r>
      <w:r>
        <w:rPr>
          <w:rFonts w:hint="eastAsia" w:ascii="仿宋_GB2312" w:hAnsi="仿宋_GB2312" w:eastAsia="仿宋_GB2312" w:cs="仿宋_GB2312"/>
          <w:sz w:val="32"/>
          <w:szCs w:val="32"/>
          <w:lang w:eastAsia="zh-CN"/>
        </w:rPr>
        <w:t>应当</w:t>
      </w:r>
      <w:r>
        <w:rPr>
          <w:rFonts w:hint="eastAsia" w:ascii="仿宋_GB2312" w:hAnsi="仿宋_GB2312" w:eastAsia="仿宋_GB2312" w:cs="仿宋_GB2312"/>
          <w:sz w:val="32"/>
          <w:szCs w:val="32"/>
        </w:rPr>
        <w:t>按照各自职责做好制止餐饮浪费相关工作。</w:t>
      </w:r>
    </w:p>
    <w:p>
      <w:pPr>
        <w:widowControl w:val="0"/>
        <w:numPr>
          <w:ilvl w:val="0"/>
          <w:numId w:val="0"/>
        </w:numPr>
        <w:wordWrap/>
        <w:overflowPunct w:val="0"/>
        <w:adjustRightInd w:val="0"/>
        <w:snapToGrid w:val="0"/>
        <w:spacing w:beforeLines="0" w:afterLines="0" w:line="560" w:lineRule="exact"/>
        <w:ind w:right="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 xml:space="preserve">    三、</w:t>
      </w:r>
      <w:r>
        <w:rPr>
          <w:rFonts w:hint="eastAsia" w:ascii="仿宋_GB2312" w:hAnsi="仿宋_GB2312" w:eastAsia="仿宋_GB2312" w:cs="仿宋_GB2312"/>
          <w:sz w:val="32"/>
          <w:szCs w:val="32"/>
        </w:rPr>
        <w:t>机关、人民团体、</w:t>
      </w:r>
      <w:r>
        <w:rPr>
          <w:rFonts w:hint="eastAsia" w:ascii="仿宋_GB2312" w:hAnsi="仿宋_GB2312" w:eastAsia="仿宋_GB2312" w:cs="仿宋_GB2312"/>
          <w:sz w:val="32"/>
          <w:szCs w:val="32"/>
          <w:lang w:eastAsia="zh-CN"/>
        </w:rPr>
        <w:t>企业</w:t>
      </w:r>
      <w:r>
        <w:rPr>
          <w:rFonts w:hint="eastAsia" w:ascii="仿宋_GB2312" w:hAnsi="仿宋_GB2312" w:eastAsia="仿宋_GB2312" w:cs="仿宋_GB2312"/>
          <w:sz w:val="32"/>
          <w:szCs w:val="32"/>
        </w:rPr>
        <w:t>事业单位和基层群众性自治组织应当加强制止餐饮浪费的宣传教育和科学普及，倡导文明节俭的饮食文化，营造浪费可耻、节约为荣的社会氛围。</w:t>
      </w:r>
      <w:r>
        <w:rPr>
          <w:rFonts w:hint="eastAsia" w:ascii="仿宋_GB2312" w:hAnsi="仿宋_GB2312" w:eastAsia="仿宋_GB2312" w:cs="仿宋_GB2312"/>
          <w:lang w:val="en-US" w:eastAsia="zh-CN"/>
        </w:rPr>
        <w:t>各级人民政府及其有关部门、精神文明建设指导机构应当指导机关、人民团</w:t>
      </w:r>
      <w:r>
        <w:rPr>
          <w:rFonts w:hint="eastAsia" w:ascii="仿宋_GB2312" w:hAnsi="仿宋_GB2312" w:eastAsia="仿宋_GB2312" w:cs="仿宋_GB2312"/>
          <w:szCs w:val="22"/>
          <w:lang w:val="en-US" w:eastAsia="zh-CN"/>
        </w:rPr>
        <w:t>体、企业事业单位和基层群</w:t>
      </w:r>
      <w:r>
        <w:rPr>
          <w:rFonts w:hint="eastAsia" w:ascii="仿宋_GB2312" w:hAnsi="仿宋_GB2312" w:eastAsia="仿宋_GB2312" w:cs="仿宋_GB2312"/>
          <w:lang w:val="en-US" w:eastAsia="zh-CN"/>
        </w:rPr>
        <w:t>众自治组织将</w:t>
      </w:r>
      <w:r>
        <w:rPr>
          <w:rFonts w:hint="eastAsia" w:ascii="仿宋_GB2312" w:hAnsi="仿宋_GB2312" w:eastAsia="仿宋_GB2312" w:cs="仿宋_GB2312"/>
          <w:i w:val="0"/>
          <w:iCs w:val="0"/>
          <w:sz w:val="32"/>
          <w:szCs w:val="32"/>
          <w:u w:val="none"/>
        </w:rPr>
        <w:t>制止餐饮浪费内容纳入各类公约守则、制度规范，通过发布倡议书、签订承诺书等多种形式，</w:t>
      </w:r>
      <w:r>
        <w:rPr>
          <w:rFonts w:hint="eastAsia" w:ascii="仿宋_GB2312" w:hAnsi="仿宋_GB2312" w:eastAsia="仿宋_GB2312" w:cs="仿宋_GB2312"/>
          <w:i w:val="0"/>
          <w:iCs w:val="0"/>
          <w:sz w:val="32"/>
          <w:szCs w:val="32"/>
          <w:u w:val="none"/>
          <w:lang w:eastAsia="zh-CN"/>
        </w:rPr>
        <w:t>促进全社会共同参与制止餐饮浪费工作。</w:t>
      </w:r>
    </w:p>
    <w:p>
      <w:pPr>
        <w:widowControl w:val="0"/>
        <w:numPr>
          <w:ilvl w:val="0"/>
          <w:numId w:val="0"/>
        </w:numPr>
        <w:wordWrap/>
        <w:overflowPunct w:val="0"/>
        <w:adjustRightInd w:val="0"/>
        <w:snapToGrid w:val="0"/>
        <w:spacing w:beforeLines="0" w:afterLines="0" w:line="560" w:lineRule="exact"/>
        <w:ind w:right="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广播、电视、报刊、网站等媒体应当积极开展制止餐饮浪费的公益宣传，报道先进典型，曝光浪费现象，引导公众树立科学正确的饮食消费观念，对餐饮浪费行为进行舆论监督。 </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餐饮烹饪、旅游酒店等相关行业协会应当发挥行业自律、引导、服务作用，开展餐饮浪费的监测和评估，制定并组织实施餐饮节约标准，将制止餐饮浪费纳入行业评先评优指标体系，引导餐饮经营者转变经营理念和创新经营方式。</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消费者委员会和其他消费者组织应当加强消费教育，引导消费者形成文明节俭的消费</w:t>
      </w:r>
      <w:r>
        <w:rPr>
          <w:rFonts w:hint="eastAsia" w:ascii="仿宋_GB2312" w:hAnsi="仿宋_GB2312" w:eastAsia="仿宋_GB2312" w:cs="仿宋_GB2312"/>
          <w:sz w:val="32"/>
          <w:szCs w:val="32"/>
          <w:lang w:eastAsia="zh-CN"/>
        </w:rPr>
        <w:t>观念</w:t>
      </w:r>
      <w:r>
        <w:rPr>
          <w:rFonts w:hint="eastAsia" w:ascii="仿宋_GB2312" w:hAnsi="仿宋_GB2312" w:eastAsia="仿宋_GB2312" w:cs="仿宋_GB2312"/>
          <w:sz w:val="32"/>
          <w:szCs w:val="32"/>
        </w:rPr>
        <w:t>和习惯，监督餐饮行业的浪费行为，推动餐饮经营者履行社会责任、创新经营方式。</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任何单位和个人发现有餐饮浪费行为的，有权向有关主管部门投诉、举报。</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四、餐饮经营者应当采取下列措施，</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right="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（一）建立健全食品原料采购、储存、配送、加工、销售全链条节约管理制度，完善制止餐饮浪费的服务流程和操作规范；</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（二）加强烹饪师傅培训，将厉行节约、反对浪费纳入员工职业培训内容；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（三）按照标准规范制作食品，精准量化食材份量，在菜单中标注份量、规格、建议消费人数等信息，提供小份餐等不同规格选择，推行适合不同群体的套餐；</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（四）在餐饮服务场所显著位置张贴或者摆放</w:t>
      </w:r>
      <w:r>
        <w:rPr>
          <w:rFonts w:hint="eastAsia" w:ascii="仿宋_GB2312" w:hAnsi="仿宋_GB2312" w:eastAsia="仿宋_GB2312" w:cs="仿宋_GB2312"/>
          <w:sz w:val="32"/>
          <w:szCs w:val="32"/>
          <w:lang w:eastAsia="zh-CN"/>
        </w:rPr>
        <w:t>倡议</w:t>
      </w:r>
      <w:r>
        <w:rPr>
          <w:rFonts w:hint="eastAsia" w:ascii="仿宋_GB2312" w:hAnsi="仿宋_GB2312" w:eastAsia="仿宋_GB2312" w:cs="仿宋_GB2312"/>
          <w:sz w:val="32"/>
          <w:szCs w:val="32"/>
        </w:rPr>
        <w:t>珍惜粮食、反对浪费等标语标识、提示牌，提示消费者文明</w:t>
      </w:r>
      <w:r>
        <w:rPr>
          <w:rFonts w:hint="eastAsia" w:ascii="仿宋_GB2312" w:hAnsi="仿宋_GB2312" w:eastAsia="仿宋_GB2312" w:cs="仿宋_GB2312"/>
          <w:sz w:val="32"/>
          <w:szCs w:val="32"/>
          <w:lang w:eastAsia="zh-CN"/>
        </w:rPr>
        <w:t>节俭</w:t>
      </w:r>
      <w:r>
        <w:rPr>
          <w:rFonts w:hint="eastAsia" w:ascii="仿宋_GB2312" w:hAnsi="仿宋_GB2312" w:eastAsia="仿宋_GB2312" w:cs="仿宋_GB2312"/>
          <w:sz w:val="32"/>
          <w:szCs w:val="32"/>
        </w:rPr>
        <w:t>消费；</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）配备</w:t>
      </w:r>
      <w:r>
        <w:rPr>
          <w:rFonts w:hint="eastAsia" w:ascii="仿宋_GB2312" w:hAnsi="仿宋_GB2312" w:eastAsia="仿宋_GB2312" w:cs="仿宋_GB2312"/>
          <w:sz w:val="32"/>
          <w:szCs w:val="32"/>
          <w:lang w:eastAsia="zh-CN"/>
        </w:rPr>
        <w:t>公筷公勺和</w:t>
      </w:r>
      <w:r>
        <w:rPr>
          <w:rFonts w:hint="eastAsia" w:ascii="仿宋_GB2312" w:hAnsi="仿宋_GB2312" w:eastAsia="仿宋_GB2312" w:cs="仿宋_GB2312"/>
          <w:sz w:val="32"/>
          <w:szCs w:val="32"/>
        </w:rPr>
        <w:t>卫生环保的餐盒、餐袋等用具，</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rPr>
        <w:t>打包服务；</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）明示餐饮服务项目和收费标准，不得设置最低消费额</w:t>
      </w:r>
      <w:r>
        <w:rPr>
          <w:rFonts w:hint="eastAsia" w:ascii="仿宋_GB2312" w:hAnsi="仿宋_GB2312" w:eastAsia="仿宋_GB2312" w:cs="仿宋_GB2312"/>
          <w:sz w:val="32"/>
          <w:szCs w:val="32"/>
          <w:lang w:eastAsia="zh-CN"/>
        </w:rPr>
        <w:t>；</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提供</w:t>
      </w:r>
      <w:r>
        <w:rPr>
          <w:rFonts w:hint="eastAsia" w:ascii="仿宋_GB2312" w:hAnsi="仿宋_GB2312" w:eastAsia="仿宋_GB2312" w:cs="仿宋_GB2312"/>
          <w:sz w:val="32"/>
          <w:szCs w:val="32"/>
        </w:rPr>
        <w:t>宴席或者团体用餐服务</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引导消费者</w:t>
      </w: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rPr>
        <w:t>用餐人数合理、适量点餐，对浪费行为及时予以劝阻；</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八</w:t>
      </w:r>
      <w:r>
        <w:rPr>
          <w:rFonts w:hint="eastAsia" w:ascii="仿宋_GB2312" w:hAnsi="仿宋_GB2312" w:eastAsia="仿宋_GB2312" w:cs="仿宋_GB2312"/>
          <w:sz w:val="32"/>
          <w:szCs w:val="32"/>
        </w:rPr>
        <w:t>）提供自助餐服务的，告知消费规则，提醒消费者按需、</w:t>
      </w:r>
      <w:r>
        <w:rPr>
          <w:rFonts w:hint="eastAsia" w:ascii="仿宋_GB2312" w:hAnsi="仿宋_GB2312" w:eastAsia="仿宋_GB2312" w:cs="仿宋_GB2312"/>
          <w:sz w:val="32"/>
          <w:szCs w:val="32"/>
          <w:lang w:eastAsia="zh-CN"/>
        </w:rPr>
        <w:t>适量</w:t>
      </w:r>
      <w:r>
        <w:rPr>
          <w:rFonts w:hint="eastAsia" w:ascii="仿宋_GB2312" w:hAnsi="仿宋_GB2312" w:eastAsia="仿宋_GB2312" w:cs="仿宋_GB2312"/>
          <w:sz w:val="32"/>
          <w:szCs w:val="32"/>
        </w:rPr>
        <w:t>、多次取餐</w:t>
      </w:r>
      <w:r>
        <w:rPr>
          <w:rFonts w:hint="eastAsia" w:ascii="仿宋_GB2312" w:hAnsi="仿宋_GB2312" w:eastAsia="仿宋_GB2312" w:cs="仿宋_GB2312"/>
          <w:sz w:val="32"/>
          <w:szCs w:val="32"/>
          <w:lang w:eastAsia="zh-CN"/>
        </w:rPr>
        <w:t>。</w:t>
      </w:r>
    </w:p>
    <w:p>
      <w:pPr>
        <w:widowControl w:val="0"/>
        <w:wordWrap/>
        <w:overflowPunct w:val="0"/>
        <w:adjustRightInd w:val="0"/>
        <w:snapToGrid w:val="0"/>
        <w:spacing w:beforeLines="0" w:afterLines="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鼓励具备条件的餐饮经营者提供</w:t>
      </w:r>
      <w:r>
        <w:rPr>
          <w:rFonts w:hint="eastAsia" w:ascii="仿宋_GB2312" w:hAnsi="仿宋_GB2312" w:eastAsia="仿宋_GB2312" w:cs="仿宋_GB2312"/>
          <w:sz w:val="32"/>
          <w:szCs w:val="32"/>
          <w:lang w:val="en-US" w:eastAsia="zh-CN"/>
        </w:rPr>
        <w:t>免费餐盒</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分餐</w:t>
      </w:r>
      <w:r>
        <w:rPr>
          <w:rFonts w:hint="eastAsia" w:ascii="仿宋_GB2312" w:hAnsi="仿宋_GB2312" w:eastAsia="仿宋_GB2312" w:cs="仿宋_GB2312"/>
          <w:sz w:val="32"/>
          <w:szCs w:val="32"/>
          <w:lang w:eastAsia="zh-CN"/>
        </w:rPr>
        <w:t>服务</w:t>
      </w:r>
      <w:r>
        <w:rPr>
          <w:rFonts w:hint="eastAsia" w:ascii="仿宋_GB2312" w:hAnsi="仿宋_GB2312" w:eastAsia="仿宋_GB2312" w:cs="仿宋_GB2312"/>
          <w:sz w:val="32"/>
          <w:szCs w:val="32"/>
        </w:rPr>
        <w:t>，对节约用餐的消费者给予适当优惠和奖励。</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rPr>
        <w:t>鼓励和支持餐饮经营者运用新技术、新工艺、新装备推进制止餐饮浪费工作，将大数据、物联网、人工智能和现代餐饮管理相结合，推广中央厨房、集体用餐配送等经营模式，提高节约用餐管理数字化、智能化水平。</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五、网络餐饮服务平台应当在平台页面的显著位置提示消费者适量点餐，避免浪费；通过网络餐饮服务平台提供服务的餐饮经营者，应当在平台页面上向消费者提供食品份量、规格、建议消费人数等信息。</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六、个人应当树立文明节俭的消费观念，外出就餐时应当按需合理点餐、适量取餐、</w:t>
      </w:r>
      <w:r>
        <w:rPr>
          <w:rFonts w:hint="eastAsia" w:ascii="仿宋_GB2312" w:hAnsi="仿宋_GB2312" w:eastAsia="仿宋_GB2312" w:cs="仿宋_GB2312"/>
          <w:sz w:val="32"/>
          <w:szCs w:val="32"/>
          <w:lang w:eastAsia="zh-CN"/>
        </w:rPr>
        <w:t>节约</w:t>
      </w:r>
      <w:r>
        <w:rPr>
          <w:rFonts w:hint="eastAsia" w:ascii="仿宋_GB2312" w:hAnsi="仿宋_GB2312" w:eastAsia="仿宋_GB2312" w:cs="仿宋_GB2312"/>
          <w:sz w:val="32"/>
          <w:szCs w:val="32"/>
        </w:rPr>
        <w:t>用餐，践行“光盘行动”，主动打包带走剩余菜品，</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家庭及其成员在家庭用餐中应当养成勤俭节约的良好习惯和</w:t>
      </w:r>
      <w:r>
        <w:rPr>
          <w:rFonts w:hint="eastAsia" w:ascii="仿宋_GB2312" w:hAnsi="仿宋_GB2312" w:eastAsia="仿宋_GB2312" w:cs="仿宋_GB2312"/>
          <w:sz w:val="32"/>
          <w:szCs w:val="32"/>
          <w:lang w:eastAsia="zh-CN"/>
        </w:rPr>
        <w:t>科学</w:t>
      </w:r>
      <w:r>
        <w:rPr>
          <w:rFonts w:hint="eastAsia" w:ascii="仿宋_GB2312" w:hAnsi="仿宋_GB2312" w:eastAsia="仿宋_GB2312" w:cs="仿宋_GB2312"/>
          <w:sz w:val="32"/>
          <w:szCs w:val="32"/>
        </w:rPr>
        <w:t>健康的生活方式，合理采购食品材料，提高食品材料利用率，避免食品浪费，减少厨余垃圾。</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举办婚丧嫁娶、朋友聚餐、家庭聚会等团体用餐活动时，应当按照</w:t>
      </w:r>
      <w:r>
        <w:rPr>
          <w:rFonts w:hint="eastAsia" w:ascii="仿宋_GB2312" w:hAnsi="仿宋_GB2312" w:eastAsia="仿宋_GB2312" w:cs="仿宋_GB2312"/>
          <w:sz w:val="32"/>
          <w:szCs w:val="32"/>
          <w:lang w:eastAsia="zh-CN"/>
        </w:rPr>
        <w:t>文明节俭</w:t>
      </w:r>
      <w:r>
        <w:rPr>
          <w:rFonts w:hint="eastAsia" w:ascii="仿宋_GB2312" w:hAnsi="仿宋_GB2312" w:eastAsia="仿宋_GB2312" w:cs="仿宋_GB2312"/>
          <w:sz w:val="32"/>
          <w:szCs w:val="32"/>
        </w:rPr>
        <w:t>的要求，合理安排餐饮，防止铺张浪费行为。</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七、设有食堂的单位应当建立健全食堂节约用餐制度，加强宣传教育和监督检查。</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单位食堂应当采取下列措施，</w:t>
      </w:r>
      <w:r>
        <w:rPr>
          <w:rFonts w:hint="eastAsia" w:ascii="仿宋_GB2312" w:hAnsi="仿宋_GB2312" w:eastAsia="仿宋_GB2312" w:cs="仿宋_GB2312"/>
          <w:sz w:val="32"/>
          <w:szCs w:val="32"/>
          <w:lang w:eastAsia="zh-CN"/>
        </w:rPr>
        <w:t>避免</w:t>
      </w:r>
      <w:r>
        <w:rPr>
          <w:rFonts w:hint="eastAsia" w:ascii="仿宋_GB2312" w:hAnsi="仿宋_GB2312" w:eastAsia="仿宋_GB2312" w:cs="仿宋_GB2312"/>
          <w:sz w:val="32"/>
          <w:szCs w:val="32"/>
        </w:rPr>
        <w:t>餐饮浪费：</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（一）加强食品原材料采购、储存、配送、加工的节约管理，保持食品原材料的卫生清洁，提高食品原材料利用率和烹饪水平；</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（二）清晰公示菜品的主辅配料、风味等信息</w:t>
      </w:r>
      <w:r>
        <w:rPr>
          <w:rFonts w:hint="eastAsia" w:ascii="仿宋_GB2312" w:hAnsi="仿宋_GB2312" w:eastAsia="仿宋_GB2312" w:cs="仿宋_GB2312"/>
          <w:i w:val="0"/>
          <w:iCs w:val="0"/>
          <w:sz w:val="32"/>
          <w:szCs w:val="32"/>
          <w:u w:val="none"/>
          <w:lang w:eastAsia="zh-CN"/>
        </w:rPr>
        <w:t>，</w:t>
      </w:r>
      <w:r>
        <w:rPr>
          <w:rFonts w:hint="eastAsia" w:ascii="仿宋_GB2312" w:hAnsi="仿宋_GB2312" w:eastAsia="仿宋_GB2312" w:cs="仿宋_GB2312"/>
          <w:i w:val="0"/>
          <w:iCs w:val="0"/>
          <w:sz w:val="32"/>
          <w:szCs w:val="32"/>
          <w:u w:val="none"/>
        </w:rPr>
        <w:t>在显著位置张贴宣传标语标识或者摆放提示牌，</w:t>
      </w:r>
      <w:r>
        <w:rPr>
          <w:rFonts w:hint="eastAsia" w:ascii="仿宋_GB2312" w:hAnsi="仿宋_GB2312" w:eastAsia="仿宋_GB2312" w:cs="仿宋_GB2312"/>
          <w:i w:val="0"/>
          <w:iCs w:val="0"/>
          <w:sz w:val="32"/>
          <w:szCs w:val="32"/>
          <w:u w:val="none"/>
          <w:lang w:eastAsia="zh-CN"/>
        </w:rPr>
        <w:t>提示</w:t>
      </w:r>
      <w:r>
        <w:rPr>
          <w:rFonts w:hint="eastAsia" w:ascii="仿宋_GB2312" w:hAnsi="仿宋_GB2312" w:eastAsia="仿宋_GB2312" w:cs="仿宋_GB2312"/>
          <w:i w:val="0"/>
          <w:iCs w:val="0"/>
          <w:sz w:val="32"/>
          <w:szCs w:val="32"/>
          <w:u w:val="none"/>
        </w:rPr>
        <w:t>适量取餐、用餐</w:t>
      </w:r>
      <w:r>
        <w:rPr>
          <w:rFonts w:hint="eastAsia" w:ascii="仿宋_GB2312" w:hAnsi="仿宋_GB2312" w:eastAsia="仿宋_GB2312" w:cs="仿宋_GB2312"/>
          <w:sz w:val="32"/>
          <w:szCs w:val="32"/>
        </w:rPr>
        <w:t>；</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（三）建立按需供餐、用餐预订制度，根据用餐人数采购、做餐、配餐，优化供餐方式；</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i w:val="0"/>
          <w:iCs w:val="0"/>
          <w:sz w:val="32"/>
          <w:szCs w:val="32"/>
          <w:u w:val="none"/>
          <w:lang w:eastAsia="zh-CN"/>
        </w:rPr>
        <w:t>四</w:t>
      </w:r>
      <w:r>
        <w:rPr>
          <w:rFonts w:hint="eastAsia" w:ascii="仿宋_GB2312" w:hAnsi="仿宋_GB2312" w:eastAsia="仿宋_GB2312" w:cs="仿宋_GB2312"/>
          <w:sz w:val="32"/>
          <w:szCs w:val="32"/>
        </w:rPr>
        <w:t>）加强食物残渣收集环节的监督检查，对浪费行为给予批评教育。</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鼓励具备条件的单位食堂实行自助点餐、计量收费。</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八、教育部门和学校应当通过开展学习实践、劳动体验等专题教育活动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培养学生勤俭节约的</w:t>
      </w:r>
      <w:r>
        <w:rPr>
          <w:rFonts w:hint="eastAsia" w:ascii="仿宋_GB2312" w:hAnsi="仿宋_GB2312" w:eastAsia="仿宋_GB2312" w:cs="仿宋_GB2312"/>
          <w:sz w:val="32"/>
          <w:szCs w:val="32"/>
          <w:lang w:eastAsia="zh-CN"/>
        </w:rPr>
        <w:t>思想品德和</w:t>
      </w:r>
      <w:r>
        <w:rPr>
          <w:rFonts w:hint="eastAsia" w:ascii="仿宋_GB2312" w:hAnsi="仿宋_GB2312" w:eastAsia="仿宋_GB2312" w:cs="仿宋_GB2312"/>
          <w:sz w:val="32"/>
          <w:szCs w:val="32"/>
        </w:rPr>
        <w:t>良好行为习惯，将珍惜粮食、厉行节约、反对浪费纳入教育教学内容以及师德师风、学生综合素质的评价体系，建立制止餐饮浪费的奖惩和监督机制。</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学校应当加强食堂的管理和考核，优选供餐经营者，建立健全引进和退出机制。</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学校食堂、供餐经营者应当加强精细化管理，科学营养配餐，提高饭菜质量，丰富不同规格配餐选择，满足不同年龄、不同口味、不同生活习惯学生的就餐需求。</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九、机关、人民团体、事业单位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国有企业应当按照有关规定，规范公务活动用餐，落实各项节约措施，以公务用餐文明引领社会消费文明。</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公务活动用餐应当按照简朴节约的要求，推行简餐和标准化饮食，以普通家常菜为主，科学合理安排菜品、主食数量。</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十、旅游景区、星级酒店、民宿等旅游经营者应当将制止餐饮浪费纳入服务流程和操作规范，引导游客</w:t>
      </w:r>
      <w:r>
        <w:rPr>
          <w:rFonts w:hint="eastAsia" w:ascii="仿宋_GB2312" w:hAnsi="仿宋_GB2312" w:eastAsia="仿宋_GB2312" w:cs="仿宋_GB2312"/>
          <w:sz w:val="32"/>
          <w:szCs w:val="32"/>
          <w:lang w:eastAsia="zh-CN"/>
        </w:rPr>
        <w:t>文明</w:t>
      </w:r>
      <w:r>
        <w:rPr>
          <w:rFonts w:hint="eastAsia" w:ascii="仿宋_GB2312" w:hAnsi="仿宋_GB2312" w:eastAsia="仿宋_GB2312" w:cs="仿宋_GB2312"/>
          <w:sz w:val="32"/>
          <w:szCs w:val="32"/>
        </w:rPr>
        <w:t>节俭用餐。</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旅行社及导游在安排团队用餐时，应当结合游客的用餐习惯、食量和健康营养等要求，科学合理安排用餐，提醒游客适量点餐、取餐。</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十一、禁止制作、传播、宣扬量大多吃、暴饮暴食以及其他浪费食品的节目或者音视频信息。</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网络音视频服务提供者应当加强音视频信息的审核，及时制止涉及餐饮浪费音视频信息的传播。</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十二、餐饮</w:t>
      </w:r>
      <w:r>
        <w:rPr>
          <w:rFonts w:hint="eastAsia" w:ascii="仿宋_GB2312" w:hAnsi="仿宋_GB2312" w:eastAsia="仿宋_GB2312" w:cs="仿宋_GB2312"/>
          <w:sz w:val="32"/>
          <w:szCs w:val="32"/>
          <w:lang w:eastAsia="zh-CN"/>
        </w:rPr>
        <w:t>经营者</w:t>
      </w:r>
      <w:r>
        <w:rPr>
          <w:rFonts w:hint="eastAsia" w:ascii="仿宋_GB2312" w:hAnsi="仿宋_GB2312" w:eastAsia="仿宋_GB2312" w:cs="仿宋_GB2312"/>
          <w:sz w:val="32"/>
          <w:szCs w:val="32"/>
        </w:rPr>
        <w:t>、食堂</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应当对其经营的食品加强动态管理和检查，对临近保质期的食品分类管理，在确保食品安全的前提下，鼓励对临近保质期的</w:t>
      </w:r>
      <w:r>
        <w:rPr>
          <w:rFonts w:hint="eastAsia" w:ascii="仿宋_GB2312" w:hAnsi="仿宋_GB2312" w:eastAsia="仿宋_GB2312" w:cs="仿宋_GB2312"/>
          <w:sz w:val="32"/>
          <w:szCs w:val="32"/>
          <w:lang w:eastAsia="zh-CN"/>
        </w:rPr>
        <w:t>食品</w:t>
      </w:r>
      <w:r>
        <w:rPr>
          <w:rFonts w:hint="eastAsia" w:ascii="仿宋_GB2312" w:hAnsi="仿宋_GB2312" w:eastAsia="仿宋_GB2312" w:cs="仿宋_GB2312"/>
          <w:sz w:val="32"/>
          <w:szCs w:val="32"/>
        </w:rPr>
        <w:t>予以捐赠。</w:t>
      </w:r>
    </w:p>
    <w:p>
      <w:pPr>
        <w:pStyle w:val="3"/>
        <w:widowControl w:val="0"/>
        <w:wordWrap/>
        <w:overflowPunct w:val="0"/>
        <w:adjustRightInd w:val="0"/>
        <w:snapToGrid w:val="0"/>
        <w:spacing w:beforeLines="0" w:after="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民政部门应当建立捐赠需求快捷对接机制，引导餐饮</w:t>
      </w:r>
      <w:r>
        <w:rPr>
          <w:rFonts w:hint="eastAsia" w:ascii="仿宋_GB2312" w:hAnsi="仿宋_GB2312" w:eastAsia="仿宋_GB2312" w:cs="仿宋_GB2312"/>
          <w:sz w:val="32"/>
          <w:szCs w:val="32"/>
          <w:lang w:eastAsia="zh-CN"/>
        </w:rPr>
        <w:t>经营者</w:t>
      </w:r>
      <w:r>
        <w:rPr>
          <w:rFonts w:hint="eastAsia" w:ascii="仿宋_GB2312" w:hAnsi="仿宋_GB2312" w:eastAsia="仿宋_GB2312" w:cs="仿宋_GB2312"/>
          <w:sz w:val="32"/>
          <w:szCs w:val="32"/>
        </w:rPr>
        <w:t>、食堂等向慈善组织、救助机构等捐赠尚在保质期内可正常食用的食品。</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十三、餐饮</w:t>
      </w:r>
      <w:r>
        <w:rPr>
          <w:rFonts w:hint="eastAsia" w:ascii="仿宋_GB2312" w:hAnsi="仿宋_GB2312" w:eastAsia="仿宋_GB2312" w:cs="仿宋_GB2312"/>
          <w:sz w:val="32"/>
          <w:szCs w:val="32"/>
          <w:lang w:eastAsia="zh-CN"/>
        </w:rPr>
        <w:t>经营者</w:t>
      </w:r>
      <w:r>
        <w:rPr>
          <w:rFonts w:hint="eastAsia" w:ascii="仿宋_GB2312" w:hAnsi="仿宋_GB2312" w:eastAsia="仿宋_GB2312" w:cs="仿宋_GB2312"/>
          <w:sz w:val="32"/>
          <w:szCs w:val="32"/>
        </w:rPr>
        <w:t>、食堂等应当按照规定将厨余垃圾和过期食品</w:t>
      </w:r>
      <w:r>
        <w:rPr>
          <w:rFonts w:hint="eastAsia" w:ascii="仿宋_GB2312" w:hAnsi="仿宋_GB2312" w:eastAsia="仿宋_GB2312" w:cs="仿宋_GB2312"/>
          <w:sz w:val="32"/>
          <w:szCs w:val="32"/>
          <w:lang w:eastAsia="zh-CN"/>
        </w:rPr>
        <w:t>交由具备相应资质条件的单位进行无害化处理</w:t>
      </w:r>
      <w:r>
        <w:rPr>
          <w:rFonts w:hint="eastAsia" w:ascii="仿宋_GB2312" w:hAnsi="仿宋_GB2312" w:eastAsia="仿宋_GB2312" w:cs="仿宋_GB2312"/>
          <w:sz w:val="32"/>
          <w:szCs w:val="32"/>
        </w:rPr>
        <w:t>，不得随意处置。</w:t>
      </w:r>
    </w:p>
    <w:p>
      <w:pPr>
        <w:widowControl w:val="0"/>
        <w:wordWrap/>
        <w:overflowPunct w:val="0"/>
        <w:adjustRightInd w:val="0"/>
        <w:snapToGrid w:val="0"/>
        <w:spacing w:beforeLines="0" w:afterLines="0" w:line="560" w:lineRule="exact"/>
        <w:ind w:left="0" w:leftChars="0" w:right="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对餐饮经营者、食堂等产生的厨余垃圾，应当按照谁产生谁付费、多产生多付费的原则，推广实施计量收费、分类计价等收费管理制度。</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31"/>
        <w:jc w:val="both"/>
        <w:textAlignment w:val="auto"/>
        <w:outlineLvl w:val="9"/>
        <w:rPr>
          <w:rFonts w:hint="eastAsia" w:ascii="仿宋_GB2312" w:hAnsi="仿宋_GB2312" w:eastAsia="仿宋_GB2312" w:cs="仿宋_GB2312"/>
          <w:b/>
          <w:bCs/>
          <w:color w:val="FF0000"/>
          <w:kern w:val="2"/>
          <w:sz w:val="32"/>
          <w:szCs w:val="32"/>
          <w:lang w:eastAsia="zh-CN"/>
        </w:rPr>
      </w:pPr>
      <w:r>
        <w:rPr>
          <w:rFonts w:hint="eastAsia" w:ascii="仿宋_GB2312" w:hAnsi="仿宋_GB2312" w:eastAsia="仿宋_GB2312" w:cs="仿宋_GB2312"/>
          <w:kern w:val="2"/>
          <w:sz w:val="32"/>
          <w:szCs w:val="32"/>
        </w:rPr>
        <w:t>十四、餐饮</w:t>
      </w:r>
      <w:r>
        <w:rPr>
          <w:rFonts w:hint="eastAsia" w:ascii="仿宋_GB2312" w:hAnsi="仿宋_GB2312" w:eastAsia="仿宋_GB2312" w:cs="仿宋_GB2312"/>
          <w:kern w:val="2"/>
          <w:sz w:val="32"/>
          <w:szCs w:val="32"/>
          <w:lang w:eastAsia="zh-CN"/>
        </w:rPr>
        <w:t>经营者</w:t>
      </w:r>
      <w:r>
        <w:rPr>
          <w:rFonts w:hint="eastAsia" w:ascii="仿宋_GB2312" w:hAnsi="仿宋_GB2312" w:eastAsia="仿宋_GB2312" w:cs="仿宋_GB2312"/>
          <w:kern w:val="2"/>
          <w:sz w:val="32"/>
          <w:szCs w:val="32"/>
        </w:rPr>
        <w:t>、食堂等以及网络餐饮服务平台违反本决定第四条、第五条、第七条、第八条规定，</w:t>
      </w:r>
      <w:r>
        <w:rPr>
          <w:rFonts w:hint="eastAsia" w:ascii="仿宋_GB2312" w:hAnsi="仿宋_GB2312" w:eastAsia="仿宋_GB2312" w:cs="仿宋_GB2312"/>
          <w:kern w:val="2"/>
          <w:sz w:val="32"/>
          <w:szCs w:val="32"/>
          <w:lang w:eastAsia="zh-CN"/>
        </w:rPr>
        <w:t>未履行制止餐饮浪费义务、造成餐饮浪费严重的，由市场监督管理、网信等相关主管部门责令限期改正；拒不改正的，依法予以处理。</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31"/>
        <w:jc w:val="both"/>
        <w:textAlignment w:val="auto"/>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宴席或者团体用餐活动的组织者、餐饮经营者违反本决定第四条、第六条规定，造成餐饮浪费严重的，由市场监督管理等相关主管部门依法予以处理。</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31" w:firstLineChars="0"/>
        <w:jc w:val="both"/>
        <w:textAlignment w:val="auto"/>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广播电台、电视台、网络音视频服务提供者和音视频信息制作者违反本决定第十一条规定，制作、传播、宣扬量大多吃、暴饮暴食以及其他浪费食品的节目或者音视频信息的，由广播电视主管部门、网信部门依法予以处理。</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机关、人民团体、</w:t>
      </w:r>
      <w:r>
        <w:rPr>
          <w:rFonts w:hint="eastAsia" w:ascii="仿宋_GB2312" w:hAnsi="仿宋_GB2312" w:eastAsia="仿宋_GB2312" w:cs="仿宋_GB2312"/>
          <w:kern w:val="2"/>
          <w:sz w:val="32"/>
          <w:szCs w:val="32"/>
          <w:lang w:val="en-US" w:eastAsia="zh-CN"/>
        </w:rPr>
        <w:t>事业单位、</w:t>
      </w:r>
      <w:r>
        <w:rPr>
          <w:rFonts w:hint="eastAsia" w:ascii="仿宋_GB2312" w:hAnsi="仿宋_GB2312" w:eastAsia="仿宋_GB2312" w:cs="仿宋_GB2312"/>
          <w:kern w:val="2"/>
          <w:sz w:val="32"/>
          <w:szCs w:val="32"/>
        </w:rPr>
        <w:t>国有企业违反本决定第九条规定，未规范公务活动用餐，落实各项节约措施，造成餐饮浪费严重的，由相关主管部门给予通报批评；情节严重的，对负有责任的单位主管人员和直接责任人员依法追究责任。</w:t>
      </w:r>
    </w:p>
    <w:p>
      <w:pPr>
        <w:pStyle w:val="48"/>
        <w:widowControl w:val="0"/>
        <w:numPr>
          <w:ilvl w:val="0"/>
          <w:numId w:val="0"/>
        </w:numPr>
        <w:wordWrap/>
        <w:overflowPunct w:val="0"/>
        <w:adjustRightInd w:val="0"/>
        <w:snapToGrid w:val="0"/>
        <w:spacing w:before="0" w:beforeLines="0" w:beforeAutospacing="0" w:after="0" w:afterLines="0" w:afterAutospacing="0" w:line="560" w:lineRule="exact"/>
        <w:ind w:right="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十五、</w:t>
      </w:r>
      <w:r>
        <w:rPr>
          <w:rFonts w:hint="eastAsia" w:ascii="仿宋_GB2312" w:hAnsi="仿宋_GB2312" w:eastAsia="仿宋_GB2312" w:cs="仿宋_GB2312"/>
          <w:sz w:val="32"/>
          <w:szCs w:val="32"/>
        </w:rPr>
        <w:t>设区的市人民代表大会常务委员会可以结合本地具体情况和实际需要，制定本</w:t>
      </w:r>
      <w:r>
        <w:rPr>
          <w:rFonts w:hint="eastAsia" w:ascii="仿宋_GB2312" w:hAnsi="仿宋_GB2312" w:eastAsia="仿宋_GB2312" w:cs="仿宋_GB2312"/>
          <w:i w:val="0"/>
          <w:iCs w:val="0"/>
          <w:sz w:val="32"/>
          <w:szCs w:val="32"/>
          <w:u w:val="none"/>
          <w:lang w:eastAsia="zh-CN"/>
        </w:rPr>
        <w:t>市</w:t>
      </w:r>
      <w:r>
        <w:rPr>
          <w:rFonts w:hint="eastAsia" w:ascii="仿宋_GB2312" w:hAnsi="仿宋_GB2312" w:eastAsia="仿宋_GB2312" w:cs="仿宋_GB2312"/>
          <w:sz w:val="32"/>
          <w:szCs w:val="32"/>
        </w:rPr>
        <w:t>制止餐饮浪费</w:t>
      </w:r>
      <w:r>
        <w:rPr>
          <w:rFonts w:hint="eastAsia" w:ascii="仿宋_GB2312" w:hAnsi="仿宋_GB2312" w:eastAsia="仿宋_GB2312" w:cs="仿宋_GB2312"/>
          <w:sz w:val="32"/>
          <w:szCs w:val="32"/>
          <w:lang w:val="en-US" w:eastAsia="zh-CN"/>
        </w:rPr>
        <w:t>的具体</w:t>
      </w:r>
      <w:r>
        <w:rPr>
          <w:rFonts w:hint="eastAsia" w:ascii="仿宋_GB2312" w:hAnsi="仿宋_GB2312" w:eastAsia="仿宋_GB2312" w:cs="仿宋_GB2312"/>
          <w:sz w:val="32"/>
          <w:szCs w:val="32"/>
        </w:rPr>
        <w:t>办法，细化</w:t>
      </w:r>
      <w:r>
        <w:rPr>
          <w:rFonts w:hint="eastAsia" w:ascii="仿宋_GB2312" w:hAnsi="仿宋_GB2312" w:eastAsia="仿宋_GB2312" w:cs="仿宋_GB2312"/>
          <w:sz w:val="32"/>
          <w:szCs w:val="32"/>
          <w:lang w:val="en-US" w:eastAsia="zh-CN"/>
        </w:rPr>
        <w:t>各项</w:t>
      </w:r>
      <w:r>
        <w:rPr>
          <w:rFonts w:hint="eastAsia" w:ascii="仿宋_GB2312" w:hAnsi="仿宋_GB2312" w:eastAsia="仿宋_GB2312" w:cs="仿宋_GB2312"/>
          <w:sz w:val="32"/>
          <w:szCs w:val="32"/>
        </w:rPr>
        <w:t>制度措施</w:t>
      </w:r>
      <w:r>
        <w:rPr>
          <w:rFonts w:hint="eastAsia" w:ascii="仿宋_GB2312" w:hAnsi="仿宋_GB2312" w:eastAsia="仿宋_GB2312" w:cs="仿宋_GB2312"/>
          <w:sz w:val="32"/>
          <w:szCs w:val="32"/>
          <w:lang w:val="en-US" w:eastAsia="zh-CN"/>
        </w:rPr>
        <w:t>和法律责任</w:t>
      </w:r>
      <w:r>
        <w:rPr>
          <w:rFonts w:hint="eastAsia" w:ascii="仿宋_GB2312" w:hAnsi="仿宋_GB2312" w:eastAsia="仿宋_GB2312" w:cs="仿宋_GB2312"/>
          <w:sz w:val="32"/>
          <w:szCs w:val="32"/>
          <w:lang w:eastAsia="zh-CN"/>
        </w:rPr>
        <w:t>。</w:t>
      </w:r>
    </w:p>
    <w:p>
      <w:pPr>
        <w:pStyle w:val="48"/>
        <w:widowControl w:val="0"/>
        <w:wordWrap/>
        <w:overflowPunct w:val="0"/>
        <w:adjustRightInd w:val="0"/>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十六、本决定自</w:t>
      </w:r>
      <w:r>
        <w:rPr>
          <w:rFonts w:hint="eastAsia" w:ascii="仿宋_GB2312" w:hAnsi="仿宋_GB2312" w:eastAsia="仿宋_GB2312" w:cs="仿宋_GB2312"/>
          <w:i w:val="0"/>
          <w:iCs w:val="0"/>
          <w:sz w:val="32"/>
          <w:szCs w:val="32"/>
          <w:u w:val="none"/>
          <w:lang w:val="en-US" w:eastAsia="zh-CN"/>
        </w:rPr>
        <w:t>公布之日</w:t>
      </w:r>
      <w:r>
        <w:rPr>
          <w:rFonts w:hint="eastAsia" w:ascii="仿宋_GB2312" w:hAnsi="仿宋_GB2312" w:eastAsia="仿宋_GB2312" w:cs="仿宋_GB2312"/>
          <w:sz w:val="32"/>
          <w:szCs w:val="32"/>
        </w:rPr>
        <w:t>起施行。</w:t>
      </w:r>
    </w:p>
    <w:p>
      <w:pPr>
        <w:pStyle w:val="49"/>
        <w:widowControl w:val="0"/>
        <w:wordWrap/>
        <w:adjustRightInd w:val="0"/>
        <w:spacing w:beforeLines="0" w:afterLines="0" w:line="560" w:lineRule="exact"/>
        <w:jc w:val="both"/>
        <w:textAlignment w:val="auto"/>
        <w:outlineLvl w:val="9"/>
        <w:rPr>
          <w:rFonts w:hint="eastAsia" w:ascii="仿宋_GB2312" w:hAnsi="仿宋_GB2312" w:eastAsia="仿宋_GB2312" w:cs="仿宋_GB2312"/>
          <w:b w:val="0"/>
          <w:kern w:val="2"/>
          <w:sz w:val="32"/>
          <w:szCs w:val="32"/>
          <w:lang w:val="en-US" w:eastAsia="zh-CN" w:bidi="ar-SA"/>
        </w:rPr>
      </w:pPr>
    </w:p>
    <w:p>
      <w:pPr>
        <w:widowControl w:val="0"/>
        <w:tabs>
          <w:tab w:val="left" w:pos="7040"/>
        </w:tabs>
        <w:wordWrap/>
        <w:adjustRightInd w:val="0"/>
        <w:snapToGrid/>
        <w:spacing w:beforeLines="0" w:afterLines="0" w:line="560" w:lineRule="exact"/>
        <w:ind w:right="0"/>
        <w:jc w:val="both"/>
        <w:textAlignment w:val="auto"/>
        <w:outlineLvl w:val="9"/>
        <w:rPr>
          <w:rFonts w:hint="eastAsia" w:ascii="仿宋_GB2312" w:hAnsi="仿宋_GB2312" w:eastAsia="仿宋_GB2312" w:cs="仿宋_GB2312"/>
          <w:spacing w:val="0"/>
          <w:sz w:val="32"/>
          <w:szCs w:val="32"/>
          <w:lang w:val="en-US" w:eastAsia="zh-CN" w:bidi="ar-SA"/>
        </w:rPr>
      </w:pPr>
    </w:p>
    <w:p>
      <w:pPr>
        <w:pStyle w:val="4"/>
        <w:rPr>
          <w:rFonts w:hint="eastAsia" w:ascii="宋体" w:hAnsi="宋体" w:eastAsia="宋体" w:cs="宋体"/>
          <w:color w:val="000000"/>
          <w:sz w:val="44"/>
          <w:szCs w:val="44"/>
        </w:rPr>
      </w:pPr>
    </w:p>
    <w:p>
      <w:pPr>
        <w:rPr>
          <w:rFonts w:hint="eastAsia" w:ascii="宋体" w:hAnsi="宋体" w:eastAsia="宋体" w:cs="宋体"/>
          <w:color w:val="000000"/>
          <w:sz w:val="44"/>
          <w:szCs w:val="44"/>
        </w:rPr>
      </w:pPr>
    </w:p>
    <w:p>
      <w:pPr>
        <w:pStyle w:val="4"/>
        <w:rPr>
          <w:rFonts w:hint="eastAsia"/>
        </w:rPr>
      </w:pPr>
    </w:p>
    <w:p>
      <w:pPr>
        <w:pStyle w:val="9"/>
        <w:adjustRightInd w:val="0"/>
        <w:snapToGrid w:val="0"/>
        <w:spacing w:after="0" w:line="580" w:lineRule="exact"/>
        <w:ind w:left="0" w:leftChars="0"/>
        <w:jc w:val="center"/>
        <w:outlineLvl w:val="0"/>
        <w:rPr>
          <w:rFonts w:hint="eastAsia" w:ascii="宋体" w:hAnsi="宋体" w:eastAsia="宋体" w:cs="宋体"/>
          <w:bCs/>
          <w:color w:val="000000"/>
          <w:sz w:val="44"/>
          <w:szCs w:val="44"/>
        </w:rPr>
      </w:pPr>
      <w:r>
        <w:rPr>
          <w:rFonts w:hint="eastAsia" w:ascii="宋体" w:hAnsi="宋体" w:eastAsia="宋体" w:cs="宋体"/>
          <w:bCs/>
          <w:color w:val="000000"/>
          <w:sz w:val="44"/>
          <w:szCs w:val="44"/>
          <w:lang w:eastAsia="zh-CN"/>
        </w:rPr>
        <w:t>广东省</w:t>
      </w:r>
      <w:r>
        <w:rPr>
          <w:rFonts w:hint="eastAsia" w:ascii="宋体" w:hAnsi="宋体" w:eastAsia="宋体" w:cs="宋体"/>
          <w:bCs/>
          <w:color w:val="000000"/>
          <w:sz w:val="44"/>
          <w:szCs w:val="44"/>
        </w:rPr>
        <w:t>发展中医条例</w:t>
      </w:r>
    </w:p>
    <w:p>
      <w:pPr>
        <w:pStyle w:val="9"/>
        <w:adjustRightInd w:val="0"/>
        <w:snapToGrid w:val="0"/>
        <w:spacing w:after="0" w:line="580" w:lineRule="exact"/>
        <w:ind w:left="0" w:leftChars="0"/>
        <w:jc w:val="center"/>
        <w:rPr>
          <w:rFonts w:hint="eastAsia" w:ascii="宋体" w:hAnsi="宋体" w:eastAsia="宋体" w:cs="宋体"/>
          <w:bCs/>
          <w:color w:val="000000"/>
          <w:sz w:val="32"/>
          <w:szCs w:val="32"/>
        </w:rPr>
      </w:pPr>
    </w:p>
    <w:p>
      <w:pPr>
        <w:pStyle w:val="9"/>
        <w:widowControl w:val="0"/>
        <w:wordWrap/>
        <w:adjustRightInd w:val="0"/>
        <w:snapToGrid w:val="0"/>
        <w:spacing w:after="0" w:afterLines="0" w:line="580" w:lineRule="exact"/>
        <w:ind w:right="640" w:rightChars="200"/>
        <w:jc w:val="left"/>
        <w:textAlignment w:val="auto"/>
        <w:outlineLvl w:val="9"/>
        <w:rPr>
          <w:rFonts w:hint="eastAsia" w:ascii="楷体_GB2312" w:hAnsi="华文中宋" w:eastAsia="楷体_GB2312"/>
          <w:bCs/>
          <w:szCs w:val="32"/>
        </w:rPr>
      </w:pPr>
      <w:r>
        <w:rPr>
          <w:rFonts w:hint="eastAsia" w:ascii="楷体_GB2312" w:hAnsi="华文中宋" w:eastAsia="楷体_GB2312"/>
          <w:bCs/>
          <w:szCs w:val="32"/>
        </w:rPr>
        <w:t>（2000年3月30日广东省第九届人民代表大会常务委员会第十七次会议通过  2000年4月24日公布  2000年5月1日起施行）</w:t>
      </w:r>
    </w:p>
    <w:p>
      <w:pPr>
        <w:pStyle w:val="9"/>
        <w:widowControl w:val="0"/>
        <w:wordWrap/>
        <w:adjustRightInd w:val="0"/>
        <w:snapToGrid w:val="0"/>
        <w:spacing w:after="0" w:afterLines="0" w:line="580" w:lineRule="exact"/>
        <w:ind w:right="640" w:rightChars="200"/>
        <w:jc w:val="left"/>
        <w:textAlignment w:val="auto"/>
        <w:outlineLvl w:val="9"/>
        <w:rPr>
          <w:rFonts w:hint="eastAsia" w:ascii="楷体_GB2312" w:hAnsi="华文中宋" w:eastAsia="楷体_GB2312"/>
          <w:bCs/>
          <w:szCs w:val="32"/>
        </w:rPr>
      </w:pPr>
    </w:p>
    <w:p>
      <w:pPr>
        <w:pStyle w:val="9"/>
        <w:adjustRightInd w:val="0"/>
        <w:snapToGrid w:val="0"/>
        <w:spacing w:after="0" w:line="560" w:lineRule="exact"/>
        <w:ind w:left="0" w:leftChars="0"/>
        <w:jc w:val="center"/>
        <w:rPr>
          <w:rFonts w:hint="eastAsia" w:ascii="宋体" w:hAnsi="宋体" w:eastAsia="宋体" w:cs="宋体"/>
          <w:bCs/>
          <w:szCs w:val="32"/>
        </w:rPr>
      </w:pPr>
    </w:p>
    <w:p>
      <w:pPr>
        <w:spacing w:line="560" w:lineRule="exact"/>
        <w:rPr>
          <w:rFonts w:hint="eastAsia" w:ascii="仿宋_GB2312" w:hAnsi="仿宋_GB2312" w:eastAsia="仿宋_GB2312" w:cs="仿宋_GB2312"/>
          <w:sz w:val="32"/>
          <w:szCs w:val="32"/>
        </w:rPr>
      </w:pPr>
      <w:r>
        <w:rPr>
          <w:rFonts w:hint="eastAsia" w:cs="仿宋_GB2312"/>
          <w:b w:val="0"/>
          <w:bCs w:val="0"/>
          <w:sz w:val="32"/>
          <w:szCs w:val="32"/>
          <w:lang w:val="en-US" w:eastAsia="zh-CN"/>
        </w:rPr>
        <w:t xml:space="preserve">    </w:t>
      </w:r>
      <w:r>
        <w:rPr>
          <w:rFonts w:hint="eastAsia" w:ascii="黑体" w:hAnsi="黑体" w:eastAsia="黑体" w:cs="黑体"/>
          <w:b w:val="0"/>
          <w:bCs w:val="0"/>
          <w:sz w:val="32"/>
          <w:szCs w:val="32"/>
        </w:rPr>
        <w:t>第一条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为继承和发扬中医药学，促进中医事业的发展，适应人民群众医疗保健的需求，根据宪法和有关法律、法规，结合本省实际，制定本条例。</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在本省行政区域内从事中医（包括中西医结合、民族医）医疗、预防、保健以及中医药教育、科研等活动，适用本条例。</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各级人民政府必须贯彻中西医并重的方针，把发展中医事业纳入国民经济和社会发展计划及区域卫生规划，并将发展中医事业经费纳入财政预算，逐步增加投入，保障中医事业的发展。</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积极利用境外资金和捐助发展中医事业。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鼓励企业事业组织、社会团体和个人以各种形式支持发展中医事业。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省卫生（中医）行政部门主管全省的中医工作。</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市、县（区）卫生行政部门应当配备中医药专职管理人员。</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各级发展计划、财政、人事、科学技术、教育、药品监督等行政部门应当按照各自职责，支持发展中医事业。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设置中医医疗机构，必须按照国家和本省医疗机构管理的有关规定，办理申请、审批手续。</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县级以上中医医疗机构撤销、合并或者改变中医医疗性质的，应当经原批准的卫生行政部门同意，并报省卫生（中医）行政部门备案。</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设置中外合作的中医医疗机构，应当经省卫生（中医）行政部门审查同意，按照国家有关规定办理申请、审批手续。</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省、市、县应当设置中医医院。中医医院的业务用房、医疗设备、专门技术人员配备应当达到国家和省规定的标准。</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县级以上的综合医院应当设置中医科或者中西医结合科，并按照规定的比例设置病床。</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乡镇卫生院应当设置中医诊室，配备中医药技术人员，开展中医诊疗活动。</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村卫生站（室）的医生应当掌握处理常见病、多发病的中医药技术，运用中医药防病治病。</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中医医疗机构应当参与社区医疗、预防、保健服务等工作。</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省、市、县（区）的中医机构应当指导和帮助农村中医工作，向农村推广简便有效的中医药新技术、新疗法。</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中医药技术人员在诊疗上应当发挥中医的特色和优势，并学习和运用现代医学技术。</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鼓励西医及相关学科人员学习、研究、运用中医药的理论和技术，促进中医药学的发展。</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中医药高等学校应当加强中医药基础理论教育，重视中医临床和现代医学的教学；其他医药高等学校应当设置中医药基础理论和基本技能课程。</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医药高等学校应当有计划地培养中医药和中西医结合学科研究生。</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各级人民政府应当重视发展中医药成人高等教育，提高现有中医药技术人员的学历层次和学术水平。</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建立和健全中医药技术人员继续教育制度。医疗机构和教育、科研单位必须保证中医药技术人员参加多种形式的继续教育学习，学习时间每年累计不少于十五日。学习期间的工资、福利，享受在岗人员的同等待遇。继续教育经费按照国家和省有关规定予以解决。</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对乡镇中医药技术人员每三年安排不少于二十日的业务培训。</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各级人民政府卫生行政部门和中医机构应当加强对中医药学科带头人、中青年技术骨干和中西医结合专门人才的培养。</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全社会应当尊重中医药专家。支持具有较高学术水平和丰富临床经验的中医药高级技术人员带徒授业。带徒授业的管理办法由省人民政府制定。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中医药科学研究应当重视基础理论研究，以应用研究为重点，提高中医药学术水平和临床疗效。</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运用现代科学技术，加快中药剂型的研究和改革。</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县级以上人民政府应当采取措施，发展中医药高科技产业，开发、推广、应用中医药技术成果，培育中医药技术市场。</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加强中医药文献、秘方、验方和专门技术的收集、整理、研究和开发利用。</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依法保护中医药知识产权。</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鼓励开展国际或者地区间的中医药学术交流、技术合作、科技成果转让、科研课题合作研究等活动。</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下列评审、鉴定工作，由中医药专业技术评审、鉴定委员会负责：</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（一）中医药专业技术人员专业技术资格评审；</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（二）中医药科研课题立项和成果鉴定；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（三）中医医疗机构评审；</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（四）中医医疗事故技术鉴定。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属教学、科研单位的评审，由中医药专业技术评审、鉴定委员会会同有关部门进行。</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各级劳动和社会保障行政部门应当将中医医疗机构列入社会医疗保险的约定医疗机构范围。</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b w:val="0"/>
          <w:bCs w:val="0"/>
          <w:sz w:val="32"/>
          <w:szCs w:val="32"/>
        </w:rPr>
        <w:t>第二十四条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对中医医疗技术有较高造诣的中医师，由省人民政府授予广东省名中医师称号，广东省名中医师每五年评选一次。</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有下列情形之一的单位和个人，由各级人民政府及有关部门予以奖励和表彰：</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（一）在中医医疗、预防、保健、教育、科研和管理等方面，取得突出成绩的；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（二）挖掘、整理有重大价值的中医药文献的；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（三）献出有特效的中医药验方、秘方和专门技术的；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（四）资助中医事业业绩突出的；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（五）在发展中医事业的其他方面作出重大贡献的。</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违反本条例第六条、第七条规定，擅自设立中医医疗机构、非法行医的，依照《中华人民共和国执业医师法》和国务院《医疗机构管理条例》的有关规定予以处罚。</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b w:val="0"/>
          <w:bCs w:val="0"/>
          <w:sz w:val="32"/>
          <w:szCs w:val="32"/>
        </w:rPr>
        <w:t>第二十七条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截留、挪用中医事业经费、中医专项经费的，由其所在单位或者上级主管部门责令限期归还，并对直接责任人给予行政处分；构成犯罪的，依法追究刑事责任。</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有关行政部门的工作人员玩忽职守、滥用职权、徇私舞弊，对中医工作造成不良影响，情节严重的，由其所在部门或者上级行政部门给予行政处分；构成犯罪的，依法追究刑事责任。</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　　</w:t>
      </w:r>
      <w:r>
        <w:rPr>
          <w:rFonts w:hint="eastAsia" w:ascii="黑体" w:hAnsi="黑体" w:eastAsia="黑体" w:cs="黑体"/>
          <w:b w:val="0"/>
          <w:bCs w:val="0"/>
          <w:sz w:val="32"/>
          <w:szCs w:val="32"/>
        </w:rPr>
        <w:t>第二十九条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sz w:val="32"/>
          <w:szCs w:val="32"/>
        </w:rPr>
        <w:t xml:space="preserve">本条例自2000年５月１日起施行。 </w:t>
      </w:r>
    </w:p>
    <w:p>
      <w:pPr>
        <w:spacing w:line="560" w:lineRule="exact"/>
        <w:rPr>
          <w:rFonts w:hint="eastAsia" w:ascii="宋体" w:hAnsi="宋体" w:eastAsia="宋体" w:cs="宋体"/>
          <w:color w:val="000000"/>
          <w:sz w:val="44"/>
          <w:szCs w:val="44"/>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widowControl w:val="0"/>
        <w:adjustRightInd w:val="0"/>
        <w:snapToGrid w:val="0"/>
        <w:spacing w:after="0" w:afterLines="0" w:line="580" w:lineRule="exact"/>
        <w:ind w:left="0" w:leftChars="0"/>
        <w:jc w:val="center"/>
        <w:outlineLvl w:val="0"/>
        <w:rPr>
          <w:rFonts w:hint="eastAsia" w:ascii="宋体" w:hAnsi="宋体" w:eastAsia="宋体" w:cs="宋体"/>
          <w:bCs/>
          <w:color w:val="000000"/>
          <w:kern w:val="2"/>
          <w:sz w:val="44"/>
          <w:szCs w:val="44"/>
          <w:lang w:val="en-US" w:eastAsia="zh-CN" w:bidi="ar-SA"/>
        </w:rPr>
      </w:pPr>
      <w:bookmarkStart w:id="436" w:name="_Toc26438"/>
      <w:r>
        <w:rPr>
          <w:rFonts w:hint="eastAsia" w:ascii="宋体" w:hAnsi="宋体" w:eastAsia="宋体" w:cs="宋体"/>
          <w:bCs/>
          <w:color w:val="000000"/>
          <w:kern w:val="2"/>
          <w:sz w:val="44"/>
          <w:szCs w:val="44"/>
          <w:lang w:val="en-US" w:eastAsia="zh-CN" w:bidi="ar-SA"/>
        </w:rPr>
        <w:t>广东省岭南中药材保护条例</w:t>
      </w:r>
      <w:bookmarkEnd w:id="436"/>
    </w:p>
    <w:p>
      <w:pPr>
        <w:widowControl w:val="0"/>
        <w:adjustRightInd w:val="0"/>
        <w:snapToGrid w:val="0"/>
        <w:spacing w:before="0" w:beforeLines="0" w:beforeAutospacing="0" w:after="0" w:afterLines="0" w:afterAutospacing="0" w:line="590" w:lineRule="exact"/>
        <w:ind w:left="0" w:leftChars="0" w:right="0" w:firstLine="0" w:firstLineChars="0"/>
        <w:jc w:val="left"/>
        <w:textAlignment w:val="auto"/>
        <w:outlineLvl w:val="9"/>
        <w:rPr>
          <w:rFonts w:hint="eastAsia" w:ascii="宋体" w:hAnsi="宋体" w:eastAsia="宋体" w:cs="宋体"/>
          <w:b w:val="0"/>
          <w:bCs/>
          <w:sz w:val="32"/>
          <w:szCs w:val="32"/>
          <w:lang w:val="en-US" w:eastAsia="zh-CN"/>
        </w:rPr>
      </w:pPr>
    </w:p>
    <w:p>
      <w:pPr>
        <w:widowControl w:val="0"/>
        <w:wordWrap/>
        <w:adjustRightInd w:val="0"/>
        <w:snapToGrid w:val="0"/>
        <w:spacing w:after="0" w:afterLines="0" w:line="580" w:lineRule="exact"/>
        <w:ind w:left="640" w:leftChars="200" w:right="640" w:rightChars="200" w:firstLine="0" w:firstLineChars="0"/>
        <w:jc w:val="left"/>
        <w:textAlignment w:val="auto"/>
        <w:outlineLvl w:val="9"/>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（2016年12月1日广东省第十二届人民代表大会常务委员会第二十九次会议通过  2016年12月1日公布  自2017年3月1日起施行）</w:t>
      </w:r>
    </w:p>
    <w:p>
      <w:pPr>
        <w:spacing w:beforeLines="0" w:afterLines="0" w:line="590" w:lineRule="exact"/>
        <w:ind w:left="0" w:leftChars="0" w:right="0" w:firstLine="0" w:firstLineChars="0"/>
        <w:jc w:val="center"/>
        <w:rPr>
          <w:rFonts w:hint="eastAsia" w:ascii="宋体" w:hAnsi="宋体" w:eastAsia="宋体" w:cs="宋体"/>
          <w:bCs/>
          <w:szCs w:val="32"/>
        </w:rPr>
      </w:pPr>
    </w:p>
    <w:p>
      <w:pPr>
        <w:widowControl w:val="0"/>
        <w:adjustRightInd w:val="0"/>
        <w:snapToGrid w:val="0"/>
        <w:spacing w:after="0" w:afterLines="0" w:line="580" w:lineRule="exact"/>
        <w:jc w:val="center"/>
        <w:rPr>
          <w:rFonts w:hint="eastAsia" w:ascii="宋体" w:hAnsi="宋体" w:eastAsia="宋体" w:cs="宋体"/>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目    录</w:t>
      </w:r>
    </w:p>
    <w:p>
      <w:pPr>
        <w:widowControl w:val="0"/>
        <w:adjustRightInd w:val="0"/>
        <w:snapToGrid w:val="0"/>
        <w:spacing w:after="0" w:afterLines="0" w:line="580" w:lineRule="exact"/>
        <w:ind w:left="0" w:leftChars="0" w:firstLine="642"/>
        <w:jc w:val="center"/>
        <w:rPr>
          <w:rFonts w:hint="eastAsia" w:ascii="宋体" w:hAnsi="宋体" w:eastAsia="宋体" w:cs="宋体"/>
          <w:bCs/>
          <w:kern w:val="2"/>
          <w:sz w:val="32"/>
          <w:szCs w:val="32"/>
          <w:lang w:val="en-US" w:eastAsia="zh-CN" w:bidi="ar-SA"/>
        </w:rPr>
      </w:pP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第一章  总则</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第二章  一般规定</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第三章  种源保护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第四章  产地保护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第五章  种植保护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第六章  品牌保护</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第七章  监督管理</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第八章  法律责任</w:t>
      </w:r>
    </w:p>
    <w:p>
      <w:pPr>
        <w:widowControl w:val="0"/>
        <w:adjustRightInd w:val="0"/>
        <w:snapToGrid w:val="0"/>
        <w:spacing w:after="0" w:afterLines="0" w:line="580" w:lineRule="exact"/>
        <w:ind w:left="0" w:leftChars="0" w:firstLine="640" w:firstLineChars="200"/>
        <w:jc w:val="both"/>
        <w:rPr>
          <w:rFonts w:hint="eastAsia" w:ascii="楷体_GB2312" w:hAnsi="华文中宋" w:eastAsia="楷体_GB2312" w:cs="Times New Roman"/>
          <w:bCs/>
          <w:kern w:val="2"/>
          <w:sz w:val="32"/>
          <w:szCs w:val="32"/>
          <w:lang w:val="en-US" w:eastAsia="zh-CN" w:bidi="ar-SA"/>
        </w:rPr>
      </w:pPr>
      <w:r>
        <w:rPr>
          <w:rFonts w:hint="eastAsia" w:ascii="楷体_GB2312" w:hAnsi="华文中宋" w:eastAsia="楷体_GB2312" w:cs="Times New Roman"/>
          <w:bCs/>
          <w:kern w:val="2"/>
          <w:sz w:val="32"/>
          <w:szCs w:val="32"/>
          <w:lang w:val="en-US" w:eastAsia="zh-CN" w:bidi="ar-SA"/>
        </w:rPr>
        <w:t>第九章  附则</w:t>
      </w:r>
    </w:p>
    <w:p>
      <w:pPr>
        <w:spacing w:beforeLines="0" w:afterLines="0" w:line="590" w:lineRule="exact"/>
        <w:ind w:left="0" w:leftChars="0" w:right="0" w:firstLine="0" w:firstLineChars="0"/>
        <w:jc w:val="center"/>
        <w:rPr>
          <w:rFonts w:hint="eastAsia" w:ascii="宋体" w:hAnsi="宋体" w:eastAsia="宋体" w:cs="宋体"/>
          <w:bCs/>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第一章  总则</w:t>
      </w:r>
    </w:p>
    <w:p>
      <w:pPr>
        <w:widowControl w:val="0"/>
        <w:wordWrap/>
        <w:adjustRightInd w:val="0"/>
        <w:snapToGrid/>
        <w:spacing w:beforeLines="0" w:afterLines="0" w:line="590" w:lineRule="exact"/>
        <w:ind w:left="0" w:leftChars="0" w:right="0"/>
        <w:jc w:val="both"/>
        <w:textAlignment w:val="auto"/>
        <w:outlineLvl w:val="9"/>
        <w:rPr>
          <w:rFonts w:hint="eastAsia" w:ascii="宋体" w:hAnsi="宋体" w:eastAsia="宋体" w:cs="宋体"/>
          <w:color w:val="00000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第一条</w:t>
      </w:r>
      <w:r>
        <w:rPr>
          <w:rFonts w:hint="eastAsia" w:ascii="仿宋_GB2312" w:hAnsi="仿宋_GB2312" w:eastAsia="仿宋_GB2312" w:cs="仿宋_GB2312"/>
          <w:b w:val="0"/>
          <w:bCs w:val="0"/>
          <w:sz w:val="32"/>
          <w:szCs w:val="32"/>
        </w:rPr>
        <w:t xml:space="preserve">  为了加强岭南中药材保护，</w:t>
      </w:r>
      <w:r>
        <w:rPr>
          <w:rFonts w:hint="eastAsia" w:ascii="仿宋_GB2312" w:hAnsi="仿宋_GB2312" w:eastAsia="仿宋_GB2312" w:cs="仿宋_GB2312"/>
          <w:b w:val="0"/>
          <w:bCs w:val="0"/>
          <w:sz w:val="32"/>
          <w:szCs w:val="32"/>
          <w:lang w:eastAsia="zh-CN"/>
        </w:rPr>
        <w:t>规范</w:t>
      </w:r>
      <w:r>
        <w:rPr>
          <w:rFonts w:hint="eastAsia" w:ascii="仿宋_GB2312" w:hAnsi="仿宋_GB2312" w:eastAsia="仿宋_GB2312" w:cs="仿宋_GB2312"/>
          <w:b w:val="0"/>
          <w:bCs w:val="0"/>
          <w:sz w:val="32"/>
          <w:szCs w:val="32"/>
        </w:rPr>
        <w:t>利用岭南中药材资源，促进中医药产业持续健康发展，根据有关法律法规，结合本省实际，制定本条例。</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第二条</w:t>
      </w:r>
      <w:r>
        <w:rPr>
          <w:rFonts w:hint="eastAsia" w:ascii="仿宋_GB2312" w:hAnsi="仿宋_GB2312" w:eastAsia="仿宋_GB2312" w:cs="仿宋_GB2312"/>
          <w:b w:val="0"/>
          <w:bCs w:val="0"/>
          <w:sz w:val="32"/>
          <w:szCs w:val="32"/>
        </w:rPr>
        <w:t xml:space="preserve">  本条例适用于本省行政区域内具有广东道地特征的岭南中药材的种源、产地、种植、品牌等保护活动。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第一批</w:t>
      </w:r>
      <w:r>
        <w:rPr>
          <w:rFonts w:hint="eastAsia" w:ascii="仿宋_GB2312" w:hAnsi="仿宋_GB2312" w:eastAsia="仿宋_GB2312" w:cs="仿宋_GB2312"/>
          <w:b w:val="0"/>
          <w:bCs w:val="0"/>
          <w:sz w:val="32"/>
          <w:szCs w:val="32"/>
        </w:rPr>
        <w:t>保护的岭南中药材种类（以下简称保护种类）</w:t>
      </w:r>
      <w:r>
        <w:rPr>
          <w:rFonts w:hint="eastAsia" w:ascii="仿宋_GB2312" w:hAnsi="仿宋_GB2312" w:eastAsia="仿宋_GB2312" w:cs="仿宋_GB2312"/>
          <w:b w:val="0"/>
          <w:bCs w:val="0"/>
          <w:sz w:val="32"/>
          <w:szCs w:val="32"/>
          <w:lang w:eastAsia="zh-CN"/>
        </w:rPr>
        <w:t>包括以下</w:t>
      </w:r>
      <w:r>
        <w:rPr>
          <w:rFonts w:hint="eastAsia" w:ascii="仿宋_GB2312" w:hAnsi="仿宋_GB2312" w:eastAsia="仿宋_GB2312" w:cs="仿宋_GB2312"/>
          <w:b w:val="0"/>
          <w:bCs w:val="0"/>
          <w:sz w:val="32"/>
          <w:szCs w:val="32"/>
        </w:rPr>
        <w:t>八种</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化橘红、广陈皮、阳春砂、广藿香、巴戟天、沉香、广佛手、何首乌。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省人民政府</w:t>
      </w:r>
      <w:r>
        <w:rPr>
          <w:rFonts w:hint="eastAsia" w:ascii="仿宋_GB2312" w:hAnsi="仿宋_GB2312" w:eastAsia="仿宋_GB2312" w:cs="仿宋_GB2312"/>
          <w:b w:val="0"/>
          <w:bCs w:val="0"/>
          <w:sz w:val="32"/>
          <w:szCs w:val="32"/>
          <w:lang w:eastAsia="zh-CN"/>
        </w:rPr>
        <w:t>中医药主管部门</w:t>
      </w:r>
      <w:r>
        <w:rPr>
          <w:rFonts w:hint="eastAsia" w:ascii="仿宋_GB2312" w:hAnsi="仿宋_GB2312" w:eastAsia="仿宋_GB2312" w:cs="仿宋_GB2312"/>
          <w:b w:val="0"/>
          <w:bCs w:val="0"/>
          <w:sz w:val="32"/>
          <w:szCs w:val="32"/>
        </w:rPr>
        <w:t>可以根据岭南中药材保护实际需要，对符合广东道地特征的中药材经过统一遴选增加新的保护种类</w:t>
      </w:r>
      <w:r>
        <w:rPr>
          <w:rFonts w:hint="eastAsia" w:ascii="仿宋_GB2312" w:hAnsi="仿宋_GB2312" w:eastAsia="仿宋_GB2312" w:cs="仿宋_GB2312"/>
          <w:b w:val="0"/>
          <w:bCs w:val="0"/>
          <w:sz w:val="32"/>
          <w:szCs w:val="32"/>
          <w:lang w:eastAsia="zh-CN"/>
        </w:rPr>
        <w:t>，报省人民政府批准后列入保护目录予以公布</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第三条</w:t>
      </w:r>
      <w:r>
        <w:rPr>
          <w:rFonts w:hint="eastAsia" w:ascii="仿宋_GB2312" w:hAnsi="仿宋_GB2312" w:eastAsia="仿宋_GB2312" w:cs="仿宋_GB2312"/>
          <w:b w:val="0"/>
          <w:bCs w:val="0"/>
          <w:sz w:val="32"/>
          <w:szCs w:val="32"/>
        </w:rPr>
        <w:t xml:space="preserve">  岭南中药材保护应当坚持政府</w:t>
      </w:r>
      <w:r>
        <w:rPr>
          <w:rFonts w:hint="eastAsia" w:ascii="仿宋_GB2312" w:hAnsi="仿宋_GB2312" w:eastAsia="仿宋_GB2312" w:cs="仿宋_GB2312"/>
          <w:b w:val="0"/>
          <w:bCs w:val="0"/>
          <w:sz w:val="32"/>
          <w:szCs w:val="32"/>
          <w:lang w:eastAsia="zh-CN"/>
        </w:rPr>
        <w:t>引</w:t>
      </w:r>
      <w:r>
        <w:rPr>
          <w:rFonts w:hint="eastAsia" w:ascii="仿宋_GB2312" w:hAnsi="仿宋_GB2312" w:eastAsia="仿宋_GB2312" w:cs="仿宋_GB2312"/>
          <w:b w:val="0"/>
          <w:bCs w:val="0"/>
          <w:sz w:val="32"/>
          <w:szCs w:val="32"/>
        </w:rPr>
        <w:t>导</w:t>
      </w:r>
      <w:r>
        <w:rPr>
          <w:rFonts w:hint="eastAsia" w:ascii="仿宋_GB2312" w:hAnsi="仿宋_GB2312" w:eastAsia="仿宋_GB2312" w:cs="仿宋_GB2312"/>
          <w:b w:val="0"/>
          <w:bCs w:val="0"/>
          <w:sz w:val="32"/>
          <w:szCs w:val="32"/>
          <w:lang w:eastAsia="zh-CN"/>
        </w:rPr>
        <w:t>与</w:t>
      </w:r>
      <w:r>
        <w:rPr>
          <w:rFonts w:hint="eastAsia" w:ascii="仿宋_GB2312" w:hAnsi="仿宋_GB2312" w:eastAsia="仿宋_GB2312" w:cs="仿宋_GB2312"/>
          <w:b w:val="0"/>
          <w:bCs w:val="0"/>
          <w:sz w:val="32"/>
          <w:szCs w:val="32"/>
        </w:rPr>
        <w:t>社会参与相结合、统筹规划与分类保护相结合</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资源保护与质量</w:t>
      </w:r>
      <w:r>
        <w:rPr>
          <w:rFonts w:hint="eastAsia" w:ascii="仿宋_GB2312" w:hAnsi="仿宋_GB2312" w:eastAsia="仿宋_GB2312" w:cs="仿宋_GB2312"/>
          <w:b w:val="0"/>
          <w:bCs w:val="0"/>
          <w:sz w:val="32"/>
          <w:szCs w:val="32"/>
          <w:lang w:eastAsia="zh-CN"/>
        </w:rPr>
        <w:t>提升</w:t>
      </w:r>
      <w:r>
        <w:rPr>
          <w:rFonts w:hint="eastAsia" w:ascii="仿宋_GB2312" w:hAnsi="仿宋_GB2312" w:eastAsia="仿宋_GB2312" w:cs="仿宋_GB2312"/>
          <w:b w:val="0"/>
          <w:bCs w:val="0"/>
          <w:sz w:val="32"/>
          <w:szCs w:val="32"/>
        </w:rPr>
        <w:t>相结合的原则。</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color w:val="000000"/>
          <w:sz w:val="32"/>
          <w:szCs w:val="32"/>
        </w:rPr>
        <w:t>第四条</w:t>
      </w:r>
      <w:r>
        <w:rPr>
          <w:rFonts w:hint="eastAsia" w:ascii="仿宋_GB2312" w:hAnsi="仿宋_GB2312" w:eastAsia="仿宋_GB2312" w:cs="仿宋_GB2312"/>
          <w:b w:val="0"/>
          <w:bCs w:val="0"/>
          <w:sz w:val="32"/>
          <w:szCs w:val="32"/>
        </w:rPr>
        <w:t xml:space="preserve">  县级以上人民政府农业主管部门负责本行政区域内化橘红、广陈皮、广藿香、广佛手</w:t>
      </w:r>
      <w:r>
        <w:rPr>
          <w:rFonts w:hint="eastAsia" w:ascii="仿宋_GB2312" w:hAnsi="仿宋_GB2312" w:eastAsia="仿宋_GB2312" w:cs="仿宋_GB2312"/>
          <w:b w:val="0"/>
          <w:bCs w:val="0"/>
          <w:sz w:val="32"/>
          <w:szCs w:val="32"/>
          <w:lang w:eastAsia="zh-CN"/>
        </w:rPr>
        <w:t>和种植在农用地的</w:t>
      </w:r>
      <w:r>
        <w:rPr>
          <w:rFonts w:hint="eastAsia" w:ascii="仿宋_GB2312" w:hAnsi="仿宋_GB2312" w:eastAsia="仿宋_GB2312" w:cs="仿宋_GB2312"/>
          <w:b w:val="0"/>
          <w:bCs w:val="0"/>
          <w:sz w:val="32"/>
          <w:szCs w:val="32"/>
        </w:rPr>
        <w:t>阳春砂、巴戟天、何首乌</w:t>
      </w:r>
      <w:r>
        <w:rPr>
          <w:rFonts w:hint="eastAsia" w:ascii="仿宋_GB2312" w:hAnsi="仿宋_GB2312" w:eastAsia="仿宋_GB2312" w:cs="仿宋_GB2312"/>
          <w:b w:val="0"/>
          <w:bCs w:val="0"/>
          <w:sz w:val="32"/>
          <w:szCs w:val="32"/>
          <w:lang w:eastAsia="zh-CN"/>
        </w:rPr>
        <w:t>等</w:t>
      </w:r>
      <w:r>
        <w:rPr>
          <w:rFonts w:hint="eastAsia" w:ascii="仿宋_GB2312" w:hAnsi="仿宋_GB2312" w:eastAsia="仿宋_GB2312" w:cs="仿宋_GB2312"/>
          <w:b w:val="0"/>
          <w:bCs w:val="0"/>
          <w:sz w:val="32"/>
          <w:szCs w:val="32"/>
        </w:rPr>
        <w:t>岭南中药材种源、产地、种植</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保护工作</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县级以上人民政府林业主管部门负责本行政区域内</w:t>
      </w:r>
      <w:r>
        <w:rPr>
          <w:rFonts w:hint="eastAsia" w:ascii="仿宋_GB2312" w:hAnsi="仿宋_GB2312" w:eastAsia="仿宋_GB2312" w:cs="仿宋_GB2312"/>
          <w:b w:val="0"/>
          <w:bCs w:val="0"/>
          <w:sz w:val="32"/>
          <w:szCs w:val="32"/>
        </w:rPr>
        <w:t>沉香</w:t>
      </w:r>
      <w:r>
        <w:rPr>
          <w:rFonts w:hint="eastAsia" w:ascii="仿宋_GB2312" w:hAnsi="仿宋_GB2312" w:eastAsia="仿宋_GB2312" w:cs="仿宋_GB2312"/>
          <w:b w:val="0"/>
          <w:bCs w:val="0"/>
          <w:sz w:val="32"/>
          <w:szCs w:val="32"/>
          <w:lang w:eastAsia="zh-CN"/>
        </w:rPr>
        <w:t>和种植在林地的</w:t>
      </w:r>
      <w:r>
        <w:rPr>
          <w:rFonts w:hint="eastAsia" w:ascii="仿宋_GB2312" w:hAnsi="仿宋_GB2312" w:eastAsia="仿宋_GB2312" w:cs="仿宋_GB2312"/>
          <w:b w:val="0"/>
          <w:bCs w:val="0"/>
          <w:sz w:val="32"/>
          <w:szCs w:val="32"/>
        </w:rPr>
        <w:t>阳春砂、巴戟天、何首乌</w:t>
      </w:r>
      <w:r>
        <w:rPr>
          <w:rFonts w:hint="eastAsia" w:ascii="仿宋_GB2312" w:hAnsi="仿宋_GB2312" w:eastAsia="仿宋_GB2312" w:cs="仿宋_GB2312"/>
          <w:b w:val="0"/>
          <w:bCs w:val="0"/>
          <w:sz w:val="32"/>
          <w:szCs w:val="32"/>
          <w:lang w:eastAsia="zh-CN"/>
        </w:rPr>
        <w:t>等岭南中药材种源、产地、种植的保护工作。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县级以上人民政府</w:t>
      </w:r>
      <w:r>
        <w:rPr>
          <w:rFonts w:hint="eastAsia" w:ascii="仿宋_GB2312" w:hAnsi="仿宋_GB2312" w:eastAsia="仿宋_GB2312" w:cs="仿宋_GB2312"/>
          <w:b w:val="0"/>
          <w:bCs w:val="0"/>
          <w:sz w:val="32"/>
          <w:szCs w:val="32"/>
        </w:rPr>
        <w:t>工商</w:t>
      </w:r>
      <w:r>
        <w:rPr>
          <w:rFonts w:hint="eastAsia" w:ascii="仿宋_GB2312" w:hAnsi="仿宋_GB2312" w:eastAsia="仿宋_GB2312" w:cs="仿宋_GB2312"/>
          <w:b w:val="0"/>
          <w:bCs w:val="0"/>
          <w:sz w:val="32"/>
          <w:szCs w:val="32"/>
          <w:lang w:eastAsia="zh-CN"/>
        </w:rPr>
        <w:t>行政管理</w:t>
      </w:r>
      <w:r>
        <w:rPr>
          <w:rFonts w:hint="eastAsia" w:ascii="仿宋_GB2312" w:hAnsi="仿宋_GB2312" w:eastAsia="仿宋_GB2312" w:cs="仿宋_GB2312"/>
          <w:b w:val="0"/>
          <w:bCs w:val="0"/>
          <w:sz w:val="32"/>
          <w:szCs w:val="32"/>
        </w:rPr>
        <w:t>部门负责</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岭南中药材品牌保护的监督管理工作。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县级以上人民政府中医药主管部门负责</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岭南中药材保护的专业指导工作。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县级以上人民政府环境保护、食品药品监</w:t>
      </w:r>
      <w:r>
        <w:rPr>
          <w:rFonts w:hint="eastAsia" w:ascii="仿宋_GB2312" w:hAnsi="仿宋_GB2312" w:eastAsia="仿宋_GB2312" w:cs="仿宋_GB2312"/>
          <w:b w:val="0"/>
          <w:bCs w:val="0"/>
          <w:sz w:val="32"/>
          <w:szCs w:val="32"/>
          <w:lang w:eastAsia="zh-CN"/>
        </w:rPr>
        <w:t>督</w:t>
      </w:r>
      <w:r>
        <w:rPr>
          <w:rFonts w:hint="eastAsia" w:ascii="仿宋_GB2312" w:hAnsi="仿宋_GB2312" w:eastAsia="仿宋_GB2312" w:cs="仿宋_GB2312"/>
          <w:b w:val="0"/>
          <w:bCs w:val="0"/>
          <w:sz w:val="32"/>
          <w:szCs w:val="32"/>
        </w:rPr>
        <w:t>管</w:t>
      </w:r>
      <w:r>
        <w:rPr>
          <w:rFonts w:hint="eastAsia" w:ascii="仿宋_GB2312" w:hAnsi="仿宋_GB2312" w:eastAsia="仿宋_GB2312" w:cs="仿宋_GB2312"/>
          <w:b w:val="0"/>
          <w:bCs w:val="0"/>
          <w:sz w:val="32"/>
          <w:szCs w:val="32"/>
          <w:lang w:eastAsia="zh-CN"/>
        </w:rPr>
        <w:t>理</w:t>
      </w:r>
      <w:r>
        <w:rPr>
          <w:rFonts w:hint="eastAsia" w:ascii="仿宋_GB2312" w:hAnsi="仿宋_GB2312" w:eastAsia="仿宋_GB2312" w:cs="仿宋_GB2312"/>
          <w:b w:val="0"/>
          <w:bCs w:val="0"/>
          <w:sz w:val="32"/>
          <w:szCs w:val="32"/>
        </w:rPr>
        <w:t>、质量</w:t>
      </w:r>
      <w:r>
        <w:rPr>
          <w:rFonts w:hint="eastAsia" w:ascii="仿宋_GB2312" w:hAnsi="仿宋_GB2312" w:eastAsia="仿宋_GB2312" w:cs="仿宋_GB2312"/>
          <w:b w:val="0"/>
          <w:bCs w:val="0"/>
          <w:sz w:val="32"/>
          <w:szCs w:val="32"/>
          <w:lang w:eastAsia="zh-CN"/>
        </w:rPr>
        <w:t>技术</w:t>
      </w:r>
      <w:r>
        <w:rPr>
          <w:rFonts w:hint="eastAsia" w:ascii="仿宋_GB2312" w:hAnsi="仿宋_GB2312" w:eastAsia="仿宋_GB2312" w:cs="仿宋_GB2312"/>
          <w:b w:val="0"/>
          <w:bCs w:val="0"/>
          <w:sz w:val="32"/>
          <w:szCs w:val="32"/>
        </w:rPr>
        <w:t>监督</w:t>
      </w:r>
      <w:r>
        <w:rPr>
          <w:rFonts w:hint="eastAsia" w:ascii="仿宋_GB2312" w:hAnsi="仿宋_GB2312" w:eastAsia="仿宋_GB2312" w:cs="仿宋_GB2312"/>
          <w:b w:val="0"/>
          <w:bCs w:val="0"/>
          <w:sz w:val="32"/>
          <w:szCs w:val="32"/>
          <w:lang w:eastAsia="zh-CN"/>
        </w:rPr>
        <w:t>管理</w:t>
      </w:r>
      <w:r>
        <w:rPr>
          <w:rFonts w:hint="eastAsia" w:ascii="仿宋_GB2312" w:hAnsi="仿宋_GB2312" w:eastAsia="仿宋_GB2312" w:cs="仿宋_GB2312"/>
          <w:b w:val="0"/>
          <w:bCs w:val="0"/>
          <w:sz w:val="32"/>
          <w:szCs w:val="32"/>
        </w:rPr>
        <w:t>、商务等有关部门在各自职责范围内，负责</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岭南中药材保护</w:t>
      </w:r>
      <w:r>
        <w:rPr>
          <w:rFonts w:hint="eastAsia" w:ascii="仿宋_GB2312" w:hAnsi="仿宋_GB2312" w:eastAsia="仿宋_GB2312" w:cs="仿宋_GB2312"/>
          <w:b w:val="0"/>
          <w:bCs w:val="0"/>
          <w:sz w:val="32"/>
          <w:szCs w:val="32"/>
          <w:lang w:eastAsia="zh-CN"/>
        </w:rPr>
        <w:t>的监督管理</w:t>
      </w:r>
      <w:r>
        <w:rPr>
          <w:rFonts w:hint="eastAsia" w:ascii="仿宋_GB2312" w:hAnsi="仿宋_GB2312" w:eastAsia="仿宋_GB2312" w:cs="仿宋_GB2312"/>
          <w:b w:val="0"/>
          <w:bCs w:val="0"/>
          <w:sz w:val="32"/>
          <w:szCs w:val="32"/>
        </w:rPr>
        <w:t>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乡镇人民政府应当</w:t>
      </w:r>
      <w:r>
        <w:rPr>
          <w:rFonts w:hint="eastAsia" w:ascii="仿宋_GB2312" w:hAnsi="仿宋_GB2312" w:eastAsia="仿宋_GB2312" w:cs="仿宋_GB2312"/>
          <w:b w:val="0"/>
          <w:bCs w:val="0"/>
          <w:sz w:val="32"/>
          <w:szCs w:val="32"/>
          <w:lang w:eastAsia="zh-CN"/>
        </w:rPr>
        <w:t>协助</w:t>
      </w:r>
      <w:r>
        <w:rPr>
          <w:rFonts w:hint="eastAsia" w:ascii="仿宋_GB2312" w:hAnsi="仿宋_GB2312" w:eastAsia="仿宋_GB2312" w:cs="仿宋_GB2312"/>
          <w:b w:val="0"/>
          <w:bCs w:val="0"/>
          <w:sz w:val="32"/>
          <w:szCs w:val="32"/>
        </w:rPr>
        <w:t>做好</w:t>
      </w:r>
      <w:r>
        <w:rPr>
          <w:rFonts w:hint="eastAsia" w:ascii="仿宋_GB2312" w:hAnsi="仿宋_GB2312" w:eastAsia="仿宋_GB2312" w:cs="仿宋_GB2312"/>
          <w:b w:val="0"/>
          <w:bCs w:val="0"/>
          <w:sz w:val="32"/>
          <w:szCs w:val="32"/>
          <w:lang w:eastAsia="zh-CN"/>
        </w:rPr>
        <w:t>本行政区域内</w:t>
      </w:r>
      <w:r>
        <w:rPr>
          <w:rFonts w:hint="eastAsia" w:ascii="仿宋_GB2312" w:hAnsi="仿宋_GB2312" w:eastAsia="仿宋_GB2312" w:cs="仿宋_GB2312"/>
          <w:b w:val="0"/>
          <w:bCs w:val="0"/>
          <w:sz w:val="32"/>
          <w:szCs w:val="32"/>
        </w:rPr>
        <w:t>岭南中药材保护具体工作。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第五条</w:t>
      </w:r>
      <w:r>
        <w:rPr>
          <w:rFonts w:hint="eastAsia" w:ascii="仿宋_GB2312" w:hAnsi="仿宋_GB2312" w:eastAsia="仿宋_GB2312" w:cs="仿宋_GB2312"/>
          <w:b w:val="0"/>
          <w:bCs w:val="0"/>
          <w:sz w:val="32"/>
          <w:szCs w:val="32"/>
        </w:rPr>
        <w:t xml:space="preserve">  县级以上人民政府根据需要建立岭南中药材保护联席会议制度，</w:t>
      </w:r>
      <w:r>
        <w:rPr>
          <w:rFonts w:hint="eastAsia" w:ascii="仿宋_GB2312" w:hAnsi="仿宋_GB2312" w:eastAsia="仿宋_GB2312" w:cs="仿宋_GB2312"/>
          <w:b w:val="0"/>
          <w:bCs w:val="0"/>
          <w:sz w:val="32"/>
          <w:szCs w:val="32"/>
          <w:lang w:eastAsia="zh-CN"/>
        </w:rPr>
        <w:t>统筹</w:t>
      </w:r>
      <w:r>
        <w:rPr>
          <w:rFonts w:hint="eastAsia" w:ascii="仿宋_GB2312" w:hAnsi="仿宋_GB2312" w:eastAsia="仿宋_GB2312" w:cs="仿宋_GB2312"/>
          <w:b w:val="0"/>
          <w:bCs w:val="0"/>
          <w:sz w:val="32"/>
          <w:szCs w:val="32"/>
        </w:rPr>
        <w:t>协调保护工作。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县级以上人民政府中医药主管部门为本级人民政府岭南中药材保护联席会议的牵头组织部门。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第六条</w:t>
      </w:r>
      <w:r>
        <w:rPr>
          <w:rFonts w:hint="eastAsia" w:ascii="仿宋_GB2312" w:hAnsi="仿宋_GB2312" w:eastAsia="仿宋_GB2312" w:cs="仿宋_GB2312"/>
          <w:b w:val="0"/>
          <w:bCs w:val="0"/>
          <w:sz w:val="32"/>
          <w:szCs w:val="32"/>
        </w:rPr>
        <w:t xml:space="preserve">  省人民政府应当制定岭南中药材保护规划，统筹岭南中药材种源、产地、种植、品牌等保护工作。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人民政府应当根据省人民政府制定的岭南中药材保护规划，制定岭南中药材保护</w:t>
      </w:r>
      <w:r>
        <w:rPr>
          <w:rFonts w:hint="eastAsia" w:ascii="仿宋_GB2312" w:hAnsi="仿宋_GB2312" w:eastAsia="仿宋_GB2312" w:cs="仿宋_GB2312"/>
          <w:b w:val="0"/>
          <w:bCs w:val="0"/>
          <w:sz w:val="32"/>
          <w:szCs w:val="32"/>
          <w:lang w:eastAsia="zh-CN"/>
        </w:rPr>
        <w:t>规</w:t>
      </w:r>
      <w:r>
        <w:rPr>
          <w:rFonts w:hint="eastAsia" w:ascii="仿宋_GB2312" w:hAnsi="仿宋_GB2312" w:eastAsia="仿宋_GB2312" w:cs="仿宋_GB2312"/>
          <w:b w:val="0"/>
          <w:bCs w:val="0"/>
          <w:sz w:val="32"/>
          <w:szCs w:val="32"/>
        </w:rPr>
        <w:t>划，并纳入国民经济和社会发展规划。</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第七条</w:t>
      </w:r>
      <w:r>
        <w:rPr>
          <w:rFonts w:hint="eastAsia" w:ascii="仿宋_GB2312" w:hAnsi="仿宋_GB2312" w:eastAsia="仿宋_GB2312" w:cs="仿宋_GB2312"/>
          <w:b w:val="0"/>
          <w:bCs w:val="0"/>
          <w:sz w:val="32"/>
          <w:szCs w:val="32"/>
        </w:rPr>
        <w:t xml:space="preserve">  省人民政府应当</w:t>
      </w:r>
      <w:r>
        <w:rPr>
          <w:rFonts w:hint="eastAsia" w:ascii="仿宋_GB2312" w:hAnsi="仿宋_GB2312" w:eastAsia="仿宋_GB2312" w:cs="仿宋_GB2312"/>
          <w:b w:val="0"/>
          <w:bCs w:val="0"/>
          <w:sz w:val="32"/>
          <w:szCs w:val="32"/>
          <w:lang w:eastAsia="zh-CN"/>
        </w:rPr>
        <w:t>安排</w:t>
      </w:r>
      <w:r>
        <w:rPr>
          <w:rFonts w:hint="eastAsia" w:ascii="仿宋_GB2312" w:hAnsi="仿宋_GB2312" w:eastAsia="仿宋_GB2312" w:cs="仿宋_GB2312"/>
          <w:b w:val="0"/>
          <w:bCs w:val="0"/>
          <w:sz w:val="32"/>
          <w:szCs w:val="32"/>
        </w:rPr>
        <w:t>岭南中药材保护</w:t>
      </w:r>
      <w:r>
        <w:rPr>
          <w:rFonts w:hint="eastAsia" w:ascii="仿宋_GB2312" w:hAnsi="仿宋_GB2312" w:eastAsia="仿宋_GB2312" w:cs="仿宋_GB2312"/>
          <w:b w:val="0"/>
          <w:bCs w:val="0"/>
          <w:sz w:val="32"/>
          <w:szCs w:val="32"/>
          <w:lang w:eastAsia="zh-CN"/>
        </w:rPr>
        <w:t>经费</w:t>
      </w:r>
      <w:r>
        <w:rPr>
          <w:rFonts w:hint="eastAsia" w:ascii="仿宋_GB2312" w:hAnsi="仿宋_GB2312" w:eastAsia="仿宋_GB2312" w:cs="仿宋_GB2312"/>
          <w:b w:val="0"/>
          <w:bCs w:val="0"/>
          <w:sz w:val="32"/>
          <w:szCs w:val="32"/>
        </w:rPr>
        <w:t>，制定</w:t>
      </w:r>
      <w:r>
        <w:rPr>
          <w:rFonts w:hint="eastAsia" w:ascii="仿宋_GB2312" w:hAnsi="仿宋_GB2312" w:eastAsia="仿宋_GB2312" w:cs="仿宋_GB2312"/>
          <w:b w:val="0"/>
          <w:bCs w:val="0"/>
          <w:sz w:val="32"/>
          <w:szCs w:val="32"/>
          <w:lang w:eastAsia="zh-CN"/>
        </w:rPr>
        <w:t>保护经费</w:t>
      </w:r>
      <w:r>
        <w:rPr>
          <w:rFonts w:hint="eastAsia" w:ascii="仿宋_GB2312" w:hAnsi="仿宋_GB2312" w:eastAsia="仿宋_GB2312" w:cs="仿宋_GB2312"/>
          <w:b w:val="0"/>
          <w:bCs w:val="0"/>
          <w:sz w:val="32"/>
          <w:szCs w:val="32"/>
        </w:rPr>
        <w:t>管理办法，</w:t>
      </w:r>
      <w:r>
        <w:rPr>
          <w:rFonts w:hint="eastAsia" w:ascii="仿宋_GB2312" w:hAnsi="仿宋_GB2312" w:eastAsia="仿宋_GB2312" w:cs="仿宋_GB2312"/>
          <w:b w:val="0"/>
          <w:bCs w:val="0"/>
          <w:sz w:val="32"/>
          <w:szCs w:val="32"/>
          <w:lang w:eastAsia="zh-CN"/>
        </w:rPr>
        <w:t>为岭南中药材保护提供经费保障</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保护种类所在地的</w:t>
      </w:r>
      <w:r>
        <w:rPr>
          <w:rFonts w:hint="eastAsia" w:ascii="仿宋_GB2312" w:hAnsi="仿宋_GB2312" w:eastAsia="仿宋_GB2312" w:cs="仿宋_GB2312"/>
          <w:b w:val="0"/>
          <w:bCs w:val="0"/>
          <w:sz w:val="32"/>
          <w:szCs w:val="32"/>
        </w:rPr>
        <w:t>人民政府应当</w:t>
      </w:r>
      <w:r>
        <w:rPr>
          <w:rFonts w:hint="eastAsia" w:ascii="仿宋_GB2312" w:hAnsi="仿宋_GB2312" w:eastAsia="仿宋_GB2312" w:cs="仿宋_GB2312"/>
          <w:b w:val="0"/>
          <w:bCs w:val="0"/>
          <w:sz w:val="32"/>
          <w:szCs w:val="32"/>
          <w:lang w:eastAsia="zh-CN"/>
        </w:rPr>
        <w:t>根据实际情况为</w:t>
      </w:r>
      <w:r>
        <w:rPr>
          <w:rFonts w:hint="eastAsia" w:ascii="仿宋_GB2312" w:hAnsi="仿宋_GB2312" w:eastAsia="仿宋_GB2312" w:cs="仿宋_GB2312"/>
          <w:b w:val="0"/>
          <w:bCs w:val="0"/>
          <w:sz w:val="32"/>
          <w:szCs w:val="32"/>
        </w:rPr>
        <w:t>岭南中药材保护</w:t>
      </w:r>
      <w:r>
        <w:rPr>
          <w:rFonts w:hint="eastAsia" w:ascii="仿宋_GB2312" w:hAnsi="仿宋_GB2312" w:eastAsia="仿宋_GB2312" w:cs="仿宋_GB2312"/>
          <w:b w:val="0"/>
          <w:bCs w:val="0"/>
          <w:sz w:val="32"/>
          <w:szCs w:val="32"/>
          <w:lang w:eastAsia="zh-CN"/>
        </w:rPr>
        <w:t>提供必要的经费保障</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第八条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鼓励</w:t>
      </w:r>
      <w:r>
        <w:rPr>
          <w:rFonts w:hint="eastAsia" w:ascii="仿宋_GB2312" w:hAnsi="仿宋_GB2312" w:eastAsia="仿宋_GB2312" w:cs="仿宋_GB2312"/>
          <w:b w:val="0"/>
          <w:bCs w:val="0"/>
          <w:sz w:val="32"/>
          <w:szCs w:val="32"/>
        </w:rPr>
        <w:t>高等院校</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科研机构、</w:t>
      </w:r>
      <w:r>
        <w:rPr>
          <w:rFonts w:hint="eastAsia" w:ascii="仿宋_GB2312" w:hAnsi="仿宋_GB2312" w:eastAsia="仿宋_GB2312" w:cs="仿宋_GB2312"/>
          <w:b w:val="0"/>
          <w:bCs w:val="0"/>
          <w:sz w:val="32"/>
          <w:szCs w:val="32"/>
          <w:lang w:eastAsia="zh-CN"/>
        </w:rPr>
        <w:t>医疗机构</w:t>
      </w:r>
      <w:r>
        <w:rPr>
          <w:rFonts w:hint="eastAsia" w:ascii="仿宋_GB2312" w:hAnsi="仿宋_GB2312" w:eastAsia="仿宋_GB2312" w:cs="仿宋_GB2312"/>
          <w:b w:val="0"/>
          <w:bCs w:val="0"/>
          <w:sz w:val="32"/>
          <w:szCs w:val="32"/>
        </w:rPr>
        <w:t>加强岭南中药材基础研究，继承创新传统生产技术，发展现代生产技术，为岭南中药材保护提供技术支持、专业培训和咨询服务。</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鼓励科研机构、企业和个人在保证药效的前提下，创新岭南中药材育种、种植、采收、产地初加工等技术。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鼓励建立产学研合作机制促进中药材保护的技术产业转化。</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鼓励行业组织发挥行业自律作用，参与岭南中药材保护工作，提供信息交流、技术培训、信用建设和咨询等服务。</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鼓励金融机构创新适应岭南中药材</w:t>
      </w:r>
      <w:r>
        <w:rPr>
          <w:rFonts w:hint="eastAsia" w:ascii="仿宋_GB2312" w:hAnsi="仿宋_GB2312" w:eastAsia="仿宋_GB2312" w:cs="仿宋_GB2312"/>
          <w:b w:val="0"/>
          <w:bCs w:val="0"/>
          <w:sz w:val="32"/>
          <w:szCs w:val="32"/>
          <w:lang w:eastAsia="zh-CN"/>
        </w:rPr>
        <w:t>保护</w:t>
      </w:r>
      <w:r>
        <w:rPr>
          <w:rFonts w:hint="eastAsia" w:ascii="仿宋_GB2312" w:hAnsi="仿宋_GB2312" w:eastAsia="仿宋_GB2312" w:cs="仿宋_GB2312"/>
          <w:b w:val="0"/>
          <w:bCs w:val="0"/>
          <w:sz w:val="32"/>
          <w:szCs w:val="32"/>
        </w:rPr>
        <w:t>的金融产品，改善金融服务</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加大对岭南中药材</w:t>
      </w:r>
      <w:r>
        <w:rPr>
          <w:rFonts w:hint="eastAsia" w:ascii="仿宋_GB2312" w:hAnsi="仿宋_GB2312" w:eastAsia="仿宋_GB2312" w:cs="仿宋_GB2312"/>
          <w:b w:val="0"/>
          <w:bCs w:val="0"/>
          <w:sz w:val="32"/>
          <w:szCs w:val="32"/>
          <w:lang w:eastAsia="zh-CN"/>
        </w:rPr>
        <w:t>保护</w:t>
      </w:r>
      <w:r>
        <w:rPr>
          <w:rFonts w:hint="eastAsia" w:ascii="仿宋_GB2312" w:hAnsi="仿宋_GB2312" w:eastAsia="仿宋_GB2312" w:cs="仿宋_GB2312"/>
          <w:b w:val="0"/>
          <w:bCs w:val="0"/>
          <w:sz w:val="32"/>
          <w:szCs w:val="32"/>
        </w:rPr>
        <w:t>的信贷投放</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第九条</w:t>
      </w:r>
      <w:r>
        <w:rPr>
          <w:rFonts w:hint="eastAsia" w:ascii="仿宋_GB2312" w:hAnsi="仿宋_GB2312" w:eastAsia="仿宋_GB2312" w:cs="仿宋_GB2312"/>
          <w:b w:val="0"/>
          <w:bCs w:val="0"/>
          <w:sz w:val="32"/>
          <w:szCs w:val="32"/>
        </w:rPr>
        <w:t xml:space="preserve">  各级人民政府应当加强岭南中药材保护的宣传教育，普及岭南中药材常识及相关法律法规知识。</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第二章  一般规定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color w:val="000000"/>
          <w:sz w:val="32"/>
          <w:szCs w:val="32"/>
        </w:rPr>
        <w:t>第十条</w:t>
      </w:r>
      <w:r>
        <w:rPr>
          <w:rFonts w:hint="eastAsia" w:ascii="仿宋_GB2312" w:hAnsi="仿宋_GB2312" w:eastAsia="仿宋_GB2312" w:cs="仿宋_GB2312"/>
          <w:b w:val="0"/>
          <w:bCs w:val="0"/>
          <w:sz w:val="32"/>
          <w:szCs w:val="32"/>
        </w:rPr>
        <w:t xml:space="preserve">  省人民政府质量</w:t>
      </w:r>
      <w:r>
        <w:rPr>
          <w:rFonts w:hint="eastAsia" w:ascii="仿宋_GB2312" w:hAnsi="仿宋_GB2312" w:eastAsia="仿宋_GB2312" w:cs="仿宋_GB2312"/>
          <w:b w:val="0"/>
          <w:bCs w:val="0"/>
          <w:sz w:val="32"/>
          <w:szCs w:val="32"/>
          <w:lang w:eastAsia="zh-CN"/>
        </w:rPr>
        <w:t>技术</w:t>
      </w:r>
      <w:r>
        <w:rPr>
          <w:rFonts w:hint="eastAsia" w:ascii="仿宋_GB2312" w:hAnsi="仿宋_GB2312" w:eastAsia="仿宋_GB2312" w:cs="仿宋_GB2312"/>
          <w:b w:val="0"/>
          <w:bCs w:val="0"/>
          <w:sz w:val="32"/>
          <w:szCs w:val="32"/>
        </w:rPr>
        <w:t>监督</w:t>
      </w:r>
      <w:r>
        <w:rPr>
          <w:rFonts w:hint="eastAsia" w:ascii="仿宋_GB2312" w:hAnsi="仿宋_GB2312" w:eastAsia="仿宋_GB2312" w:cs="仿宋_GB2312"/>
          <w:b w:val="0"/>
          <w:bCs w:val="0"/>
          <w:sz w:val="32"/>
          <w:szCs w:val="32"/>
          <w:lang w:eastAsia="zh-CN"/>
        </w:rPr>
        <w:t>管理</w:t>
      </w:r>
      <w:r>
        <w:rPr>
          <w:rFonts w:hint="eastAsia" w:ascii="仿宋_GB2312" w:hAnsi="仿宋_GB2312" w:eastAsia="仿宋_GB2312" w:cs="仿宋_GB2312"/>
          <w:b w:val="0"/>
          <w:bCs w:val="0"/>
          <w:sz w:val="32"/>
          <w:szCs w:val="32"/>
        </w:rPr>
        <w:t>、食品药品</w:t>
      </w:r>
      <w:r>
        <w:rPr>
          <w:rFonts w:hint="eastAsia" w:ascii="仿宋_GB2312" w:hAnsi="仿宋_GB2312" w:eastAsia="仿宋_GB2312" w:cs="仿宋_GB2312"/>
          <w:b w:val="0"/>
          <w:bCs w:val="0"/>
          <w:sz w:val="32"/>
          <w:szCs w:val="32"/>
          <w:lang w:eastAsia="zh-CN"/>
        </w:rPr>
        <w:t>监督管理</w:t>
      </w:r>
      <w:r>
        <w:rPr>
          <w:rFonts w:hint="eastAsia" w:ascii="仿宋_GB2312" w:hAnsi="仿宋_GB2312" w:eastAsia="仿宋_GB2312" w:cs="仿宋_GB2312"/>
          <w:b w:val="0"/>
          <w:bCs w:val="0"/>
          <w:sz w:val="32"/>
          <w:szCs w:val="32"/>
        </w:rPr>
        <w:t>、中医药主管部门应当会同有关部门在国家药品标准的基础上，完善保护种类</w:t>
      </w:r>
      <w:r>
        <w:rPr>
          <w:rFonts w:hint="eastAsia" w:ascii="仿宋_GB2312" w:hAnsi="仿宋_GB2312" w:eastAsia="仿宋_GB2312" w:cs="仿宋_GB2312"/>
          <w:b w:val="0"/>
          <w:bCs w:val="0"/>
          <w:sz w:val="32"/>
          <w:szCs w:val="32"/>
          <w:lang w:eastAsia="zh-CN"/>
        </w:rPr>
        <w:t>的质量</w:t>
      </w:r>
      <w:r>
        <w:rPr>
          <w:rFonts w:hint="eastAsia" w:ascii="仿宋_GB2312" w:hAnsi="仿宋_GB2312" w:eastAsia="仿宋_GB2312" w:cs="仿宋_GB2312"/>
          <w:b w:val="0"/>
          <w:bCs w:val="0"/>
          <w:sz w:val="32"/>
          <w:szCs w:val="32"/>
        </w:rPr>
        <w:t>标准。</w:t>
      </w:r>
      <w:r>
        <w:rPr>
          <w:rFonts w:hint="eastAsia" w:ascii="仿宋_GB2312" w:hAnsi="仿宋_GB2312" w:eastAsia="仿宋_GB2312" w:cs="仿宋_GB2312"/>
          <w:b w:val="0"/>
          <w:bCs w:val="0"/>
          <w:sz w:val="32"/>
          <w:szCs w:val="32"/>
          <w:lang w:val="en-US" w:eastAsia="zh-CN"/>
        </w:rPr>
        <w:t xml:space="preserve">      </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省人民政府食品药品监督管理部门应当会同经济和信息化主管部门</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支持</w:t>
      </w:r>
      <w:r>
        <w:rPr>
          <w:rFonts w:hint="eastAsia" w:ascii="仿宋_GB2312" w:hAnsi="仿宋_GB2312" w:eastAsia="仿宋_GB2312" w:cs="仿宋_GB2312"/>
          <w:b w:val="0"/>
          <w:bCs w:val="0"/>
          <w:sz w:val="32"/>
          <w:szCs w:val="32"/>
          <w:lang w:eastAsia="zh-CN"/>
        </w:rPr>
        <w:t>企业和科研机构</w:t>
      </w:r>
      <w:r>
        <w:rPr>
          <w:rFonts w:hint="eastAsia" w:ascii="仿宋_GB2312" w:hAnsi="仿宋_GB2312" w:eastAsia="仿宋_GB2312" w:cs="仿宋_GB2312"/>
          <w:b w:val="0"/>
          <w:bCs w:val="0"/>
          <w:sz w:val="32"/>
          <w:szCs w:val="32"/>
        </w:rPr>
        <w:t>运用现代中药分析技术</w:t>
      </w:r>
      <w:r>
        <w:rPr>
          <w:rFonts w:hint="eastAsia" w:ascii="仿宋_GB2312" w:hAnsi="仿宋_GB2312" w:eastAsia="仿宋_GB2312" w:cs="仿宋_GB2312"/>
          <w:b w:val="0"/>
          <w:bCs w:val="0"/>
          <w:sz w:val="32"/>
          <w:szCs w:val="32"/>
          <w:lang w:eastAsia="zh-CN"/>
        </w:rPr>
        <w:t>等</w:t>
      </w:r>
      <w:r>
        <w:rPr>
          <w:rFonts w:hint="eastAsia" w:ascii="仿宋_GB2312" w:hAnsi="仿宋_GB2312" w:eastAsia="仿宋_GB2312" w:cs="仿宋_GB2312"/>
          <w:b w:val="0"/>
          <w:bCs w:val="0"/>
          <w:sz w:val="32"/>
          <w:szCs w:val="32"/>
        </w:rPr>
        <w:t>方法研究制定</w:t>
      </w:r>
      <w:r>
        <w:rPr>
          <w:rFonts w:hint="eastAsia" w:ascii="仿宋_GB2312" w:hAnsi="仿宋_GB2312" w:eastAsia="仿宋_GB2312" w:cs="仿宋_GB2312"/>
          <w:b w:val="0"/>
          <w:bCs w:val="0"/>
          <w:sz w:val="32"/>
          <w:szCs w:val="32"/>
          <w:lang w:eastAsia="zh-CN"/>
        </w:rPr>
        <w:t>保护种类</w:t>
      </w:r>
      <w:r>
        <w:rPr>
          <w:rFonts w:hint="eastAsia" w:ascii="仿宋_GB2312" w:hAnsi="仿宋_GB2312" w:eastAsia="仿宋_GB2312" w:cs="仿宋_GB2312"/>
          <w:b w:val="0"/>
          <w:bCs w:val="0"/>
          <w:sz w:val="32"/>
          <w:szCs w:val="32"/>
        </w:rPr>
        <w:t>质量控制和物种鉴定标准。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鼓励</w:t>
      </w:r>
      <w:r>
        <w:rPr>
          <w:rFonts w:hint="eastAsia" w:ascii="仿宋_GB2312" w:hAnsi="仿宋_GB2312" w:eastAsia="仿宋_GB2312" w:cs="仿宋_GB2312"/>
          <w:b w:val="0"/>
          <w:bCs w:val="0"/>
          <w:sz w:val="32"/>
          <w:szCs w:val="32"/>
          <w:lang w:eastAsia="zh-CN"/>
        </w:rPr>
        <w:t>岭南</w:t>
      </w:r>
      <w:r>
        <w:rPr>
          <w:rFonts w:hint="eastAsia" w:ascii="仿宋_GB2312" w:hAnsi="仿宋_GB2312" w:eastAsia="仿宋_GB2312" w:cs="仿宋_GB2312"/>
          <w:b w:val="0"/>
          <w:bCs w:val="0"/>
          <w:sz w:val="32"/>
          <w:szCs w:val="32"/>
        </w:rPr>
        <w:t>中药材生产企业制定严于</w:t>
      </w:r>
      <w:r>
        <w:rPr>
          <w:rFonts w:hint="eastAsia" w:ascii="仿宋_GB2312" w:hAnsi="仿宋_GB2312" w:eastAsia="仿宋_GB2312" w:cs="仿宋_GB2312"/>
          <w:b w:val="0"/>
          <w:bCs w:val="0"/>
          <w:sz w:val="32"/>
          <w:szCs w:val="32"/>
          <w:lang w:eastAsia="zh-CN"/>
        </w:rPr>
        <w:t>国家标准、地方标准</w:t>
      </w:r>
      <w:r>
        <w:rPr>
          <w:rFonts w:hint="eastAsia" w:ascii="仿宋_GB2312" w:hAnsi="仿宋_GB2312" w:eastAsia="仿宋_GB2312" w:cs="仿宋_GB2312"/>
          <w:b w:val="0"/>
          <w:bCs w:val="0"/>
          <w:sz w:val="32"/>
          <w:szCs w:val="32"/>
        </w:rPr>
        <w:t>的企业标准，在本企业适用</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第十一条</w:t>
      </w:r>
      <w:r>
        <w:rPr>
          <w:rFonts w:hint="eastAsia" w:ascii="仿宋_GB2312" w:hAnsi="仿宋_GB2312" w:eastAsia="仿宋_GB2312" w:cs="仿宋_GB2312"/>
          <w:b w:val="0"/>
          <w:bCs w:val="0"/>
          <w:sz w:val="32"/>
          <w:szCs w:val="32"/>
        </w:rPr>
        <w:t xml:space="preserve">  省人民政府商务主管部门应当会同食品药品监督管理部门制定和完善保护种类的商品规格等级标准，促进岭南中药材产品质量的提高。</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第十二条</w:t>
      </w:r>
      <w:r>
        <w:rPr>
          <w:rFonts w:hint="eastAsia" w:ascii="仿宋_GB2312" w:hAnsi="仿宋_GB2312" w:eastAsia="仿宋_GB2312" w:cs="仿宋_GB2312"/>
          <w:b w:val="0"/>
          <w:bCs w:val="0"/>
          <w:sz w:val="32"/>
          <w:szCs w:val="32"/>
        </w:rPr>
        <w:t xml:space="preserve">  县级以上人民政府商务主管部门应当</w:t>
      </w:r>
      <w:r>
        <w:rPr>
          <w:rFonts w:hint="eastAsia" w:ascii="仿宋_GB2312" w:hAnsi="仿宋_GB2312" w:eastAsia="仿宋_GB2312" w:cs="仿宋_GB2312"/>
          <w:b w:val="0"/>
          <w:bCs w:val="0"/>
          <w:sz w:val="32"/>
          <w:szCs w:val="32"/>
          <w:lang w:eastAsia="zh-CN"/>
        </w:rPr>
        <w:t>会同食品药品监督管理、中医药主管部门</w:t>
      </w:r>
      <w:r>
        <w:rPr>
          <w:rFonts w:hint="eastAsia" w:ascii="仿宋_GB2312" w:hAnsi="仿宋_GB2312" w:eastAsia="仿宋_GB2312" w:cs="仿宋_GB2312"/>
          <w:b w:val="0"/>
          <w:bCs w:val="0"/>
          <w:sz w:val="32"/>
          <w:szCs w:val="32"/>
        </w:rPr>
        <w:t>利用省中药材流通追溯体系公共平台，建立保护种类育种、种植、采收、加工、流通的全过程质量追溯制度。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省人民政府商务主管部门应当会同有关部门制定和实施统一的岭南中药材质量安全追溯编码方案。</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人民政府商务主管部门应当加强质量追溯制度宣传</w:t>
      </w:r>
      <w:r>
        <w:rPr>
          <w:rFonts w:hint="eastAsia" w:ascii="仿宋_GB2312" w:hAnsi="仿宋_GB2312" w:eastAsia="仿宋_GB2312" w:cs="仿宋_GB2312"/>
          <w:b w:val="0"/>
          <w:bCs w:val="0"/>
          <w:sz w:val="32"/>
          <w:szCs w:val="32"/>
          <w:lang w:eastAsia="zh-CN"/>
        </w:rPr>
        <w:t>，组织相关</w:t>
      </w:r>
      <w:r>
        <w:rPr>
          <w:rFonts w:hint="eastAsia" w:ascii="仿宋_GB2312" w:hAnsi="仿宋_GB2312" w:eastAsia="仿宋_GB2312" w:cs="仿宋_GB2312"/>
          <w:b w:val="0"/>
          <w:bCs w:val="0"/>
          <w:sz w:val="32"/>
          <w:szCs w:val="32"/>
        </w:rPr>
        <w:t>培训，指导岭南中药材生产者建立质量追溯制度。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岭南中药材生产者应当建立健全质量管理制度，如实记录、提供可供追溯的相关信息。岭南中药材进入流通市场应当使用质量安全追溯编码</w:t>
      </w:r>
      <w:r>
        <w:rPr>
          <w:rFonts w:hint="eastAsia" w:ascii="仿宋_GB2312" w:hAnsi="仿宋_GB2312" w:eastAsia="仿宋_GB2312" w:cs="仿宋_GB2312"/>
          <w:b w:val="0"/>
          <w:bCs w:val="0"/>
          <w:sz w:val="32"/>
          <w:szCs w:val="32"/>
          <w:lang w:eastAsia="zh-CN"/>
        </w:rPr>
        <w:t>，并推行使用统一标识直接载明质量安全追溯编码信息</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第十三条</w:t>
      </w:r>
      <w:r>
        <w:rPr>
          <w:rFonts w:hint="eastAsia" w:ascii="仿宋_GB2312" w:hAnsi="仿宋_GB2312" w:eastAsia="仿宋_GB2312" w:cs="仿宋_GB2312"/>
          <w:b w:val="0"/>
          <w:bCs w:val="0"/>
          <w:sz w:val="32"/>
          <w:szCs w:val="32"/>
        </w:rPr>
        <w:t xml:space="preserve">  省人民政府</w:t>
      </w:r>
      <w:r>
        <w:rPr>
          <w:rFonts w:hint="eastAsia" w:ascii="仿宋_GB2312" w:hAnsi="仿宋_GB2312" w:eastAsia="仿宋_GB2312" w:cs="仿宋_GB2312"/>
          <w:b w:val="0"/>
          <w:bCs w:val="0"/>
          <w:sz w:val="32"/>
          <w:szCs w:val="32"/>
          <w:lang w:eastAsia="zh-CN"/>
        </w:rPr>
        <w:t>农业、林业</w:t>
      </w:r>
      <w:r>
        <w:rPr>
          <w:rFonts w:hint="eastAsia" w:ascii="仿宋_GB2312" w:hAnsi="仿宋_GB2312" w:eastAsia="仿宋_GB2312" w:cs="仿宋_GB2312"/>
          <w:b w:val="0"/>
          <w:bCs w:val="0"/>
          <w:sz w:val="32"/>
          <w:szCs w:val="32"/>
        </w:rPr>
        <w:t>主管部门应当会同有关部门，依托</w:t>
      </w:r>
      <w:r>
        <w:rPr>
          <w:rFonts w:hint="eastAsia" w:ascii="仿宋_GB2312" w:hAnsi="仿宋_GB2312" w:eastAsia="仿宋_GB2312" w:cs="仿宋_GB2312"/>
          <w:b w:val="0"/>
          <w:bCs w:val="0"/>
          <w:sz w:val="32"/>
          <w:szCs w:val="32"/>
          <w:lang w:eastAsia="zh-CN"/>
        </w:rPr>
        <w:t>企业和</w:t>
      </w:r>
      <w:r>
        <w:rPr>
          <w:rFonts w:hint="eastAsia" w:ascii="仿宋_GB2312" w:hAnsi="仿宋_GB2312" w:eastAsia="仿宋_GB2312" w:cs="仿宋_GB2312"/>
          <w:b w:val="0"/>
          <w:bCs w:val="0"/>
          <w:sz w:val="32"/>
          <w:szCs w:val="32"/>
        </w:rPr>
        <w:t>科研机构构建岭南中药材生产技术服务网络，</w:t>
      </w:r>
      <w:r>
        <w:rPr>
          <w:rFonts w:hint="eastAsia" w:ascii="仿宋_GB2312" w:hAnsi="仿宋_GB2312" w:eastAsia="仿宋_GB2312" w:cs="仿宋_GB2312"/>
          <w:b w:val="0"/>
          <w:bCs w:val="0"/>
          <w:sz w:val="32"/>
          <w:szCs w:val="32"/>
          <w:lang w:eastAsia="zh-CN"/>
        </w:rPr>
        <w:t>促进</w:t>
      </w:r>
      <w:r>
        <w:rPr>
          <w:rFonts w:hint="eastAsia" w:ascii="仿宋_GB2312" w:hAnsi="仿宋_GB2312" w:eastAsia="仿宋_GB2312" w:cs="仿宋_GB2312"/>
          <w:b w:val="0"/>
          <w:bCs w:val="0"/>
          <w:sz w:val="32"/>
          <w:szCs w:val="32"/>
        </w:rPr>
        <w:t>岭南中药材生产先进技术转化和推广应用，提供全面、准确、及时的岭南中药材生产信息及趋势预测。</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第十四条</w:t>
      </w:r>
      <w:r>
        <w:rPr>
          <w:rFonts w:hint="eastAsia" w:ascii="仿宋_GB2312" w:hAnsi="仿宋_GB2312" w:eastAsia="仿宋_GB2312" w:cs="仿宋_GB2312"/>
          <w:b w:val="0"/>
          <w:bCs w:val="0"/>
          <w:sz w:val="32"/>
          <w:szCs w:val="32"/>
        </w:rPr>
        <w:t xml:space="preserve">  省人民政府中医药主管部门应当会同有关部门</w:t>
      </w:r>
      <w:r>
        <w:rPr>
          <w:rFonts w:hint="eastAsia" w:ascii="仿宋_GB2312" w:hAnsi="仿宋_GB2312" w:eastAsia="仿宋_GB2312" w:cs="仿宋_GB2312"/>
          <w:b w:val="0"/>
          <w:bCs w:val="0"/>
          <w:sz w:val="32"/>
          <w:szCs w:val="32"/>
          <w:lang w:eastAsia="zh-CN"/>
        </w:rPr>
        <w:t>依托</w:t>
      </w:r>
      <w:r>
        <w:rPr>
          <w:rFonts w:hint="eastAsia" w:ascii="仿宋_GB2312" w:hAnsi="仿宋_GB2312" w:eastAsia="仿宋_GB2312" w:cs="仿宋_GB2312"/>
          <w:b w:val="0"/>
          <w:bCs w:val="0"/>
          <w:sz w:val="32"/>
          <w:szCs w:val="32"/>
        </w:rPr>
        <w:t>中药资源动态</w:t>
      </w:r>
      <w:r>
        <w:rPr>
          <w:rFonts w:hint="eastAsia" w:ascii="仿宋_GB2312" w:hAnsi="仿宋_GB2312" w:eastAsia="仿宋_GB2312" w:cs="仿宋_GB2312"/>
          <w:b w:val="0"/>
          <w:bCs w:val="0"/>
          <w:sz w:val="32"/>
          <w:szCs w:val="32"/>
          <w:lang w:eastAsia="zh-CN"/>
        </w:rPr>
        <w:t>监测体系，发挥企业和</w:t>
      </w:r>
      <w:r>
        <w:rPr>
          <w:rFonts w:hint="eastAsia" w:ascii="仿宋_GB2312" w:hAnsi="仿宋_GB2312" w:eastAsia="仿宋_GB2312" w:cs="仿宋_GB2312"/>
          <w:b w:val="0"/>
          <w:bCs w:val="0"/>
          <w:sz w:val="32"/>
          <w:szCs w:val="32"/>
        </w:rPr>
        <w:t>科研机构</w:t>
      </w:r>
      <w:r>
        <w:rPr>
          <w:rFonts w:hint="eastAsia" w:ascii="仿宋_GB2312" w:hAnsi="仿宋_GB2312" w:eastAsia="仿宋_GB2312" w:cs="仿宋_GB2312"/>
          <w:b w:val="0"/>
          <w:bCs w:val="0"/>
          <w:sz w:val="32"/>
          <w:szCs w:val="32"/>
          <w:lang w:eastAsia="zh-CN"/>
        </w:rPr>
        <w:t>的作用提供</w:t>
      </w:r>
      <w:r>
        <w:rPr>
          <w:rFonts w:hint="eastAsia" w:ascii="仿宋_GB2312" w:hAnsi="仿宋_GB2312" w:eastAsia="仿宋_GB2312" w:cs="仿宋_GB2312"/>
          <w:b w:val="0"/>
          <w:bCs w:val="0"/>
          <w:sz w:val="32"/>
          <w:szCs w:val="32"/>
        </w:rPr>
        <w:t>中药原料质量监测</w:t>
      </w:r>
      <w:r>
        <w:rPr>
          <w:rFonts w:hint="eastAsia" w:ascii="仿宋_GB2312" w:hAnsi="仿宋_GB2312" w:eastAsia="仿宋_GB2312" w:cs="仿宋_GB2312"/>
          <w:b w:val="0"/>
          <w:bCs w:val="0"/>
          <w:sz w:val="32"/>
          <w:szCs w:val="32"/>
          <w:lang w:eastAsia="zh-CN"/>
        </w:rPr>
        <w:t>技术</w:t>
      </w:r>
      <w:r>
        <w:rPr>
          <w:rFonts w:hint="eastAsia" w:ascii="仿宋_GB2312" w:hAnsi="仿宋_GB2312" w:eastAsia="仿宋_GB2312" w:cs="仿宋_GB2312"/>
          <w:b w:val="0"/>
          <w:bCs w:val="0"/>
          <w:sz w:val="32"/>
          <w:szCs w:val="32"/>
        </w:rPr>
        <w:t>服务，根据需要建立监测站，开展中药资源信息收集、整理与动态监测，及时提供预警信息。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color w:val="000000"/>
          <w:sz w:val="32"/>
          <w:szCs w:val="32"/>
        </w:rPr>
        <w:t>第十五条</w:t>
      </w:r>
      <w:r>
        <w:rPr>
          <w:rFonts w:hint="eastAsia" w:ascii="仿宋_GB2312" w:hAnsi="仿宋_GB2312" w:eastAsia="仿宋_GB2312" w:cs="仿宋_GB2312"/>
          <w:b w:val="0"/>
          <w:bCs w:val="0"/>
          <w:sz w:val="32"/>
          <w:szCs w:val="32"/>
        </w:rPr>
        <w:t xml:space="preserve">  县级以上人民政府中医药主管部门应当会同</w:t>
      </w:r>
      <w:r>
        <w:rPr>
          <w:rFonts w:hint="eastAsia" w:ascii="仿宋_GB2312" w:hAnsi="仿宋_GB2312" w:eastAsia="仿宋_GB2312" w:cs="仿宋_GB2312"/>
          <w:b w:val="0"/>
          <w:bCs w:val="0"/>
          <w:sz w:val="32"/>
          <w:szCs w:val="32"/>
          <w:lang w:eastAsia="zh-CN"/>
        </w:rPr>
        <w:t>科技、</w:t>
      </w:r>
      <w:r>
        <w:rPr>
          <w:rFonts w:hint="eastAsia" w:ascii="仿宋_GB2312" w:hAnsi="仿宋_GB2312" w:eastAsia="仿宋_GB2312" w:cs="仿宋_GB2312"/>
          <w:b w:val="0"/>
          <w:bCs w:val="0"/>
          <w:sz w:val="32"/>
          <w:szCs w:val="32"/>
        </w:rPr>
        <w:t>农业或者林业等</w:t>
      </w:r>
      <w:r>
        <w:rPr>
          <w:rFonts w:hint="eastAsia" w:ascii="仿宋_GB2312" w:hAnsi="仿宋_GB2312" w:eastAsia="仿宋_GB2312" w:cs="仿宋_GB2312"/>
          <w:b w:val="0"/>
          <w:bCs w:val="0"/>
          <w:sz w:val="32"/>
          <w:szCs w:val="32"/>
          <w:lang w:eastAsia="zh-CN"/>
        </w:rPr>
        <w:t>有关</w:t>
      </w:r>
      <w:r>
        <w:rPr>
          <w:rFonts w:hint="eastAsia" w:ascii="仿宋_GB2312" w:hAnsi="仿宋_GB2312" w:eastAsia="仿宋_GB2312" w:cs="仿宋_GB2312"/>
          <w:b w:val="0"/>
          <w:bCs w:val="0"/>
          <w:sz w:val="32"/>
          <w:szCs w:val="32"/>
        </w:rPr>
        <w:t>部门</w:t>
      </w:r>
      <w:r>
        <w:rPr>
          <w:rFonts w:hint="eastAsia" w:ascii="仿宋_GB2312" w:hAnsi="仿宋_GB2312" w:eastAsia="仿宋_GB2312" w:cs="仿宋_GB2312"/>
          <w:b w:val="0"/>
          <w:bCs w:val="0"/>
          <w:sz w:val="32"/>
          <w:szCs w:val="32"/>
          <w:lang w:eastAsia="zh-CN"/>
        </w:rPr>
        <w:t>促进</w:t>
      </w:r>
      <w:r>
        <w:rPr>
          <w:rFonts w:hint="eastAsia" w:ascii="仿宋_GB2312" w:hAnsi="仿宋_GB2312" w:eastAsia="仿宋_GB2312" w:cs="仿宋_GB2312"/>
          <w:b w:val="0"/>
          <w:bCs w:val="0"/>
          <w:sz w:val="32"/>
          <w:szCs w:val="32"/>
        </w:rPr>
        <w:t>岭南中药材</w:t>
      </w:r>
      <w:r>
        <w:rPr>
          <w:rFonts w:hint="eastAsia" w:ascii="仿宋_GB2312" w:hAnsi="仿宋_GB2312" w:eastAsia="仿宋_GB2312" w:cs="仿宋_GB2312"/>
          <w:b w:val="0"/>
          <w:bCs w:val="0"/>
          <w:sz w:val="32"/>
          <w:szCs w:val="32"/>
          <w:lang w:eastAsia="zh-CN"/>
        </w:rPr>
        <w:t>传统</w:t>
      </w:r>
      <w:r>
        <w:rPr>
          <w:rFonts w:hint="eastAsia" w:ascii="仿宋_GB2312" w:hAnsi="仿宋_GB2312" w:eastAsia="仿宋_GB2312" w:cs="仿宋_GB2312"/>
          <w:b w:val="0"/>
          <w:bCs w:val="0"/>
          <w:sz w:val="32"/>
          <w:szCs w:val="32"/>
        </w:rPr>
        <w:t>生产技术的继承创新，推动岭南中药材</w:t>
      </w:r>
      <w:r>
        <w:rPr>
          <w:rFonts w:hint="eastAsia" w:ascii="仿宋_GB2312" w:hAnsi="仿宋_GB2312" w:eastAsia="仿宋_GB2312" w:cs="仿宋_GB2312"/>
          <w:b w:val="0"/>
          <w:bCs w:val="0"/>
          <w:sz w:val="32"/>
          <w:szCs w:val="32"/>
          <w:lang w:eastAsia="zh-CN"/>
        </w:rPr>
        <w:t>生产</w:t>
      </w:r>
      <w:r>
        <w:rPr>
          <w:rFonts w:hint="eastAsia" w:ascii="仿宋_GB2312" w:hAnsi="仿宋_GB2312" w:eastAsia="仿宋_GB2312" w:cs="仿宋_GB2312"/>
          <w:b w:val="0"/>
          <w:bCs w:val="0"/>
          <w:sz w:val="32"/>
          <w:szCs w:val="32"/>
        </w:rPr>
        <w:t>技术创新和成果转化。以岭南中药材良种繁育基地和优质岭南中药材生产基地为载体，指导保护种类生产者制定相关技术规范，支持科研机构继承和研究岭南中药材种子种苗培育、种植、采收等技术，完善相关技术规范，</w:t>
      </w:r>
      <w:r>
        <w:rPr>
          <w:rFonts w:hint="eastAsia" w:ascii="仿宋_GB2312" w:hAnsi="仿宋_GB2312" w:eastAsia="仿宋_GB2312" w:cs="仿宋_GB2312"/>
          <w:b w:val="0"/>
          <w:bCs w:val="0"/>
          <w:sz w:val="32"/>
          <w:szCs w:val="32"/>
          <w:lang w:eastAsia="zh-CN"/>
        </w:rPr>
        <w:t>并</w:t>
      </w:r>
      <w:r>
        <w:rPr>
          <w:rFonts w:hint="eastAsia" w:ascii="仿宋_GB2312" w:hAnsi="仿宋_GB2312" w:eastAsia="仿宋_GB2312" w:cs="仿宋_GB2312"/>
          <w:b w:val="0"/>
          <w:bCs w:val="0"/>
          <w:sz w:val="32"/>
          <w:szCs w:val="32"/>
        </w:rPr>
        <w:t>在适宜地区</w:t>
      </w:r>
      <w:r>
        <w:rPr>
          <w:rFonts w:hint="eastAsia" w:ascii="仿宋_GB2312" w:hAnsi="仿宋_GB2312" w:eastAsia="仿宋_GB2312" w:cs="仿宋_GB2312"/>
          <w:b w:val="0"/>
          <w:bCs w:val="0"/>
          <w:sz w:val="32"/>
          <w:szCs w:val="32"/>
          <w:lang w:eastAsia="zh-CN"/>
        </w:rPr>
        <w:t>加以</w:t>
      </w:r>
      <w:r>
        <w:rPr>
          <w:rFonts w:hint="eastAsia" w:ascii="仿宋_GB2312" w:hAnsi="仿宋_GB2312" w:eastAsia="仿宋_GB2312" w:cs="仿宋_GB2312"/>
          <w:b w:val="0"/>
          <w:bCs w:val="0"/>
          <w:sz w:val="32"/>
          <w:szCs w:val="32"/>
        </w:rPr>
        <w:t>推广</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第十六条</w:t>
      </w:r>
      <w:r>
        <w:rPr>
          <w:rFonts w:hint="eastAsia" w:ascii="仿宋_GB2312" w:hAnsi="仿宋_GB2312" w:eastAsia="仿宋_GB2312" w:cs="仿宋_GB2312"/>
          <w:b w:val="0"/>
          <w:bCs w:val="0"/>
          <w:sz w:val="32"/>
          <w:szCs w:val="32"/>
        </w:rPr>
        <w:t xml:space="preserve">  县级以上人民政府中医药、农业或者林业主管部门应当将岭南中药材</w:t>
      </w:r>
      <w:r>
        <w:rPr>
          <w:rFonts w:hint="eastAsia" w:ascii="仿宋_GB2312" w:hAnsi="仿宋_GB2312" w:eastAsia="仿宋_GB2312" w:cs="仿宋_GB2312"/>
          <w:b w:val="0"/>
          <w:bCs w:val="0"/>
          <w:sz w:val="32"/>
          <w:szCs w:val="32"/>
          <w:lang w:eastAsia="zh-CN"/>
        </w:rPr>
        <w:t>生产</w:t>
      </w:r>
      <w:r>
        <w:rPr>
          <w:rFonts w:hint="eastAsia" w:ascii="仿宋_GB2312" w:hAnsi="仿宋_GB2312" w:eastAsia="仿宋_GB2312" w:cs="仿宋_GB2312"/>
          <w:b w:val="0"/>
          <w:bCs w:val="0"/>
          <w:sz w:val="32"/>
          <w:szCs w:val="32"/>
        </w:rPr>
        <w:t>从业人员列入农村科技实用人才培训计划，定期举办技术人员培训，组织中药材技术专家巡回指导，</w:t>
      </w:r>
      <w:r>
        <w:rPr>
          <w:rFonts w:hint="eastAsia" w:ascii="仿宋_GB2312" w:hAnsi="仿宋_GB2312" w:eastAsia="仿宋_GB2312" w:cs="仿宋_GB2312"/>
          <w:b w:val="0"/>
          <w:bCs w:val="0"/>
          <w:sz w:val="32"/>
          <w:szCs w:val="32"/>
          <w:lang w:eastAsia="zh-CN"/>
        </w:rPr>
        <w:t>在</w:t>
      </w:r>
      <w:r>
        <w:rPr>
          <w:rFonts w:hint="eastAsia" w:ascii="仿宋_GB2312" w:hAnsi="仿宋_GB2312" w:eastAsia="仿宋_GB2312" w:cs="仿宋_GB2312"/>
          <w:b w:val="0"/>
          <w:bCs w:val="0"/>
          <w:sz w:val="32"/>
          <w:szCs w:val="32"/>
        </w:rPr>
        <w:t>保护种类</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资源保护、繁育种植、鉴定技术和信息服务</w:t>
      </w:r>
      <w:r>
        <w:rPr>
          <w:rFonts w:hint="eastAsia" w:ascii="仿宋_GB2312" w:hAnsi="仿宋_GB2312" w:eastAsia="仿宋_GB2312" w:cs="仿宋_GB2312"/>
          <w:b w:val="0"/>
          <w:bCs w:val="0"/>
          <w:sz w:val="32"/>
          <w:szCs w:val="32"/>
          <w:lang w:eastAsia="zh-CN"/>
        </w:rPr>
        <w:t>方面培养</w:t>
      </w:r>
      <w:r>
        <w:rPr>
          <w:rFonts w:hint="eastAsia" w:ascii="仿宋_GB2312" w:hAnsi="仿宋_GB2312" w:eastAsia="仿宋_GB2312" w:cs="仿宋_GB2312"/>
          <w:b w:val="0"/>
          <w:bCs w:val="0"/>
          <w:sz w:val="32"/>
          <w:szCs w:val="32"/>
        </w:rPr>
        <w:t>专业人才。</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县级以上人民政府</w:t>
      </w:r>
      <w:r>
        <w:rPr>
          <w:rFonts w:hint="eastAsia" w:ascii="仿宋_GB2312" w:hAnsi="仿宋_GB2312" w:eastAsia="仿宋_GB2312" w:cs="仿宋_GB2312"/>
          <w:b w:val="0"/>
          <w:bCs w:val="0"/>
          <w:sz w:val="32"/>
          <w:szCs w:val="32"/>
          <w:lang w:eastAsia="zh-CN"/>
        </w:rPr>
        <w:t>人力资源和社会保障部门、</w:t>
      </w:r>
      <w:r>
        <w:rPr>
          <w:rFonts w:hint="eastAsia" w:ascii="仿宋_GB2312" w:hAnsi="仿宋_GB2312" w:eastAsia="仿宋_GB2312" w:cs="仿宋_GB2312"/>
          <w:b w:val="0"/>
          <w:bCs w:val="0"/>
          <w:sz w:val="32"/>
          <w:szCs w:val="32"/>
        </w:rPr>
        <w:t>中医药主管部门应当建立健全专业技术人才培养和引进机制。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第十七条</w:t>
      </w:r>
      <w:r>
        <w:rPr>
          <w:rFonts w:hint="eastAsia" w:ascii="仿宋_GB2312" w:hAnsi="仿宋_GB2312" w:eastAsia="仿宋_GB2312" w:cs="仿宋_GB2312"/>
          <w:b w:val="0"/>
          <w:bCs w:val="0"/>
          <w:sz w:val="32"/>
          <w:szCs w:val="32"/>
        </w:rPr>
        <w:t xml:space="preserve">  县级以上人民政府应当根据岭南中药材良种繁育基地、优质岭南中药材生产基地、岭南中药材种植以及品牌等保护需要，依法</w:t>
      </w:r>
      <w:r>
        <w:rPr>
          <w:rFonts w:hint="eastAsia" w:ascii="仿宋_GB2312" w:hAnsi="仿宋_GB2312" w:eastAsia="仿宋_GB2312" w:cs="仿宋_GB2312"/>
          <w:b w:val="0"/>
          <w:bCs w:val="0"/>
          <w:sz w:val="32"/>
          <w:szCs w:val="32"/>
          <w:lang w:eastAsia="zh-CN"/>
        </w:rPr>
        <w:t>给予</w:t>
      </w:r>
      <w:r>
        <w:rPr>
          <w:rFonts w:hint="eastAsia" w:ascii="仿宋_GB2312" w:hAnsi="仿宋_GB2312" w:eastAsia="仿宋_GB2312" w:cs="仿宋_GB2312"/>
          <w:b w:val="0"/>
          <w:bCs w:val="0"/>
          <w:sz w:val="32"/>
          <w:szCs w:val="32"/>
        </w:rPr>
        <w:t>政策扶持</w:t>
      </w:r>
      <w:r>
        <w:rPr>
          <w:rFonts w:hint="eastAsia" w:ascii="仿宋_GB2312" w:hAnsi="仿宋_GB2312" w:eastAsia="仿宋_GB2312" w:cs="仿宋_GB2312"/>
          <w:b w:val="0"/>
          <w:bCs w:val="0"/>
          <w:sz w:val="32"/>
          <w:szCs w:val="32"/>
          <w:lang w:eastAsia="zh-CN"/>
        </w:rPr>
        <w:t>和财政</w:t>
      </w:r>
      <w:r>
        <w:rPr>
          <w:rFonts w:hint="eastAsia" w:ascii="仿宋_GB2312" w:hAnsi="仿宋_GB2312" w:eastAsia="仿宋_GB2312" w:cs="仿宋_GB2312"/>
          <w:b w:val="0"/>
          <w:bCs w:val="0"/>
          <w:sz w:val="32"/>
          <w:szCs w:val="32"/>
        </w:rPr>
        <w:t>补贴。</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第十八条</w:t>
      </w:r>
      <w:r>
        <w:rPr>
          <w:rFonts w:hint="eastAsia" w:ascii="仿宋_GB2312" w:hAnsi="仿宋_GB2312" w:eastAsia="仿宋_GB2312" w:cs="仿宋_GB2312"/>
          <w:b w:val="0"/>
          <w:bCs w:val="0"/>
          <w:sz w:val="32"/>
          <w:szCs w:val="32"/>
        </w:rPr>
        <w:t xml:space="preserve">  引导和支持企业与岭南中药材种植者</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通过签订合同</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实行风险共担、利益共享合作模式，由企业提供岭南中药材生产原料和技术服务，并实行成品回购，推进优质优价，促进岭南中药材产品质量的提高。</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lang w:eastAsia="zh-CN"/>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第三章  种源保护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lang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 xml:space="preserve"> </w:t>
      </w:r>
      <w:r>
        <w:rPr>
          <w:rFonts w:hint="eastAsia" w:ascii="黑体" w:hAnsi="黑体" w:eastAsia="黑体" w:cs="黑体"/>
          <w:b w:val="0"/>
          <w:bCs w:val="0"/>
          <w:sz w:val="32"/>
          <w:szCs w:val="32"/>
        </w:rPr>
        <w:t>第十九条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县级以上人民政府对集中分布的岭南中药材天然种质资源，可以依法设立地方级自然保护区进行保护。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省人民政府中医药主管部门应当按照国家规定开展中药资源普查。</w:t>
      </w:r>
      <w:r>
        <w:rPr>
          <w:rFonts w:hint="eastAsia" w:ascii="仿宋_GB2312" w:hAnsi="仿宋_GB2312" w:eastAsia="仿宋_GB2312" w:cs="仿宋_GB2312"/>
          <w:b w:val="0"/>
          <w:bCs w:val="0"/>
          <w:sz w:val="32"/>
          <w:szCs w:val="32"/>
        </w:rPr>
        <w:t>省人民政府农业或者林业主管部门</w:t>
      </w:r>
      <w:r>
        <w:rPr>
          <w:rFonts w:hint="eastAsia" w:ascii="仿宋_GB2312" w:hAnsi="仿宋_GB2312" w:eastAsia="仿宋_GB2312" w:cs="仿宋_GB2312"/>
          <w:b w:val="0"/>
          <w:bCs w:val="0"/>
          <w:sz w:val="32"/>
          <w:szCs w:val="32"/>
          <w:lang w:eastAsia="zh-CN"/>
        </w:rPr>
        <w:t>可以根据需要</w:t>
      </w:r>
      <w:r>
        <w:rPr>
          <w:rFonts w:hint="eastAsia" w:ascii="仿宋_GB2312" w:hAnsi="仿宋_GB2312" w:eastAsia="仿宋_GB2312" w:cs="仿宋_GB2312"/>
          <w:b w:val="0"/>
          <w:bCs w:val="0"/>
          <w:sz w:val="32"/>
          <w:szCs w:val="32"/>
        </w:rPr>
        <w:t>依托专业机构统一建立保护种类种质资源库</w:t>
      </w:r>
      <w:r>
        <w:rPr>
          <w:rFonts w:hint="eastAsia" w:ascii="仿宋_GB2312" w:hAnsi="仿宋_GB2312" w:eastAsia="仿宋_GB2312" w:cs="仿宋_GB2312"/>
          <w:b w:val="0"/>
          <w:bCs w:val="0"/>
          <w:sz w:val="32"/>
          <w:szCs w:val="32"/>
          <w:lang w:eastAsia="zh-CN"/>
        </w:rPr>
        <w:t>，为良种繁育科学研究提供可持续利用种质资源</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采集</w:t>
      </w:r>
      <w:r>
        <w:rPr>
          <w:rFonts w:hint="eastAsia" w:ascii="仿宋_GB2312" w:hAnsi="仿宋_GB2312" w:eastAsia="仿宋_GB2312" w:cs="仿宋_GB2312"/>
          <w:b w:val="0"/>
          <w:bCs w:val="0"/>
          <w:sz w:val="32"/>
          <w:szCs w:val="32"/>
          <w:lang w:eastAsia="zh-CN"/>
        </w:rPr>
        <w:t>属于国家一、二级保护野生植物的</w:t>
      </w:r>
      <w:r>
        <w:rPr>
          <w:rFonts w:hint="eastAsia" w:ascii="仿宋_GB2312" w:hAnsi="仿宋_GB2312" w:eastAsia="仿宋_GB2312" w:cs="仿宋_GB2312"/>
          <w:b w:val="0"/>
          <w:bCs w:val="0"/>
          <w:sz w:val="32"/>
          <w:szCs w:val="32"/>
        </w:rPr>
        <w:t>岭南中药材天然种质资源，应当经</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人民政府</w:t>
      </w:r>
      <w:r>
        <w:rPr>
          <w:rFonts w:hint="eastAsia" w:ascii="仿宋_GB2312" w:hAnsi="仿宋_GB2312" w:eastAsia="仿宋_GB2312" w:cs="仿宋_GB2312"/>
          <w:b w:val="0"/>
          <w:bCs w:val="0"/>
          <w:sz w:val="32"/>
          <w:szCs w:val="32"/>
          <w:lang w:eastAsia="zh-CN"/>
        </w:rPr>
        <w:t>农业或者林业主管部门</w:t>
      </w:r>
      <w:r>
        <w:rPr>
          <w:rFonts w:hint="eastAsia" w:ascii="仿宋_GB2312" w:hAnsi="仿宋_GB2312" w:eastAsia="仿宋_GB2312" w:cs="仿宋_GB2312"/>
          <w:b w:val="0"/>
          <w:bCs w:val="0"/>
          <w:sz w:val="32"/>
          <w:szCs w:val="32"/>
        </w:rPr>
        <w:t>审核，报省人民政府农业或者林业主管部门批准。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第二十条</w:t>
      </w:r>
      <w:r>
        <w:rPr>
          <w:rFonts w:hint="eastAsia" w:ascii="仿宋_GB2312" w:hAnsi="仿宋_GB2312" w:eastAsia="仿宋_GB2312" w:cs="仿宋_GB2312"/>
          <w:b w:val="0"/>
          <w:bCs w:val="0"/>
          <w:sz w:val="32"/>
          <w:szCs w:val="32"/>
        </w:rPr>
        <w:t xml:space="preserve">  对保护种类种质资源的选育及保护工作，通过设立岭南中药材良种繁育基地进行。岭南中药材良种繁育基地应当设立保护标志</w:t>
      </w:r>
      <w:r>
        <w:rPr>
          <w:rFonts w:hint="eastAsia" w:ascii="仿宋_GB2312" w:hAnsi="仿宋_GB2312" w:eastAsia="仿宋_GB2312" w:cs="仿宋_GB2312"/>
          <w:b w:val="0"/>
          <w:bCs w:val="0"/>
          <w:sz w:val="32"/>
          <w:szCs w:val="32"/>
          <w:lang w:eastAsia="zh-CN"/>
        </w:rPr>
        <w:t>，标明繁育种类、认定单位、建设单位等，接受社会监督</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化橘红产地化州，</w:t>
      </w: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广陈皮产地新会，</w:t>
      </w: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阳春砂产地阳春，</w:t>
      </w:r>
      <w:r>
        <w:rPr>
          <w:rFonts w:hint="eastAsia" w:ascii="仿宋_GB2312" w:hAnsi="仿宋_GB2312" w:eastAsia="仿宋_GB2312" w:cs="仿宋_GB2312"/>
          <w:b w:val="0"/>
          <w:bCs w:val="0"/>
          <w:sz w:val="32"/>
          <w:szCs w:val="32"/>
          <w:lang w:eastAsia="zh-CN"/>
        </w:rPr>
        <w:t>道地</w:t>
      </w:r>
      <w:r>
        <w:rPr>
          <w:rFonts w:hint="eastAsia" w:ascii="仿宋_GB2312" w:hAnsi="仿宋_GB2312" w:eastAsia="仿宋_GB2312" w:cs="仿宋_GB2312"/>
          <w:b w:val="0"/>
          <w:bCs w:val="0"/>
          <w:sz w:val="32"/>
          <w:szCs w:val="32"/>
        </w:rPr>
        <w:t>巴戟天</w:t>
      </w:r>
      <w:r>
        <w:rPr>
          <w:rFonts w:hint="eastAsia" w:ascii="仿宋_GB2312" w:hAnsi="仿宋_GB2312" w:eastAsia="仿宋_GB2312" w:cs="仿宋_GB2312"/>
          <w:b w:val="0"/>
          <w:bCs w:val="0"/>
          <w:sz w:val="32"/>
          <w:szCs w:val="32"/>
          <w:lang w:eastAsia="zh-CN"/>
        </w:rPr>
        <w:t>产地德庆</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高要，道地</w:t>
      </w:r>
      <w:r>
        <w:rPr>
          <w:rFonts w:hint="eastAsia" w:ascii="仿宋_GB2312" w:hAnsi="仿宋_GB2312" w:eastAsia="仿宋_GB2312" w:cs="仿宋_GB2312"/>
          <w:b w:val="0"/>
          <w:bCs w:val="0"/>
          <w:sz w:val="32"/>
          <w:szCs w:val="32"/>
        </w:rPr>
        <w:t>何首乌产地</w:t>
      </w:r>
      <w:r>
        <w:rPr>
          <w:rFonts w:hint="eastAsia" w:ascii="仿宋_GB2312" w:hAnsi="仿宋_GB2312" w:eastAsia="仿宋_GB2312" w:cs="仿宋_GB2312"/>
          <w:b w:val="0"/>
          <w:bCs w:val="0"/>
          <w:sz w:val="32"/>
          <w:szCs w:val="32"/>
          <w:lang w:eastAsia="zh-CN"/>
        </w:rPr>
        <w:t>德庆等地，</w:t>
      </w:r>
      <w:r>
        <w:rPr>
          <w:rFonts w:hint="eastAsia" w:ascii="仿宋_GB2312" w:hAnsi="仿宋_GB2312" w:eastAsia="仿宋_GB2312" w:cs="仿宋_GB2312"/>
          <w:b w:val="0"/>
          <w:bCs w:val="0"/>
          <w:sz w:val="32"/>
          <w:szCs w:val="32"/>
        </w:rPr>
        <w:t>应当设立岭南中药材良种繁育基地</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广藿香</w:t>
      </w:r>
      <w:r>
        <w:rPr>
          <w:rFonts w:hint="eastAsia" w:ascii="仿宋_GB2312" w:hAnsi="仿宋_GB2312" w:eastAsia="仿宋_GB2312" w:cs="仿宋_GB2312"/>
          <w:b w:val="0"/>
          <w:bCs w:val="0"/>
          <w:sz w:val="32"/>
          <w:szCs w:val="32"/>
          <w:lang w:eastAsia="zh-CN"/>
        </w:rPr>
        <w:t>主</w:t>
      </w:r>
      <w:r>
        <w:rPr>
          <w:rFonts w:hint="eastAsia" w:ascii="仿宋_GB2312" w:hAnsi="仿宋_GB2312" w:eastAsia="仿宋_GB2312" w:cs="仿宋_GB2312"/>
          <w:b w:val="0"/>
          <w:bCs w:val="0"/>
          <w:sz w:val="32"/>
          <w:szCs w:val="32"/>
        </w:rPr>
        <w:t>产地湛江</w:t>
      </w:r>
      <w:r>
        <w:rPr>
          <w:rFonts w:hint="eastAsia" w:ascii="仿宋_GB2312" w:hAnsi="仿宋_GB2312" w:eastAsia="仿宋_GB2312" w:cs="仿宋_GB2312"/>
          <w:b w:val="0"/>
          <w:bCs w:val="0"/>
          <w:sz w:val="32"/>
          <w:szCs w:val="32"/>
          <w:lang w:eastAsia="zh-CN"/>
        </w:rPr>
        <w:t>、肇庆</w:t>
      </w:r>
      <w:r>
        <w:rPr>
          <w:rFonts w:hint="eastAsia" w:ascii="仿宋_GB2312" w:hAnsi="仿宋_GB2312" w:eastAsia="仿宋_GB2312" w:cs="仿宋_GB2312"/>
          <w:b w:val="0"/>
          <w:bCs w:val="0"/>
          <w:sz w:val="32"/>
          <w:szCs w:val="32"/>
        </w:rPr>
        <w:t>，广佛手</w:t>
      </w:r>
      <w:r>
        <w:rPr>
          <w:rFonts w:hint="eastAsia" w:ascii="仿宋_GB2312" w:hAnsi="仿宋_GB2312" w:eastAsia="仿宋_GB2312" w:cs="仿宋_GB2312"/>
          <w:b w:val="0"/>
          <w:bCs w:val="0"/>
          <w:sz w:val="32"/>
          <w:szCs w:val="32"/>
          <w:lang w:eastAsia="zh-CN"/>
        </w:rPr>
        <w:t>主产地肇庆，</w:t>
      </w:r>
      <w:r>
        <w:rPr>
          <w:rFonts w:hint="eastAsia" w:ascii="仿宋_GB2312" w:hAnsi="仿宋_GB2312" w:eastAsia="仿宋_GB2312" w:cs="仿宋_GB2312"/>
          <w:b w:val="0"/>
          <w:bCs w:val="0"/>
          <w:sz w:val="32"/>
          <w:szCs w:val="32"/>
        </w:rPr>
        <w:t>沉香</w:t>
      </w:r>
      <w:r>
        <w:rPr>
          <w:rFonts w:hint="eastAsia" w:ascii="仿宋_GB2312" w:hAnsi="仿宋_GB2312" w:eastAsia="仿宋_GB2312" w:cs="仿宋_GB2312"/>
          <w:b w:val="0"/>
          <w:bCs w:val="0"/>
          <w:sz w:val="32"/>
          <w:szCs w:val="32"/>
          <w:lang w:eastAsia="zh-CN"/>
        </w:rPr>
        <w:t>主</w:t>
      </w:r>
      <w:r>
        <w:rPr>
          <w:rFonts w:hint="eastAsia" w:ascii="仿宋_GB2312" w:hAnsi="仿宋_GB2312" w:eastAsia="仿宋_GB2312" w:cs="仿宋_GB2312"/>
          <w:b w:val="0"/>
          <w:bCs w:val="0"/>
          <w:sz w:val="32"/>
          <w:szCs w:val="32"/>
        </w:rPr>
        <w:t>产地东莞、中山、</w:t>
      </w:r>
      <w:r>
        <w:rPr>
          <w:rFonts w:hint="eastAsia" w:ascii="仿宋_GB2312" w:hAnsi="仿宋_GB2312" w:eastAsia="仿宋_GB2312" w:cs="仿宋_GB2312"/>
          <w:b w:val="0"/>
          <w:bCs w:val="0"/>
          <w:sz w:val="32"/>
          <w:szCs w:val="32"/>
          <w:lang w:eastAsia="zh-CN"/>
        </w:rPr>
        <w:t>茂名、惠州、揭阳</w:t>
      </w:r>
      <w:r>
        <w:rPr>
          <w:rFonts w:hint="eastAsia" w:ascii="仿宋_GB2312" w:hAnsi="仿宋_GB2312" w:eastAsia="仿宋_GB2312" w:cs="仿宋_GB2312"/>
          <w:b w:val="0"/>
          <w:bCs w:val="0"/>
          <w:sz w:val="32"/>
          <w:szCs w:val="32"/>
        </w:rPr>
        <w:t>等地，优先设立岭南中药材良种繁育基地。</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设立岭南中药材良种繁育基地，应当符合以下条件：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（一）</w:t>
      </w:r>
      <w:r>
        <w:rPr>
          <w:rFonts w:hint="eastAsia" w:ascii="仿宋_GB2312" w:hAnsi="仿宋_GB2312" w:eastAsia="仿宋_GB2312" w:cs="仿宋_GB2312"/>
          <w:b w:val="0"/>
          <w:bCs w:val="0"/>
          <w:sz w:val="32"/>
          <w:szCs w:val="32"/>
        </w:rPr>
        <w:t>具备生产保护种类良种隔离、栽培</w:t>
      </w:r>
      <w:r>
        <w:rPr>
          <w:rFonts w:hint="eastAsia" w:ascii="仿宋_GB2312" w:hAnsi="仿宋_GB2312" w:eastAsia="仿宋_GB2312" w:cs="仿宋_GB2312"/>
          <w:b w:val="0"/>
          <w:bCs w:val="0"/>
          <w:sz w:val="32"/>
          <w:szCs w:val="32"/>
          <w:lang w:eastAsia="zh-CN"/>
        </w:rPr>
        <w:t>条件和保存良种的</w:t>
      </w:r>
      <w:r>
        <w:rPr>
          <w:rFonts w:hint="eastAsia" w:ascii="仿宋_GB2312" w:hAnsi="仿宋_GB2312" w:eastAsia="仿宋_GB2312" w:cs="仿宋_GB2312"/>
          <w:b w:val="0"/>
          <w:bCs w:val="0"/>
          <w:sz w:val="32"/>
          <w:szCs w:val="32"/>
        </w:rPr>
        <w:t>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rPr>
        <w:t>配备专业技术人员和必要的检测设备；</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（三）</w:t>
      </w:r>
      <w:r>
        <w:rPr>
          <w:rFonts w:hint="eastAsia" w:ascii="仿宋_GB2312" w:hAnsi="仿宋_GB2312" w:eastAsia="仿宋_GB2312" w:cs="仿宋_GB2312"/>
          <w:b w:val="0"/>
          <w:bCs w:val="0"/>
          <w:sz w:val="32"/>
          <w:szCs w:val="32"/>
          <w:lang w:eastAsia="zh-CN"/>
        </w:rPr>
        <w:t>繁育种源来源清楚、具备道地特征，</w:t>
      </w:r>
      <w:r>
        <w:rPr>
          <w:rFonts w:hint="eastAsia" w:ascii="仿宋_GB2312" w:hAnsi="仿宋_GB2312" w:eastAsia="仿宋_GB2312" w:cs="仿宋_GB2312"/>
          <w:b w:val="0"/>
          <w:bCs w:val="0"/>
          <w:sz w:val="32"/>
          <w:szCs w:val="32"/>
        </w:rPr>
        <w:t>具有相关保护种类的采种林或者母种田；</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（四）</w:t>
      </w:r>
      <w:r>
        <w:rPr>
          <w:rFonts w:hint="eastAsia" w:ascii="仿宋_GB2312" w:hAnsi="仿宋_GB2312" w:eastAsia="仿宋_GB2312" w:cs="仿宋_GB2312"/>
          <w:b w:val="0"/>
          <w:bCs w:val="0"/>
          <w:sz w:val="32"/>
          <w:szCs w:val="32"/>
        </w:rPr>
        <w:t>具备一定的种子种苗产出能力。</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岭南中药材良种繁育基地的设立由生产者、经营者提出申请，经</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人民政府农业或者林业</w:t>
      </w:r>
      <w:r>
        <w:rPr>
          <w:rFonts w:hint="eastAsia" w:ascii="仿宋_GB2312" w:hAnsi="仿宋_GB2312" w:eastAsia="仿宋_GB2312" w:cs="仿宋_GB2312"/>
          <w:b w:val="0"/>
          <w:bCs w:val="0"/>
          <w:sz w:val="32"/>
          <w:szCs w:val="32"/>
          <w:lang w:eastAsia="zh-CN"/>
        </w:rPr>
        <w:t>以及城乡规划</w:t>
      </w:r>
      <w:r>
        <w:rPr>
          <w:rFonts w:hint="eastAsia" w:ascii="仿宋_GB2312" w:hAnsi="仿宋_GB2312" w:eastAsia="仿宋_GB2312" w:cs="仿宋_GB2312"/>
          <w:b w:val="0"/>
          <w:bCs w:val="0"/>
          <w:sz w:val="32"/>
          <w:szCs w:val="32"/>
        </w:rPr>
        <w:t>主管部门审查、本级人民政府批准后向社会公布，并报省人民政府</w:t>
      </w:r>
      <w:r>
        <w:rPr>
          <w:rFonts w:hint="eastAsia" w:ascii="仿宋_GB2312" w:hAnsi="仿宋_GB2312" w:eastAsia="仿宋_GB2312" w:cs="仿宋_GB2312"/>
          <w:b w:val="0"/>
          <w:bCs w:val="0"/>
          <w:sz w:val="32"/>
          <w:szCs w:val="32"/>
          <w:lang w:eastAsia="zh-CN"/>
        </w:rPr>
        <w:t>中医药主管部门</w:t>
      </w:r>
      <w:r>
        <w:rPr>
          <w:rFonts w:hint="eastAsia" w:ascii="仿宋_GB2312" w:hAnsi="仿宋_GB2312" w:eastAsia="仿宋_GB2312" w:cs="仿宋_GB2312"/>
          <w:b w:val="0"/>
          <w:bCs w:val="0"/>
          <w:sz w:val="32"/>
          <w:szCs w:val="32"/>
        </w:rPr>
        <w:t>备案。</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第二十一条</w:t>
      </w:r>
      <w:r>
        <w:rPr>
          <w:rFonts w:hint="eastAsia" w:ascii="仿宋_GB2312" w:hAnsi="仿宋_GB2312" w:eastAsia="仿宋_GB2312" w:cs="仿宋_GB2312"/>
          <w:b w:val="0"/>
          <w:bCs w:val="0"/>
          <w:sz w:val="32"/>
          <w:szCs w:val="32"/>
        </w:rPr>
        <w:t xml:space="preserve">  岭南中药材良种繁育基地的建设和保护，应当执行优质岭南中药材生产基地建设和保护的相关规定，并施行更为严格的环境保护措施。</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不再作为岭南中药材良种繁育基地的，应当报省人民政府批准。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rPr>
        <w:t>第二十二条</w:t>
      </w:r>
      <w:r>
        <w:rPr>
          <w:rFonts w:hint="eastAsia" w:ascii="仿宋_GB2312" w:hAnsi="仿宋_GB2312" w:eastAsia="仿宋_GB2312" w:cs="仿宋_GB2312"/>
          <w:b w:val="0"/>
          <w:bCs w:val="0"/>
          <w:sz w:val="32"/>
          <w:szCs w:val="32"/>
        </w:rPr>
        <w:t xml:space="preserve">  岭南中药材良种繁育基地</w:t>
      </w:r>
      <w:r>
        <w:rPr>
          <w:rFonts w:hint="eastAsia" w:ascii="仿宋_GB2312" w:hAnsi="仿宋_GB2312" w:eastAsia="仿宋_GB2312" w:cs="仿宋_GB2312"/>
          <w:b w:val="0"/>
          <w:bCs w:val="0"/>
          <w:sz w:val="32"/>
          <w:szCs w:val="32"/>
          <w:lang w:eastAsia="zh-CN"/>
        </w:rPr>
        <w:t>生产的种子种苗，在同等条件下应当优先供应优质岭南中药材生产基地。</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禁止私自采集或者采伐岭南中药材良种繁育基地种质资源。</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第二十三条</w:t>
      </w:r>
      <w:r>
        <w:rPr>
          <w:rFonts w:hint="eastAsia" w:ascii="仿宋_GB2312" w:hAnsi="仿宋_GB2312" w:eastAsia="仿宋_GB2312" w:cs="仿宋_GB2312"/>
          <w:b w:val="0"/>
          <w:bCs w:val="0"/>
          <w:sz w:val="32"/>
          <w:szCs w:val="32"/>
        </w:rPr>
        <w:t xml:space="preserve">  岭南中药材良种繁育基地应当制定和执行种子种苗生产技术规程，建立</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质量保证制度，对本基地种子种苗生产、初加工等各环节进行质量控制。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第二十四条</w:t>
      </w:r>
      <w:r>
        <w:rPr>
          <w:rFonts w:hint="eastAsia" w:ascii="仿宋_GB2312" w:hAnsi="仿宋_GB2312" w:eastAsia="仿宋_GB2312" w:cs="仿宋_GB2312"/>
          <w:b w:val="0"/>
          <w:bCs w:val="0"/>
          <w:sz w:val="32"/>
          <w:szCs w:val="32"/>
        </w:rPr>
        <w:t xml:space="preserve">  岭南中药材种子种苗生产实施传统与现代繁育技术相结合，以保持岭南中药材遗传特性的稳定。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在保持道地种性前提下，鼓励利用现代科学技术进行保护种类的种质资源创新、品种复壮、品种改良等培育活动。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rPr>
        <w:t>第二十五条</w:t>
      </w:r>
      <w:r>
        <w:rPr>
          <w:rFonts w:hint="eastAsia" w:ascii="仿宋_GB2312" w:hAnsi="仿宋_GB2312" w:eastAsia="仿宋_GB2312" w:cs="仿宋_GB2312"/>
          <w:b w:val="0"/>
          <w:bCs w:val="0"/>
          <w:sz w:val="32"/>
          <w:szCs w:val="32"/>
        </w:rPr>
        <w:t xml:space="preserve">  种子种苗生产应当执行种子种苗检验、检疫规程。</w:t>
      </w:r>
      <w:r>
        <w:rPr>
          <w:rFonts w:hint="eastAsia" w:ascii="仿宋_GB2312" w:hAnsi="仿宋_GB2312" w:eastAsia="仿宋_GB2312" w:cs="仿宋_GB2312"/>
          <w:b w:val="0"/>
          <w:bCs w:val="0"/>
          <w:sz w:val="32"/>
          <w:szCs w:val="32"/>
          <w:lang w:eastAsia="zh-CN"/>
        </w:rPr>
        <w:t>经农业或者林业主管部门委托的机构检验、检疫，</w:t>
      </w:r>
      <w:r>
        <w:rPr>
          <w:rFonts w:hint="eastAsia" w:ascii="仿宋_GB2312" w:hAnsi="仿宋_GB2312" w:eastAsia="仿宋_GB2312" w:cs="仿宋_GB2312"/>
          <w:b w:val="0"/>
          <w:bCs w:val="0"/>
          <w:sz w:val="32"/>
          <w:szCs w:val="32"/>
        </w:rPr>
        <w:t>不符合标准的，</w:t>
      </w:r>
      <w:r>
        <w:rPr>
          <w:rFonts w:hint="eastAsia" w:ascii="仿宋_GB2312" w:hAnsi="仿宋_GB2312" w:eastAsia="仿宋_GB2312" w:cs="仿宋_GB2312"/>
          <w:b w:val="0"/>
          <w:bCs w:val="0"/>
          <w:sz w:val="32"/>
          <w:szCs w:val="32"/>
          <w:lang w:eastAsia="zh-CN"/>
        </w:rPr>
        <w:t>不得作为种子种苗使用。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禁止假冒岭南中药材良种繁育基地种子种苗产品</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第二十六条</w:t>
      </w:r>
      <w:r>
        <w:rPr>
          <w:rFonts w:hint="eastAsia" w:ascii="仿宋_GB2312" w:hAnsi="仿宋_GB2312" w:eastAsia="仿宋_GB2312" w:cs="仿宋_GB2312"/>
          <w:b w:val="0"/>
          <w:bCs w:val="0"/>
          <w:sz w:val="32"/>
          <w:szCs w:val="32"/>
        </w:rPr>
        <w:t xml:space="preserve">  任何单位和个人向境外提供岭南中药材种质资源，或者与境外机构、个人开展合作研究利用岭南中药材种质资源的，应当向省人民政府农业或者林业主管部门提出申请，并提交国家共享惠益的方案，由受理申请的部门依法办理。</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第四章  产地保护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第二十七条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对</w:t>
      </w:r>
      <w:r>
        <w:rPr>
          <w:rFonts w:hint="eastAsia" w:ascii="仿宋_GB2312" w:hAnsi="仿宋_GB2312" w:eastAsia="仿宋_GB2312" w:cs="仿宋_GB2312"/>
          <w:b w:val="0"/>
          <w:bCs w:val="0"/>
          <w:sz w:val="32"/>
          <w:szCs w:val="32"/>
        </w:rPr>
        <w:t>保护种类产地</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保护</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通过设立优质岭南中药材生产基地进行。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设立优质岭南中药材生产基地，应当</w:t>
      </w:r>
      <w:r>
        <w:rPr>
          <w:rFonts w:hint="eastAsia" w:ascii="仿宋_GB2312" w:hAnsi="仿宋_GB2312" w:eastAsia="仿宋_GB2312" w:cs="仿宋_GB2312"/>
          <w:b w:val="0"/>
          <w:bCs w:val="0"/>
          <w:sz w:val="32"/>
          <w:szCs w:val="32"/>
          <w:lang w:eastAsia="zh-CN"/>
        </w:rPr>
        <w:t>因地制宜、合理布局，并</w:t>
      </w:r>
      <w:r>
        <w:rPr>
          <w:rFonts w:hint="eastAsia" w:ascii="仿宋_GB2312" w:hAnsi="仿宋_GB2312" w:eastAsia="仿宋_GB2312" w:cs="仿宋_GB2312"/>
          <w:b w:val="0"/>
          <w:bCs w:val="0"/>
          <w:sz w:val="32"/>
          <w:szCs w:val="32"/>
        </w:rPr>
        <w:t>符合以下条件：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（一）具有适宜种植岭南中药材的地理、土壤、气候等自然条件；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（二）已经形成科学的种植方法、良好的质量控制方法，具有一定的资源、技术和效益等优势；</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w:t>
      </w:r>
      <w:r>
        <w:rPr>
          <w:rFonts w:hint="eastAsia" w:ascii="仿宋_GB2312" w:hAnsi="仿宋_GB2312" w:eastAsia="仿宋_GB2312" w:cs="仿宋_GB2312"/>
          <w:b w:val="0"/>
          <w:bCs w:val="0"/>
          <w:sz w:val="32"/>
          <w:szCs w:val="32"/>
          <w:lang w:eastAsia="zh-CN"/>
        </w:rPr>
        <w:t>属于</w:t>
      </w:r>
      <w:r>
        <w:rPr>
          <w:rFonts w:hint="eastAsia" w:ascii="仿宋_GB2312" w:hAnsi="仿宋_GB2312" w:eastAsia="仿宋_GB2312" w:cs="仿宋_GB2312"/>
          <w:b w:val="0"/>
          <w:bCs w:val="0"/>
          <w:sz w:val="32"/>
          <w:szCs w:val="32"/>
        </w:rPr>
        <w:t>生产道地、珍贵、濒危、渐危岭南中药材的特定地区，或者已经形成种植规模、在中药材市场占有较高份额的</w:t>
      </w:r>
      <w:r>
        <w:rPr>
          <w:rFonts w:hint="eastAsia" w:ascii="仿宋_GB2312" w:hAnsi="仿宋_GB2312" w:eastAsia="仿宋_GB2312" w:cs="仿宋_GB2312"/>
          <w:b w:val="0"/>
          <w:bCs w:val="0"/>
          <w:sz w:val="32"/>
          <w:szCs w:val="32"/>
          <w:lang w:eastAsia="zh-CN"/>
        </w:rPr>
        <w:t>岭南中药材</w:t>
      </w:r>
      <w:r>
        <w:rPr>
          <w:rFonts w:hint="eastAsia" w:ascii="仿宋_GB2312" w:hAnsi="仿宋_GB2312" w:eastAsia="仿宋_GB2312" w:cs="仿宋_GB2312"/>
          <w:b w:val="0"/>
          <w:bCs w:val="0"/>
          <w:sz w:val="32"/>
          <w:szCs w:val="32"/>
        </w:rPr>
        <w:t>主产地区</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（四）生产的岭南中药材应当以药用为主或者优先作为药用。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优质岭南中药材生产基地的设立程序</w:t>
      </w:r>
      <w:r>
        <w:rPr>
          <w:rFonts w:hint="eastAsia" w:ascii="仿宋_GB2312" w:hAnsi="仿宋_GB2312" w:eastAsia="仿宋_GB2312" w:cs="仿宋_GB2312"/>
          <w:b w:val="0"/>
          <w:bCs w:val="0"/>
          <w:sz w:val="32"/>
          <w:szCs w:val="32"/>
          <w:lang w:eastAsia="zh-CN"/>
        </w:rPr>
        <w:t>以及保护标志的设立</w:t>
      </w:r>
      <w:r>
        <w:rPr>
          <w:rFonts w:hint="eastAsia" w:ascii="仿宋_GB2312" w:hAnsi="仿宋_GB2312" w:eastAsia="仿宋_GB2312" w:cs="仿宋_GB2312"/>
          <w:b w:val="0"/>
          <w:bCs w:val="0"/>
          <w:sz w:val="32"/>
          <w:szCs w:val="32"/>
        </w:rPr>
        <w:t>，比照岭南中药材良种繁育基地执行。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rPr>
        <w:t>第二十</w:t>
      </w:r>
      <w:r>
        <w:rPr>
          <w:rFonts w:hint="eastAsia" w:ascii="黑体" w:hAnsi="黑体" w:eastAsia="黑体" w:cs="黑体"/>
          <w:b w:val="0"/>
          <w:bCs w:val="0"/>
          <w:sz w:val="32"/>
          <w:szCs w:val="32"/>
          <w:lang w:eastAsia="zh-CN"/>
        </w:rPr>
        <w:t>八</w:t>
      </w:r>
      <w:r>
        <w:rPr>
          <w:rFonts w:hint="eastAsia" w:ascii="黑体" w:hAnsi="黑体" w:eastAsia="黑体" w:cs="黑体"/>
          <w:b w:val="0"/>
          <w:bCs w:val="0"/>
          <w:sz w:val="32"/>
          <w:szCs w:val="32"/>
        </w:rPr>
        <w:t xml:space="preserve">条  </w:t>
      </w:r>
      <w:r>
        <w:rPr>
          <w:rFonts w:hint="eastAsia" w:ascii="仿宋_GB2312" w:hAnsi="仿宋_GB2312" w:eastAsia="仿宋_GB2312" w:cs="仿宋_GB2312"/>
          <w:b w:val="0"/>
          <w:bCs w:val="0"/>
          <w:sz w:val="32"/>
          <w:szCs w:val="32"/>
          <w:lang w:eastAsia="zh-CN"/>
        </w:rPr>
        <w:t>优质岭南中药材生产基地设立后的建设，由地级以上市、县级人民政府依照省岭南中药材保护规划和本级岭南中药材保护计划实施</w:t>
      </w:r>
      <w:r>
        <w:rPr>
          <w:rFonts w:hint="eastAsia" w:ascii="仿宋_GB2312" w:hAnsi="仿宋_GB2312" w:eastAsia="仿宋_GB2312" w:cs="仿宋_GB2312"/>
          <w:b w:val="0"/>
          <w:bCs w:val="0"/>
          <w:sz w:val="32"/>
          <w:szCs w:val="32"/>
        </w:rPr>
        <w:t>。建设优质岭南中药材</w:t>
      </w:r>
      <w:r>
        <w:rPr>
          <w:rFonts w:hint="eastAsia" w:ascii="仿宋_GB2312" w:hAnsi="仿宋_GB2312" w:eastAsia="仿宋_GB2312" w:cs="仿宋_GB2312"/>
          <w:b w:val="0"/>
          <w:bCs w:val="0"/>
          <w:sz w:val="32"/>
          <w:szCs w:val="32"/>
          <w:lang w:eastAsia="zh-CN"/>
        </w:rPr>
        <w:t>生产基地应当按照</w:t>
      </w:r>
      <w:r>
        <w:rPr>
          <w:rFonts w:hint="eastAsia" w:ascii="仿宋_GB2312" w:hAnsi="仿宋_GB2312" w:eastAsia="仿宋_GB2312" w:cs="仿宋_GB2312"/>
          <w:b w:val="0"/>
          <w:bCs w:val="0"/>
          <w:sz w:val="32"/>
          <w:szCs w:val="32"/>
        </w:rPr>
        <w:t>规范化、规模化、产业化的</w:t>
      </w:r>
      <w:r>
        <w:rPr>
          <w:rFonts w:hint="eastAsia" w:ascii="仿宋_GB2312" w:hAnsi="仿宋_GB2312" w:eastAsia="仿宋_GB2312" w:cs="仿宋_GB2312"/>
          <w:b w:val="0"/>
          <w:bCs w:val="0"/>
          <w:sz w:val="32"/>
          <w:szCs w:val="32"/>
          <w:lang w:eastAsia="zh-CN"/>
        </w:rPr>
        <w:t>要求进行</w:t>
      </w:r>
      <w:r>
        <w:rPr>
          <w:rFonts w:hint="eastAsia" w:ascii="仿宋_GB2312" w:hAnsi="仿宋_GB2312" w:eastAsia="仿宋_GB2312" w:cs="仿宋_GB2312"/>
          <w:b w:val="0"/>
          <w:bCs w:val="0"/>
          <w:sz w:val="32"/>
          <w:szCs w:val="32"/>
        </w:rPr>
        <w:t>，在生产基地培育符合国家中药材生产质量管理规范的岭南中药材产地初加工企业。</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第二十九条</w:t>
      </w:r>
      <w:r>
        <w:rPr>
          <w:rFonts w:hint="eastAsia" w:ascii="仿宋_GB2312" w:hAnsi="仿宋_GB2312" w:eastAsia="仿宋_GB2312" w:cs="仿宋_GB2312"/>
          <w:b w:val="0"/>
          <w:bCs w:val="0"/>
          <w:sz w:val="32"/>
          <w:szCs w:val="32"/>
        </w:rPr>
        <w:t xml:space="preserve">  岭南中药材生产者应当合理安排岭南中药材生产，不得影响岭南中药材生产的生态环境，对岭南中药材产地造成</w:t>
      </w:r>
      <w:r>
        <w:rPr>
          <w:rFonts w:hint="eastAsia" w:ascii="仿宋_GB2312" w:hAnsi="仿宋_GB2312" w:eastAsia="仿宋_GB2312" w:cs="仿宋_GB2312"/>
          <w:b w:val="0"/>
          <w:bCs w:val="0"/>
          <w:sz w:val="32"/>
          <w:szCs w:val="32"/>
          <w:lang w:eastAsia="zh-CN"/>
        </w:rPr>
        <w:t>破坏</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除</w:t>
      </w:r>
      <w:r>
        <w:rPr>
          <w:rFonts w:hint="eastAsia" w:ascii="仿宋_GB2312" w:hAnsi="仿宋_GB2312" w:eastAsia="仿宋_GB2312" w:cs="仿宋_GB2312"/>
          <w:b w:val="0"/>
          <w:bCs w:val="0"/>
          <w:sz w:val="32"/>
          <w:szCs w:val="32"/>
        </w:rPr>
        <w:t>法律法规另有规定外</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优质岭南中药材生产基地及周边</w:t>
      </w:r>
      <w:r>
        <w:rPr>
          <w:rFonts w:hint="eastAsia" w:ascii="仿宋_GB2312" w:hAnsi="仿宋_GB2312" w:eastAsia="仿宋_GB2312" w:cs="仿宋_GB2312"/>
          <w:b w:val="0"/>
          <w:bCs w:val="0"/>
          <w:sz w:val="32"/>
          <w:szCs w:val="32"/>
          <w:lang w:eastAsia="zh-CN"/>
        </w:rPr>
        <w:t>保护距离内</w:t>
      </w:r>
      <w:r>
        <w:rPr>
          <w:rFonts w:hint="eastAsia" w:ascii="仿宋_GB2312" w:hAnsi="仿宋_GB2312" w:eastAsia="仿宋_GB2312" w:cs="仿宋_GB2312"/>
          <w:b w:val="0"/>
          <w:bCs w:val="0"/>
          <w:sz w:val="32"/>
          <w:szCs w:val="32"/>
        </w:rPr>
        <w:t>不得新建、改建、扩建影响岭南中药材生产</w:t>
      </w:r>
      <w:r>
        <w:rPr>
          <w:rFonts w:hint="eastAsia" w:ascii="仿宋_GB2312" w:hAnsi="仿宋_GB2312" w:eastAsia="仿宋_GB2312" w:cs="仿宋_GB2312"/>
          <w:b w:val="0"/>
          <w:bCs w:val="0"/>
          <w:sz w:val="32"/>
          <w:szCs w:val="32"/>
          <w:lang w:eastAsia="zh-CN"/>
        </w:rPr>
        <w:t>环境</w:t>
      </w:r>
      <w:r>
        <w:rPr>
          <w:rFonts w:hint="eastAsia" w:ascii="仿宋_GB2312" w:hAnsi="仿宋_GB2312" w:eastAsia="仿宋_GB2312" w:cs="仿宋_GB2312"/>
          <w:b w:val="0"/>
          <w:bCs w:val="0"/>
          <w:sz w:val="32"/>
          <w:szCs w:val="32"/>
        </w:rPr>
        <w:t>的建设项目。</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经批准建设的项目，施工时应当采取防护措施，控制扬尘、废气、废水、固体废物等</w:t>
      </w:r>
      <w:r>
        <w:rPr>
          <w:rFonts w:hint="eastAsia" w:ascii="仿宋_GB2312" w:hAnsi="仿宋_GB2312" w:eastAsia="仿宋_GB2312" w:cs="仿宋_GB2312"/>
          <w:b w:val="0"/>
          <w:bCs w:val="0"/>
          <w:sz w:val="32"/>
          <w:szCs w:val="32"/>
          <w:lang w:eastAsia="zh-CN"/>
        </w:rPr>
        <w:t>对岭南中药材生产环境的</w:t>
      </w:r>
      <w:r>
        <w:rPr>
          <w:rFonts w:hint="eastAsia" w:ascii="仿宋_GB2312" w:hAnsi="仿宋_GB2312" w:eastAsia="仿宋_GB2312" w:cs="仿宋_GB2312"/>
          <w:b w:val="0"/>
          <w:bCs w:val="0"/>
          <w:sz w:val="32"/>
          <w:szCs w:val="32"/>
        </w:rPr>
        <w:t>污染。</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优质岭南中药材生产基地周边</w:t>
      </w:r>
      <w:r>
        <w:rPr>
          <w:rFonts w:hint="eastAsia" w:ascii="仿宋_GB2312" w:hAnsi="仿宋_GB2312" w:eastAsia="仿宋_GB2312" w:cs="仿宋_GB2312"/>
          <w:b w:val="0"/>
          <w:bCs w:val="0"/>
          <w:sz w:val="32"/>
          <w:szCs w:val="32"/>
          <w:lang w:eastAsia="zh-CN"/>
        </w:rPr>
        <w:t>保护</w:t>
      </w:r>
      <w:r>
        <w:rPr>
          <w:rFonts w:hint="eastAsia" w:ascii="仿宋_GB2312" w:hAnsi="仿宋_GB2312" w:eastAsia="仿宋_GB2312" w:cs="仿宋_GB2312"/>
          <w:b w:val="0"/>
          <w:bCs w:val="0"/>
          <w:sz w:val="32"/>
          <w:szCs w:val="32"/>
        </w:rPr>
        <w:t>距离由</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人民政府农业或者林业主管部门</w:t>
      </w:r>
      <w:r>
        <w:rPr>
          <w:rFonts w:hint="eastAsia" w:ascii="仿宋_GB2312" w:hAnsi="仿宋_GB2312" w:eastAsia="仿宋_GB2312" w:cs="仿宋_GB2312"/>
          <w:b w:val="0"/>
          <w:bCs w:val="0"/>
          <w:sz w:val="32"/>
          <w:szCs w:val="32"/>
          <w:lang w:eastAsia="zh-CN"/>
        </w:rPr>
        <w:t>会同有关部门</w:t>
      </w:r>
      <w:r>
        <w:rPr>
          <w:rFonts w:hint="eastAsia" w:ascii="仿宋_GB2312" w:hAnsi="仿宋_GB2312" w:eastAsia="仿宋_GB2312" w:cs="仿宋_GB2312"/>
          <w:b w:val="0"/>
          <w:bCs w:val="0"/>
          <w:sz w:val="32"/>
          <w:szCs w:val="32"/>
        </w:rPr>
        <w:t>确定</w:t>
      </w:r>
      <w:r>
        <w:rPr>
          <w:rFonts w:hint="eastAsia" w:ascii="仿宋_GB2312" w:hAnsi="仿宋_GB2312" w:eastAsia="仿宋_GB2312" w:cs="仿宋_GB2312"/>
          <w:b w:val="0"/>
          <w:bCs w:val="0"/>
          <w:sz w:val="32"/>
          <w:szCs w:val="32"/>
          <w:lang w:eastAsia="zh-CN"/>
        </w:rPr>
        <w:t>并公布</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第三十一条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省人民政府中医药主管部门应当会同农业或者林业主管部门定期组织对</w:t>
      </w:r>
      <w:r>
        <w:rPr>
          <w:rFonts w:hint="eastAsia" w:ascii="仿宋_GB2312" w:hAnsi="仿宋_GB2312" w:eastAsia="仿宋_GB2312" w:cs="仿宋_GB2312"/>
          <w:b w:val="0"/>
          <w:bCs w:val="0"/>
          <w:sz w:val="32"/>
          <w:szCs w:val="32"/>
        </w:rPr>
        <w:t>优质岭南中药材生产基地</w:t>
      </w:r>
      <w:r>
        <w:rPr>
          <w:rFonts w:hint="eastAsia" w:ascii="仿宋_GB2312" w:hAnsi="仿宋_GB2312" w:eastAsia="仿宋_GB2312" w:cs="仿宋_GB2312"/>
          <w:b w:val="0"/>
          <w:bCs w:val="0"/>
          <w:sz w:val="32"/>
          <w:szCs w:val="32"/>
          <w:lang w:eastAsia="zh-CN"/>
        </w:rPr>
        <w:t>进行检查评审，对</w:t>
      </w:r>
      <w:r>
        <w:rPr>
          <w:rFonts w:hint="eastAsia" w:ascii="仿宋_GB2312" w:hAnsi="仿宋_GB2312" w:eastAsia="仿宋_GB2312" w:cs="仿宋_GB2312"/>
          <w:b w:val="0"/>
          <w:bCs w:val="0"/>
          <w:sz w:val="32"/>
          <w:szCs w:val="32"/>
        </w:rPr>
        <w:t>不再符合设立条件，影响岭南中药材生产质量的，</w:t>
      </w:r>
      <w:r>
        <w:rPr>
          <w:rFonts w:hint="eastAsia" w:ascii="仿宋_GB2312" w:hAnsi="仿宋_GB2312" w:eastAsia="仿宋_GB2312" w:cs="仿宋_GB2312"/>
          <w:b w:val="0"/>
          <w:bCs w:val="0"/>
          <w:sz w:val="32"/>
          <w:szCs w:val="32"/>
          <w:lang w:eastAsia="zh-CN"/>
        </w:rPr>
        <w:t>经评审确认后，告知所在地地级以上市人民政府，由其决定不再作为优质岭南中药材生产基地</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检查评审可以依托科研机构、高等院校以及有关专家委员会进行。</w:t>
      </w:r>
      <w:r>
        <w:rPr>
          <w:rFonts w:hint="eastAsia" w:ascii="仿宋_GB2312" w:hAnsi="仿宋_GB2312" w:eastAsia="仿宋_GB2312" w:cs="仿宋_GB2312"/>
          <w:b w:val="0"/>
          <w:bCs w:val="0"/>
          <w:sz w:val="32"/>
          <w:szCs w:val="32"/>
        </w:rPr>
        <w:t>需要对基地土壤、</w:t>
      </w:r>
      <w:r>
        <w:rPr>
          <w:rFonts w:hint="eastAsia" w:ascii="仿宋_GB2312" w:hAnsi="仿宋_GB2312" w:eastAsia="仿宋_GB2312" w:cs="仿宋_GB2312"/>
          <w:b w:val="0"/>
          <w:bCs w:val="0"/>
          <w:sz w:val="32"/>
          <w:szCs w:val="32"/>
          <w:lang w:eastAsia="zh-CN"/>
        </w:rPr>
        <w:t>水源、</w:t>
      </w:r>
      <w:r>
        <w:rPr>
          <w:rFonts w:hint="eastAsia" w:ascii="仿宋_GB2312" w:hAnsi="仿宋_GB2312" w:eastAsia="仿宋_GB2312" w:cs="仿宋_GB2312"/>
          <w:b w:val="0"/>
          <w:bCs w:val="0"/>
          <w:sz w:val="32"/>
          <w:szCs w:val="32"/>
        </w:rPr>
        <w:t>空气质量进行检测的，可以委托具有资质的第三方检测。</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第五章  种植保护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第三十二条</w:t>
      </w:r>
      <w:r>
        <w:rPr>
          <w:rFonts w:hint="eastAsia" w:ascii="仿宋_GB2312" w:hAnsi="仿宋_GB2312" w:eastAsia="仿宋_GB2312" w:cs="仿宋_GB2312"/>
          <w:b w:val="0"/>
          <w:bCs w:val="0"/>
          <w:sz w:val="32"/>
          <w:szCs w:val="32"/>
        </w:rPr>
        <w:t xml:space="preserve">  在优质岭南中药材生产基地种植保护种类</w:t>
      </w:r>
      <w:r>
        <w:rPr>
          <w:rFonts w:hint="eastAsia" w:ascii="仿宋_GB2312" w:hAnsi="仿宋_GB2312" w:eastAsia="仿宋_GB2312" w:cs="仿宋_GB2312"/>
          <w:b w:val="0"/>
          <w:bCs w:val="0"/>
          <w:sz w:val="32"/>
          <w:szCs w:val="32"/>
          <w:lang w:eastAsia="zh-CN"/>
        </w:rPr>
        <w:t>中药材</w:t>
      </w:r>
      <w:r>
        <w:rPr>
          <w:rFonts w:hint="eastAsia" w:ascii="仿宋_GB2312" w:hAnsi="仿宋_GB2312" w:eastAsia="仿宋_GB2312" w:cs="仿宋_GB2312"/>
          <w:b w:val="0"/>
          <w:bCs w:val="0"/>
          <w:sz w:val="32"/>
          <w:szCs w:val="32"/>
        </w:rPr>
        <w:t>，应当优先选用岭南中药材良种繁育基地生产的种子</w:t>
      </w:r>
      <w:r>
        <w:rPr>
          <w:rFonts w:hint="eastAsia" w:ascii="仿宋_GB2312" w:hAnsi="仿宋_GB2312" w:eastAsia="仿宋_GB2312" w:cs="仿宋_GB2312"/>
          <w:b w:val="0"/>
          <w:bCs w:val="0"/>
          <w:sz w:val="32"/>
          <w:szCs w:val="32"/>
          <w:lang w:eastAsia="zh-CN"/>
        </w:rPr>
        <w:t>种苗</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第三十三条</w:t>
      </w:r>
      <w:r>
        <w:rPr>
          <w:rFonts w:hint="eastAsia" w:ascii="仿宋_GB2312" w:hAnsi="仿宋_GB2312" w:eastAsia="仿宋_GB2312" w:cs="仿宋_GB2312"/>
          <w:b w:val="0"/>
          <w:bCs w:val="0"/>
          <w:sz w:val="32"/>
          <w:szCs w:val="32"/>
        </w:rPr>
        <w:t xml:space="preserve">  保护种类种植企业、农民专业合作经济组织应当根据岭南中药材生长发育特性，按照国家中药材生产质量管理规范，制定保护种类种植技术规程，并按照种植技术规程进行生产。</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第三十四条</w:t>
      </w:r>
      <w:r>
        <w:rPr>
          <w:rFonts w:hint="eastAsia" w:ascii="仿宋_GB2312" w:hAnsi="仿宋_GB2312" w:eastAsia="仿宋_GB2312" w:cs="仿宋_GB2312"/>
          <w:b w:val="0"/>
          <w:bCs w:val="0"/>
          <w:sz w:val="32"/>
          <w:szCs w:val="32"/>
        </w:rPr>
        <w:t xml:space="preserve">  优质岭南中药材生产基地应当按照保护种类的特定技术规范进行种植，保持岭南中药材</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质量稳定</w:t>
      </w:r>
      <w:r>
        <w:rPr>
          <w:rFonts w:hint="eastAsia" w:ascii="仿宋_GB2312" w:hAnsi="仿宋_GB2312" w:eastAsia="仿宋_GB2312" w:cs="仿宋_GB2312"/>
          <w:b w:val="0"/>
          <w:bCs w:val="0"/>
          <w:sz w:val="32"/>
          <w:szCs w:val="32"/>
          <w:lang w:eastAsia="zh-CN"/>
        </w:rPr>
        <w:t>，创新种植模式应当符合国家中药材生产质量管理规范</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种植生产不得违反环境保护、林地保护和水土保持法律法规的规定。</w:t>
      </w:r>
      <w:r>
        <w:rPr>
          <w:rFonts w:hint="eastAsia" w:ascii="仿宋_GB2312" w:hAnsi="仿宋_GB2312" w:eastAsia="仿宋_GB2312" w:cs="仿宋_GB2312"/>
          <w:b w:val="0"/>
          <w:bCs w:val="0"/>
          <w:sz w:val="32"/>
          <w:szCs w:val="32"/>
          <w:lang w:eastAsia="zh-CN"/>
        </w:rPr>
        <w:t>禁止使用国家禁用、淘汰的种植投入品，</w:t>
      </w:r>
      <w:r>
        <w:rPr>
          <w:rFonts w:hint="eastAsia" w:ascii="仿宋_GB2312" w:hAnsi="仿宋_GB2312" w:eastAsia="仿宋_GB2312" w:cs="仿宋_GB2312"/>
          <w:b w:val="0"/>
          <w:bCs w:val="0"/>
          <w:sz w:val="32"/>
          <w:szCs w:val="32"/>
        </w:rPr>
        <w:t>禁止使用高毒、剧毒</w:t>
      </w:r>
      <w:r>
        <w:rPr>
          <w:rFonts w:hint="eastAsia" w:ascii="仿宋_GB2312" w:hAnsi="仿宋_GB2312" w:eastAsia="仿宋_GB2312" w:cs="仿宋_GB2312"/>
          <w:b w:val="0"/>
          <w:bCs w:val="0"/>
          <w:sz w:val="32"/>
          <w:szCs w:val="32"/>
          <w:lang w:eastAsia="zh-CN"/>
        </w:rPr>
        <w:t>及高残留</w:t>
      </w:r>
      <w:r>
        <w:rPr>
          <w:rFonts w:hint="eastAsia" w:ascii="仿宋_GB2312" w:hAnsi="仿宋_GB2312" w:eastAsia="仿宋_GB2312" w:cs="仿宋_GB2312"/>
          <w:b w:val="0"/>
          <w:bCs w:val="0"/>
          <w:sz w:val="32"/>
          <w:szCs w:val="32"/>
        </w:rPr>
        <w:t>农药，禁止滥用农药、抗生素、化肥、植物生长调节剂和除草剂。</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第三十五条</w:t>
      </w:r>
      <w:r>
        <w:rPr>
          <w:rFonts w:hint="eastAsia" w:ascii="仿宋_GB2312" w:hAnsi="仿宋_GB2312" w:eastAsia="仿宋_GB2312" w:cs="仿宋_GB2312"/>
          <w:b w:val="0"/>
          <w:bCs w:val="0"/>
          <w:sz w:val="32"/>
          <w:szCs w:val="32"/>
        </w:rPr>
        <w:t xml:space="preserve">  岭南中药材种植环境应当保持适宜的种植自然条件，并符合</w:t>
      </w:r>
      <w:r>
        <w:rPr>
          <w:rFonts w:hint="eastAsia" w:ascii="仿宋_GB2312" w:hAnsi="仿宋_GB2312" w:eastAsia="仿宋_GB2312" w:cs="仿宋_GB2312"/>
          <w:b w:val="0"/>
          <w:bCs w:val="0"/>
          <w:sz w:val="32"/>
          <w:szCs w:val="32"/>
          <w:lang w:eastAsia="zh-CN"/>
        </w:rPr>
        <w:t>国家规定的</w:t>
      </w:r>
      <w:r>
        <w:rPr>
          <w:rFonts w:hint="eastAsia" w:ascii="仿宋_GB2312" w:hAnsi="仿宋_GB2312" w:eastAsia="仿宋_GB2312" w:cs="仿宋_GB2312"/>
          <w:b w:val="0"/>
          <w:bCs w:val="0"/>
          <w:sz w:val="32"/>
          <w:szCs w:val="32"/>
        </w:rPr>
        <w:t>标准</w:t>
      </w:r>
      <w:r>
        <w:rPr>
          <w:rFonts w:hint="eastAsia" w:ascii="仿宋_GB2312" w:hAnsi="仿宋_GB2312" w:eastAsia="仿宋_GB2312" w:cs="仿宋_GB2312"/>
          <w:b w:val="0"/>
          <w:bCs w:val="0"/>
          <w:sz w:val="32"/>
          <w:szCs w:val="32"/>
          <w:lang w:eastAsia="zh-CN"/>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第三十六条</w:t>
      </w:r>
      <w:r>
        <w:rPr>
          <w:rFonts w:hint="eastAsia" w:ascii="仿宋_GB2312" w:hAnsi="仿宋_GB2312" w:eastAsia="仿宋_GB2312" w:cs="仿宋_GB2312"/>
          <w:b w:val="0"/>
          <w:bCs w:val="0"/>
          <w:sz w:val="32"/>
          <w:szCs w:val="32"/>
        </w:rPr>
        <w:t xml:space="preserve">  岭南中药材种植者应当针对岭南中药材生长发育特性和不同的药用部位，通过田间农艺管理措施调控岭南中药材生长发育，保持</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质量稳定，提高药材产量。</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第三十七条</w:t>
      </w:r>
      <w:r>
        <w:rPr>
          <w:rFonts w:hint="eastAsia" w:ascii="仿宋_GB2312" w:hAnsi="仿宋_GB2312" w:eastAsia="仿宋_GB2312" w:cs="仿宋_GB2312"/>
          <w:b w:val="0"/>
          <w:bCs w:val="0"/>
          <w:sz w:val="32"/>
          <w:szCs w:val="32"/>
        </w:rPr>
        <w:t xml:space="preserve">  种植者应当根据岭南中药材的营养特点及土壤的供肥能力，确定施肥种类、时间、数量和方法，</w:t>
      </w:r>
      <w:r>
        <w:rPr>
          <w:rFonts w:hint="eastAsia" w:ascii="仿宋_GB2312" w:hAnsi="仿宋_GB2312" w:eastAsia="仿宋_GB2312" w:cs="仿宋_GB2312"/>
          <w:b w:val="0"/>
          <w:bCs w:val="0"/>
          <w:sz w:val="32"/>
          <w:szCs w:val="32"/>
          <w:lang w:eastAsia="zh-CN"/>
        </w:rPr>
        <w:t>肥料的种类应当以有机肥为主，</w:t>
      </w:r>
      <w:r>
        <w:rPr>
          <w:rFonts w:hint="eastAsia" w:ascii="仿宋_GB2312" w:hAnsi="仿宋_GB2312" w:eastAsia="仿宋_GB2312" w:cs="仿宋_GB2312"/>
          <w:b w:val="0"/>
          <w:bCs w:val="0"/>
          <w:sz w:val="32"/>
          <w:szCs w:val="32"/>
        </w:rPr>
        <w:t>科学合理地使用肥料。</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第三十八条</w:t>
      </w:r>
      <w:r>
        <w:rPr>
          <w:rFonts w:hint="eastAsia" w:ascii="仿宋_GB2312" w:hAnsi="仿宋_GB2312" w:eastAsia="仿宋_GB2312" w:cs="仿宋_GB2312"/>
          <w:b w:val="0"/>
          <w:bCs w:val="0"/>
          <w:sz w:val="32"/>
          <w:szCs w:val="32"/>
        </w:rPr>
        <w:t xml:space="preserve">  种植者在病虫害的防治过程中</w:t>
      </w:r>
      <w:r>
        <w:rPr>
          <w:rFonts w:hint="eastAsia" w:ascii="仿宋_GB2312" w:hAnsi="仿宋_GB2312" w:eastAsia="仿宋_GB2312" w:cs="仿宋_GB2312"/>
          <w:b w:val="0"/>
          <w:bCs w:val="0"/>
          <w:sz w:val="32"/>
          <w:szCs w:val="32"/>
          <w:lang w:eastAsia="zh-CN"/>
        </w:rPr>
        <w:t>应当优先采用生物防治方法，并</w:t>
      </w:r>
      <w:r>
        <w:rPr>
          <w:rFonts w:hint="eastAsia" w:ascii="仿宋_GB2312" w:hAnsi="仿宋_GB2312" w:eastAsia="仿宋_GB2312" w:cs="仿宋_GB2312"/>
          <w:b w:val="0"/>
          <w:bCs w:val="0"/>
          <w:sz w:val="32"/>
          <w:szCs w:val="32"/>
        </w:rPr>
        <w:t>依法、合理使用农药，</w:t>
      </w:r>
      <w:r>
        <w:rPr>
          <w:rFonts w:hint="eastAsia" w:ascii="仿宋_GB2312" w:hAnsi="仿宋_GB2312" w:eastAsia="仿宋_GB2312" w:cs="仿宋_GB2312"/>
          <w:b w:val="0"/>
          <w:bCs w:val="0"/>
          <w:sz w:val="32"/>
          <w:szCs w:val="32"/>
          <w:lang w:eastAsia="zh-CN"/>
        </w:rPr>
        <w:t>使岭南中</w:t>
      </w:r>
      <w:r>
        <w:rPr>
          <w:rFonts w:hint="eastAsia" w:ascii="仿宋_GB2312" w:hAnsi="仿宋_GB2312" w:eastAsia="仿宋_GB2312" w:cs="仿宋_GB2312"/>
          <w:b w:val="0"/>
          <w:bCs w:val="0"/>
          <w:sz w:val="32"/>
          <w:szCs w:val="32"/>
        </w:rPr>
        <w:t>药材的农药残留</w:t>
      </w:r>
      <w:r>
        <w:rPr>
          <w:rFonts w:hint="eastAsia" w:ascii="仿宋_GB2312" w:hAnsi="仿宋_GB2312" w:eastAsia="仿宋_GB2312" w:cs="仿宋_GB2312"/>
          <w:b w:val="0"/>
          <w:bCs w:val="0"/>
          <w:sz w:val="32"/>
          <w:szCs w:val="32"/>
          <w:lang w:eastAsia="zh-CN"/>
        </w:rPr>
        <w:t>等指标符合质量标准</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第三十九条</w:t>
      </w:r>
      <w:r>
        <w:rPr>
          <w:rFonts w:hint="eastAsia" w:ascii="仿宋_GB2312" w:hAnsi="仿宋_GB2312" w:eastAsia="仿宋_GB2312" w:cs="仿宋_GB2312"/>
          <w:b w:val="0"/>
          <w:bCs w:val="0"/>
          <w:sz w:val="32"/>
          <w:szCs w:val="32"/>
        </w:rPr>
        <w:t xml:space="preserve">  优质岭南中药材生产基地应当确定适宜的采收时间和方法，避免因提早、推迟采收时间或者采收方法不当影响岭南中药材</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优质岭南中药材生产基地</w:t>
      </w:r>
      <w:r>
        <w:rPr>
          <w:rFonts w:hint="eastAsia" w:ascii="仿宋_GB2312" w:hAnsi="仿宋_GB2312" w:eastAsia="仿宋_GB2312" w:cs="仿宋_GB2312"/>
          <w:b w:val="0"/>
          <w:bCs w:val="0"/>
          <w:sz w:val="32"/>
          <w:szCs w:val="32"/>
        </w:rPr>
        <w:t>应当</w:t>
      </w:r>
      <w:r>
        <w:rPr>
          <w:rFonts w:hint="eastAsia" w:ascii="仿宋_GB2312" w:hAnsi="仿宋_GB2312" w:eastAsia="仿宋_GB2312" w:cs="仿宋_GB2312"/>
          <w:b w:val="0"/>
          <w:bCs w:val="0"/>
          <w:sz w:val="32"/>
          <w:szCs w:val="32"/>
          <w:lang w:eastAsia="zh-CN"/>
        </w:rPr>
        <w:t>对采收的保护种类进行</w:t>
      </w:r>
      <w:r>
        <w:rPr>
          <w:rFonts w:hint="eastAsia" w:ascii="仿宋_GB2312" w:hAnsi="仿宋_GB2312" w:eastAsia="仿宋_GB2312" w:cs="仿宋_GB2312"/>
          <w:b w:val="0"/>
          <w:bCs w:val="0"/>
          <w:sz w:val="32"/>
          <w:szCs w:val="32"/>
        </w:rPr>
        <w:t>取样</w:t>
      </w:r>
      <w:r>
        <w:rPr>
          <w:rFonts w:hint="eastAsia" w:ascii="仿宋_GB2312" w:hAnsi="仿宋_GB2312" w:eastAsia="仿宋_GB2312" w:cs="仿宋_GB2312"/>
          <w:b w:val="0"/>
          <w:bCs w:val="0"/>
          <w:sz w:val="32"/>
          <w:szCs w:val="32"/>
          <w:lang w:eastAsia="zh-CN"/>
        </w:rPr>
        <w:t>，送具有资质的检测机构进行检测</w:t>
      </w:r>
      <w:r>
        <w:rPr>
          <w:rFonts w:hint="eastAsia" w:ascii="仿宋_GB2312" w:hAnsi="仿宋_GB2312" w:eastAsia="仿宋_GB2312" w:cs="仿宋_GB2312"/>
          <w:b w:val="0"/>
          <w:bCs w:val="0"/>
          <w:sz w:val="32"/>
          <w:szCs w:val="32"/>
        </w:rPr>
        <w:t>，送检</w:t>
      </w:r>
      <w:r>
        <w:rPr>
          <w:rFonts w:hint="eastAsia" w:ascii="仿宋_GB2312" w:hAnsi="仿宋_GB2312" w:eastAsia="仿宋_GB2312" w:cs="仿宋_GB2312"/>
          <w:b w:val="0"/>
          <w:bCs w:val="0"/>
          <w:sz w:val="32"/>
          <w:szCs w:val="32"/>
          <w:lang w:eastAsia="zh-CN"/>
        </w:rPr>
        <w:t>产品</w:t>
      </w:r>
      <w:r>
        <w:rPr>
          <w:rFonts w:hint="eastAsia" w:ascii="仿宋_GB2312" w:hAnsi="仿宋_GB2312" w:eastAsia="仿宋_GB2312" w:cs="仿宋_GB2312"/>
          <w:b w:val="0"/>
          <w:bCs w:val="0"/>
          <w:sz w:val="32"/>
          <w:szCs w:val="32"/>
        </w:rPr>
        <w:t>质量不达标的，不得入药使用。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第四十条</w:t>
      </w:r>
      <w:r>
        <w:rPr>
          <w:rFonts w:hint="eastAsia" w:ascii="仿宋_GB2312" w:hAnsi="仿宋_GB2312" w:eastAsia="仿宋_GB2312" w:cs="仿宋_GB2312"/>
          <w:b w:val="0"/>
          <w:bCs w:val="0"/>
          <w:sz w:val="32"/>
          <w:szCs w:val="32"/>
        </w:rPr>
        <w:t xml:space="preserve">  岭南中药材进行产地初加工应当符合国家中药材生产质量管理规范，</w:t>
      </w:r>
      <w:r>
        <w:rPr>
          <w:rFonts w:hint="eastAsia" w:ascii="仿宋_GB2312" w:hAnsi="仿宋_GB2312" w:eastAsia="仿宋_GB2312" w:cs="仿宋_GB2312"/>
          <w:b w:val="0"/>
          <w:bCs w:val="0"/>
          <w:sz w:val="32"/>
          <w:szCs w:val="32"/>
          <w:lang w:eastAsia="zh-CN"/>
        </w:rPr>
        <w:t>不得</w:t>
      </w:r>
      <w:r>
        <w:rPr>
          <w:rFonts w:hint="eastAsia" w:ascii="仿宋_GB2312" w:hAnsi="仿宋_GB2312" w:eastAsia="仿宋_GB2312" w:cs="仿宋_GB2312"/>
          <w:b w:val="0"/>
          <w:bCs w:val="0"/>
          <w:sz w:val="32"/>
          <w:szCs w:val="32"/>
        </w:rPr>
        <w:t>污染、</w:t>
      </w:r>
      <w:r>
        <w:rPr>
          <w:rFonts w:hint="eastAsia" w:ascii="仿宋_GB2312" w:hAnsi="仿宋_GB2312" w:eastAsia="仿宋_GB2312" w:cs="仿宋_GB2312"/>
          <w:b w:val="0"/>
          <w:bCs w:val="0"/>
          <w:sz w:val="32"/>
          <w:szCs w:val="32"/>
          <w:lang w:eastAsia="zh-CN"/>
        </w:rPr>
        <w:t>破坏中药材</w:t>
      </w:r>
      <w:r>
        <w:rPr>
          <w:rFonts w:hint="eastAsia" w:ascii="仿宋_GB2312" w:hAnsi="仿宋_GB2312" w:eastAsia="仿宋_GB2312" w:cs="仿宋_GB2312"/>
          <w:b w:val="0"/>
          <w:bCs w:val="0"/>
          <w:sz w:val="32"/>
          <w:szCs w:val="32"/>
        </w:rPr>
        <w:t>有效成分。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第四十一条</w:t>
      </w:r>
      <w:r>
        <w:rPr>
          <w:rFonts w:hint="eastAsia" w:ascii="仿宋_GB2312" w:hAnsi="仿宋_GB2312" w:eastAsia="仿宋_GB2312" w:cs="仿宋_GB2312"/>
          <w:b w:val="0"/>
          <w:bCs w:val="0"/>
          <w:sz w:val="32"/>
          <w:szCs w:val="32"/>
        </w:rPr>
        <w:t xml:space="preserve">  县级以上人民政府应当鼓励保险机构开发岭南中药材种植保险产品，构建市场化的岭南中药材种植风险分散和损失补偿机制。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有条件的</w:t>
      </w:r>
      <w:r>
        <w:rPr>
          <w:rFonts w:hint="eastAsia" w:ascii="仿宋_GB2312" w:hAnsi="仿宋_GB2312" w:eastAsia="仿宋_GB2312" w:cs="仿宋_GB2312"/>
          <w:b w:val="0"/>
          <w:bCs w:val="0"/>
          <w:sz w:val="32"/>
          <w:szCs w:val="32"/>
          <w:lang w:eastAsia="zh-CN"/>
        </w:rPr>
        <w:t>地级以上市</w:t>
      </w:r>
      <w:r>
        <w:rPr>
          <w:rFonts w:hint="eastAsia" w:ascii="仿宋_GB2312" w:hAnsi="仿宋_GB2312" w:eastAsia="仿宋_GB2312" w:cs="仿宋_GB2312"/>
          <w:b w:val="0"/>
          <w:bCs w:val="0"/>
          <w:sz w:val="32"/>
          <w:szCs w:val="32"/>
        </w:rPr>
        <w:t>、县</w:t>
      </w:r>
      <w:r>
        <w:rPr>
          <w:rFonts w:hint="eastAsia" w:ascii="仿宋_GB2312" w:hAnsi="仿宋_GB2312" w:eastAsia="仿宋_GB2312" w:cs="仿宋_GB2312"/>
          <w:b w:val="0"/>
          <w:bCs w:val="0"/>
          <w:sz w:val="32"/>
          <w:szCs w:val="32"/>
          <w:lang w:eastAsia="zh-CN"/>
        </w:rPr>
        <w:t>级</w:t>
      </w:r>
      <w:r>
        <w:rPr>
          <w:rFonts w:hint="eastAsia" w:ascii="仿宋_GB2312" w:hAnsi="仿宋_GB2312" w:eastAsia="仿宋_GB2312" w:cs="仿宋_GB2312"/>
          <w:b w:val="0"/>
          <w:bCs w:val="0"/>
          <w:sz w:val="32"/>
          <w:szCs w:val="32"/>
        </w:rPr>
        <w:t>人民政府可以给予保险费补贴。</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第六章  品牌保护</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第四十二条</w:t>
      </w:r>
      <w:r>
        <w:rPr>
          <w:rFonts w:hint="eastAsia" w:ascii="仿宋_GB2312" w:hAnsi="仿宋_GB2312" w:eastAsia="仿宋_GB2312" w:cs="仿宋_GB2312"/>
          <w:b w:val="0"/>
          <w:bCs w:val="0"/>
          <w:sz w:val="32"/>
          <w:szCs w:val="32"/>
        </w:rPr>
        <w:t xml:space="preserve">  县级以上人民政府应当利用岭南中药材保护</w:t>
      </w:r>
      <w:r>
        <w:rPr>
          <w:rFonts w:hint="eastAsia" w:ascii="仿宋_GB2312" w:hAnsi="仿宋_GB2312" w:eastAsia="仿宋_GB2312" w:cs="仿宋_GB2312"/>
          <w:b w:val="0"/>
          <w:bCs w:val="0"/>
          <w:sz w:val="32"/>
          <w:szCs w:val="32"/>
          <w:lang w:eastAsia="zh-CN"/>
        </w:rPr>
        <w:t>经费</w:t>
      </w:r>
      <w:r>
        <w:rPr>
          <w:rFonts w:hint="eastAsia" w:ascii="仿宋_GB2312" w:hAnsi="仿宋_GB2312" w:eastAsia="仿宋_GB2312" w:cs="仿宋_GB2312"/>
          <w:b w:val="0"/>
          <w:bCs w:val="0"/>
          <w:sz w:val="32"/>
          <w:szCs w:val="32"/>
        </w:rPr>
        <w:t>，支持行业组织设立专门的保护种类品牌推广中心，培育岭南中药材知名品牌</w:t>
      </w:r>
      <w:r>
        <w:rPr>
          <w:rFonts w:hint="eastAsia" w:ascii="仿宋_GB2312" w:hAnsi="仿宋_GB2312" w:eastAsia="仿宋_GB2312" w:cs="仿宋_GB2312"/>
          <w:b w:val="0"/>
          <w:bCs w:val="0"/>
          <w:sz w:val="32"/>
          <w:szCs w:val="32"/>
          <w:lang w:eastAsia="zh-CN"/>
        </w:rPr>
        <w:t>，促进岭南中药材的品牌化经营</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保护种类品牌推广中心应当提供品牌培育、宣传推广、交流合作等服务，协助岭南中药材</w:t>
      </w:r>
      <w:r>
        <w:rPr>
          <w:rFonts w:hint="eastAsia" w:ascii="仿宋_GB2312" w:hAnsi="仿宋_GB2312" w:eastAsia="仿宋_GB2312" w:cs="仿宋_GB2312"/>
          <w:b w:val="0"/>
          <w:bCs w:val="0"/>
          <w:sz w:val="32"/>
          <w:szCs w:val="32"/>
          <w:lang w:eastAsia="zh-CN"/>
        </w:rPr>
        <w:t>品牌</w:t>
      </w:r>
      <w:r>
        <w:rPr>
          <w:rFonts w:hint="eastAsia" w:ascii="仿宋_GB2312" w:hAnsi="仿宋_GB2312" w:eastAsia="仿宋_GB2312" w:cs="仿宋_GB2312"/>
          <w:b w:val="0"/>
          <w:bCs w:val="0"/>
          <w:sz w:val="32"/>
          <w:szCs w:val="32"/>
        </w:rPr>
        <w:t>相关权利持有人扩大品牌影响范围，提高社会认知度。</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第四十三条</w:t>
      </w:r>
      <w:r>
        <w:rPr>
          <w:rFonts w:hint="eastAsia" w:ascii="仿宋_GB2312" w:hAnsi="仿宋_GB2312" w:eastAsia="仿宋_GB2312" w:cs="仿宋_GB2312"/>
          <w:b w:val="0"/>
          <w:bCs w:val="0"/>
          <w:sz w:val="32"/>
          <w:szCs w:val="32"/>
        </w:rPr>
        <w:t xml:space="preserve">  县级以上人民政府及其有关部门应当支持行业协会、岭南中药材生产者依法申请国家地理标志产品保护。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已经获得国家地理标志保护或者已经取得地理标志商标权的保护种类，应当整合保护资源，扩大品牌效应。</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使用岭南中药材地理标志保护产品专用标志的，应当采取防伪标识、电子信息管理等措施，加强品牌信息保护。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第四十四条</w:t>
      </w:r>
      <w:r>
        <w:rPr>
          <w:rFonts w:hint="eastAsia" w:ascii="仿宋_GB2312" w:hAnsi="仿宋_GB2312" w:eastAsia="仿宋_GB2312" w:cs="仿宋_GB2312"/>
          <w:b w:val="0"/>
          <w:bCs w:val="0"/>
          <w:sz w:val="32"/>
          <w:szCs w:val="32"/>
        </w:rPr>
        <w:t xml:space="preserve">  县级以上人民政府及其有关部门应当引导和支持岭南中药材行业协会、生产者等，及时通过申请商标注册获得专用权保护。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经济合作社、行业协会等组织应当及时申请岭南中药材特定种类地理标志集体商标或者证明商标专用权保护，并依法许可其成员或者其他符合规定条件的岭南中药材生产者和经营者使用。</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为相关公众所熟知的岭南中药材商标持有人在其权利受到侵害时，可以依法请求驰名商标保护。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第四十五条</w:t>
      </w:r>
      <w:r>
        <w:rPr>
          <w:rFonts w:hint="eastAsia" w:ascii="仿宋_GB2312" w:hAnsi="仿宋_GB2312" w:eastAsia="仿宋_GB2312" w:cs="仿宋_GB2312"/>
          <w:b w:val="0"/>
          <w:bCs w:val="0"/>
          <w:sz w:val="32"/>
          <w:szCs w:val="32"/>
        </w:rPr>
        <w:t xml:space="preserve">  岭南中药材生产者在种子繁育及种植过程中，通过开展科学研究、技术改造、技术引进、技术合作等活动取得发明创造成果的，应当在向社会公开之前及时申请专利。不适宜申请专利制度保护的发明创造成果，</w:t>
      </w:r>
      <w:r>
        <w:rPr>
          <w:rFonts w:hint="eastAsia" w:ascii="仿宋_GB2312" w:hAnsi="仿宋_GB2312" w:eastAsia="仿宋_GB2312" w:cs="仿宋_GB2312"/>
          <w:b w:val="0"/>
          <w:bCs w:val="0"/>
          <w:sz w:val="32"/>
          <w:szCs w:val="32"/>
          <w:lang w:eastAsia="zh-CN"/>
        </w:rPr>
        <w:t>可以</w:t>
      </w:r>
      <w:r>
        <w:rPr>
          <w:rFonts w:hint="eastAsia" w:ascii="仿宋_GB2312" w:hAnsi="仿宋_GB2312" w:eastAsia="仿宋_GB2312" w:cs="仿宋_GB2312"/>
          <w:b w:val="0"/>
          <w:bCs w:val="0"/>
          <w:sz w:val="32"/>
          <w:szCs w:val="32"/>
        </w:rPr>
        <w:t>依法实施商业秘密保护。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鼓励符合条件的岭南中药材新品种向国务院农业或者林业主管部门申请植物新品种权，获得植物新品种权保护。</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涉及濒危野生</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岭南中药材培育关键技术和产品的专利申请，应当在提交专利申请书前履行相关审批手续。</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向</w:t>
      </w:r>
      <w:r>
        <w:rPr>
          <w:rFonts w:hint="eastAsia" w:ascii="仿宋_GB2312" w:hAnsi="仿宋_GB2312" w:eastAsia="仿宋_GB2312" w:cs="仿宋_GB2312"/>
          <w:b w:val="0"/>
          <w:bCs w:val="0"/>
          <w:sz w:val="32"/>
          <w:szCs w:val="32"/>
          <w:lang w:eastAsia="zh-CN"/>
        </w:rPr>
        <w:t>境外</w:t>
      </w:r>
      <w:r>
        <w:rPr>
          <w:rFonts w:hint="eastAsia" w:ascii="仿宋_GB2312" w:hAnsi="仿宋_GB2312" w:eastAsia="仿宋_GB2312" w:cs="仿宋_GB2312"/>
          <w:b w:val="0"/>
          <w:bCs w:val="0"/>
          <w:sz w:val="32"/>
          <w:szCs w:val="32"/>
        </w:rPr>
        <w:t>转让濒危野生</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岭南中药材培育技术的，应当按照国家有关保密的规定办理。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w:t>
      </w:r>
      <w:r>
        <w:rPr>
          <w:rFonts w:hint="eastAsia" w:ascii="黑体" w:hAnsi="黑体" w:eastAsia="黑体" w:cs="黑体"/>
          <w:b w:val="0"/>
          <w:bCs w:val="0"/>
          <w:sz w:val="32"/>
          <w:szCs w:val="32"/>
          <w:lang w:val="en-US" w:eastAsia="zh-CN"/>
        </w:rPr>
        <w:t>四十六</w:t>
      </w:r>
      <w:r>
        <w:rPr>
          <w:rFonts w:hint="eastAsia" w:ascii="黑体" w:hAnsi="黑体" w:eastAsia="黑体" w:cs="黑体"/>
          <w:b w:val="0"/>
          <w:bCs w:val="0"/>
          <w:sz w:val="32"/>
          <w:szCs w:val="32"/>
          <w:lang w:eastAsia="zh-CN"/>
        </w:rPr>
        <w:t>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鼓励</w:t>
      </w:r>
      <w:r>
        <w:rPr>
          <w:rFonts w:hint="eastAsia" w:ascii="仿宋_GB2312" w:hAnsi="仿宋_GB2312" w:eastAsia="仿宋_GB2312" w:cs="仿宋_GB2312"/>
          <w:b w:val="0"/>
          <w:bCs w:val="0"/>
          <w:sz w:val="32"/>
          <w:szCs w:val="32"/>
          <w:lang w:eastAsia="zh-CN"/>
        </w:rPr>
        <w:t>、支持</w:t>
      </w:r>
      <w:r>
        <w:rPr>
          <w:rFonts w:hint="eastAsia" w:ascii="仿宋_GB2312" w:hAnsi="仿宋_GB2312" w:eastAsia="仿宋_GB2312" w:cs="仿宋_GB2312"/>
          <w:b w:val="0"/>
          <w:bCs w:val="0"/>
          <w:sz w:val="32"/>
          <w:szCs w:val="32"/>
        </w:rPr>
        <w:t>岭南中药材生产经营者对企业品牌和产品注册域名，依法保护生产经营者的合法权益。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第四十七条</w:t>
      </w:r>
      <w:r>
        <w:rPr>
          <w:rFonts w:hint="eastAsia" w:ascii="仿宋_GB2312" w:hAnsi="仿宋_GB2312" w:eastAsia="仿宋_GB2312" w:cs="仿宋_GB2312"/>
          <w:b w:val="0"/>
          <w:bCs w:val="0"/>
          <w:sz w:val="32"/>
          <w:szCs w:val="32"/>
        </w:rPr>
        <w:t xml:space="preserve">  取得岭南中药材注册商标、地理标志保护产品专用标志的权利人，应当按照商标注册证和专用标志证书核准的范围进行使用；确需增加使用范围的，应当依法另行申请。</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注册商标、专用标志的权利人有权对商标、专用标志的使用进行管理和控制，许可其成员或者其他符合规定条件的使用人在其生产经营的岭南中药材的商品、商品包装或者容器、商品交易文书，以及在广告宣传、展览或者其他商业活动中使用该注册商标、专用标志。</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第四十八条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eastAsia="zh-CN"/>
        </w:rPr>
        <w:t>县级以上</w:t>
      </w:r>
      <w:r>
        <w:rPr>
          <w:rFonts w:hint="eastAsia" w:ascii="仿宋_GB2312" w:hAnsi="仿宋_GB2312" w:eastAsia="仿宋_GB2312" w:cs="仿宋_GB2312"/>
          <w:b w:val="0"/>
          <w:bCs w:val="0"/>
          <w:sz w:val="32"/>
          <w:szCs w:val="32"/>
        </w:rPr>
        <w:t>人民政府</w:t>
      </w:r>
      <w:r>
        <w:rPr>
          <w:rFonts w:hint="eastAsia" w:ascii="仿宋_GB2312" w:hAnsi="仿宋_GB2312" w:eastAsia="仿宋_GB2312" w:cs="仿宋_GB2312"/>
          <w:b w:val="0"/>
          <w:bCs w:val="0"/>
          <w:sz w:val="32"/>
          <w:szCs w:val="32"/>
          <w:lang w:eastAsia="zh-CN"/>
        </w:rPr>
        <w:t>中医药主管部门</w:t>
      </w:r>
      <w:r>
        <w:rPr>
          <w:rFonts w:hint="eastAsia" w:ascii="仿宋_GB2312" w:hAnsi="仿宋_GB2312" w:eastAsia="仿宋_GB2312" w:cs="仿宋_GB2312"/>
          <w:b w:val="0"/>
          <w:bCs w:val="0"/>
          <w:sz w:val="32"/>
          <w:szCs w:val="32"/>
        </w:rPr>
        <w:t>应当</w:t>
      </w:r>
      <w:r>
        <w:rPr>
          <w:rFonts w:hint="eastAsia" w:ascii="仿宋_GB2312" w:hAnsi="仿宋_GB2312" w:eastAsia="仿宋_GB2312" w:cs="仿宋_GB2312"/>
          <w:b w:val="0"/>
          <w:bCs w:val="0"/>
          <w:sz w:val="32"/>
          <w:szCs w:val="32"/>
          <w:lang w:eastAsia="zh-CN"/>
        </w:rPr>
        <w:t>会同文化主管部门</w:t>
      </w:r>
      <w:r>
        <w:rPr>
          <w:rFonts w:hint="eastAsia" w:ascii="仿宋_GB2312" w:hAnsi="仿宋_GB2312" w:eastAsia="仿宋_GB2312" w:cs="仿宋_GB2312"/>
          <w:b w:val="0"/>
          <w:bCs w:val="0"/>
          <w:sz w:val="32"/>
          <w:szCs w:val="32"/>
        </w:rPr>
        <w:t>弘扬岭南中药材文化，加强岭南中药材育种、种植、采收、加工技艺交流，做好岭南中药材珍品、精品收集和有关珍贵资料的整理工作。</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eastAsia="zh-CN"/>
        </w:rPr>
        <w:t>第四十九条</w:t>
      </w:r>
      <w:r>
        <w:rPr>
          <w:rFonts w:hint="eastAsia" w:ascii="仿宋_GB2312" w:hAnsi="仿宋_GB2312" w:eastAsia="仿宋_GB2312" w:cs="仿宋_GB2312"/>
          <w:b w:val="0"/>
          <w:bCs w:val="0"/>
          <w:sz w:val="32"/>
          <w:szCs w:val="32"/>
        </w:rPr>
        <w:t xml:space="preserve">  鼓励和支持开展有关岭南中药材的非物质文化遗产代表性项目的保护、传承</w:t>
      </w:r>
      <w:r>
        <w:rPr>
          <w:rFonts w:hint="eastAsia" w:ascii="仿宋_GB2312" w:hAnsi="仿宋_GB2312" w:eastAsia="仿宋_GB2312" w:cs="仿宋_GB2312"/>
          <w:b w:val="0"/>
          <w:bCs w:val="0"/>
          <w:sz w:val="32"/>
          <w:szCs w:val="32"/>
          <w:lang w:val="en-US" w:eastAsia="zh-CN"/>
        </w:rPr>
        <w:t>和传播。</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县级以上人民政府文化主管部门对非物质文化遗产代表性项目，或者具有重要学术价值的岭南中药材理论、制作</w:t>
      </w:r>
      <w:r>
        <w:rPr>
          <w:rFonts w:hint="eastAsia" w:ascii="仿宋_GB2312" w:hAnsi="仿宋_GB2312" w:eastAsia="仿宋_GB2312" w:cs="仿宋_GB2312"/>
          <w:b w:val="0"/>
          <w:bCs w:val="0"/>
          <w:sz w:val="32"/>
          <w:szCs w:val="32"/>
        </w:rPr>
        <w:t>技艺和方法，应当组织遴选保护项目和代表性传承人，并为传承活动提供必要的条件。</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eastAsia="zh-CN"/>
        </w:rPr>
        <w:t>第五十条</w:t>
      </w:r>
      <w:r>
        <w:rPr>
          <w:rFonts w:hint="eastAsia" w:ascii="仿宋_GB2312" w:hAnsi="仿宋_GB2312" w:eastAsia="仿宋_GB2312" w:cs="仿宋_GB2312"/>
          <w:b w:val="0"/>
          <w:bCs w:val="0"/>
          <w:sz w:val="32"/>
          <w:szCs w:val="32"/>
        </w:rPr>
        <w:t xml:space="preserve">  支持</w:t>
      </w:r>
      <w:r>
        <w:rPr>
          <w:rFonts w:hint="eastAsia" w:ascii="仿宋_GB2312" w:hAnsi="仿宋_GB2312" w:eastAsia="仿宋_GB2312" w:cs="仿宋_GB2312"/>
          <w:b w:val="0"/>
          <w:bCs w:val="0"/>
          <w:sz w:val="32"/>
          <w:szCs w:val="32"/>
          <w:lang w:eastAsia="zh-CN"/>
        </w:rPr>
        <w:t>开展</w:t>
      </w:r>
      <w:r>
        <w:rPr>
          <w:rFonts w:hint="eastAsia" w:ascii="仿宋_GB2312" w:hAnsi="仿宋_GB2312" w:eastAsia="仿宋_GB2312" w:cs="仿宋_GB2312"/>
          <w:b w:val="0"/>
          <w:bCs w:val="0"/>
          <w:sz w:val="32"/>
          <w:szCs w:val="32"/>
        </w:rPr>
        <w:t>岭南中药材对外交流与合作，推动建立多方认可的岭南中药材标准，促进岭南中药材国际贸易便利化，鼓励岭南中药材出口企业在</w:t>
      </w:r>
      <w:r>
        <w:rPr>
          <w:rFonts w:hint="eastAsia" w:ascii="仿宋_GB2312" w:hAnsi="仿宋_GB2312" w:eastAsia="仿宋_GB2312" w:cs="仿宋_GB2312"/>
          <w:b w:val="0"/>
          <w:bCs w:val="0"/>
          <w:sz w:val="32"/>
          <w:szCs w:val="32"/>
          <w:lang w:val="en-US" w:eastAsia="zh-CN"/>
        </w:rPr>
        <w:t>境外申请商标注册。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第七章  监督管理</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第五十一条</w:t>
      </w:r>
      <w:r>
        <w:rPr>
          <w:rFonts w:hint="eastAsia" w:ascii="仿宋_GB2312" w:hAnsi="仿宋_GB2312" w:eastAsia="仿宋_GB2312" w:cs="仿宋_GB2312"/>
          <w:b w:val="0"/>
          <w:bCs w:val="0"/>
          <w:sz w:val="32"/>
          <w:szCs w:val="32"/>
        </w:rPr>
        <w:t xml:space="preserve">  县级以上人民政</w:t>
      </w:r>
      <w:r>
        <w:rPr>
          <w:rFonts w:hint="eastAsia" w:ascii="仿宋_GB2312" w:hAnsi="仿宋_GB2312" w:eastAsia="仿宋_GB2312" w:cs="仿宋_GB2312"/>
          <w:b w:val="0"/>
          <w:bCs w:val="0"/>
          <w:sz w:val="32"/>
          <w:szCs w:val="32"/>
          <w:lang w:val="en-US" w:eastAsia="zh-CN"/>
        </w:rPr>
        <w:t>府农业、林业主管部门应当会同中医药、食品药品监督管理等有关部门建立岭南中药材良种繁育基地</w:t>
      </w:r>
      <w:r>
        <w:rPr>
          <w:rFonts w:hint="eastAsia" w:ascii="仿宋_GB2312" w:hAnsi="仿宋_GB2312" w:eastAsia="仿宋_GB2312" w:cs="仿宋_GB2312"/>
          <w:b w:val="0"/>
          <w:bCs w:val="0"/>
          <w:sz w:val="32"/>
          <w:szCs w:val="32"/>
        </w:rPr>
        <w:t>、优质岭南中药材生产基地保护管理责任制</w:t>
      </w:r>
      <w:r>
        <w:rPr>
          <w:rFonts w:hint="eastAsia" w:ascii="仿宋_GB2312" w:hAnsi="仿宋_GB2312" w:eastAsia="仿宋_GB2312" w:cs="仿宋_GB2312"/>
          <w:b w:val="0"/>
          <w:bCs w:val="0"/>
          <w:sz w:val="32"/>
          <w:szCs w:val="32"/>
          <w:lang w:val="en-US" w:eastAsia="zh-CN"/>
        </w:rPr>
        <w:t>度，完善专家评审制度，定期进行检查并组织专家评审，促进保护措施的落实。</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第五十二条</w:t>
      </w:r>
      <w:r>
        <w:rPr>
          <w:rFonts w:hint="eastAsia" w:ascii="仿宋_GB2312" w:hAnsi="仿宋_GB2312" w:eastAsia="仿宋_GB2312" w:cs="仿宋_GB2312"/>
          <w:b w:val="0"/>
          <w:bCs w:val="0"/>
          <w:sz w:val="32"/>
          <w:szCs w:val="32"/>
        </w:rPr>
        <w:t xml:space="preserve">  县级</w:t>
      </w:r>
      <w:r>
        <w:rPr>
          <w:rFonts w:hint="eastAsia" w:ascii="仿宋_GB2312" w:hAnsi="仿宋_GB2312" w:eastAsia="仿宋_GB2312" w:cs="仿宋_GB2312"/>
          <w:b w:val="0"/>
          <w:bCs w:val="0"/>
          <w:sz w:val="32"/>
          <w:szCs w:val="32"/>
          <w:lang w:val="en-US" w:eastAsia="zh-CN"/>
        </w:rPr>
        <w:t>以上人民政府食品药品监督管理部门应当会同中医药、农业、林业、安全生产监督管理等有关部门在其职责范围内对保护活动实施以信用记录为核心的监管机制，建立保护种类质量信用等级档案，对保护种类种源、产地、种植、品牌以及生产企业质量安全管理的评价和监</w:t>
      </w:r>
      <w:r>
        <w:rPr>
          <w:rFonts w:hint="eastAsia" w:ascii="仿宋_GB2312" w:hAnsi="仿宋_GB2312" w:eastAsia="仿宋_GB2312" w:cs="仿宋_GB2312"/>
          <w:b w:val="0"/>
          <w:bCs w:val="0"/>
          <w:sz w:val="32"/>
          <w:szCs w:val="32"/>
        </w:rPr>
        <w:t>督结果</w:t>
      </w:r>
      <w:r>
        <w:rPr>
          <w:rFonts w:hint="eastAsia" w:ascii="仿宋_GB2312" w:hAnsi="仿宋_GB2312" w:eastAsia="仿宋_GB2312" w:cs="仿宋_GB2312"/>
          <w:b w:val="0"/>
          <w:bCs w:val="0"/>
          <w:sz w:val="32"/>
          <w:szCs w:val="32"/>
          <w:lang w:eastAsia="zh-CN"/>
        </w:rPr>
        <w:t>等信息</w:t>
      </w:r>
      <w:r>
        <w:rPr>
          <w:rFonts w:hint="eastAsia" w:ascii="仿宋_GB2312" w:hAnsi="仿宋_GB2312" w:eastAsia="仿宋_GB2312" w:cs="仿宋_GB2312"/>
          <w:b w:val="0"/>
          <w:bCs w:val="0"/>
          <w:sz w:val="32"/>
          <w:szCs w:val="32"/>
        </w:rPr>
        <w:t>登记建档，</w:t>
      </w:r>
      <w:r>
        <w:rPr>
          <w:rFonts w:hint="eastAsia" w:ascii="仿宋_GB2312" w:hAnsi="仿宋_GB2312" w:eastAsia="仿宋_GB2312" w:cs="仿宋_GB2312"/>
          <w:b w:val="0"/>
          <w:bCs w:val="0"/>
          <w:sz w:val="32"/>
          <w:szCs w:val="32"/>
          <w:lang w:eastAsia="zh-CN"/>
        </w:rPr>
        <w:t>实行分类</w:t>
      </w:r>
      <w:r>
        <w:rPr>
          <w:rFonts w:hint="eastAsia" w:ascii="仿宋_GB2312" w:hAnsi="仿宋_GB2312" w:eastAsia="仿宋_GB2312" w:cs="仿宋_GB2312"/>
          <w:b w:val="0"/>
          <w:bCs w:val="0"/>
          <w:sz w:val="32"/>
          <w:szCs w:val="32"/>
        </w:rPr>
        <w:t>分级管理并定期向社会公开有关信息。</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第五十三条</w:t>
      </w:r>
      <w:r>
        <w:rPr>
          <w:rFonts w:hint="eastAsia" w:ascii="仿宋_GB2312" w:hAnsi="仿宋_GB2312" w:eastAsia="仿宋_GB2312" w:cs="仿宋_GB2312"/>
          <w:b w:val="0"/>
          <w:bCs w:val="0"/>
          <w:sz w:val="32"/>
          <w:szCs w:val="32"/>
        </w:rPr>
        <w:t xml:space="preserve">  县级以上人民政府</w:t>
      </w:r>
      <w:r>
        <w:rPr>
          <w:rFonts w:hint="eastAsia" w:ascii="仿宋_GB2312" w:hAnsi="仿宋_GB2312" w:eastAsia="仿宋_GB2312" w:cs="仿宋_GB2312"/>
          <w:b w:val="0"/>
          <w:bCs w:val="0"/>
          <w:sz w:val="32"/>
          <w:szCs w:val="32"/>
          <w:lang w:eastAsia="zh-CN"/>
        </w:rPr>
        <w:t>工商行政管理、</w:t>
      </w:r>
      <w:r>
        <w:rPr>
          <w:rFonts w:hint="eastAsia" w:ascii="仿宋_GB2312" w:hAnsi="仿宋_GB2312" w:eastAsia="仿宋_GB2312" w:cs="仿宋_GB2312"/>
          <w:b w:val="0"/>
          <w:bCs w:val="0"/>
          <w:sz w:val="32"/>
          <w:szCs w:val="32"/>
        </w:rPr>
        <w:t>食品药品</w:t>
      </w:r>
      <w:r>
        <w:rPr>
          <w:rFonts w:hint="eastAsia" w:ascii="仿宋_GB2312" w:hAnsi="仿宋_GB2312" w:eastAsia="仿宋_GB2312" w:cs="仿宋_GB2312"/>
          <w:b w:val="0"/>
          <w:bCs w:val="0"/>
          <w:sz w:val="32"/>
          <w:szCs w:val="32"/>
          <w:lang w:eastAsia="zh-CN"/>
        </w:rPr>
        <w:t>监督管理</w:t>
      </w:r>
      <w:r>
        <w:rPr>
          <w:rFonts w:hint="eastAsia" w:ascii="仿宋_GB2312" w:hAnsi="仿宋_GB2312" w:eastAsia="仿宋_GB2312" w:cs="仿宋_GB2312"/>
          <w:b w:val="0"/>
          <w:bCs w:val="0"/>
          <w:sz w:val="32"/>
          <w:szCs w:val="32"/>
        </w:rPr>
        <w:t>等相关市场</w:t>
      </w:r>
      <w:r>
        <w:rPr>
          <w:rFonts w:hint="eastAsia" w:ascii="仿宋_GB2312" w:hAnsi="仿宋_GB2312" w:eastAsia="仿宋_GB2312" w:cs="仿宋_GB2312"/>
          <w:b w:val="0"/>
          <w:bCs w:val="0"/>
          <w:sz w:val="32"/>
          <w:szCs w:val="32"/>
          <w:lang w:eastAsia="zh-CN"/>
        </w:rPr>
        <w:t>监督管</w:t>
      </w:r>
      <w:r>
        <w:rPr>
          <w:rFonts w:hint="eastAsia" w:ascii="仿宋_GB2312" w:hAnsi="仿宋_GB2312" w:eastAsia="仿宋_GB2312" w:cs="仿宋_GB2312"/>
          <w:b w:val="0"/>
          <w:bCs w:val="0"/>
          <w:sz w:val="32"/>
          <w:szCs w:val="32"/>
          <w:lang w:val="en-US" w:eastAsia="zh-CN"/>
        </w:rPr>
        <w:t>理部门应当加强对生产销售假冒伪劣岭南中药材行为的查处，维护</w:t>
      </w:r>
      <w:r>
        <w:rPr>
          <w:rFonts w:hint="eastAsia" w:ascii="仿宋_GB2312" w:hAnsi="仿宋_GB2312" w:eastAsia="仿宋_GB2312" w:cs="仿宋_GB2312"/>
          <w:b w:val="0"/>
          <w:bCs w:val="0"/>
          <w:sz w:val="32"/>
          <w:szCs w:val="32"/>
        </w:rPr>
        <w:t>权利人</w:t>
      </w:r>
      <w:r>
        <w:rPr>
          <w:rFonts w:hint="eastAsia" w:ascii="仿宋_GB2312" w:hAnsi="仿宋_GB2312" w:eastAsia="仿宋_GB2312" w:cs="仿宋_GB2312"/>
          <w:b w:val="0"/>
          <w:bCs w:val="0"/>
          <w:sz w:val="32"/>
          <w:szCs w:val="32"/>
          <w:lang w:eastAsia="zh-CN"/>
        </w:rPr>
        <w:t>和消费者</w:t>
      </w:r>
      <w:r>
        <w:rPr>
          <w:rFonts w:hint="eastAsia" w:ascii="仿宋_GB2312" w:hAnsi="仿宋_GB2312" w:eastAsia="仿宋_GB2312" w:cs="仿宋_GB2312"/>
          <w:b w:val="0"/>
          <w:bCs w:val="0"/>
          <w:sz w:val="32"/>
          <w:szCs w:val="32"/>
        </w:rPr>
        <w:t>的合法权益。</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第五十四条</w:t>
      </w:r>
      <w:r>
        <w:rPr>
          <w:rFonts w:hint="eastAsia" w:ascii="仿宋_GB2312" w:hAnsi="仿宋_GB2312" w:eastAsia="仿宋_GB2312" w:cs="仿宋_GB2312"/>
          <w:b w:val="0"/>
          <w:bCs w:val="0"/>
          <w:sz w:val="32"/>
          <w:szCs w:val="32"/>
        </w:rPr>
        <w:t xml:space="preserve">  县</w:t>
      </w:r>
      <w:r>
        <w:rPr>
          <w:rFonts w:hint="eastAsia" w:ascii="仿宋_GB2312" w:hAnsi="仿宋_GB2312" w:eastAsia="仿宋_GB2312" w:cs="仿宋_GB2312"/>
          <w:b w:val="0"/>
          <w:bCs w:val="0"/>
          <w:sz w:val="32"/>
          <w:szCs w:val="32"/>
          <w:lang w:val="en-US" w:eastAsia="zh-CN"/>
        </w:rPr>
        <w:t>级以上人民政府工商行政管理部门对擅自扩大岭南中药材商标使用范围、非法转让或者未经许可使用岭南中药材商标等行为，应</w:t>
      </w:r>
      <w:r>
        <w:rPr>
          <w:rFonts w:hint="eastAsia" w:ascii="仿宋_GB2312" w:hAnsi="仿宋_GB2312" w:eastAsia="仿宋_GB2312" w:cs="仿宋_GB2312"/>
          <w:b w:val="0"/>
          <w:bCs w:val="0"/>
          <w:sz w:val="32"/>
          <w:szCs w:val="32"/>
        </w:rPr>
        <w:t>当依法予以查处。</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第五十五条</w:t>
      </w:r>
      <w:r>
        <w:rPr>
          <w:rFonts w:hint="eastAsia" w:ascii="仿宋_GB2312" w:hAnsi="仿宋_GB2312" w:eastAsia="仿宋_GB2312" w:cs="仿宋_GB2312"/>
          <w:b w:val="0"/>
          <w:bCs w:val="0"/>
          <w:sz w:val="32"/>
          <w:szCs w:val="32"/>
        </w:rPr>
        <w:t xml:space="preserve">  县级以上人民政府质量监督部门对地理标志产</w:t>
      </w:r>
      <w:r>
        <w:rPr>
          <w:rFonts w:hint="eastAsia" w:ascii="仿宋_GB2312" w:hAnsi="仿宋_GB2312" w:eastAsia="仿宋_GB2312" w:cs="仿宋_GB2312"/>
          <w:b w:val="0"/>
          <w:bCs w:val="0"/>
          <w:sz w:val="32"/>
          <w:szCs w:val="32"/>
          <w:lang w:val="en-US" w:eastAsia="zh-CN"/>
        </w:rPr>
        <w:t>品实施保护，对擅自使用、伪造地理标志名称或者专用标志的，或者使用与专用标志相近、易产生误解的名称或者标识以及可能误导消费者的文字或者图案标识，造成消费者误认为的行为，应当依法予</w:t>
      </w:r>
      <w:r>
        <w:rPr>
          <w:rFonts w:hint="eastAsia" w:ascii="仿宋_GB2312" w:hAnsi="仿宋_GB2312" w:eastAsia="仿宋_GB2312" w:cs="仿宋_GB2312"/>
          <w:b w:val="0"/>
          <w:bCs w:val="0"/>
          <w:sz w:val="32"/>
          <w:szCs w:val="32"/>
        </w:rPr>
        <w:t>以查处。</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第五十六条</w:t>
      </w:r>
      <w:r>
        <w:rPr>
          <w:rFonts w:hint="eastAsia" w:ascii="仿宋_GB2312" w:hAnsi="仿宋_GB2312" w:eastAsia="仿宋_GB2312" w:cs="仿宋_GB2312"/>
          <w:b w:val="0"/>
          <w:bCs w:val="0"/>
          <w:sz w:val="32"/>
          <w:szCs w:val="32"/>
        </w:rPr>
        <w:t xml:space="preserve">  任何单位和个人有权检举和控告违</w:t>
      </w:r>
      <w:r>
        <w:rPr>
          <w:rFonts w:hint="eastAsia" w:ascii="仿宋_GB2312" w:hAnsi="仿宋_GB2312" w:eastAsia="仿宋_GB2312" w:cs="仿宋_GB2312"/>
          <w:b w:val="0"/>
          <w:bCs w:val="0"/>
          <w:sz w:val="32"/>
          <w:szCs w:val="32"/>
          <w:lang w:val="en-US" w:eastAsia="zh-CN"/>
        </w:rPr>
        <w:t>反本条例的行为。有关部门发现违法行为或者收到检举和控告，应当依法处理。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第八章  法律责任</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第五十七条</w:t>
      </w:r>
      <w:r>
        <w:rPr>
          <w:rFonts w:hint="eastAsia" w:ascii="仿宋_GB2312" w:hAnsi="仿宋_GB2312" w:eastAsia="仿宋_GB2312" w:cs="仿宋_GB2312"/>
          <w:b w:val="0"/>
          <w:bCs w:val="0"/>
          <w:sz w:val="32"/>
          <w:szCs w:val="32"/>
        </w:rPr>
        <w:t xml:space="preserve">  违反本条例第二十二条规定，私自采集或者采伐岭南中药材良种繁育基地种质资源的，由县级以上人民政府农业或者林业主管部门处五千元以上</w:t>
      </w:r>
      <w:r>
        <w:rPr>
          <w:rFonts w:hint="eastAsia" w:ascii="仿宋_GB2312" w:hAnsi="仿宋_GB2312" w:eastAsia="仿宋_GB2312" w:cs="仿宋_GB2312"/>
          <w:b w:val="0"/>
          <w:bCs w:val="0"/>
          <w:sz w:val="32"/>
          <w:szCs w:val="32"/>
          <w:lang w:eastAsia="zh-CN"/>
        </w:rPr>
        <w:t>五</w:t>
      </w:r>
      <w:r>
        <w:rPr>
          <w:rFonts w:hint="eastAsia" w:ascii="仿宋_GB2312" w:hAnsi="仿宋_GB2312" w:eastAsia="仿宋_GB2312" w:cs="仿宋_GB2312"/>
          <w:b w:val="0"/>
          <w:bCs w:val="0"/>
          <w:sz w:val="32"/>
          <w:szCs w:val="32"/>
        </w:rPr>
        <w:t>万元以下的罚款；</w:t>
      </w:r>
      <w:r>
        <w:rPr>
          <w:rFonts w:hint="eastAsia" w:ascii="仿宋_GB2312" w:hAnsi="仿宋_GB2312" w:eastAsia="仿宋_GB2312" w:cs="仿宋_GB2312"/>
          <w:b w:val="0"/>
          <w:bCs w:val="0"/>
          <w:sz w:val="32"/>
          <w:szCs w:val="32"/>
          <w:lang w:eastAsia="zh-CN"/>
        </w:rPr>
        <w:t>造成损失的，依法承担赔偿责任</w:t>
      </w:r>
      <w:r>
        <w:rPr>
          <w:rFonts w:hint="eastAsia" w:ascii="仿宋_GB2312" w:hAnsi="仿宋_GB2312" w:eastAsia="仿宋_GB2312" w:cs="仿宋_GB2312"/>
          <w:b w:val="0"/>
          <w:bCs w:val="0"/>
          <w:sz w:val="32"/>
          <w:szCs w:val="32"/>
        </w:rPr>
        <w:t>。</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第五十八条</w:t>
      </w:r>
      <w:r>
        <w:rPr>
          <w:rFonts w:hint="eastAsia" w:ascii="仿宋_GB2312" w:hAnsi="仿宋_GB2312" w:eastAsia="仿宋_GB2312" w:cs="仿宋_GB2312"/>
          <w:b w:val="0"/>
          <w:bCs w:val="0"/>
          <w:sz w:val="32"/>
          <w:szCs w:val="32"/>
        </w:rPr>
        <w:t xml:space="preserve">  违反本条例第二十三条规定，不执行种子种苗生产技术规程，影响岭南中药材生产质量的，由县级以上人民政府农业或者林业主管部门责令改正</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情节严重的，取消政策扶持</w:t>
      </w:r>
      <w:r>
        <w:rPr>
          <w:rFonts w:hint="eastAsia" w:ascii="仿宋_GB2312" w:hAnsi="仿宋_GB2312" w:eastAsia="仿宋_GB2312" w:cs="仿宋_GB2312"/>
          <w:b w:val="0"/>
          <w:bCs w:val="0"/>
          <w:sz w:val="32"/>
          <w:szCs w:val="32"/>
          <w:lang w:val="en-US" w:eastAsia="zh-CN"/>
        </w:rPr>
        <w:t>和财政补贴，并可以追回已经发放的补贴经费，并予以公布。</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eastAsia="zh-CN"/>
        </w:rPr>
      </w:pPr>
      <w:r>
        <w:rPr>
          <w:rFonts w:hint="eastAsia" w:ascii="黑体" w:hAnsi="黑体" w:eastAsia="黑体" w:cs="黑体"/>
          <w:b w:val="0"/>
          <w:bCs w:val="0"/>
          <w:sz w:val="32"/>
          <w:szCs w:val="32"/>
          <w:lang w:eastAsia="zh-CN"/>
        </w:rPr>
        <w:t>第五十九条</w:t>
      </w:r>
      <w:r>
        <w:rPr>
          <w:rFonts w:hint="eastAsia" w:ascii="仿宋_GB2312" w:hAnsi="仿宋_GB2312" w:eastAsia="仿宋_GB2312" w:cs="仿宋_GB2312"/>
          <w:b w:val="0"/>
          <w:bCs w:val="0"/>
          <w:sz w:val="32"/>
          <w:szCs w:val="32"/>
        </w:rPr>
        <w:t xml:space="preserve">  违反本条例第二十五条规定，未执行种子种苗检验、检疫规程，或者经检验、检疫不符合标准</w:t>
      </w:r>
      <w:r>
        <w:rPr>
          <w:rFonts w:hint="eastAsia" w:ascii="仿宋_GB2312" w:hAnsi="仿宋_GB2312" w:eastAsia="仿宋_GB2312" w:cs="仿宋_GB2312"/>
          <w:b w:val="0"/>
          <w:bCs w:val="0"/>
          <w:sz w:val="32"/>
          <w:szCs w:val="32"/>
          <w:lang w:val="en-US" w:eastAsia="zh-CN"/>
        </w:rPr>
        <w:t>仍作为种子种苗使用的，或者假冒岭南中药材良种繁育基地种子种苗产品的，由县级以上人民政府农业或者林业主管部门责令停止生产经营，</w:t>
      </w:r>
      <w:r>
        <w:rPr>
          <w:rFonts w:hint="eastAsia" w:ascii="仿宋_GB2312" w:hAnsi="仿宋_GB2312" w:eastAsia="仿宋_GB2312" w:cs="仿宋_GB2312"/>
          <w:b w:val="0"/>
          <w:bCs w:val="0"/>
          <w:sz w:val="32"/>
          <w:szCs w:val="32"/>
        </w:rPr>
        <w:t>没收违法所得，违法生产经营货值金额不足一万的，并处</w:t>
      </w:r>
      <w:r>
        <w:rPr>
          <w:rFonts w:hint="eastAsia" w:ascii="仿宋_GB2312" w:hAnsi="仿宋_GB2312" w:eastAsia="仿宋_GB2312" w:cs="仿宋_GB2312"/>
          <w:b w:val="0"/>
          <w:bCs w:val="0"/>
          <w:sz w:val="32"/>
          <w:szCs w:val="32"/>
          <w:lang w:eastAsia="zh-CN"/>
        </w:rPr>
        <w:t>五千</w:t>
      </w:r>
      <w:r>
        <w:rPr>
          <w:rFonts w:hint="eastAsia" w:ascii="仿宋_GB2312" w:hAnsi="仿宋_GB2312" w:eastAsia="仿宋_GB2312" w:cs="仿宋_GB2312"/>
          <w:b w:val="0"/>
          <w:bCs w:val="0"/>
          <w:sz w:val="32"/>
          <w:szCs w:val="32"/>
        </w:rPr>
        <w:t>元以上五万元以下的罚款；货值金额一万元以上的，并处货值金额五倍以上十倍以下的罚款</w:t>
      </w:r>
      <w:r>
        <w:rPr>
          <w:rFonts w:hint="eastAsia" w:ascii="仿宋_GB2312" w:hAnsi="仿宋_GB2312" w:eastAsia="仿宋_GB2312" w:cs="仿宋_GB2312"/>
          <w:b w:val="0"/>
          <w:bCs w:val="0"/>
          <w:sz w:val="32"/>
          <w:szCs w:val="32"/>
          <w:lang w:eastAsia="zh-CN"/>
        </w:rPr>
        <w:t>；造成损失的，依法承担赔偿责任。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第六十条</w:t>
      </w:r>
      <w:r>
        <w:rPr>
          <w:rFonts w:hint="eastAsia" w:ascii="仿宋_GB2312" w:hAnsi="仿宋_GB2312" w:eastAsia="仿宋_GB2312" w:cs="仿宋_GB2312"/>
          <w:b w:val="0"/>
          <w:bCs w:val="0"/>
          <w:sz w:val="32"/>
          <w:szCs w:val="32"/>
        </w:rPr>
        <w:t xml:space="preserve">  违反本条例第</w:t>
      </w:r>
      <w:r>
        <w:rPr>
          <w:rFonts w:hint="eastAsia" w:ascii="仿宋_GB2312" w:hAnsi="仿宋_GB2312" w:eastAsia="仿宋_GB2312" w:cs="仿宋_GB2312"/>
          <w:b w:val="0"/>
          <w:bCs w:val="0"/>
          <w:sz w:val="32"/>
          <w:szCs w:val="32"/>
          <w:lang w:eastAsia="zh-CN"/>
        </w:rPr>
        <w:t>二十九</w:t>
      </w:r>
      <w:r>
        <w:rPr>
          <w:rFonts w:hint="eastAsia" w:ascii="仿宋_GB2312" w:hAnsi="仿宋_GB2312" w:eastAsia="仿宋_GB2312" w:cs="仿宋_GB2312"/>
          <w:b w:val="0"/>
          <w:bCs w:val="0"/>
          <w:sz w:val="32"/>
          <w:szCs w:val="32"/>
        </w:rPr>
        <w:t>条规定，影响岭南</w:t>
      </w:r>
      <w:r>
        <w:rPr>
          <w:rFonts w:hint="eastAsia" w:ascii="仿宋_GB2312" w:hAnsi="仿宋_GB2312" w:eastAsia="仿宋_GB2312" w:cs="仿宋_GB2312"/>
          <w:b w:val="0"/>
          <w:bCs w:val="0"/>
          <w:sz w:val="32"/>
          <w:szCs w:val="32"/>
          <w:lang w:val="en-US" w:eastAsia="zh-CN"/>
        </w:rPr>
        <w:t>中药材生产的生态环境，对岭南中药材产地造成破坏的，由县级以上人</w:t>
      </w:r>
      <w:r>
        <w:rPr>
          <w:rFonts w:hint="eastAsia" w:ascii="仿宋_GB2312" w:hAnsi="仿宋_GB2312" w:eastAsia="仿宋_GB2312" w:cs="仿宋_GB2312"/>
          <w:b w:val="0"/>
          <w:bCs w:val="0"/>
          <w:sz w:val="32"/>
          <w:szCs w:val="32"/>
        </w:rPr>
        <w:t>民政府</w:t>
      </w:r>
      <w:r>
        <w:rPr>
          <w:rFonts w:hint="eastAsia" w:ascii="仿宋_GB2312" w:hAnsi="仿宋_GB2312" w:eastAsia="仿宋_GB2312" w:cs="仿宋_GB2312"/>
          <w:b w:val="0"/>
          <w:bCs w:val="0"/>
          <w:sz w:val="32"/>
          <w:szCs w:val="32"/>
          <w:lang w:eastAsia="zh-CN"/>
        </w:rPr>
        <w:t>农业或者林业</w:t>
      </w:r>
      <w:r>
        <w:rPr>
          <w:rFonts w:hint="eastAsia" w:ascii="仿宋_GB2312" w:hAnsi="仿宋_GB2312" w:eastAsia="仿宋_GB2312" w:cs="仿宋_GB2312"/>
          <w:b w:val="0"/>
          <w:bCs w:val="0"/>
          <w:sz w:val="32"/>
          <w:szCs w:val="32"/>
        </w:rPr>
        <w:t>主管部门责令改正，</w:t>
      </w:r>
      <w:r>
        <w:rPr>
          <w:rFonts w:hint="eastAsia" w:ascii="仿宋_GB2312" w:hAnsi="仿宋_GB2312" w:eastAsia="仿宋_GB2312" w:cs="仿宋_GB2312"/>
          <w:b w:val="0"/>
          <w:bCs w:val="0"/>
          <w:sz w:val="32"/>
          <w:szCs w:val="32"/>
          <w:lang w:eastAsia="zh-CN"/>
        </w:rPr>
        <w:t>恢复原状，并</w:t>
      </w:r>
      <w:r>
        <w:rPr>
          <w:rFonts w:hint="eastAsia" w:ascii="仿宋_GB2312" w:hAnsi="仿宋_GB2312" w:eastAsia="仿宋_GB2312" w:cs="仿宋_GB2312"/>
          <w:b w:val="0"/>
          <w:bCs w:val="0"/>
          <w:sz w:val="32"/>
          <w:szCs w:val="32"/>
        </w:rPr>
        <w:t>处五万元以上十万元以下的罚款。</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第六十一条</w:t>
      </w:r>
      <w:r>
        <w:rPr>
          <w:rFonts w:hint="eastAsia" w:ascii="仿宋_GB2312" w:hAnsi="仿宋_GB2312" w:eastAsia="仿宋_GB2312" w:cs="仿宋_GB2312"/>
          <w:b w:val="0"/>
          <w:bCs w:val="0"/>
          <w:sz w:val="32"/>
          <w:szCs w:val="32"/>
        </w:rPr>
        <w:t xml:space="preserve">  违反本条例第三十条第一款规定，在优质岭南中药材生产基地及周边新建、改建、扩建影响岭南中药材生产的建设项目的，由县级以上人民政府</w:t>
      </w:r>
      <w:r>
        <w:rPr>
          <w:rFonts w:hint="eastAsia" w:ascii="仿宋_GB2312" w:hAnsi="仿宋_GB2312" w:eastAsia="仿宋_GB2312" w:cs="仿宋_GB2312"/>
          <w:b w:val="0"/>
          <w:bCs w:val="0"/>
          <w:sz w:val="32"/>
          <w:szCs w:val="32"/>
          <w:lang w:eastAsia="zh-CN"/>
        </w:rPr>
        <w:t>相关</w:t>
      </w:r>
      <w:r>
        <w:rPr>
          <w:rFonts w:hint="eastAsia" w:ascii="仿宋_GB2312" w:hAnsi="仿宋_GB2312" w:eastAsia="仿宋_GB2312" w:cs="仿宋_GB2312"/>
          <w:b w:val="0"/>
          <w:bCs w:val="0"/>
          <w:sz w:val="32"/>
          <w:szCs w:val="32"/>
        </w:rPr>
        <w:t>部门依法责令改正，恢复原状，并处五千元以上三万元以下的罚款；情节严重的，处三万元以上五万元以下的罚款。</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第六十二条</w:t>
      </w:r>
      <w:r>
        <w:rPr>
          <w:rFonts w:hint="eastAsia" w:ascii="仿宋_GB2312" w:hAnsi="仿宋_GB2312" w:eastAsia="仿宋_GB2312" w:cs="仿宋_GB2312"/>
          <w:b w:val="0"/>
          <w:bCs w:val="0"/>
          <w:sz w:val="32"/>
          <w:szCs w:val="32"/>
        </w:rPr>
        <w:t xml:space="preserve">  违反本条例</w:t>
      </w:r>
      <w:r>
        <w:rPr>
          <w:rFonts w:hint="eastAsia" w:ascii="仿宋_GB2312" w:hAnsi="仿宋_GB2312" w:eastAsia="仿宋_GB2312" w:cs="仿宋_GB2312"/>
          <w:b w:val="0"/>
          <w:bCs w:val="0"/>
          <w:sz w:val="32"/>
          <w:szCs w:val="32"/>
          <w:lang w:eastAsia="zh-CN"/>
        </w:rPr>
        <w:t>第</w:t>
      </w:r>
      <w:r>
        <w:rPr>
          <w:rFonts w:hint="eastAsia" w:ascii="仿宋_GB2312" w:hAnsi="仿宋_GB2312" w:eastAsia="仿宋_GB2312" w:cs="仿宋_GB2312"/>
          <w:b w:val="0"/>
          <w:bCs w:val="0"/>
          <w:sz w:val="32"/>
          <w:szCs w:val="32"/>
        </w:rPr>
        <w:t>三十三条规定，未按照保护种类种植技术规程进行生产的，由县级以上人民政府农业或者</w:t>
      </w:r>
      <w:r>
        <w:rPr>
          <w:rFonts w:hint="eastAsia" w:ascii="仿宋_GB2312" w:hAnsi="仿宋_GB2312" w:eastAsia="仿宋_GB2312" w:cs="仿宋_GB2312"/>
          <w:b w:val="0"/>
          <w:bCs w:val="0"/>
          <w:sz w:val="32"/>
          <w:szCs w:val="32"/>
          <w:lang w:val="en-US" w:eastAsia="zh-CN"/>
        </w:rPr>
        <w:t>林业主管部门责令改正；情节严重的，</w:t>
      </w:r>
      <w:r>
        <w:rPr>
          <w:rFonts w:hint="eastAsia" w:ascii="仿宋_GB2312" w:hAnsi="仿宋_GB2312" w:eastAsia="仿宋_GB2312" w:cs="仿宋_GB2312"/>
          <w:b w:val="0"/>
          <w:bCs w:val="0"/>
          <w:sz w:val="32"/>
          <w:szCs w:val="32"/>
        </w:rPr>
        <w:t>取消政策扶持</w:t>
      </w:r>
      <w:r>
        <w:rPr>
          <w:rFonts w:hint="eastAsia" w:ascii="仿宋_GB2312" w:hAnsi="仿宋_GB2312" w:eastAsia="仿宋_GB2312" w:cs="仿宋_GB2312"/>
          <w:b w:val="0"/>
          <w:bCs w:val="0"/>
          <w:sz w:val="32"/>
          <w:szCs w:val="32"/>
          <w:lang w:val="en-US" w:eastAsia="zh-CN"/>
        </w:rPr>
        <w:t>和财政补贴，并可以追回已经发放的补贴经费，并予以公布。</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第六十三条</w:t>
      </w:r>
      <w:r>
        <w:rPr>
          <w:rFonts w:hint="eastAsia" w:ascii="仿宋_GB2312" w:hAnsi="仿宋_GB2312" w:eastAsia="仿宋_GB2312" w:cs="仿宋_GB2312"/>
          <w:b w:val="0"/>
          <w:bCs w:val="0"/>
          <w:sz w:val="32"/>
          <w:szCs w:val="32"/>
        </w:rPr>
        <w:t xml:space="preserve">  违反本条例第三十四条规定，</w:t>
      </w:r>
      <w:r>
        <w:rPr>
          <w:rFonts w:hint="eastAsia" w:ascii="仿宋_GB2312" w:hAnsi="仿宋_GB2312" w:eastAsia="仿宋_GB2312" w:cs="仿宋_GB2312"/>
          <w:b w:val="0"/>
          <w:bCs w:val="0"/>
          <w:sz w:val="32"/>
          <w:szCs w:val="32"/>
          <w:lang w:eastAsia="zh-CN"/>
        </w:rPr>
        <w:t>使用国家禁用、淘汰的种植投入品，或者</w:t>
      </w:r>
      <w:r>
        <w:rPr>
          <w:rFonts w:hint="eastAsia" w:ascii="仿宋_GB2312" w:hAnsi="仿宋_GB2312" w:eastAsia="仿宋_GB2312" w:cs="仿宋_GB2312"/>
          <w:b w:val="0"/>
          <w:bCs w:val="0"/>
          <w:sz w:val="32"/>
          <w:szCs w:val="32"/>
        </w:rPr>
        <w:t>使用高毒、剧毒</w:t>
      </w:r>
      <w:r>
        <w:rPr>
          <w:rFonts w:hint="eastAsia" w:ascii="仿宋_GB2312" w:hAnsi="仿宋_GB2312" w:eastAsia="仿宋_GB2312" w:cs="仿宋_GB2312"/>
          <w:b w:val="0"/>
          <w:bCs w:val="0"/>
          <w:sz w:val="32"/>
          <w:szCs w:val="32"/>
          <w:lang w:eastAsia="zh-CN"/>
        </w:rPr>
        <w:t>及高残留</w:t>
      </w:r>
      <w:r>
        <w:rPr>
          <w:rFonts w:hint="eastAsia" w:ascii="仿宋_GB2312" w:hAnsi="仿宋_GB2312" w:eastAsia="仿宋_GB2312" w:cs="仿宋_GB2312"/>
          <w:b w:val="0"/>
          <w:bCs w:val="0"/>
          <w:sz w:val="32"/>
          <w:szCs w:val="32"/>
        </w:rPr>
        <w:t>农药，或者滥用农药、抗生素、化肥、植物生长调节剂和除草剂的，由县级以</w:t>
      </w:r>
      <w:r>
        <w:rPr>
          <w:rFonts w:hint="eastAsia" w:ascii="仿宋_GB2312" w:hAnsi="仿宋_GB2312" w:eastAsia="仿宋_GB2312" w:cs="仿宋_GB2312"/>
          <w:b w:val="0"/>
          <w:bCs w:val="0"/>
          <w:sz w:val="32"/>
          <w:szCs w:val="32"/>
          <w:lang w:val="en-US" w:eastAsia="zh-CN"/>
        </w:rPr>
        <w:t>上人民政府农业或者林业主管部门处五千元以上二万元以下的罚款；造成他人人身伤害、财产损失的，依法承担赔偿责任；构成犯罪的，依法追究刑事责任。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第六十四条</w:t>
      </w:r>
      <w:r>
        <w:rPr>
          <w:rFonts w:hint="eastAsia" w:ascii="仿宋_GB2312" w:hAnsi="仿宋_GB2312" w:eastAsia="仿宋_GB2312" w:cs="仿宋_GB2312"/>
          <w:b w:val="0"/>
          <w:bCs w:val="0"/>
          <w:sz w:val="32"/>
          <w:szCs w:val="32"/>
        </w:rPr>
        <w:t xml:space="preserve">  违反本条例规定，侵犯他人注册商标</w:t>
      </w:r>
      <w:r>
        <w:rPr>
          <w:rFonts w:hint="eastAsia" w:ascii="仿宋_GB2312" w:hAnsi="仿宋_GB2312" w:eastAsia="仿宋_GB2312" w:cs="仿宋_GB2312"/>
          <w:b w:val="0"/>
          <w:bCs w:val="0"/>
          <w:sz w:val="32"/>
          <w:szCs w:val="32"/>
          <w:lang w:eastAsia="zh-CN"/>
        </w:rPr>
        <w:t>、域名</w:t>
      </w:r>
      <w:r>
        <w:rPr>
          <w:rFonts w:hint="eastAsia" w:ascii="仿宋_GB2312" w:hAnsi="仿宋_GB2312" w:eastAsia="仿宋_GB2312" w:cs="仿宋_GB2312"/>
          <w:b w:val="0"/>
          <w:bCs w:val="0"/>
          <w:sz w:val="32"/>
          <w:szCs w:val="32"/>
        </w:rPr>
        <w:t>专用权，违反集体商标、证明商标相关规定使用商标，或者未经许可使用地</w:t>
      </w:r>
      <w:r>
        <w:rPr>
          <w:rFonts w:hint="eastAsia" w:ascii="仿宋_GB2312" w:hAnsi="仿宋_GB2312" w:eastAsia="仿宋_GB2312" w:cs="仿宋_GB2312"/>
          <w:b w:val="0"/>
          <w:bCs w:val="0"/>
          <w:sz w:val="32"/>
          <w:szCs w:val="32"/>
          <w:lang w:val="en-US" w:eastAsia="zh-CN"/>
        </w:rPr>
        <w:t>理标志、与地理标志相近似标识的，应当依法承担民事、行政责任；构成犯罪的，依法追究刑事责任。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第六十五条</w:t>
      </w:r>
      <w:r>
        <w:rPr>
          <w:rFonts w:hint="eastAsia" w:ascii="仿宋_GB2312" w:hAnsi="仿宋_GB2312" w:eastAsia="仿宋_GB2312" w:cs="仿宋_GB2312"/>
          <w:b w:val="0"/>
          <w:bCs w:val="0"/>
          <w:sz w:val="32"/>
          <w:szCs w:val="32"/>
        </w:rPr>
        <w:t xml:space="preserve">  违反本条例第五十六条规定，县级以上人民政府有关部门发现违法行为或者收到检举和控告，不依</w:t>
      </w:r>
      <w:r>
        <w:rPr>
          <w:rFonts w:hint="eastAsia" w:ascii="仿宋_GB2312" w:hAnsi="仿宋_GB2312" w:eastAsia="仿宋_GB2312" w:cs="仿宋_GB2312"/>
          <w:b w:val="0"/>
          <w:bCs w:val="0"/>
          <w:sz w:val="32"/>
          <w:szCs w:val="32"/>
          <w:lang w:val="en-US" w:eastAsia="zh-CN"/>
        </w:rPr>
        <w:t>法处理的，</w:t>
      </w:r>
      <w:r>
        <w:rPr>
          <w:rFonts w:hint="eastAsia" w:ascii="仿宋_GB2312" w:hAnsi="仿宋_GB2312" w:eastAsia="仿宋_GB2312" w:cs="仿宋_GB2312"/>
          <w:b w:val="0"/>
          <w:bCs w:val="0"/>
          <w:sz w:val="32"/>
          <w:szCs w:val="32"/>
        </w:rPr>
        <w:t>由本级人民政府或者上一级人民政府主管部门责令改正，对直接负责的主管人员和其他直接责任人员依法给予处分。</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黑体" w:hAnsi="黑体" w:eastAsia="黑体" w:cs="黑体"/>
          <w:b w:val="0"/>
          <w:bCs w:val="0"/>
          <w:sz w:val="32"/>
          <w:szCs w:val="32"/>
          <w:lang w:eastAsia="zh-CN"/>
        </w:rPr>
        <w:t>第六十六条</w:t>
      </w:r>
      <w:r>
        <w:rPr>
          <w:rFonts w:hint="eastAsia" w:ascii="仿宋_GB2312" w:hAnsi="仿宋_GB2312" w:eastAsia="仿宋_GB2312" w:cs="仿宋_GB2312"/>
          <w:b w:val="0"/>
          <w:bCs w:val="0"/>
          <w:sz w:val="32"/>
          <w:szCs w:val="32"/>
        </w:rPr>
        <w:t xml:space="preserve">  县级以上人民政府有关部门及其</w:t>
      </w:r>
      <w:r>
        <w:rPr>
          <w:rFonts w:hint="eastAsia" w:ascii="仿宋_GB2312" w:hAnsi="仿宋_GB2312" w:eastAsia="仿宋_GB2312" w:cs="仿宋_GB2312"/>
          <w:b w:val="0"/>
          <w:bCs w:val="0"/>
          <w:sz w:val="32"/>
          <w:szCs w:val="32"/>
          <w:lang w:eastAsia="zh-CN"/>
        </w:rPr>
        <w:t>依托开展专业检查评审等</w:t>
      </w:r>
      <w:r>
        <w:rPr>
          <w:rFonts w:hint="eastAsia" w:ascii="仿宋_GB2312" w:hAnsi="仿宋_GB2312" w:eastAsia="仿宋_GB2312" w:cs="仿宋_GB2312"/>
          <w:b w:val="0"/>
          <w:bCs w:val="0"/>
          <w:sz w:val="32"/>
          <w:szCs w:val="32"/>
        </w:rPr>
        <w:t>工作</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人员在岭南中药材保护工作中滥用职权、徇私舞弊、玩忽职守的，对直接负责的主管人员和其他直接责任人员依法给予处分；构成犯罪的，依法追究刑事责任。</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p>
    <w:p>
      <w:pPr>
        <w:widowControl w:val="0"/>
        <w:wordWrap/>
        <w:adjustRightInd/>
        <w:snapToGrid/>
        <w:spacing w:line="560" w:lineRule="exact"/>
        <w:ind w:right="0"/>
        <w:jc w:val="center"/>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第九章  附则</w:t>
      </w:r>
    </w:p>
    <w:p>
      <w:pPr>
        <w:widowControl w:val="0"/>
        <w:wordWrap/>
        <w:adjustRightInd/>
        <w:snapToGrid/>
        <w:spacing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 xml:space="preserve">    第六十七条</w:t>
      </w:r>
      <w:r>
        <w:rPr>
          <w:rFonts w:hint="eastAsia" w:ascii="仿宋_GB2312" w:hAnsi="仿宋_GB2312" w:eastAsia="仿宋_GB2312" w:cs="仿宋_GB2312"/>
          <w:b w:val="0"/>
          <w:bCs w:val="0"/>
          <w:sz w:val="32"/>
          <w:szCs w:val="32"/>
          <w:lang w:val="en-US" w:eastAsia="zh-CN"/>
        </w:rPr>
        <w:t xml:space="preserve">  保护的岭南中药材种类名称，应当沿用《中华人民共和国药典》及其他法定名录中的名称。</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 xml:space="preserve">    第六十八条</w:t>
      </w:r>
      <w:r>
        <w:rPr>
          <w:rFonts w:hint="eastAsia" w:ascii="仿宋_GB2312" w:hAnsi="仿宋_GB2312" w:eastAsia="仿宋_GB2312" w:cs="仿宋_GB2312"/>
          <w:b w:val="0"/>
          <w:bCs w:val="0"/>
          <w:sz w:val="32"/>
          <w:szCs w:val="32"/>
        </w:rPr>
        <w:t xml:space="preserve">  本条例自</w:t>
      </w:r>
      <w:r>
        <w:rPr>
          <w:rFonts w:hint="eastAsia" w:ascii="仿宋_GB2312" w:hAnsi="仿宋_GB2312" w:eastAsia="仿宋_GB2312" w:cs="仿宋_GB2312"/>
          <w:b w:val="0"/>
          <w:bCs w:val="0"/>
          <w:sz w:val="32"/>
          <w:szCs w:val="32"/>
          <w:lang w:val="en-US" w:eastAsia="zh-CN"/>
        </w:rPr>
        <w:t>2017</w:t>
      </w:r>
      <w:r>
        <w:rPr>
          <w:rFonts w:hint="eastAsia" w:ascii="仿宋_GB2312" w:hAnsi="仿宋_GB2312" w:eastAsia="仿宋_GB2312" w:cs="仿宋_GB2312"/>
          <w:b w:val="0"/>
          <w:bCs w:val="0"/>
          <w:sz w:val="32"/>
          <w:szCs w:val="32"/>
        </w:rPr>
        <w:t>年</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月</w:t>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日起施行。</w:t>
      </w:r>
    </w:p>
    <w:p>
      <w:pPr>
        <w:widowControl w:val="0"/>
        <w:wordWrap/>
        <w:adjustRightInd/>
        <w:snapToGrid/>
        <w:spacing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37" w:name="_Toc3344"/>
      <w:r>
        <w:rPr>
          <w:rFonts w:hint="eastAsia" w:ascii="宋体" w:hAnsi="宋体" w:eastAsia="宋体" w:cs="宋体"/>
          <w:color w:val="000000"/>
          <w:sz w:val="44"/>
          <w:szCs w:val="44"/>
        </w:rPr>
        <w:t>广东省爱国卫生工作条例</w:t>
      </w:r>
      <w:bookmarkEnd w:id="437"/>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方正小标宋简体" w:cs="方正小标宋简体"/>
          <w:kern w:val="2"/>
          <w:sz w:val="32"/>
          <w:szCs w:val="32"/>
          <w:lang w:val="en-US" w:eastAsia="zh-CN" w:bidi="ar-SA"/>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color w:val="000000"/>
          <w:kern w:val="2"/>
          <w:sz w:val="32"/>
          <w:szCs w:val="32"/>
          <w:lang w:val="en-US" w:eastAsia="zh-CN" w:bidi="ar-SA"/>
        </w:rPr>
      </w:pPr>
      <w:r>
        <w:rPr>
          <w:rFonts w:hint="eastAsia" w:ascii="宋体" w:hAnsi="宋体" w:eastAsia="楷体_GB2312" w:cs="楷体_GB2312"/>
          <w:color w:val="000000"/>
          <w:kern w:val="2"/>
          <w:sz w:val="32"/>
          <w:szCs w:val="32"/>
          <w:lang w:val="en-US" w:eastAsia="zh-CN" w:bidi="ar-SA"/>
        </w:rPr>
        <w:t>（2003年7月25日广东省第十届人民代表大会常务委员会第五次会议通过  2018年11月29日广东省第十三届人民代表大会常务委员会第七次会议修订）</w:t>
      </w:r>
    </w:p>
    <w:p>
      <w:pPr>
        <w:widowControl w:val="0"/>
        <w:wordWrap/>
        <w:overflowPunct w:val="0"/>
        <w:adjustRightInd/>
        <w:snapToGrid/>
        <w:spacing w:beforeAutospacing="0" w:afterAutospacing="0" w:line="560" w:lineRule="exact"/>
        <w:ind w:left="640" w:leftChars="200" w:right="640" w:rightChars="200"/>
        <w:jc w:val="both"/>
        <w:textAlignment w:val="auto"/>
        <w:outlineLvl w:val="9"/>
        <w:rPr>
          <w:rFonts w:hint="eastAsia" w:ascii="宋体" w:hAnsi="宋体" w:eastAsia="楷体_GB2312" w:cs="Times New Roman"/>
          <w:kern w:val="2"/>
          <w:sz w:val="32"/>
          <w:szCs w:val="32"/>
          <w:lang w:val="en-US" w:eastAsia="zh-CN" w:bidi="ar-SA"/>
        </w:rPr>
      </w:pPr>
    </w:p>
    <w:p>
      <w:pPr>
        <w:widowControl w:val="0"/>
        <w:wordWrap/>
        <w:overflowPunct w:val="0"/>
        <w:spacing w:beforeAutospacing="0" w:afterAutospacing="0" w:line="560" w:lineRule="exact"/>
        <w:jc w:val="center"/>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 xml:space="preserve">目 </w:t>
      </w:r>
      <w:r>
        <w:rPr>
          <w:rFonts w:hint="eastAsia" w:ascii="宋体" w:hAnsi="宋体" w:eastAsia="楷体_GB2312" w:cs="楷体"/>
          <w:color w:val="000000"/>
          <w:sz w:val="32"/>
          <w:szCs w:val="32"/>
          <w:lang w:val="en-US" w:eastAsia="zh-CN"/>
        </w:rPr>
        <w:t xml:space="preserve">  </w:t>
      </w:r>
      <w:r>
        <w:rPr>
          <w:rFonts w:hint="eastAsia" w:ascii="宋体" w:hAnsi="宋体" w:eastAsia="楷体_GB2312" w:cs="楷体"/>
          <w:color w:val="000000"/>
          <w:sz w:val="32"/>
          <w:szCs w:val="32"/>
        </w:rPr>
        <w:t xml:space="preserve"> 录</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第一章  总则</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lang w:eastAsia="zh-CN"/>
        </w:rPr>
      </w:pPr>
      <w:r>
        <w:rPr>
          <w:rFonts w:hint="eastAsia" w:ascii="宋体" w:hAnsi="宋体" w:eastAsia="楷体_GB2312" w:cs="楷体"/>
          <w:color w:val="000000"/>
          <w:sz w:val="32"/>
          <w:szCs w:val="32"/>
        </w:rPr>
        <w:t xml:space="preserve">第二章  </w:t>
      </w:r>
      <w:r>
        <w:rPr>
          <w:rFonts w:hint="eastAsia" w:ascii="宋体" w:hAnsi="宋体" w:eastAsia="楷体_GB2312" w:cs="楷体"/>
          <w:color w:val="000000"/>
          <w:sz w:val="32"/>
          <w:szCs w:val="32"/>
          <w:lang w:eastAsia="zh-CN"/>
        </w:rPr>
        <w:t>组织和职责</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lang w:eastAsia="zh-CN"/>
        </w:rPr>
      </w:pPr>
      <w:r>
        <w:rPr>
          <w:rFonts w:hint="eastAsia" w:ascii="宋体" w:hAnsi="宋体" w:eastAsia="楷体_GB2312" w:cs="楷体"/>
          <w:color w:val="000000"/>
          <w:sz w:val="32"/>
          <w:szCs w:val="32"/>
        </w:rPr>
        <w:t xml:space="preserve">第三章  </w:t>
      </w:r>
      <w:r>
        <w:rPr>
          <w:rFonts w:hint="eastAsia" w:ascii="宋体" w:hAnsi="宋体" w:eastAsia="楷体_GB2312" w:cs="楷体"/>
          <w:color w:val="000000"/>
          <w:sz w:val="32"/>
          <w:szCs w:val="32"/>
          <w:lang w:eastAsia="zh-CN"/>
        </w:rPr>
        <w:t>环境卫生治理</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第四章</w:t>
      </w:r>
      <w:r>
        <w:rPr>
          <w:rFonts w:hint="eastAsia" w:ascii="宋体" w:hAnsi="宋体" w:eastAsia="楷体_GB2312" w:cs="楷体"/>
          <w:color w:val="000000"/>
          <w:sz w:val="32"/>
          <w:szCs w:val="32"/>
          <w:lang w:val="en-US" w:eastAsia="zh-CN"/>
        </w:rPr>
        <w:t xml:space="preserve">  </w:t>
      </w:r>
      <w:r>
        <w:rPr>
          <w:rFonts w:hint="eastAsia" w:ascii="宋体" w:hAnsi="宋体" w:eastAsia="楷体_GB2312"/>
          <w:sz w:val="32"/>
          <w:szCs w:val="32"/>
          <w:lang w:val="en-US" w:eastAsia="zh-CN"/>
        </w:rPr>
        <w:t>厕所建设管理</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rPr>
      </w:pPr>
      <w:r>
        <w:rPr>
          <w:rFonts w:hint="eastAsia" w:ascii="宋体" w:hAnsi="宋体" w:eastAsia="楷体_GB2312" w:cs="楷体"/>
          <w:color w:val="000000"/>
          <w:sz w:val="32"/>
          <w:szCs w:val="32"/>
        </w:rPr>
        <w:t>第</w:t>
      </w:r>
      <w:r>
        <w:rPr>
          <w:rFonts w:hint="eastAsia" w:ascii="宋体" w:hAnsi="宋体" w:eastAsia="楷体_GB2312" w:cs="楷体"/>
          <w:color w:val="000000"/>
          <w:sz w:val="32"/>
          <w:szCs w:val="32"/>
          <w:lang w:eastAsia="zh-CN"/>
        </w:rPr>
        <w:t>五</w:t>
      </w:r>
      <w:r>
        <w:rPr>
          <w:rFonts w:hint="eastAsia" w:ascii="宋体" w:hAnsi="宋体" w:eastAsia="楷体_GB2312" w:cs="楷体"/>
          <w:color w:val="000000"/>
          <w:sz w:val="32"/>
          <w:szCs w:val="32"/>
        </w:rPr>
        <w:t xml:space="preserve">章  </w:t>
      </w:r>
      <w:r>
        <w:rPr>
          <w:rFonts w:hint="eastAsia" w:ascii="宋体" w:hAnsi="宋体" w:eastAsia="楷体_GB2312"/>
          <w:sz w:val="32"/>
          <w:szCs w:val="32"/>
          <w:lang w:val="en-US" w:eastAsia="zh-CN"/>
        </w:rPr>
        <w:t>病媒生物预防控制</w:t>
      </w:r>
    </w:p>
    <w:p>
      <w:pPr>
        <w:widowControl w:val="0"/>
        <w:wordWrap/>
        <w:overflowPunct w:val="0"/>
        <w:spacing w:beforeAutospacing="0" w:afterAutospacing="0" w:line="560" w:lineRule="exact"/>
        <w:ind w:firstLine="640" w:firstLineChars="200"/>
        <w:jc w:val="left"/>
        <w:textAlignment w:val="auto"/>
        <w:rPr>
          <w:rFonts w:hint="eastAsia" w:ascii="宋体" w:hAnsi="宋体"/>
          <w:sz w:val="32"/>
          <w:szCs w:val="32"/>
        </w:rPr>
      </w:pPr>
      <w:r>
        <w:rPr>
          <w:rFonts w:hint="eastAsia" w:ascii="宋体" w:hAnsi="宋体" w:eastAsia="楷体_GB2312" w:cs="楷体"/>
          <w:color w:val="000000"/>
          <w:sz w:val="32"/>
          <w:szCs w:val="32"/>
        </w:rPr>
        <w:t>第</w:t>
      </w:r>
      <w:r>
        <w:rPr>
          <w:rFonts w:hint="eastAsia" w:ascii="宋体" w:hAnsi="宋体" w:eastAsia="楷体_GB2312" w:cs="楷体"/>
          <w:color w:val="000000"/>
          <w:sz w:val="32"/>
          <w:szCs w:val="32"/>
          <w:lang w:eastAsia="zh-CN"/>
        </w:rPr>
        <w:t>六</w:t>
      </w:r>
      <w:r>
        <w:rPr>
          <w:rFonts w:hint="eastAsia" w:ascii="宋体" w:hAnsi="宋体" w:eastAsia="楷体_GB2312" w:cs="楷体"/>
          <w:color w:val="000000"/>
          <w:sz w:val="32"/>
          <w:szCs w:val="32"/>
        </w:rPr>
        <w:t xml:space="preserve">章  </w:t>
      </w:r>
      <w:r>
        <w:rPr>
          <w:rFonts w:hint="eastAsia" w:ascii="宋体" w:hAnsi="宋体" w:eastAsia="楷体_GB2312"/>
          <w:sz w:val="32"/>
          <w:szCs w:val="32"/>
          <w:lang w:val="en-US" w:eastAsia="zh-CN"/>
        </w:rPr>
        <w:t>吸烟控制</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sz w:val="32"/>
          <w:szCs w:val="32"/>
          <w:lang w:val="en-US" w:eastAsia="zh-CN"/>
        </w:rPr>
      </w:pPr>
      <w:r>
        <w:rPr>
          <w:rFonts w:hint="eastAsia" w:ascii="宋体" w:hAnsi="宋体" w:eastAsia="楷体_GB2312" w:cs="楷体"/>
          <w:color w:val="000000"/>
          <w:sz w:val="32"/>
          <w:szCs w:val="32"/>
        </w:rPr>
        <w:t xml:space="preserve">第七章  </w:t>
      </w:r>
      <w:r>
        <w:rPr>
          <w:rFonts w:hint="eastAsia" w:ascii="宋体" w:hAnsi="宋体" w:eastAsia="楷体_GB2312"/>
          <w:sz w:val="32"/>
          <w:szCs w:val="32"/>
          <w:lang w:val="en-US" w:eastAsia="zh-CN"/>
        </w:rPr>
        <w:t>健康促进与教育</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sz w:val="32"/>
          <w:szCs w:val="32"/>
          <w:lang w:val="en-US" w:eastAsia="zh-CN"/>
        </w:rPr>
      </w:pPr>
      <w:r>
        <w:rPr>
          <w:rFonts w:hint="eastAsia" w:ascii="宋体" w:hAnsi="宋体" w:eastAsia="楷体_GB2312"/>
          <w:sz w:val="32"/>
          <w:szCs w:val="32"/>
          <w:lang w:val="en-US" w:eastAsia="zh-CN"/>
        </w:rPr>
        <w:t>第八章  监督管理</w:t>
      </w:r>
    </w:p>
    <w:p>
      <w:pPr>
        <w:widowControl w:val="0"/>
        <w:wordWrap/>
        <w:overflowPunct w:val="0"/>
        <w:spacing w:beforeAutospacing="0" w:afterAutospacing="0" w:line="560" w:lineRule="exact"/>
        <w:ind w:firstLine="640" w:firstLineChars="200"/>
        <w:jc w:val="left"/>
        <w:textAlignment w:val="auto"/>
        <w:rPr>
          <w:rFonts w:hint="eastAsia" w:ascii="宋体" w:hAnsi="宋体" w:eastAsia="楷体_GB2312" w:cs="楷体"/>
          <w:color w:val="000000"/>
          <w:sz w:val="32"/>
          <w:szCs w:val="32"/>
          <w:lang w:val="en-US" w:eastAsia="zh-CN"/>
        </w:rPr>
      </w:pPr>
      <w:r>
        <w:rPr>
          <w:rFonts w:hint="eastAsia" w:ascii="宋体" w:hAnsi="宋体" w:eastAsia="楷体_GB2312" w:cs="楷体"/>
          <w:color w:val="000000"/>
          <w:sz w:val="32"/>
          <w:szCs w:val="32"/>
          <w:lang w:val="en-US" w:eastAsia="zh-CN"/>
        </w:rPr>
        <w:t>第九章  法律责任</w:t>
      </w:r>
    </w:p>
    <w:p>
      <w:pPr>
        <w:pStyle w:val="33"/>
        <w:widowControl w:val="0"/>
        <w:wordWrap/>
        <w:overflowPunct w:val="0"/>
        <w:spacing w:beforeAutospacing="0" w:afterAutospacing="0" w:line="560" w:lineRule="exact"/>
        <w:textAlignment w:val="auto"/>
        <w:rPr>
          <w:rFonts w:hint="eastAsia" w:ascii="宋体" w:hAnsi="宋体" w:eastAsia="楷体_GB2312" w:cs="Times New Roman"/>
          <w:kern w:val="2"/>
          <w:sz w:val="32"/>
          <w:szCs w:val="32"/>
          <w:lang w:val="en-US" w:eastAsia="zh-CN"/>
        </w:rPr>
      </w:pPr>
      <w:r>
        <w:rPr>
          <w:rFonts w:hint="eastAsia" w:ascii="宋体" w:hAnsi="宋体" w:eastAsia="楷体_GB2312" w:cs="楷体"/>
          <w:color w:val="000000"/>
          <w:kern w:val="2"/>
          <w:sz w:val="32"/>
          <w:szCs w:val="32"/>
          <w:lang w:val="en-US" w:eastAsia="zh-CN"/>
        </w:rPr>
        <w:t>第十章</w:t>
      </w:r>
      <w:r>
        <w:rPr>
          <w:rFonts w:hint="eastAsia" w:ascii="宋体" w:hAnsi="宋体"/>
          <w:sz w:val="32"/>
          <w:szCs w:val="32"/>
          <w:lang w:val="en-US" w:eastAsia="zh-CN"/>
        </w:rPr>
        <w:t xml:space="preserve">  </w:t>
      </w:r>
      <w:r>
        <w:rPr>
          <w:rFonts w:hint="eastAsia" w:ascii="宋体" w:hAnsi="宋体" w:eastAsia="楷体_GB2312" w:cs="Times New Roman"/>
          <w:kern w:val="2"/>
          <w:sz w:val="32"/>
          <w:szCs w:val="32"/>
          <w:lang w:val="en-US" w:eastAsia="zh-CN"/>
        </w:rPr>
        <w:t>附则</w:t>
      </w:r>
    </w:p>
    <w:p>
      <w:pPr>
        <w:pStyle w:val="43"/>
        <w:widowControl w:val="0"/>
        <w:wordWrap/>
        <w:overflowPunct w:val="0"/>
        <w:adjustRightInd/>
        <w:snapToGrid/>
        <w:spacing w:beforeAutospacing="0" w:afterAutospacing="0" w:line="560" w:lineRule="exact"/>
        <w:ind w:left="0" w:leftChars="0" w:right="0"/>
        <w:jc w:val="both"/>
        <w:textAlignment w:val="auto"/>
        <w:rPr>
          <w:rFonts w:hint="eastAsia" w:ascii="宋体" w:hAnsi="宋体" w:eastAsia="仿宋_GB2312" w:cs="仿宋_GB2312"/>
          <w:color w:val="000000"/>
          <w:sz w:val="32"/>
          <w:szCs w:val="32"/>
        </w:rPr>
      </w:pPr>
    </w:p>
    <w:p>
      <w:pPr>
        <w:pStyle w:val="43"/>
        <w:widowControl w:val="0"/>
        <w:tabs>
          <w:tab w:val="center" w:pos="4482"/>
          <w:tab w:val="left" w:pos="6763"/>
        </w:tabs>
        <w:wordWrap/>
        <w:overflowPunct w:val="0"/>
        <w:adjustRightInd/>
        <w:snapToGrid/>
        <w:spacing w:beforeAutospacing="0" w:afterAutospacing="0" w:line="560" w:lineRule="exact"/>
        <w:ind w:left="0" w:leftChars="0" w:right="0"/>
        <w:jc w:val="left"/>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color w:val="000000"/>
          <w:sz w:val="32"/>
          <w:szCs w:val="32"/>
          <w:lang w:eastAsia="zh-CN"/>
        </w:rPr>
        <w:tab/>
      </w:r>
      <w:r>
        <w:rPr>
          <w:rFonts w:hint="eastAsia" w:ascii="宋体" w:hAnsi="宋体" w:eastAsia="黑体" w:cs="黑体"/>
          <w:color w:val="000000"/>
          <w:sz w:val="32"/>
          <w:szCs w:val="32"/>
          <w:lang w:eastAsia="zh-CN"/>
        </w:rPr>
        <w:t>第一章</w:t>
      </w:r>
      <w:r>
        <w:rPr>
          <w:rFonts w:hint="eastAsia" w:ascii="宋体" w:hAnsi="宋体" w:eastAsia="黑体" w:cs="黑体"/>
          <w:color w:val="000000"/>
          <w:sz w:val="32"/>
          <w:szCs w:val="32"/>
          <w:lang w:val="en-US" w:eastAsia="zh-CN"/>
        </w:rPr>
        <w:t xml:space="preserve">  总则</w:t>
      </w:r>
      <w:r>
        <w:rPr>
          <w:rFonts w:hint="eastAsia" w:ascii="宋体" w:hAnsi="宋体" w:eastAsia="黑体" w:cs="黑体"/>
          <w:color w:val="000000"/>
          <w:sz w:val="32"/>
          <w:szCs w:val="32"/>
          <w:lang w:val="en-US" w:eastAsia="zh-CN"/>
        </w:rPr>
        <w:tab/>
      </w:r>
    </w:p>
    <w:p>
      <w:pPr>
        <w:widowControl w:val="0"/>
        <w:wordWrap/>
        <w:overflowPunct w:val="0"/>
        <w:adjustRightInd/>
        <w:snapToGrid/>
        <w:spacing w:beforeAutospacing="0" w:afterAutospacing="0" w:line="560" w:lineRule="exact"/>
        <w:ind w:left="0" w:leftChars="0" w:right="0" w:firstLine="56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56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第一条 </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为了</w:t>
      </w:r>
      <w:r>
        <w:rPr>
          <w:rFonts w:hint="eastAsia" w:ascii="宋体" w:hAnsi="宋体" w:eastAsia="仿宋_GB2312" w:cs="仿宋_GB2312"/>
          <w:color w:val="000000"/>
          <w:sz w:val="32"/>
          <w:szCs w:val="32"/>
          <w:lang w:eastAsia="zh-CN"/>
        </w:rPr>
        <w:t>更好满足人民群众对美好生活的需要，</w:t>
      </w:r>
      <w:r>
        <w:rPr>
          <w:rFonts w:hint="eastAsia" w:ascii="宋体" w:hAnsi="宋体" w:eastAsia="仿宋_GB2312" w:cs="仿宋_GB2312"/>
          <w:color w:val="000000"/>
          <w:sz w:val="32"/>
          <w:szCs w:val="32"/>
        </w:rPr>
        <w:t>促进城乡环境卫生</w:t>
      </w:r>
      <w:r>
        <w:rPr>
          <w:rFonts w:hint="eastAsia" w:ascii="宋体" w:hAnsi="宋体" w:eastAsia="仿宋_GB2312" w:cs="仿宋_GB2312"/>
          <w:color w:val="000000"/>
          <w:sz w:val="32"/>
          <w:szCs w:val="32"/>
          <w:lang w:val="en-US" w:eastAsia="zh-CN"/>
        </w:rPr>
        <w:t>和生态环境</w:t>
      </w:r>
      <w:r>
        <w:rPr>
          <w:rFonts w:hint="eastAsia" w:ascii="宋体" w:hAnsi="宋体" w:eastAsia="仿宋_GB2312" w:cs="仿宋_GB2312"/>
          <w:color w:val="000000"/>
          <w:sz w:val="32"/>
          <w:szCs w:val="32"/>
        </w:rPr>
        <w:t>持续改善，预防</w:t>
      </w:r>
      <w:r>
        <w:rPr>
          <w:rFonts w:hint="eastAsia" w:ascii="宋体" w:hAnsi="宋体" w:eastAsia="仿宋_GB2312" w:cs="仿宋_GB2312"/>
          <w:color w:val="000000"/>
          <w:sz w:val="32"/>
          <w:szCs w:val="32"/>
          <w:lang w:eastAsia="zh-CN"/>
        </w:rPr>
        <w:t>控制</w:t>
      </w:r>
      <w:r>
        <w:rPr>
          <w:rFonts w:hint="eastAsia" w:ascii="宋体" w:hAnsi="宋体" w:eastAsia="仿宋_GB2312" w:cs="仿宋_GB2312"/>
          <w:color w:val="000000"/>
          <w:sz w:val="32"/>
          <w:szCs w:val="32"/>
        </w:rPr>
        <w:t>疾病，提高人民群众健康水平</w:t>
      </w:r>
      <w:r>
        <w:rPr>
          <w:rFonts w:hint="eastAsia" w:ascii="宋体" w:hAnsi="宋体" w:eastAsia="仿宋_GB2312" w:cs="仿宋_GB2312"/>
          <w:color w:val="000000"/>
          <w:sz w:val="32"/>
          <w:szCs w:val="32"/>
          <w:lang w:val="en-US" w:eastAsia="zh-CN"/>
        </w:rPr>
        <w:t>和生活品质</w:t>
      </w:r>
      <w:r>
        <w:rPr>
          <w:rFonts w:hint="eastAsia" w:ascii="宋体" w:hAnsi="宋体" w:eastAsia="仿宋_GB2312" w:cs="仿宋_GB2312"/>
          <w:color w:val="000000"/>
          <w:sz w:val="32"/>
          <w:szCs w:val="32"/>
        </w:rPr>
        <w:t>，推进健康广东建设，根据宪法和有关法律法规，结合本省实际，制定本条例。</w:t>
      </w:r>
    </w:p>
    <w:p>
      <w:pPr>
        <w:widowControl w:val="0"/>
        <w:numPr>
          <w:ilvl w:val="0"/>
          <w:numId w:val="0"/>
        </w:numPr>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第二条</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i w:val="0"/>
          <w:iCs w:val="0"/>
          <w:color w:val="000000"/>
          <w:sz w:val="32"/>
          <w:szCs w:val="32"/>
          <w:u w:val="none"/>
        </w:rPr>
        <w:t>本条例</w:t>
      </w:r>
      <w:r>
        <w:rPr>
          <w:rFonts w:hint="eastAsia" w:ascii="宋体" w:hAnsi="宋体" w:eastAsia="仿宋_GB2312" w:cs="仿宋_GB2312"/>
          <w:i w:val="0"/>
          <w:iCs w:val="0"/>
          <w:color w:val="000000"/>
          <w:sz w:val="32"/>
          <w:szCs w:val="32"/>
          <w:u w:val="none"/>
          <w:lang w:eastAsia="zh-CN"/>
        </w:rPr>
        <w:t>适用于</w:t>
      </w:r>
      <w:r>
        <w:rPr>
          <w:rFonts w:hint="eastAsia" w:ascii="宋体" w:hAnsi="宋体" w:eastAsia="仿宋_GB2312" w:cs="仿宋_GB2312"/>
          <w:i w:val="0"/>
          <w:iCs w:val="0"/>
          <w:color w:val="000000"/>
          <w:sz w:val="32"/>
          <w:szCs w:val="32"/>
          <w:u w:val="none"/>
        </w:rPr>
        <w:t>本省行政区域内的爱国卫生工作</w:t>
      </w:r>
      <w:r>
        <w:rPr>
          <w:rFonts w:hint="eastAsia" w:ascii="宋体" w:hAnsi="宋体" w:eastAsia="仿宋_GB2312" w:cs="仿宋_GB2312"/>
          <w:b w:val="0"/>
          <w:bCs w:val="0"/>
          <w:i w:val="0"/>
          <w:iCs w:val="0"/>
          <w:color w:val="000000"/>
          <w:sz w:val="32"/>
          <w:szCs w:val="32"/>
          <w:u w:val="none"/>
          <w:lang w:eastAsia="zh-CN"/>
        </w:rPr>
        <w:t>以及相关监督管理活动</w:t>
      </w:r>
      <w:r>
        <w:rPr>
          <w:rFonts w:hint="eastAsia" w:ascii="宋体" w:hAnsi="宋体" w:eastAsia="仿宋_GB2312" w:cs="仿宋_GB2312"/>
          <w:i w:val="0"/>
          <w:iCs w:val="0"/>
          <w:color w:val="000000"/>
          <w:sz w:val="32"/>
          <w:szCs w:val="32"/>
          <w:u w:val="none"/>
        </w:rPr>
        <w:t>。</w:t>
      </w:r>
    </w:p>
    <w:p>
      <w:pPr>
        <w:widowControl w:val="0"/>
        <w:numPr>
          <w:ilvl w:val="0"/>
          <w:numId w:val="0"/>
        </w:numPr>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本条例所称爱国卫生工作是指动员全民参与，以改善社会卫生环境，</w:t>
      </w:r>
      <w:r>
        <w:rPr>
          <w:rFonts w:hint="eastAsia" w:ascii="宋体" w:hAnsi="宋体" w:eastAsia="仿宋_GB2312" w:cs="仿宋_GB2312"/>
          <w:b w:val="0"/>
          <w:bCs w:val="0"/>
          <w:color w:val="000000"/>
          <w:sz w:val="32"/>
          <w:szCs w:val="32"/>
          <w:lang w:eastAsia="zh-CN"/>
        </w:rPr>
        <w:t>倡导健康生活方式，</w:t>
      </w:r>
      <w:r>
        <w:rPr>
          <w:rFonts w:hint="eastAsia" w:ascii="宋体" w:hAnsi="宋体" w:eastAsia="仿宋_GB2312" w:cs="仿宋_GB2312"/>
          <w:i w:val="0"/>
          <w:iCs w:val="0"/>
          <w:color w:val="000000"/>
          <w:sz w:val="32"/>
          <w:szCs w:val="32"/>
          <w:u w:val="none"/>
          <w:lang w:val="en-US" w:eastAsia="zh-CN"/>
        </w:rPr>
        <w:t>控制</w:t>
      </w:r>
      <w:r>
        <w:rPr>
          <w:rFonts w:hint="eastAsia" w:ascii="宋体" w:hAnsi="宋体" w:eastAsia="仿宋_GB2312" w:cs="仿宋_GB2312"/>
          <w:color w:val="000000"/>
          <w:sz w:val="32"/>
          <w:szCs w:val="32"/>
        </w:rPr>
        <w:t>危害健康因素，</w:t>
      </w:r>
      <w:r>
        <w:rPr>
          <w:rFonts w:hint="eastAsia" w:ascii="宋体" w:hAnsi="宋体" w:eastAsia="仿宋_GB2312" w:cs="仿宋_GB2312"/>
          <w:b w:val="0"/>
          <w:bCs w:val="0"/>
          <w:i w:val="0"/>
          <w:iCs w:val="0"/>
          <w:color w:val="000000"/>
          <w:sz w:val="32"/>
          <w:szCs w:val="32"/>
          <w:u w:val="none"/>
        </w:rPr>
        <w:t>增强</w:t>
      </w:r>
      <w:r>
        <w:rPr>
          <w:rFonts w:hint="eastAsia" w:ascii="宋体" w:hAnsi="宋体" w:eastAsia="仿宋_GB2312" w:cs="仿宋_GB2312"/>
          <w:b w:val="0"/>
          <w:bCs w:val="0"/>
          <w:i w:val="0"/>
          <w:iCs w:val="0"/>
          <w:color w:val="000000"/>
          <w:sz w:val="32"/>
          <w:szCs w:val="32"/>
          <w:u w:val="none"/>
          <w:lang w:val="en-US" w:eastAsia="zh-CN"/>
        </w:rPr>
        <w:t>城乡居民</w:t>
      </w:r>
      <w:r>
        <w:rPr>
          <w:rFonts w:hint="eastAsia" w:ascii="宋体" w:hAnsi="宋体" w:eastAsia="仿宋_GB2312" w:cs="仿宋_GB2312"/>
          <w:b w:val="0"/>
          <w:bCs w:val="0"/>
          <w:i w:val="0"/>
          <w:iCs w:val="0"/>
          <w:color w:val="000000"/>
          <w:sz w:val="32"/>
          <w:szCs w:val="32"/>
          <w:u w:val="none"/>
        </w:rPr>
        <w:t>体质</w:t>
      </w:r>
      <w:r>
        <w:rPr>
          <w:rFonts w:hint="eastAsia" w:ascii="宋体" w:hAnsi="宋体" w:eastAsia="仿宋_GB2312" w:cs="仿宋_GB2312"/>
          <w:b w:val="0"/>
          <w:bCs w:val="0"/>
          <w:i w:val="0"/>
          <w:iCs w:val="0"/>
          <w:color w:val="000000"/>
          <w:sz w:val="32"/>
          <w:szCs w:val="32"/>
          <w:u w:val="none"/>
          <w:lang w:eastAsia="zh-CN"/>
        </w:rPr>
        <w:t>，</w:t>
      </w:r>
      <w:r>
        <w:rPr>
          <w:rFonts w:hint="eastAsia" w:ascii="宋体" w:hAnsi="宋体" w:eastAsia="仿宋_GB2312" w:cs="仿宋_GB2312"/>
          <w:color w:val="000000"/>
          <w:sz w:val="32"/>
          <w:szCs w:val="32"/>
        </w:rPr>
        <w:t>提高</w:t>
      </w:r>
      <w:r>
        <w:rPr>
          <w:rFonts w:hint="eastAsia" w:ascii="宋体" w:hAnsi="宋体" w:eastAsia="仿宋_GB2312" w:cs="仿宋_GB2312"/>
          <w:i w:val="0"/>
          <w:iCs w:val="0"/>
          <w:color w:val="000000"/>
          <w:sz w:val="32"/>
          <w:szCs w:val="32"/>
          <w:u w:val="none"/>
          <w:lang w:val="en-US" w:eastAsia="zh-CN"/>
        </w:rPr>
        <w:t>城乡居民</w:t>
      </w:r>
      <w:r>
        <w:rPr>
          <w:rFonts w:hint="eastAsia" w:ascii="宋体" w:hAnsi="宋体" w:eastAsia="仿宋_GB2312" w:cs="仿宋_GB2312"/>
          <w:color w:val="000000"/>
          <w:sz w:val="32"/>
          <w:szCs w:val="32"/>
        </w:rPr>
        <w:t>健康素</w:t>
      </w:r>
      <w:r>
        <w:rPr>
          <w:rFonts w:hint="eastAsia" w:ascii="宋体" w:hAnsi="宋体" w:eastAsia="仿宋_GB2312" w:cs="仿宋_GB2312"/>
          <w:i w:val="0"/>
          <w:iCs w:val="0"/>
          <w:color w:val="000000"/>
          <w:sz w:val="32"/>
          <w:szCs w:val="32"/>
          <w:u w:val="none"/>
        </w:rPr>
        <w:t>质</w:t>
      </w:r>
      <w:r>
        <w:rPr>
          <w:rFonts w:hint="eastAsia" w:ascii="宋体" w:hAnsi="宋体" w:eastAsia="仿宋_GB2312" w:cs="仿宋_GB2312"/>
          <w:color w:val="000000"/>
          <w:sz w:val="32"/>
          <w:szCs w:val="32"/>
        </w:rPr>
        <w:t>为目的的社会性、群众性卫生活动</w:t>
      </w:r>
      <w:r>
        <w:rPr>
          <w:rFonts w:hint="eastAsia" w:ascii="宋体" w:hAnsi="宋体" w:eastAsia="仿宋_GB2312" w:cs="仿宋_GB2312"/>
          <w:b w:val="0"/>
          <w:bCs w:val="0"/>
          <w:i w:val="0"/>
          <w:iCs w:val="0"/>
          <w:color w:val="000000"/>
          <w:sz w:val="32"/>
          <w:szCs w:val="32"/>
          <w:u w:val="none" w:color="auto"/>
          <w:lang w:eastAsia="zh-CN"/>
        </w:rPr>
        <w:t>，</w:t>
      </w:r>
      <w:r>
        <w:rPr>
          <w:rFonts w:hint="eastAsia" w:ascii="宋体" w:hAnsi="宋体" w:eastAsia="仿宋_GB2312" w:cs="仿宋_GB2312"/>
          <w:b w:val="0"/>
          <w:bCs w:val="0"/>
          <w:color w:val="000000"/>
          <w:sz w:val="32"/>
          <w:szCs w:val="32"/>
        </w:rPr>
        <w:t>包括环境卫生治理</w:t>
      </w:r>
      <w:r>
        <w:rPr>
          <w:rFonts w:hint="eastAsia" w:ascii="宋体" w:hAnsi="宋体" w:eastAsia="仿宋_GB2312" w:cs="仿宋_GB2312"/>
          <w:b w:val="0"/>
          <w:bCs w:val="0"/>
          <w:color w:val="000000"/>
          <w:sz w:val="32"/>
          <w:szCs w:val="32"/>
          <w:lang w:eastAsia="zh-CN"/>
        </w:rPr>
        <w:t>和卫生健康创建</w:t>
      </w:r>
      <w:r>
        <w:rPr>
          <w:rFonts w:hint="eastAsia" w:ascii="宋体" w:hAnsi="宋体" w:eastAsia="仿宋_GB2312" w:cs="仿宋_GB2312"/>
          <w:b w:val="0"/>
          <w:bCs w:val="0"/>
          <w:color w:val="000000"/>
          <w:sz w:val="32"/>
          <w:szCs w:val="32"/>
        </w:rPr>
        <w:t>、</w:t>
      </w:r>
      <w:r>
        <w:rPr>
          <w:rFonts w:hint="eastAsia" w:ascii="宋体" w:hAnsi="宋体" w:eastAsia="仿宋_GB2312" w:cs="仿宋_GB2312"/>
          <w:b w:val="0"/>
          <w:bCs w:val="0"/>
          <w:color w:val="000000"/>
          <w:sz w:val="32"/>
          <w:szCs w:val="32"/>
          <w:lang w:eastAsia="zh-CN"/>
        </w:rPr>
        <w:t>厕所建设管理、</w:t>
      </w:r>
      <w:r>
        <w:rPr>
          <w:rFonts w:hint="eastAsia" w:ascii="宋体" w:hAnsi="宋体" w:eastAsia="仿宋_GB2312" w:cs="仿宋_GB2312"/>
          <w:b w:val="0"/>
          <w:bCs w:val="0"/>
          <w:color w:val="000000"/>
          <w:sz w:val="32"/>
          <w:szCs w:val="32"/>
        </w:rPr>
        <w:t>病媒生物预防控制</w:t>
      </w:r>
      <w:r>
        <w:rPr>
          <w:rFonts w:hint="eastAsia" w:ascii="宋体" w:hAnsi="宋体" w:eastAsia="仿宋_GB2312" w:cs="仿宋_GB2312"/>
          <w:b w:val="0"/>
          <w:bCs w:val="0"/>
          <w:color w:val="000000"/>
          <w:sz w:val="32"/>
          <w:szCs w:val="32"/>
          <w:lang w:eastAsia="zh-CN"/>
        </w:rPr>
        <w:t>、吸烟</w:t>
      </w:r>
      <w:r>
        <w:rPr>
          <w:rFonts w:hint="eastAsia" w:ascii="宋体" w:hAnsi="宋体" w:eastAsia="仿宋_GB2312" w:cs="仿宋_GB2312"/>
          <w:b w:val="0"/>
          <w:bCs w:val="0"/>
          <w:color w:val="000000"/>
          <w:sz w:val="32"/>
          <w:szCs w:val="32"/>
        </w:rPr>
        <w:t>控制、健康促进</w:t>
      </w:r>
      <w:r>
        <w:rPr>
          <w:rFonts w:hint="eastAsia" w:ascii="宋体" w:hAnsi="宋体" w:eastAsia="仿宋_GB2312" w:cs="仿宋_GB2312"/>
          <w:b w:val="0"/>
          <w:bCs w:val="0"/>
          <w:color w:val="000000"/>
          <w:sz w:val="32"/>
          <w:szCs w:val="32"/>
          <w:lang w:eastAsia="zh-CN"/>
        </w:rPr>
        <w:t>与教育</w:t>
      </w:r>
      <w:r>
        <w:rPr>
          <w:rFonts w:hint="eastAsia" w:ascii="宋体" w:hAnsi="宋体" w:eastAsia="仿宋_GB2312" w:cs="仿宋_GB2312"/>
          <w:b w:val="0"/>
          <w:bCs w:val="0"/>
          <w:color w:val="000000"/>
          <w:sz w:val="32"/>
          <w:szCs w:val="32"/>
        </w:rPr>
        <w:t>等工作。</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第三条</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爱国卫生工作实行</w:t>
      </w:r>
      <w:r>
        <w:rPr>
          <w:rFonts w:hint="eastAsia" w:ascii="宋体" w:hAnsi="宋体" w:eastAsia="仿宋_GB2312" w:cs="仿宋_GB2312"/>
          <w:color w:val="000000"/>
          <w:sz w:val="32"/>
          <w:szCs w:val="32"/>
          <w:lang w:eastAsia="zh-CN"/>
        </w:rPr>
        <w:t>以人民健康为中心，</w:t>
      </w:r>
      <w:r>
        <w:rPr>
          <w:rFonts w:hint="eastAsia" w:ascii="宋体" w:hAnsi="宋体" w:eastAsia="仿宋_GB2312" w:cs="仿宋_GB2312"/>
          <w:color w:val="000000"/>
          <w:sz w:val="32"/>
          <w:szCs w:val="32"/>
        </w:rPr>
        <w:t>政府</w:t>
      </w:r>
      <w:r>
        <w:rPr>
          <w:rFonts w:hint="eastAsia" w:ascii="宋体" w:hAnsi="宋体" w:eastAsia="仿宋_GB2312" w:cs="仿宋_GB2312"/>
          <w:i w:val="0"/>
          <w:iCs w:val="0"/>
          <w:color w:val="000000"/>
          <w:sz w:val="32"/>
          <w:szCs w:val="32"/>
          <w:u w:val="none"/>
          <w:lang w:val="en-US" w:eastAsia="zh-CN"/>
        </w:rPr>
        <w:t>主导</w:t>
      </w:r>
      <w:r>
        <w:rPr>
          <w:rFonts w:hint="eastAsia" w:ascii="宋体" w:hAnsi="宋体" w:eastAsia="仿宋_GB2312" w:cs="仿宋_GB2312"/>
          <w:color w:val="000000"/>
          <w:sz w:val="32"/>
          <w:szCs w:val="32"/>
        </w:rPr>
        <w:t>、</w:t>
      </w:r>
      <w:r>
        <w:rPr>
          <w:rFonts w:hint="eastAsia" w:ascii="宋体" w:hAnsi="宋体" w:eastAsia="仿宋_GB2312" w:cs="仿宋_GB2312"/>
          <w:i w:val="0"/>
          <w:iCs w:val="0"/>
          <w:color w:val="000000"/>
          <w:sz w:val="32"/>
          <w:szCs w:val="32"/>
          <w:u w:val="none"/>
        </w:rPr>
        <w:t>部门</w:t>
      </w:r>
      <w:r>
        <w:rPr>
          <w:rFonts w:hint="eastAsia" w:ascii="宋体" w:hAnsi="宋体" w:eastAsia="仿宋_GB2312" w:cs="仿宋_GB2312"/>
          <w:i w:val="0"/>
          <w:iCs w:val="0"/>
          <w:color w:val="000000"/>
          <w:sz w:val="32"/>
          <w:szCs w:val="32"/>
          <w:u w:val="none"/>
          <w:lang w:eastAsia="zh-CN"/>
        </w:rPr>
        <w:t>协作</w:t>
      </w: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color w:val="000000"/>
          <w:sz w:val="32"/>
          <w:szCs w:val="32"/>
        </w:rPr>
        <w:t>全民参与、社会监督</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i w:val="0"/>
          <w:iCs w:val="0"/>
          <w:color w:val="000000"/>
          <w:sz w:val="32"/>
          <w:szCs w:val="32"/>
          <w:u w:val="none"/>
        </w:rPr>
        <w:t>科学治理</w:t>
      </w:r>
      <w:r>
        <w:rPr>
          <w:rFonts w:hint="eastAsia" w:ascii="宋体" w:hAnsi="宋体" w:eastAsia="仿宋_GB2312" w:cs="仿宋_GB2312"/>
          <w:color w:val="000000"/>
          <w:sz w:val="32"/>
          <w:szCs w:val="32"/>
        </w:rPr>
        <w:t>的原则。</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 xml:space="preserve">第四条 </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各级人民政府应当加强对爱国卫生工作的领导，把爱国卫生工作纳入国民经济和社会发展中长期规划和年度计划</w:t>
      </w:r>
      <w:r>
        <w:rPr>
          <w:rFonts w:hint="eastAsia" w:ascii="宋体" w:hAnsi="宋体" w:eastAsia="仿宋_GB2312" w:cs="仿宋_GB2312"/>
          <w:color w:val="000000"/>
          <w:sz w:val="32"/>
          <w:szCs w:val="32"/>
          <w:lang w:eastAsia="zh-CN"/>
        </w:rPr>
        <w:t>。</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sz w:val="32"/>
          <w:szCs w:val="32"/>
          <w:u w:val="none"/>
          <w:lang w:eastAsia="zh-CN"/>
        </w:rPr>
      </w:pPr>
      <w:r>
        <w:rPr>
          <w:rFonts w:hint="eastAsia" w:ascii="宋体" w:hAnsi="宋体" w:eastAsia="仿宋_GB2312" w:cs="仿宋_GB2312"/>
          <w:i w:val="0"/>
          <w:iCs w:val="0"/>
          <w:sz w:val="32"/>
          <w:szCs w:val="32"/>
          <w:u w:val="none"/>
          <w:lang w:eastAsia="zh-CN"/>
        </w:rPr>
        <w:t>各级人民政府应当加强对爱国卫生工作</w:t>
      </w:r>
      <w:r>
        <w:rPr>
          <w:rFonts w:hint="eastAsia" w:ascii="宋体" w:hAnsi="宋体" w:eastAsia="仿宋_GB2312" w:cs="仿宋_GB2312"/>
          <w:i w:val="0"/>
          <w:iCs w:val="0"/>
          <w:color w:val="000000"/>
          <w:sz w:val="32"/>
          <w:szCs w:val="32"/>
          <w:u w:val="none"/>
          <w:lang w:eastAsia="zh-CN"/>
        </w:rPr>
        <w:t>的财政投入力度</w:t>
      </w:r>
      <w:r>
        <w:rPr>
          <w:rFonts w:hint="eastAsia" w:ascii="宋体" w:hAnsi="宋体" w:eastAsia="仿宋_GB2312" w:cs="仿宋_GB2312"/>
          <w:i w:val="0"/>
          <w:iCs w:val="0"/>
          <w:sz w:val="32"/>
          <w:szCs w:val="32"/>
          <w:u w:val="none"/>
          <w:lang w:eastAsia="zh-CN"/>
        </w:rPr>
        <w:t>。</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第五条</w:t>
      </w:r>
      <w:r>
        <w:rPr>
          <w:rFonts w:hint="eastAsia" w:ascii="宋体" w:hAnsi="宋体" w:eastAsia="仿宋_GB2312" w:cs="仿宋_GB2312"/>
          <w:color w:val="000000"/>
          <w:sz w:val="32"/>
          <w:szCs w:val="32"/>
        </w:rPr>
        <w:t xml:space="preserve">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鼓励企业事业单位、社会团体以及个人以各种形式为爱国卫</w:t>
      </w:r>
      <w:r>
        <w:rPr>
          <w:rFonts w:hint="eastAsia" w:ascii="宋体" w:hAnsi="宋体" w:eastAsia="仿宋_GB2312" w:cs="仿宋_GB2312"/>
          <w:i w:val="0"/>
          <w:iCs w:val="0"/>
          <w:color w:val="000000"/>
          <w:sz w:val="32"/>
          <w:szCs w:val="32"/>
          <w:u w:val="none"/>
        </w:rPr>
        <w:t>生工作提</w:t>
      </w:r>
      <w:r>
        <w:rPr>
          <w:rFonts w:hint="eastAsia" w:ascii="宋体" w:hAnsi="宋体" w:eastAsia="仿宋_GB2312" w:cs="仿宋_GB2312"/>
          <w:color w:val="000000"/>
          <w:sz w:val="32"/>
          <w:szCs w:val="32"/>
        </w:rPr>
        <w:t>供支持。</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鼓励和支持志愿服务组织和志愿者参与爱国卫生工作。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rPr>
      </w:pPr>
      <w:r>
        <w:rPr>
          <w:rFonts w:hint="eastAsia" w:ascii="宋体" w:hAnsi="宋体" w:eastAsia="黑体" w:cs="黑体"/>
          <w:color w:val="000000"/>
          <w:kern w:val="2"/>
          <w:sz w:val="32"/>
          <w:szCs w:val="32"/>
          <w:lang w:val="en-US" w:eastAsia="zh-CN" w:bidi="ar-SA"/>
        </w:rPr>
        <w:t xml:space="preserve">第六条 </w:t>
      </w:r>
      <w:r>
        <w:rPr>
          <w:rFonts w:hint="eastAsia" w:ascii="宋体" w:hAnsi="宋体" w:eastAsia="仿宋_GB2312" w:cs="仿宋_GB2312"/>
          <w:i w:val="0"/>
          <w:iCs w:val="0"/>
          <w:color w:val="000000"/>
          <w:sz w:val="32"/>
          <w:szCs w:val="32"/>
          <w:lang w:val="en-US" w:eastAsia="zh-CN"/>
        </w:rPr>
        <w:t xml:space="preserve"> </w:t>
      </w:r>
      <w:r>
        <w:rPr>
          <w:rFonts w:hint="eastAsia" w:ascii="宋体" w:hAnsi="宋体" w:eastAsia="仿宋_GB2312" w:cs="仿宋_GB2312"/>
          <w:i w:val="0"/>
          <w:iCs w:val="0"/>
          <w:color w:val="000000"/>
          <w:sz w:val="32"/>
          <w:szCs w:val="32"/>
        </w:rPr>
        <w:t>各级人民政府对开展爱国卫生工作成绩显著的单位和个人，应当给予表彰或者奖励。</w:t>
      </w:r>
    </w:p>
    <w:p>
      <w:pPr>
        <w:pStyle w:val="33"/>
        <w:widowControl w:val="0"/>
        <w:wordWrap/>
        <w:overflowPunct w:val="0"/>
        <w:spacing w:beforeAutospacing="0" w:afterAutospacing="0" w:line="560" w:lineRule="exact"/>
        <w:ind w:left="0" w:leftChars="0"/>
        <w:textAlignment w:val="auto"/>
        <w:outlineLvl w:val="9"/>
        <w:rPr>
          <w:rFonts w:hint="eastAsia" w:ascii="宋体" w:hAnsi="宋体" w:eastAsia="仿宋_GB2312" w:cs="仿宋_GB2312"/>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第二章  组织和职责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第七条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各级爱国卫生运动委员会（以下简称爱卫会）由同级人民政府有关部门和相关单位组成，在同级人民政府领导下负责组织协调本行政区域的爱国卫生工作</w:t>
      </w:r>
      <w:r>
        <w:rPr>
          <w:rFonts w:hint="eastAsia" w:ascii="宋体" w:hAnsi="宋体" w:eastAsia="仿宋_GB2312" w:cs="仿宋_GB2312"/>
          <w:color w:val="000000"/>
          <w:sz w:val="32"/>
          <w:szCs w:val="32"/>
          <w:lang w:eastAsia="zh-CN"/>
        </w:rPr>
        <w:t>，制定本行政区域内爱国卫生工作规划，组织动员全社会参加爱国卫生活动。</w:t>
      </w:r>
    </w:p>
    <w:p>
      <w:pPr>
        <w:widowControl w:val="0"/>
        <w:wordWrap/>
        <w:overflowPunct w:val="0"/>
        <w:adjustRightInd/>
        <w:snapToGrid/>
        <w:spacing w:beforeAutospacing="0" w:afterAutospacing="0" w:line="560" w:lineRule="exact"/>
        <w:ind w:left="0" w:leftChars="0" w:right="0" w:firstLine="573"/>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爱卫会办公室</w:t>
      </w:r>
      <w:r>
        <w:rPr>
          <w:rFonts w:hint="eastAsia" w:ascii="宋体" w:hAnsi="宋体" w:eastAsia="仿宋_GB2312" w:cs="仿宋_GB2312"/>
          <w:color w:val="000000"/>
          <w:sz w:val="32"/>
          <w:szCs w:val="32"/>
        </w:rPr>
        <w:t>（以下简称爱卫</w:t>
      </w:r>
      <w:r>
        <w:rPr>
          <w:rFonts w:hint="eastAsia" w:ascii="宋体" w:hAnsi="宋体" w:eastAsia="仿宋_GB2312" w:cs="仿宋_GB2312"/>
          <w:color w:val="000000"/>
          <w:sz w:val="32"/>
          <w:szCs w:val="32"/>
          <w:lang w:eastAsia="zh-CN"/>
        </w:rPr>
        <w:t>办</w:t>
      </w:r>
      <w:r>
        <w:rPr>
          <w:rFonts w:hint="eastAsia" w:ascii="宋体" w:hAnsi="宋体" w:eastAsia="仿宋_GB2312" w:cs="仿宋_GB2312"/>
          <w:color w:val="000000"/>
          <w:sz w:val="32"/>
          <w:szCs w:val="32"/>
        </w:rPr>
        <w:t>）</w:t>
      </w:r>
      <w:r>
        <w:rPr>
          <w:rFonts w:hint="eastAsia" w:ascii="宋体" w:hAnsi="宋体" w:eastAsia="仿宋_GB2312" w:cs="仿宋_GB2312"/>
          <w:b w:val="0"/>
          <w:bCs w:val="0"/>
          <w:color w:val="000000"/>
          <w:sz w:val="32"/>
          <w:szCs w:val="32"/>
          <w:lang w:eastAsia="zh-CN"/>
        </w:rPr>
        <w:t>是爱卫会的办事机构，</w:t>
      </w:r>
      <w:r>
        <w:rPr>
          <w:rFonts w:hint="eastAsia" w:ascii="宋体" w:hAnsi="宋体" w:eastAsia="仿宋_GB2312" w:cs="仿宋_GB2312"/>
          <w:i w:val="0"/>
          <w:iCs w:val="0"/>
          <w:color w:val="000000"/>
          <w:sz w:val="32"/>
          <w:szCs w:val="32"/>
          <w:u w:val="none"/>
        </w:rPr>
        <w:t>负责</w:t>
      </w:r>
      <w:r>
        <w:rPr>
          <w:rFonts w:hint="eastAsia" w:ascii="宋体" w:hAnsi="宋体" w:eastAsia="仿宋_GB2312" w:cs="仿宋_GB2312"/>
          <w:i w:val="0"/>
          <w:iCs w:val="0"/>
          <w:color w:val="000000"/>
          <w:sz w:val="32"/>
          <w:szCs w:val="32"/>
          <w:u w:val="none"/>
          <w:lang w:val="en-US" w:eastAsia="zh-CN"/>
        </w:rPr>
        <w:t>爱卫会</w:t>
      </w:r>
      <w:r>
        <w:rPr>
          <w:rFonts w:hint="eastAsia" w:ascii="宋体" w:hAnsi="宋体" w:eastAsia="仿宋_GB2312" w:cs="仿宋_GB2312"/>
          <w:i w:val="0"/>
          <w:iCs w:val="0"/>
          <w:color w:val="000000"/>
          <w:sz w:val="32"/>
          <w:szCs w:val="32"/>
          <w:u w:val="none"/>
        </w:rPr>
        <w:t>日常工作</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组织成员单位开展爱国卫生工作。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黑体" w:cs="黑体"/>
          <w:color w:val="000000"/>
          <w:kern w:val="2"/>
          <w:sz w:val="32"/>
          <w:szCs w:val="32"/>
          <w:lang w:val="en-US" w:eastAsia="zh-CN" w:bidi="ar-SA"/>
        </w:rPr>
        <w:t>第八条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爱</w:t>
      </w:r>
      <w:r>
        <w:rPr>
          <w:rFonts w:hint="eastAsia" w:ascii="宋体" w:hAnsi="宋体" w:eastAsia="仿宋_GB2312" w:cs="仿宋_GB2312"/>
          <w:color w:val="000000"/>
          <w:sz w:val="32"/>
          <w:szCs w:val="32"/>
        </w:rPr>
        <w:t>卫会实行成员单位分工负责制，各成员单位按照法律、法规和本条例规定，在各自职责范围内做好爱国卫生工作</w:t>
      </w:r>
      <w:r>
        <w:rPr>
          <w:rFonts w:hint="eastAsia" w:ascii="宋体" w:hAnsi="宋体" w:eastAsia="仿宋_GB2312" w:cs="仿宋_GB2312"/>
          <w:i w:val="0"/>
          <w:iCs w:val="0"/>
          <w:color w:val="000000"/>
          <w:sz w:val="32"/>
          <w:szCs w:val="32"/>
          <w:u w:val="none"/>
          <w:lang w:eastAsia="zh-CN"/>
        </w:rPr>
        <w:t>：</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一）卫生健康主管部门负责对爱国卫生工作进行监督和技术指导，制定突发公共卫生事件应急预案和技术方案，预防和控制各类传染病和重大疫情的发生和流行，将公共厕所环境综合整治和农村无害化卫生户厕纳入卫生城市、县城、村镇考核标准。</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二）住房和城乡建设主管部门或者负责城市市容环境卫生工作的主管部门负责环境卫生工作的监督管理和环境卫生设施建设，组织开展城乡生活垃圾收集、运输和无害化处理工作，负责建筑工地环境卫生管理和病媒生物预防控制，统筹、组织、督促厕所建设管理工作，负责推进城市公共厕所建设管理和粪便无害化处理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三）交通运输、铁路、民航等主管部门负责车、船、飞机、车站、码头、公路、机场的卫生监督管理、废弃物收集处理、公共厕所公共卫生设施建设管理、环境治理和病媒生物预防控制，协助有关部门开展重大疫情的管制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四）农业农村主管部门负责统筹推进农村公共厕所建设管理和无害化卫生户厕建设，加强对农田、畜牧养殖场等场所环境卫生和病媒生物预防控制的指导监督，与卫生健康等有关部门共同做好人畜共患传染病的防治工作。</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仿宋_GB2312" w:cs="仿宋_GB2312"/>
          <w:i w:val="0"/>
          <w:iCs w:val="0"/>
          <w:color w:val="000000"/>
          <w:sz w:val="32"/>
          <w:szCs w:val="32"/>
          <w:u w:val="none"/>
          <w:lang w:val="en-US" w:eastAsia="zh-CN"/>
        </w:rPr>
        <w:t>（五）旅游主管部门负责旅游景区环境卫生治理和病媒生物预防控制，负责景区、旅游度假区等旅游厕所的建设管理。</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caps w:val="0"/>
          <w:color w:val="auto"/>
          <w:spacing w:val="0"/>
          <w:kern w:val="0"/>
          <w:sz w:val="32"/>
          <w:szCs w:val="32"/>
          <w:shd w:val="clear" w:color="auto" w:fill="auto"/>
          <w:lang w:val="en-US" w:eastAsia="zh-CN"/>
        </w:rPr>
      </w:pPr>
      <w:r>
        <w:rPr>
          <w:rFonts w:hint="eastAsia" w:ascii="宋体" w:hAnsi="宋体" w:eastAsia="仿宋_GB2312" w:cs="仿宋_GB2312"/>
          <w:i w:val="0"/>
          <w:caps w:val="0"/>
          <w:color w:val="auto"/>
          <w:spacing w:val="0"/>
          <w:kern w:val="0"/>
          <w:sz w:val="32"/>
          <w:szCs w:val="32"/>
          <w:shd w:val="clear" w:color="auto" w:fill="auto"/>
          <w:lang w:val="en-US" w:eastAsia="zh-CN"/>
        </w:rPr>
        <w:t>（六）教育主管部门负责各级各类学校学生健康教育、卫生设施改善，</w:t>
      </w:r>
      <w:r>
        <w:rPr>
          <w:rFonts w:hint="eastAsia" w:ascii="宋体" w:hAnsi="宋体" w:eastAsia="仿宋_GB2312" w:cs="仿宋_GB2312"/>
          <w:b w:val="0"/>
          <w:bCs w:val="0"/>
          <w:i w:val="0"/>
          <w:caps w:val="0"/>
          <w:color w:val="auto"/>
          <w:spacing w:val="0"/>
          <w:kern w:val="0"/>
          <w:sz w:val="32"/>
          <w:szCs w:val="32"/>
          <w:shd w:val="clear" w:color="auto" w:fill="auto"/>
          <w:lang w:val="en-US" w:eastAsia="zh-CN"/>
        </w:rPr>
        <w:t>推进学校厕所建设管理</w:t>
      </w:r>
      <w:r>
        <w:rPr>
          <w:rFonts w:hint="eastAsia" w:ascii="宋体" w:hAnsi="宋体" w:eastAsia="仿宋_GB2312" w:cs="仿宋_GB2312"/>
          <w:b w:val="0"/>
          <w:bCs w:val="0"/>
          <w:i w:val="0"/>
          <w:iCs w:val="0"/>
          <w:caps w:val="0"/>
          <w:color w:val="auto"/>
          <w:spacing w:val="0"/>
          <w:kern w:val="0"/>
          <w:sz w:val="32"/>
          <w:szCs w:val="32"/>
          <w:u w:val="none"/>
          <w:shd w:val="clear" w:color="auto" w:fill="auto"/>
          <w:lang w:val="en-US" w:eastAsia="zh-CN"/>
        </w:rPr>
        <w:t>、</w:t>
      </w:r>
      <w:r>
        <w:rPr>
          <w:rFonts w:hint="eastAsia" w:ascii="宋体" w:hAnsi="宋体" w:eastAsia="仿宋_GB2312" w:cs="仿宋_GB2312"/>
          <w:i w:val="0"/>
          <w:caps w:val="0"/>
          <w:color w:val="auto"/>
          <w:spacing w:val="0"/>
          <w:kern w:val="0"/>
          <w:sz w:val="32"/>
          <w:szCs w:val="32"/>
          <w:shd w:val="clear" w:color="auto" w:fill="auto"/>
          <w:lang w:val="en-US" w:eastAsia="zh-CN"/>
        </w:rPr>
        <w:t>环境整洁和病媒生物预防控制，组织学生参加爱国卫生活动。</w:t>
      </w:r>
    </w:p>
    <w:p>
      <w:pPr>
        <w:pStyle w:val="33"/>
        <w:widowControl w:val="0"/>
        <w:wordWrap/>
        <w:overflowPunct w:val="0"/>
        <w:spacing w:beforeAutospacing="0" w:afterAutospacing="0" w:line="560" w:lineRule="exact"/>
        <w:ind w:left="0" w:leftChars="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i w:val="0"/>
          <w:caps w:val="0"/>
          <w:color w:val="auto"/>
          <w:spacing w:val="0"/>
          <w:kern w:val="0"/>
          <w:sz w:val="32"/>
          <w:szCs w:val="32"/>
          <w:shd w:val="clear" w:color="auto" w:fill="auto"/>
          <w:lang w:val="en-US" w:eastAsia="zh-CN"/>
        </w:rPr>
        <w:t>（七）</w:t>
      </w:r>
      <w:r>
        <w:rPr>
          <w:rFonts w:hint="eastAsia" w:ascii="宋体" w:hAnsi="宋体" w:eastAsia="仿宋_GB2312" w:cs="仿宋_GB2312"/>
          <w:b w:val="0"/>
          <w:bCs w:val="0"/>
          <w:i w:val="0"/>
          <w:caps w:val="0"/>
          <w:color w:val="auto"/>
          <w:spacing w:val="0"/>
          <w:kern w:val="0"/>
          <w:sz w:val="32"/>
          <w:szCs w:val="32"/>
          <w:shd w:val="clear" w:color="auto" w:fill="auto"/>
          <w:lang w:val="en-US" w:eastAsia="zh-CN"/>
        </w:rPr>
        <w:t>新闻出版广播电视主管部门</w:t>
      </w:r>
      <w:r>
        <w:rPr>
          <w:rFonts w:hint="eastAsia" w:ascii="宋体" w:hAnsi="宋体" w:eastAsia="仿宋_GB2312" w:cs="仿宋_GB2312"/>
          <w:i w:val="0"/>
          <w:caps w:val="0"/>
          <w:color w:val="auto"/>
          <w:spacing w:val="0"/>
          <w:kern w:val="0"/>
          <w:sz w:val="32"/>
          <w:szCs w:val="32"/>
          <w:shd w:val="clear" w:color="auto" w:fill="auto"/>
          <w:lang w:val="en-US" w:eastAsia="zh-CN"/>
        </w:rPr>
        <w:t>应当采取多种形式，开展全民健康和遵守社会卫生公德的宣传教育，加强舆论监督。</w:t>
      </w:r>
    </w:p>
    <w:p>
      <w:pPr>
        <w:widowControl w:val="0"/>
        <w:numPr>
          <w:ilvl w:val="0"/>
          <w:numId w:val="0"/>
        </w:numPr>
        <w:shd w:val="clear" w:color="auto" w:fill="auto"/>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其他成员单位按照各自职责，做好有关爱国卫生工作。</w:t>
      </w:r>
    </w:p>
    <w:p>
      <w:pPr>
        <w:widowControl w:val="0"/>
        <w:shd w:val="clear" w:color="auto" w:fill="auto"/>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kern w:val="0"/>
          <w:sz w:val="32"/>
          <w:szCs w:val="32"/>
          <w:shd w:val="clear" w:color="auto" w:fill="auto"/>
        </w:rPr>
      </w:pPr>
      <w:r>
        <w:rPr>
          <w:rFonts w:hint="eastAsia" w:ascii="宋体" w:hAnsi="宋体" w:eastAsia="黑体" w:cs="黑体"/>
          <w:color w:val="000000"/>
          <w:kern w:val="2"/>
          <w:sz w:val="32"/>
          <w:szCs w:val="32"/>
          <w:lang w:val="en-US" w:eastAsia="zh-CN" w:bidi="ar-SA"/>
        </w:rPr>
        <w:t xml:space="preserve">第九条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caps w:val="0"/>
          <w:color w:val="000000"/>
          <w:spacing w:val="0"/>
          <w:kern w:val="0"/>
          <w:sz w:val="32"/>
          <w:szCs w:val="32"/>
          <w:shd w:val="clear" w:color="auto" w:fill="auto"/>
          <w:lang w:val="en-US" w:eastAsia="zh-CN"/>
        </w:rPr>
        <w:t>乡镇人民政府、街道办事处负责本辖区爱国卫生工作。</w:t>
      </w:r>
    </w:p>
    <w:p>
      <w:pPr>
        <w:widowControl w:val="0"/>
        <w:numPr>
          <w:ilvl w:val="0"/>
          <w:numId w:val="0"/>
        </w:numPr>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color w:val="000000"/>
          <w:kern w:val="0"/>
          <w:sz w:val="32"/>
          <w:szCs w:val="32"/>
          <w:shd w:val="clear" w:color="auto" w:fill="auto"/>
          <w:lang w:val="en-US" w:eastAsia="zh-CN"/>
        </w:rPr>
        <w:t>村民委员会、居民委员会</w:t>
      </w:r>
      <w:r>
        <w:rPr>
          <w:rFonts w:hint="eastAsia" w:ascii="宋体" w:hAnsi="宋体" w:eastAsia="仿宋_GB2312" w:cs="仿宋_GB2312"/>
          <w:i w:val="0"/>
          <w:iCs w:val="0"/>
          <w:color w:val="000000"/>
          <w:kern w:val="0"/>
          <w:sz w:val="32"/>
          <w:szCs w:val="32"/>
          <w:u w:val="none"/>
          <w:shd w:val="clear" w:color="auto" w:fill="auto"/>
          <w:lang w:val="en-US" w:eastAsia="zh-CN"/>
        </w:rPr>
        <w:t>协助乡镇人民政府和街道办事处开展</w:t>
      </w:r>
      <w:r>
        <w:rPr>
          <w:rFonts w:hint="eastAsia" w:ascii="宋体" w:hAnsi="宋体" w:eastAsia="仿宋_GB2312" w:cs="仿宋_GB2312"/>
          <w:color w:val="000000"/>
          <w:kern w:val="0"/>
          <w:sz w:val="32"/>
          <w:szCs w:val="32"/>
          <w:shd w:val="clear" w:color="auto" w:fill="auto"/>
          <w:lang w:val="en-US" w:eastAsia="zh-CN"/>
        </w:rPr>
        <w:t>爱国卫生工作，组织本区域的单位和个人参加爱国卫生活动。</w:t>
      </w:r>
    </w:p>
    <w:p>
      <w:pPr>
        <w:widowControl w:val="0"/>
        <w:wordWrap/>
        <w:overflowPunct w:val="0"/>
        <w:adjustRightInd/>
        <w:snapToGrid/>
        <w:spacing w:beforeAutospacing="0" w:afterAutospacing="0" w:line="560" w:lineRule="exact"/>
        <w:ind w:left="0" w:leftChars="0" w:right="0" w:firstLine="573"/>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机关、企</w:t>
      </w:r>
      <w:r>
        <w:rPr>
          <w:rFonts w:hint="eastAsia" w:ascii="宋体" w:hAnsi="宋体" w:cs="仿宋_GB2312"/>
          <w:color w:val="000000"/>
          <w:sz w:val="32"/>
          <w:szCs w:val="32"/>
          <w:lang w:eastAsia="zh-CN"/>
        </w:rPr>
        <w:t>业</w:t>
      </w:r>
      <w:r>
        <w:rPr>
          <w:rFonts w:hint="eastAsia" w:ascii="宋体" w:hAnsi="宋体" w:eastAsia="仿宋_GB2312" w:cs="仿宋_GB2312"/>
          <w:color w:val="000000"/>
          <w:sz w:val="32"/>
          <w:szCs w:val="32"/>
        </w:rPr>
        <w:t>事业单位和社会团体应当建立卫生管理制度，确定责任人，配备卫生设施，保证室内外环境卫生达到规定标准；组织本单位职工参加爱国卫生活动，保护和促进职工健康。</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val="en-US" w:eastAsia="zh-CN"/>
        </w:rPr>
        <w:t>鼓励</w:t>
      </w:r>
      <w:r>
        <w:rPr>
          <w:rFonts w:hint="eastAsia" w:ascii="宋体" w:hAnsi="宋体" w:eastAsia="仿宋_GB2312" w:cs="仿宋_GB2312"/>
          <w:color w:val="000000"/>
          <w:sz w:val="32"/>
          <w:szCs w:val="32"/>
        </w:rPr>
        <w:t>各级公共卫生机构、大专院校及科研机构开展爱国卫生科学研究、推广先进适用技术，提供技术指导和服务。</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val="en-US" w:eastAsia="zh-CN"/>
        </w:rPr>
        <w:t>个人</w:t>
      </w:r>
      <w:r>
        <w:rPr>
          <w:rFonts w:hint="eastAsia" w:ascii="宋体" w:hAnsi="宋体" w:eastAsia="仿宋_GB2312" w:cs="仿宋_GB2312"/>
          <w:color w:val="000000"/>
          <w:sz w:val="32"/>
          <w:szCs w:val="32"/>
        </w:rPr>
        <w:t>应当自觉维护公共场所卫生，自觉养成良好卫生习惯，保持个人和家庭卫生。</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第三章   环境卫生治理</w:t>
      </w:r>
    </w:p>
    <w:p>
      <w:pPr>
        <w:pStyle w:val="33"/>
        <w:widowControl w:val="0"/>
        <w:tabs>
          <w:tab w:val="left" w:pos="6558"/>
        </w:tabs>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ab/>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第十一条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各级人民政府应当制定和实施环境卫生专项规划，</w:t>
      </w:r>
      <w:r>
        <w:rPr>
          <w:rFonts w:hint="eastAsia" w:ascii="宋体" w:hAnsi="宋体" w:eastAsia="仿宋_GB2312" w:cs="仿宋_GB2312"/>
          <w:sz w:val="32"/>
          <w:szCs w:val="32"/>
          <w:lang w:val="en-US" w:eastAsia="zh-CN"/>
        </w:rPr>
        <w:t>结合本行政区域实际情况</w:t>
      </w:r>
      <w:r>
        <w:rPr>
          <w:rFonts w:hint="eastAsia" w:ascii="宋体" w:hAnsi="宋体" w:eastAsia="仿宋_GB2312" w:cs="仿宋_GB2312"/>
          <w:color w:val="000000"/>
          <w:sz w:val="32"/>
          <w:szCs w:val="32"/>
          <w:lang w:eastAsia="zh-CN"/>
        </w:rPr>
        <w:t>加强对环境卫生重点治理区域的整治，定期</w:t>
      </w:r>
      <w:r>
        <w:rPr>
          <w:rFonts w:hint="eastAsia" w:ascii="宋体" w:hAnsi="宋体" w:eastAsia="仿宋_GB2312" w:cs="仿宋_GB2312"/>
          <w:color w:val="000000"/>
          <w:sz w:val="32"/>
          <w:szCs w:val="32"/>
        </w:rPr>
        <w:t>组织开展环境卫生治理活动，提高城乡环境卫生整体水平。</w:t>
      </w:r>
    </w:p>
    <w:p>
      <w:pPr>
        <w:widowControl w:val="0"/>
        <w:numPr>
          <w:ilvl w:val="0"/>
          <w:numId w:val="0"/>
        </w:numPr>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仿宋_GB2312" w:cs="仿宋_GB2312"/>
          <w:i w:val="0"/>
          <w:iCs w:val="0"/>
          <w:color w:val="000000"/>
          <w:sz w:val="32"/>
          <w:szCs w:val="32"/>
          <w:u w:val="none"/>
          <w:lang w:val="en-US" w:eastAsia="zh-CN"/>
        </w:rPr>
        <w:t>村民委员会、居民委员会</w:t>
      </w:r>
      <w:r>
        <w:rPr>
          <w:rFonts w:hint="eastAsia" w:ascii="宋体" w:hAnsi="宋体" w:eastAsia="仿宋_GB2312" w:cs="仿宋_GB2312"/>
          <w:color w:val="000000"/>
          <w:sz w:val="32"/>
          <w:szCs w:val="32"/>
          <w:lang w:val="en-US" w:eastAsia="zh-CN"/>
        </w:rPr>
        <w:t>应当有针对性地开展家庭卫生知识和技能宣传培训，引导居民</w:t>
      </w:r>
      <w:r>
        <w:rPr>
          <w:rFonts w:hint="eastAsia" w:ascii="宋体" w:hAnsi="宋体" w:eastAsia="仿宋_GB2312" w:cs="仿宋_GB2312"/>
          <w:i w:val="0"/>
          <w:iCs w:val="0"/>
          <w:color w:val="000000"/>
          <w:sz w:val="32"/>
          <w:szCs w:val="32"/>
          <w:u w:val="none"/>
          <w:lang w:val="en-US" w:eastAsia="zh-CN"/>
        </w:rPr>
        <w:t>做</w:t>
      </w:r>
      <w:r>
        <w:rPr>
          <w:rFonts w:hint="eastAsia" w:ascii="宋体" w:hAnsi="宋体" w:eastAsia="仿宋_GB2312" w:cs="仿宋_GB2312"/>
          <w:color w:val="000000"/>
          <w:sz w:val="32"/>
          <w:szCs w:val="32"/>
          <w:lang w:val="en-US" w:eastAsia="zh-CN"/>
        </w:rPr>
        <w:t>好家庭清洁</w:t>
      </w:r>
      <w:r>
        <w:rPr>
          <w:rFonts w:hint="eastAsia" w:ascii="宋体" w:hAnsi="宋体" w:eastAsia="仿宋_GB2312" w:cs="仿宋_GB2312"/>
          <w:i w:val="0"/>
          <w:iCs w:val="0"/>
          <w:color w:val="000000"/>
          <w:sz w:val="32"/>
          <w:szCs w:val="32"/>
          <w:u w:val="none"/>
          <w:lang w:val="en-US" w:eastAsia="zh-CN"/>
        </w:rPr>
        <w:t>卫生</w:t>
      </w:r>
      <w:r>
        <w:rPr>
          <w:rFonts w:hint="eastAsia" w:ascii="宋体" w:hAnsi="宋体" w:eastAsia="仿宋_GB2312" w:cs="仿宋_GB2312"/>
          <w:color w:val="000000"/>
          <w:sz w:val="32"/>
          <w:szCs w:val="32"/>
          <w:lang w:val="en-US" w:eastAsia="zh-CN"/>
        </w:rPr>
        <w:t>和宅前宅</w:t>
      </w:r>
      <w:r>
        <w:rPr>
          <w:rFonts w:hint="eastAsia" w:ascii="宋体" w:hAnsi="宋体" w:eastAsia="仿宋_GB2312" w:cs="仿宋_GB2312"/>
          <w:i w:val="0"/>
          <w:iCs w:val="0"/>
          <w:color w:val="000000"/>
          <w:sz w:val="32"/>
          <w:szCs w:val="32"/>
          <w:u w:val="none"/>
          <w:lang w:val="en-US" w:eastAsia="zh-CN"/>
        </w:rPr>
        <w:t>后环境卫生。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第十二条 </w:t>
      </w:r>
      <w:r>
        <w:rPr>
          <w:rFonts w:hint="eastAsia" w:ascii="宋体" w:hAnsi="宋体" w:eastAsia="仿宋_GB2312" w:cs="仿宋_GB2312"/>
          <w:i w:val="0"/>
          <w:iCs w:val="0"/>
          <w:color w:val="000000"/>
          <w:sz w:val="32"/>
          <w:szCs w:val="32"/>
          <w:u w:val="none"/>
          <w:lang w:val="en-US" w:eastAsia="zh-CN"/>
        </w:rPr>
        <w:t xml:space="preserve"> </w:t>
      </w:r>
      <w:r>
        <w:rPr>
          <w:rFonts w:hint="eastAsia" w:ascii="宋体" w:hAnsi="宋体" w:eastAsia="仿宋_GB2312" w:cs="仿宋_GB2312"/>
          <w:color w:val="000000"/>
          <w:sz w:val="32"/>
          <w:szCs w:val="32"/>
        </w:rPr>
        <w:t>各级人民政府应当将厕所、污水处理、生活垃圾收集和</w:t>
      </w:r>
      <w:r>
        <w:rPr>
          <w:rFonts w:hint="eastAsia" w:ascii="宋体" w:hAnsi="宋体" w:eastAsia="仿宋_GB2312" w:cs="仿宋_GB2312"/>
          <w:color w:val="000000"/>
          <w:sz w:val="32"/>
          <w:szCs w:val="32"/>
          <w:lang w:eastAsia="zh-CN"/>
        </w:rPr>
        <w:t>运输</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i w:val="0"/>
          <w:iCs w:val="0"/>
          <w:color w:val="000000"/>
          <w:sz w:val="32"/>
          <w:szCs w:val="32"/>
          <w:u w:val="none"/>
          <w:lang w:val="en-US" w:eastAsia="zh-CN"/>
        </w:rPr>
        <w:t>预防控制</w:t>
      </w:r>
      <w:r>
        <w:rPr>
          <w:rFonts w:hint="eastAsia" w:ascii="宋体" w:hAnsi="宋体" w:eastAsia="仿宋_GB2312" w:cs="仿宋_GB2312"/>
          <w:i w:val="0"/>
          <w:iCs w:val="0"/>
          <w:color w:val="000000"/>
          <w:sz w:val="32"/>
          <w:szCs w:val="32"/>
          <w:u w:val="none"/>
        </w:rPr>
        <w:t>病媒生物</w:t>
      </w:r>
      <w:r>
        <w:rPr>
          <w:rFonts w:hint="eastAsia" w:ascii="宋体" w:hAnsi="宋体" w:eastAsia="仿宋_GB2312" w:cs="仿宋_GB2312"/>
          <w:color w:val="000000"/>
          <w:sz w:val="32"/>
          <w:szCs w:val="32"/>
        </w:rPr>
        <w:t>等卫生基础设施建设纳入城乡基础设施建设规划，并明确重点建设区域。</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lang w:eastAsia="zh-CN"/>
        </w:rPr>
        <w:t>农村</w:t>
      </w:r>
      <w:r>
        <w:rPr>
          <w:rFonts w:hint="eastAsia" w:ascii="宋体" w:hAnsi="宋体" w:eastAsia="仿宋_GB2312" w:cs="仿宋_GB2312"/>
          <w:color w:val="000000"/>
          <w:sz w:val="32"/>
          <w:szCs w:val="32"/>
        </w:rPr>
        <w:t>卫生基础设施的用地布局和建设要求，应当纳入</w:t>
      </w:r>
      <w:r>
        <w:rPr>
          <w:rFonts w:hint="eastAsia" w:ascii="宋体" w:hAnsi="宋体" w:eastAsia="仿宋_GB2312" w:cs="仿宋_GB2312"/>
          <w:color w:val="000000"/>
          <w:sz w:val="32"/>
          <w:szCs w:val="32"/>
          <w:lang w:eastAsia="zh-CN"/>
        </w:rPr>
        <w:t>乡村</w:t>
      </w:r>
      <w:r>
        <w:rPr>
          <w:rFonts w:hint="eastAsia" w:ascii="宋体" w:hAnsi="宋体" w:eastAsia="仿宋_GB2312" w:cs="仿宋_GB2312"/>
          <w:color w:val="000000"/>
          <w:sz w:val="32"/>
          <w:szCs w:val="32"/>
        </w:rPr>
        <w:t>规划。</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lang w:eastAsia="zh-CN"/>
        </w:rPr>
        <w:t>卫生基础设施应当与</w:t>
      </w:r>
      <w:r>
        <w:rPr>
          <w:rFonts w:hint="eastAsia" w:ascii="宋体" w:hAnsi="宋体" w:eastAsia="仿宋_GB2312" w:cs="仿宋_GB2312"/>
          <w:i w:val="0"/>
          <w:iCs w:val="0"/>
          <w:color w:val="000000"/>
          <w:sz w:val="32"/>
          <w:szCs w:val="32"/>
          <w:u w:val="none"/>
        </w:rPr>
        <w:t>项目建设主体工程同时设计、同时建设和验收、同时投入使用。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第十三条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公共场所</w:t>
      </w:r>
      <w:r>
        <w:rPr>
          <w:rFonts w:hint="eastAsia" w:ascii="宋体" w:hAnsi="宋体" w:eastAsia="仿宋_GB2312" w:cs="仿宋_GB2312"/>
          <w:color w:val="000000"/>
          <w:sz w:val="32"/>
          <w:szCs w:val="32"/>
          <w:lang w:eastAsia="zh-CN"/>
        </w:rPr>
        <w:t>卫生</w:t>
      </w:r>
      <w:r>
        <w:rPr>
          <w:rFonts w:hint="eastAsia" w:ascii="宋体" w:hAnsi="宋体" w:eastAsia="仿宋_GB2312" w:cs="仿宋_GB2312"/>
          <w:color w:val="000000"/>
          <w:sz w:val="32"/>
          <w:szCs w:val="32"/>
        </w:rPr>
        <w:t>应当符合下列要求：</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（一）</w:t>
      </w:r>
      <w:r>
        <w:rPr>
          <w:rFonts w:hint="eastAsia" w:ascii="宋体" w:hAnsi="宋体" w:eastAsia="仿宋_GB2312" w:cs="仿宋_GB2312"/>
          <w:color w:val="000000"/>
          <w:sz w:val="32"/>
          <w:szCs w:val="32"/>
          <w:lang w:eastAsia="zh-CN"/>
        </w:rPr>
        <w:t>室内外的</w:t>
      </w:r>
      <w:r>
        <w:rPr>
          <w:rFonts w:hint="eastAsia" w:ascii="宋体" w:hAnsi="宋体" w:eastAsia="仿宋_GB2312" w:cs="仿宋_GB2312"/>
          <w:color w:val="000000"/>
          <w:sz w:val="32"/>
          <w:szCs w:val="32"/>
        </w:rPr>
        <w:t>空气、通风、</w:t>
      </w:r>
      <w:r>
        <w:rPr>
          <w:rFonts w:hint="eastAsia" w:ascii="宋体" w:hAnsi="宋体" w:eastAsia="仿宋_GB2312" w:cs="仿宋_GB2312"/>
          <w:i w:val="0"/>
          <w:iCs w:val="0"/>
          <w:color w:val="000000"/>
          <w:sz w:val="32"/>
          <w:szCs w:val="32"/>
          <w:u w:val="none"/>
        </w:rPr>
        <w:t>采光、</w:t>
      </w:r>
      <w:r>
        <w:rPr>
          <w:rFonts w:hint="eastAsia" w:ascii="宋体" w:hAnsi="宋体" w:eastAsia="仿宋_GB2312" w:cs="仿宋_GB2312"/>
          <w:color w:val="000000"/>
          <w:sz w:val="32"/>
          <w:szCs w:val="32"/>
        </w:rPr>
        <w:t>照明、噪音、</w:t>
      </w:r>
      <w:r>
        <w:rPr>
          <w:rFonts w:hint="eastAsia" w:ascii="宋体" w:hAnsi="宋体" w:eastAsia="仿宋_GB2312" w:cs="仿宋_GB2312"/>
          <w:i w:val="0"/>
          <w:iCs w:val="0"/>
          <w:color w:val="000000"/>
          <w:sz w:val="32"/>
          <w:szCs w:val="32"/>
          <w:u w:val="none"/>
        </w:rPr>
        <w:t>水质</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顾客用具和卫生设施符合国家规定的有关标准和要求；</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（二）有完善的卫生管理制度、定期检查制度；</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（三）有专职或者兼职的卫生管理人员，健全的卫生责任制度</w:t>
      </w:r>
      <w:r>
        <w:rPr>
          <w:rFonts w:hint="eastAsia" w:ascii="宋体" w:hAnsi="宋体" w:cs="仿宋_GB2312"/>
          <w:color w:val="000000"/>
          <w:sz w:val="32"/>
          <w:szCs w:val="32"/>
          <w:lang w:eastAsia="zh-CN"/>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lang w:eastAsia="zh-CN"/>
        </w:rPr>
        <w:t>公共场所</w:t>
      </w:r>
      <w:r>
        <w:rPr>
          <w:rFonts w:hint="eastAsia" w:ascii="宋体" w:hAnsi="宋体" w:eastAsia="仿宋_GB2312" w:cs="仿宋_GB2312"/>
          <w:color w:val="000000"/>
          <w:sz w:val="32"/>
          <w:szCs w:val="32"/>
        </w:rPr>
        <w:t>直接为顾客服务的人员，应当接受卫生知识培训，持有健康合格证</w:t>
      </w:r>
      <w:r>
        <w:rPr>
          <w:rFonts w:hint="eastAsia" w:ascii="宋体" w:hAnsi="宋体" w:eastAsia="仿宋_GB2312" w:cs="仿宋_GB2312"/>
          <w:color w:val="000000"/>
          <w:sz w:val="32"/>
          <w:szCs w:val="32"/>
          <w:lang w:eastAsia="zh-CN"/>
        </w:rPr>
        <w:t>明</w:t>
      </w:r>
      <w:r>
        <w:rPr>
          <w:rFonts w:hint="eastAsia" w:ascii="宋体" w:hAnsi="宋体" w:eastAsia="仿宋_GB2312" w:cs="仿宋_GB2312"/>
          <w:color w:val="000000"/>
          <w:sz w:val="32"/>
          <w:szCs w:val="32"/>
        </w:rPr>
        <w:t>，保持个人卫生；患有传染性疾病及其他有碍公共卫生疾病的，治愈前不得从事直接为顾客服务的工作。</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　  第十四条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禽畜饲养场、屠宰场、肉类加工厂以及其他可能对周围环境卫生产生污染和其他公害的各类生产、经营企业及设施，其选址、建设和管理应当符合有关法律法规的规定。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w:t>
      </w:r>
      <w:r>
        <w:rPr>
          <w:rFonts w:hint="eastAsia" w:ascii="宋体" w:hAnsi="宋体" w:eastAsia="黑体" w:cs="黑体"/>
          <w:color w:val="000000"/>
          <w:kern w:val="2"/>
          <w:sz w:val="32"/>
          <w:szCs w:val="32"/>
          <w:lang w:val="en-US" w:eastAsia="zh-CN" w:bidi="ar-SA"/>
        </w:rPr>
        <w:t xml:space="preserve">　第十五条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风景名胜区、旅游景点管理机构应当加强景区、景点的公共卫生设施的规划和建设，建立卫生管理制度，做好垃圾、粪便和污水的无害化处理，保持景区、景点环境卫生。</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景区、景点内的单位、居民和游客应当遵守景区、景点卫生管理制度。</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　　第十六条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集贸市场的开办者应当设置符合卫生要求的</w:t>
      </w:r>
      <w:r>
        <w:rPr>
          <w:rFonts w:hint="eastAsia" w:ascii="宋体" w:hAnsi="宋体" w:eastAsia="仿宋_GB2312" w:cs="仿宋_GB2312"/>
          <w:i w:val="0"/>
          <w:iCs w:val="0"/>
          <w:color w:val="000000"/>
          <w:sz w:val="32"/>
          <w:szCs w:val="32"/>
          <w:u w:val="none"/>
          <w:lang w:eastAsia="zh-CN"/>
        </w:rPr>
        <w:t>公共厕所</w:t>
      </w:r>
      <w:r>
        <w:rPr>
          <w:rFonts w:hint="eastAsia" w:ascii="宋体" w:hAnsi="宋体" w:eastAsia="仿宋_GB2312" w:cs="仿宋_GB2312"/>
          <w:color w:val="000000"/>
          <w:sz w:val="32"/>
          <w:szCs w:val="32"/>
        </w:rPr>
        <w:t>、垃圾站和供排水等公共卫生设施，配备保洁人员，建立健全相关卫生制度，保持良好的卫生环境。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没有设置公共卫生设施或者公共卫生设施不符合卫生要求的集贸市场，有关部门不得为其办理开业的有关手续。</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color w:val="000000"/>
          <w:sz w:val="32"/>
          <w:szCs w:val="32"/>
        </w:rPr>
        <w:t>涉及活禽经营等行为</w:t>
      </w:r>
      <w:r>
        <w:rPr>
          <w:rFonts w:hint="eastAsia" w:ascii="宋体" w:hAnsi="宋体" w:eastAsia="仿宋_GB2312" w:cs="仿宋_GB2312"/>
          <w:color w:val="000000"/>
          <w:sz w:val="32"/>
          <w:szCs w:val="32"/>
          <w:lang w:eastAsia="zh-CN"/>
        </w:rPr>
        <w:t>的</w:t>
      </w:r>
      <w:r>
        <w:rPr>
          <w:rFonts w:hint="eastAsia" w:ascii="宋体" w:hAnsi="宋体" w:eastAsia="仿宋_GB2312" w:cs="仿宋_GB2312"/>
          <w:color w:val="000000"/>
          <w:sz w:val="32"/>
          <w:szCs w:val="32"/>
        </w:rPr>
        <w:t>，应</w:t>
      </w:r>
      <w:r>
        <w:rPr>
          <w:rFonts w:hint="eastAsia" w:ascii="宋体" w:hAnsi="宋体" w:eastAsia="仿宋_GB2312" w:cs="仿宋_GB2312"/>
          <w:color w:val="000000"/>
          <w:sz w:val="32"/>
          <w:szCs w:val="32"/>
          <w:lang w:eastAsia="zh-CN"/>
        </w:rPr>
        <w:t>当</w:t>
      </w:r>
      <w:r>
        <w:rPr>
          <w:rFonts w:hint="eastAsia" w:ascii="宋体" w:hAnsi="宋体" w:eastAsia="仿宋_GB2312" w:cs="仿宋_GB2312"/>
          <w:i w:val="0"/>
          <w:iCs w:val="0"/>
          <w:color w:val="000000"/>
          <w:sz w:val="32"/>
          <w:szCs w:val="32"/>
          <w:u w:val="none"/>
          <w:lang w:eastAsia="zh-CN"/>
        </w:rPr>
        <w:t>做好</w:t>
      </w:r>
      <w:r>
        <w:rPr>
          <w:rFonts w:hint="eastAsia" w:ascii="宋体" w:hAnsi="宋体" w:eastAsia="仿宋_GB2312" w:cs="仿宋_GB2312"/>
          <w:color w:val="000000"/>
          <w:sz w:val="32"/>
          <w:szCs w:val="32"/>
        </w:rPr>
        <w:t>清洁消毒</w:t>
      </w:r>
      <w:r>
        <w:rPr>
          <w:rFonts w:hint="eastAsia" w:ascii="宋体" w:hAnsi="宋体" w:eastAsia="仿宋_GB2312" w:cs="仿宋_GB2312"/>
          <w:i w:val="0"/>
          <w:iCs w:val="0"/>
          <w:color w:val="000000"/>
          <w:sz w:val="32"/>
          <w:szCs w:val="32"/>
          <w:u w:val="none"/>
          <w:lang w:eastAsia="zh-CN"/>
        </w:rPr>
        <w:t>和</w:t>
      </w:r>
      <w:r>
        <w:rPr>
          <w:rFonts w:hint="eastAsia" w:ascii="宋体" w:hAnsi="宋体" w:eastAsia="仿宋_GB2312" w:cs="仿宋_GB2312"/>
          <w:color w:val="000000"/>
          <w:sz w:val="32"/>
          <w:szCs w:val="32"/>
        </w:rPr>
        <w:t>废弃物</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病死禽只</w:t>
      </w:r>
      <w:r>
        <w:rPr>
          <w:rFonts w:hint="eastAsia" w:ascii="宋体" w:hAnsi="宋体" w:eastAsia="仿宋_GB2312" w:cs="仿宋_GB2312"/>
          <w:color w:val="000000"/>
          <w:sz w:val="32"/>
          <w:szCs w:val="32"/>
          <w:lang w:eastAsia="zh-CN"/>
        </w:rPr>
        <w:t>的</w:t>
      </w:r>
      <w:r>
        <w:rPr>
          <w:rFonts w:hint="eastAsia" w:ascii="宋体" w:hAnsi="宋体" w:eastAsia="仿宋_GB2312" w:cs="仿宋_GB2312"/>
          <w:color w:val="000000"/>
          <w:sz w:val="32"/>
          <w:szCs w:val="32"/>
        </w:rPr>
        <w:t>无害化处理。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第十七条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施工单位应当妥善处理垃圾、粪便和污水。</w:t>
      </w:r>
      <w:r>
        <w:rPr>
          <w:rFonts w:hint="eastAsia" w:ascii="宋体" w:hAnsi="宋体" w:eastAsia="仿宋_GB2312" w:cs="仿宋_GB2312"/>
          <w:i w:val="0"/>
          <w:iCs w:val="0"/>
          <w:color w:val="000000"/>
          <w:sz w:val="32"/>
          <w:szCs w:val="32"/>
          <w:u w:val="none"/>
          <w:lang w:eastAsia="zh-CN"/>
        </w:rPr>
        <w:t>施工</w:t>
      </w:r>
      <w:r>
        <w:rPr>
          <w:rFonts w:hint="eastAsia" w:ascii="宋体" w:hAnsi="宋体" w:eastAsia="仿宋_GB2312" w:cs="仿宋_GB2312"/>
          <w:color w:val="000000"/>
          <w:sz w:val="32"/>
          <w:szCs w:val="32"/>
        </w:rPr>
        <w:t>工地的宿舍、厨房、厕所应当符合卫生要求。</w:t>
      </w:r>
    </w:p>
    <w:p>
      <w:pPr>
        <w:widowControl w:val="0"/>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施工单位</w:t>
      </w:r>
      <w:r>
        <w:rPr>
          <w:rFonts w:hint="eastAsia" w:ascii="宋体" w:hAnsi="宋体" w:eastAsia="仿宋_GB2312" w:cs="仿宋_GB2312"/>
          <w:b w:val="0"/>
          <w:bCs w:val="0"/>
          <w:color w:val="000000"/>
          <w:sz w:val="32"/>
          <w:szCs w:val="32"/>
          <w:lang w:eastAsia="zh-CN"/>
        </w:rPr>
        <w:t>应当做好</w:t>
      </w:r>
      <w:r>
        <w:rPr>
          <w:rFonts w:hint="eastAsia" w:ascii="宋体" w:hAnsi="宋体" w:eastAsia="仿宋_GB2312" w:cs="仿宋_GB2312"/>
          <w:b w:val="0"/>
          <w:bCs w:val="0"/>
          <w:color w:val="000000"/>
          <w:sz w:val="32"/>
          <w:szCs w:val="32"/>
        </w:rPr>
        <w:t>建筑垃圾和生活垃圾分类</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收集和处理。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第十八条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生活饮用水应当符合国家卫生标准。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　　各级人民政府应当加强生活饮用水卫生设施建设和管理</w:t>
      </w:r>
      <w:r>
        <w:rPr>
          <w:rFonts w:hint="eastAsia" w:ascii="宋体" w:hAnsi="宋体" w:eastAsia="仿宋_GB2312" w:cs="仿宋_GB2312"/>
          <w:color w:val="000000"/>
          <w:sz w:val="32"/>
          <w:szCs w:val="32"/>
          <w:lang w:eastAsia="zh-CN"/>
        </w:rPr>
        <w:t>，推进</w:t>
      </w:r>
      <w:r>
        <w:rPr>
          <w:rFonts w:hint="eastAsia" w:ascii="宋体" w:hAnsi="宋体" w:eastAsia="仿宋_GB2312" w:cs="仿宋_GB2312"/>
          <w:i w:val="0"/>
          <w:iCs w:val="0"/>
          <w:color w:val="000000"/>
          <w:sz w:val="32"/>
          <w:szCs w:val="32"/>
          <w:u w:val="none"/>
        </w:rPr>
        <w:t>城市供水管网向农村延伸</w:t>
      </w:r>
      <w:r>
        <w:rPr>
          <w:rFonts w:hint="eastAsia" w:ascii="宋体" w:hAnsi="宋体" w:eastAsia="仿宋_GB2312" w:cs="仿宋_GB2312"/>
          <w:i w:val="0"/>
          <w:iCs w:val="0"/>
          <w:color w:val="000000"/>
          <w:sz w:val="32"/>
          <w:szCs w:val="32"/>
          <w:u w:val="none"/>
          <w:lang w:eastAsia="zh-CN"/>
        </w:rPr>
        <w:t>和</w:t>
      </w:r>
      <w:r>
        <w:rPr>
          <w:rFonts w:hint="eastAsia" w:ascii="宋体" w:hAnsi="宋体" w:eastAsia="仿宋_GB2312" w:cs="仿宋_GB2312"/>
          <w:i w:val="0"/>
          <w:iCs w:val="0"/>
          <w:color w:val="000000"/>
          <w:sz w:val="32"/>
          <w:szCs w:val="32"/>
          <w:u w:val="none"/>
        </w:rPr>
        <w:t>农村生活饮用水工程</w:t>
      </w:r>
      <w:r>
        <w:rPr>
          <w:rFonts w:hint="eastAsia" w:ascii="宋体" w:hAnsi="宋体" w:eastAsia="仿宋_GB2312" w:cs="仿宋_GB2312"/>
          <w:i w:val="0"/>
          <w:iCs w:val="0"/>
          <w:color w:val="000000"/>
          <w:sz w:val="32"/>
          <w:szCs w:val="32"/>
          <w:u w:val="none"/>
          <w:lang w:eastAsia="zh-CN"/>
        </w:rPr>
        <w:t>建设。</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集中式供水单位应当有水质净化消毒设施</w:t>
      </w:r>
      <w:r>
        <w:rPr>
          <w:rFonts w:hint="eastAsia" w:ascii="宋体" w:hAnsi="宋体" w:eastAsia="仿宋_GB2312" w:cs="仿宋_GB2312"/>
          <w:color w:val="000000"/>
          <w:sz w:val="32"/>
          <w:szCs w:val="32"/>
          <w:lang w:eastAsia="zh-CN"/>
        </w:rPr>
        <w:t>和</w:t>
      </w:r>
      <w:r>
        <w:rPr>
          <w:rFonts w:hint="eastAsia" w:ascii="宋体" w:hAnsi="宋体" w:eastAsia="仿宋_GB2312" w:cs="仿宋_GB2312"/>
          <w:color w:val="000000"/>
          <w:sz w:val="32"/>
          <w:szCs w:val="32"/>
        </w:rPr>
        <w:t>必要的水质检验检测仪器、设备</w:t>
      </w:r>
      <w:r>
        <w:rPr>
          <w:rFonts w:hint="eastAsia" w:ascii="宋体" w:hAnsi="宋体" w:eastAsia="仿宋_GB2312" w:cs="仿宋_GB2312"/>
          <w:i w:val="0"/>
          <w:iCs w:val="0"/>
          <w:color w:val="000000"/>
          <w:sz w:val="32"/>
          <w:szCs w:val="32"/>
          <w:u w:val="none"/>
          <w:lang w:eastAsia="zh-CN"/>
        </w:rPr>
        <w:t>及</w:t>
      </w:r>
      <w:r>
        <w:rPr>
          <w:rFonts w:hint="eastAsia" w:ascii="宋体" w:hAnsi="宋体" w:eastAsia="仿宋_GB2312" w:cs="仿宋_GB2312"/>
          <w:color w:val="000000"/>
          <w:sz w:val="32"/>
          <w:szCs w:val="32"/>
        </w:rPr>
        <w:t>人员，对水质进行日常检验；二次供水设施应当由持有健康合格证的人员定期进行清洗消毒和卫生维护，</w:t>
      </w:r>
      <w:r>
        <w:rPr>
          <w:rFonts w:hint="eastAsia" w:ascii="宋体" w:hAnsi="宋体" w:eastAsia="仿宋_GB2312" w:cs="仿宋_GB2312"/>
          <w:i w:val="0"/>
          <w:iCs w:val="0"/>
          <w:color w:val="000000"/>
          <w:sz w:val="32"/>
          <w:szCs w:val="32"/>
          <w:u w:val="none"/>
          <w:lang w:val="en-US" w:eastAsia="zh-CN"/>
        </w:rPr>
        <w:t>保证</w:t>
      </w:r>
      <w:r>
        <w:rPr>
          <w:rFonts w:hint="eastAsia" w:ascii="宋体" w:hAnsi="宋体" w:eastAsia="仿宋_GB2312" w:cs="仿宋_GB2312"/>
          <w:color w:val="000000"/>
          <w:sz w:val="32"/>
          <w:szCs w:val="32"/>
        </w:rPr>
        <w:t>二次供水清洁卫生。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第十九条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农村生活垃圾应当定点</w:t>
      </w:r>
      <w:r>
        <w:rPr>
          <w:rFonts w:hint="eastAsia" w:ascii="宋体" w:hAnsi="宋体" w:eastAsia="仿宋_GB2312" w:cs="仿宋_GB2312"/>
          <w:i w:val="0"/>
          <w:iCs w:val="0"/>
          <w:color w:val="000000"/>
          <w:sz w:val="32"/>
          <w:szCs w:val="32"/>
          <w:u w:val="none"/>
          <w:lang w:val="en-US" w:eastAsia="zh-CN"/>
        </w:rPr>
        <w:t>收集</w:t>
      </w:r>
      <w:r>
        <w:rPr>
          <w:rFonts w:hint="eastAsia" w:ascii="宋体" w:hAnsi="宋体" w:eastAsia="仿宋_GB2312" w:cs="仿宋_GB2312"/>
          <w:color w:val="000000"/>
          <w:sz w:val="32"/>
          <w:szCs w:val="32"/>
        </w:rPr>
        <w:t>，统一处理</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收集点应当保持清洁。不得在巷道、河涌、河堤、河滩、池塘、沟渠倾倒或堆放垃圾和余泥。</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第二十条  </w:t>
      </w:r>
      <w:r>
        <w:rPr>
          <w:rFonts w:hint="eastAsia" w:ascii="宋体" w:hAnsi="宋体" w:eastAsia="仿宋_GB2312" w:cs="仿宋_GB2312"/>
          <w:color w:val="000000"/>
          <w:sz w:val="32"/>
          <w:szCs w:val="32"/>
        </w:rPr>
        <w:t>医疗卫生机构、屠宰场和生物制品、化学制品的生产加工企业等单位应当对其产生的废弃物及污水进行无害化处理。禁止将未经无害化处理废弃物混入生活垃圾或者其他废弃物中堆放</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清运。</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第二十一条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val="en-US" w:eastAsia="zh-CN"/>
        </w:rPr>
        <w:t>居民</w:t>
      </w:r>
      <w:r>
        <w:rPr>
          <w:rFonts w:hint="eastAsia" w:ascii="宋体" w:hAnsi="宋体" w:eastAsia="仿宋_GB2312" w:cs="仿宋_GB2312"/>
          <w:color w:val="000000"/>
          <w:sz w:val="32"/>
          <w:szCs w:val="32"/>
        </w:rPr>
        <w:t>应当养成文明、卫生的饮食习惯，摒弃吃野生动物的习俗，不吃法律法规保护、容易传播疾病或者未经检疫的野生动物</w:t>
      </w:r>
      <w:r>
        <w:rPr>
          <w:rFonts w:hint="eastAsia" w:ascii="宋体" w:hAnsi="宋体" w:eastAsia="仿宋_GB2312" w:cs="仿宋_GB2312"/>
          <w:i w:val="0"/>
          <w:iCs w:val="0"/>
          <w:color w:val="000000"/>
          <w:sz w:val="32"/>
          <w:szCs w:val="32"/>
          <w:u w:val="none"/>
          <w:lang w:eastAsia="zh-CN"/>
        </w:rPr>
        <w:t>及其制品</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黑体" w:cs="黑体"/>
          <w:color w:val="000000"/>
          <w:kern w:val="2"/>
          <w:sz w:val="32"/>
          <w:szCs w:val="32"/>
          <w:lang w:val="en-US" w:eastAsia="zh-CN" w:bidi="ar-SA"/>
        </w:rPr>
        <w:t>第二十二条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eastAsia="zh-CN"/>
        </w:rPr>
        <w:t>禁止在公共场所</w:t>
      </w:r>
      <w:r>
        <w:rPr>
          <w:rFonts w:hint="eastAsia" w:ascii="宋体" w:hAnsi="宋体" w:eastAsia="仿宋_GB2312" w:cs="仿宋_GB2312"/>
          <w:color w:val="000000"/>
          <w:sz w:val="32"/>
          <w:szCs w:val="32"/>
        </w:rPr>
        <w:t>随地吐痰、便溺，乱扔果皮、纸屑、烟蒂、口香糖、废电池</w:t>
      </w:r>
      <w:r>
        <w:rPr>
          <w:rFonts w:hint="eastAsia" w:ascii="宋体" w:hAnsi="宋体" w:eastAsia="仿宋_GB2312" w:cs="仿宋_GB2312"/>
          <w:color w:val="000000"/>
          <w:sz w:val="32"/>
          <w:szCs w:val="32"/>
          <w:lang w:eastAsia="zh-CN"/>
        </w:rPr>
        <w:t>以及</w:t>
      </w:r>
      <w:r>
        <w:rPr>
          <w:rFonts w:hint="eastAsia" w:ascii="宋体" w:hAnsi="宋体" w:eastAsia="仿宋_GB2312" w:cs="仿宋_GB2312"/>
          <w:color w:val="000000"/>
          <w:sz w:val="32"/>
          <w:szCs w:val="32"/>
        </w:rPr>
        <w:t>各种食品包装物等废弃物</w:t>
      </w: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i w:val="0"/>
          <w:iCs w:val="0"/>
          <w:color w:val="000000"/>
          <w:sz w:val="32"/>
          <w:szCs w:val="32"/>
          <w:u w:val="none"/>
          <w:lang w:eastAsia="zh-CN"/>
        </w:rPr>
        <w:t>禁止</w:t>
      </w:r>
      <w:r>
        <w:rPr>
          <w:rFonts w:hint="eastAsia" w:ascii="宋体" w:hAnsi="宋体" w:eastAsia="仿宋_GB2312" w:cs="仿宋_GB2312"/>
          <w:color w:val="000000"/>
          <w:sz w:val="32"/>
          <w:szCs w:val="32"/>
        </w:rPr>
        <w:t>乱倒垃圾、粪便和污水</w:t>
      </w:r>
      <w:r>
        <w:rPr>
          <w:rFonts w:hint="eastAsia" w:ascii="宋体" w:hAnsi="宋体" w:eastAsia="仿宋_GB2312" w:cs="仿宋_GB2312"/>
          <w:i w:val="0"/>
          <w:iCs w:val="0"/>
          <w:color w:val="000000"/>
          <w:sz w:val="32"/>
          <w:szCs w:val="32"/>
          <w:u w:val="none"/>
          <w:lang w:eastAsia="zh-CN"/>
        </w:rPr>
        <w:t>。</w:t>
      </w:r>
    </w:p>
    <w:p>
      <w:pPr>
        <w:pStyle w:val="33"/>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color w:val="000000"/>
          <w:sz w:val="32"/>
          <w:szCs w:val="32"/>
          <w:u w:val="none"/>
          <w:lang w:val="en-US" w:eastAsia="zh-CN"/>
        </w:rPr>
      </w:pPr>
      <w:r>
        <w:rPr>
          <w:rFonts w:hint="eastAsia" w:ascii="宋体" w:hAnsi="宋体" w:eastAsia="黑体" w:cs="黑体"/>
          <w:color w:val="000000"/>
          <w:kern w:val="2"/>
          <w:sz w:val="32"/>
          <w:szCs w:val="32"/>
          <w:lang w:val="en-US" w:eastAsia="zh-CN" w:bidi="ar-SA"/>
        </w:rPr>
        <w:t xml:space="preserve">第二十三条 </w:t>
      </w:r>
      <w:r>
        <w:rPr>
          <w:rFonts w:hint="eastAsia" w:ascii="宋体" w:hAnsi="宋体" w:eastAsia="仿宋_GB2312" w:cs="仿宋_GB2312"/>
          <w:i w:val="0"/>
          <w:iCs w:val="0"/>
          <w:color w:val="000000"/>
          <w:sz w:val="32"/>
          <w:szCs w:val="32"/>
          <w:u w:val="none"/>
          <w:lang w:val="en-US" w:eastAsia="zh-CN"/>
        </w:rPr>
        <w:t xml:space="preserve"> 除</w:t>
      </w:r>
      <w:r>
        <w:rPr>
          <w:rFonts w:hint="eastAsia" w:ascii="宋体" w:hAnsi="宋体" w:eastAsia="仿宋_GB2312" w:cs="仿宋_GB2312"/>
          <w:color w:val="000000"/>
          <w:sz w:val="32"/>
          <w:szCs w:val="32"/>
          <w:u w:val="none"/>
          <w:lang w:val="en-US" w:eastAsia="zh-CN"/>
        </w:rPr>
        <w:t>因教学、科研以及其他特殊需要饲养的外，城市市区内禁止饲养鸡、鸭、鹅、兔、羊、猪等家畜家禽。</w:t>
      </w:r>
    </w:p>
    <w:p>
      <w:pPr>
        <w:pStyle w:val="33"/>
        <w:widowControl w:val="0"/>
        <w:wordWrap/>
        <w:overflowPunct w:val="0"/>
        <w:spacing w:beforeAutospacing="0" w:afterAutospacing="0" w:line="560" w:lineRule="exact"/>
        <w:ind w:firstLine="640"/>
        <w:textAlignment w:val="auto"/>
        <w:outlineLvl w:val="9"/>
        <w:rPr>
          <w:rFonts w:hint="eastAsia" w:ascii="宋体" w:hAnsi="宋体"/>
          <w:sz w:val="32"/>
          <w:szCs w:val="32"/>
          <w:lang w:eastAsia="zh-CN"/>
        </w:rPr>
      </w:pPr>
      <w:r>
        <w:rPr>
          <w:rFonts w:hint="eastAsia" w:ascii="宋体" w:hAnsi="宋体" w:eastAsia="仿宋_GB2312" w:cs="黑体"/>
          <w:color w:val="000000"/>
          <w:kern w:val="0"/>
          <w:sz w:val="32"/>
          <w:szCs w:val="32"/>
          <w:lang w:val="en-US" w:eastAsia="zh-CN" w:bidi="ar-SA"/>
        </w:rPr>
        <w:t>除携带缉毒犬、搜救犬、导盲犬、扶助犬等工作犬外，禁止携带犬、猫、家禽及观赏鸟类等动物乘坐公共交通工具、进入室内公共场所及设有禁止动物进入标志的室外公共场所。</w:t>
      </w: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i w:val="0"/>
          <w:iCs w:val="0"/>
          <w:color w:val="000000"/>
          <w:kern w:val="2"/>
          <w:sz w:val="32"/>
          <w:szCs w:val="32"/>
          <w:u w:val="none"/>
          <w:lang w:val="en-US" w:eastAsia="zh-CN"/>
        </w:rPr>
      </w:pPr>
      <w:r>
        <w:rPr>
          <w:rFonts w:hint="eastAsia" w:ascii="宋体" w:hAnsi="宋体" w:eastAsia="仿宋_GB2312" w:cs="黑体"/>
          <w:color w:val="000000"/>
          <w:kern w:val="0"/>
          <w:sz w:val="32"/>
          <w:szCs w:val="32"/>
          <w:lang w:val="en-US" w:eastAsia="zh-CN" w:bidi="ar-SA"/>
        </w:rPr>
        <w:t>为动物开设的专门服务场所和区域不受前款规定限制。</w:t>
      </w:r>
    </w:p>
    <w:p>
      <w:pPr>
        <w:widowControl w:val="0"/>
        <w:wordWrap/>
        <w:overflowPunct w:val="0"/>
        <w:adjustRightInd/>
        <w:snapToGrid/>
        <w:spacing w:beforeAutospacing="0" w:afterAutospacing="0" w:line="560" w:lineRule="exact"/>
        <w:ind w:left="0" w:leftChars="0" w:right="0" w:firstLine="640" w:firstLineChars="0"/>
        <w:jc w:val="both"/>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i w:val="0"/>
          <w:iCs w:val="0"/>
          <w:color w:val="000000"/>
          <w:kern w:val="2"/>
          <w:sz w:val="32"/>
          <w:szCs w:val="32"/>
          <w:u w:val="none"/>
          <w:lang w:val="en-US" w:eastAsia="zh-CN"/>
        </w:rPr>
        <w:t>县级以上</w:t>
      </w:r>
      <w:r>
        <w:rPr>
          <w:rFonts w:hint="eastAsia" w:ascii="宋体" w:hAnsi="宋体" w:eastAsia="仿宋_GB2312" w:cs="仿宋_GB2312"/>
          <w:i w:val="0"/>
          <w:iCs w:val="0"/>
          <w:color w:val="000000"/>
          <w:sz w:val="32"/>
          <w:szCs w:val="32"/>
          <w:u w:val="none"/>
          <w:lang w:eastAsia="zh-CN"/>
        </w:rPr>
        <w:t>人民政府应当加强对流浪犬、猫等动物的管理和动物尸体的无害化处理。</w:t>
      </w:r>
    </w:p>
    <w:p>
      <w:pPr>
        <w:pStyle w:val="33"/>
        <w:widowControl w:val="0"/>
        <w:wordWrap/>
        <w:overflowPunct w:val="0"/>
        <w:adjustRightInd/>
        <w:snapToGrid/>
        <w:spacing w:beforeAutospacing="0" w:afterAutospacing="0" w:line="560" w:lineRule="exact"/>
        <w:ind w:left="0" w:leftChars="0" w:right="0" w:firstLine="640" w:firstLineChars="0"/>
        <w:jc w:val="both"/>
        <w:textAlignment w:val="auto"/>
        <w:outlineLvl w:val="9"/>
        <w:rPr>
          <w:rFonts w:hint="eastAsia" w:ascii="宋体" w:hAnsi="宋体" w:eastAsia="仿宋_GB2312" w:cs="仿宋_GB2312"/>
          <w:color w:val="000000"/>
          <w:sz w:val="32"/>
          <w:szCs w:val="32"/>
          <w:u w:val="none"/>
          <w:lang w:val="en-US" w:eastAsia="zh-CN"/>
        </w:rPr>
      </w:pPr>
      <w:r>
        <w:rPr>
          <w:rFonts w:hint="eastAsia" w:ascii="宋体" w:hAnsi="宋体" w:eastAsia="黑体" w:cs="黑体"/>
          <w:color w:val="000000"/>
          <w:kern w:val="2"/>
          <w:sz w:val="32"/>
          <w:szCs w:val="32"/>
          <w:lang w:val="en-US" w:eastAsia="zh-CN" w:bidi="ar-SA"/>
        </w:rPr>
        <w:t>第二十四条</w:t>
      </w:r>
      <w:r>
        <w:rPr>
          <w:rFonts w:hint="eastAsia" w:ascii="宋体" w:hAnsi="宋体" w:eastAsia="仿宋_GB2312" w:cs="仿宋_GB2312"/>
          <w:color w:val="000000"/>
          <w:sz w:val="32"/>
          <w:szCs w:val="32"/>
          <w:u w:val="none"/>
          <w:lang w:val="en-US" w:eastAsia="zh-CN"/>
        </w:rPr>
        <w:t xml:space="preserve">  </w:t>
      </w:r>
      <w:r>
        <w:rPr>
          <w:rFonts w:hint="eastAsia" w:ascii="宋体" w:hAnsi="宋体" w:eastAsia="仿宋_GB2312" w:cs="仿宋_GB2312"/>
          <w:color w:val="000000"/>
          <w:sz w:val="32"/>
          <w:szCs w:val="32"/>
          <w:lang w:eastAsia="zh-CN"/>
        </w:rPr>
        <w:t>饲养</w:t>
      </w:r>
      <w:r>
        <w:rPr>
          <w:rFonts w:hint="eastAsia" w:ascii="宋体" w:hAnsi="宋体" w:eastAsia="仿宋_GB2312" w:cs="仿宋_GB2312"/>
          <w:b w:val="0"/>
          <w:bCs w:val="0"/>
          <w:color w:val="000000"/>
          <w:sz w:val="32"/>
          <w:szCs w:val="32"/>
          <w:lang w:eastAsia="zh-CN"/>
        </w:rPr>
        <w:t>动</w:t>
      </w:r>
      <w:r>
        <w:rPr>
          <w:rFonts w:hint="eastAsia" w:ascii="宋体" w:hAnsi="宋体" w:eastAsia="仿宋_GB2312" w:cs="仿宋_GB2312"/>
          <w:b w:val="0"/>
          <w:bCs w:val="0"/>
          <w:color w:val="000000"/>
          <w:sz w:val="32"/>
          <w:szCs w:val="32"/>
        </w:rPr>
        <w:t>物</w:t>
      </w:r>
      <w:r>
        <w:rPr>
          <w:rFonts w:hint="eastAsia" w:ascii="宋体" w:hAnsi="宋体" w:eastAsia="仿宋_GB2312" w:cs="仿宋_GB2312"/>
          <w:b w:val="0"/>
          <w:bCs w:val="0"/>
          <w:color w:val="000000"/>
          <w:sz w:val="32"/>
          <w:szCs w:val="32"/>
          <w:lang w:eastAsia="zh-CN"/>
        </w:rPr>
        <w:t>应当依法进行疫病检疫免疫。</w:t>
      </w:r>
      <w:r>
        <w:rPr>
          <w:rFonts w:hint="eastAsia" w:ascii="宋体" w:hAnsi="宋体" w:eastAsia="仿宋_GB2312" w:cs="仿宋_GB2312"/>
          <w:i w:val="0"/>
          <w:iCs w:val="0"/>
          <w:color w:val="000000"/>
          <w:sz w:val="32"/>
          <w:szCs w:val="32"/>
          <w:u w:val="none"/>
          <w:lang w:val="en-US" w:eastAsia="zh-CN"/>
        </w:rPr>
        <w:t>依法需要进行疫病强制免疫的动物，</w:t>
      </w:r>
      <w:r>
        <w:rPr>
          <w:rFonts w:hint="eastAsia" w:ascii="宋体" w:hAnsi="宋体" w:eastAsia="仿宋_GB2312" w:cs="仿宋_GB2312"/>
          <w:b w:val="0"/>
          <w:bCs w:val="0"/>
          <w:i w:val="0"/>
          <w:iCs w:val="0"/>
          <w:color w:val="000000"/>
          <w:sz w:val="32"/>
          <w:szCs w:val="32"/>
          <w:u w:val="none"/>
          <w:lang w:eastAsia="zh-CN"/>
        </w:rPr>
        <w:t>未经免疫不得携带外出</w:t>
      </w:r>
      <w:r>
        <w:rPr>
          <w:rFonts w:hint="eastAsia" w:ascii="宋体" w:hAnsi="宋体" w:eastAsia="仿宋_GB2312" w:cs="仿宋_GB2312"/>
          <w:i w:val="0"/>
          <w:iCs w:val="0"/>
          <w:color w:val="000000"/>
          <w:sz w:val="32"/>
          <w:szCs w:val="32"/>
          <w:u w:val="none"/>
          <w:lang w:val="en-US" w:eastAsia="zh-CN"/>
        </w:rPr>
        <w:t>。</w:t>
      </w:r>
    </w:p>
    <w:p>
      <w:pPr>
        <w:pStyle w:val="33"/>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i w:val="0"/>
          <w:iCs w:val="0"/>
          <w:color w:val="000000"/>
          <w:sz w:val="32"/>
          <w:szCs w:val="32"/>
          <w:u w:val="none"/>
          <w:lang w:eastAsia="zh-CN"/>
        </w:rPr>
        <w:t>在城市市区范围内携带犬、猫等动物外出的，应当由成年人用牵引带牵领或者装入笼内，主动避让行人，即时清理动物粪便等排泄物</w:t>
      </w:r>
      <w:r>
        <w:rPr>
          <w:rFonts w:hint="eastAsia" w:ascii="宋体" w:hAnsi="宋体" w:eastAsia="仿宋_GB2312" w:cs="仿宋_GB2312"/>
          <w:i w:val="0"/>
          <w:iCs w:val="0"/>
          <w:color w:val="000000"/>
          <w:sz w:val="32"/>
          <w:szCs w:val="32"/>
          <w:u w:val="none"/>
          <w:lang w:val="en-US" w:eastAsia="zh-CN"/>
        </w:rPr>
        <w:t>，携带依法需要进行疫病强制免疫的动物外出的，应当携带已免疫证明或者为动物佩戴相应标牌</w:t>
      </w:r>
      <w:r>
        <w:rPr>
          <w:rFonts w:hint="eastAsia" w:ascii="宋体" w:hAnsi="宋体" w:eastAsia="仿宋_GB2312" w:cs="仿宋_GB2312"/>
          <w:i w:val="0"/>
          <w:iCs w:val="0"/>
          <w:color w:val="000000"/>
          <w:sz w:val="32"/>
          <w:szCs w:val="32"/>
          <w:u w:val="none"/>
          <w:lang w:eastAsia="zh-CN"/>
        </w:rPr>
        <w:t>。犬只应当佩戴口嚼或者嘴套，并禁止进入人口密集区域。</w:t>
      </w:r>
    </w:p>
    <w:p>
      <w:pPr>
        <w:widowControl w:val="0"/>
        <w:numPr>
          <w:ilvl w:val="0"/>
          <w:numId w:val="0"/>
        </w:numPr>
        <w:wordWrap/>
        <w:overflowPunct w:val="0"/>
        <w:adjustRightInd/>
        <w:snapToGrid/>
        <w:spacing w:beforeAutospacing="0" w:afterAutospacing="0" w:line="560" w:lineRule="exact"/>
        <w:ind w:right="0" w:firstLine="640" w:firstLineChars="200"/>
        <w:jc w:val="both"/>
        <w:textAlignment w:val="auto"/>
        <w:outlineLvl w:val="9"/>
        <w:rPr>
          <w:rFonts w:hint="eastAsia" w:ascii="宋体" w:hAnsi="宋体" w:eastAsia="仿宋_GB2312" w:cs="仿宋_GB2312"/>
          <w:color w:val="000000"/>
          <w:sz w:val="32"/>
          <w:szCs w:val="32"/>
          <w:u w:val="none"/>
          <w:lang w:eastAsia="zh-CN"/>
        </w:rPr>
      </w:pPr>
      <w:r>
        <w:rPr>
          <w:rFonts w:hint="eastAsia" w:ascii="宋体" w:hAnsi="宋体" w:eastAsia="仿宋_GB2312" w:cs="仿宋_GB2312"/>
          <w:color w:val="000000"/>
          <w:sz w:val="32"/>
          <w:szCs w:val="32"/>
          <w:u w:val="none"/>
          <w:lang w:eastAsia="zh-CN"/>
        </w:rPr>
        <w:t>动物伤害他人的，动物饲养者或者管理者应当</w:t>
      </w:r>
      <w:r>
        <w:rPr>
          <w:rFonts w:hint="eastAsia" w:ascii="宋体" w:hAnsi="宋体" w:eastAsia="仿宋_GB2312" w:cs="仿宋_GB2312"/>
          <w:color w:val="000000"/>
          <w:sz w:val="32"/>
          <w:szCs w:val="32"/>
          <w:u w:val="none"/>
          <w:lang w:val="en-US" w:eastAsia="zh-CN"/>
        </w:rPr>
        <w:t>立即将</w:t>
      </w:r>
      <w:r>
        <w:rPr>
          <w:rFonts w:hint="eastAsia" w:ascii="宋体" w:hAnsi="宋体" w:eastAsia="仿宋_GB2312" w:cs="仿宋_GB2312"/>
          <w:color w:val="000000"/>
          <w:sz w:val="32"/>
          <w:szCs w:val="32"/>
          <w:u w:val="none"/>
          <w:lang w:eastAsia="zh-CN"/>
        </w:rPr>
        <w:t>被伤害人送至医疗机构诊治</w:t>
      </w:r>
      <w:r>
        <w:rPr>
          <w:rFonts w:hint="eastAsia" w:ascii="宋体" w:hAnsi="宋体" w:eastAsia="仿宋_GB2312" w:cs="仿宋_GB2312"/>
          <w:color w:val="000000"/>
          <w:sz w:val="32"/>
          <w:szCs w:val="32"/>
          <w:u w:val="none"/>
          <w:lang w:val="en-US" w:eastAsia="zh-CN"/>
        </w:rPr>
        <w:t>，先行垫付医疗费用，配合做好疫病防控工作。</w:t>
      </w:r>
      <w:r>
        <w:rPr>
          <w:rFonts w:hint="eastAsia" w:ascii="宋体" w:hAnsi="宋体" w:eastAsia="仿宋_GB2312" w:cs="仿宋_GB2312"/>
          <w:color w:val="000000"/>
          <w:sz w:val="32"/>
          <w:szCs w:val="32"/>
          <w:u w:val="none"/>
          <w:lang w:eastAsia="zh-CN"/>
        </w:rPr>
        <w:t>被伤害人是未成年人、老年人或者残疾人的，应当立即告知被伤害人的监护人或者家属。</w:t>
      </w:r>
    </w:p>
    <w:p>
      <w:pPr>
        <w:pStyle w:val="33"/>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第二十五条</w:t>
      </w:r>
      <w:r>
        <w:rPr>
          <w:rFonts w:hint="eastAsia" w:ascii="宋体" w:hAnsi="宋体" w:eastAsia="仿宋_GB2312" w:cs="仿宋_GB2312"/>
          <w:color w:val="000000"/>
          <w:sz w:val="32"/>
          <w:szCs w:val="32"/>
          <w:u w:val="none"/>
          <w:lang w:val="en-US" w:eastAsia="zh-CN" w:bidi="ar-SA"/>
        </w:rPr>
        <w:t xml:space="preserve">  </w:t>
      </w:r>
      <w:r>
        <w:rPr>
          <w:rFonts w:hint="eastAsia" w:ascii="宋体" w:hAnsi="宋体" w:eastAsia="仿宋_GB2312" w:cs="仿宋_GB2312"/>
          <w:color w:val="000000"/>
          <w:sz w:val="32"/>
          <w:szCs w:val="32"/>
          <w:lang w:eastAsia="zh-CN"/>
        </w:rPr>
        <w:t>物业服务企业、业主委员会</w:t>
      </w:r>
      <w:r>
        <w:rPr>
          <w:rFonts w:hint="eastAsia" w:ascii="宋体" w:hAnsi="宋体" w:eastAsia="仿宋_GB2312" w:cs="仿宋_GB2312"/>
          <w:i w:val="0"/>
          <w:iCs w:val="0"/>
          <w:color w:val="000000"/>
          <w:sz w:val="32"/>
          <w:szCs w:val="32"/>
          <w:u w:val="none"/>
          <w:lang w:eastAsia="zh-CN"/>
        </w:rPr>
        <w:t>对在物业管理区域内违反规定饲养动物的，</w:t>
      </w:r>
      <w:r>
        <w:rPr>
          <w:rFonts w:hint="eastAsia" w:ascii="宋体" w:hAnsi="宋体" w:eastAsia="仿宋_GB2312" w:cs="仿宋_GB2312"/>
          <w:color w:val="000000"/>
          <w:sz w:val="32"/>
          <w:szCs w:val="32"/>
          <w:lang w:eastAsia="zh-CN"/>
        </w:rPr>
        <w:t>应当予以劝阻、制止，及时处理业主、物业使用人的投诉、举报。劝阻、制止无效的，应当及时报告有关行政主管部门。</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黑体" w:cs="黑体"/>
          <w:color w:val="000000"/>
          <w:kern w:val="2"/>
          <w:sz w:val="32"/>
          <w:szCs w:val="32"/>
          <w:lang w:val="en-US" w:eastAsia="zh-CN" w:bidi="ar-SA"/>
        </w:rPr>
        <w:t>第二十六条</w:t>
      </w:r>
      <w:r>
        <w:rPr>
          <w:rFonts w:hint="eastAsia" w:ascii="宋体" w:hAnsi="宋体" w:eastAsia="仿宋_GB2312" w:cs="仿宋_GB2312"/>
          <w:i w:val="0"/>
          <w:iCs w:val="0"/>
          <w:color w:val="000000"/>
          <w:sz w:val="32"/>
          <w:szCs w:val="32"/>
          <w:u w:val="none"/>
          <w:lang w:val="en-US" w:eastAsia="zh-CN" w:bidi="ar-SA"/>
        </w:rPr>
        <w:t xml:space="preserve">  </w:t>
      </w:r>
      <w:r>
        <w:rPr>
          <w:rFonts w:hint="eastAsia" w:ascii="宋体" w:hAnsi="宋体" w:eastAsia="仿宋_GB2312" w:cs="仿宋_GB2312"/>
          <w:i w:val="0"/>
          <w:iCs w:val="0"/>
          <w:color w:val="000000"/>
          <w:sz w:val="32"/>
          <w:szCs w:val="32"/>
          <w:u w:val="none"/>
          <w:lang w:val="en-US" w:eastAsia="zh-CN"/>
        </w:rPr>
        <w:t>各地级以上市应当制定养犬管理办法，结合本地实际就养犬免疫及管理作出具体规定。</w:t>
      </w:r>
    </w:p>
    <w:p>
      <w:pPr>
        <w:widowControl w:val="0"/>
        <w:wordWrap/>
        <w:overflowPunct w:val="0"/>
        <w:adjustRightInd/>
        <w:snapToGrid/>
        <w:spacing w:beforeAutospacing="0" w:afterAutospacing="0" w:line="560" w:lineRule="exact"/>
        <w:ind w:left="0" w:leftChars="0" w:right="0" w:firstLine="0" w:firstLineChars="0"/>
        <w:jc w:val="both"/>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 xml:space="preserve">    第二十七条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各级人民政府应当组织</w:t>
      </w:r>
      <w:r>
        <w:rPr>
          <w:rFonts w:hint="eastAsia" w:ascii="宋体" w:hAnsi="宋体" w:eastAsia="仿宋_GB2312" w:cs="仿宋_GB2312"/>
          <w:color w:val="000000"/>
          <w:sz w:val="32"/>
          <w:szCs w:val="32"/>
          <w:lang w:eastAsia="zh-CN"/>
        </w:rPr>
        <w:t>开展</w:t>
      </w:r>
      <w:r>
        <w:rPr>
          <w:rFonts w:hint="eastAsia" w:ascii="宋体" w:hAnsi="宋体" w:eastAsia="仿宋_GB2312" w:cs="仿宋_GB2312"/>
          <w:color w:val="000000"/>
          <w:sz w:val="32"/>
          <w:szCs w:val="32"/>
        </w:rPr>
        <w:t>卫生城市、卫生</w:t>
      </w:r>
      <w:r>
        <w:rPr>
          <w:rFonts w:hint="eastAsia" w:ascii="宋体" w:hAnsi="宋体" w:eastAsia="仿宋_GB2312" w:cs="仿宋_GB2312"/>
          <w:i w:val="0"/>
          <w:iCs w:val="0"/>
          <w:color w:val="000000"/>
          <w:sz w:val="32"/>
          <w:szCs w:val="32"/>
          <w:u w:val="none"/>
        </w:rPr>
        <w:t>镇</w:t>
      </w:r>
      <w:r>
        <w:rPr>
          <w:rFonts w:hint="eastAsia" w:ascii="宋体" w:hAnsi="宋体" w:eastAsia="仿宋_GB2312" w:cs="仿宋_GB2312"/>
          <w:color w:val="000000"/>
          <w:sz w:val="32"/>
          <w:szCs w:val="32"/>
          <w:lang w:eastAsia="zh-CN"/>
        </w:rPr>
        <w:t>街</w:t>
      </w: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i w:val="0"/>
          <w:iCs w:val="0"/>
          <w:color w:val="000000"/>
          <w:sz w:val="32"/>
          <w:szCs w:val="32"/>
          <w:u w:val="none"/>
          <w:lang w:eastAsia="zh-CN"/>
        </w:rPr>
        <w:t>卫生</w:t>
      </w:r>
      <w:r>
        <w:rPr>
          <w:rFonts w:hint="eastAsia" w:ascii="宋体" w:hAnsi="宋体" w:eastAsia="仿宋_GB2312" w:cs="仿宋_GB2312"/>
          <w:i w:val="0"/>
          <w:iCs w:val="0"/>
          <w:color w:val="000000"/>
          <w:sz w:val="32"/>
          <w:szCs w:val="32"/>
          <w:u w:val="none"/>
          <w:lang w:val="en-US" w:eastAsia="zh-CN"/>
        </w:rPr>
        <w:t>乡</w:t>
      </w:r>
      <w:r>
        <w:rPr>
          <w:rFonts w:hint="eastAsia" w:ascii="宋体" w:hAnsi="宋体" w:eastAsia="仿宋_GB2312" w:cs="仿宋_GB2312"/>
          <w:i w:val="0"/>
          <w:iCs w:val="0"/>
          <w:color w:val="000000"/>
          <w:sz w:val="32"/>
          <w:szCs w:val="32"/>
          <w:u w:val="none"/>
          <w:lang w:eastAsia="zh-CN"/>
        </w:rPr>
        <w:t>村</w:t>
      </w:r>
      <w:r>
        <w:rPr>
          <w:rFonts w:hint="eastAsia" w:ascii="宋体" w:hAnsi="宋体" w:eastAsia="仿宋_GB2312" w:cs="仿宋_GB2312"/>
          <w:color w:val="000000"/>
          <w:sz w:val="32"/>
          <w:szCs w:val="32"/>
          <w:lang w:eastAsia="zh-CN"/>
        </w:rPr>
        <w:t>、卫生单位</w:t>
      </w:r>
      <w:r>
        <w:rPr>
          <w:rFonts w:hint="eastAsia" w:ascii="宋体" w:hAnsi="宋体" w:eastAsia="仿宋_GB2312" w:cs="仿宋_GB2312"/>
          <w:color w:val="000000"/>
          <w:sz w:val="32"/>
          <w:szCs w:val="32"/>
        </w:rPr>
        <w:t>创建工作，按照国家有关标准，制定和实施卫生创建规划和计划。</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黑体" w:cs="黑体"/>
          <w:color w:val="000000"/>
          <w:kern w:val="2"/>
          <w:sz w:val="32"/>
          <w:szCs w:val="32"/>
          <w:lang w:val="en-US" w:eastAsia="zh-CN" w:bidi="ar-SA"/>
        </w:rPr>
        <w:t xml:space="preserve">第二十八条 </w:t>
      </w:r>
      <w:r>
        <w:rPr>
          <w:rFonts w:hint="eastAsia" w:ascii="宋体" w:hAnsi="宋体" w:eastAsia="仿宋_GB2312" w:cs="仿宋_GB2312"/>
          <w:i w:val="0"/>
          <w:iCs w:val="0"/>
          <w:color w:val="000000"/>
          <w:sz w:val="32"/>
          <w:szCs w:val="32"/>
          <w:u w:val="none"/>
          <w:lang w:val="en-US" w:eastAsia="zh-CN" w:bidi="ar-SA"/>
        </w:rPr>
        <w:t xml:space="preserve"> </w:t>
      </w:r>
      <w:r>
        <w:rPr>
          <w:rFonts w:hint="eastAsia" w:ascii="宋体" w:hAnsi="宋体" w:eastAsia="仿宋_GB2312" w:cs="仿宋_GB2312"/>
          <w:i w:val="0"/>
          <w:iCs w:val="0"/>
          <w:color w:val="000000"/>
          <w:sz w:val="32"/>
          <w:szCs w:val="32"/>
          <w:u w:val="none"/>
        </w:rPr>
        <w:t>各级人民政府应当推进健康城市</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i w:val="0"/>
          <w:iCs w:val="0"/>
          <w:color w:val="000000"/>
          <w:sz w:val="32"/>
          <w:szCs w:val="32"/>
          <w:u w:val="none"/>
        </w:rPr>
        <w:t>健康乡村建设，编制发展规划，推进重点健康治理项目，促进城</w:t>
      </w:r>
      <w:r>
        <w:rPr>
          <w:rFonts w:hint="eastAsia" w:ascii="宋体" w:hAnsi="宋体" w:eastAsia="仿宋_GB2312" w:cs="仿宋_GB2312"/>
          <w:i w:val="0"/>
          <w:iCs w:val="0"/>
          <w:color w:val="000000"/>
          <w:sz w:val="32"/>
          <w:szCs w:val="32"/>
          <w:u w:val="none"/>
          <w:lang w:eastAsia="zh-CN"/>
        </w:rPr>
        <w:t>乡</w:t>
      </w:r>
      <w:r>
        <w:rPr>
          <w:rFonts w:hint="eastAsia" w:ascii="宋体" w:hAnsi="宋体" w:eastAsia="仿宋_GB2312" w:cs="仿宋_GB2312"/>
          <w:i w:val="0"/>
          <w:iCs w:val="0"/>
          <w:color w:val="000000"/>
          <w:sz w:val="32"/>
          <w:szCs w:val="32"/>
          <w:u w:val="none"/>
        </w:rPr>
        <w:t>建设与人民健康协调发展。</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各级爱卫会应当组织开展健康社区、健康单位、健康学校、健康家庭等建设活动，定期开展建设效果评价。</w:t>
      </w: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仿宋_GB2312" w:cs="仿宋_GB2312"/>
          <w:color w:val="000000"/>
          <w:sz w:val="32"/>
          <w:szCs w:val="32"/>
          <w:u w:val="none"/>
          <w:lang w:val="en-US" w:eastAsia="zh-CN" w:bidi="ar-SA"/>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第四章  厕所建设管理</w:t>
      </w:r>
    </w:p>
    <w:p>
      <w:pPr>
        <w:pStyle w:val="33"/>
        <w:widowControl w:val="0"/>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仿宋_GB2312" w:cs="仿宋_GB2312"/>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黑体" w:cs="黑体"/>
          <w:color w:val="000000"/>
          <w:kern w:val="2"/>
          <w:sz w:val="32"/>
          <w:szCs w:val="32"/>
          <w:lang w:val="en-US" w:eastAsia="zh-CN" w:bidi="ar-SA"/>
        </w:rPr>
        <w:t>第二十九条</w:t>
      </w:r>
      <w:r>
        <w:rPr>
          <w:rFonts w:hint="eastAsia" w:ascii="宋体" w:hAnsi="宋体" w:eastAsia="仿宋_GB2312" w:cs="仿宋_GB2312"/>
          <w:b/>
          <w:bCs/>
          <w:color w:val="000000"/>
          <w:sz w:val="32"/>
          <w:szCs w:val="32"/>
          <w:lang w:val="en-US" w:eastAsia="zh-CN"/>
        </w:rPr>
        <w:t xml:space="preserve">  </w:t>
      </w:r>
      <w:r>
        <w:rPr>
          <w:rFonts w:hint="eastAsia" w:ascii="宋体" w:hAnsi="宋体" w:eastAsia="仿宋_GB2312" w:cs="仿宋_GB2312"/>
          <w:b w:val="0"/>
          <w:bCs w:val="0"/>
          <w:color w:val="000000"/>
          <w:sz w:val="32"/>
          <w:szCs w:val="32"/>
        </w:rPr>
        <w:t>厕所建设管理实行属地管理原则。各级人民政府应当制定厕所建设管理</w:t>
      </w:r>
      <w:r>
        <w:rPr>
          <w:rFonts w:hint="eastAsia" w:ascii="宋体" w:hAnsi="宋体" w:eastAsia="仿宋_GB2312" w:cs="仿宋_GB2312"/>
          <w:b w:val="0"/>
          <w:bCs w:val="0"/>
          <w:i w:val="0"/>
          <w:iCs w:val="0"/>
          <w:color w:val="000000"/>
          <w:sz w:val="32"/>
          <w:szCs w:val="32"/>
          <w:u w:val="none"/>
        </w:rPr>
        <w:t>专项</w:t>
      </w:r>
      <w:r>
        <w:rPr>
          <w:rFonts w:hint="eastAsia" w:ascii="宋体" w:hAnsi="宋体" w:eastAsia="仿宋_GB2312" w:cs="仿宋_GB2312"/>
          <w:b w:val="0"/>
          <w:bCs w:val="0"/>
          <w:color w:val="000000"/>
          <w:sz w:val="32"/>
          <w:szCs w:val="32"/>
        </w:rPr>
        <w:t>规划和年度工作计划，提出工作目标和任务，制定相应管理办法，明确相关部门职责。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黑体" w:cs="黑体"/>
          <w:color w:val="000000"/>
          <w:kern w:val="2"/>
          <w:sz w:val="32"/>
          <w:szCs w:val="32"/>
          <w:lang w:val="en-US" w:eastAsia="zh-CN" w:bidi="ar-SA"/>
        </w:rPr>
        <w:t xml:space="preserve">第三十条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各级人民政府应当因地制宜，统筹考虑布局、面积、通风、采光、标识、方便实用、节能环保等方面因素</w:t>
      </w:r>
      <w:r>
        <w:rPr>
          <w:rFonts w:hint="eastAsia" w:ascii="宋体" w:hAnsi="宋体" w:eastAsia="仿宋_GB2312" w:cs="仿宋_GB2312"/>
          <w:color w:val="000000"/>
          <w:sz w:val="32"/>
          <w:szCs w:val="32"/>
          <w:lang w:val="en-US" w:eastAsia="zh-CN"/>
        </w:rPr>
        <w:t>规划建设城乡厕所</w:t>
      </w:r>
      <w:r>
        <w:rPr>
          <w:rFonts w:hint="eastAsia" w:ascii="宋体" w:hAnsi="宋体" w:eastAsia="仿宋_GB2312" w:cs="仿宋_GB2312"/>
          <w:i w:val="0"/>
          <w:iCs w:val="0"/>
          <w:color w:val="000000"/>
          <w:sz w:val="32"/>
          <w:szCs w:val="32"/>
          <w:u w:val="none"/>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rPr>
        <w:t>城市</w:t>
      </w:r>
      <w:r>
        <w:rPr>
          <w:rFonts w:hint="eastAsia" w:ascii="宋体" w:hAnsi="宋体" w:eastAsia="仿宋_GB2312" w:cs="仿宋_GB2312"/>
          <w:color w:val="000000"/>
          <w:sz w:val="32"/>
          <w:szCs w:val="32"/>
        </w:rPr>
        <w:t>各类</w:t>
      </w:r>
      <w:r>
        <w:rPr>
          <w:rFonts w:hint="eastAsia" w:ascii="宋体" w:hAnsi="宋体" w:eastAsia="仿宋_GB2312" w:cs="仿宋_GB2312"/>
          <w:i w:val="0"/>
          <w:iCs w:val="0"/>
          <w:color w:val="000000"/>
          <w:sz w:val="32"/>
          <w:szCs w:val="32"/>
          <w:u w:val="none"/>
        </w:rPr>
        <w:t>厕所</w:t>
      </w:r>
      <w:r>
        <w:rPr>
          <w:rFonts w:hint="eastAsia" w:ascii="宋体" w:hAnsi="宋体" w:eastAsia="仿宋_GB2312" w:cs="仿宋_GB2312"/>
          <w:color w:val="000000"/>
          <w:sz w:val="32"/>
          <w:szCs w:val="32"/>
        </w:rPr>
        <w:t>的设计和建设应当符合相关标准，</w:t>
      </w:r>
      <w:r>
        <w:rPr>
          <w:rFonts w:hint="eastAsia" w:ascii="宋体" w:hAnsi="宋体" w:eastAsia="仿宋_GB2312" w:cs="仿宋_GB2312"/>
          <w:color w:val="000000"/>
          <w:sz w:val="32"/>
          <w:szCs w:val="32"/>
          <w:lang w:eastAsia="zh-CN"/>
        </w:rPr>
        <w:t>并</w:t>
      </w:r>
      <w:r>
        <w:rPr>
          <w:rFonts w:hint="eastAsia" w:ascii="宋体" w:hAnsi="宋体" w:eastAsia="仿宋_GB2312" w:cs="仿宋_GB2312"/>
          <w:i w:val="0"/>
          <w:iCs w:val="0"/>
          <w:color w:val="000000"/>
          <w:sz w:val="32"/>
          <w:szCs w:val="32"/>
          <w:u w:val="none"/>
        </w:rPr>
        <w:t>在供电、供水、排污等方面与城市基础管网相衔接。</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公</w:t>
      </w:r>
      <w:r>
        <w:rPr>
          <w:rFonts w:hint="eastAsia" w:ascii="宋体" w:hAnsi="宋体" w:eastAsia="仿宋_GB2312" w:cs="仿宋_GB2312"/>
          <w:i w:val="0"/>
          <w:iCs w:val="0"/>
          <w:color w:val="000000"/>
          <w:sz w:val="32"/>
          <w:szCs w:val="32"/>
          <w:u w:val="none"/>
        </w:rPr>
        <w:t>共</w:t>
      </w:r>
      <w:r>
        <w:rPr>
          <w:rFonts w:hint="eastAsia" w:ascii="宋体" w:hAnsi="宋体" w:eastAsia="仿宋_GB2312" w:cs="仿宋_GB2312"/>
          <w:color w:val="000000"/>
          <w:sz w:val="32"/>
          <w:szCs w:val="32"/>
        </w:rPr>
        <w:t>厕所应当根据实际配备供残疾人使用的无障碍设施，合理规划男女厕位比例、第三卫生间数量，保障残疾人、母婴、</w:t>
      </w:r>
      <w:r>
        <w:rPr>
          <w:rFonts w:hint="eastAsia" w:ascii="宋体" w:hAnsi="宋体" w:eastAsia="仿宋_GB2312" w:cs="仿宋_GB2312"/>
          <w:color w:val="000000"/>
          <w:sz w:val="32"/>
          <w:szCs w:val="32"/>
          <w:lang w:eastAsia="zh-CN"/>
        </w:rPr>
        <w:t>儿童、</w:t>
      </w:r>
      <w:r>
        <w:rPr>
          <w:rFonts w:hint="eastAsia" w:ascii="宋体" w:hAnsi="宋体" w:eastAsia="仿宋_GB2312" w:cs="仿宋_GB2312"/>
          <w:color w:val="000000"/>
          <w:sz w:val="32"/>
          <w:szCs w:val="32"/>
        </w:rPr>
        <w:t>老年人等特殊群体用厕需求。</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第三十一条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农村</w:t>
      </w:r>
      <w:r>
        <w:rPr>
          <w:rFonts w:hint="eastAsia" w:ascii="宋体" w:hAnsi="宋体" w:eastAsia="仿宋_GB2312" w:cs="仿宋_GB2312"/>
          <w:b w:val="0"/>
          <w:bCs w:val="0"/>
          <w:color w:val="000000"/>
          <w:sz w:val="32"/>
          <w:szCs w:val="32"/>
          <w:lang w:eastAsia="zh-CN"/>
        </w:rPr>
        <w:t>公共厕所</w:t>
      </w:r>
      <w:r>
        <w:rPr>
          <w:rFonts w:hint="eastAsia" w:ascii="宋体" w:hAnsi="宋体" w:eastAsia="仿宋_GB2312" w:cs="仿宋_GB2312"/>
          <w:b w:val="0"/>
          <w:bCs w:val="0"/>
          <w:color w:val="000000"/>
          <w:sz w:val="32"/>
          <w:szCs w:val="32"/>
        </w:rPr>
        <w:t>、农村无害化卫生户厕建设管理应当纳入乡村振兴战略</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美丽乡村建设、农村人居环境整治、</w:t>
      </w:r>
      <w:r>
        <w:rPr>
          <w:rFonts w:hint="eastAsia" w:ascii="宋体" w:hAnsi="宋体" w:eastAsia="仿宋_GB2312" w:cs="仿宋_GB2312"/>
          <w:b w:val="0"/>
          <w:bCs w:val="0"/>
          <w:i w:val="0"/>
          <w:iCs w:val="0"/>
          <w:color w:val="000000"/>
          <w:sz w:val="32"/>
          <w:szCs w:val="32"/>
          <w:u w:val="none"/>
          <w:lang w:eastAsia="zh-CN"/>
        </w:rPr>
        <w:t>脱贫攻坚</w:t>
      </w:r>
      <w:r>
        <w:rPr>
          <w:rFonts w:hint="eastAsia" w:ascii="宋体" w:hAnsi="宋体" w:eastAsia="仿宋_GB2312" w:cs="仿宋_GB2312"/>
          <w:b w:val="0"/>
          <w:bCs w:val="0"/>
          <w:color w:val="000000"/>
          <w:sz w:val="32"/>
          <w:szCs w:val="32"/>
        </w:rPr>
        <w:t>等规划。</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第三十二条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省人民政府</w:t>
      </w:r>
      <w:r>
        <w:rPr>
          <w:rFonts w:hint="eastAsia" w:ascii="宋体" w:hAnsi="宋体" w:eastAsia="仿宋_GB2312" w:cs="仿宋_GB2312"/>
          <w:color w:val="000000"/>
          <w:sz w:val="32"/>
          <w:szCs w:val="32"/>
          <w:lang w:eastAsia="zh-CN"/>
        </w:rPr>
        <w:t>有关主管部门</w:t>
      </w:r>
      <w:r>
        <w:rPr>
          <w:rFonts w:hint="eastAsia" w:ascii="宋体" w:hAnsi="宋体" w:eastAsia="仿宋_GB2312" w:cs="仿宋_GB2312"/>
          <w:color w:val="000000"/>
          <w:sz w:val="32"/>
          <w:szCs w:val="32"/>
        </w:rPr>
        <w:t>应当制定农村</w:t>
      </w:r>
      <w:r>
        <w:rPr>
          <w:rFonts w:hint="eastAsia" w:ascii="宋体" w:hAnsi="宋体" w:eastAsia="仿宋_GB2312" w:cs="仿宋_GB2312"/>
          <w:color w:val="000000"/>
          <w:sz w:val="32"/>
          <w:szCs w:val="32"/>
          <w:lang w:eastAsia="zh-CN"/>
        </w:rPr>
        <w:t>公共厕所</w:t>
      </w:r>
      <w:r>
        <w:rPr>
          <w:rFonts w:hint="eastAsia" w:ascii="宋体" w:hAnsi="宋体" w:eastAsia="仿宋_GB2312" w:cs="仿宋_GB2312"/>
          <w:color w:val="000000"/>
          <w:sz w:val="32"/>
          <w:szCs w:val="32"/>
        </w:rPr>
        <w:t>建设标准，加快推进农村</w:t>
      </w:r>
      <w:r>
        <w:rPr>
          <w:rFonts w:hint="eastAsia" w:ascii="宋体" w:hAnsi="宋体" w:eastAsia="仿宋_GB2312" w:cs="仿宋_GB2312"/>
          <w:color w:val="000000"/>
          <w:sz w:val="32"/>
          <w:szCs w:val="32"/>
          <w:lang w:eastAsia="zh-CN"/>
        </w:rPr>
        <w:t>公共厕所</w:t>
      </w:r>
      <w:r>
        <w:rPr>
          <w:rFonts w:hint="eastAsia" w:ascii="宋体" w:hAnsi="宋体" w:eastAsia="仿宋_GB2312" w:cs="仿宋_GB2312"/>
          <w:color w:val="000000"/>
          <w:sz w:val="32"/>
          <w:szCs w:val="32"/>
        </w:rPr>
        <w:t>建设。</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各级人民政府应当加快推进农村无害化卫生户厕建设和改造，加强农村无害化卫生户厕设计建设的技术技能培训与指导，普及无害化卫生户厕。农村</w:t>
      </w:r>
      <w:r>
        <w:rPr>
          <w:rFonts w:hint="eastAsia" w:ascii="宋体" w:hAnsi="宋体" w:eastAsia="仿宋_GB2312" w:cs="仿宋_GB2312"/>
          <w:color w:val="000000"/>
          <w:sz w:val="32"/>
          <w:szCs w:val="32"/>
          <w:lang w:eastAsia="zh-CN"/>
        </w:rPr>
        <w:t>无害化卫生</w:t>
      </w:r>
      <w:r>
        <w:rPr>
          <w:rFonts w:hint="eastAsia" w:ascii="宋体" w:hAnsi="宋体" w:eastAsia="仿宋_GB2312" w:cs="仿宋_GB2312"/>
          <w:color w:val="000000"/>
          <w:sz w:val="32"/>
          <w:szCs w:val="32"/>
        </w:rPr>
        <w:t>户厕建设应当根据当地的自然环境、经济发展状况、镇村建设规划、居民生活习惯情况等，合理选择</w:t>
      </w:r>
      <w:r>
        <w:rPr>
          <w:rFonts w:hint="eastAsia" w:ascii="宋体" w:hAnsi="宋体" w:eastAsia="仿宋_GB2312" w:cs="仿宋_GB2312"/>
          <w:color w:val="000000"/>
          <w:sz w:val="32"/>
          <w:szCs w:val="32"/>
          <w:lang w:eastAsia="zh-CN"/>
        </w:rPr>
        <w:t>地点和</w:t>
      </w:r>
      <w:r>
        <w:rPr>
          <w:rFonts w:hint="eastAsia" w:ascii="宋体" w:hAnsi="宋体" w:eastAsia="仿宋_GB2312" w:cs="仿宋_GB2312"/>
          <w:color w:val="000000"/>
          <w:sz w:val="32"/>
          <w:szCs w:val="32"/>
        </w:rPr>
        <w:t>模式</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避开水源及其他水体，</w:t>
      </w:r>
      <w:r>
        <w:rPr>
          <w:rFonts w:hint="eastAsia" w:ascii="宋体" w:hAnsi="宋体" w:eastAsia="仿宋_GB2312" w:cs="仿宋_GB2312"/>
          <w:color w:val="000000"/>
          <w:sz w:val="32"/>
          <w:szCs w:val="32"/>
          <w:lang w:eastAsia="zh-CN"/>
        </w:rPr>
        <w:t>不得</w:t>
      </w:r>
      <w:r>
        <w:rPr>
          <w:rFonts w:hint="eastAsia" w:ascii="宋体" w:hAnsi="宋体" w:eastAsia="仿宋_GB2312" w:cs="仿宋_GB2312"/>
          <w:color w:val="000000"/>
          <w:sz w:val="32"/>
          <w:szCs w:val="32"/>
        </w:rPr>
        <w:t>对水体造成污染</w:t>
      </w:r>
      <w:r>
        <w:rPr>
          <w:rFonts w:hint="eastAsia" w:ascii="宋体" w:hAnsi="宋体" w:eastAsia="仿宋_GB2312" w:cs="仿宋_GB2312"/>
          <w:color w:val="000000"/>
          <w:sz w:val="32"/>
          <w:szCs w:val="32"/>
          <w:lang w:eastAsia="zh-CN"/>
        </w:rPr>
        <w:t>，不得影响居民生活</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农村新建住房和保障性安居工程等项目应当配套建设无害化卫生厕所。</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color w:val="000000"/>
          <w:sz w:val="32"/>
          <w:szCs w:val="32"/>
        </w:rPr>
        <w:t>各级人民政府应当</w:t>
      </w:r>
      <w:r>
        <w:rPr>
          <w:rFonts w:hint="eastAsia" w:ascii="宋体" w:hAnsi="宋体" w:eastAsia="仿宋_GB2312" w:cs="仿宋_GB2312"/>
          <w:color w:val="000000"/>
          <w:sz w:val="32"/>
          <w:szCs w:val="32"/>
          <w:lang w:eastAsia="zh-CN"/>
        </w:rPr>
        <w:t>在集中居住的自然村建设与当地人口规模相适应的集中污水处理设施，推进农村厕所污水集中处理。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第三十三条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eastAsia="zh-CN"/>
        </w:rPr>
        <w:t>地级以上市</w:t>
      </w:r>
      <w:r>
        <w:rPr>
          <w:rFonts w:hint="eastAsia" w:ascii="宋体" w:hAnsi="宋体" w:eastAsia="仿宋_GB2312" w:cs="仿宋_GB2312"/>
          <w:color w:val="000000"/>
          <w:sz w:val="32"/>
          <w:szCs w:val="32"/>
        </w:rPr>
        <w:t>人民政府应当对本行政区域内厕所产权归属和管理情况进行调查登记，健全厕所日常管理制度和厕所资源共享机制，加强厕所运营规范化管理和监督。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i w:val="0"/>
          <w:iCs w:val="0"/>
          <w:color w:val="000000"/>
          <w:sz w:val="32"/>
          <w:szCs w:val="32"/>
          <w:u w:val="none"/>
          <w:lang w:eastAsia="zh-CN"/>
        </w:rPr>
        <w:t>地级以上市</w:t>
      </w:r>
      <w:r>
        <w:rPr>
          <w:rFonts w:hint="eastAsia" w:ascii="宋体" w:hAnsi="宋体" w:eastAsia="仿宋_GB2312" w:cs="仿宋_GB2312"/>
          <w:color w:val="000000"/>
          <w:sz w:val="32"/>
          <w:szCs w:val="32"/>
        </w:rPr>
        <w:t>人民政府应当制定</w:t>
      </w:r>
      <w:r>
        <w:rPr>
          <w:rFonts w:hint="eastAsia" w:ascii="宋体" w:hAnsi="宋体" w:eastAsia="仿宋_GB2312" w:cs="仿宋_GB2312"/>
          <w:i w:val="0"/>
          <w:iCs w:val="0"/>
          <w:color w:val="000000"/>
          <w:sz w:val="32"/>
          <w:szCs w:val="32"/>
          <w:u w:val="none"/>
          <w:lang w:eastAsia="zh-CN"/>
        </w:rPr>
        <w:t>公共厕所</w:t>
      </w:r>
      <w:r>
        <w:rPr>
          <w:rFonts w:hint="eastAsia" w:ascii="宋体" w:hAnsi="宋体" w:eastAsia="仿宋_GB2312" w:cs="仿宋_GB2312"/>
          <w:color w:val="000000"/>
          <w:sz w:val="32"/>
          <w:szCs w:val="32"/>
        </w:rPr>
        <w:t>服务规范标准，提升</w:t>
      </w:r>
      <w:r>
        <w:rPr>
          <w:rFonts w:hint="eastAsia" w:ascii="宋体" w:hAnsi="宋体" w:eastAsia="仿宋_GB2312" w:cs="仿宋_GB2312"/>
          <w:color w:val="000000"/>
          <w:sz w:val="32"/>
          <w:szCs w:val="32"/>
          <w:lang w:eastAsia="zh-CN"/>
        </w:rPr>
        <w:t>公共</w:t>
      </w:r>
      <w:r>
        <w:rPr>
          <w:rFonts w:hint="eastAsia" w:ascii="宋体" w:hAnsi="宋体" w:eastAsia="仿宋_GB2312" w:cs="仿宋_GB2312"/>
          <w:color w:val="000000"/>
          <w:sz w:val="32"/>
          <w:szCs w:val="32"/>
        </w:rPr>
        <w:t>厕所管理水平。</w:t>
      </w:r>
      <w:r>
        <w:rPr>
          <w:rFonts w:hint="eastAsia" w:ascii="宋体" w:hAnsi="宋体" w:eastAsia="仿宋_GB2312" w:cs="仿宋_GB2312"/>
          <w:i w:val="0"/>
          <w:iCs w:val="0"/>
          <w:color w:val="000000"/>
          <w:sz w:val="32"/>
          <w:szCs w:val="32"/>
          <w:u w:val="none"/>
          <w:lang w:eastAsia="zh-CN"/>
        </w:rPr>
        <w:t>农村公共厕所主管部门应当</w:t>
      </w:r>
      <w:r>
        <w:rPr>
          <w:rFonts w:hint="eastAsia" w:ascii="宋体" w:hAnsi="宋体" w:eastAsia="仿宋_GB2312" w:cs="仿宋_GB2312"/>
          <w:i w:val="0"/>
          <w:iCs w:val="0"/>
          <w:color w:val="000000"/>
          <w:sz w:val="32"/>
          <w:szCs w:val="32"/>
          <w:u w:val="none"/>
        </w:rPr>
        <w:t>建立厕所日常管护制度，落实专人保洁、维护和管理。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公共厕所维护管理单位应当在醒目位置设置公共厕所标示和导向牌，并公示监督电话</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合理配备管理人员和保洁人员，落实卫生保洁、维修维护和监督检查等制度。</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i w:val="0"/>
          <w:iCs w:val="0"/>
          <w:color w:val="000000"/>
          <w:sz w:val="32"/>
          <w:szCs w:val="32"/>
          <w:u w:val="none"/>
          <w:lang w:eastAsia="zh-CN"/>
        </w:rPr>
        <w:t>农村卫生户厕应当保持清洁、无蝇蛆、无臭，贮粪池不渗、不漏、密闭有盖，定期清理并进行无害化处理。农村卫生户厕推广粪肥利用，对不使用粪肥的农村，县级人民政府应当建立对粪液、粪渣等进行集中收集、清运的管护机制。</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第三十四条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各</w:t>
      </w:r>
      <w:r>
        <w:rPr>
          <w:rFonts w:hint="eastAsia" w:ascii="宋体" w:hAnsi="宋体" w:eastAsia="仿宋_GB2312" w:cs="仿宋_GB2312"/>
          <w:color w:val="000000"/>
          <w:sz w:val="32"/>
          <w:szCs w:val="32"/>
        </w:rPr>
        <w:t>级人民政府应当引导和支持与厕所建设管理相关的科技研发和成果转化，采取有效措施支持厕所设施设备生产企业发展，鼓励新建和改建厕所使用绿色环保材料和新型技术，鼓励运用互联网技术，提供厕所定位导航、信息发布</w:t>
      </w:r>
      <w:r>
        <w:rPr>
          <w:rFonts w:hint="eastAsia" w:ascii="宋体" w:hAnsi="宋体" w:eastAsia="仿宋_GB2312" w:cs="仿宋_GB2312"/>
          <w:color w:val="000000"/>
          <w:sz w:val="32"/>
          <w:szCs w:val="32"/>
          <w:lang w:eastAsia="zh-CN"/>
        </w:rPr>
        <w:t>和接受公众投诉</w:t>
      </w:r>
      <w:r>
        <w:rPr>
          <w:rFonts w:hint="eastAsia" w:ascii="宋体" w:hAnsi="宋体" w:eastAsia="仿宋_GB2312" w:cs="仿宋_GB2312"/>
          <w:color w:val="000000"/>
          <w:sz w:val="32"/>
          <w:szCs w:val="32"/>
        </w:rPr>
        <w:t>等服务。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第三十五条 </w:t>
      </w:r>
      <w:r>
        <w:rPr>
          <w:rFonts w:hint="eastAsia" w:ascii="宋体" w:hAnsi="宋体" w:eastAsia="仿宋_GB2312" w:cs="仿宋_GB2312"/>
          <w:color w:val="000000"/>
          <w:sz w:val="32"/>
          <w:szCs w:val="32"/>
          <w:lang w:val="en-US" w:eastAsia="zh-CN" w:bidi="ar-SA"/>
        </w:rPr>
        <w:t xml:space="preserve"> </w:t>
      </w:r>
      <w:r>
        <w:rPr>
          <w:rFonts w:hint="eastAsia" w:ascii="宋体" w:hAnsi="宋体" w:eastAsia="仿宋_GB2312" w:cs="仿宋_GB2312"/>
          <w:color w:val="000000"/>
          <w:sz w:val="32"/>
          <w:szCs w:val="32"/>
        </w:rPr>
        <w:t>各级人民政府应当将城乡公共厕所建设管理所需经费纳入地方财政预算，加大对厕所建设管理的财政投入力度</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i w:val="0"/>
          <w:iCs w:val="0"/>
          <w:color w:val="000000"/>
          <w:sz w:val="32"/>
          <w:szCs w:val="32"/>
          <w:u w:val="none"/>
          <w:lang w:val="en-US" w:eastAsia="zh-CN"/>
        </w:rPr>
        <w:t>引导</w:t>
      </w:r>
      <w:r>
        <w:rPr>
          <w:rFonts w:hint="eastAsia" w:ascii="宋体" w:hAnsi="宋体" w:eastAsia="仿宋_GB2312" w:cs="仿宋_GB2312"/>
          <w:i w:val="0"/>
          <w:iCs w:val="0"/>
          <w:color w:val="000000"/>
          <w:sz w:val="32"/>
          <w:szCs w:val="32"/>
          <w:u w:val="none"/>
        </w:rPr>
        <w:t>社会资本参与</w:t>
      </w:r>
      <w:r>
        <w:rPr>
          <w:rFonts w:hint="eastAsia" w:ascii="宋体" w:hAnsi="宋体" w:eastAsia="仿宋_GB2312" w:cs="仿宋_GB2312"/>
          <w:i w:val="0"/>
          <w:iCs w:val="0"/>
          <w:color w:val="000000"/>
          <w:sz w:val="32"/>
          <w:szCs w:val="32"/>
          <w:u w:val="none"/>
          <w:lang w:val="en-US" w:eastAsia="zh-CN"/>
        </w:rPr>
        <w:t>公共厕所</w:t>
      </w:r>
      <w:r>
        <w:rPr>
          <w:rFonts w:hint="eastAsia" w:ascii="宋体" w:hAnsi="宋体" w:eastAsia="仿宋_GB2312" w:cs="仿宋_GB2312"/>
          <w:i w:val="0"/>
          <w:iCs w:val="0"/>
          <w:color w:val="000000"/>
          <w:sz w:val="32"/>
          <w:szCs w:val="32"/>
          <w:u w:val="none"/>
        </w:rPr>
        <w:t>建设和运营管理</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各级人民政府应当</w:t>
      </w:r>
      <w:r>
        <w:rPr>
          <w:rFonts w:hint="eastAsia" w:ascii="宋体" w:hAnsi="宋体" w:eastAsia="仿宋_GB2312" w:cs="仿宋_GB2312"/>
          <w:i w:val="0"/>
          <w:iCs w:val="0"/>
          <w:color w:val="000000"/>
          <w:sz w:val="32"/>
          <w:szCs w:val="32"/>
          <w:u w:val="none"/>
          <w:lang w:val="en-US" w:eastAsia="zh-CN"/>
        </w:rPr>
        <w:t>充分保障</w:t>
      </w:r>
      <w:r>
        <w:rPr>
          <w:rFonts w:hint="eastAsia" w:ascii="宋体" w:hAnsi="宋体" w:eastAsia="仿宋_GB2312" w:cs="仿宋_GB2312"/>
          <w:i w:val="0"/>
          <w:iCs w:val="0"/>
          <w:color w:val="000000"/>
          <w:sz w:val="32"/>
          <w:szCs w:val="32"/>
          <w:u w:val="none"/>
        </w:rPr>
        <w:t>厕所用地，</w:t>
      </w:r>
      <w:r>
        <w:rPr>
          <w:rFonts w:hint="eastAsia" w:ascii="宋体" w:hAnsi="宋体" w:eastAsia="仿宋_GB2312" w:cs="仿宋_GB2312"/>
          <w:color w:val="000000"/>
          <w:sz w:val="32"/>
          <w:szCs w:val="32"/>
        </w:rPr>
        <w:t>简化厕所立项、</w:t>
      </w:r>
      <w:r>
        <w:rPr>
          <w:rFonts w:hint="eastAsia" w:ascii="宋体" w:hAnsi="宋体" w:eastAsia="仿宋_GB2312" w:cs="仿宋_GB2312"/>
          <w:i w:val="0"/>
          <w:iCs w:val="0"/>
          <w:color w:val="000000"/>
          <w:sz w:val="32"/>
          <w:szCs w:val="32"/>
          <w:u w:val="none"/>
        </w:rPr>
        <w:t>用地</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用水、用电等方面审批</w:t>
      </w:r>
      <w:r>
        <w:rPr>
          <w:rFonts w:hint="eastAsia" w:ascii="宋体" w:hAnsi="宋体" w:eastAsia="仿宋_GB2312" w:cs="仿宋_GB2312"/>
          <w:i w:val="0"/>
          <w:iCs w:val="0"/>
          <w:color w:val="000000"/>
          <w:sz w:val="32"/>
          <w:szCs w:val="32"/>
          <w:u w:val="none"/>
        </w:rPr>
        <w:t>手续</w:t>
      </w:r>
      <w:r>
        <w:rPr>
          <w:rFonts w:hint="eastAsia" w:ascii="宋体" w:hAnsi="宋体" w:eastAsia="仿宋_GB2312" w:cs="仿宋_GB2312"/>
          <w:i w:val="0"/>
          <w:iCs w:val="0"/>
          <w:color w:val="000000"/>
          <w:sz w:val="32"/>
          <w:szCs w:val="32"/>
          <w:u w:val="none"/>
          <w:lang w:val="en-US" w:eastAsia="zh-CN"/>
        </w:rPr>
        <w:t>和流程</w:t>
      </w:r>
      <w:r>
        <w:rPr>
          <w:rFonts w:hint="eastAsia" w:ascii="宋体" w:hAnsi="宋体" w:eastAsia="仿宋_GB2312" w:cs="仿宋_GB2312"/>
          <w:i w:val="0"/>
          <w:iCs w:val="0"/>
          <w:color w:val="000000"/>
          <w:sz w:val="32"/>
          <w:szCs w:val="32"/>
          <w:u w:val="none"/>
        </w:rPr>
        <w:t>。</w:t>
      </w:r>
    </w:p>
    <w:p>
      <w:pPr>
        <w:pStyle w:val="33"/>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kern w:val="2"/>
          <w:sz w:val="32"/>
          <w:szCs w:val="32"/>
          <w:u w:val="none"/>
          <w:lang w:val="en-US" w:eastAsia="zh-CN"/>
        </w:rPr>
        <w:t>任何单位和个人不得随意拆除公共厕所，确因旧城改造、道路拓宽等需要拆除的，要遵循拆一补一、就近建设原则，不得减少现有公共厕所数量和建筑面积，不得擅自占用或者改变公共厕所使用性质。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第三十六条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公共厕所应当免费向公众开放。</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i w:val="0"/>
          <w:iCs w:val="0"/>
          <w:color w:val="000000"/>
          <w:sz w:val="32"/>
          <w:szCs w:val="32"/>
          <w:u w:val="none"/>
        </w:rPr>
        <w:t>鼓励机关团体</w:t>
      </w:r>
      <w:r>
        <w:rPr>
          <w:rFonts w:hint="eastAsia" w:ascii="宋体" w:hAnsi="宋体" w:eastAsia="仿宋_GB2312" w:cs="仿宋_GB2312"/>
          <w:color w:val="000000"/>
          <w:sz w:val="32"/>
          <w:szCs w:val="32"/>
          <w:lang w:eastAsia="zh-CN"/>
        </w:rPr>
        <w:t>、企</w:t>
      </w:r>
      <w:r>
        <w:rPr>
          <w:rFonts w:hint="eastAsia" w:ascii="宋体" w:hAnsi="宋体" w:cs="仿宋_GB2312"/>
          <w:color w:val="000000"/>
          <w:sz w:val="32"/>
          <w:szCs w:val="32"/>
          <w:lang w:eastAsia="zh-CN"/>
        </w:rPr>
        <w:t>业</w:t>
      </w:r>
      <w:r>
        <w:rPr>
          <w:rFonts w:hint="eastAsia" w:ascii="宋体" w:hAnsi="宋体" w:eastAsia="仿宋_GB2312" w:cs="仿宋_GB2312"/>
          <w:color w:val="000000"/>
          <w:sz w:val="32"/>
          <w:szCs w:val="32"/>
          <w:lang w:eastAsia="zh-CN"/>
        </w:rPr>
        <w:t>事业单位、宾馆、酒楼、商场等内设公共厕所向公众开放，服务社会。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u w:val="none"/>
        </w:rPr>
      </w:pPr>
      <w:r>
        <w:rPr>
          <w:rFonts w:hint="eastAsia" w:ascii="宋体" w:hAnsi="宋体" w:eastAsia="黑体" w:cs="黑体"/>
          <w:color w:val="000000"/>
          <w:kern w:val="2"/>
          <w:sz w:val="32"/>
          <w:szCs w:val="32"/>
          <w:lang w:val="en-US" w:eastAsia="zh-CN" w:bidi="ar-SA"/>
        </w:rPr>
        <w:t>第三十七条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u w:val="none"/>
        </w:rPr>
        <w:t>各级人民政府应当在节假日和重大活动等人流密集的场所，设置移动环保</w:t>
      </w:r>
      <w:r>
        <w:rPr>
          <w:rFonts w:hint="eastAsia" w:ascii="宋体" w:hAnsi="宋体" w:eastAsia="仿宋_GB2312" w:cs="仿宋_GB2312"/>
          <w:i w:val="0"/>
          <w:iCs w:val="0"/>
          <w:color w:val="000000"/>
          <w:sz w:val="32"/>
          <w:szCs w:val="32"/>
          <w:u w:val="none"/>
          <w:lang w:eastAsia="zh-CN"/>
        </w:rPr>
        <w:t>公共厕所</w:t>
      </w:r>
      <w:r>
        <w:rPr>
          <w:rFonts w:hint="eastAsia" w:ascii="宋体" w:hAnsi="宋体" w:eastAsia="仿宋_GB2312" w:cs="仿宋_GB2312"/>
          <w:color w:val="000000"/>
          <w:sz w:val="32"/>
          <w:szCs w:val="32"/>
          <w:u w:val="none"/>
        </w:rPr>
        <w:t>，满足公众用厕需求。</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第三十八条 </w:t>
      </w:r>
      <w:r>
        <w:rPr>
          <w:rFonts w:hint="eastAsia" w:ascii="宋体" w:hAnsi="宋体" w:eastAsia="仿宋_GB2312" w:cs="仿宋_GB2312"/>
          <w:color w:val="000000"/>
          <w:sz w:val="32"/>
          <w:szCs w:val="32"/>
          <w:u w:val="none"/>
          <w:lang w:val="en-US" w:eastAsia="zh-CN"/>
        </w:rPr>
        <w:t xml:space="preserve"> </w:t>
      </w:r>
      <w:r>
        <w:rPr>
          <w:rFonts w:hint="eastAsia" w:ascii="宋体" w:hAnsi="宋体" w:eastAsia="仿宋_GB2312" w:cs="仿宋_GB2312"/>
          <w:color w:val="000000"/>
          <w:sz w:val="32"/>
          <w:szCs w:val="32"/>
        </w:rPr>
        <w:t>各级人民政府应当利用各种媒体平台、多种宣传形式在全社会开展文明如厕宣传活动，</w:t>
      </w:r>
      <w:r>
        <w:rPr>
          <w:rFonts w:hint="eastAsia" w:ascii="宋体" w:hAnsi="宋体" w:eastAsia="仿宋_GB2312" w:cs="仿宋_GB2312"/>
          <w:color w:val="000000"/>
          <w:sz w:val="32"/>
          <w:szCs w:val="32"/>
          <w:lang w:eastAsia="zh-CN"/>
        </w:rPr>
        <w:t>结合爱国卫生月、世界厕所日、全球洗手日等主题活动，</w:t>
      </w:r>
      <w:r>
        <w:rPr>
          <w:rFonts w:hint="eastAsia" w:ascii="宋体" w:hAnsi="宋体" w:eastAsia="仿宋_GB2312" w:cs="仿宋_GB2312"/>
          <w:color w:val="000000"/>
          <w:sz w:val="32"/>
          <w:szCs w:val="32"/>
        </w:rPr>
        <w:t>引导社会公众爱护公共厕所设施设备，</w:t>
      </w:r>
      <w:r>
        <w:rPr>
          <w:rFonts w:hint="eastAsia" w:ascii="宋体" w:hAnsi="宋体" w:eastAsia="仿宋_GB2312" w:cs="仿宋_GB2312"/>
          <w:i w:val="0"/>
          <w:iCs w:val="0"/>
          <w:color w:val="000000"/>
          <w:sz w:val="32"/>
          <w:szCs w:val="32"/>
          <w:u w:val="none"/>
          <w:lang w:eastAsia="zh-CN"/>
        </w:rPr>
        <w:t>培养文明</w:t>
      </w:r>
      <w:r>
        <w:rPr>
          <w:rFonts w:hint="eastAsia" w:ascii="宋体" w:hAnsi="宋体" w:eastAsia="仿宋_GB2312" w:cs="仿宋_GB2312"/>
          <w:color w:val="000000"/>
          <w:sz w:val="32"/>
          <w:szCs w:val="32"/>
        </w:rPr>
        <w:t>如厕行为</w:t>
      </w:r>
      <w:r>
        <w:rPr>
          <w:rFonts w:hint="eastAsia" w:ascii="宋体" w:hAnsi="宋体" w:eastAsia="仿宋_GB2312" w:cs="仿宋_GB2312"/>
          <w:color w:val="000000"/>
          <w:sz w:val="32"/>
          <w:szCs w:val="32"/>
          <w:lang w:eastAsia="zh-CN"/>
        </w:rPr>
        <w:t>习惯</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lang w:eastAsia="zh-CN"/>
        </w:rPr>
      </w:pPr>
      <w:r>
        <w:rPr>
          <w:rFonts w:hint="eastAsia" w:ascii="宋体" w:hAnsi="宋体" w:eastAsia="仿宋_GB2312" w:cs="仿宋_GB2312"/>
          <w:color w:val="000000"/>
          <w:sz w:val="32"/>
          <w:szCs w:val="32"/>
          <w:lang w:eastAsia="zh-CN"/>
        </w:rPr>
        <w:t>任何单位和个人</w:t>
      </w:r>
      <w:r>
        <w:rPr>
          <w:rFonts w:hint="eastAsia" w:ascii="宋体" w:hAnsi="宋体" w:eastAsia="仿宋_GB2312" w:cs="仿宋_GB2312"/>
          <w:i w:val="0"/>
          <w:iCs w:val="0"/>
          <w:color w:val="000000"/>
          <w:sz w:val="32"/>
          <w:szCs w:val="32"/>
          <w:u w:val="none"/>
          <w:lang w:eastAsia="zh-CN"/>
        </w:rPr>
        <w:t>不得损坏公共厕所设施设备，不得乱堆放、乱涂画、乱张贴。</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sz w:val="32"/>
          <w:szCs w:val="32"/>
          <w:lang w:eastAsia="zh-CN"/>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第五章  病媒生物预防控制</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第三十九条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各级人民政府应当组织全社会采取以环境治理为主的病媒生物综合</w:t>
      </w:r>
      <w:r>
        <w:rPr>
          <w:rFonts w:hint="eastAsia" w:ascii="宋体" w:hAnsi="宋体" w:eastAsia="仿宋_GB2312" w:cs="仿宋_GB2312"/>
          <w:i w:val="0"/>
          <w:iCs w:val="0"/>
          <w:color w:val="000000"/>
          <w:sz w:val="32"/>
          <w:szCs w:val="32"/>
          <w:u w:val="none"/>
          <w:lang w:val="en-US" w:eastAsia="zh-CN"/>
        </w:rPr>
        <w:t>预防控制</w:t>
      </w:r>
      <w:r>
        <w:rPr>
          <w:rFonts w:hint="eastAsia" w:ascii="宋体" w:hAnsi="宋体" w:eastAsia="仿宋_GB2312" w:cs="仿宋_GB2312"/>
          <w:color w:val="000000"/>
          <w:sz w:val="32"/>
          <w:szCs w:val="32"/>
        </w:rPr>
        <w:t>措施，</w:t>
      </w:r>
      <w:r>
        <w:rPr>
          <w:rFonts w:hint="eastAsia" w:ascii="宋体" w:hAnsi="宋体" w:eastAsia="仿宋_GB2312" w:cs="仿宋_GB2312"/>
          <w:i w:val="0"/>
          <w:iCs w:val="0"/>
          <w:color w:val="000000"/>
          <w:sz w:val="32"/>
          <w:szCs w:val="32"/>
          <w:u w:val="none"/>
          <w:lang w:eastAsia="zh-CN"/>
        </w:rPr>
        <w:t>消灭</w:t>
      </w:r>
      <w:r>
        <w:rPr>
          <w:rFonts w:hint="eastAsia" w:ascii="宋体" w:hAnsi="宋体" w:eastAsia="仿宋_GB2312" w:cs="仿宋_GB2312"/>
          <w:color w:val="000000"/>
          <w:sz w:val="32"/>
          <w:szCs w:val="32"/>
        </w:rPr>
        <w:t>老鼠、苍蝇、蚊子、蟑螂等病媒生物</w:t>
      </w:r>
      <w:r>
        <w:rPr>
          <w:rFonts w:hint="eastAsia" w:ascii="宋体" w:hAnsi="宋体" w:eastAsia="仿宋_GB2312" w:cs="仿宋_GB2312"/>
          <w:color w:val="000000"/>
          <w:sz w:val="32"/>
          <w:szCs w:val="32"/>
          <w:lang w:eastAsia="zh-CN"/>
        </w:rPr>
        <w:t>，消除</w:t>
      </w:r>
      <w:r>
        <w:rPr>
          <w:rFonts w:hint="eastAsia" w:ascii="宋体" w:hAnsi="宋体" w:eastAsia="仿宋_GB2312" w:cs="仿宋_GB2312"/>
          <w:color w:val="000000"/>
          <w:sz w:val="32"/>
          <w:szCs w:val="32"/>
        </w:rPr>
        <w:t>病媒生物孳生条件。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第四十条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病媒生物预防控制工作实行单位责任制。机关、企业事业单位和村民委员会</w:t>
      </w:r>
      <w:r>
        <w:rPr>
          <w:rFonts w:hint="eastAsia" w:ascii="宋体" w:hAnsi="宋体" w:eastAsia="仿宋_GB2312" w:cs="仿宋_GB2312"/>
          <w:color w:val="000000"/>
          <w:sz w:val="32"/>
          <w:szCs w:val="32"/>
          <w:lang w:eastAsia="zh-CN"/>
        </w:rPr>
        <w:t>、</w:t>
      </w:r>
      <w:r>
        <w:rPr>
          <w:rFonts w:hint="eastAsia" w:ascii="宋体" w:hAnsi="宋体" w:eastAsia="仿宋_GB2312" w:cs="仿宋_GB2312"/>
          <w:color w:val="000000"/>
          <w:sz w:val="32"/>
          <w:szCs w:val="32"/>
        </w:rPr>
        <w:t>居民委员会等</w:t>
      </w:r>
      <w:r>
        <w:rPr>
          <w:rFonts w:hint="eastAsia" w:ascii="宋体" w:hAnsi="宋体" w:eastAsia="仿宋_GB2312" w:cs="仿宋_GB2312"/>
          <w:color w:val="000000"/>
          <w:sz w:val="32"/>
          <w:szCs w:val="32"/>
          <w:lang w:val="en-US" w:eastAsia="zh-CN"/>
        </w:rPr>
        <w:t>应当</w:t>
      </w:r>
      <w:r>
        <w:rPr>
          <w:rFonts w:hint="eastAsia" w:ascii="宋体" w:hAnsi="宋体" w:eastAsia="仿宋_GB2312" w:cs="仿宋_GB2312"/>
          <w:color w:val="000000"/>
          <w:sz w:val="32"/>
          <w:szCs w:val="32"/>
        </w:rPr>
        <w:t>建立日常的病媒生物预防控制制度，采取有效措施，控制病媒生物密度，清除病媒生物孳生地，避免和减少病媒生物危害的发生。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黑体" w:cs="黑体"/>
          <w:color w:val="000000"/>
          <w:kern w:val="2"/>
          <w:sz w:val="32"/>
          <w:szCs w:val="32"/>
          <w:lang w:val="en-US" w:eastAsia="zh-CN" w:bidi="ar-SA"/>
        </w:rPr>
        <w:t xml:space="preserve">第四十一条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各级疾病预防控制机构应当组织开展病媒生物种群分布、密度和抗药性监测，建立病媒生物监测网络，定期开展风险评估</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00000"/>
          <w:sz w:val="32"/>
          <w:szCs w:val="32"/>
        </w:rPr>
        <w:t>风险</w:t>
      </w:r>
      <w:r>
        <w:rPr>
          <w:rFonts w:hint="eastAsia" w:ascii="宋体" w:hAnsi="宋体" w:eastAsia="仿宋_GB2312" w:cs="仿宋_GB2312"/>
          <w:b w:val="0"/>
          <w:bCs w:val="0"/>
          <w:color w:val="000000"/>
          <w:sz w:val="32"/>
          <w:szCs w:val="32"/>
          <w:lang w:eastAsia="zh-CN"/>
        </w:rPr>
        <w:t>报告和控制效果评价，并及时将监测结果报告当地爱卫会。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疾病预防控制机构</w:t>
      </w:r>
      <w:r>
        <w:rPr>
          <w:rFonts w:hint="eastAsia" w:ascii="宋体" w:hAnsi="宋体" w:eastAsia="仿宋_GB2312" w:cs="仿宋_GB2312"/>
          <w:color w:val="000000"/>
          <w:sz w:val="32"/>
          <w:szCs w:val="32"/>
          <w:lang w:eastAsia="zh-CN"/>
        </w:rPr>
        <w:t>应当</w:t>
      </w:r>
      <w:r>
        <w:rPr>
          <w:rFonts w:hint="eastAsia" w:ascii="宋体" w:hAnsi="宋体" w:eastAsia="仿宋_GB2312" w:cs="仿宋_GB2312"/>
          <w:color w:val="000000"/>
          <w:sz w:val="32"/>
          <w:szCs w:val="32"/>
        </w:rPr>
        <w:t>协助爱卫会开展病媒生物预防控制的技术指导和专业培训工作。</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第四十二条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单位和个人应当保持室内外清洁卫生，</w:t>
      </w:r>
      <w:r>
        <w:rPr>
          <w:rFonts w:hint="eastAsia" w:ascii="宋体" w:hAnsi="宋体" w:eastAsia="仿宋_GB2312" w:cs="仿宋_GB2312"/>
          <w:color w:val="000000"/>
          <w:sz w:val="32"/>
          <w:szCs w:val="32"/>
          <w:lang w:eastAsia="zh-CN"/>
        </w:rPr>
        <w:t>完善防</w:t>
      </w:r>
      <w:r>
        <w:rPr>
          <w:rFonts w:hint="eastAsia" w:ascii="宋体" w:hAnsi="宋体" w:eastAsia="仿宋_GB2312" w:cs="仿宋_GB2312"/>
          <w:color w:val="000000"/>
          <w:sz w:val="32"/>
          <w:szCs w:val="32"/>
        </w:rPr>
        <w:t>鼠、</w:t>
      </w:r>
      <w:r>
        <w:rPr>
          <w:rFonts w:hint="eastAsia" w:ascii="宋体" w:hAnsi="宋体" w:eastAsia="仿宋_GB2312" w:cs="仿宋_GB2312"/>
          <w:color w:val="000000"/>
          <w:sz w:val="32"/>
          <w:szCs w:val="32"/>
          <w:lang w:eastAsia="zh-CN"/>
        </w:rPr>
        <w:t>防</w:t>
      </w:r>
      <w:r>
        <w:rPr>
          <w:rFonts w:hint="eastAsia" w:ascii="宋体" w:hAnsi="宋体" w:eastAsia="仿宋_GB2312" w:cs="仿宋_GB2312"/>
          <w:color w:val="000000"/>
          <w:sz w:val="32"/>
          <w:szCs w:val="32"/>
        </w:rPr>
        <w:t>蝇、</w:t>
      </w:r>
      <w:r>
        <w:rPr>
          <w:rFonts w:hint="eastAsia" w:ascii="宋体" w:hAnsi="宋体" w:eastAsia="仿宋_GB2312" w:cs="仿宋_GB2312"/>
          <w:color w:val="000000"/>
          <w:sz w:val="32"/>
          <w:szCs w:val="32"/>
          <w:lang w:eastAsia="zh-CN"/>
        </w:rPr>
        <w:t>防</w:t>
      </w:r>
      <w:r>
        <w:rPr>
          <w:rFonts w:hint="eastAsia" w:ascii="宋体" w:hAnsi="宋体" w:eastAsia="仿宋_GB2312" w:cs="仿宋_GB2312"/>
          <w:color w:val="000000"/>
          <w:sz w:val="32"/>
          <w:szCs w:val="32"/>
        </w:rPr>
        <w:t>蚊、</w:t>
      </w:r>
      <w:r>
        <w:rPr>
          <w:rFonts w:hint="eastAsia" w:ascii="宋体" w:hAnsi="宋体" w:eastAsia="仿宋_GB2312" w:cs="仿宋_GB2312"/>
          <w:color w:val="000000"/>
          <w:sz w:val="32"/>
          <w:szCs w:val="32"/>
          <w:lang w:eastAsia="zh-CN"/>
        </w:rPr>
        <w:t>防</w:t>
      </w:r>
      <w:r>
        <w:rPr>
          <w:rFonts w:hint="eastAsia" w:ascii="宋体" w:hAnsi="宋体" w:eastAsia="仿宋_GB2312" w:cs="仿宋_GB2312"/>
          <w:color w:val="000000"/>
          <w:sz w:val="32"/>
          <w:szCs w:val="32"/>
        </w:rPr>
        <w:t>蟑螂</w:t>
      </w:r>
      <w:r>
        <w:rPr>
          <w:rFonts w:hint="eastAsia" w:ascii="宋体" w:hAnsi="宋体" w:eastAsia="仿宋_GB2312" w:cs="仿宋_GB2312"/>
          <w:color w:val="000000"/>
          <w:sz w:val="32"/>
          <w:szCs w:val="32"/>
          <w:lang w:eastAsia="zh-CN"/>
        </w:rPr>
        <w:t>设施，</w:t>
      </w:r>
      <w:r>
        <w:rPr>
          <w:rFonts w:hint="eastAsia" w:ascii="宋体" w:hAnsi="宋体" w:eastAsia="仿宋_GB2312" w:cs="仿宋_GB2312"/>
          <w:color w:val="000000"/>
          <w:sz w:val="32"/>
          <w:szCs w:val="32"/>
        </w:rPr>
        <w:t>及时清除积水、垃圾，密封粪池并定期清理，消除病媒生物及其孳生条件</w:t>
      </w:r>
      <w:r>
        <w:rPr>
          <w:rFonts w:hint="eastAsia" w:ascii="宋体" w:hAnsi="宋体" w:eastAsia="仿宋_GB2312" w:cs="仿宋_GB2312"/>
          <w:i w:val="0"/>
          <w:iCs w:val="0"/>
          <w:color w:val="000000"/>
          <w:sz w:val="32"/>
          <w:szCs w:val="32"/>
        </w:rPr>
        <w:t>，</w:t>
      </w:r>
      <w:r>
        <w:rPr>
          <w:rFonts w:hint="eastAsia" w:ascii="宋体" w:hAnsi="宋体" w:eastAsia="仿宋_GB2312" w:cs="仿宋_GB2312"/>
          <w:color w:val="000000"/>
          <w:sz w:val="32"/>
          <w:szCs w:val="32"/>
        </w:rPr>
        <w:t>将病媒生物密度控制在国家规定的标准范围内。</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第四十三条</w:t>
      </w:r>
      <w:r>
        <w:rPr>
          <w:rFonts w:hint="eastAsia" w:ascii="宋体" w:hAnsi="宋体" w:eastAsia="仿宋_GB2312" w:cs="仿宋_GB2312"/>
          <w:i w:val="0"/>
          <w:iCs w:val="0"/>
          <w:color w:val="000000"/>
          <w:sz w:val="32"/>
          <w:szCs w:val="32"/>
          <w:u w:val="none"/>
          <w:lang w:val="en-US" w:eastAsia="zh-CN"/>
        </w:rPr>
        <w:t xml:space="preserve">  医疗卫生机构、学</w:t>
      </w:r>
      <w:r>
        <w:rPr>
          <w:rFonts w:hint="eastAsia" w:ascii="宋体" w:hAnsi="宋体" w:eastAsia="仿宋_GB2312" w:cs="仿宋_GB2312"/>
          <w:i w:val="0"/>
          <w:iCs w:val="0"/>
          <w:color w:val="000000"/>
          <w:sz w:val="32"/>
          <w:szCs w:val="32"/>
          <w:u w:val="none"/>
        </w:rPr>
        <w:t>校</w:t>
      </w:r>
      <w:r>
        <w:rPr>
          <w:rFonts w:hint="eastAsia" w:ascii="宋体" w:hAnsi="宋体" w:eastAsia="仿宋_GB2312" w:cs="仿宋_GB2312"/>
          <w:i w:val="0"/>
          <w:iCs w:val="0"/>
          <w:color w:val="000000"/>
          <w:sz w:val="32"/>
          <w:szCs w:val="32"/>
          <w:u w:val="none"/>
          <w:lang w:eastAsia="zh-CN"/>
        </w:rPr>
        <w:t>、住宅</w:t>
      </w:r>
      <w:r>
        <w:rPr>
          <w:rFonts w:hint="eastAsia" w:ascii="宋体" w:hAnsi="宋体" w:eastAsia="仿宋_GB2312" w:cs="仿宋_GB2312"/>
          <w:i w:val="0"/>
          <w:iCs w:val="0"/>
          <w:color w:val="000000"/>
          <w:sz w:val="32"/>
          <w:szCs w:val="32"/>
          <w:u w:val="none"/>
        </w:rPr>
        <w:t>小区</w:t>
      </w:r>
      <w:r>
        <w:rPr>
          <w:rFonts w:hint="eastAsia" w:ascii="宋体" w:hAnsi="宋体" w:eastAsia="仿宋_GB2312" w:cs="仿宋_GB2312"/>
          <w:i w:val="0"/>
          <w:iCs w:val="0"/>
          <w:color w:val="000000"/>
          <w:sz w:val="32"/>
          <w:szCs w:val="32"/>
          <w:u w:val="none"/>
          <w:lang w:eastAsia="zh-CN"/>
        </w:rPr>
        <w:t>、</w:t>
      </w:r>
      <w:r>
        <w:rPr>
          <w:rFonts w:hint="eastAsia" w:ascii="宋体" w:hAnsi="宋体" w:eastAsia="仿宋_GB2312" w:cs="仿宋_GB2312"/>
          <w:color w:val="000000"/>
          <w:sz w:val="32"/>
          <w:szCs w:val="32"/>
        </w:rPr>
        <w:t>建筑工地、</w:t>
      </w:r>
      <w:r>
        <w:rPr>
          <w:rFonts w:hint="eastAsia" w:ascii="宋体" w:hAnsi="宋体" w:eastAsia="仿宋_GB2312" w:cs="仿宋_GB2312"/>
          <w:i w:val="0"/>
          <w:iCs w:val="0"/>
          <w:color w:val="000000"/>
          <w:sz w:val="32"/>
          <w:szCs w:val="32"/>
          <w:u w:val="none"/>
          <w:lang w:val="en-US" w:eastAsia="zh-CN"/>
        </w:rPr>
        <w:t>集贸市场</w:t>
      </w:r>
      <w:r>
        <w:rPr>
          <w:rFonts w:hint="eastAsia" w:ascii="宋体" w:hAnsi="宋体" w:eastAsia="仿宋_GB2312" w:cs="仿宋_GB2312"/>
          <w:color w:val="000000"/>
          <w:sz w:val="32"/>
          <w:szCs w:val="32"/>
        </w:rPr>
        <w:t>、花卉市场、</w:t>
      </w:r>
      <w:r>
        <w:rPr>
          <w:rFonts w:hint="eastAsia" w:ascii="宋体" w:hAnsi="宋体" w:eastAsia="仿宋_GB2312" w:cs="仿宋_GB2312"/>
          <w:color w:val="000000"/>
          <w:sz w:val="32"/>
          <w:szCs w:val="32"/>
          <w:lang w:eastAsia="zh-CN"/>
        </w:rPr>
        <w:t>公园、</w:t>
      </w:r>
      <w:r>
        <w:rPr>
          <w:rFonts w:hint="eastAsia" w:ascii="宋体" w:hAnsi="宋体" w:eastAsia="仿宋_GB2312" w:cs="仿宋_GB2312"/>
          <w:b w:val="0"/>
          <w:bCs w:val="0"/>
          <w:color w:val="000000"/>
          <w:sz w:val="32"/>
          <w:szCs w:val="32"/>
        </w:rPr>
        <w:t>公共厕所、</w:t>
      </w:r>
      <w:r>
        <w:rPr>
          <w:rFonts w:hint="eastAsia" w:ascii="宋体" w:hAnsi="宋体" w:eastAsia="仿宋_GB2312" w:cs="仿宋_GB2312"/>
          <w:color w:val="000000"/>
          <w:sz w:val="32"/>
          <w:szCs w:val="32"/>
          <w:lang w:eastAsia="zh-CN"/>
        </w:rPr>
        <w:t>资源回收站</w:t>
      </w:r>
      <w:r>
        <w:rPr>
          <w:rFonts w:hint="eastAsia" w:ascii="宋体" w:hAnsi="宋体" w:eastAsia="仿宋_GB2312" w:cs="仿宋_GB2312"/>
          <w:i w:val="0"/>
          <w:iCs w:val="0"/>
          <w:color w:val="000000"/>
          <w:sz w:val="32"/>
          <w:szCs w:val="32"/>
          <w:u w:val="none"/>
          <w:lang w:val="en-US" w:eastAsia="zh-CN"/>
        </w:rPr>
        <w:t>、垃圾中转站、垃圾处理场、市政管井、下水道系统等易孳生病媒生物场</w:t>
      </w:r>
      <w:r>
        <w:rPr>
          <w:rFonts w:hint="eastAsia" w:ascii="宋体" w:hAnsi="宋体" w:eastAsia="仿宋_GB2312" w:cs="仿宋_GB2312"/>
          <w:color w:val="000000"/>
          <w:sz w:val="32"/>
          <w:szCs w:val="32"/>
        </w:rPr>
        <w:t>所</w:t>
      </w:r>
      <w:r>
        <w:rPr>
          <w:rFonts w:hint="eastAsia" w:ascii="宋体" w:hAnsi="宋体" w:eastAsia="仿宋_GB2312" w:cs="仿宋_GB2312"/>
          <w:color w:val="000000"/>
          <w:sz w:val="32"/>
          <w:szCs w:val="32"/>
          <w:lang w:val="en-US" w:eastAsia="zh-CN"/>
        </w:rPr>
        <w:t>和设施</w:t>
      </w:r>
      <w:r>
        <w:rPr>
          <w:rFonts w:hint="eastAsia" w:ascii="宋体" w:hAnsi="宋体" w:eastAsia="仿宋_GB2312" w:cs="仿宋_GB2312"/>
          <w:color w:val="000000"/>
          <w:sz w:val="32"/>
          <w:szCs w:val="32"/>
        </w:rPr>
        <w:t>，应当完善和落实病媒生物</w:t>
      </w:r>
      <w:r>
        <w:rPr>
          <w:rFonts w:hint="eastAsia" w:ascii="宋体" w:hAnsi="宋体" w:eastAsia="仿宋_GB2312" w:cs="仿宋_GB2312"/>
          <w:i w:val="0"/>
          <w:iCs w:val="0"/>
          <w:color w:val="000000"/>
          <w:sz w:val="32"/>
          <w:szCs w:val="32"/>
          <w:u w:val="none"/>
          <w:lang w:val="en-US" w:eastAsia="zh-CN"/>
        </w:rPr>
        <w:t>预防控制</w:t>
      </w:r>
      <w:r>
        <w:rPr>
          <w:rFonts w:hint="eastAsia" w:ascii="宋体" w:hAnsi="宋体" w:eastAsia="仿宋_GB2312" w:cs="仿宋_GB2312"/>
          <w:color w:val="000000"/>
          <w:sz w:val="32"/>
          <w:szCs w:val="32"/>
        </w:rPr>
        <w:t>措施。</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第四十四条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食品生产经营者应当配备相应设施设备，采取措施消除</w:t>
      </w:r>
      <w:r>
        <w:rPr>
          <w:rFonts w:hint="eastAsia" w:ascii="宋体" w:hAnsi="宋体" w:eastAsia="仿宋_GB2312" w:cs="仿宋_GB2312"/>
          <w:color w:val="000000"/>
          <w:sz w:val="32"/>
          <w:szCs w:val="32"/>
        </w:rPr>
        <w:t>病媒生物及其孳生条件</w:t>
      </w:r>
      <w:r>
        <w:rPr>
          <w:rFonts w:hint="eastAsia" w:ascii="宋体" w:hAnsi="宋体" w:eastAsia="仿宋_GB2312" w:cs="仿宋_GB2312"/>
          <w:i w:val="0"/>
          <w:iCs w:val="0"/>
          <w:color w:val="000000"/>
          <w:sz w:val="32"/>
          <w:szCs w:val="32"/>
        </w:rPr>
        <w:t>，</w:t>
      </w:r>
      <w:r>
        <w:rPr>
          <w:rFonts w:hint="eastAsia" w:ascii="宋体" w:hAnsi="宋体" w:eastAsia="仿宋_GB2312" w:cs="仿宋_GB2312"/>
          <w:color w:val="000000"/>
          <w:sz w:val="32"/>
          <w:szCs w:val="32"/>
        </w:rPr>
        <w:t>病媒生物密度</w:t>
      </w:r>
      <w:r>
        <w:rPr>
          <w:rFonts w:hint="eastAsia" w:ascii="宋体" w:hAnsi="宋体" w:eastAsia="仿宋_GB2312" w:cs="仿宋_GB2312"/>
          <w:color w:val="000000"/>
          <w:sz w:val="32"/>
          <w:szCs w:val="32"/>
          <w:lang w:eastAsia="zh-CN"/>
        </w:rPr>
        <w:t>应当符合</w:t>
      </w:r>
      <w:r>
        <w:rPr>
          <w:rFonts w:hint="eastAsia" w:ascii="宋体" w:hAnsi="宋体" w:eastAsia="仿宋_GB2312" w:cs="仿宋_GB2312"/>
          <w:color w:val="000000"/>
          <w:sz w:val="32"/>
          <w:szCs w:val="32"/>
        </w:rPr>
        <w:t>国家规定</w:t>
      </w:r>
      <w:r>
        <w:rPr>
          <w:rFonts w:hint="eastAsia" w:ascii="宋体" w:hAnsi="宋体" w:eastAsia="仿宋_GB2312" w:cs="仿宋_GB2312"/>
          <w:color w:val="000000"/>
          <w:sz w:val="32"/>
          <w:szCs w:val="32"/>
          <w:lang w:eastAsia="zh-CN"/>
        </w:rPr>
        <w:t>要求。</w:t>
      </w:r>
    </w:p>
    <w:p>
      <w:pPr>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sz w:val="32"/>
          <w:szCs w:val="32"/>
          <w:lang w:eastAsia="zh-CN"/>
        </w:rPr>
      </w:pPr>
      <w:r>
        <w:rPr>
          <w:rFonts w:hint="eastAsia" w:ascii="宋体" w:hAnsi="宋体" w:eastAsia="黑体" w:cs="黑体"/>
          <w:color w:val="000000"/>
          <w:kern w:val="2"/>
          <w:sz w:val="32"/>
          <w:szCs w:val="32"/>
          <w:lang w:val="en-US" w:eastAsia="zh-CN" w:bidi="ar-SA"/>
        </w:rPr>
        <w:t xml:space="preserve">第四十五条 </w:t>
      </w:r>
      <w:r>
        <w:rPr>
          <w:rFonts w:hint="eastAsia" w:ascii="宋体" w:hAnsi="宋体" w:eastAsia="仿宋_GB2312" w:cs="仿宋_GB2312"/>
          <w:sz w:val="32"/>
          <w:szCs w:val="32"/>
          <w:lang w:val="en-US" w:eastAsia="zh-CN"/>
        </w:rPr>
        <w:t xml:space="preserve"> </w:t>
      </w:r>
      <w:r>
        <w:rPr>
          <w:rFonts w:hint="eastAsia" w:ascii="宋体" w:hAnsi="宋体" w:eastAsia="仿宋_GB2312" w:cs="仿宋_GB2312"/>
          <w:sz w:val="32"/>
          <w:szCs w:val="32"/>
          <w:lang w:eastAsia="zh-CN"/>
        </w:rPr>
        <w:t>县级以上人民政府应当</w:t>
      </w:r>
      <w:r>
        <w:rPr>
          <w:rFonts w:hint="eastAsia" w:ascii="宋体" w:hAnsi="宋体" w:eastAsia="仿宋_GB2312" w:cs="仿宋_GB2312"/>
          <w:sz w:val="32"/>
          <w:szCs w:val="32"/>
        </w:rPr>
        <w:t>结合</w:t>
      </w:r>
      <w:r>
        <w:rPr>
          <w:rFonts w:hint="eastAsia" w:ascii="宋体" w:hAnsi="宋体" w:eastAsia="仿宋_GB2312" w:cs="仿宋_GB2312"/>
          <w:sz w:val="32"/>
          <w:szCs w:val="32"/>
          <w:lang w:eastAsia="zh-CN"/>
        </w:rPr>
        <w:t>农村</w:t>
      </w:r>
      <w:r>
        <w:rPr>
          <w:rFonts w:hint="eastAsia" w:ascii="宋体" w:hAnsi="宋体" w:eastAsia="仿宋_GB2312" w:cs="仿宋_GB2312"/>
          <w:sz w:val="32"/>
          <w:szCs w:val="32"/>
        </w:rPr>
        <w:t>改厕、垃圾与粪便管理</w:t>
      </w:r>
      <w:r>
        <w:rPr>
          <w:rFonts w:hint="eastAsia" w:ascii="宋体" w:hAnsi="宋体" w:eastAsia="仿宋_GB2312" w:cs="仿宋_GB2312"/>
          <w:sz w:val="32"/>
          <w:szCs w:val="32"/>
          <w:lang w:eastAsia="zh-CN"/>
        </w:rPr>
        <w:t>、</w:t>
      </w:r>
      <w:r>
        <w:rPr>
          <w:rFonts w:hint="eastAsia" w:ascii="宋体" w:hAnsi="宋体" w:eastAsia="仿宋_GB2312" w:cs="仿宋_GB2312"/>
          <w:i w:val="0"/>
          <w:iCs w:val="0"/>
          <w:sz w:val="32"/>
          <w:szCs w:val="32"/>
          <w:u w:val="none"/>
        </w:rPr>
        <w:t>环境改造</w:t>
      </w:r>
      <w:r>
        <w:rPr>
          <w:rFonts w:hint="eastAsia" w:ascii="宋体" w:hAnsi="宋体" w:eastAsia="仿宋_GB2312" w:cs="仿宋_GB2312"/>
          <w:sz w:val="32"/>
          <w:szCs w:val="32"/>
        </w:rPr>
        <w:t>工作，</w:t>
      </w:r>
      <w:r>
        <w:rPr>
          <w:rFonts w:hint="eastAsia" w:ascii="宋体" w:hAnsi="宋体" w:eastAsia="仿宋_GB2312" w:cs="仿宋_GB2312"/>
          <w:sz w:val="32"/>
          <w:szCs w:val="32"/>
          <w:lang w:eastAsia="zh-CN"/>
        </w:rPr>
        <w:t>加强农村病媒生物预防控制工作，清除病媒孳生地。</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第四十六条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生产、销售、使用杀灭病媒生物的药品、器械，应当符合国家和省的有关标准与规定</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00000"/>
          <w:sz w:val="32"/>
          <w:szCs w:val="32"/>
        </w:rPr>
        <w:t>禁止使用违禁、伪劣药物和器械</w:t>
      </w:r>
      <w:r>
        <w:rPr>
          <w:rFonts w:hint="eastAsia" w:ascii="宋体" w:hAnsi="宋体" w:eastAsia="仿宋_GB2312" w:cs="仿宋_GB2312"/>
          <w:color w:val="000000"/>
          <w:sz w:val="32"/>
          <w:szCs w:val="32"/>
          <w:lang w:eastAsia="zh-CN"/>
        </w:rPr>
        <w:t>。</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 xml:space="preserve">第四十七条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各级人民政府应当引导和支持病媒生物预防控制相关基础研究和应用技术研究，鼓励科研成果转化，鼓励安全绿色环保</w:t>
      </w:r>
      <w:r>
        <w:rPr>
          <w:rFonts w:hint="eastAsia" w:ascii="宋体" w:hAnsi="宋体" w:eastAsia="仿宋_GB2312" w:cs="仿宋_GB2312"/>
          <w:b w:val="0"/>
          <w:bCs w:val="0"/>
          <w:color w:val="000000"/>
          <w:sz w:val="32"/>
          <w:szCs w:val="32"/>
          <w:lang w:eastAsia="zh-CN"/>
        </w:rPr>
        <w:t>消杀</w:t>
      </w:r>
      <w:r>
        <w:rPr>
          <w:rFonts w:hint="eastAsia" w:ascii="宋体" w:hAnsi="宋体" w:eastAsia="仿宋_GB2312" w:cs="仿宋_GB2312"/>
          <w:b w:val="0"/>
          <w:bCs w:val="0"/>
          <w:color w:val="000000"/>
          <w:sz w:val="32"/>
          <w:szCs w:val="32"/>
        </w:rPr>
        <w:t>药物研发和新型技术应用。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第四十八条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rPr>
        <w:t>鼓励病媒生物预防控制服务机构为单位和个人提供符合质量安全要求、收费合理的病媒生物预防控制服务。</w:t>
      </w:r>
    </w:p>
    <w:p>
      <w:pPr>
        <w:pStyle w:val="33"/>
        <w:widowControl w:val="0"/>
        <w:wordWrap/>
        <w:overflowPunct w:val="0"/>
        <w:spacing w:beforeAutospacing="0" w:afterAutospacing="0" w:line="560" w:lineRule="exact"/>
        <w:ind w:left="0" w:leftChars="0"/>
        <w:textAlignment w:val="auto"/>
        <w:outlineLvl w:val="9"/>
        <w:rPr>
          <w:rFonts w:hint="eastAsia" w:ascii="宋体" w:hAnsi="宋体" w:eastAsia="仿宋_GB2312" w:cs="仿宋_GB2312"/>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第六章   吸烟控制</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sz w:val="32"/>
          <w:szCs w:val="32"/>
          <w:lang w:val="en-US" w:eastAsia="zh-CN"/>
        </w:rPr>
      </w:pP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第四十九条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i w:val="0"/>
          <w:iCs w:val="0"/>
          <w:color w:val="000000"/>
          <w:sz w:val="32"/>
          <w:szCs w:val="32"/>
          <w:u w:val="none"/>
          <w:lang w:val="en-US" w:eastAsia="zh-CN"/>
        </w:rPr>
        <w:t>倡导吸烟控制</w:t>
      </w:r>
      <w:r>
        <w:rPr>
          <w:rFonts w:hint="eastAsia" w:ascii="宋体" w:hAnsi="宋体" w:eastAsia="仿宋_GB2312" w:cs="仿宋_GB2312"/>
          <w:color w:val="000000"/>
          <w:sz w:val="32"/>
          <w:szCs w:val="32"/>
          <w:lang w:val="en-US" w:eastAsia="zh-CN"/>
        </w:rPr>
        <w:t>，减少吸烟对公民健康的危害，创造良好公共卫生环境。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 xml:space="preserve">第五十条 </w:t>
      </w:r>
      <w:r>
        <w:rPr>
          <w:rFonts w:hint="eastAsia" w:ascii="宋体" w:hAnsi="宋体" w:eastAsia="仿宋_GB2312" w:cs="仿宋_GB2312"/>
          <w:b w:val="0"/>
          <w:bCs w:val="0"/>
          <w:i w:val="0"/>
          <w:iCs w:val="0"/>
          <w:color w:val="000000"/>
          <w:sz w:val="32"/>
          <w:szCs w:val="32"/>
          <w:u w:val="none"/>
          <w:lang w:val="en-US" w:eastAsia="zh-CN"/>
        </w:rPr>
        <w:t xml:space="preserve"> </w:t>
      </w:r>
      <w:r>
        <w:rPr>
          <w:rFonts w:hint="eastAsia" w:ascii="宋体" w:hAnsi="宋体" w:eastAsia="仿宋_GB2312" w:cs="仿宋_GB2312"/>
          <w:b w:val="0"/>
          <w:bCs w:val="0"/>
          <w:color w:val="000000"/>
          <w:sz w:val="32"/>
          <w:szCs w:val="32"/>
          <w:lang w:eastAsia="zh-CN"/>
        </w:rPr>
        <w:t>下列</w:t>
      </w:r>
      <w:r>
        <w:rPr>
          <w:rFonts w:hint="eastAsia" w:ascii="宋体" w:hAnsi="宋体" w:eastAsia="仿宋_GB2312" w:cs="仿宋_GB2312"/>
          <w:b w:val="0"/>
          <w:bCs w:val="0"/>
          <w:i w:val="0"/>
          <w:iCs w:val="0"/>
          <w:color w:val="000000"/>
          <w:sz w:val="32"/>
          <w:szCs w:val="32"/>
          <w:u w:val="none"/>
        </w:rPr>
        <w:t>公共场所</w:t>
      </w:r>
      <w:r>
        <w:rPr>
          <w:rFonts w:hint="eastAsia" w:ascii="宋体" w:hAnsi="宋体" w:eastAsia="仿宋_GB2312" w:cs="仿宋_GB2312"/>
          <w:b w:val="0"/>
          <w:bCs w:val="0"/>
          <w:color w:val="000000"/>
          <w:sz w:val="32"/>
          <w:szCs w:val="32"/>
          <w:lang w:eastAsia="zh-CN"/>
        </w:rPr>
        <w:t>禁止吸烟</w:t>
      </w:r>
      <w:r>
        <w:rPr>
          <w:rFonts w:hint="eastAsia" w:ascii="宋体" w:hAnsi="宋体" w:eastAsia="仿宋_GB2312" w:cs="仿宋_GB2312"/>
          <w:b w:val="0"/>
          <w:bCs w:val="0"/>
          <w:color w:val="000000"/>
          <w:sz w:val="32"/>
          <w:szCs w:val="32"/>
        </w:rPr>
        <w:t>：</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color w:val="0C0C0C"/>
          <w:kern w:val="2"/>
          <w:sz w:val="32"/>
          <w:szCs w:val="32"/>
          <w:lang w:val="en-US" w:eastAsia="zh-CN"/>
        </w:rPr>
      </w:pPr>
      <w:r>
        <w:rPr>
          <w:rFonts w:hint="eastAsia" w:ascii="宋体" w:hAnsi="宋体" w:eastAsia="仿宋_GB2312" w:cs="仿宋_GB2312"/>
          <w:color w:val="0C0C0C"/>
          <w:kern w:val="2"/>
          <w:sz w:val="32"/>
          <w:szCs w:val="32"/>
          <w:lang w:val="en-US" w:eastAsia="zh-CN"/>
        </w:rPr>
        <w:t>（一）城市市区室内公共场所和室内公共办公场所；</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kern w:val="2"/>
          <w:sz w:val="32"/>
          <w:szCs w:val="32"/>
          <w:lang w:val="en-US" w:eastAsia="zh-CN"/>
        </w:rPr>
        <w:t>（</w:t>
      </w:r>
      <w:r>
        <w:rPr>
          <w:rFonts w:hint="eastAsia" w:ascii="宋体" w:hAnsi="宋体" w:eastAsia="仿宋_GB2312" w:cs="仿宋_GB2312"/>
          <w:color w:val="0C0C0C"/>
          <w:kern w:val="2"/>
          <w:sz w:val="32"/>
          <w:szCs w:val="32"/>
          <w:lang w:val="en-US" w:eastAsia="zh-CN" w:bidi="ar-SA"/>
        </w:rPr>
        <w:t>二</w:t>
      </w:r>
      <w:r>
        <w:rPr>
          <w:rFonts w:hint="eastAsia" w:ascii="宋体" w:hAnsi="宋体" w:eastAsia="仿宋_GB2312" w:cs="仿宋_GB2312"/>
          <w:b w:val="0"/>
          <w:bCs w:val="0"/>
          <w:color w:val="000000"/>
          <w:kern w:val="2"/>
          <w:sz w:val="32"/>
          <w:szCs w:val="32"/>
          <w:lang w:val="en-US" w:eastAsia="zh-CN"/>
        </w:rPr>
        <w:t>）托儿所、幼儿园、中小学校、少年宫、青少年活动中心、教育培训机构以及儿童福利院等以未</w:t>
      </w:r>
      <w:r>
        <w:rPr>
          <w:rFonts w:hint="eastAsia" w:ascii="宋体" w:hAnsi="宋体" w:eastAsia="仿宋_GB2312" w:cs="仿宋_GB2312"/>
          <w:b w:val="0"/>
          <w:bCs w:val="0"/>
          <w:color w:val="000000"/>
          <w:sz w:val="32"/>
          <w:szCs w:val="32"/>
        </w:rPr>
        <w:t>成年人为主要活动人群的公共场所</w:t>
      </w:r>
      <w:r>
        <w:rPr>
          <w:rFonts w:hint="eastAsia" w:ascii="宋体" w:hAnsi="宋体" w:eastAsia="仿宋_GB2312" w:cs="仿宋_GB2312"/>
          <w:b w:val="0"/>
          <w:bCs w:val="0"/>
          <w:color w:val="000000"/>
          <w:sz w:val="32"/>
          <w:szCs w:val="32"/>
          <w:lang w:eastAsia="zh-CN"/>
        </w:rPr>
        <w:t>；</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C0C0C"/>
          <w:kern w:val="2"/>
          <w:sz w:val="32"/>
          <w:szCs w:val="32"/>
          <w:lang w:val="en-US" w:eastAsia="zh-CN" w:bidi="ar-SA"/>
        </w:rPr>
        <w:t>三</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i w:val="0"/>
          <w:iCs w:val="0"/>
          <w:color w:val="000000"/>
          <w:sz w:val="32"/>
          <w:szCs w:val="32"/>
          <w:u w:val="none"/>
          <w:lang w:eastAsia="zh-CN"/>
        </w:rPr>
        <w:t>各级各类医疗</w:t>
      </w:r>
      <w:r>
        <w:rPr>
          <w:rFonts w:hint="eastAsia" w:ascii="宋体" w:hAnsi="宋体" w:eastAsia="仿宋_GB2312" w:cs="仿宋_GB2312"/>
          <w:i w:val="0"/>
          <w:iCs w:val="0"/>
          <w:color w:val="000000"/>
          <w:sz w:val="32"/>
          <w:szCs w:val="32"/>
          <w:u w:val="none"/>
          <w:lang w:val="en-US" w:eastAsia="zh-CN"/>
        </w:rPr>
        <w:t>卫生</w:t>
      </w:r>
      <w:r>
        <w:rPr>
          <w:rFonts w:hint="eastAsia" w:ascii="宋体" w:hAnsi="宋体" w:eastAsia="仿宋_GB2312" w:cs="仿宋_GB2312"/>
          <w:i w:val="0"/>
          <w:iCs w:val="0"/>
          <w:color w:val="000000"/>
          <w:sz w:val="32"/>
          <w:szCs w:val="32"/>
          <w:u w:val="none"/>
          <w:lang w:eastAsia="zh-CN"/>
        </w:rPr>
        <w:t>机构</w:t>
      </w:r>
      <w:r>
        <w:rPr>
          <w:rFonts w:hint="eastAsia" w:ascii="宋体" w:hAnsi="宋体" w:eastAsia="仿宋_GB2312" w:cs="仿宋_GB2312"/>
          <w:b w:val="0"/>
          <w:bCs w:val="0"/>
          <w:color w:val="000000"/>
          <w:kern w:val="2"/>
          <w:sz w:val="32"/>
          <w:szCs w:val="32"/>
          <w:lang w:val="en-US" w:eastAsia="zh-CN"/>
        </w:rPr>
        <w:t>的室内区域、妇幼保健机构和儿童医院</w:t>
      </w:r>
      <w:r>
        <w:rPr>
          <w:rFonts w:hint="eastAsia" w:ascii="宋体" w:hAnsi="宋体" w:eastAsia="仿宋_GB2312" w:cs="仿宋_GB2312"/>
          <w:b w:val="0"/>
          <w:bCs w:val="0"/>
          <w:color w:val="000000"/>
          <w:sz w:val="32"/>
          <w:szCs w:val="32"/>
          <w:lang w:eastAsia="zh-CN"/>
        </w:rPr>
        <w:t>；</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C0C0C"/>
          <w:kern w:val="2"/>
          <w:sz w:val="32"/>
          <w:szCs w:val="32"/>
          <w:lang w:val="en-US" w:eastAsia="zh-CN" w:bidi="ar-SA"/>
        </w:rPr>
        <w:t>四</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体育场</w:t>
      </w:r>
      <w:r>
        <w:rPr>
          <w:rFonts w:hint="eastAsia" w:ascii="宋体" w:hAnsi="宋体" w:eastAsia="仿宋_GB2312" w:cs="仿宋_GB2312"/>
          <w:b w:val="0"/>
          <w:bCs w:val="0"/>
          <w:i w:val="0"/>
          <w:iCs w:val="0"/>
          <w:color w:val="000000"/>
          <w:sz w:val="32"/>
          <w:szCs w:val="32"/>
          <w:u w:val="none"/>
        </w:rPr>
        <w:t>馆</w:t>
      </w:r>
      <w:r>
        <w:rPr>
          <w:rFonts w:hint="eastAsia" w:ascii="宋体" w:hAnsi="宋体" w:eastAsia="仿宋_GB2312" w:cs="仿宋_GB2312"/>
          <w:b w:val="0"/>
          <w:bCs w:val="0"/>
          <w:i w:val="0"/>
          <w:iCs w:val="0"/>
          <w:color w:val="000000"/>
          <w:sz w:val="32"/>
          <w:szCs w:val="32"/>
          <w:u w:val="none"/>
          <w:lang w:eastAsia="zh-CN"/>
        </w:rPr>
        <w:t>室内</w:t>
      </w:r>
      <w:r>
        <w:rPr>
          <w:rFonts w:hint="eastAsia" w:ascii="宋体" w:hAnsi="宋体" w:eastAsia="仿宋_GB2312" w:cs="仿宋_GB2312"/>
          <w:b w:val="0"/>
          <w:bCs w:val="0"/>
          <w:color w:val="000000"/>
          <w:sz w:val="32"/>
          <w:szCs w:val="32"/>
        </w:rPr>
        <w:t>的观众坐席和比赛区域</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i w:val="0"/>
          <w:iCs w:val="0"/>
          <w:color w:val="000000"/>
          <w:sz w:val="32"/>
          <w:szCs w:val="32"/>
          <w:u w:val="none"/>
          <w:lang w:eastAsia="zh-CN"/>
        </w:rPr>
        <w:t>健身场所室内的运动区域</w:t>
      </w:r>
      <w:r>
        <w:rPr>
          <w:rFonts w:hint="eastAsia" w:ascii="宋体" w:hAnsi="宋体" w:eastAsia="仿宋_GB2312" w:cs="仿宋_GB2312"/>
          <w:b w:val="0"/>
          <w:bCs w:val="0"/>
          <w:color w:val="000000"/>
          <w:sz w:val="32"/>
          <w:szCs w:val="32"/>
          <w:lang w:eastAsia="zh-CN"/>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五</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公共交通工具</w:t>
      </w:r>
      <w:r>
        <w:rPr>
          <w:rFonts w:hint="eastAsia" w:ascii="宋体" w:hAnsi="宋体" w:eastAsia="仿宋_GB2312" w:cs="仿宋_GB2312"/>
          <w:b w:val="0"/>
          <w:bCs w:val="0"/>
          <w:color w:val="000000"/>
          <w:sz w:val="32"/>
          <w:szCs w:val="32"/>
          <w:lang w:eastAsia="zh-CN"/>
        </w:rPr>
        <w:t>和公共电梯内；</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i w:val="0"/>
          <w:iCs w:val="0"/>
          <w:color w:val="0C0C0C"/>
          <w:kern w:val="2"/>
          <w:sz w:val="32"/>
          <w:szCs w:val="32"/>
          <w:u w:val="none"/>
          <w:lang w:val="en-US" w:eastAsia="zh-CN"/>
        </w:rPr>
        <w:t>六</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00000"/>
          <w:sz w:val="32"/>
          <w:szCs w:val="32"/>
        </w:rPr>
        <w:t>根据</w:t>
      </w:r>
      <w:r>
        <w:rPr>
          <w:rFonts w:hint="eastAsia" w:ascii="宋体" w:hAnsi="宋体" w:eastAsia="仿宋_GB2312" w:cs="仿宋_GB2312"/>
          <w:color w:val="000000"/>
          <w:sz w:val="32"/>
          <w:szCs w:val="32"/>
          <w:lang w:eastAsia="zh-CN"/>
        </w:rPr>
        <w:t>举办</w:t>
      </w:r>
      <w:r>
        <w:rPr>
          <w:rFonts w:hint="eastAsia" w:ascii="宋体" w:hAnsi="宋体" w:eastAsia="仿宋_GB2312" w:cs="仿宋_GB2312"/>
          <w:color w:val="000000"/>
          <w:sz w:val="32"/>
          <w:szCs w:val="32"/>
        </w:rPr>
        <w:t>大型活动需要设立</w:t>
      </w:r>
      <w:r>
        <w:rPr>
          <w:rFonts w:hint="eastAsia" w:ascii="宋体" w:hAnsi="宋体" w:eastAsia="仿宋_GB2312" w:cs="仿宋_GB2312"/>
          <w:color w:val="000000"/>
          <w:sz w:val="32"/>
          <w:szCs w:val="32"/>
          <w:lang w:eastAsia="zh-CN"/>
        </w:rPr>
        <w:t>的</w:t>
      </w:r>
      <w:r>
        <w:rPr>
          <w:rFonts w:hint="eastAsia" w:ascii="宋体" w:hAnsi="宋体" w:eastAsia="仿宋_GB2312" w:cs="仿宋_GB2312"/>
          <w:color w:val="000000"/>
          <w:sz w:val="32"/>
          <w:szCs w:val="32"/>
        </w:rPr>
        <w:t>临时禁止吸烟区域</w:t>
      </w:r>
      <w:r>
        <w:rPr>
          <w:rFonts w:hint="eastAsia" w:ascii="宋体" w:hAnsi="宋体" w:eastAsia="仿宋_GB2312" w:cs="仿宋_GB2312"/>
          <w:color w:val="000000"/>
          <w:sz w:val="32"/>
          <w:szCs w:val="32"/>
          <w:lang w:eastAsia="zh-CN"/>
        </w:rPr>
        <w:t>；</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color w:val="0C0C0C"/>
          <w:kern w:val="2"/>
          <w:sz w:val="32"/>
          <w:szCs w:val="32"/>
          <w:lang w:val="en-US" w:eastAsia="zh-CN" w:bidi="ar-SA"/>
        </w:rPr>
        <w:t>七</w:t>
      </w:r>
      <w:r>
        <w:rPr>
          <w:rFonts w:hint="eastAsia" w:ascii="宋体" w:hAnsi="宋体" w:eastAsia="仿宋_GB2312" w:cs="仿宋_GB2312"/>
          <w:b w:val="0"/>
          <w:bCs w:val="0"/>
          <w:color w:val="000000"/>
          <w:sz w:val="32"/>
          <w:szCs w:val="32"/>
          <w:lang w:eastAsia="zh-CN"/>
        </w:rPr>
        <w:t>）</w:t>
      </w:r>
      <w:r>
        <w:rPr>
          <w:rFonts w:hint="eastAsia" w:ascii="宋体" w:hAnsi="宋体" w:eastAsia="仿宋_GB2312" w:cs="仿宋_GB2312"/>
          <w:b w:val="0"/>
          <w:bCs w:val="0"/>
          <w:color w:val="000000"/>
          <w:sz w:val="32"/>
          <w:szCs w:val="32"/>
        </w:rPr>
        <w:t>法律、法规、规章规定的其他公共场所。</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黑体" w:cs="黑体"/>
          <w:color w:val="000000"/>
          <w:kern w:val="2"/>
          <w:sz w:val="32"/>
          <w:szCs w:val="32"/>
          <w:lang w:val="en-US" w:eastAsia="zh-CN" w:bidi="ar-SA"/>
        </w:rPr>
        <w:t xml:space="preserve">第五十一条  </w:t>
      </w:r>
      <w:r>
        <w:rPr>
          <w:rFonts w:hint="eastAsia" w:ascii="宋体" w:hAnsi="宋体" w:eastAsia="仿宋_GB2312" w:cs="仿宋_GB2312"/>
          <w:b w:val="0"/>
          <w:bCs w:val="0"/>
          <w:i w:val="0"/>
          <w:iCs w:val="0"/>
          <w:color w:val="000000"/>
          <w:sz w:val="32"/>
          <w:szCs w:val="32"/>
          <w:u w:val="none"/>
          <w:lang w:eastAsia="zh-CN"/>
        </w:rPr>
        <w:t>公共场所设置的吸烟区，应当符合</w:t>
      </w:r>
      <w:r>
        <w:rPr>
          <w:rFonts w:hint="eastAsia" w:ascii="宋体" w:hAnsi="宋体" w:eastAsia="仿宋_GB2312" w:cs="仿宋_GB2312"/>
          <w:i w:val="0"/>
          <w:iCs w:val="0"/>
          <w:color w:val="000000"/>
          <w:sz w:val="32"/>
          <w:szCs w:val="32"/>
          <w:u w:val="none"/>
        </w:rPr>
        <w:t>下列</w:t>
      </w:r>
      <w:r>
        <w:rPr>
          <w:rFonts w:hint="eastAsia" w:ascii="宋体" w:hAnsi="宋体" w:eastAsia="仿宋_GB2312" w:cs="仿宋_GB2312"/>
          <w:i w:val="0"/>
          <w:iCs w:val="0"/>
          <w:color w:val="000000"/>
          <w:sz w:val="32"/>
          <w:szCs w:val="32"/>
          <w:u w:val="none"/>
          <w:lang w:eastAsia="zh-CN"/>
        </w:rPr>
        <w:t>规定</w:t>
      </w:r>
      <w:r>
        <w:rPr>
          <w:rFonts w:hint="eastAsia" w:ascii="宋体" w:hAnsi="宋体" w:eastAsia="仿宋_GB2312" w:cs="仿宋_GB2312"/>
          <w:i w:val="0"/>
          <w:iCs w:val="0"/>
          <w:color w:val="000000"/>
          <w:sz w:val="32"/>
          <w:szCs w:val="32"/>
          <w:u w:val="none"/>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（一）远离行人必经的主要通道；</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（二）设置吸烟</w:t>
      </w:r>
      <w:r>
        <w:rPr>
          <w:rFonts w:hint="eastAsia" w:ascii="宋体" w:hAnsi="宋体" w:eastAsia="仿宋_GB2312" w:cs="仿宋_GB2312"/>
          <w:i w:val="0"/>
          <w:iCs w:val="0"/>
          <w:color w:val="000000"/>
          <w:sz w:val="32"/>
          <w:szCs w:val="32"/>
          <w:u w:val="none"/>
          <w:lang w:eastAsia="zh-CN"/>
        </w:rPr>
        <w:t>区</w:t>
      </w:r>
      <w:r>
        <w:rPr>
          <w:rFonts w:hint="eastAsia" w:ascii="宋体" w:hAnsi="宋体" w:eastAsia="仿宋_GB2312" w:cs="仿宋_GB2312"/>
          <w:i w:val="0"/>
          <w:iCs w:val="0"/>
          <w:color w:val="000000"/>
          <w:sz w:val="32"/>
          <w:szCs w:val="32"/>
          <w:u w:val="none"/>
        </w:rPr>
        <w:t>标识、引导标识，并在吸烟</w:t>
      </w:r>
      <w:r>
        <w:rPr>
          <w:rFonts w:hint="eastAsia" w:ascii="宋体" w:hAnsi="宋体" w:eastAsia="仿宋_GB2312" w:cs="仿宋_GB2312"/>
          <w:i w:val="0"/>
          <w:iCs w:val="0"/>
          <w:color w:val="000000"/>
          <w:sz w:val="32"/>
          <w:szCs w:val="32"/>
          <w:u w:val="none"/>
          <w:lang w:eastAsia="zh-CN"/>
        </w:rPr>
        <w:t>区</w:t>
      </w:r>
      <w:r>
        <w:rPr>
          <w:rFonts w:hint="eastAsia" w:ascii="宋体" w:hAnsi="宋体" w:eastAsia="仿宋_GB2312" w:cs="仿宋_GB2312"/>
          <w:i w:val="0"/>
          <w:iCs w:val="0"/>
          <w:color w:val="000000"/>
          <w:sz w:val="32"/>
          <w:szCs w:val="32"/>
          <w:u w:val="none"/>
        </w:rPr>
        <w:t>设置吸烟危害健康的警示标识；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（三）放置收集烟灰、烟蒂等器具；</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i w:val="0"/>
          <w:iCs w:val="0"/>
          <w:color w:val="000000"/>
          <w:sz w:val="32"/>
          <w:szCs w:val="32"/>
          <w:u w:val="none"/>
        </w:rPr>
      </w:pPr>
      <w:r>
        <w:rPr>
          <w:rFonts w:hint="eastAsia" w:ascii="宋体" w:hAnsi="宋体" w:eastAsia="仿宋_GB2312" w:cs="仿宋_GB2312"/>
          <w:i w:val="0"/>
          <w:iCs w:val="0"/>
          <w:color w:val="000000"/>
          <w:sz w:val="32"/>
          <w:szCs w:val="32"/>
          <w:u w:val="none"/>
        </w:rPr>
        <w:t>（</w:t>
      </w:r>
      <w:r>
        <w:rPr>
          <w:rFonts w:hint="eastAsia" w:ascii="宋体" w:hAnsi="宋体" w:eastAsia="仿宋_GB2312" w:cs="仿宋_GB2312"/>
          <w:i w:val="0"/>
          <w:iCs w:val="0"/>
          <w:color w:val="000000"/>
          <w:sz w:val="32"/>
          <w:szCs w:val="32"/>
          <w:u w:val="none"/>
          <w:lang w:eastAsia="zh-CN"/>
        </w:rPr>
        <w:t>四</w:t>
      </w:r>
      <w:r>
        <w:rPr>
          <w:rFonts w:hint="eastAsia" w:ascii="宋体" w:hAnsi="宋体" w:eastAsia="仿宋_GB2312" w:cs="仿宋_GB2312"/>
          <w:i w:val="0"/>
          <w:iCs w:val="0"/>
          <w:color w:val="000000"/>
          <w:sz w:val="32"/>
          <w:szCs w:val="32"/>
          <w:u w:val="none"/>
        </w:rPr>
        <w:t>）符合消防安全要求。</w:t>
      </w: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b w:val="0"/>
          <w:bCs w:val="0"/>
          <w:color w:val="000000"/>
          <w:sz w:val="32"/>
          <w:szCs w:val="32"/>
          <w:lang w:eastAsia="zh-CN"/>
        </w:rPr>
      </w:pPr>
      <w:r>
        <w:rPr>
          <w:rFonts w:hint="eastAsia" w:ascii="宋体" w:hAnsi="宋体" w:eastAsia="黑体" w:cs="黑体"/>
          <w:color w:val="000000"/>
          <w:kern w:val="2"/>
          <w:sz w:val="32"/>
          <w:szCs w:val="32"/>
          <w:lang w:val="en-US" w:eastAsia="zh-CN" w:bidi="ar-SA"/>
        </w:rPr>
        <w:t xml:space="preserve">第五十二条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b w:val="0"/>
          <w:bCs w:val="0"/>
          <w:color w:val="000000"/>
          <w:sz w:val="32"/>
          <w:szCs w:val="32"/>
          <w:lang w:eastAsia="zh-CN"/>
        </w:rPr>
        <w:t>个人应当遵守法律法规规定，不得在禁止吸烟场所吸烟。</w:t>
      </w:r>
    </w:p>
    <w:p>
      <w:pPr>
        <w:widowControl w:val="0"/>
        <w:shd w:val="clear" w:color="auto" w:fill="auto"/>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sz w:val="32"/>
          <w:szCs w:val="32"/>
        </w:rPr>
      </w:pPr>
      <w:r>
        <w:rPr>
          <w:rFonts w:hint="eastAsia" w:ascii="宋体" w:hAnsi="宋体" w:eastAsia="仿宋_GB2312" w:cs="仿宋_GB2312"/>
          <w:color w:val="000000"/>
          <w:sz w:val="32"/>
          <w:szCs w:val="32"/>
          <w:shd w:val="clear" w:color="auto" w:fill="auto"/>
        </w:rPr>
        <w:t>禁止吸烟场所</w:t>
      </w:r>
      <w:r>
        <w:rPr>
          <w:rFonts w:hint="eastAsia" w:ascii="宋体" w:hAnsi="宋体" w:eastAsia="仿宋_GB2312" w:cs="仿宋_GB2312"/>
          <w:i w:val="0"/>
          <w:iCs w:val="0"/>
          <w:color w:val="000000"/>
          <w:sz w:val="32"/>
          <w:szCs w:val="32"/>
          <w:u w:val="none"/>
          <w:shd w:val="clear" w:color="auto" w:fill="auto"/>
          <w:lang w:eastAsia="zh-CN"/>
        </w:rPr>
        <w:t>的经营者、管理者</w:t>
      </w:r>
      <w:r>
        <w:rPr>
          <w:rFonts w:hint="eastAsia" w:ascii="宋体" w:hAnsi="宋体" w:eastAsia="仿宋_GB2312" w:cs="仿宋_GB2312"/>
          <w:color w:val="000000"/>
          <w:sz w:val="32"/>
          <w:szCs w:val="32"/>
        </w:rPr>
        <w:t>应当</w:t>
      </w:r>
      <w:r>
        <w:rPr>
          <w:rFonts w:hint="eastAsia" w:ascii="宋体" w:hAnsi="宋体" w:eastAsia="仿宋_GB2312" w:cs="仿宋_GB2312"/>
          <w:b w:val="0"/>
          <w:bCs w:val="0"/>
          <w:color w:val="000000"/>
          <w:sz w:val="32"/>
          <w:szCs w:val="32"/>
          <w:lang w:eastAsia="zh-CN"/>
        </w:rPr>
        <w:t>在场所醒目位置设置统一的禁止吸烟标识和监管电话，不设置任何与吸烟有关的器具，并对吸烟者进行劝阻</w:t>
      </w:r>
      <w:r>
        <w:rPr>
          <w:rFonts w:hint="eastAsia" w:ascii="宋体" w:hAnsi="宋体" w:eastAsia="仿宋_GB2312" w:cs="仿宋_GB2312"/>
          <w:i w:val="0"/>
          <w:iCs w:val="0"/>
          <w:color w:val="000000"/>
          <w:sz w:val="32"/>
          <w:szCs w:val="32"/>
          <w:u w:val="none"/>
          <w:shd w:val="clear" w:color="auto" w:fill="auto"/>
          <w:lang w:eastAsia="zh-CN"/>
        </w:rPr>
        <w:t>。</w:t>
      </w:r>
    </w:p>
    <w:p>
      <w:pPr>
        <w:widowControl w:val="0"/>
        <w:wordWrap/>
        <w:overflowPunct w:val="0"/>
        <w:adjustRightInd/>
        <w:snapToGrid/>
        <w:spacing w:beforeAutospacing="0" w:afterAutospacing="0" w:line="560" w:lineRule="exact"/>
        <w:ind w:left="0" w:leftChars="0" w:right="0" w:firstLine="640" w:firstLineChars="0"/>
        <w:jc w:val="both"/>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第五十三条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lang w:eastAsia="zh-CN"/>
        </w:rPr>
        <w:t>各级</w:t>
      </w:r>
      <w:r>
        <w:rPr>
          <w:rFonts w:hint="eastAsia" w:ascii="宋体" w:hAnsi="宋体" w:eastAsia="仿宋_GB2312" w:cs="仿宋_GB2312"/>
          <w:b w:val="0"/>
          <w:bCs w:val="0"/>
          <w:color w:val="000000"/>
          <w:sz w:val="32"/>
          <w:szCs w:val="32"/>
        </w:rPr>
        <w:t>爱卫会</w:t>
      </w:r>
      <w:r>
        <w:rPr>
          <w:rFonts w:hint="eastAsia" w:ascii="宋体" w:hAnsi="宋体" w:eastAsia="仿宋_GB2312" w:cs="仿宋_GB2312"/>
          <w:b w:val="0"/>
          <w:bCs w:val="0"/>
          <w:color w:val="000000"/>
          <w:sz w:val="32"/>
          <w:szCs w:val="32"/>
          <w:lang w:eastAsia="zh-CN"/>
        </w:rPr>
        <w:t>相关成员单位</w:t>
      </w:r>
      <w:r>
        <w:rPr>
          <w:rFonts w:hint="eastAsia" w:ascii="宋体" w:hAnsi="宋体" w:eastAsia="仿宋_GB2312" w:cs="仿宋_GB2312"/>
          <w:b w:val="0"/>
          <w:bCs w:val="0"/>
          <w:color w:val="000000"/>
          <w:sz w:val="32"/>
          <w:szCs w:val="32"/>
        </w:rPr>
        <w:t>应当组织开展多种形式的控制吸烟宣传教育工作，增强全社会营造无烟环境的意识。</w:t>
      </w:r>
    </w:p>
    <w:p>
      <w:pPr>
        <w:widowControl w:val="0"/>
        <w:wordWrap/>
        <w:overflowPunct w:val="0"/>
        <w:adjustRightInd/>
        <w:snapToGrid/>
        <w:spacing w:beforeAutospacing="0" w:afterAutospacing="0" w:line="560" w:lineRule="exact"/>
        <w:ind w:left="0" w:leftChars="0" w:right="0" w:firstLine="640" w:firstLineChars="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rPr>
        <w:t>学校、医院等单位应当定期开展烟草烟雾危害和控制吸烟的宣传教育活动。</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b w:val="0"/>
          <w:bCs w:val="0"/>
          <w:color w:val="000000"/>
          <w:sz w:val="32"/>
          <w:szCs w:val="32"/>
        </w:rPr>
      </w:pPr>
      <w:r>
        <w:rPr>
          <w:rFonts w:hint="eastAsia" w:ascii="宋体" w:hAnsi="宋体" w:eastAsia="仿宋_GB2312" w:cs="仿宋_GB2312"/>
          <w:b w:val="0"/>
          <w:bCs w:val="0"/>
          <w:color w:val="000000"/>
          <w:sz w:val="32"/>
          <w:szCs w:val="32"/>
          <w:lang w:val="en-US" w:eastAsia="zh-CN"/>
        </w:rPr>
        <w:t>鼓励</w:t>
      </w:r>
      <w:r>
        <w:rPr>
          <w:rFonts w:hint="eastAsia" w:ascii="宋体" w:hAnsi="宋体" w:eastAsia="仿宋_GB2312" w:cs="仿宋_GB2312"/>
          <w:b w:val="0"/>
          <w:bCs w:val="0"/>
          <w:color w:val="000000"/>
          <w:sz w:val="32"/>
          <w:szCs w:val="32"/>
        </w:rPr>
        <w:t>广播、电视、报刊、网站等媒体开展吸烟和被动吸烟有害健康的公益宣传活动。</w:t>
      </w:r>
    </w:p>
    <w:p>
      <w:pPr>
        <w:widowControl w:val="0"/>
        <w:wordWrap/>
        <w:overflowPunct w:val="0"/>
        <w:adjustRightInd/>
        <w:snapToGrid/>
        <w:spacing w:beforeAutospacing="0" w:afterAutospacing="0" w:line="560" w:lineRule="exact"/>
        <w:ind w:right="0" w:firstLine="640"/>
        <w:textAlignment w:val="auto"/>
        <w:outlineLvl w:val="9"/>
        <w:rPr>
          <w:rFonts w:hint="eastAsia" w:ascii="宋体" w:hAnsi="宋体" w:eastAsia="仿宋_GB2312" w:cs="仿宋_GB2312"/>
          <w:i w:val="0"/>
          <w:iCs w:val="0"/>
          <w:color w:val="000000"/>
          <w:sz w:val="32"/>
          <w:szCs w:val="32"/>
          <w:u w:val="none"/>
          <w:shd w:val="clear" w:color="auto" w:fill="auto"/>
        </w:rPr>
      </w:pPr>
      <w:r>
        <w:rPr>
          <w:rFonts w:hint="eastAsia" w:ascii="宋体" w:hAnsi="宋体" w:eastAsia="仿宋_GB2312" w:cs="仿宋_GB2312"/>
          <w:i w:val="0"/>
          <w:iCs w:val="0"/>
          <w:color w:val="000000"/>
          <w:sz w:val="32"/>
          <w:szCs w:val="32"/>
          <w:u w:val="none"/>
          <w:shd w:val="clear" w:color="auto" w:fill="auto"/>
        </w:rPr>
        <w:t>鼓励控烟志愿者组织、</w:t>
      </w:r>
      <w:r>
        <w:rPr>
          <w:rFonts w:hint="eastAsia" w:ascii="宋体" w:hAnsi="宋体" w:eastAsia="仿宋_GB2312" w:cs="仿宋_GB2312"/>
          <w:i w:val="0"/>
          <w:iCs w:val="0"/>
          <w:color w:val="000000"/>
          <w:sz w:val="32"/>
          <w:szCs w:val="32"/>
          <w:u w:val="none"/>
          <w:shd w:val="clear" w:color="auto" w:fill="auto"/>
          <w:lang w:eastAsia="zh-CN"/>
        </w:rPr>
        <w:t>有关</w:t>
      </w:r>
      <w:r>
        <w:rPr>
          <w:rFonts w:hint="eastAsia" w:ascii="宋体" w:hAnsi="宋体" w:eastAsia="仿宋_GB2312" w:cs="仿宋_GB2312"/>
          <w:i w:val="0"/>
          <w:iCs w:val="0"/>
          <w:color w:val="000000"/>
          <w:sz w:val="32"/>
          <w:szCs w:val="32"/>
          <w:u w:val="none"/>
          <w:shd w:val="clear" w:color="auto" w:fill="auto"/>
        </w:rPr>
        <w:t>社会组织开展控烟宣传活动。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color w:val="000000"/>
          <w:kern w:val="2"/>
          <w:sz w:val="32"/>
          <w:szCs w:val="32"/>
          <w:lang w:val="en-US" w:eastAsia="zh-CN" w:bidi="ar-SA"/>
        </w:rPr>
        <w:t xml:space="preserve">第五十四条  </w:t>
      </w:r>
      <w:r>
        <w:rPr>
          <w:rFonts w:hint="eastAsia" w:ascii="宋体" w:hAnsi="宋体" w:eastAsia="仿宋_GB2312" w:cs="仿宋_GB2312"/>
          <w:b w:val="0"/>
          <w:bCs/>
          <w:color w:val="000000"/>
          <w:sz w:val="32"/>
          <w:szCs w:val="32"/>
          <w:lang w:eastAsia="zh-CN"/>
        </w:rPr>
        <w:t>倡导吸烟者戒烟。鼓励</w:t>
      </w:r>
      <w:r>
        <w:rPr>
          <w:rFonts w:hint="eastAsia" w:ascii="宋体" w:hAnsi="宋体" w:eastAsia="仿宋_GB2312" w:cs="仿宋_GB2312"/>
          <w:b w:val="0"/>
          <w:bCs/>
          <w:color w:val="000000"/>
          <w:sz w:val="32"/>
          <w:szCs w:val="32"/>
        </w:rPr>
        <w:t>医疗卫生机构</w:t>
      </w:r>
      <w:r>
        <w:rPr>
          <w:rFonts w:hint="eastAsia" w:ascii="宋体" w:hAnsi="宋体" w:eastAsia="仿宋_GB2312" w:cs="仿宋_GB2312"/>
          <w:b w:val="0"/>
          <w:bCs/>
          <w:color w:val="000000"/>
          <w:sz w:val="32"/>
          <w:szCs w:val="32"/>
          <w:lang w:eastAsia="zh-CN"/>
        </w:rPr>
        <w:t>通过</w:t>
      </w:r>
      <w:r>
        <w:rPr>
          <w:rFonts w:hint="eastAsia" w:ascii="宋体" w:hAnsi="宋体" w:eastAsia="仿宋_GB2312" w:cs="仿宋_GB2312"/>
          <w:b w:val="0"/>
          <w:bCs/>
          <w:color w:val="000000"/>
          <w:sz w:val="32"/>
          <w:szCs w:val="32"/>
        </w:rPr>
        <w:t>开设戒烟门诊、设置戒烟咨询热线等形式向公众提供戒烟服务。</w:t>
      </w:r>
    </w:p>
    <w:p>
      <w:pPr>
        <w:pStyle w:val="33"/>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shd w:val="clear" w:color="auto" w:fill="auto"/>
          <w:lang w:eastAsia="zh-CN"/>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第七章   健康促进与教育</w:t>
      </w:r>
    </w:p>
    <w:p>
      <w:pPr>
        <w:pStyle w:val="33"/>
        <w:widowControl w:val="0"/>
        <w:wordWrap/>
        <w:overflowPunct w:val="0"/>
        <w:spacing w:beforeAutospacing="0" w:afterAutospacing="0" w:line="560" w:lineRule="exact"/>
        <w:textAlignment w:val="auto"/>
        <w:outlineLvl w:val="9"/>
        <w:rPr>
          <w:rFonts w:hint="eastAsia" w:ascii="宋体" w:hAnsi="宋体"/>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第五十五条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lang w:val="en-US" w:eastAsia="zh-CN"/>
        </w:rPr>
        <w:t>各级人民政府应当制定和实施健康促进与教育工作规划，加强健康促进与教育人才和网络建设，</w:t>
      </w:r>
      <w:r>
        <w:rPr>
          <w:rFonts w:hint="eastAsia" w:ascii="宋体" w:hAnsi="宋体" w:eastAsia="仿宋_GB2312" w:cs="仿宋_GB2312"/>
          <w:i w:val="0"/>
          <w:iCs w:val="0"/>
          <w:color w:val="000000"/>
          <w:sz w:val="32"/>
          <w:szCs w:val="32"/>
          <w:u w:val="none"/>
          <w:lang w:val="en-US" w:eastAsia="zh-CN"/>
        </w:rPr>
        <w:t>组织全社会开展健康教育活动</w:t>
      </w:r>
      <w:r>
        <w:rPr>
          <w:rFonts w:hint="eastAsia" w:ascii="宋体" w:hAnsi="宋体" w:eastAsia="仿宋_GB2312" w:cs="仿宋_GB2312"/>
          <w:color w:val="000000"/>
          <w:sz w:val="32"/>
          <w:szCs w:val="32"/>
          <w:lang w:val="en-US" w:eastAsia="zh-CN"/>
        </w:rPr>
        <w:t>。</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color w:val="000000"/>
          <w:kern w:val="0"/>
          <w:sz w:val="32"/>
          <w:szCs w:val="32"/>
          <w:lang w:val="en-US" w:eastAsia="zh-CN"/>
        </w:rPr>
      </w:pPr>
      <w:r>
        <w:rPr>
          <w:rFonts w:hint="eastAsia" w:ascii="宋体" w:hAnsi="宋体" w:eastAsia="仿宋_GB2312" w:cs="仿宋_GB2312"/>
          <w:color w:val="000000"/>
          <w:kern w:val="0"/>
          <w:sz w:val="32"/>
          <w:szCs w:val="32"/>
          <w:lang w:val="en-US" w:eastAsia="zh-CN"/>
        </w:rPr>
        <w:t>各级人民政府卫生健康主管部门应当组织开展健康促进与教育工作，加强对传染病、慢性病等疾病防治的宣传教育，普及卫生健康知识，及时向公众发布疾病及相关防治信息。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第五十六条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color w:val="000000"/>
          <w:sz w:val="32"/>
          <w:szCs w:val="32"/>
        </w:rPr>
        <w:t>学校、学前教育机构应当按照国家和省有关要求开设健康教育课程、开展健康教育活动，培养学生健康的生活方式和行为习惯。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第五十七条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lang w:val="en-US" w:eastAsia="zh-CN"/>
        </w:rPr>
        <w:t>机关、企业事业单位和其他组织应当对本单位职工进行健康教育</w:t>
      </w:r>
      <w:r>
        <w:rPr>
          <w:rFonts w:hint="eastAsia" w:ascii="宋体" w:hAnsi="宋体" w:eastAsia="仿宋_GB2312" w:cs="仿宋_GB2312"/>
          <w:i w:val="0"/>
          <w:iCs w:val="0"/>
          <w:color w:val="000000"/>
          <w:sz w:val="32"/>
          <w:szCs w:val="32"/>
          <w:u w:val="none"/>
          <w:lang w:val="en-US" w:eastAsia="zh-CN"/>
        </w:rPr>
        <w:t>，</w:t>
      </w:r>
      <w:r>
        <w:rPr>
          <w:rFonts w:hint="eastAsia" w:ascii="宋体" w:hAnsi="宋体" w:eastAsia="仿宋_GB2312" w:cs="仿宋_GB2312"/>
          <w:color w:val="000000"/>
          <w:sz w:val="32"/>
          <w:szCs w:val="32"/>
          <w:lang w:val="en-US" w:eastAsia="zh-CN"/>
        </w:rPr>
        <w:t>组织健康检查，减少和控制职业伤害、职业病以及其他相关疾病发生。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第五十八条 </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lang w:val="en-US" w:eastAsia="zh-CN"/>
        </w:rPr>
        <w:t>公共场所应当通过设置健康教育宣传栏、电子显示装置，建设健康步道、健康主题公园、健康场馆等形式，开展健康促进与教育。</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 xml:space="preserve">第五十九条  </w:t>
      </w:r>
      <w:r>
        <w:rPr>
          <w:rFonts w:hint="eastAsia" w:ascii="宋体" w:hAnsi="宋体" w:eastAsia="仿宋_GB2312" w:cs="仿宋_GB2312"/>
          <w:b w:val="0"/>
          <w:bCs w:val="0"/>
          <w:color w:val="000000"/>
          <w:sz w:val="32"/>
          <w:szCs w:val="32"/>
          <w:lang w:eastAsia="zh-CN"/>
        </w:rPr>
        <w:t>鼓励</w:t>
      </w:r>
      <w:r>
        <w:rPr>
          <w:rFonts w:hint="eastAsia" w:ascii="宋体" w:hAnsi="宋体" w:eastAsia="仿宋_GB2312" w:cs="仿宋_GB2312"/>
          <w:color w:val="000000"/>
          <w:sz w:val="32"/>
          <w:szCs w:val="32"/>
          <w:lang w:val="en-US" w:eastAsia="zh-CN"/>
        </w:rPr>
        <w:t>新闻媒体设置健康教育专栏，发布公益健康广告，开展健康知识宣传和教育。</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在传染病流行期间或者突发公共卫生事件发生后，新闻媒体应当及时准确发布信息，正确引导健康防病舆论导向，配合做好相关宣传教育工作。</w:t>
      </w:r>
    </w:p>
    <w:p>
      <w:pPr>
        <w:widowControl w:val="0"/>
        <w:numPr>
          <w:ilvl w:val="0"/>
          <w:numId w:val="0"/>
        </w:numPr>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仿宋_GB2312" w:cs="仿宋_GB2312"/>
          <w:b/>
          <w:bCs/>
          <w:color w:val="00000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第八章  监督管理</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0"/>
        <w:textAlignment w:val="auto"/>
        <w:outlineLvl w:val="9"/>
        <w:rPr>
          <w:rFonts w:hint="eastAsia" w:ascii="宋体" w:hAnsi="宋体" w:eastAsia="仿宋_GB2312" w:cs="仿宋_GB2312"/>
          <w:color w:val="000000"/>
          <w:sz w:val="32"/>
          <w:szCs w:val="32"/>
          <w:lang w:eastAsia="zh-CN"/>
        </w:rPr>
      </w:pP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u w:val="none"/>
          <w:lang w:val="en-US" w:eastAsia="zh-CN"/>
        </w:rPr>
        <w:t xml:space="preserve"> </w:t>
      </w:r>
      <w:r>
        <w:rPr>
          <w:rFonts w:hint="eastAsia" w:ascii="宋体" w:hAnsi="宋体" w:eastAsia="黑体" w:cs="黑体"/>
          <w:color w:val="000000"/>
          <w:kern w:val="2"/>
          <w:sz w:val="32"/>
          <w:szCs w:val="32"/>
          <w:lang w:val="en-US" w:eastAsia="zh-CN" w:bidi="ar-SA"/>
        </w:rPr>
        <w:t xml:space="preserve"> 第六十条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color w:val="000000"/>
          <w:sz w:val="32"/>
          <w:szCs w:val="32"/>
        </w:rPr>
        <w:t>各级人民政府应当强化对城乡厕所建设管理工作的监督检查，</w:t>
      </w:r>
      <w:r>
        <w:rPr>
          <w:rFonts w:hint="eastAsia" w:ascii="宋体" w:hAnsi="宋体" w:eastAsia="仿宋_GB2312" w:cs="仿宋_GB2312"/>
          <w:i w:val="0"/>
          <w:iCs w:val="0"/>
          <w:color w:val="000000"/>
          <w:sz w:val="32"/>
          <w:szCs w:val="32"/>
          <w:u w:val="none"/>
          <w:lang w:val="en-US" w:eastAsia="zh-CN"/>
        </w:rPr>
        <w:t>加强对</w:t>
      </w:r>
      <w:r>
        <w:rPr>
          <w:rFonts w:hint="eastAsia" w:ascii="宋体" w:hAnsi="宋体" w:eastAsia="仿宋_GB2312" w:cs="仿宋_GB2312"/>
          <w:color w:val="000000"/>
          <w:sz w:val="32"/>
          <w:szCs w:val="32"/>
        </w:rPr>
        <w:t>厕所建设管理</w:t>
      </w:r>
      <w:r>
        <w:rPr>
          <w:rFonts w:hint="eastAsia" w:ascii="宋体" w:hAnsi="宋体" w:eastAsia="仿宋_GB2312" w:cs="仿宋_GB2312"/>
          <w:color w:val="000000"/>
          <w:sz w:val="32"/>
          <w:szCs w:val="32"/>
          <w:lang w:val="en-US" w:eastAsia="zh-CN"/>
        </w:rPr>
        <w:t>等爱国卫生工作的</w:t>
      </w:r>
      <w:r>
        <w:rPr>
          <w:rFonts w:hint="eastAsia" w:ascii="宋体" w:hAnsi="宋体" w:eastAsia="仿宋_GB2312" w:cs="仿宋_GB2312"/>
          <w:color w:val="000000"/>
          <w:sz w:val="32"/>
          <w:szCs w:val="32"/>
        </w:rPr>
        <w:t>考核</w:t>
      </w:r>
      <w:r>
        <w:rPr>
          <w:rFonts w:hint="eastAsia" w:ascii="宋体" w:hAnsi="宋体" w:eastAsia="仿宋_GB2312" w:cs="仿宋_GB2312"/>
          <w:color w:val="000000"/>
          <w:sz w:val="32"/>
          <w:szCs w:val="32"/>
          <w:lang w:eastAsia="zh-CN"/>
        </w:rPr>
        <w:t>。</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sz w:val="32"/>
          <w:szCs w:val="32"/>
        </w:rPr>
      </w:pPr>
      <w:r>
        <w:rPr>
          <w:rFonts w:hint="eastAsia" w:ascii="宋体" w:hAnsi="宋体" w:eastAsia="黑体" w:cs="黑体"/>
          <w:color w:val="000000"/>
          <w:kern w:val="2"/>
          <w:sz w:val="32"/>
          <w:szCs w:val="32"/>
          <w:lang w:val="en-US" w:eastAsia="zh-CN" w:bidi="ar-SA"/>
        </w:rPr>
        <w:t xml:space="preserve">第六十一条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各级爱卫会应当定期对爱国卫生工作进行指导、检查</w:t>
      </w:r>
      <w:r>
        <w:rPr>
          <w:rFonts w:hint="eastAsia" w:ascii="宋体" w:hAnsi="宋体" w:eastAsia="仿宋_GB2312" w:cs="仿宋_GB2312"/>
          <w:color w:val="000000"/>
          <w:sz w:val="32"/>
          <w:szCs w:val="32"/>
          <w:lang w:val="en-US" w:eastAsia="zh-CN"/>
        </w:rPr>
        <w:t>和监督，</w:t>
      </w:r>
      <w:r>
        <w:rPr>
          <w:rFonts w:hint="eastAsia" w:ascii="宋体" w:hAnsi="宋体" w:eastAsia="仿宋_GB2312" w:cs="仿宋_GB2312"/>
          <w:color w:val="000000"/>
          <w:sz w:val="32"/>
          <w:szCs w:val="32"/>
        </w:rPr>
        <w:t>督促</w:t>
      </w:r>
      <w:r>
        <w:rPr>
          <w:rFonts w:hint="eastAsia" w:ascii="宋体" w:hAnsi="宋体" w:eastAsia="仿宋_GB2312" w:cs="仿宋_GB2312"/>
          <w:color w:val="000000"/>
          <w:sz w:val="32"/>
          <w:szCs w:val="32"/>
          <w:lang w:val="en-US" w:eastAsia="zh-CN"/>
        </w:rPr>
        <w:t>落实爱国卫生措施</w:t>
      </w:r>
      <w:r>
        <w:rPr>
          <w:rFonts w:hint="eastAsia" w:ascii="宋体" w:hAnsi="宋体" w:eastAsia="仿宋_GB2312" w:cs="仿宋_GB2312"/>
          <w:color w:val="000000"/>
          <w:sz w:val="32"/>
          <w:szCs w:val="32"/>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color w:val="000000"/>
          <w:sz w:val="32"/>
          <w:szCs w:val="32"/>
        </w:rPr>
      </w:pPr>
      <w:r>
        <w:rPr>
          <w:rFonts w:hint="eastAsia" w:ascii="宋体" w:hAnsi="宋体" w:eastAsia="黑体" w:cs="黑体"/>
          <w:color w:val="000000"/>
          <w:kern w:val="2"/>
          <w:sz w:val="32"/>
          <w:szCs w:val="32"/>
          <w:lang w:val="en-US" w:eastAsia="zh-CN" w:bidi="ar-SA"/>
        </w:rPr>
        <w:t>第六十二条</w:t>
      </w:r>
      <w:r>
        <w:rPr>
          <w:rFonts w:hint="eastAsia" w:ascii="宋体" w:hAnsi="宋体" w:eastAsia="仿宋_GB2312" w:cs="仿宋_GB2312"/>
          <w:b w:val="0"/>
          <w:bCs w:val="0"/>
          <w:color w:val="000000"/>
          <w:sz w:val="32"/>
          <w:szCs w:val="32"/>
          <w:lang w:val="en-US" w:eastAsia="zh-CN"/>
        </w:rPr>
        <w:t xml:space="preserve">  </w:t>
      </w:r>
      <w:r>
        <w:rPr>
          <w:rFonts w:hint="eastAsia" w:ascii="宋体" w:hAnsi="宋体" w:eastAsia="仿宋_GB2312" w:cs="仿宋_GB2312"/>
          <w:b w:val="0"/>
          <w:bCs w:val="0"/>
          <w:color w:val="000000"/>
          <w:sz w:val="32"/>
          <w:szCs w:val="32"/>
        </w:rPr>
        <w:t>爱卫会应当采取部门监督与社会监督相结合、定期检查与随机抽查相结合的方式，开展爱国卫生工作的监督检查，并定期向社会公布监督检查结果。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bCs/>
          <w:color w:val="000000"/>
          <w:sz w:val="32"/>
          <w:szCs w:val="32"/>
        </w:rPr>
      </w:pPr>
      <w:r>
        <w:rPr>
          <w:rFonts w:hint="eastAsia" w:ascii="宋体" w:hAnsi="宋体" w:eastAsia="仿宋_GB2312" w:cs="仿宋_GB2312"/>
          <w:b w:val="0"/>
          <w:bCs w:val="0"/>
          <w:color w:val="000000"/>
          <w:sz w:val="32"/>
          <w:szCs w:val="32"/>
        </w:rPr>
        <w:t>爱卫会可以聘请人大代表、政协委员和社会卫生专业人员、志愿者等担任爱国</w:t>
      </w:r>
      <w:r>
        <w:rPr>
          <w:rFonts w:hint="eastAsia" w:ascii="宋体" w:hAnsi="宋体" w:eastAsia="仿宋_GB2312" w:cs="仿宋_GB2312"/>
          <w:b w:val="0"/>
          <w:bCs w:val="0"/>
          <w:i w:val="0"/>
          <w:iCs w:val="0"/>
          <w:color w:val="000000"/>
          <w:sz w:val="32"/>
          <w:szCs w:val="32"/>
          <w:u w:val="none"/>
        </w:rPr>
        <w:t>卫生义务监</w:t>
      </w:r>
      <w:r>
        <w:rPr>
          <w:rFonts w:hint="eastAsia" w:ascii="宋体" w:hAnsi="宋体" w:eastAsia="仿宋_GB2312" w:cs="仿宋_GB2312"/>
          <w:b w:val="0"/>
          <w:bCs w:val="0"/>
          <w:color w:val="000000"/>
          <w:sz w:val="32"/>
          <w:szCs w:val="32"/>
        </w:rPr>
        <w:t>督员，组织其开展爱国卫生监督，协助有关部门查处违法行为。爱国</w:t>
      </w:r>
      <w:r>
        <w:rPr>
          <w:rFonts w:hint="eastAsia" w:ascii="宋体" w:hAnsi="宋体" w:eastAsia="仿宋_GB2312" w:cs="仿宋_GB2312"/>
          <w:b w:val="0"/>
          <w:bCs w:val="0"/>
          <w:i w:val="0"/>
          <w:iCs w:val="0"/>
          <w:color w:val="000000"/>
          <w:sz w:val="32"/>
          <w:szCs w:val="32"/>
          <w:u w:val="none"/>
        </w:rPr>
        <w:t>卫生义务监督</w:t>
      </w:r>
      <w:r>
        <w:rPr>
          <w:rFonts w:hint="eastAsia" w:ascii="宋体" w:hAnsi="宋体" w:eastAsia="仿宋_GB2312" w:cs="仿宋_GB2312"/>
          <w:b w:val="0"/>
          <w:bCs w:val="0"/>
          <w:color w:val="000000"/>
          <w:sz w:val="32"/>
          <w:szCs w:val="32"/>
        </w:rPr>
        <w:t>员在进行监督检查时，应当佩戴标志或者出示证件。</w:t>
      </w:r>
    </w:p>
    <w:p>
      <w:pPr>
        <w:widowControl w:val="0"/>
        <w:shd w:val="clear" w:color="auto" w:fill="auto"/>
        <w:wordWrap/>
        <w:overflowPunct w:val="0"/>
        <w:adjustRightInd/>
        <w:snapToGrid/>
        <w:spacing w:beforeAutospacing="0" w:afterAutospacing="0" w:line="560" w:lineRule="exact"/>
        <w:ind w:left="0" w:leftChars="0" w:right="0" w:firstLine="640"/>
        <w:jc w:val="left"/>
        <w:textAlignment w:val="auto"/>
        <w:outlineLvl w:val="9"/>
        <w:rPr>
          <w:rFonts w:hint="eastAsia" w:ascii="宋体" w:hAnsi="宋体" w:eastAsia="仿宋_GB2312" w:cs="仿宋_GB2312"/>
          <w:b w:val="0"/>
          <w:bCs w:val="0"/>
          <w:i w:val="0"/>
          <w:caps w:val="0"/>
          <w:color w:val="000000"/>
          <w:spacing w:val="0"/>
          <w:kern w:val="0"/>
          <w:sz w:val="32"/>
          <w:szCs w:val="32"/>
          <w:shd w:val="clear" w:color="080000" w:fill="FFFFFF"/>
          <w:lang w:val="en-US" w:eastAsia="zh-CN"/>
        </w:rPr>
      </w:pPr>
      <w:r>
        <w:rPr>
          <w:rFonts w:hint="eastAsia" w:ascii="宋体" w:hAnsi="宋体" w:eastAsia="黑体" w:cs="黑体"/>
          <w:color w:val="000000"/>
          <w:kern w:val="2"/>
          <w:sz w:val="32"/>
          <w:szCs w:val="32"/>
          <w:lang w:val="en-US" w:eastAsia="zh-CN" w:bidi="ar-SA"/>
        </w:rPr>
        <w:t xml:space="preserve">第六十三条  </w:t>
      </w:r>
      <w:r>
        <w:rPr>
          <w:rFonts w:hint="eastAsia" w:ascii="宋体" w:hAnsi="宋体" w:eastAsia="仿宋_GB2312" w:cs="仿宋_GB2312"/>
          <w:b w:val="0"/>
          <w:bCs w:val="0"/>
          <w:i w:val="0"/>
          <w:iCs w:val="0"/>
          <w:caps w:val="0"/>
          <w:color w:val="000000"/>
          <w:spacing w:val="0"/>
          <w:kern w:val="0"/>
          <w:sz w:val="32"/>
          <w:szCs w:val="32"/>
          <w:u w:val="none"/>
          <w:shd w:val="clear" w:color="080000" w:fill="FFFFFF"/>
          <w:lang w:val="en-US" w:eastAsia="zh-CN"/>
        </w:rPr>
        <w:t>任何单位和个人都有权举报</w:t>
      </w:r>
      <w:r>
        <w:rPr>
          <w:rFonts w:hint="eastAsia" w:ascii="宋体" w:hAnsi="宋体" w:eastAsia="仿宋_GB2312" w:cs="仿宋_GB2312"/>
          <w:b w:val="0"/>
          <w:bCs w:val="0"/>
          <w:i w:val="0"/>
          <w:caps w:val="0"/>
          <w:color w:val="000000"/>
          <w:spacing w:val="0"/>
          <w:kern w:val="0"/>
          <w:sz w:val="32"/>
          <w:szCs w:val="32"/>
          <w:shd w:val="clear" w:color="080000" w:fill="FFFFFF"/>
          <w:lang w:val="en-US" w:eastAsia="zh-CN"/>
        </w:rPr>
        <w:t>违反本条例规定的行为。</w:t>
      </w:r>
    </w:p>
    <w:p>
      <w:pPr>
        <w:widowControl w:val="0"/>
        <w:shd w:val="clear" w:color="auto" w:fill="auto"/>
        <w:wordWrap/>
        <w:overflowPunct w:val="0"/>
        <w:adjustRightInd/>
        <w:snapToGrid/>
        <w:spacing w:beforeAutospacing="0" w:afterAutospacing="0" w:line="560" w:lineRule="exact"/>
        <w:ind w:left="0" w:leftChars="0" w:right="0" w:firstLine="640"/>
        <w:jc w:val="left"/>
        <w:textAlignment w:val="auto"/>
        <w:outlineLvl w:val="9"/>
        <w:rPr>
          <w:rFonts w:hint="eastAsia" w:ascii="宋体" w:hAnsi="宋体" w:eastAsia="仿宋_GB2312" w:cs="仿宋_GB2312"/>
          <w:b w:val="0"/>
          <w:bCs w:val="0"/>
          <w:i w:val="0"/>
          <w:caps w:val="0"/>
          <w:color w:val="000000"/>
          <w:spacing w:val="0"/>
          <w:kern w:val="0"/>
          <w:sz w:val="32"/>
          <w:szCs w:val="32"/>
          <w:shd w:val="clear" w:color="080000" w:fill="FFFFFF"/>
          <w:lang w:val="en-US" w:eastAsia="zh-CN"/>
        </w:rPr>
      </w:pPr>
      <w:r>
        <w:rPr>
          <w:rFonts w:hint="eastAsia" w:ascii="宋体" w:hAnsi="宋体" w:eastAsia="仿宋_GB2312" w:cs="仿宋_GB2312"/>
          <w:b w:val="0"/>
          <w:bCs w:val="0"/>
          <w:i w:val="0"/>
          <w:caps w:val="0"/>
          <w:color w:val="000000"/>
          <w:spacing w:val="0"/>
          <w:kern w:val="0"/>
          <w:sz w:val="32"/>
          <w:szCs w:val="32"/>
          <w:shd w:val="clear" w:color="080000" w:fill="FFFFFF"/>
          <w:lang w:val="en-US" w:eastAsia="zh-CN"/>
        </w:rPr>
        <w:t>爱卫会应当建立举报制度，公开举报电话、信箱或者电子邮件地址；爱卫会及其成员单位对举报事项应当及时处理。</w:t>
      </w:r>
    </w:p>
    <w:p>
      <w:pPr>
        <w:widowControl w:val="0"/>
        <w:shd w:val="clear" w:color="auto" w:fill="auto"/>
        <w:wordWrap/>
        <w:overflowPunct w:val="0"/>
        <w:adjustRightInd/>
        <w:snapToGrid/>
        <w:spacing w:beforeAutospacing="0" w:afterAutospacing="0" w:line="560" w:lineRule="exact"/>
        <w:ind w:left="0" w:leftChars="0" w:right="0" w:firstLine="0"/>
        <w:jc w:val="center"/>
        <w:textAlignment w:val="auto"/>
        <w:outlineLvl w:val="9"/>
        <w:rPr>
          <w:rFonts w:hint="eastAsia" w:ascii="宋体" w:hAnsi="宋体" w:eastAsia="仿宋_GB2312" w:cs="仿宋_GB2312"/>
          <w:b w:val="0"/>
          <w:bCs w:val="0"/>
          <w:i w:val="0"/>
          <w:caps w:val="0"/>
          <w:color w:val="000000"/>
          <w:spacing w:val="0"/>
          <w:kern w:val="2"/>
          <w:sz w:val="32"/>
          <w:szCs w:val="32"/>
          <w:u w:val="none"/>
          <w:shd w:val="clear" w:color="auto" w:fill="auto"/>
          <w:lang w:val="en-US" w:eastAsia="zh-CN"/>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第九章  法律责任</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sz w:val="32"/>
          <w:szCs w:val="32"/>
          <w:lang w:val="en-US" w:eastAsia="zh-CN"/>
        </w:rPr>
      </w:pPr>
    </w:p>
    <w:p>
      <w:pPr>
        <w:widowControl w:val="0"/>
        <w:wordWrap/>
        <w:overflowPunct w:val="0"/>
        <w:adjustRightInd/>
        <w:snapToGrid/>
        <w:spacing w:beforeAutospacing="0" w:afterAutospacing="0" w:line="560" w:lineRule="exact"/>
        <w:ind w:right="0" w:firstLine="640" w:firstLineChars="200"/>
        <w:textAlignment w:val="auto"/>
        <w:outlineLvl w:val="9"/>
        <w:rPr>
          <w:rFonts w:hint="eastAsia" w:ascii="宋体" w:hAnsi="宋体" w:eastAsia="仿宋_GB2312" w:cs="仿宋_GB2312"/>
          <w:color w:val="000000"/>
          <w:sz w:val="32"/>
          <w:szCs w:val="32"/>
          <w:lang w:val="en-US" w:eastAsia="zh-CN"/>
        </w:rPr>
      </w:pPr>
      <w:r>
        <w:rPr>
          <w:rFonts w:hint="eastAsia" w:ascii="宋体" w:hAnsi="宋体" w:eastAsia="黑体" w:cs="黑体"/>
          <w:color w:val="000000"/>
          <w:kern w:val="2"/>
          <w:sz w:val="32"/>
          <w:szCs w:val="32"/>
          <w:lang w:val="en-US" w:eastAsia="zh-CN" w:bidi="ar-SA"/>
        </w:rPr>
        <w:t>第六十四条</w:t>
      </w:r>
      <w:r>
        <w:rPr>
          <w:rFonts w:hint="eastAsia" w:ascii="宋体" w:hAnsi="宋体" w:eastAsia="仿宋_GB2312" w:cs="仿宋_GB2312"/>
          <w:color w:val="000000"/>
          <w:sz w:val="32"/>
          <w:szCs w:val="32"/>
          <w:lang w:val="en-US" w:eastAsia="zh-CN"/>
        </w:rPr>
        <w:t xml:space="preserve">  单位违反本条例第</w:t>
      </w:r>
      <w:r>
        <w:rPr>
          <w:rFonts w:hint="eastAsia" w:ascii="宋体" w:hAnsi="宋体" w:eastAsia="仿宋_GB2312" w:cs="仿宋_GB2312"/>
          <w:i w:val="0"/>
          <w:iCs w:val="0"/>
          <w:color w:val="000000"/>
          <w:sz w:val="32"/>
          <w:szCs w:val="32"/>
          <w:u w:val="none"/>
          <w:lang w:val="en-US" w:eastAsia="zh-CN"/>
        </w:rPr>
        <w:t>十</w:t>
      </w:r>
      <w:r>
        <w:rPr>
          <w:rFonts w:hint="eastAsia" w:ascii="宋体" w:hAnsi="宋体" w:eastAsia="仿宋_GB2312" w:cs="仿宋_GB2312"/>
          <w:color w:val="000000"/>
          <w:sz w:val="32"/>
          <w:szCs w:val="32"/>
          <w:lang w:val="en-US" w:eastAsia="zh-CN"/>
        </w:rPr>
        <w:t>条规定，未建立卫生管理制度、</w:t>
      </w:r>
      <w:r>
        <w:rPr>
          <w:rFonts w:hint="eastAsia" w:ascii="宋体" w:hAnsi="宋体" w:eastAsia="仿宋_GB2312" w:cs="仿宋_GB2312"/>
          <w:i w:val="0"/>
          <w:iCs w:val="0"/>
          <w:color w:val="000000"/>
          <w:sz w:val="32"/>
          <w:szCs w:val="32"/>
          <w:u w:val="none"/>
          <w:lang w:val="en-US" w:eastAsia="zh-CN"/>
        </w:rPr>
        <w:t>确定责任人或者</w:t>
      </w:r>
      <w:r>
        <w:rPr>
          <w:rFonts w:hint="eastAsia" w:ascii="宋体" w:hAnsi="宋体" w:eastAsia="仿宋_GB2312" w:cs="仿宋_GB2312"/>
          <w:color w:val="000000"/>
          <w:sz w:val="32"/>
          <w:szCs w:val="32"/>
          <w:lang w:val="en-US" w:eastAsia="zh-CN"/>
        </w:rPr>
        <w:t>配备卫生设施，室内外环境卫生未达到规定标准的，由县级以上负责城市市容环境卫生工作的主管部门或者政府指定的主管部门责令限期改正；逾期不改的，处一千元以上五千元以下罚款。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第六十五条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违反本条例第</w:t>
      </w:r>
      <w:r>
        <w:rPr>
          <w:rFonts w:hint="eastAsia" w:ascii="宋体" w:hAnsi="宋体" w:eastAsia="仿宋_GB2312" w:cs="仿宋_GB2312"/>
          <w:i w:val="0"/>
          <w:iCs w:val="0"/>
          <w:color w:val="000000"/>
          <w:sz w:val="32"/>
          <w:szCs w:val="32"/>
          <w:u w:val="none"/>
          <w:lang w:val="en-US" w:eastAsia="zh-CN"/>
        </w:rPr>
        <w:t>十七</w:t>
      </w:r>
      <w:r>
        <w:rPr>
          <w:rFonts w:hint="eastAsia" w:ascii="宋体" w:hAnsi="宋体" w:eastAsia="仿宋_GB2312" w:cs="仿宋_GB2312"/>
          <w:color w:val="000000"/>
          <w:sz w:val="32"/>
          <w:szCs w:val="32"/>
        </w:rPr>
        <w:t>条规定的，由县级以上</w:t>
      </w:r>
      <w:r>
        <w:rPr>
          <w:rFonts w:hint="eastAsia" w:ascii="宋体" w:hAnsi="宋体" w:eastAsia="仿宋_GB2312" w:cs="仿宋_GB2312"/>
          <w:color w:val="000000"/>
          <w:sz w:val="32"/>
          <w:szCs w:val="32"/>
          <w:lang w:eastAsia="zh-CN"/>
        </w:rPr>
        <w:t>负责城市</w:t>
      </w:r>
      <w:r>
        <w:rPr>
          <w:rFonts w:hint="eastAsia" w:ascii="宋体" w:hAnsi="宋体" w:eastAsia="仿宋_GB2312" w:cs="仿宋_GB2312"/>
          <w:color w:val="000000"/>
          <w:sz w:val="32"/>
          <w:szCs w:val="32"/>
        </w:rPr>
        <w:t>市容环境卫生</w:t>
      </w:r>
      <w:r>
        <w:rPr>
          <w:rFonts w:hint="eastAsia" w:ascii="宋体" w:hAnsi="宋体" w:eastAsia="仿宋_GB2312" w:cs="仿宋_GB2312"/>
          <w:color w:val="000000"/>
          <w:sz w:val="32"/>
          <w:szCs w:val="32"/>
          <w:lang w:eastAsia="zh-CN"/>
        </w:rPr>
        <w:t>工作的</w:t>
      </w:r>
      <w:r>
        <w:rPr>
          <w:rFonts w:hint="eastAsia" w:ascii="宋体" w:hAnsi="宋体" w:eastAsia="仿宋_GB2312" w:cs="仿宋_GB2312"/>
          <w:i w:val="0"/>
          <w:iCs w:val="0"/>
          <w:color w:val="000000"/>
          <w:sz w:val="32"/>
          <w:szCs w:val="32"/>
          <w:u w:val="none" w:color="auto"/>
          <w:lang w:eastAsia="zh-CN"/>
        </w:rPr>
        <w:t>主管</w:t>
      </w:r>
      <w:r>
        <w:rPr>
          <w:rFonts w:hint="eastAsia" w:ascii="宋体" w:hAnsi="宋体" w:eastAsia="仿宋_GB2312" w:cs="仿宋_GB2312"/>
          <w:color w:val="000000"/>
          <w:sz w:val="32"/>
          <w:szCs w:val="32"/>
        </w:rPr>
        <w:t>部门责令限期改正，逾期不改的，处一千元以上五千元以下罚款；情节严重的，由建设</w:t>
      </w:r>
      <w:r>
        <w:rPr>
          <w:rFonts w:hint="eastAsia" w:ascii="宋体" w:hAnsi="宋体" w:eastAsia="仿宋_GB2312" w:cs="仿宋_GB2312"/>
          <w:i w:val="0"/>
          <w:iCs w:val="0"/>
          <w:color w:val="000000"/>
          <w:sz w:val="32"/>
          <w:szCs w:val="32"/>
          <w:u w:val="none" w:color="auto"/>
          <w:lang w:eastAsia="zh-CN"/>
        </w:rPr>
        <w:t>主管</w:t>
      </w:r>
      <w:r>
        <w:rPr>
          <w:rFonts w:hint="eastAsia" w:ascii="宋体" w:hAnsi="宋体" w:eastAsia="仿宋_GB2312" w:cs="仿宋_GB2312"/>
          <w:color w:val="000000"/>
          <w:sz w:val="32"/>
          <w:szCs w:val="32"/>
        </w:rPr>
        <w:t>部门责令其停工整顿。</w:t>
      </w: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color w:val="000000"/>
          <w:kern w:val="2"/>
          <w:sz w:val="32"/>
          <w:szCs w:val="32"/>
          <w:lang w:val="en-US" w:eastAsia="zh-CN" w:bidi="ar-SA"/>
        </w:rPr>
        <w:t xml:space="preserve">第六十六条 </w:t>
      </w:r>
      <w:r>
        <w:rPr>
          <w:rFonts w:hint="eastAsia" w:ascii="宋体" w:hAnsi="宋体" w:eastAsia="仿宋_GB2312" w:cs="仿宋_GB2312"/>
          <w:i w:val="0"/>
          <w:iCs w:val="0"/>
          <w:color w:val="000000"/>
          <w:sz w:val="32"/>
          <w:szCs w:val="32"/>
          <w:u w:val="none"/>
          <w:lang w:val="en-US" w:eastAsia="zh-CN"/>
        </w:rPr>
        <w:t xml:space="preserve"> 个人违反本条例第二十二条规定的，由县级以上</w:t>
      </w:r>
      <w:r>
        <w:rPr>
          <w:rFonts w:hint="eastAsia" w:ascii="宋体" w:hAnsi="宋体" w:eastAsia="仿宋_GB2312" w:cs="仿宋_GB2312"/>
          <w:color w:val="000000"/>
          <w:sz w:val="32"/>
          <w:szCs w:val="32"/>
          <w:lang w:eastAsia="zh-CN"/>
        </w:rPr>
        <w:t>负责城市</w:t>
      </w:r>
      <w:r>
        <w:rPr>
          <w:rFonts w:hint="eastAsia" w:ascii="宋体" w:hAnsi="宋体" w:eastAsia="仿宋_GB2312" w:cs="仿宋_GB2312"/>
          <w:i w:val="0"/>
          <w:iCs w:val="0"/>
          <w:color w:val="000000"/>
          <w:sz w:val="32"/>
          <w:szCs w:val="32"/>
          <w:u w:val="none"/>
          <w:lang w:val="en-US" w:eastAsia="zh-CN"/>
        </w:rPr>
        <w:t>市容环境卫生工作的主管部门或者政府指定的主管部门责令改正，处一百元以上五百元以下罚款。</w:t>
      </w:r>
    </w:p>
    <w:p>
      <w:pPr>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i w:val="0"/>
          <w:iCs w:val="0"/>
          <w:color w:val="auto"/>
          <w:kern w:val="2"/>
          <w:sz w:val="32"/>
          <w:szCs w:val="32"/>
          <w:u w:val="none"/>
          <w:lang w:val="en-US" w:eastAsia="zh-CN"/>
        </w:rPr>
      </w:pPr>
      <w:r>
        <w:rPr>
          <w:rFonts w:hint="eastAsia" w:ascii="宋体" w:hAnsi="宋体" w:eastAsia="黑体" w:cs="黑体"/>
          <w:color w:val="000000"/>
          <w:kern w:val="2"/>
          <w:sz w:val="32"/>
          <w:szCs w:val="32"/>
          <w:lang w:val="en-US" w:eastAsia="zh-CN" w:bidi="ar-SA"/>
        </w:rPr>
        <w:t>第六十七条</w:t>
      </w:r>
      <w:r>
        <w:rPr>
          <w:rFonts w:hint="eastAsia" w:ascii="宋体" w:hAnsi="宋体" w:eastAsia="仿宋_GB2312" w:cs="仿宋_GB2312"/>
          <w:i w:val="0"/>
          <w:iCs w:val="0"/>
          <w:color w:val="000000"/>
          <w:sz w:val="32"/>
          <w:szCs w:val="32"/>
          <w:u w:val="none"/>
          <w:lang w:val="en-US" w:eastAsia="zh-CN"/>
        </w:rPr>
        <w:t xml:space="preserve">  </w:t>
      </w:r>
      <w:r>
        <w:rPr>
          <w:rFonts w:hint="eastAsia" w:ascii="宋体" w:hAnsi="宋体" w:eastAsia="仿宋_GB2312" w:cs="仿宋_GB2312"/>
          <w:i w:val="0"/>
          <w:iCs w:val="0"/>
          <w:color w:val="auto"/>
          <w:kern w:val="2"/>
          <w:sz w:val="32"/>
          <w:szCs w:val="32"/>
          <w:u w:val="none"/>
          <w:lang w:val="en-US" w:eastAsia="zh-CN"/>
        </w:rPr>
        <w:t>违反本条例第二十三条第一款规定，饲养家禽家畜</w:t>
      </w:r>
      <w:r>
        <w:rPr>
          <w:rFonts w:hint="eastAsia" w:ascii="宋体" w:hAnsi="宋体" w:eastAsia="仿宋_GB2312" w:cs="仿宋_GB2312"/>
          <w:i w:val="0"/>
          <w:iCs w:val="0"/>
          <w:color w:val="auto"/>
          <w:sz w:val="32"/>
          <w:szCs w:val="32"/>
          <w:u w:val="none"/>
          <w:lang w:val="en-US" w:eastAsia="zh-CN"/>
        </w:rPr>
        <w:t>影响市容和环境卫生的，</w:t>
      </w:r>
      <w:r>
        <w:rPr>
          <w:rFonts w:hint="eastAsia" w:ascii="宋体" w:hAnsi="宋体" w:eastAsia="仿宋_GB2312" w:cs="仿宋_GB2312"/>
          <w:i w:val="0"/>
          <w:iCs w:val="0"/>
          <w:color w:val="auto"/>
          <w:kern w:val="2"/>
          <w:sz w:val="32"/>
          <w:szCs w:val="32"/>
          <w:u w:val="none"/>
          <w:lang w:val="en-US" w:eastAsia="zh-CN"/>
        </w:rPr>
        <w:t>由县级以上负责城市市容环境卫生工作的主管部门或者其委托的单位，责令其限期处理或者予以没收，处五十元以上二百元以下罚款。</w:t>
      </w:r>
    </w:p>
    <w:p>
      <w:pPr>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i w:val="0"/>
          <w:iCs w:val="0"/>
          <w:color w:val="auto"/>
          <w:kern w:val="2"/>
          <w:sz w:val="32"/>
          <w:szCs w:val="32"/>
          <w:u w:val="none"/>
          <w:lang w:val="en-US" w:eastAsia="zh-CN"/>
        </w:rPr>
      </w:pPr>
      <w:r>
        <w:rPr>
          <w:rFonts w:hint="eastAsia" w:ascii="宋体" w:hAnsi="宋体" w:eastAsia="仿宋_GB2312" w:cs="仿宋_GB2312"/>
          <w:i w:val="0"/>
          <w:iCs w:val="0"/>
          <w:color w:val="auto"/>
          <w:kern w:val="2"/>
          <w:sz w:val="32"/>
          <w:szCs w:val="32"/>
          <w:u w:val="none"/>
          <w:lang w:val="en-US" w:eastAsia="zh-CN"/>
        </w:rPr>
        <w:t>违反本条例第二十三条第二款规定的，由公安机关或者政府指定的主管部门责令改正，处五十元以上二百元以下罚款。</w:t>
      </w:r>
    </w:p>
    <w:p>
      <w:pPr>
        <w:pStyle w:val="33"/>
        <w:widowControl w:val="0"/>
        <w:wordWrap/>
        <w:overflowPunct w:val="0"/>
        <w:spacing w:beforeAutospacing="0" w:afterAutospacing="0" w:line="560" w:lineRule="exact"/>
        <w:ind w:left="0" w:leftChars="0" w:firstLine="640" w:firstLineChars="20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黑体" w:cs="黑体"/>
          <w:color w:val="000000"/>
          <w:kern w:val="2"/>
          <w:sz w:val="32"/>
          <w:szCs w:val="32"/>
          <w:lang w:val="en-US" w:eastAsia="zh-CN" w:bidi="ar-SA"/>
        </w:rPr>
        <w:t xml:space="preserve">第六十八条 </w:t>
      </w:r>
      <w:r>
        <w:rPr>
          <w:rFonts w:hint="eastAsia" w:ascii="宋体" w:hAnsi="宋体" w:eastAsia="仿宋_GB2312" w:cs="仿宋_GB2312"/>
          <w:i w:val="0"/>
          <w:iCs w:val="0"/>
          <w:color w:val="000000"/>
          <w:sz w:val="32"/>
          <w:szCs w:val="32"/>
          <w:u w:val="none"/>
          <w:lang w:val="en-US" w:eastAsia="zh-CN"/>
        </w:rPr>
        <w:t xml:space="preserve"> 违反本条例第二十四条第一款规定，携带未免疫饲养动物外出的，由公安机关或者政府指定的主管部门责令改正，对单位处二千元以上五千元以下罚款，对个人处五百元以上一千元以下罚款。</w:t>
      </w:r>
    </w:p>
    <w:p>
      <w:pPr>
        <w:widowControl w:val="0"/>
        <w:wordWrap/>
        <w:overflowPunct w:val="0"/>
        <w:spacing w:beforeAutospacing="0" w:afterAutospacing="0" w:line="560" w:lineRule="exact"/>
        <w:ind w:firstLine="640" w:firstLineChars="200"/>
        <w:textAlignment w:val="auto"/>
        <w:outlineLvl w:val="9"/>
        <w:rPr>
          <w:rFonts w:hint="eastAsia" w:ascii="宋体" w:hAnsi="宋体" w:eastAsia="仿宋_GB2312" w:cs="仿宋_GB2312"/>
          <w:i w:val="0"/>
          <w:iCs w:val="0"/>
          <w:color w:val="auto"/>
          <w:sz w:val="32"/>
          <w:szCs w:val="32"/>
          <w:u w:val="none"/>
          <w:lang w:val="en-US" w:eastAsia="zh-CN"/>
        </w:rPr>
      </w:pPr>
      <w:r>
        <w:rPr>
          <w:rFonts w:hint="eastAsia" w:ascii="宋体" w:hAnsi="宋体" w:eastAsia="仿宋_GB2312" w:cs="仿宋_GB2312"/>
          <w:i w:val="0"/>
          <w:iCs w:val="0"/>
          <w:color w:val="auto"/>
          <w:sz w:val="32"/>
          <w:szCs w:val="32"/>
          <w:u w:val="none"/>
          <w:lang w:val="en-US" w:eastAsia="zh-CN"/>
        </w:rPr>
        <w:t>违反本条例第二十四条第二款规定，未即时清理动物的粪便等排泄物，污染市容环境卫生的，由县级以上负责城市市容环境卫生工作的主管部门或者政府指定的主管部门责令改正，清除污物，处五十元以上二百元以下罚款。除未即时清理动物的粪便等排泄物外，违反本条例第二十四条第二款规定的，由公安机关或者政府指定的主管部门责令改正，对单位处一千元以上二千元以下罚款，对个人处五十元以上二百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i w:val="0"/>
          <w:iCs w:val="0"/>
          <w:color w:val="000000"/>
          <w:sz w:val="32"/>
          <w:szCs w:val="32"/>
          <w:u w:val="none"/>
          <w:lang w:val="en-US" w:eastAsia="zh-CN"/>
        </w:rPr>
      </w:pPr>
      <w:r>
        <w:rPr>
          <w:rFonts w:hint="eastAsia" w:ascii="宋体" w:hAnsi="宋体" w:eastAsia="黑体" w:cs="黑体"/>
          <w:color w:val="000000"/>
          <w:kern w:val="2"/>
          <w:sz w:val="32"/>
          <w:szCs w:val="32"/>
          <w:lang w:val="en-US" w:eastAsia="zh-CN" w:bidi="ar-SA"/>
        </w:rPr>
        <w:t>第六十九条</w:t>
      </w:r>
      <w:r>
        <w:rPr>
          <w:rFonts w:hint="eastAsia" w:ascii="宋体" w:hAnsi="宋体" w:eastAsia="仿宋_GB2312" w:cs="仿宋_GB2312"/>
          <w:i w:val="0"/>
          <w:iCs w:val="0"/>
          <w:color w:val="000000"/>
          <w:sz w:val="32"/>
          <w:szCs w:val="32"/>
          <w:u w:val="none"/>
          <w:lang w:val="en-US" w:eastAsia="zh-CN"/>
        </w:rPr>
        <w:t xml:space="preserve">  违反本条例第四十二条规定的，由县级以上卫生健康主管部门或者政府指定的主管部门给予警告，限期改正；逾期不改的，对单位处五百元以上一千元以下罚款，对住户处</w:t>
      </w:r>
      <w:r>
        <w:rPr>
          <w:rFonts w:hint="eastAsia" w:ascii="宋体" w:hAnsi="宋体" w:eastAsia="仿宋_GB2312" w:cs="仿宋_GB2312"/>
          <w:i w:val="0"/>
          <w:iCs w:val="0"/>
          <w:color w:val="auto"/>
          <w:kern w:val="2"/>
          <w:sz w:val="32"/>
          <w:szCs w:val="32"/>
          <w:u w:val="none"/>
          <w:lang w:val="en-US" w:eastAsia="zh-CN"/>
        </w:rPr>
        <w:t>五十元以上</w:t>
      </w:r>
      <w:r>
        <w:rPr>
          <w:rFonts w:hint="eastAsia" w:ascii="宋体" w:hAnsi="宋体" w:eastAsia="仿宋_GB2312" w:cs="仿宋_GB2312"/>
          <w:i w:val="0"/>
          <w:iCs w:val="0"/>
          <w:color w:val="000000"/>
          <w:sz w:val="32"/>
          <w:szCs w:val="32"/>
          <w:u w:val="none"/>
          <w:lang w:val="en-US" w:eastAsia="zh-CN"/>
        </w:rPr>
        <w:t>一百元以下罚款。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第七十条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违反本条例第</w:t>
      </w:r>
      <w:r>
        <w:rPr>
          <w:rFonts w:hint="eastAsia" w:ascii="宋体" w:hAnsi="宋体" w:eastAsia="仿宋_GB2312" w:cs="仿宋_GB2312"/>
          <w:i w:val="0"/>
          <w:iCs w:val="0"/>
          <w:color w:val="000000"/>
          <w:sz w:val="32"/>
          <w:szCs w:val="32"/>
          <w:u w:val="none"/>
          <w:lang w:eastAsia="zh-CN"/>
        </w:rPr>
        <w:t>四十三</w:t>
      </w:r>
      <w:r>
        <w:rPr>
          <w:rFonts w:hint="eastAsia" w:ascii="宋体" w:hAnsi="宋体" w:eastAsia="仿宋_GB2312" w:cs="仿宋_GB2312"/>
          <w:color w:val="000000"/>
          <w:sz w:val="32"/>
          <w:szCs w:val="32"/>
        </w:rPr>
        <w:t>条</w:t>
      </w:r>
      <w:r>
        <w:rPr>
          <w:rFonts w:hint="eastAsia" w:ascii="宋体" w:hAnsi="宋体" w:eastAsia="仿宋_GB2312" w:cs="仿宋_GB2312"/>
          <w:color w:val="000000"/>
          <w:sz w:val="32"/>
          <w:szCs w:val="32"/>
          <w:lang w:eastAsia="zh-CN"/>
        </w:rPr>
        <w:t>、第四十四条</w:t>
      </w:r>
      <w:r>
        <w:rPr>
          <w:rFonts w:hint="eastAsia" w:ascii="宋体" w:hAnsi="宋体" w:eastAsia="仿宋_GB2312" w:cs="仿宋_GB2312"/>
          <w:color w:val="000000"/>
          <w:sz w:val="32"/>
          <w:szCs w:val="32"/>
        </w:rPr>
        <w:t>规定的，由县级以上卫生</w:t>
      </w:r>
      <w:r>
        <w:rPr>
          <w:rFonts w:hint="eastAsia" w:ascii="宋体" w:hAnsi="宋体" w:eastAsia="仿宋_GB2312" w:cs="仿宋_GB2312"/>
          <w:i w:val="0"/>
          <w:iCs w:val="0"/>
          <w:color w:val="000000"/>
          <w:sz w:val="32"/>
          <w:szCs w:val="32"/>
          <w:u w:val="none" w:color="auto"/>
          <w:lang w:eastAsia="zh-CN"/>
        </w:rPr>
        <w:t>健康主管</w:t>
      </w:r>
      <w:r>
        <w:rPr>
          <w:rFonts w:hint="eastAsia" w:ascii="宋体" w:hAnsi="宋体" w:eastAsia="仿宋_GB2312" w:cs="仿宋_GB2312"/>
          <w:color w:val="000000"/>
          <w:sz w:val="32"/>
          <w:szCs w:val="32"/>
        </w:rPr>
        <w:t>部门或者政府指定的</w:t>
      </w:r>
      <w:r>
        <w:rPr>
          <w:rFonts w:hint="eastAsia" w:ascii="宋体" w:hAnsi="宋体" w:eastAsia="仿宋_GB2312" w:cs="仿宋_GB2312"/>
          <w:i w:val="0"/>
          <w:iCs w:val="0"/>
          <w:color w:val="000000"/>
          <w:sz w:val="32"/>
          <w:szCs w:val="32"/>
          <w:u w:val="none" w:color="auto"/>
          <w:lang w:eastAsia="zh-CN"/>
        </w:rPr>
        <w:t>主管</w:t>
      </w:r>
      <w:r>
        <w:rPr>
          <w:rFonts w:hint="eastAsia" w:ascii="宋体" w:hAnsi="宋体" w:eastAsia="仿宋_GB2312" w:cs="仿宋_GB2312"/>
          <w:color w:val="000000"/>
          <w:sz w:val="32"/>
          <w:szCs w:val="32"/>
        </w:rPr>
        <w:t>部门责令</w:t>
      </w:r>
      <w:r>
        <w:rPr>
          <w:rFonts w:hint="eastAsia" w:ascii="宋体" w:hAnsi="宋体" w:eastAsia="仿宋_GB2312" w:cs="仿宋_GB2312"/>
          <w:color w:val="000000"/>
          <w:sz w:val="32"/>
          <w:szCs w:val="32"/>
          <w:lang w:eastAsia="zh-CN"/>
        </w:rPr>
        <w:t>限期</w:t>
      </w:r>
      <w:r>
        <w:rPr>
          <w:rFonts w:hint="eastAsia" w:ascii="宋体" w:hAnsi="宋体" w:eastAsia="仿宋_GB2312" w:cs="仿宋_GB2312"/>
          <w:color w:val="000000"/>
          <w:sz w:val="32"/>
          <w:szCs w:val="32"/>
        </w:rPr>
        <w:t>改正；逾期不改的，处一千元以上一万元以下罚款。</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 xml:space="preserve">第七十一条 </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各级人民政府、各级爱卫会及其成员单位，违反本条例规定未依法履行职责的，由其上级机关责令改正；情节严重或者造成严重后果的，由有关机关对主管人员和其他直接责任人员依法给予处分。</w:t>
      </w:r>
    </w:p>
    <w:p>
      <w:pPr>
        <w:pStyle w:val="33"/>
        <w:widowControl w:val="0"/>
        <w:wordWrap/>
        <w:overflowPunct w:val="0"/>
        <w:spacing w:beforeAutospacing="0" w:afterAutospacing="0" w:line="560" w:lineRule="exact"/>
        <w:textAlignment w:val="auto"/>
        <w:outlineLvl w:val="9"/>
        <w:rPr>
          <w:rFonts w:hint="eastAsia" w:ascii="宋体" w:hAnsi="宋体" w:eastAsia="仿宋_GB2312" w:cs="仿宋_GB2312"/>
          <w:color w:val="000000"/>
          <w:sz w:val="32"/>
          <w:szCs w:val="32"/>
          <w:lang w:eastAsia="zh-CN"/>
        </w:rPr>
      </w:pPr>
      <w:r>
        <w:rPr>
          <w:rFonts w:hint="eastAsia" w:ascii="宋体" w:hAnsi="宋体" w:eastAsia="黑体" w:cs="黑体"/>
          <w:color w:val="000000"/>
          <w:kern w:val="2"/>
          <w:sz w:val="32"/>
          <w:szCs w:val="32"/>
          <w:lang w:val="en-US" w:eastAsia="zh-CN" w:bidi="ar-SA"/>
        </w:rPr>
        <w:t>第七十二条</w:t>
      </w:r>
      <w:r>
        <w:rPr>
          <w:rFonts w:hint="eastAsia" w:ascii="宋体" w:hAnsi="宋体" w:eastAsia="仿宋_GB2312" w:cs="仿宋_GB2312"/>
          <w:i w:val="0"/>
          <w:iCs w:val="0"/>
          <w:color w:val="0C0C0C"/>
          <w:sz w:val="32"/>
          <w:szCs w:val="32"/>
          <w:u w:val="none" w:color="auto"/>
          <w:shd w:val="clear" w:color="auto" w:fill="auto"/>
          <w:lang w:val="en-US" w:eastAsia="zh-CN"/>
        </w:rPr>
        <w:t xml:space="preserve">  违反公共场所控制吸烟规定的法律责任，由</w:t>
      </w:r>
      <w:r>
        <w:rPr>
          <w:rFonts w:hint="eastAsia" w:ascii="宋体" w:hAnsi="宋体" w:eastAsia="仿宋_GB2312" w:cs="仿宋_GB2312"/>
          <w:color w:val="000000"/>
          <w:sz w:val="32"/>
          <w:szCs w:val="32"/>
          <w:lang w:val="en-US" w:eastAsia="zh-CN"/>
        </w:rPr>
        <w:t>地级以上</w:t>
      </w:r>
      <w:r>
        <w:rPr>
          <w:rFonts w:hint="eastAsia" w:ascii="宋体" w:hAnsi="宋体" w:eastAsia="仿宋_GB2312" w:cs="仿宋_GB2312"/>
          <w:color w:val="000000"/>
          <w:sz w:val="32"/>
          <w:szCs w:val="32"/>
          <w:lang w:eastAsia="zh-CN"/>
        </w:rPr>
        <w:t>市结合本地实际作出具体规定。</w:t>
      </w:r>
    </w:p>
    <w:p>
      <w:pPr>
        <w:pStyle w:val="33"/>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color w:val="00000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第十章  附则</w:t>
      </w:r>
    </w:p>
    <w:p>
      <w:pPr>
        <w:widowControl w:val="0"/>
        <w:wordWrap/>
        <w:overflowPunct w:val="0"/>
        <w:adjustRightInd/>
        <w:snapToGrid/>
        <w:spacing w:beforeAutospacing="0" w:afterAutospacing="0" w:line="560" w:lineRule="exact"/>
        <w:ind w:left="0" w:leftChars="0" w:right="0" w:firstLine="640"/>
        <w:textAlignment w:val="auto"/>
        <w:outlineLvl w:val="9"/>
        <w:rPr>
          <w:rFonts w:hint="eastAsia" w:ascii="宋体" w:hAnsi="宋体" w:eastAsia="仿宋_GB2312" w:cs="仿宋_GB2312"/>
          <w:color w:val="000000"/>
          <w:sz w:val="32"/>
          <w:szCs w:val="32"/>
        </w:rPr>
      </w:pPr>
    </w:p>
    <w:p>
      <w:pPr>
        <w:widowControl w:val="0"/>
        <w:wordWrap/>
        <w:overflowPunct w:val="0"/>
        <w:spacing w:beforeAutospacing="0" w:afterAutospacing="0" w:line="560" w:lineRule="exact"/>
        <w:ind w:firstLine="640"/>
        <w:textAlignment w:val="auto"/>
        <w:outlineLvl w:val="9"/>
        <w:rPr>
          <w:rFonts w:hint="eastAsia" w:ascii="宋体" w:hAnsi="宋体" w:eastAsia="仿宋_GB2312" w:cs="仿宋_GB2312"/>
          <w:color w:val="000000"/>
          <w:sz w:val="32"/>
          <w:szCs w:val="32"/>
        </w:rPr>
      </w:pPr>
      <w:r>
        <w:rPr>
          <w:rFonts w:hint="eastAsia" w:ascii="宋体" w:hAnsi="宋体" w:eastAsia="黑体" w:cs="黑体"/>
          <w:color w:val="000000"/>
          <w:kern w:val="2"/>
          <w:sz w:val="32"/>
          <w:szCs w:val="32"/>
          <w:lang w:val="en-US" w:eastAsia="zh-CN" w:bidi="ar-SA"/>
        </w:rPr>
        <w:t>第七十三条</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本条例自</w:t>
      </w:r>
      <w:r>
        <w:rPr>
          <w:rFonts w:hint="eastAsia" w:ascii="宋体" w:hAnsi="宋体" w:cs="仿宋_GB2312"/>
          <w:color w:val="000000"/>
          <w:sz w:val="32"/>
          <w:szCs w:val="32"/>
          <w:lang w:val="en-US" w:eastAsia="zh-CN"/>
        </w:rPr>
        <w:t>2019</w:t>
      </w:r>
      <w:r>
        <w:rPr>
          <w:rFonts w:hint="eastAsia" w:ascii="宋体" w:hAnsi="宋体" w:eastAsia="仿宋_GB2312" w:cs="仿宋_GB2312"/>
          <w:color w:val="000000"/>
          <w:sz w:val="32"/>
          <w:szCs w:val="32"/>
        </w:rPr>
        <w:t>年</w:t>
      </w:r>
      <w:r>
        <w:rPr>
          <w:rFonts w:hint="eastAsia" w:ascii="宋体" w:hAnsi="宋体" w:cs="仿宋_GB2312"/>
          <w:color w:val="000000"/>
          <w:sz w:val="32"/>
          <w:szCs w:val="32"/>
          <w:lang w:val="en-US" w:eastAsia="zh-CN"/>
        </w:rPr>
        <w:t>1</w:t>
      </w:r>
      <w:r>
        <w:rPr>
          <w:rFonts w:hint="eastAsia" w:ascii="宋体" w:hAnsi="宋体" w:eastAsia="仿宋_GB2312" w:cs="仿宋_GB2312"/>
          <w:color w:val="000000"/>
          <w:sz w:val="32"/>
          <w:szCs w:val="32"/>
        </w:rPr>
        <w:t>月</w:t>
      </w:r>
      <w:r>
        <w:rPr>
          <w:rFonts w:hint="eastAsia" w:ascii="宋体" w:hAnsi="宋体" w:cs="仿宋_GB2312"/>
          <w:color w:val="000000"/>
          <w:sz w:val="32"/>
          <w:szCs w:val="32"/>
          <w:lang w:val="en-US" w:eastAsia="zh-CN"/>
        </w:rPr>
        <w:t>1</w:t>
      </w:r>
      <w:r>
        <w:rPr>
          <w:rFonts w:hint="eastAsia" w:ascii="宋体" w:hAnsi="宋体" w:eastAsia="仿宋_GB2312" w:cs="仿宋_GB2312"/>
          <w:color w:val="000000"/>
          <w:sz w:val="32"/>
          <w:szCs w:val="32"/>
        </w:rPr>
        <w:t>日起施行。</w:t>
      </w:r>
    </w:p>
    <w:p>
      <w:pPr>
        <w:widowControl w:val="0"/>
        <w:wordWrap/>
        <w:overflowPunct w:val="0"/>
        <w:spacing w:beforeAutospacing="0" w:afterAutospacing="0" w:line="560" w:lineRule="exact"/>
        <w:textAlignment w:val="auto"/>
        <w:rPr>
          <w:rFonts w:hint="eastAsia" w:ascii="宋体" w:hAnsi="宋体" w:eastAsia="仿宋_GB2312" w:cs="Times New Roman"/>
          <w:sz w:val="32"/>
          <w:szCs w:val="32"/>
          <w:lang w:val="en-US" w:eastAsia="zh-CN"/>
        </w:rPr>
      </w:pPr>
    </w:p>
    <w:p>
      <w:pPr>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pStyle w:val="33"/>
        <w:widowControl w:val="0"/>
        <w:wordWrap/>
        <w:overflowPunct w:val="0"/>
        <w:spacing w:beforeAutospacing="0" w:afterAutospacing="0" w:line="560" w:lineRule="exact"/>
        <w:textAlignment w:val="auto"/>
        <w:rPr>
          <w:rFonts w:hint="eastAsia" w:ascii="宋体" w:hAnsi="宋体" w:eastAsia="仿宋_GB2312" w:cs="仿宋_GB2312"/>
          <w:b w:val="0"/>
          <w:bCs/>
          <w:sz w:val="32"/>
          <w:szCs w:val="32"/>
          <w:lang w:eastAsia="zh-CN"/>
        </w:rPr>
      </w:pPr>
    </w:p>
    <w:p>
      <w:pPr>
        <w:widowControl w:val="0"/>
        <w:wordWrap/>
        <w:overflowPunct w:val="0"/>
        <w:adjustRightInd/>
        <w:snapToGrid w:val="0"/>
        <w:spacing w:beforeAutospacing="0" w:afterAutospacing="0" w:line="560" w:lineRule="exact"/>
        <w:ind w:right="0"/>
        <w:jc w:val="center"/>
        <w:textAlignment w:val="auto"/>
        <w:outlineLvl w:val="9"/>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bCs w:val="0"/>
          <w:sz w:val="32"/>
          <w:szCs w:val="32"/>
        </w:rPr>
      </w:pP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r>
        <w:rPr>
          <w:rFonts w:hint="eastAsia" w:ascii="宋体" w:hAnsi="宋体" w:eastAsia="宋体" w:cs="宋体"/>
          <w:bCs/>
          <w:color w:val="000000"/>
          <w:kern w:val="2"/>
          <w:sz w:val="32"/>
          <w:szCs w:val="32"/>
          <w:lang w:val="en-US" w:eastAsia="zh-CN" w:bidi="ar-SA"/>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lang w:val="en-US" w:eastAsia="zh-CN"/>
        </w:rPr>
      </w:pPr>
      <w:bookmarkStart w:id="438" w:name="_Toc17700"/>
      <w:r>
        <w:rPr>
          <w:rFonts w:hint="eastAsia" w:ascii="宋体" w:hAnsi="宋体" w:eastAsia="宋体" w:cs="宋体"/>
          <w:color w:val="000000"/>
          <w:sz w:val="44"/>
          <w:szCs w:val="44"/>
          <w:lang w:val="en-US" w:eastAsia="zh-CN"/>
        </w:rPr>
        <w:t>广东省医疗废物管理条例</w:t>
      </w:r>
      <w:bookmarkEnd w:id="438"/>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bCs/>
          <w:color w:val="000000"/>
          <w:kern w:val="2"/>
          <w:sz w:val="32"/>
          <w:szCs w:val="32"/>
          <w:lang w:val="en-US" w:eastAsia="zh-CN" w:bidi="ar-SA"/>
        </w:rPr>
      </w:pPr>
    </w:p>
    <w:p>
      <w:pPr>
        <w:pStyle w:val="35"/>
        <w:widowControl w:val="0"/>
        <w:wordWrap/>
        <w:overflowPunct w:val="0"/>
        <w:adjustRightInd w:val="0"/>
        <w:snapToGrid w:val="0"/>
        <w:spacing w:beforeAutospacing="0" w:afterAutospacing="0" w:line="560" w:lineRule="exact"/>
        <w:ind w:right="640" w:rightChars="200"/>
        <w:jc w:val="both"/>
        <w:textAlignment w:val="auto"/>
        <w:outlineLvl w:val="9"/>
        <w:rPr>
          <w:rFonts w:hint="eastAsia" w:ascii="宋体" w:hAnsi="宋体" w:eastAsia="楷体_GB2312"/>
          <w:bCs/>
          <w:sz w:val="32"/>
          <w:szCs w:val="32"/>
        </w:rPr>
      </w:pPr>
      <w:r>
        <w:rPr>
          <w:rFonts w:hint="eastAsia" w:ascii="宋体" w:hAnsi="宋体" w:eastAsia="楷体_GB2312"/>
          <w:bCs/>
          <w:sz w:val="32"/>
          <w:szCs w:val="32"/>
        </w:rPr>
        <w:t>（2007年5月31日广东省第十届人民代表大会常务委员会第三十二次会议通过  2007年5月31日公布  自2007年7月1日起施行）</w:t>
      </w: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sz w:val="32"/>
          <w:szCs w:val="32"/>
        </w:rPr>
      </w:pP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r>
        <w:rPr>
          <w:rFonts w:hint="eastAsia" w:ascii="宋体" w:hAnsi="宋体" w:eastAsia="楷体_GB2312"/>
          <w:bCs/>
          <w:sz w:val="32"/>
          <w:szCs w:val="32"/>
        </w:rPr>
        <w:t>目    录</w:t>
      </w:r>
    </w:p>
    <w:p>
      <w:pPr>
        <w:pStyle w:val="35"/>
        <w:widowControl w:val="0"/>
        <w:wordWrap/>
        <w:overflowPunct w:val="0"/>
        <w:adjustRightInd w:val="0"/>
        <w:snapToGrid w:val="0"/>
        <w:spacing w:beforeAutospacing="0" w:afterAutospacing="0" w:line="560" w:lineRule="exact"/>
        <w:ind w:right="640" w:rightChars="200"/>
        <w:jc w:val="left"/>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第二章  一般规定</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第三章  收集和暂时贮存</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第四章  集中处置</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第五章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第六章  附则</w:t>
      </w:r>
    </w:p>
    <w:p>
      <w:pPr>
        <w:widowControl w:val="0"/>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sz w:val="32"/>
          <w:szCs w:val="32"/>
        </w:rPr>
      </w:pPr>
    </w:p>
    <w:p>
      <w:pPr>
        <w:widowControl w:val="0"/>
        <w:numPr>
          <w:ilvl w:val="0"/>
          <w:numId w:val="0"/>
        </w:numPr>
        <w:wordWrap/>
        <w:overflowPunct w:val="0"/>
        <w:adjustRightInd w:val="0"/>
        <w:snapToGrid w:val="0"/>
        <w:spacing w:beforeAutospacing="0" w:afterAutospacing="0" w:line="560" w:lineRule="exact"/>
        <w:jc w:val="center"/>
        <w:textAlignment w:val="auto"/>
        <w:outlineLvl w:val="9"/>
        <w:rPr>
          <w:rFonts w:hint="eastAsia" w:ascii="宋体" w:hAnsi="宋体" w:eastAsia="宋体" w:cs="宋体"/>
          <w:kern w:val="0"/>
          <w:sz w:val="32"/>
          <w:szCs w:val="32"/>
          <w:lang w:val="zh-CN"/>
        </w:rPr>
      </w:pPr>
      <w:r>
        <w:rPr>
          <w:rFonts w:hint="eastAsia" w:ascii="宋体" w:hAnsi="宋体" w:eastAsia="黑体" w:cs="黑体"/>
          <w:kern w:val="0"/>
          <w:sz w:val="32"/>
          <w:szCs w:val="32"/>
          <w:lang w:val="zh-CN"/>
        </w:rPr>
        <w:t>第一章　总则</w:t>
      </w:r>
    </w:p>
    <w:p>
      <w:pPr>
        <w:widowControl w:val="0"/>
        <w:numPr>
          <w:ilvl w:val="0"/>
          <w:numId w:val="0"/>
        </w:numPr>
        <w:wordWrap/>
        <w:overflowPunct w:val="0"/>
        <w:adjustRightInd w:val="0"/>
        <w:snapToGrid w:val="0"/>
        <w:spacing w:beforeAutospacing="0" w:afterAutospacing="0" w:line="560" w:lineRule="exact"/>
        <w:jc w:val="both"/>
        <w:textAlignment w:val="auto"/>
        <w:outlineLvl w:val="9"/>
        <w:rPr>
          <w:rFonts w:hint="eastAsia" w:ascii="宋体" w:hAnsi="宋体" w:eastAsia="宋体" w:cs="宋体"/>
          <w:kern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第一条</w:t>
      </w:r>
      <w:r>
        <w:rPr>
          <w:rFonts w:hint="eastAsia" w:ascii="宋体" w:hAnsi="宋体" w:eastAsia="仿宋_GB2312" w:cs="仿宋_GB2312"/>
          <w:b w:val="0"/>
          <w:bCs w:val="0"/>
          <w:sz w:val="32"/>
          <w:szCs w:val="32"/>
        </w:rPr>
        <w:t xml:space="preserve">  为加强医疗废物管理，防止疾病传播，保护环境，保障人体健康，根据有关法律法规，结合本省实际，制定本条例。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第二条</w:t>
      </w:r>
      <w:r>
        <w:rPr>
          <w:rFonts w:hint="eastAsia" w:ascii="宋体" w:hAnsi="宋体" w:eastAsia="仿宋_GB2312" w:cs="仿宋_GB2312"/>
          <w:b w:val="0"/>
          <w:bCs w:val="0"/>
          <w:sz w:val="32"/>
          <w:szCs w:val="32"/>
        </w:rPr>
        <w:t xml:space="preserve">  本条例所称医疗废物，是指医疗卫生机构在医疗、预防、保健以及其他相关活动中产生的具有直接或者间接感染性、毒性以及其他危害性的废物。</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医疗废物分类按国家有关规定执行。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第三条</w:t>
      </w:r>
      <w:r>
        <w:rPr>
          <w:rFonts w:hint="eastAsia" w:ascii="宋体" w:hAnsi="宋体" w:eastAsia="仿宋_GB2312" w:cs="仿宋_GB2312"/>
          <w:b w:val="0"/>
          <w:bCs w:val="0"/>
          <w:sz w:val="32"/>
          <w:szCs w:val="32"/>
        </w:rPr>
        <w:t xml:space="preserve">  本省行政区域内医疗废物的收集、运送、贮存、处置以及监督管理等活动，适用本条例。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第四条</w:t>
      </w:r>
      <w:r>
        <w:rPr>
          <w:rFonts w:hint="eastAsia" w:ascii="宋体" w:hAnsi="宋体" w:eastAsia="仿宋_GB2312" w:cs="仿宋_GB2312"/>
          <w:b w:val="0"/>
          <w:bCs w:val="0"/>
          <w:sz w:val="32"/>
          <w:szCs w:val="32"/>
        </w:rPr>
        <w:t xml:space="preserve">  县级以上人民政府应当把防治医疗废物污染工作纳入国民经济和社会发展规划，并采取有利于防治医疗废物污染的经济、技术政策和措施，推行医疗废物集中无害化处置。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第五条</w:t>
      </w:r>
      <w:r>
        <w:rPr>
          <w:rFonts w:hint="eastAsia" w:ascii="宋体" w:hAnsi="宋体" w:eastAsia="仿宋_GB2312" w:cs="仿宋_GB2312"/>
          <w:b w:val="0"/>
          <w:bCs w:val="0"/>
          <w:sz w:val="32"/>
          <w:szCs w:val="32"/>
        </w:rPr>
        <w:t xml:space="preserve">  县级以上人民政府卫生行政主管部门对医疗废物收集、运送、贮存、处置活动中的疾病防治工作实施统一监督管理。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县级以上人民政府环境保护行政主管部门对医疗废物收集、运送、贮存、处置活动中的环境污染防治工作实施统一监督管理。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县级以上人民政府其他有关部门在各自的职责范围内负责与医疗废物处置有关的监督管理工作。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第六条</w:t>
      </w:r>
      <w:r>
        <w:rPr>
          <w:rFonts w:hint="eastAsia" w:ascii="宋体" w:hAnsi="宋体" w:eastAsia="仿宋_GB2312" w:cs="仿宋_GB2312"/>
          <w:b w:val="0"/>
          <w:bCs w:val="0"/>
          <w:sz w:val="32"/>
          <w:szCs w:val="32"/>
        </w:rPr>
        <w:t xml:space="preserve">  县级以上人民政府卫生行政主管部门、环境保护行政主管部门应当按职责分工，对医疗卫生机构和医疗废物集中处置单位从事医疗废物集中处置活动的疾病防治和环境污染防治工作进行定期监督检查或不定期抽查，发现存在隐患时应当责令其立即消除。</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第二章　一般规定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第七条</w:t>
      </w:r>
      <w:r>
        <w:rPr>
          <w:rFonts w:hint="eastAsia" w:ascii="宋体" w:hAnsi="宋体" w:eastAsia="仿宋_GB2312" w:cs="仿宋_GB2312"/>
          <w:b w:val="0"/>
          <w:bCs w:val="0"/>
          <w:sz w:val="32"/>
          <w:szCs w:val="32"/>
        </w:rPr>
        <w:t xml:space="preserve">  医疗卫生机构和医疗废物集中处置单位，应当依法设置负责监控医疗废物安全处置工作的部门或者配备专（兼）职人员，</w:t>
      </w:r>
      <w:r>
        <w:rPr>
          <w:rFonts w:hint="eastAsia" w:ascii="宋体" w:hAnsi="宋体" w:eastAsia="仿宋_GB2312" w:cs="仿宋_GB2312"/>
          <w:b w:val="0"/>
          <w:bCs w:val="0"/>
          <w:sz w:val="32"/>
          <w:szCs w:val="32"/>
          <w:lang w:val="zh-CN"/>
        </w:rPr>
        <w:t>负责检查、督促、落实本单位医疗废物的管理工作。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第八条</w:t>
      </w:r>
      <w:r>
        <w:rPr>
          <w:rFonts w:hint="eastAsia" w:ascii="宋体" w:hAnsi="宋体" w:eastAsia="仿宋_GB2312" w:cs="仿宋_GB2312"/>
          <w:b w:val="0"/>
          <w:bCs w:val="0"/>
          <w:sz w:val="32"/>
          <w:szCs w:val="32"/>
        </w:rPr>
        <w:t xml:space="preserve">  医疗卫生机构和医疗废物集中处置单位应当落实医疗废物管理责任制，制定下列医疗废物管理制度：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（一）</w:t>
      </w:r>
      <w:r>
        <w:rPr>
          <w:rFonts w:hint="eastAsia" w:ascii="宋体" w:hAnsi="宋体" w:eastAsia="仿宋_GB2312" w:cs="仿宋_GB2312"/>
          <w:b w:val="0"/>
          <w:bCs w:val="0"/>
          <w:sz w:val="32"/>
          <w:szCs w:val="32"/>
        </w:rPr>
        <w:t>对工作人员和管理人员定期进行相关法律和专业技术、安全防护及紧急处理等知识培训制度;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（二）</w:t>
      </w:r>
      <w:r>
        <w:rPr>
          <w:rFonts w:hint="eastAsia" w:ascii="宋体" w:hAnsi="宋体" w:eastAsia="仿宋_GB2312" w:cs="仿宋_GB2312"/>
          <w:b w:val="0"/>
          <w:bCs w:val="0"/>
          <w:sz w:val="32"/>
          <w:szCs w:val="32"/>
        </w:rPr>
        <w:t>工作人员职业安全防护制度；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（三）</w:t>
      </w:r>
      <w:r>
        <w:rPr>
          <w:rFonts w:hint="eastAsia" w:ascii="宋体" w:hAnsi="宋体" w:eastAsia="仿宋_GB2312" w:cs="仿宋_GB2312"/>
          <w:b w:val="0"/>
          <w:bCs w:val="0"/>
          <w:sz w:val="32"/>
          <w:szCs w:val="32"/>
        </w:rPr>
        <w:t>分类收集、进行特殊处置制度；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（四）</w:t>
      </w:r>
      <w:r>
        <w:rPr>
          <w:rFonts w:hint="eastAsia" w:ascii="宋体" w:hAnsi="宋体" w:eastAsia="仿宋_GB2312" w:cs="仿宋_GB2312"/>
          <w:b w:val="0"/>
          <w:bCs w:val="0"/>
          <w:sz w:val="32"/>
          <w:szCs w:val="32"/>
        </w:rPr>
        <w:t>收集时间、内部和外部运送路线、贮存地点等制度；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（五）</w:t>
      </w:r>
      <w:r>
        <w:rPr>
          <w:rFonts w:hint="eastAsia" w:ascii="宋体" w:hAnsi="宋体" w:eastAsia="仿宋_GB2312" w:cs="仿宋_GB2312"/>
          <w:b w:val="0"/>
          <w:bCs w:val="0"/>
          <w:sz w:val="32"/>
          <w:szCs w:val="32"/>
        </w:rPr>
        <w:t>产生地点、暂时贮存地点管理制度；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（六）</w:t>
      </w:r>
      <w:r>
        <w:rPr>
          <w:rFonts w:hint="eastAsia" w:ascii="宋体" w:hAnsi="宋体" w:eastAsia="仿宋_GB2312" w:cs="仿宋_GB2312"/>
          <w:b w:val="0"/>
          <w:bCs w:val="0"/>
          <w:sz w:val="32"/>
          <w:szCs w:val="32"/>
        </w:rPr>
        <w:t>内部和外部交接、转移管理制度；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（七）</w:t>
      </w:r>
      <w:r>
        <w:rPr>
          <w:rFonts w:hint="eastAsia" w:ascii="宋体" w:hAnsi="宋体" w:eastAsia="仿宋_GB2312" w:cs="仿宋_GB2312"/>
          <w:b w:val="0"/>
          <w:bCs w:val="0"/>
          <w:sz w:val="32"/>
          <w:szCs w:val="32"/>
        </w:rPr>
        <w:t>设施、设备、运输工具达到卫生、环境保护要求保障制度；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（八）</w:t>
      </w:r>
      <w:r>
        <w:rPr>
          <w:rFonts w:hint="eastAsia" w:ascii="宋体" w:hAnsi="宋体" w:eastAsia="仿宋_GB2312" w:cs="仿宋_GB2312"/>
          <w:b w:val="0"/>
          <w:bCs w:val="0"/>
          <w:sz w:val="32"/>
          <w:szCs w:val="32"/>
        </w:rPr>
        <w:t>防止流失、泄漏、扩散制度和发生意外事故的应急处理方案；</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（九）</w:t>
      </w:r>
      <w:r>
        <w:rPr>
          <w:rFonts w:hint="eastAsia" w:ascii="宋体" w:hAnsi="宋体" w:eastAsia="仿宋_GB2312" w:cs="仿宋_GB2312"/>
          <w:b w:val="0"/>
          <w:bCs w:val="0"/>
          <w:sz w:val="32"/>
          <w:szCs w:val="32"/>
        </w:rPr>
        <w:t>登记、评价、监测资料档案管理制度；</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（十）</w:t>
      </w:r>
      <w:r>
        <w:rPr>
          <w:rFonts w:hint="eastAsia" w:ascii="宋体" w:hAnsi="宋体" w:eastAsia="仿宋_GB2312" w:cs="仿宋_GB2312"/>
          <w:b w:val="0"/>
          <w:bCs w:val="0"/>
          <w:sz w:val="32"/>
          <w:szCs w:val="32"/>
        </w:rPr>
        <w:t>依法应当制定的其他管理制度。</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医疗卫生机构和医疗废物集中处置单位制定的医疗废物管理制度应当报所在地县级人民政府卫生行政主管部门和环境保护行政主管部门备案。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第九条</w:t>
      </w:r>
      <w:r>
        <w:rPr>
          <w:rFonts w:hint="eastAsia" w:ascii="宋体" w:hAnsi="宋体" w:eastAsia="仿宋_GB2312" w:cs="仿宋_GB2312"/>
          <w:b w:val="0"/>
          <w:bCs w:val="0"/>
          <w:sz w:val="32"/>
          <w:szCs w:val="32"/>
        </w:rPr>
        <w:t xml:space="preserve">  医疗卫生机构和医疗废物集中处置单位应当为从事医疗废物收集、运送、贮存、处置等工作的人员和管理人员配备必要的防护用品，每年组织一次健康检查，其中对直接接触医疗废物人员每半年组织一次；必要时对有关人员进行免疫接种，</w:t>
      </w:r>
      <w:r>
        <w:rPr>
          <w:rFonts w:hint="eastAsia" w:ascii="宋体" w:hAnsi="宋体" w:eastAsia="仿宋_GB2312" w:cs="仿宋_GB2312"/>
          <w:b w:val="0"/>
          <w:bCs w:val="0"/>
          <w:sz w:val="32"/>
          <w:szCs w:val="32"/>
          <w:lang w:val="zh-CN"/>
        </w:rPr>
        <w:t>防止其健康受到损害</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第十条</w:t>
      </w:r>
      <w:r>
        <w:rPr>
          <w:rFonts w:hint="eastAsia" w:ascii="宋体" w:hAnsi="宋体" w:eastAsia="仿宋_GB2312" w:cs="仿宋_GB2312"/>
          <w:b w:val="0"/>
          <w:bCs w:val="0"/>
          <w:sz w:val="32"/>
          <w:szCs w:val="32"/>
        </w:rPr>
        <w:t xml:space="preserve">  医疗卫生机构和医疗废物集中处置单位应当采取有效措施，保证本单位有关医疗废物收集、暂存、运送、处置的监管、登记、交接工作符合国家有关危险废物转移联单管理规定。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 xml:space="preserve">第十一条 </w:t>
      </w:r>
      <w:r>
        <w:rPr>
          <w:rFonts w:hint="eastAsia" w:ascii="宋体" w:hAnsi="宋体" w:eastAsia="仿宋_GB2312" w:cs="仿宋_GB2312"/>
          <w:b w:val="0"/>
          <w:bCs w:val="0"/>
          <w:sz w:val="32"/>
          <w:szCs w:val="32"/>
        </w:rPr>
        <w:t xml:space="preserve"> 有下列情形之一的，属于医疗废物流失、泄漏、扩散：</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（一）</w:t>
      </w:r>
      <w:r>
        <w:rPr>
          <w:rFonts w:hint="eastAsia" w:ascii="宋体" w:hAnsi="宋体" w:eastAsia="仿宋_GB2312" w:cs="仿宋_GB2312"/>
          <w:b w:val="0"/>
          <w:bCs w:val="0"/>
          <w:sz w:val="32"/>
          <w:szCs w:val="32"/>
        </w:rPr>
        <w:t>未使用专用容器、包装物，贮存的医疗废物裸露的；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（二）</w:t>
      </w:r>
      <w:r>
        <w:rPr>
          <w:rFonts w:hint="eastAsia" w:ascii="宋体" w:hAnsi="宋体" w:eastAsia="仿宋_GB2312" w:cs="仿宋_GB2312"/>
          <w:b w:val="0"/>
          <w:bCs w:val="0"/>
          <w:sz w:val="32"/>
          <w:szCs w:val="32"/>
        </w:rPr>
        <w:t>丢失医疗废物的；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（三）</w:t>
      </w:r>
      <w:r>
        <w:rPr>
          <w:rFonts w:hint="eastAsia" w:ascii="宋体" w:hAnsi="宋体" w:eastAsia="仿宋_GB2312" w:cs="仿宋_GB2312"/>
          <w:b w:val="0"/>
          <w:bCs w:val="0"/>
          <w:sz w:val="32"/>
          <w:szCs w:val="32"/>
        </w:rPr>
        <w:t>将医疗废物作为生活垃圾处理，或者交给医疗废物集中处置单位以外的单位和个人处理的；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（四）</w:t>
      </w:r>
      <w:r>
        <w:rPr>
          <w:rFonts w:hint="eastAsia" w:ascii="宋体" w:hAnsi="宋体" w:eastAsia="仿宋_GB2312" w:cs="仿宋_GB2312"/>
          <w:b w:val="0"/>
          <w:bCs w:val="0"/>
          <w:sz w:val="32"/>
          <w:szCs w:val="32"/>
        </w:rPr>
        <w:t>运送中发生意外情况，导致医疗废物溢出、散落的；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（五）</w:t>
      </w:r>
      <w:r>
        <w:rPr>
          <w:rFonts w:hint="eastAsia" w:ascii="宋体" w:hAnsi="宋体" w:eastAsia="仿宋_GB2312" w:cs="仿宋_GB2312"/>
          <w:b w:val="0"/>
          <w:bCs w:val="0"/>
          <w:sz w:val="32"/>
          <w:szCs w:val="32"/>
        </w:rPr>
        <w:t>在医疗废物集中处置地点外抛弃、填埋医疗废物的；</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（六）</w:t>
      </w:r>
      <w:r>
        <w:rPr>
          <w:rFonts w:hint="eastAsia" w:ascii="宋体" w:hAnsi="宋体" w:eastAsia="仿宋_GB2312" w:cs="仿宋_GB2312"/>
          <w:b w:val="0"/>
          <w:bCs w:val="0"/>
          <w:sz w:val="32"/>
          <w:szCs w:val="32"/>
        </w:rPr>
        <w:t>造成医疗废物流失、泄漏、扩散的其他情形。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第十二条</w:t>
      </w:r>
      <w:r>
        <w:rPr>
          <w:rFonts w:hint="eastAsia" w:ascii="宋体" w:hAnsi="宋体" w:eastAsia="仿宋_GB2312" w:cs="仿宋_GB2312"/>
          <w:b/>
          <w:sz w:val="32"/>
          <w:szCs w:val="32"/>
        </w:rPr>
        <w:t xml:space="preserve"> </w:t>
      </w:r>
      <w:r>
        <w:rPr>
          <w:rFonts w:hint="eastAsia" w:ascii="宋体" w:hAnsi="宋体" w:eastAsia="仿宋_GB2312" w:cs="仿宋_GB2312"/>
          <w:sz w:val="32"/>
          <w:szCs w:val="32"/>
        </w:rPr>
        <w:t xml:space="preserve"> </w:t>
      </w:r>
      <w:r>
        <w:rPr>
          <w:rFonts w:hint="eastAsia" w:ascii="宋体" w:hAnsi="宋体" w:eastAsia="仿宋_GB2312" w:cs="仿宋_GB2312"/>
          <w:b w:val="0"/>
          <w:bCs w:val="0"/>
          <w:sz w:val="32"/>
          <w:szCs w:val="32"/>
        </w:rPr>
        <w:t>医疗卫生机构和医疗废物集中处置单位应当采取有效措施，防止医疗废物流失、泄漏、扩散。发生医疗废物流失、泄漏、扩散时，医疗卫生机构和医疗废物集中处置单位应当立即采取紧急处理措施，对致病人员提供医疗救护和现场救援，同时向其所在地的县级人民政府卫生行政主管部门、环境保护行政主管部门报告，并且向可能受到危害的单位和居民通报；有进一步扩散危险的，应当及时向所在地县级人民政府和上一级主管部门报告，由所在地人民政府决定向社会发布警示公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第十三条</w:t>
      </w:r>
      <w:r>
        <w:rPr>
          <w:rFonts w:hint="eastAsia" w:ascii="宋体" w:hAnsi="宋体" w:eastAsia="仿宋_GB2312" w:cs="仿宋_GB2312"/>
          <w:b w:val="0"/>
          <w:bCs w:val="0"/>
          <w:sz w:val="32"/>
          <w:szCs w:val="32"/>
        </w:rPr>
        <w:t xml:space="preserve">  运送医疗废物应当使用防渗漏、防遗撒、无锐利边角、易于装卸和清洁的专用密闭式运送工具。运送工具须有明显的医疗废物警示性标志，使用后应当及时进行清洁和消毒。</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医疗废物的运送工具不得运送其他物品。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第十四条</w:t>
      </w:r>
      <w:r>
        <w:rPr>
          <w:rFonts w:hint="eastAsia" w:ascii="宋体" w:hAnsi="宋体" w:eastAsia="仿宋_GB2312" w:cs="仿宋_GB2312"/>
          <w:b w:val="0"/>
          <w:bCs w:val="0"/>
          <w:sz w:val="32"/>
          <w:szCs w:val="32"/>
        </w:rPr>
        <w:t xml:space="preserve">  运送医疗废物发生意外情况，导致医疗废物流失、泄漏、扩散的，运送人员必须立即向所在单位报告，所在单位接到报告后应当立即向当地政府、卫生行政主管部门、环境保护行政主管部门和公安部门报告；当地政府应当立即组织上述有关部门到达现场，按照下列分工采取应急处理措施：</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（一）</w:t>
      </w:r>
      <w:r>
        <w:rPr>
          <w:rFonts w:hint="eastAsia" w:ascii="宋体" w:hAnsi="宋体" w:eastAsia="仿宋_GB2312" w:cs="仿宋_GB2312"/>
          <w:b w:val="0"/>
          <w:bCs w:val="0"/>
          <w:sz w:val="32"/>
          <w:szCs w:val="32"/>
        </w:rPr>
        <w:t>公安部门负责疏散人群，并且在受污染地段设立隔离区，防止处理事故以外的车辆和人员接近；</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（二）</w:t>
      </w:r>
      <w:r>
        <w:rPr>
          <w:rFonts w:hint="eastAsia" w:ascii="宋体" w:hAnsi="宋体" w:eastAsia="仿宋_GB2312" w:cs="仿宋_GB2312"/>
          <w:b w:val="0"/>
          <w:bCs w:val="0"/>
          <w:sz w:val="32"/>
          <w:szCs w:val="32"/>
        </w:rPr>
        <w:t>卫生行政主管部门负责组织、监督对溢出、散落的医疗废物和被污染的现场进行消毒、清洁处理，对受到损伤、污染的人员实施救治；</w:t>
      </w: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cs="仿宋_GB2312"/>
          <w:b w:val="0"/>
          <w:bCs w:val="0"/>
          <w:sz w:val="32"/>
          <w:szCs w:val="32"/>
        </w:rPr>
      </w:pPr>
      <w:r>
        <w:rPr>
          <w:rFonts w:hint="eastAsia" w:ascii="宋体" w:hAnsi="宋体" w:cs="仿宋_GB2312"/>
          <w:b w:val="0"/>
          <w:bCs w:val="0"/>
          <w:sz w:val="32"/>
          <w:szCs w:val="32"/>
          <w:lang w:val="en-US" w:eastAsia="zh-CN"/>
        </w:rPr>
        <w:t xml:space="preserve">    （三）</w:t>
      </w:r>
      <w:r>
        <w:rPr>
          <w:rFonts w:hint="eastAsia" w:ascii="宋体" w:hAnsi="宋体" w:eastAsia="仿宋_GB2312" w:cs="仿宋_GB2312"/>
          <w:b w:val="0"/>
          <w:bCs w:val="0"/>
          <w:sz w:val="32"/>
          <w:szCs w:val="32"/>
        </w:rPr>
        <w:t>环境保护行政主管部门负责监督对溢出、散落的医疗废物进行消毒后的全面收集、清理和安全处置，消除对环境的影响。</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第三章　收集和暂时贮存</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第十五条</w:t>
      </w:r>
      <w:r>
        <w:rPr>
          <w:rFonts w:hint="eastAsia" w:ascii="宋体" w:hAnsi="宋体" w:eastAsia="仿宋_GB2312" w:cs="仿宋_GB2312"/>
          <w:b w:val="0"/>
          <w:bCs w:val="0"/>
          <w:sz w:val="32"/>
          <w:szCs w:val="32"/>
        </w:rPr>
        <w:t xml:space="preserve">  医疗卫生机构应当按照感染性废物、病理性废物、损伤性废物、药物性废物、化学性废物分类收集、暂时贮存和运送本单位产生的医疗废物。</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禁止将医疗废物与其他废物、生活垃圾混装。医疗废物与其他废物混装的，应当按医疗废物处理。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第十六条</w:t>
      </w:r>
      <w:r>
        <w:rPr>
          <w:rFonts w:hint="eastAsia" w:ascii="宋体" w:hAnsi="宋体" w:eastAsia="仿宋_GB2312" w:cs="仿宋_GB2312"/>
          <w:b w:val="0"/>
          <w:bCs w:val="0"/>
          <w:sz w:val="32"/>
          <w:szCs w:val="32"/>
        </w:rPr>
        <w:t xml:space="preserve">  使用后的一次性医疗用品及一次性医疗器械按照国家有关规定收集、登记后，交医疗废物集中处置单位处理。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第十七条</w:t>
      </w:r>
      <w:r>
        <w:rPr>
          <w:rFonts w:hint="eastAsia" w:ascii="宋体" w:hAnsi="宋体" w:eastAsia="仿宋_GB2312" w:cs="仿宋_GB2312"/>
          <w:b w:val="0"/>
          <w:bCs w:val="0"/>
          <w:sz w:val="32"/>
          <w:szCs w:val="32"/>
        </w:rPr>
        <w:t xml:space="preserve">  输液瓶使用后被病人血液、体液、排泄物污染的，按医疗废物处理；未被病人血液、体液、排泄物污染的，回收利用时不得用于原用途。</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输液瓶回收利用的管理办法由省卫生行政主管部门会同省环境保护行政主管部门制定。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第十八条</w:t>
      </w:r>
      <w:r>
        <w:rPr>
          <w:rFonts w:hint="eastAsia" w:ascii="宋体" w:hAnsi="宋体" w:eastAsia="仿宋_GB2312" w:cs="仿宋_GB2312"/>
          <w:b w:val="0"/>
          <w:bCs w:val="0"/>
          <w:sz w:val="32"/>
          <w:szCs w:val="32"/>
        </w:rPr>
        <w:t xml:space="preserve">  医疗卫生机构对可能造成传染病传播的产妇胎盘，按照医疗废物进行处置并告知产妇。</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第十九条</w:t>
      </w:r>
      <w:r>
        <w:rPr>
          <w:rFonts w:hint="eastAsia" w:ascii="宋体" w:hAnsi="宋体" w:eastAsia="仿宋_GB2312" w:cs="仿宋_GB2312"/>
          <w:b w:val="0"/>
          <w:bCs w:val="0"/>
          <w:sz w:val="32"/>
          <w:szCs w:val="32"/>
        </w:rPr>
        <w:t xml:space="preserve">  医疗卫生机构应当对病原体的培养基、标本和菌种、毒种保存液等高危险医疗废物就地进行压力蒸汽灭菌或者化学消毒，然后按感染性废物收集处理。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第二十条</w:t>
      </w:r>
      <w:r>
        <w:rPr>
          <w:rFonts w:hint="eastAsia" w:ascii="宋体" w:hAnsi="宋体" w:eastAsia="仿宋_GB2312" w:cs="仿宋_GB2312"/>
          <w:b w:val="0"/>
          <w:bCs w:val="0"/>
          <w:sz w:val="32"/>
          <w:szCs w:val="32"/>
        </w:rPr>
        <w:t xml:space="preserve">  医疗卫生机构废弃的麻醉、精神、放射性、毒性等药品及其相关废物，批量的废化学试剂、废消毒剂，批量的含有汞的体温计、血压计等报废的医疗器具，应当依照有关法律法规和国家有关规定、标准处理。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第二十一条</w:t>
      </w:r>
      <w:r>
        <w:rPr>
          <w:rFonts w:hint="eastAsia" w:ascii="宋体" w:hAnsi="宋体" w:eastAsia="仿宋_GB2312" w:cs="仿宋_GB2312"/>
          <w:b w:val="0"/>
          <w:bCs w:val="0"/>
          <w:sz w:val="32"/>
          <w:szCs w:val="32"/>
        </w:rPr>
        <w:t xml:space="preserve">  医疗卫生机构应当使用符合国家标准的医疗废物专用包装物、容器；医疗废物专用包装物、容器必须完整密封，可重复利用的应当及时清洁和消毒。　</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第二十二条</w:t>
      </w:r>
      <w:r>
        <w:rPr>
          <w:rFonts w:hint="eastAsia" w:ascii="宋体" w:hAnsi="宋体" w:eastAsia="仿宋_GB2312" w:cs="仿宋_GB2312"/>
          <w:b w:val="0"/>
          <w:bCs w:val="0"/>
          <w:sz w:val="32"/>
          <w:szCs w:val="32"/>
        </w:rPr>
        <w:t xml:space="preserve">  医疗卫生机构应当设置医疗废物暂时贮存设施、设备，满足本单位处理医疗废物的需要。医疗废物暂时贮存设施、设备应当符合有关卫生、环保的技术规范。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新建、改建、扩建医疗废物暂时贮存设施，应当依法进行环境影响评价。</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第二十三条</w:t>
      </w:r>
      <w:r>
        <w:rPr>
          <w:rFonts w:hint="eastAsia" w:ascii="宋体" w:hAnsi="宋体" w:eastAsia="仿宋_GB2312" w:cs="仿宋_GB2312"/>
          <w:b w:val="0"/>
          <w:bCs w:val="0"/>
          <w:sz w:val="32"/>
          <w:szCs w:val="32"/>
        </w:rPr>
        <w:t xml:space="preserve">  医疗废物暂时贮存的时间不得超过两日。医疗废物转交出去后，医疗卫生机构应当及时对暂时贮存设施、设备进行清洁和消毒。</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禁止用医疗废物暂时贮存设施、设备存放其他废物、生活垃圾。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第四章</w:t>
      </w:r>
      <w:r>
        <w:rPr>
          <w:rFonts w:hint="eastAsia" w:ascii="宋体" w:hAnsi="宋体" w:eastAsia="黑体" w:cs="黑体"/>
          <w:b w:val="0"/>
          <w:bCs w:val="0"/>
          <w:sz w:val="32"/>
          <w:szCs w:val="32"/>
          <w:lang w:val="en-US" w:eastAsia="zh-CN"/>
        </w:rPr>
        <w:t xml:space="preserve">  </w:t>
      </w:r>
      <w:r>
        <w:rPr>
          <w:rFonts w:hint="eastAsia" w:ascii="宋体" w:hAnsi="宋体" w:eastAsia="黑体" w:cs="黑体"/>
          <w:b w:val="0"/>
          <w:bCs w:val="0"/>
          <w:sz w:val="32"/>
          <w:szCs w:val="32"/>
        </w:rPr>
        <w:t>集中处置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第二十四条</w:t>
      </w:r>
      <w:r>
        <w:rPr>
          <w:rFonts w:hint="eastAsia" w:ascii="宋体" w:hAnsi="宋体" w:eastAsia="仿宋_GB2312" w:cs="仿宋_GB2312"/>
          <w:b w:val="0"/>
          <w:bCs w:val="0"/>
          <w:sz w:val="32"/>
          <w:szCs w:val="32"/>
        </w:rPr>
        <w:t xml:space="preserve">  医疗废物集中处置设施的建设应当符合本省环境保护规划纲要的要求。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第二十五条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val="zh-CN"/>
        </w:rPr>
        <w:t>从事医疗废物集中处置活动的单位，应当向地级以上市人民政府环境保护行政主管部门申请领取经营许可证；未取得经营许可证的单位，不得从事有关医疗废物集中处置的活动。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第二十六条</w:t>
      </w:r>
      <w:r>
        <w:rPr>
          <w:rFonts w:hint="eastAsia" w:ascii="宋体" w:hAnsi="宋体" w:eastAsia="仿宋_GB2312" w:cs="仿宋_GB2312"/>
          <w:b w:val="0"/>
          <w:bCs w:val="0"/>
          <w:sz w:val="32"/>
          <w:szCs w:val="32"/>
        </w:rPr>
        <w:t xml:space="preserve">  医疗废物集中处置设施建设的标准，医疗废物集中处置中的技术要求、安全防护、突发事故的预防和应急措施，重大疫情期间医疗废物管理、人员培训等，应当符合国家医疗废物集中处置技术规范的要求。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第二十七条</w:t>
      </w:r>
      <w:r>
        <w:rPr>
          <w:rFonts w:hint="eastAsia" w:ascii="宋体" w:hAnsi="宋体" w:eastAsia="仿宋_GB2312" w:cs="仿宋_GB2312"/>
          <w:b w:val="0"/>
          <w:bCs w:val="0"/>
          <w:sz w:val="32"/>
          <w:szCs w:val="32"/>
        </w:rPr>
        <w:t xml:space="preserve">  医疗废物集中处置单位应当保证医疗废物安全处置，处置设施应当符合环境保护的技术要求，处置能力应当与需要处置的医疗废物数量相适应。</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禁止采用工艺落后、不能保证安全和存在二次污染隐患的设施或方法处置医疗废物。</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第二十八条</w:t>
      </w:r>
      <w:r>
        <w:rPr>
          <w:rFonts w:hint="eastAsia" w:ascii="宋体" w:hAnsi="宋体" w:eastAsia="仿宋_GB2312" w:cs="仿宋_GB2312"/>
          <w:b w:val="0"/>
          <w:bCs w:val="0"/>
          <w:sz w:val="32"/>
          <w:szCs w:val="32"/>
        </w:rPr>
        <w:t xml:space="preserve">  医疗废物集中处置单位应当按照环境保护行政主管部门、卫生行政主管部门的规定，定期对医疗废物处置设施的环境污染防治和卫生学效果进行检测、评价，并且分别于每年一月和七月将前半年的检测、评价结果向当地环境保护、卫生行政主管部门报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第二十九条</w:t>
      </w:r>
      <w:r>
        <w:rPr>
          <w:rFonts w:hint="eastAsia" w:ascii="宋体" w:hAnsi="宋体" w:eastAsia="仿宋_GB2312" w:cs="仿宋_GB2312"/>
          <w:b w:val="0"/>
          <w:bCs w:val="0"/>
          <w:sz w:val="32"/>
          <w:szCs w:val="32"/>
        </w:rPr>
        <w:t xml:space="preserve">  县、乡镇、农村和个体医疗卫生机构应当按照就近的原则将医疗废物交由医疗废物集中处置单位处置，不得擅自进行处理。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xml:space="preserve">附近没有医疗废物集中处置单位或产生医疗废物较少的医疗卫生机构可以委托有贮存设施的医疗卫生机构暂存，并且由受委托医疗卫生机构统一交由医疗废物集中处置单位处置。 </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第五章　法律责任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第三十条</w:t>
      </w:r>
      <w:r>
        <w:rPr>
          <w:rFonts w:hint="eastAsia" w:ascii="宋体" w:hAnsi="宋体" w:eastAsia="仿宋_GB2312" w:cs="仿宋_GB2312"/>
          <w:b w:val="0"/>
          <w:bCs w:val="0"/>
          <w:sz w:val="32"/>
          <w:szCs w:val="32"/>
        </w:rPr>
        <w:t xml:space="preserve">  县级以上各级人民政府卫生行政主管部门、环境保护行政主管部门或者其他有关部门有下列行为之一的，由本级人民政府或者上级人民政府有关部门责令改正，通报批评；造成传染病传播或者环境污染事故的，对主要负责人、负有责任的主管人员和其他直接责任人员依法给予处分；构成犯罪的，依法追究刑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（一）不按照本条例的规定履行监督检查职责的；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（二）发现医疗卫生机构和医疗废物集中处置单位的违法行为不及时处理的；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（三）发生或者可能发生传染病传播或者环境污染事故时未及时采取减少危害措施的；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xml:space="preserve">（四）有其他玩忽职守、失职、渎职行为的。 </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第三十一条</w:t>
      </w:r>
      <w:r>
        <w:rPr>
          <w:rFonts w:hint="eastAsia" w:ascii="宋体" w:hAnsi="宋体" w:eastAsia="仿宋_GB2312" w:cs="仿宋_GB2312"/>
          <w:b w:val="0"/>
          <w:bCs w:val="0"/>
          <w:sz w:val="32"/>
          <w:szCs w:val="32"/>
        </w:rPr>
        <w:t xml:space="preserve">  有下列行为之一的，由</w:t>
      </w:r>
      <w:r>
        <w:rPr>
          <w:rFonts w:hint="eastAsia" w:ascii="宋体" w:hAnsi="宋体" w:eastAsia="仿宋_GB2312" w:cs="仿宋_GB2312"/>
          <w:b w:val="0"/>
          <w:bCs w:val="0"/>
          <w:sz w:val="32"/>
          <w:szCs w:val="32"/>
          <w:lang w:val="zh-CN"/>
        </w:rPr>
        <w:t>县级以上人民政府卫生行政主管部门责令限期改正，给予警告，并处五千元以上一万元以下罚款；逾期不改正的，处一万元以上三万元以下罚款。给他人造成损害的，依法承担民事赔偿责任：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仿宋_GB2312" w:cs="仿宋_GB2312"/>
          <w:b w:val="0"/>
          <w:bCs w:val="0"/>
          <w:sz w:val="32"/>
          <w:szCs w:val="32"/>
          <w:lang w:val="zh-CN"/>
        </w:rPr>
        <w:t>（一）</w:t>
      </w:r>
      <w:r>
        <w:rPr>
          <w:rFonts w:hint="eastAsia" w:ascii="宋体" w:hAnsi="宋体" w:eastAsia="仿宋_GB2312" w:cs="仿宋_GB2312"/>
          <w:b w:val="0"/>
          <w:bCs w:val="0"/>
          <w:sz w:val="32"/>
          <w:szCs w:val="32"/>
        </w:rPr>
        <w:t>违反本条例第十六条规定，对使用后的一次性医疗用品及一次性医疗器械不按规定进行收集、处理的；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仿宋_GB2312" w:cs="仿宋_GB2312"/>
          <w:b w:val="0"/>
          <w:bCs w:val="0"/>
          <w:sz w:val="32"/>
          <w:szCs w:val="32"/>
        </w:rPr>
        <w:t>（二）违反本条例第十七条规定，对未被病人血液、体液、排泄物污染的输液瓶回收利用时用于原用途的</w:t>
      </w:r>
      <w:r>
        <w:rPr>
          <w:rFonts w:hint="eastAsia" w:ascii="宋体" w:hAnsi="宋体" w:eastAsia="仿宋_GB2312" w:cs="仿宋_GB2312"/>
          <w:b w:val="0"/>
          <w:bCs w:val="0"/>
          <w:sz w:val="32"/>
          <w:szCs w:val="32"/>
          <w:lang w:val="zh-CN"/>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（三）违反本条例第十八条规定，不按规定处置可能造成传染病传播的产妇胎盘的</w:t>
      </w:r>
      <w:r>
        <w:rPr>
          <w:rFonts w:hint="eastAsia" w:ascii="宋体" w:hAnsi="宋体" w:eastAsia="仿宋_GB2312" w:cs="仿宋_GB2312"/>
          <w:b w:val="0"/>
          <w:bCs w:val="0"/>
          <w:sz w:val="32"/>
          <w:szCs w:val="32"/>
          <w:lang w:val="zh-CN"/>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第三十二条</w:t>
      </w:r>
      <w:r>
        <w:rPr>
          <w:rFonts w:hint="eastAsia" w:ascii="宋体" w:hAnsi="宋体" w:eastAsia="仿宋_GB2312" w:cs="仿宋_GB2312"/>
          <w:b w:val="0"/>
          <w:bCs w:val="0"/>
          <w:sz w:val="32"/>
          <w:szCs w:val="32"/>
        </w:rPr>
        <w:t xml:space="preserve">  法律、行政法规对违反医疗废物管理行为有处罚规定的，从其规定。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第六章  附则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第三十三条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val="zh-CN"/>
        </w:rPr>
        <w:t>计划生育技术服务、医学科研、教学、尸体检查和其他相关活动中产生的具有直接或者间接感染性、毒性以及其他危害性废物的管理，依照有关法律法规和本条例执行。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kern w:val="0"/>
          <w:sz w:val="32"/>
          <w:szCs w:val="32"/>
          <w:lang w:val="zh-CN"/>
        </w:rPr>
        <w:t>第三十四条</w:t>
      </w:r>
      <w:r>
        <w:rPr>
          <w:rFonts w:hint="eastAsia" w:ascii="宋体" w:hAnsi="宋体" w:eastAsia="仿宋_GB2312" w:cs="仿宋_GB2312"/>
          <w:b w:val="0"/>
          <w:bCs w:val="0"/>
          <w:sz w:val="32"/>
          <w:szCs w:val="32"/>
        </w:rPr>
        <w:t xml:space="preserve">  本条例规定应由县级人民政府及其卫生行政主管部门、环境保护行政主管部门履行的职责，未设县级人民政府的地级市，由地级市人民政府及其卫生行政主管部门、环境保护行政主管部门履行。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r>
        <w:rPr>
          <w:rFonts w:hint="eastAsia" w:ascii="宋体" w:hAnsi="宋体" w:eastAsia="黑体" w:cs="黑体"/>
          <w:kern w:val="0"/>
          <w:sz w:val="32"/>
          <w:szCs w:val="32"/>
          <w:lang w:val="zh-CN"/>
        </w:rPr>
        <w:t xml:space="preserve">第三十五条  </w:t>
      </w:r>
      <w:r>
        <w:rPr>
          <w:rFonts w:hint="eastAsia" w:ascii="宋体" w:hAnsi="宋体" w:eastAsia="仿宋_GB2312" w:cs="仿宋_GB2312"/>
          <w:b w:val="0"/>
          <w:bCs w:val="0"/>
          <w:sz w:val="32"/>
          <w:szCs w:val="32"/>
          <w:lang w:val="zh-CN"/>
        </w:rPr>
        <w:t>本条例自2007年7月1日起施行。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lang w:val="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val="0"/>
          <w:bCs w:val="0"/>
          <w:sz w:val="32"/>
          <w:szCs w:val="32"/>
        </w:rPr>
      </w:pPr>
    </w:p>
    <w:p>
      <w:pPr>
        <w:pStyle w:val="33"/>
        <w:widowControl w:val="0"/>
        <w:wordWrap/>
        <w:overflowPunct w:val="0"/>
        <w:spacing w:beforeAutospacing="0" w:afterAutospacing="0" w:line="560" w:lineRule="exact"/>
        <w:textAlignment w:val="auto"/>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r>
        <w:rPr>
          <w:rFonts w:hint="eastAsia" w:ascii="宋体" w:hAnsi="宋体" w:eastAsia="宋体" w:cs="宋体"/>
          <w:b w:val="0"/>
          <w:bCs w:val="0"/>
          <w:sz w:val="32"/>
          <w:szCs w:val="32"/>
        </w:rPr>
        <w:br w:type="page"/>
      </w:r>
    </w:p>
    <w:p>
      <w:pPr>
        <w:widowControl w:val="0"/>
        <w:wordWrap/>
        <w:overflowPunct w:val="0"/>
        <w:spacing w:before="0" w:beforeAutospacing="0" w:after="0" w:afterAutospacing="0" w:line="560" w:lineRule="exact"/>
        <w:ind w:left="0" w:right="0"/>
        <w:jc w:val="center"/>
        <w:textAlignment w:val="auto"/>
        <w:outlineLvl w:val="0"/>
        <w:rPr>
          <w:rFonts w:hint="eastAsia" w:ascii="宋体" w:hAnsi="宋体" w:eastAsia="宋体" w:cs="宋体"/>
          <w:color w:val="000000"/>
          <w:kern w:val="0"/>
          <w:sz w:val="44"/>
          <w:szCs w:val="44"/>
          <w:lang w:val="en-US" w:eastAsia="zh-CN" w:bidi="ar-SA"/>
        </w:rPr>
      </w:pPr>
      <w:bookmarkStart w:id="439" w:name="_Toc17149"/>
      <w:r>
        <w:rPr>
          <w:rFonts w:hint="eastAsia" w:ascii="宋体" w:hAnsi="宋体" w:eastAsia="宋体" w:cs="宋体"/>
          <w:color w:val="000000"/>
          <w:kern w:val="0"/>
          <w:sz w:val="44"/>
          <w:szCs w:val="44"/>
          <w:lang w:val="en-US" w:eastAsia="zh-CN" w:bidi="ar-SA"/>
        </w:rPr>
        <w:t>广东省野生动物保护管理条例</w:t>
      </w:r>
      <w:bookmarkEnd w:id="439"/>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宋体" w:cs="宋体"/>
          <w:b w:val="0"/>
          <w:bCs/>
          <w:color w:val="000000"/>
          <w:sz w:val="32"/>
          <w:szCs w:val="32"/>
        </w:rPr>
      </w:pPr>
    </w:p>
    <w:p>
      <w:pPr>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kern w:val="2"/>
          <w:sz w:val="32"/>
          <w:szCs w:val="32"/>
          <w:lang w:val="en-US" w:eastAsia="zh-CN" w:bidi="ar-SA"/>
        </w:rPr>
      </w:pPr>
      <w:r>
        <w:rPr>
          <w:rFonts w:hint="eastAsia" w:ascii="楷体" w:hAnsi="楷体" w:eastAsia="楷体" w:cs="楷体"/>
          <w:b w:val="0"/>
          <w:bCs/>
          <w:kern w:val="2"/>
          <w:sz w:val="32"/>
          <w:szCs w:val="32"/>
          <w:lang w:val="en-US" w:eastAsia="zh-CN" w:bidi="ar-SA"/>
        </w:rPr>
        <w:t>（2001年5月31日广东省第九届人民代表大会常务委员会第二十六次会议通过  根据2004年7月29日广东省第十届人民代表大会常务委员会第十二次会议《广东省人民代表大会常务委员会关于修改〈广东省对外加工装配业务条例〉等十项法规中有关行政许可条款的决定》第一次修正  根据2012年1月9日广东省第十一届人民代表大会常务委员会第三十一次会议《广东省人民代表大会常务委员会关于修改〈广东省固体废物污染环境防治条例〉等七项法规中有关行政强制条款的决定》第二次修正  根据2012年7月26日广东省第十一届人民代表大会常务委员会第三十五次会议《广东省人民代表大会常务委员会关于修改〈广东省民营科技企业管理条例〉等二十三项法规的决定》第三次修正  2020年3月31日广东省第十三届人民代表大会常务委员会第十九次会议修订）</w:t>
      </w:r>
    </w:p>
    <w:p>
      <w:pPr>
        <w:widowControl w:val="0"/>
        <w:wordWrap/>
        <w:overflowPunct w:val="0"/>
        <w:adjustRightInd w:val="0"/>
        <w:snapToGrid w:val="0"/>
        <w:spacing w:beforeAutospacing="0" w:afterAutospacing="0" w:line="560" w:lineRule="exact"/>
        <w:ind w:right="640" w:rightChars="200" w:firstLine="640" w:firstLineChars="200"/>
        <w:jc w:val="left"/>
        <w:textAlignment w:val="auto"/>
        <w:outlineLvl w:val="9"/>
        <w:rPr>
          <w:rFonts w:hint="eastAsia" w:ascii="宋体" w:hAnsi="宋体" w:eastAsia="宋体" w:cs="宋体"/>
          <w:b w:val="0"/>
          <w:bCs/>
          <w:kern w:val="2"/>
          <w:sz w:val="32"/>
          <w:szCs w:val="32"/>
          <w:lang w:val="en-US" w:eastAsia="zh-CN" w:bidi="ar-SA"/>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t>第一章  总则</w:t>
      </w:r>
    </w:p>
    <w:p>
      <w:pPr>
        <w:wordWrap/>
        <w:snapToGrid/>
        <w:spacing w:after="0" w:line="590" w:lineRule="exact"/>
        <w:ind w:left="0" w:leftChars="0" w:right="0"/>
        <w:jc w:val="center"/>
        <w:textAlignment w:val="auto"/>
        <w:rPr>
          <w:rFonts w:hint="default" w:ascii="宋体" w:hAnsi="宋体" w:eastAsia="仿宋_GB2312"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为了加强野生动物保护管理，维护生物多样性和生态平衡，防范重大公共卫生风险，保障人民群众生命健康安全，推进生态文明建设，根据《中华人民共和国野生动物保护法》等法律法规，结合本省实际，制定本条例。</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本条例适用于本省行政区域内野生动物及其栖息地保护和管理活动。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本条例规定保护的野生动物，是指国家重点保护野生动物，省重点保护野生动物，有重要生态、科学、社会价值的陆生野生动物（以下简称三有保护野生动物）。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前款规定保护的野生动物以外的其他陆生野生动物，按照本条例规定管理。</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珍贵、濒危的水生野生动物以外的其他水生野生动物的保护，</w:t>
      </w:r>
      <w:r>
        <w:rPr>
          <w:rFonts w:hint="default" w:ascii="宋体" w:hAnsi="宋体" w:eastAsia="仿宋_GB2312" w:cs="Times New Roman"/>
          <w:b w:val="0"/>
          <w:bCs w:val="0"/>
          <w:color w:val="000000"/>
          <w:sz w:val="32"/>
          <w:szCs w:val="32"/>
          <w:lang w:eastAsia="zh-CN"/>
        </w:rPr>
        <w:t>按照</w:t>
      </w:r>
      <w:r>
        <w:rPr>
          <w:rFonts w:hint="default" w:ascii="宋体" w:hAnsi="宋体" w:eastAsia="仿宋_GB2312" w:cs="Times New Roman"/>
          <w:b w:val="0"/>
          <w:bCs w:val="0"/>
          <w:color w:val="000000"/>
          <w:sz w:val="32"/>
          <w:szCs w:val="32"/>
        </w:rPr>
        <w:t>《中华人民共和国渔业法》等有关法律的规定</w:t>
      </w:r>
      <w:r>
        <w:rPr>
          <w:rFonts w:hint="default" w:ascii="宋体" w:hAnsi="宋体" w:eastAsia="仿宋_GB2312" w:cs="Times New Roman"/>
          <w:b w:val="0"/>
          <w:bCs w:val="0"/>
          <w:color w:val="000000"/>
          <w:sz w:val="32"/>
          <w:szCs w:val="32"/>
          <w:lang w:eastAsia="zh-CN"/>
        </w:rPr>
        <w:t>执行</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列入畜禽遗传资源目录的动物，属于家畜家禽，</w:t>
      </w:r>
      <w:r>
        <w:rPr>
          <w:rFonts w:hint="default" w:ascii="宋体" w:hAnsi="宋体" w:eastAsia="仿宋_GB2312" w:cs="Times New Roman"/>
          <w:b w:val="0"/>
          <w:bCs w:val="0"/>
          <w:color w:val="000000"/>
          <w:sz w:val="32"/>
          <w:szCs w:val="32"/>
          <w:lang w:eastAsia="zh-CN"/>
        </w:rPr>
        <w:t>按照</w:t>
      </w:r>
      <w:r>
        <w:rPr>
          <w:rFonts w:hint="default" w:ascii="宋体" w:hAnsi="宋体" w:eastAsia="仿宋_GB2312" w:cs="Times New Roman"/>
          <w:b w:val="0"/>
          <w:bCs w:val="0"/>
          <w:color w:val="000000"/>
          <w:sz w:val="32"/>
          <w:szCs w:val="32"/>
        </w:rPr>
        <w:t>《中华人民共和国畜牧法》的规定</w:t>
      </w:r>
      <w:r>
        <w:rPr>
          <w:rFonts w:hint="default" w:ascii="宋体" w:hAnsi="宋体" w:eastAsia="仿宋_GB2312" w:cs="Times New Roman"/>
          <w:b w:val="0"/>
          <w:bCs w:val="0"/>
          <w:color w:val="000000"/>
          <w:sz w:val="32"/>
          <w:szCs w:val="32"/>
          <w:lang w:eastAsia="zh-CN"/>
        </w:rPr>
        <w:t>执行</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野生动物保护管理</w:t>
      </w:r>
      <w:r>
        <w:rPr>
          <w:rFonts w:hint="eastAsia" w:ascii="宋体" w:hAnsi="宋体" w:eastAsia="仿宋_GB2312" w:cs="Times New Roman"/>
          <w:b w:val="0"/>
          <w:bCs w:val="0"/>
          <w:color w:val="000000"/>
          <w:sz w:val="32"/>
          <w:szCs w:val="32"/>
          <w:lang w:eastAsia="zh-CN"/>
        </w:rPr>
        <w:t>应当坚持</w:t>
      </w:r>
      <w:r>
        <w:rPr>
          <w:rFonts w:hint="default" w:ascii="宋体" w:hAnsi="宋体" w:eastAsia="仿宋_GB2312" w:cs="Times New Roman"/>
          <w:b w:val="0"/>
          <w:bCs w:val="0"/>
          <w:color w:val="000000"/>
          <w:sz w:val="32"/>
          <w:szCs w:val="32"/>
        </w:rPr>
        <w:t>普遍保护、限制利用、严格监管，</w:t>
      </w:r>
      <w:r>
        <w:rPr>
          <w:rFonts w:hint="eastAsia" w:ascii="宋体" w:hAnsi="宋体" w:eastAsia="仿宋_GB2312" w:cs="Times New Roman"/>
          <w:b w:val="0"/>
          <w:bCs w:val="0"/>
          <w:color w:val="000000"/>
          <w:sz w:val="32"/>
          <w:szCs w:val="32"/>
        </w:rPr>
        <w:t>全面禁止非法野生动物交易，全面禁止食用陆生野生动物，全面禁止以食用为目的猎捕、交易、运输在野外环境自然生长繁殖的陆生野生动物</w:t>
      </w:r>
      <w:r>
        <w:rPr>
          <w:rFonts w:hint="eastAsia"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培育公民公共卫生安全和生态保护意识，</w:t>
      </w:r>
      <w:r>
        <w:rPr>
          <w:rFonts w:hint="eastAsia" w:ascii="宋体" w:hAnsi="宋体" w:eastAsia="仿宋_GB2312" w:cs="Times New Roman"/>
          <w:b w:val="0"/>
          <w:bCs w:val="0"/>
          <w:color w:val="000000"/>
          <w:sz w:val="32"/>
          <w:szCs w:val="32"/>
          <w:lang w:eastAsia="zh-CN"/>
        </w:rPr>
        <w:t>从源头上防控重大公共卫生风险，</w:t>
      </w:r>
      <w:r>
        <w:rPr>
          <w:rFonts w:hint="default" w:ascii="宋体" w:hAnsi="宋体" w:eastAsia="仿宋_GB2312" w:cs="Times New Roman"/>
          <w:b w:val="0"/>
          <w:bCs w:val="0"/>
          <w:color w:val="000000"/>
          <w:sz w:val="32"/>
          <w:szCs w:val="32"/>
        </w:rPr>
        <w:t>促进人与自然和谐共生。</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县级以上地方人民政府对本行政区域内野生动物保护管理工作负总责。</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县级以上地方人民政府应当加强野生动物及其栖息地保护，制定保护规划，健全保护管理体系和目标责任制，纳入生态文明建设考核体系，将保护经费纳入同级财政预算。</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县级以上林业、农业农村主管部门分别主管本行政区域内陆生、水生野生动物保护工作。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乡镇人民政府、街道办事处协助做好本区域内野生动物保护管理相关工作。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第五条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地方各级人民政府和有关主管部门应当积极开展野生动物及其栖息地保护、公共卫生安全的宣传教育和</w:t>
      </w:r>
      <w:r>
        <w:rPr>
          <w:rFonts w:hint="eastAsia" w:ascii="宋体" w:hAnsi="宋体" w:eastAsia="仿宋_GB2312" w:cs="Times New Roman"/>
          <w:b w:val="0"/>
          <w:bCs w:val="0"/>
          <w:color w:val="000000"/>
          <w:sz w:val="32"/>
          <w:szCs w:val="32"/>
          <w:lang w:eastAsia="zh-CN"/>
        </w:rPr>
        <w:t>科学知识普及</w:t>
      </w:r>
      <w:r>
        <w:rPr>
          <w:rFonts w:hint="default" w:ascii="宋体" w:hAnsi="宋体" w:eastAsia="仿宋_GB2312" w:cs="Times New Roman"/>
          <w:b w:val="0"/>
          <w:bCs w:val="0"/>
          <w:color w:val="000000"/>
          <w:sz w:val="32"/>
          <w:szCs w:val="32"/>
        </w:rPr>
        <w:t>，加强野生动物保护科学技术研究。</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教育主管部门、学校应当对学生进行野生动物及其栖息地保护知识教育。</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鼓励和支持基层群众性自治组织、社会组织、企事业单位、志愿者开展野生动物保护、动物防疫等法律法规和保护知识的宣传教育活动。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新闻媒体应当开展野生动物保护法律法规和保护知识的公益宣传，对违法行为进行舆论监督。</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每年11月为广东省保护野生动物宣传月。每年3月20日至26日为广东省爱鸟周。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任何</w:t>
      </w:r>
      <w:r>
        <w:rPr>
          <w:rFonts w:hint="default" w:ascii="宋体" w:hAnsi="宋体" w:eastAsia="仿宋_GB2312" w:cs="Times New Roman"/>
          <w:b w:val="0"/>
          <w:bCs w:val="0"/>
          <w:color w:val="000000"/>
          <w:sz w:val="32"/>
          <w:szCs w:val="32"/>
          <w:lang w:val="en-US" w:eastAsia="zh-CN"/>
        </w:rPr>
        <w:t>组织</w:t>
      </w:r>
      <w:r>
        <w:rPr>
          <w:rFonts w:hint="default" w:ascii="宋体" w:hAnsi="宋体" w:eastAsia="仿宋_GB2312" w:cs="Times New Roman"/>
          <w:b w:val="0"/>
          <w:bCs w:val="0"/>
          <w:color w:val="000000"/>
          <w:sz w:val="32"/>
          <w:szCs w:val="32"/>
        </w:rPr>
        <w:t>和个人都有保护野生动物及其栖息地的义务，有权举报或者控告违反本条例的行为。</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在野生动物保护、科学研究、举报等方面成绩显著的</w:t>
      </w:r>
      <w:r>
        <w:rPr>
          <w:rFonts w:hint="default" w:ascii="宋体" w:hAnsi="宋体" w:eastAsia="仿宋_GB2312" w:cs="Times New Roman"/>
          <w:b w:val="0"/>
          <w:bCs w:val="0"/>
          <w:color w:val="000000"/>
          <w:sz w:val="32"/>
          <w:szCs w:val="32"/>
          <w:lang w:val="en-US" w:eastAsia="zh-CN"/>
        </w:rPr>
        <w:t>组织</w:t>
      </w:r>
      <w:r>
        <w:rPr>
          <w:rFonts w:hint="default" w:ascii="宋体" w:hAnsi="宋体" w:eastAsia="仿宋_GB2312" w:cs="Times New Roman"/>
          <w:b w:val="0"/>
          <w:bCs w:val="0"/>
          <w:color w:val="000000"/>
          <w:sz w:val="32"/>
          <w:szCs w:val="32"/>
        </w:rPr>
        <w:t>和个人，由县级以上地方人民政府给予奖励。</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第二章  野生动物及其栖息地保护</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野生动物实行分类分级保护。</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国家重点保护野生动物、三有保护野生动物名录按照国家规定执行。</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省重点保护野生动物名录，由省人民政府组织科学评估后制定、调整并公布。</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省人民政府依法划定相关自然保护区域，保护野生动物及其重要栖息地，保护、恢复和改善野生动物生存环境。对不具备划定自然保护区域条件的，县级以上地方人民政府可以根据国家野生动物重要栖息地名录和本地区野生动物及其栖息地情况，采取划定禁猎（渔）区、规定禁猎（渔）期等形式予以保护。</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国家野生动物重要栖息地、自然保护地、饮用水水源保护区、郊野公园、植物园、城市公园以及其他野生动物重要栖息地或者生态廊道，列为禁猎区。自然保护地包括国家公园、自然保护区以及森林公园、地质公园、海洋公园、湿地公园、风景名胜区等各类自然公园。</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合法捕获、人工繁育的野生动物及其制品推行专用标识管理。专用标识应当记载野生动物及其制品种类名称、来源、用途等信息，保证可追溯。</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专用标识的使用范围和管理办法由省野生动物保护主管部门制定，</w:t>
      </w:r>
      <w:r>
        <w:rPr>
          <w:rFonts w:hint="eastAsia" w:ascii="宋体" w:hAnsi="宋体" w:eastAsia="仿宋_GB2312" w:cs="Times New Roman"/>
          <w:b w:val="0"/>
          <w:bCs w:val="0"/>
          <w:color w:val="000000"/>
          <w:sz w:val="32"/>
          <w:szCs w:val="32"/>
        </w:rPr>
        <w:t>国家另有规定的</w:t>
      </w:r>
      <w:r>
        <w:rPr>
          <w:rFonts w:hint="eastAsia" w:ascii="宋体" w:hAnsi="宋体" w:eastAsia="仿宋_GB2312" w:cs="Times New Roman"/>
          <w:b w:val="0"/>
          <w:bCs w:val="0"/>
          <w:color w:val="000000"/>
          <w:sz w:val="32"/>
          <w:szCs w:val="32"/>
          <w:lang w:eastAsia="zh-CN"/>
        </w:rPr>
        <w:t>从其规定</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县级以上地方人民政府应当加强对野生动物疫源疫病监测和防疫工作的统一领导，建立健全监测和防疫体系。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野生动物保护、兽医等主管部门应当按照职责分工对野生动物集中分布区、停歇地、越冬地、迁徙洄游通道、人工繁育场所及其制品集散地等区域疫源疫病进行监测，组织开展预测、预报等工作，并按照规定制定野生动物疫情应急预案。</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县级以上野生动物保护、兽医、卫生健康等主管部门，应当按照职责分工加强与人畜共患传染病有关的动物传染病的防治管理。</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地方各级人民政府应当采取措施，预防、控制野生动物可能造成的危害，保障人畜安全和农业、林业生产；</w:t>
      </w:r>
      <w:r>
        <w:rPr>
          <w:rFonts w:hint="default" w:ascii="宋体" w:hAnsi="宋体" w:eastAsia="仿宋_GB2312" w:cs="Times New Roman"/>
          <w:b w:val="0"/>
          <w:bCs w:val="0"/>
          <w:color w:val="000000"/>
          <w:sz w:val="32"/>
          <w:szCs w:val="32"/>
          <w:lang w:eastAsia="zh-CN"/>
        </w:rPr>
        <w:t>因</w:t>
      </w:r>
      <w:r>
        <w:rPr>
          <w:rFonts w:hint="default" w:ascii="宋体" w:hAnsi="宋体" w:eastAsia="仿宋_GB2312" w:cs="Times New Roman"/>
          <w:b w:val="0"/>
          <w:bCs w:val="0"/>
          <w:color w:val="000000"/>
          <w:sz w:val="32"/>
          <w:szCs w:val="32"/>
        </w:rPr>
        <w:t>保护</w:t>
      </w:r>
      <w:r>
        <w:rPr>
          <w:rFonts w:hint="default" w:ascii="宋体" w:hAnsi="宋体" w:eastAsia="仿宋_GB2312" w:cs="Times New Roman"/>
          <w:b w:val="0"/>
          <w:bCs w:val="0"/>
          <w:color w:val="000000"/>
          <w:sz w:val="32"/>
          <w:szCs w:val="32"/>
          <w:lang w:eastAsia="zh-CN"/>
        </w:rPr>
        <w:t>法律法规规定保护的</w:t>
      </w:r>
      <w:r>
        <w:rPr>
          <w:rFonts w:hint="default" w:ascii="宋体" w:hAnsi="宋体" w:eastAsia="仿宋_GB2312" w:cs="Times New Roman"/>
          <w:b w:val="0"/>
          <w:bCs w:val="0"/>
          <w:color w:val="000000"/>
          <w:sz w:val="32"/>
          <w:szCs w:val="32"/>
        </w:rPr>
        <w:t>野生动物</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造成人员伤亡、农作物或者其他财产损失的，</w:t>
      </w:r>
      <w:r>
        <w:rPr>
          <w:rFonts w:hint="default" w:ascii="宋体" w:hAnsi="宋体" w:eastAsia="仿宋_GB2312" w:cs="Times New Roman"/>
          <w:b w:val="0"/>
          <w:bCs w:val="0"/>
          <w:color w:val="000000"/>
          <w:sz w:val="32"/>
          <w:szCs w:val="32"/>
          <w:lang w:eastAsia="zh-CN"/>
        </w:rPr>
        <w:t>由当地人民政府</w:t>
      </w:r>
      <w:r>
        <w:rPr>
          <w:rFonts w:hint="default" w:ascii="宋体" w:hAnsi="宋体" w:eastAsia="仿宋_GB2312" w:cs="Times New Roman"/>
          <w:b w:val="0"/>
          <w:bCs w:val="0"/>
          <w:color w:val="000000"/>
          <w:sz w:val="32"/>
          <w:szCs w:val="32"/>
        </w:rPr>
        <w:t>依法给予补偿</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推动将野生动物致害补偿纳入政策性保险。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w:t>
      </w:r>
      <w:r>
        <w:rPr>
          <w:rFonts w:hint="eastAsia" w:ascii="宋体" w:hAnsi="宋体" w:eastAsia="仿宋_GB2312" w:cs="Times New Roman"/>
          <w:b w:val="0"/>
          <w:bCs w:val="0"/>
          <w:color w:val="000000"/>
          <w:sz w:val="32"/>
          <w:szCs w:val="32"/>
          <w:lang w:eastAsia="zh-CN"/>
        </w:rPr>
        <w:t>野生动物保护</w:t>
      </w:r>
      <w:r>
        <w:rPr>
          <w:rFonts w:hint="default" w:ascii="宋体" w:hAnsi="宋体" w:eastAsia="仿宋_GB2312" w:cs="Times New Roman"/>
          <w:b w:val="0"/>
          <w:bCs w:val="0"/>
          <w:color w:val="000000"/>
          <w:sz w:val="32"/>
          <w:szCs w:val="32"/>
        </w:rPr>
        <w:t>主管部门应当按照规定组织开展保护野生动物的收容救护工作，明确承担收容救护工作的机构</w:t>
      </w:r>
      <w:r>
        <w:rPr>
          <w:rFonts w:hint="eastAsia" w:ascii="宋体" w:hAnsi="宋体" w:eastAsia="仿宋_GB2312" w:cs="Times New Roman"/>
          <w:b w:val="0"/>
          <w:bCs w:val="0"/>
          <w:color w:val="000000"/>
          <w:sz w:val="32"/>
          <w:szCs w:val="32"/>
          <w:lang w:eastAsia="zh-CN"/>
        </w:rPr>
        <w:t>，并向社会公</w:t>
      </w:r>
      <w:r>
        <w:rPr>
          <w:rFonts w:hint="eastAsia" w:ascii="宋体" w:hAnsi="宋体" w:cs="Times New Roman"/>
          <w:b w:val="0"/>
          <w:bCs w:val="0"/>
          <w:color w:val="000000"/>
          <w:sz w:val="32"/>
          <w:szCs w:val="32"/>
          <w:lang w:eastAsia="zh-CN"/>
        </w:rPr>
        <w:t>布</w:t>
      </w:r>
      <w:r>
        <w:rPr>
          <w:rFonts w:hint="default" w:ascii="宋体" w:hAnsi="宋体" w:eastAsia="仿宋_GB2312" w:cs="Times New Roman"/>
          <w:b w:val="0"/>
          <w:bCs w:val="0"/>
          <w:color w:val="000000"/>
          <w:sz w:val="32"/>
          <w:szCs w:val="32"/>
        </w:rPr>
        <w:t>。收容救护机构应当建立收容救护档案，做好相关工作。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有关部门依法扣押、没收的保护野生动物，应当及时移送</w:t>
      </w:r>
      <w:r>
        <w:rPr>
          <w:rFonts w:hint="default" w:ascii="宋体" w:hAnsi="宋体" w:eastAsia="仿宋_GB2312" w:cs="Times New Roman"/>
          <w:b w:val="0"/>
          <w:bCs w:val="0"/>
          <w:color w:val="000000"/>
          <w:sz w:val="32"/>
          <w:szCs w:val="32"/>
          <w:lang w:eastAsia="zh-CN"/>
        </w:rPr>
        <w:t>收容救护机构</w:t>
      </w:r>
      <w:r>
        <w:rPr>
          <w:rFonts w:hint="default" w:ascii="宋体" w:hAnsi="宋体" w:eastAsia="仿宋_GB2312" w:cs="Times New Roman"/>
          <w:b w:val="0"/>
          <w:bCs w:val="0"/>
          <w:color w:val="000000"/>
          <w:sz w:val="32"/>
          <w:szCs w:val="32"/>
        </w:rPr>
        <w:t>收容救护。</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第十三条</w:t>
      </w:r>
      <w:r>
        <w:rPr>
          <w:rFonts w:hint="eastAsia" w:ascii="宋体" w:hAnsi="宋体" w:eastAsia="黑体" w:cs="Times New Roman"/>
          <w:b w:val="0"/>
          <w:bCs w:val="0"/>
          <w:color w:val="000000"/>
          <w:sz w:val="32"/>
          <w:szCs w:val="32"/>
          <w:lang w:val="en-US" w:eastAsia="zh-CN"/>
        </w:rPr>
        <w:t xml:space="preserve">  </w:t>
      </w:r>
      <w:r>
        <w:rPr>
          <w:rFonts w:hint="eastAsia" w:ascii="宋体" w:hAnsi="宋体" w:eastAsia="仿宋_GB2312" w:cs="Times New Roman"/>
          <w:b w:val="0"/>
          <w:bCs w:val="0"/>
          <w:color w:val="000000"/>
          <w:sz w:val="32"/>
          <w:szCs w:val="32"/>
          <w:lang w:val="en-US" w:eastAsia="zh-CN"/>
        </w:rPr>
        <w:t>任何组织和个人将</w:t>
      </w:r>
      <w:r>
        <w:rPr>
          <w:rFonts w:hint="default" w:ascii="宋体" w:hAnsi="宋体" w:eastAsia="仿宋_GB2312" w:cs="Times New Roman"/>
          <w:b w:val="0"/>
          <w:bCs w:val="0"/>
          <w:color w:val="000000"/>
          <w:sz w:val="32"/>
          <w:szCs w:val="32"/>
        </w:rPr>
        <w:t>野生动物</w:t>
      </w:r>
      <w:r>
        <w:rPr>
          <w:rFonts w:hint="eastAsia" w:ascii="宋体" w:hAnsi="宋体" w:eastAsia="仿宋_GB2312" w:cs="Times New Roman"/>
          <w:b w:val="0"/>
          <w:bCs w:val="0"/>
          <w:color w:val="000000"/>
          <w:sz w:val="32"/>
          <w:szCs w:val="32"/>
          <w:lang w:eastAsia="zh-CN"/>
        </w:rPr>
        <w:t>放生</w:t>
      </w:r>
      <w:r>
        <w:rPr>
          <w:rFonts w:hint="eastAsia" w:ascii="宋体" w:hAnsi="宋体" w:eastAsia="仿宋_GB2312" w:cs="Times New Roman"/>
          <w:b w:val="0"/>
          <w:bCs w:val="0"/>
          <w:color w:val="000000"/>
          <w:sz w:val="32"/>
          <w:szCs w:val="32"/>
          <w:lang w:val="en-US" w:eastAsia="zh-CN"/>
        </w:rPr>
        <w:t>至野外环境</w:t>
      </w:r>
      <w:r>
        <w:rPr>
          <w:rFonts w:hint="default" w:ascii="宋体" w:hAnsi="宋体" w:eastAsia="仿宋_GB2312" w:cs="Times New Roman"/>
          <w:b w:val="0"/>
          <w:bCs w:val="0"/>
          <w:color w:val="000000"/>
          <w:sz w:val="32"/>
          <w:szCs w:val="32"/>
        </w:rPr>
        <w:t>，</w:t>
      </w:r>
      <w:r>
        <w:rPr>
          <w:rFonts w:hint="eastAsia" w:ascii="宋体" w:hAnsi="宋体" w:eastAsia="仿宋_GB2312" w:cs="Times New Roman"/>
          <w:b w:val="0"/>
          <w:bCs w:val="0"/>
          <w:color w:val="000000"/>
          <w:sz w:val="32"/>
          <w:szCs w:val="32"/>
          <w:lang w:val="en-US" w:eastAsia="zh-CN"/>
        </w:rPr>
        <w:t>应当遵守野生动物保护主管部门的指引，选择适合放生地野外生存的当地物种，不得随意放生野生动物，</w:t>
      </w:r>
      <w:r>
        <w:rPr>
          <w:rFonts w:hint="default" w:ascii="宋体" w:hAnsi="宋体" w:eastAsia="仿宋_GB2312" w:cs="Times New Roman"/>
          <w:b w:val="0"/>
          <w:bCs w:val="0"/>
          <w:color w:val="000000"/>
          <w:sz w:val="32"/>
          <w:szCs w:val="32"/>
        </w:rPr>
        <w:t>避免造成他人人身、财产损害或者生态系统危害。</w:t>
      </w:r>
    </w:p>
    <w:p>
      <w:pPr>
        <w:pStyle w:val="30"/>
        <w:rPr>
          <w:rFonts w:hint="default" w:ascii="宋体" w:hAnsi="宋体"/>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t>第三章  人工繁育管理</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第十四条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人工繁育保护野生动物应当有利于物种保护及其科学研究，不得破坏野外种群资源。</w:t>
      </w:r>
      <w:r>
        <w:rPr>
          <w:rFonts w:hint="eastAsia" w:ascii="宋体" w:hAnsi="宋体" w:eastAsia="仿宋_GB2312" w:cs="Times New Roman"/>
          <w:b w:val="0"/>
          <w:bCs w:val="0"/>
          <w:color w:val="000000"/>
          <w:sz w:val="32"/>
          <w:szCs w:val="32"/>
          <w:lang w:val="en-US" w:eastAsia="zh-CN"/>
        </w:rPr>
        <w:t>支持有关科学研究机构因物种保护目的人工繁育国家重点保护野生动物。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人工繁育国家重点保护野生动物的，</w:t>
      </w:r>
      <w:r>
        <w:rPr>
          <w:rFonts w:hint="default" w:ascii="宋体" w:hAnsi="宋体" w:eastAsia="仿宋_GB2312" w:cs="Times New Roman"/>
          <w:b w:val="0"/>
          <w:bCs w:val="0"/>
          <w:color w:val="000000"/>
          <w:sz w:val="32"/>
          <w:szCs w:val="32"/>
          <w:lang w:eastAsia="zh-CN"/>
        </w:rPr>
        <w:t>向</w:t>
      </w:r>
      <w:r>
        <w:rPr>
          <w:rFonts w:hint="default" w:ascii="宋体" w:hAnsi="宋体" w:eastAsia="仿宋_GB2312" w:cs="Times New Roman"/>
          <w:b w:val="0"/>
          <w:bCs w:val="0"/>
          <w:color w:val="000000"/>
          <w:sz w:val="32"/>
          <w:szCs w:val="32"/>
        </w:rPr>
        <w:t>所在地县级野生动物保护主管部门</w:t>
      </w:r>
      <w:r>
        <w:rPr>
          <w:rFonts w:hint="default" w:ascii="宋体" w:hAnsi="宋体" w:eastAsia="仿宋_GB2312" w:cs="Times New Roman"/>
          <w:b w:val="0"/>
          <w:bCs w:val="0"/>
          <w:color w:val="000000"/>
          <w:sz w:val="32"/>
          <w:szCs w:val="32"/>
          <w:lang w:eastAsia="zh-CN"/>
        </w:rPr>
        <w:t>提出申请</w:t>
      </w:r>
      <w:r>
        <w:rPr>
          <w:rFonts w:hint="default" w:ascii="宋体" w:hAnsi="宋体" w:eastAsia="仿宋_GB2312" w:cs="Times New Roman"/>
          <w:b w:val="0"/>
          <w:bCs w:val="0"/>
          <w:color w:val="000000"/>
          <w:sz w:val="32"/>
          <w:szCs w:val="32"/>
        </w:rPr>
        <w:t>，</w:t>
      </w:r>
      <w:r>
        <w:rPr>
          <w:rFonts w:hint="default" w:ascii="宋体" w:hAnsi="宋体" w:eastAsia="仿宋_GB2312" w:cs="Times New Roman"/>
          <w:b w:val="0"/>
          <w:bCs w:val="0"/>
          <w:color w:val="000000"/>
          <w:sz w:val="32"/>
          <w:szCs w:val="32"/>
          <w:lang w:eastAsia="zh-CN"/>
        </w:rPr>
        <w:t>由</w:t>
      </w:r>
      <w:r>
        <w:rPr>
          <w:rFonts w:hint="default" w:ascii="宋体" w:hAnsi="宋体" w:eastAsia="仿宋_GB2312" w:cs="Times New Roman"/>
          <w:b w:val="0"/>
          <w:bCs w:val="0"/>
          <w:color w:val="000000"/>
          <w:sz w:val="32"/>
          <w:szCs w:val="32"/>
        </w:rPr>
        <w:t>省野生动物保护主管部门或者其委托的地级以上市野生动物保护主管部门</w:t>
      </w:r>
      <w:r>
        <w:rPr>
          <w:rFonts w:hint="default" w:ascii="宋体" w:hAnsi="宋体" w:eastAsia="仿宋_GB2312" w:cs="Times New Roman"/>
          <w:b w:val="0"/>
          <w:bCs w:val="0"/>
          <w:color w:val="000000"/>
          <w:sz w:val="32"/>
          <w:szCs w:val="32"/>
          <w:lang w:eastAsia="zh-CN"/>
        </w:rPr>
        <w:t>组织评估后</w:t>
      </w:r>
      <w:r>
        <w:rPr>
          <w:rFonts w:hint="default" w:ascii="宋体" w:hAnsi="宋体" w:eastAsia="仿宋_GB2312" w:cs="Times New Roman"/>
          <w:b w:val="0"/>
          <w:bCs w:val="0"/>
          <w:color w:val="000000"/>
          <w:sz w:val="32"/>
          <w:szCs w:val="32"/>
        </w:rPr>
        <w:t>批准，</w:t>
      </w:r>
      <w:r>
        <w:rPr>
          <w:rFonts w:hint="eastAsia" w:ascii="宋体" w:hAnsi="宋体" w:eastAsia="仿宋_GB2312" w:cs="Times New Roman"/>
          <w:b w:val="0"/>
          <w:bCs w:val="0"/>
          <w:color w:val="000000"/>
          <w:sz w:val="32"/>
          <w:szCs w:val="32"/>
        </w:rPr>
        <w:t>国家另有规定的</w:t>
      </w:r>
      <w:r>
        <w:rPr>
          <w:rFonts w:hint="eastAsia" w:ascii="宋体" w:hAnsi="宋体" w:eastAsia="仿宋_GB2312" w:cs="Times New Roman"/>
          <w:b w:val="0"/>
          <w:bCs w:val="0"/>
          <w:color w:val="000000"/>
          <w:sz w:val="32"/>
          <w:szCs w:val="32"/>
          <w:lang w:eastAsia="zh-CN"/>
        </w:rPr>
        <w:t>从其规定</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eastAsia" w:ascii="宋体" w:hAnsi="宋体" w:eastAsia="仿宋_GB2312" w:cs="Times New Roman"/>
          <w:b w:val="0"/>
          <w:bCs w:val="0"/>
          <w:color w:val="000000"/>
          <w:sz w:val="32"/>
          <w:szCs w:val="32"/>
          <w:lang w:eastAsia="zh-CN"/>
        </w:rPr>
      </w:pPr>
      <w:r>
        <w:rPr>
          <w:rFonts w:hint="default" w:ascii="宋体" w:hAnsi="宋体" w:eastAsia="仿宋_GB2312" w:cs="Times New Roman"/>
          <w:b w:val="0"/>
          <w:bCs w:val="0"/>
          <w:color w:val="000000"/>
          <w:sz w:val="32"/>
          <w:szCs w:val="32"/>
        </w:rPr>
        <w:t>人工繁育非国家重点保护野生动物的，应当持有证明野生动物种源的猎捕、进出口、人工繁育或者专用标识等合法来源证明</w:t>
      </w:r>
      <w:r>
        <w:rPr>
          <w:rFonts w:hint="eastAsia"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eastAsia" w:ascii="宋体" w:hAnsi="宋体" w:eastAsia="仿宋_GB2312" w:cs="Times New Roman"/>
          <w:b w:val="0"/>
          <w:bCs w:val="0"/>
          <w:color w:val="000000"/>
          <w:sz w:val="32"/>
          <w:szCs w:val="32"/>
        </w:rPr>
      </w:pPr>
      <w:r>
        <w:rPr>
          <w:rFonts w:hint="eastAsia" w:ascii="宋体" w:hAnsi="宋体" w:eastAsia="仿宋_GB2312" w:cs="Times New Roman"/>
          <w:b w:val="0"/>
          <w:bCs w:val="0"/>
          <w:color w:val="000000"/>
          <w:sz w:val="32"/>
          <w:szCs w:val="32"/>
          <w:lang w:eastAsia="zh-CN"/>
        </w:rPr>
        <w:t>非国家重点保护野生动物，包括省重点保护野生动物和三有保护野生动物</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第十五条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人工繁育保护野生动物应当使用人工繁育子代种源，具备与其繁育目的、种类、发展规模相适应的固定场所、必需设施、技术、人员，符合有关技术标准和防疫要求。</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人工繁育保护野生动物应当建立繁育档案，公开繁育地址、种类等相关信息</w:t>
      </w:r>
      <w:r>
        <w:rPr>
          <w:rFonts w:hint="eastAsia" w:ascii="宋体" w:hAnsi="宋体" w:eastAsia="仿宋_GB2312" w:cs="Times New Roman"/>
          <w:b w:val="0"/>
          <w:bCs w:val="0"/>
          <w:color w:val="000000"/>
          <w:sz w:val="32"/>
          <w:szCs w:val="32"/>
          <w:lang w:val="en-US" w:eastAsia="zh-CN"/>
        </w:rPr>
        <w:t>，</w:t>
      </w:r>
      <w:r>
        <w:rPr>
          <w:rFonts w:hint="default" w:ascii="宋体" w:hAnsi="宋体" w:eastAsia="仿宋_GB2312" w:cs="Times New Roman"/>
          <w:b w:val="0"/>
          <w:bCs w:val="0"/>
          <w:color w:val="000000"/>
          <w:sz w:val="32"/>
          <w:szCs w:val="32"/>
        </w:rPr>
        <w:t>加强疫病防控，履行饲养、管护、救治义务，</w:t>
      </w:r>
      <w:r>
        <w:rPr>
          <w:rFonts w:hint="default" w:ascii="宋体" w:hAnsi="宋体" w:eastAsia="仿宋_GB2312" w:cs="Times New Roman"/>
          <w:b w:val="0"/>
          <w:bCs w:val="0"/>
          <w:color w:val="000000"/>
          <w:sz w:val="32"/>
          <w:szCs w:val="32"/>
          <w:lang w:eastAsia="zh-CN"/>
        </w:rPr>
        <w:t>根据物种生物学特性分类分区饲养，不得混养，</w:t>
      </w:r>
      <w:r>
        <w:rPr>
          <w:rFonts w:hint="default" w:ascii="宋体" w:hAnsi="宋体" w:eastAsia="仿宋_GB2312" w:cs="Times New Roman"/>
          <w:b w:val="0"/>
          <w:bCs w:val="0"/>
          <w:color w:val="000000"/>
          <w:sz w:val="32"/>
          <w:szCs w:val="32"/>
        </w:rPr>
        <w:t>不得虐待野生动物。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对人工繁育技术成熟稳定的非国家重点保护野生动物，经省野生动物保护主管部门组织评估、广泛征求意见后，纳入人工繁育非国家重点保护野生动物名录，实行与野外种群不同的管理措施。人工繁育非国家重点保护野生动物名录由省野生动物保护主管部门制定、调整，报省人民政府批准公布。</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出售和非食用性利用列入前款规定名录的野生动物</w:t>
      </w:r>
      <w:r>
        <w:rPr>
          <w:rFonts w:hint="default" w:ascii="宋体" w:hAnsi="宋体" w:eastAsia="仿宋_GB2312" w:cs="Times New Roman"/>
          <w:b w:val="0"/>
          <w:bCs w:val="0"/>
          <w:color w:val="000000"/>
          <w:sz w:val="32"/>
          <w:szCs w:val="32"/>
          <w:lang w:eastAsia="zh-CN"/>
        </w:rPr>
        <w:t>的</w:t>
      </w:r>
      <w:r>
        <w:rPr>
          <w:rFonts w:hint="default" w:ascii="宋体" w:hAnsi="宋体" w:eastAsia="仿宋_GB2312" w:cs="Times New Roman"/>
          <w:b w:val="0"/>
          <w:bCs w:val="0"/>
          <w:color w:val="000000"/>
          <w:sz w:val="32"/>
          <w:szCs w:val="32"/>
        </w:rPr>
        <w:t>，</w:t>
      </w:r>
      <w:r>
        <w:rPr>
          <w:rFonts w:hint="default" w:ascii="宋体" w:hAnsi="宋体" w:eastAsia="仿宋_GB2312" w:cs="Times New Roman"/>
          <w:b w:val="0"/>
          <w:bCs w:val="0"/>
          <w:color w:val="000000"/>
          <w:sz w:val="32"/>
          <w:szCs w:val="32"/>
          <w:lang w:eastAsia="zh-CN"/>
        </w:rPr>
        <w:t>应当提供</w:t>
      </w:r>
      <w:r>
        <w:rPr>
          <w:rFonts w:hint="default" w:ascii="宋体" w:hAnsi="宋体" w:eastAsia="仿宋_GB2312" w:cs="Times New Roman"/>
          <w:b w:val="0"/>
          <w:bCs w:val="0"/>
          <w:color w:val="000000"/>
          <w:sz w:val="32"/>
          <w:szCs w:val="32"/>
        </w:rPr>
        <w:t>合法来源证明。</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纳入人工繁育国家重点保护野生动物名录的，按照国家规定执行。</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野外环境自然生长繁殖的陆生脊椎野生动物，或者其他存在危害公共卫生安全、生态安全、公共秩序风险的野生动物，不得作为宠物饲养。</w:t>
      </w:r>
    </w:p>
    <w:p>
      <w:pPr>
        <w:wordWrap/>
        <w:snapToGrid/>
        <w:spacing w:after="0" w:line="590" w:lineRule="exact"/>
        <w:ind w:left="0" w:leftChars="0" w:right="0" w:firstLine="640" w:firstLineChars="200"/>
        <w:textAlignment w:val="auto"/>
        <w:rPr>
          <w:rFonts w:hint="default" w:ascii="宋体" w:hAnsi="宋体" w:eastAsia="华文楷体" w:cs="Times New Roman"/>
          <w:b w:val="0"/>
          <w:bCs w:val="0"/>
          <w:color w:val="000000"/>
          <w:sz w:val="32"/>
          <w:szCs w:val="32"/>
          <w:shd w:val="clear" w:color="auto" w:fill="FFFFFF"/>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第四章　禁止非法猎捕</w:t>
      </w:r>
    </w:p>
    <w:p>
      <w:pPr>
        <w:wordWrap/>
        <w:snapToGrid/>
        <w:spacing w:after="0" w:line="590" w:lineRule="exact"/>
        <w:ind w:left="0" w:leftChars="0" w:right="0" w:firstLine="640" w:firstLineChars="200"/>
        <w:textAlignment w:val="auto"/>
        <w:rPr>
          <w:rFonts w:hint="default" w:ascii="宋体" w:hAnsi="宋体" w:eastAsia="楷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第十九条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禁止猎捕、杀害本条例第二条第二款规定保护的野生动物，以及法律法规和国家、省规定禁止猎捕的其他野生动物。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因科学研究、种群调控、疫源疫病监测、疫情防控或者其他特殊情况，需要猎捕野生动物进行非食用性利用的，应当符合以下规定：</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i w:val="0"/>
          <w:iCs w:val="0"/>
          <w:color w:val="000000"/>
          <w:sz w:val="32"/>
          <w:szCs w:val="32"/>
          <w:u w:val="none"/>
        </w:rPr>
        <w:t>（一）国</w:t>
      </w:r>
      <w:r>
        <w:rPr>
          <w:rFonts w:hint="default" w:ascii="宋体" w:hAnsi="宋体" w:eastAsia="仿宋_GB2312" w:cs="Times New Roman"/>
          <w:b w:val="0"/>
          <w:bCs w:val="0"/>
          <w:color w:val="000000"/>
          <w:sz w:val="32"/>
          <w:szCs w:val="32"/>
        </w:rPr>
        <w:t>家</w:t>
      </w:r>
      <w:r>
        <w:rPr>
          <w:rFonts w:hint="eastAsia" w:ascii="宋体" w:hAnsi="宋体" w:eastAsia="仿宋_GB2312" w:cs="Times New Roman"/>
          <w:b w:val="0"/>
          <w:bCs w:val="0"/>
          <w:color w:val="000000"/>
          <w:sz w:val="32"/>
          <w:szCs w:val="32"/>
          <w:lang w:eastAsia="zh-CN"/>
        </w:rPr>
        <w:t>一级</w:t>
      </w:r>
      <w:r>
        <w:rPr>
          <w:rFonts w:hint="default" w:ascii="宋体" w:hAnsi="宋体" w:eastAsia="仿宋_GB2312" w:cs="Times New Roman"/>
          <w:b w:val="0"/>
          <w:bCs w:val="0"/>
          <w:color w:val="000000"/>
          <w:sz w:val="32"/>
          <w:szCs w:val="32"/>
        </w:rPr>
        <w:t>保护野生动物</w:t>
      </w:r>
      <w:r>
        <w:rPr>
          <w:rFonts w:hint="eastAsia" w:ascii="宋体" w:hAnsi="宋体" w:eastAsia="仿宋_GB2312" w:cs="Times New Roman"/>
          <w:b w:val="0"/>
          <w:bCs w:val="0"/>
          <w:color w:val="000000"/>
          <w:sz w:val="32"/>
          <w:szCs w:val="32"/>
          <w:lang w:eastAsia="zh-CN"/>
        </w:rPr>
        <w:t>按照国家规定申请领取特许猎捕证</w:t>
      </w:r>
      <w:r>
        <w:rPr>
          <w:rFonts w:hint="eastAsia" w:ascii="宋体" w:hAnsi="宋体" w:cs="Times New Roman"/>
          <w:b w:val="0"/>
          <w:bCs w:val="0"/>
          <w:color w:val="000000"/>
          <w:sz w:val="32"/>
          <w:szCs w:val="32"/>
          <w:lang w:eastAsia="zh-CN"/>
        </w:rPr>
        <w:t>，</w:t>
      </w:r>
      <w:r>
        <w:rPr>
          <w:rFonts w:hint="eastAsia" w:ascii="宋体" w:hAnsi="宋体" w:eastAsia="仿宋_GB2312" w:cs="Times New Roman"/>
          <w:b w:val="0"/>
          <w:bCs w:val="0"/>
          <w:color w:val="000000"/>
          <w:sz w:val="32"/>
          <w:szCs w:val="32"/>
          <w:lang w:eastAsia="zh-CN"/>
        </w:rPr>
        <w:t>国家二级保护野生动物向</w:t>
      </w:r>
      <w:r>
        <w:rPr>
          <w:rFonts w:hint="default" w:ascii="宋体" w:hAnsi="宋体" w:eastAsia="仿宋_GB2312" w:cs="Times New Roman"/>
          <w:b w:val="0"/>
          <w:bCs w:val="0"/>
          <w:color w:val="000000"/>
          <w:sz w:val="32"/>
          <w:szCs w:val="32"/>
        </w:rPr>
        <w:t>省野生动物保护主管部门或者其委托的地级以上市野生动物保护主管部门</w:t>
      </w:r>
      <w:r>
        <w:rPr>
          <w:rFonts w:hint="eastAsia" w:ascii="宋体" w:hAnsi="宋体" w:eastAsia="仿宋_GB2312" w:cs="Times New Roman"/>
          <w:b w:val="0"/>
          <w:bCs w:val="0"/>
          <w:color w:val="000000"/>
          <w:sz w:val="32"/>
          <w:szCs w:val="32"/>
          <w:lang w:eastAsia="zh-CN"/>
        </w:rPr>
        <w:t>申请领取特许猎捕证</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lang w:eastAsia="zh-CN"/>
        </w:rPr>
      </w:pPr>
      <w:r>
        <w:rPr>
          <w:rFonts w:hint="default" w:ascii="宋体" w:hAnsi="宋体" w:eastAsia="仿宋_GB2312" w:cs="Times New Roman"/>
          <w:b w:val="0"/>
          <w:bCs w:val="0"/>
          <w:color w:val="000000"/>
          <w:sz w:val="32"/>
          <w:szCs w:val="32"/>
        </w:rPr>
        <w:t>（二）</w:t>
      </w:r>
      <w:r>
        <w:rPr>
          <w:rFonts w:hint="eastAsia" w:ascii="宋体" w:hAnsi="宋体" w:eastAsia="仿宋_GB2312" w:cs="Times New Roman"/>
          <w:b w:val="0"/>
          <w:bCs w:val="0"/>
          <w:color w:val="000000"/>
          <w:sz w:val="32"/>
          <w:szCs w:val="32"/>
          <w:lang w:eastAsia="zh-CN"/>
        </w:rPr>
        <w:t>非国家</w:t>
      </w:r>
      <w:r>
        <w:rPr>
          <w:rFonts w:hint="default" w:ascii="宋体" w:hAnsi="宋体" w:eastAsia="仿宋_GB2312" w:cs="Times New Roman"/>
          <w:b w:val="0"/>
          <w:bCs w:val="0"/>
          <w:color w:val="000000"/>
          <w:sz w:val="32"/>
          <w:szCs w:val="32"/>
        </w:rPr>
        <w:t>重点保护野生动物</w:t>
      </w:r>
      <w:r>
        <w:rPr>
          <w:rFonts w:hint="eastAsia" w:ascii="宋体" w:hAnsi="宋体" w:eastAsia="仿宋_GB2312" w:cs="Times New Roman"/>
          <w:b w:val="0"/>
          <w:bCs w:val="0"/>
          <w:color w:val="000000"/>
          <w:sz w:val="32"/>
          <w:szCs w:val="32"/>
          <w:lang w:eastAsia="zh-CN"/>
        </w:rPr>
        <w:t>向</w:t>
      </w:r>
      <w:r>
        <w:rPr>
          <w:rFonts w:hint="default" w:ascii="宋体" w:hAnsi="宋体" w:eastAsia="仿宋_GB2312" w:cs="Times New Roman"/>
          <w:b w:val="0"/>
          <w:bCs w:val="0"/>
          <w:color w:val="000000"/>
          <w:sz w:val="32"/>
          <w:szCs w:val="32"/>
        </w:rPr>
        <w:t>县级野生动物保护主管部门</w:t>
      </w:r>
      <w:r>
        <w:rPr>
          <w:rFonts w:hint="eastAsia" w:ascii="宋体" w:hAnsi="宋体" w:eastAsia="仿宋_GB2312" w:cs="Times New Roman"/>
          <w:b w:val="0"/>
          <w:bCs w:val="0"/>
          <w:color w:val="000000"/>
          <w:sz w:val="32"/>
          <w:szCs w:val="32"/>
          <w:lang w:eastAsia="zh-CN"/>
        </w:rPr>
        <w:t>申请领取狩猎证</w:t>
      </w:r>
      <w:r>
        <w:rPr>
          <w:rFonts w:hint="default"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猎捕前款第二项</w:t>
      </w:r>
      <w:r>
        <w:rPr>
          <w:rFonts w:hint="default" w:ascii="宋体" w:hAnsi="宋体" w:eastAsia="仿宋_GB2312" w:cs="Times New Roman"/>
          <w:b w:val="0"/>
          <w:bCs w:val="0"/>
          <w:color w:val="000000"/>
          <w:sz w:val="32"/>
          <w:szCs w:val="32"/>
          <w:lang w:eastAsia="zh-CN"/>
        </w:rPr>
        <w:t>和省</w:t>
      </w:r>
      <w:r>
        <w:rPr>
          <w:rFonts w:hint="default" w:ascii="宋体" w:hAnsi="宋体" w:eastAsia="仿宋_GB2312" w:cs="Times New Roman"/>
          <w:b w:val="0"/>
          <w:bCs w:val="0"/>
          <w:color w:val="000000"/>
          <w:sz w:val="32"/>
          <w:szCs w:val="32"/>
        </w:rPr>
        <w:t>规定禁止猎捕的野生动物应当服从猎捕量限额管理。</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县级野生动物保护主管部门应当根据野生动物及其栖息地状况的调查、监测和评估结果，提出狩猎动物种类和年度猎捕量限额，报省野生动物保护主管部门或者其委托的地级以上市野生动物保护主管部门</w:t>
      </w:r>
      <w:r>
        <w:rPr>
          <w:rFonts w:hint="default" w:ascii="宋体" w:hAnsi="宋体" w:eastAsia="仿宋_GB2312" w:cs="Times New Roman"/>
          <w:b w:val="0"/>
          <w:bCs w:val="0"/>
          <w:color w:val="000000"/>
          <w:sz w:val="32"/>
          <w:szCs w:val="32"/>
          <w:lang w:eastAsia="zh-CN"/>
        </w:rPr>
        <w:t>批准</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禁止使用毒药、爆炸物、电击、电子诱捕装置以及猎套、猎夹、气枪、地枪、排铳、粘网、地弓、吊杠、钢丝套等工具猎捕野生动物。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任何单位和个人不得擅自制造、出售前款规定的猎捕工具。</w:t>
      </w:r>
    </w:p>
    <w:p>
      <w:pPr>
        <w:wordWrap/>
        <w:snapToGrid/>
        <w:spacing w:after="0" w:line="590" w:lineRule="exact"/>
        <w:ind w:left="0" w:leftChars="0" w:right="0" w:firstLine="640" w:firstLineChars="200"/>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第五章  禁止非法交易</w:t>
      </w:r>
    </w:p>
    <w:p>
      <w:pPr>
        <w:wordWrap/>
        <w:snapToGrid/>
        <w:spacing w:after="0" w:line="590" w:lineRule="exact"/>
        <w:ind w:left="0" w:leftChars="0" w:right="0"/>
        <w:textAlignment w:val="auto"/>
        <w:rPr>
          <w:rFonts w:hint="default" w:ascii="宋体" w:hAnsi="宋体" w:eastAsia="宋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第二十三条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禁止出售、购买、利用本条例第二条第二款规定保护的野生动物，以及法律法规和国家、省规定禁止交易的其他野生动物。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禁止出售、购买、利用国家重点保护野生动物制品。</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第二十四条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禁止商品交易市场、电子商务平台等交易场所以及运输、仓储、快递等经营者，为违法出售、购买、利用、运输、储存野生动物及其制品或者禁止使用的猎捕工具提供交易服务。</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互联网信息服务提供者不得制作、复制、发布、传播非法野生动物交易信息；发现非法交易信息的，应当停止传输，保存记录，报告有关部门。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第二十五条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商品交易市场开办者、市场服务管理机构、电子商务平台经营者应当依法审查、核验入场经营者的经营资格，进行实名登记，加强监督检查；发现有非法野生动物交易行为的，应当立即制止，报告市场监督管理部门。</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电子商务平台经营者收到有关部门通知，应当删除、屏蔽、断开链接非法野生动物交易信息，停止提供交易服务。</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因科研、药用、展示等特殊情况，需要</w:t>
      </w:r>
      <w:r>
        <w:rPr>
          <w:rFonts w:hint="default" w:ascii="宋体" w:hAnsi="宋体" w:eastAsia="仿宋_GB2312" w:cs="Times New Roman"/>
          <w:b w:val="0"/>
          <w:bCs w:val="0"/>
          <w:color w:val="000000"/>
          <w:sz w:val="32"/>
          <w:szCs w:val="32"/>
          <w:lang w:eastAsia="zh-CN"/>
        </w:rPr>
        <w:t>对野生动物进行</w:t>
      </w:r>
      <w:r>
        <w:rPr>
          <w:rFonts w:hint="default" w:ascii="宋体" w:hAnsi="宋体" w:eastAsia="仿宋_GB2312" w:cs="Times New Roman"/>
          <w:b w:val="0"/>
          <w:bCs w:val="0"/>
          <w:color w:val="000000"/>
          <w:sz w:val="32"/>
          <w:szCs w:val="32"/>
        </w:rPr>
        <w:t>非食用性利用的，</w:t>
      </w:r>
      <w:r>
        <w:rPr>
          <w:rFonts w:hint="default" w:ascii="宋体" w:hAnsi="宋体" w:eastAsia="仿宋_GB2312" w:cs="Times New Roman"/>
          <w:b w:val="0"/>
          <w:bCs w:val="0"/>
          <w:color w:val="000000"/>
          <w:sz w:val="32"/>
          <w:szCs w:val="32"/>
          <w:lang w:eastAsia="zh-CN"/>
        </w:rPr>
        <w:t>应当按照国家有关规定实行严格审批和</w:t>
      </w:r>
      <w:r>
        <w:rPr>
          <w:rFonts w:hint="default" w:ascii="宋体" w:hAnsi="宋体" w:eastAsia="仿宋_GB2312" w:cs="Times New Roman"/>
          <w:b w:val="0"/>
          <w:bCs w:val="0"/>
          <w:color w:val="000000"/>
          <w:sz w:val="32"/>
          <w:szCs w:val="32"/>
        </w:rPr>
        <w:t>检疫检验。</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野生动物及其制品作为药品经营和利用的，还应当遵守有关药品管理的法律法规。</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运输、携带、寄递野生动物及其制品的，应当按照规定持有或者附有猎捕、人工繁育、进出口等许可证、批准文件或者专用标识等合法来源证明，以及检疫证明，保证可追溯。</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承运人、寄递业务经营者应当查验前款规定的证明；没有相关证明的，不得运输、寄递，并向野生动物保护主管部门或者</w:t>
      </w:r>
      <w:r>
        <w:rPr>
          <w:rFonts w:hint="eastAsia" w:ascii="宋体" w:hAnsi="宋体" w:eastAsia="仿宋_GB2312" w:cs="Times New Roman"/>
          <w:b w:val="0"/>
          <w:bCs w:val="0"/>
          <w:color w:val="000000"/>
          <w:sz w:val="32"/>
          <w:szCs w:val="32"/>
          <w:lang w:eastAsia="zh-CN"/>
        </w:rPr>
        <w:t>动物卫生监督机构</w:t>
      </w:r>
      <w:r>
        <w:rPr>
          <w:rFonts w:hint="default" w:ascii="宋体" w:hAnsi="宋体" w:eastAsia="仿宋_GB2312" w:cs="Times New Roman"/>
          <w:b w:val="0"/>
          <w:bCs w:val="0"/>
          <w:color w:val="000000"/>
          <w:sz w:val="32"/>
          <w:szCs w:val="32"/>
        </w:rPr>
        <w:t>报告。</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突发公共卫生事件发生后，为阻断可能来自于野生动物的传染源和传播途径，县级以上地方人民政府可以依法采取全面禁止野生动物交易的应急处置措施，向社会公告。</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禁止出售、购买、利用、运输、携带、寄递病死</w:t>
      </w:r>
      <w:r>
        <w:rPr>
          <w:rFonts w:hint="eastAsia" w:ascii="宋体" w:hAnsi="宋体" w:eastAsia="仿宋_GB2312" w:cs="Times New Roman"/>
          <w:b w:val="0"/>
          <w:bCs w:val="0"/>
          <w:color w:val="000000"/>
          <w:sz w:val="32"/>
          <w:szCs w:val="32"/>
          <w:lang w:eastAsia="zh-CN"/>
        </w:rPr>
        <w:t>或者</w:t>
      </w:r>
      <w:r>
        <w:rPr>
          <w:rFonts w:hint="default" w:ascii="宋体" w:hAnsi="宋体" w:eastAsia="仿宋_GB2312" w:cs="Times New Roman"/>
          <w:b w:val="0"/>
          <w:bCs w:val="0"/>
          <w:color w:val="000000"/>
          <w:sz w:val="32"/>
          <w:szCs w:val="32"/>
        </w:rPr>
        <w:t>死因不明的野生动物及其制品。发现野生动物异常死亡的，应当立即向野生动物保护主管部门或者动物疫病预防控制机构报告。</w:t>
      </w:r>
    </w:p>
    <w:p>
      <w:pPr>
        <w:pStyle w:val="30"/>
        <w:rPr>
          <w:rFonts w:hint="default" w:ascii="宋体" w:hAnsi="宋体"/>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第六章  禁止非法食用</w:t>
      </w:r>
    </w:p>
    <w:p>
      <w:pPr>
        <w:wordWrap/>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第二十九条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禁止食用国家重点保护野生动物和其他陆生野生动物，包括人工繁育、人工饲养的陆生野生动物，以及有关法律禁止食用的其他野生动物。</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禁止生产、经营使用国家重点保护野生动物及其制品制作的食品。</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第三十条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禁止以家畜家禽名义食用野生动物。列入畜禽遗传资源目录的动物，按照国家规定应当加施畜禽标识而没有加施的，不得屠宰、加工、出售。</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第三十一条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酒楼、饭店、餐厅、农庄、会所、食堂等餐饮服务提供者应当诚信自律，承担社会责任，对禁止食用的野生动物及其制品不得购买、储存、加工、出售或者提供来料加工服务，不得用其名称、别称、图案制作招牌或者菜谱。</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餐饮服务提供者应当加强食品原料控制，建立进货查验记录制度，并保存相关凭证。</w:t>
      </w:r>
    </w:p>
    <w:p>
      <w:pPr>
        <w:wordWrap/>
        <w:overflowPunct w:val="0"/>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第三十二条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电子商务平台经营者</w:t>
      </w:r>
      <w:r>
        <w:rPr>
          <w:rFonts w:hint="default" w:ascii="宋体" w:hAnsi="宋体" w:eastAsia="仿宋_GB2312" w:cs="Times New Roman"/>
          <w:b w:val="0"/>
          <w:bCs w:val="0"/>
          <w:color w:val="000000"/>
          <w:sz w:val="32"/>
          <w:szCs w:val="32"/>
          <w:lang w:eastAsia="zh-CN"/>
        </w:rPr>
        <w:t>不得</w:t>
      </w:r>
      <w:r>
        <w:rPr>
          <w:rFonts w:hint="default" w:ascii="宋体" w:hAnsi="宋体" w:eastAsia="仿宋_GB2312" w:cs="Times New Roman"/>
          <w:b w:val="0"/>
          <w:bCs w:val="0"/>
          <w:color w:val="000000"/>
          <w:sz w:val="32"/>
          <w:szCs w:val="32"/>
        </w:rPr>
        <w:t>为</w:t>
      </w:r>
      <w:r>
        <w:rPr>
          <w:rFonts w:hint="eastAsia" w:ascii="宋体" w:hAnsi="宋体" w:eastAsia="仿宋_GB2312" w:cs="Times New Roman"/>
          <w:b w:val="0"/>
          <w:bCs w:val="0"/>
          <w:color w:val="000000"/>
          <w:sz w:val="32"/>
          <w:szCs w:val="32"/>
          <w:lang w:eastAsia="zh-CN"/>
        </w:rPr>
        <w:t>使用</w:t>
      </w:r>
      <w:r>
        <w:rPr>
          <w:rFonts w:hint="default" w:ascii="宋体" w:hAnsi="宋体" w:eastAsia="仿宋_GB2312" w:cs="Times New Roman"/>
          <w:b w:val="0"/>
          <w:bCs w:val="0"/>
          <w:color w:val="000000"/>
          <w:sz w:val="32"/>
          <w:szCs w:val="32"/>
        </w:rPr>
        <w:t>禁止食用的野生动物及其制品制作的食品提供推介、点餐、配送或者其他服务。</w:t>
      </w:r>
    </w:p>
    <w:p>
      <w:pPr>
        <w:wordWrap/>
        <w:autoSpaceDN w:val="0"/>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第三十三条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食品、餐饮、烹饪等行业协会应当加强行业自律，引导和督促会员遵守禁止食用野生动物的规定，承诺不购买、不加工、不出售野生动物及其制品，对违反的成员实施行业惩戒</w:t>
      </w:r>
      <w:r>
        <w:rPr>
          <w:rFonts w:hint="default" w:ascii="宋体" w:hAnsi="宋体" w:eastAsia="仿宋_GB2312" w:cs="Times New Roman"/>
          <w:b w:val="0"/>
          <w:bCs w:val="0"/>
          <w:color w:val="000000"/>
          <w:sz w:val="32"/>
          <w:szCs w:val="32"/>
          <w:lang w:val="en-US" w:eastAsia="zh-CN"/>
        </w:rPr>
        <w:t>，并报告</w:t>
      </w:r>
      <w:r>
        <w:rPr>
          <w:rFonts w:hint="eastAsia" w:ascii="宋体" w:hAnsi="宋体" w:eastAsia="仿宋_GB2312" w:cs="Times New Roman"/>
          <w:b w:val="0"/>
          <w:bCs w:val="0"/>
          <w:color w:val="000000"/>
          <w:sz w:val="32"/>
          <w:szCs w:val="32"/>
          <w:lang w:val="en-US" w:eastAsia="zh-CN"/>
        </w:rPr>
        <w:t>市场监督管理等主管</w:t>
      </w:r>
      <w:r>
        <w:rPr>
          <w:rFonts w:hint="default" w:ascii="宋体" w:hAnsi="宋体" w:eastAsia="仿宋_GB2312" w:cs="Times New Roman"/>
          <w:b w:val="0"/>
          <w:bCs w:val="0"/>
          <w:color w:val="000000"/>
          <w:sz w:val="32"/>
          <w:szCs w:val="32"/>
          <w:lang w:val="en-US" w:eastAsia="zh-CN"/>
        </w:rPr>
        <w:t>部门</w:t>
      </w:r>
      <w:r>
        <w:rPr>
          <w:rFonts w:hint="default" w:ascii="宋体" w:hAnsi="宋体" w:eastAsia="仿宋_GB2312" w:cs="Times New Roman"/>
          <w:b w:val="0"/>
          <w:bCs w:val="0"/>
          <w:color w:val="000000"/>
          <w:sz w:val="32"/>
          <w:szCs w:val="32"/>
        </w:rPr>
        <w:t>。</w:t>
      </w:r>
    </w:p>
    <w:p>
      <w:pPr>
        <w:wordWrap/>
        <w:autoSpaceDN w:val="0"/>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 xml:space="preserve">第三十四条 </w:t>
      </w:r>
      <w:r>
        <w:rPr>
          <w:rFonts w:hint="default" w:ascii="宋体" w:hAnsi="宋体" w:eastAsia="仿宋_GB2312" w:cs="Times New Roman"/>
          <w:b w:val="0"/>
          <w:bCs w:val="0"/>
          <w:color w:val="000000"/>
          <w:sz w:val="32"/>
          <w:szCs w:val="32"/>
        </w:rPr>
        <w:t>县级以上市场监督管理部门应当建立餐饮服务提供者信用档案，依法公示违法经营销售野生动物及其制品的行政处罚信息。</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iCs/>
          <w:color w:val="000000"/>
          <w:sz w:val="32"/>
          <w:szCs w:val="32"/>
        </w:rPr>
        <w:t>第三十五条</w:t>
      </w:r>
      <w:r>
        <w:rPr>
          <w:rFonts w:hint="default" w:ascii="宋体" w:hAnsi="宋体" w:eastAsia="仿宋_GB2312" w:cs="Times New Roman"/>
          <w:b w:val="0"/>
          <w:bCs w:val="0"/>
          <w:iCs/>
          <w:color w:val="000000"/>
          <w:sz w:val="32"/>
          <w:szCs w:val="32"/>
        </w:rPr>
        <w:t xml:space="preserve"> </w:t>
      </w:r>
      <w:r>
        <w:rPr>
          <w:rFonts w:hint="default" w:ascii="宋体" w:hAnsi="宋体" w:eastAsia="仿宋_GB2312" w:cs="Times New Roman"/>
          <w:b w:val="0"/>
          <w:bCs w:val="0"/>
          <w:color w:val="000000"/>
          <w:sz w:val="32"/>
          <w:szCs w:val="32"/>
        </w:rPr>
        <w:t>全社会成员应当自觉遵守禁止食用野生动物的规定，</w:t>
      </w:r>
      <w:r>
        <w:rPr>
          <w:rFonts w:hint="default" w:ascii="宋体" w:hAnsi="宋体" w:eastAsia="仿宋_GB2312" w:cs="Times New Roman"/>
          <w:b w:val="0"/>
          <w:bCs w:val="0"/>
          <w:color w:val="000000"/>
          <w:sz w:val="32"/>
          <w:szCs w:val="32"/>
          <w:lang w:eastAsia="zh-CN"/>
        </w:rPr>
        <w:t>移风易俗，养成科学健康文明的生活方式</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p>
    <w:p>
      <w:pPr>
        <w:pStyle w:val="47"/>
        <w:widowControl/>
        <w:wordWrap/>
        <w:snapToGrid/>
        <w:spacing w:before="0" w:beforeAutospacing="0" w:after="0" w:afterAutospacing="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第七章　执法监管</w:t>
      </w:r>
    </w:p>
    <w:p>
      <w:pPr>
        <w:wordWrap/>
        <w:snapToGrid/>
        <w:spacing w:after="0" w:line="590" w:lineRule="exact"/>
        <w:ind w:left="0" w:leftChars="0" w:right="0"/>
        <w:textAlignment w:val="auto"/>
        <w:rPr>
          <w:rFonts w:hint="default" w:ascii="宋体" w:hAnsi="宋体" w:eastAsia="黑体" w:cs="Times New Roman"/>
          <w:b w:val="0"/>
          <w:bCs w:val="0"/>
          <w:color w:val="000000"/>
          <w:sz w:val="32"/>
          <w:szCs w:val="32"/>
        </w:rPr>
      </w:pP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第三十六条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县级以上地方人民政府应当</w:t>
      </w:r>
      <w:r>
        <w:rPr>
          <w:rFonts w:hint="default" w:ascii="宋体" w:hAnsi="宋体" w:eastAsia="仿宋_GB2312" w:cs="Times New Roman"/>
          <w:b w:val="0"/>
          <w:bCs w:val="0"/>
          <w:color w:val="000000"/>
          <w:sz w:val="32"/>
          <w:szCs w:val="32"/>
          <w:lang w:eastAsia="zh-CN"/>
        </w:rPr>
        <w:t>加强跨区域、跨部门</w:t>
      </w:r>
      <w:r>
        <w:rPr>
          <w:rFonts w:hint="default" w:ascii="宋体" w:hAnsi="宋体" w:eastAsia="仿宋_GB2312" w:cs="Times New Roman"/>
          <w:b w:val="0"/>
          <w:bCs w:val="0"/>
          <w:color w:val="000000"/>
          <w:sz w:val="32"/>
          <w:szCs w:val="32"/>
        </w:rPr>
        <w:t>野生动物保护协作</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健全野生动物保护执法管理体制，加强执法队伍建设，明确执法责任主体，落实执法管理责任，强化信息技术支撑，</w:t>
      </w:r>
      <w:r>
        <w:rPr>
          <w:rFonts w:hint="default" w:ascii="宋体" w:hAnsi="宋体" w:eastAsia="仿宋_GB2312" w:cs="Times New Roman"/>
          <w:b w:val="0"/>
          <w:bCs w:val="0"/>
          <w:color w:val="000000"/>
          <w:sz w:val="32"/>
          <w:szCs w:val="32"/>
          <w:lang w:eastAsia="zh-CN"/>
        </w:rPr>
        <w:t>实现信息共享，</w:t>
      </w:r>
      <w:r>
        <w:rPr>
          <w:rFonts w:hint="default" w:ascii="宋体" w:hAnsi="宋体" w:eastAsia="仿宋_GB2312" w:cs="Times New Roman"/>
          <w:b w:val="0"/>
          <w:bCs w:val="0"/>
          <w:color w:val="000000"/>
          <w:sz w:val="32"/>
          <w:szCs w:val="32"/>
        </w:rPr>
        <w:t>加强协调配合，</w:t>
      </w:r>
      <w:r>
        <w:rPr>
          <w:rFonts w:hint="default" w:ascii="宋体" w:hAnsi="宋体" w:eastAsia="仿宋_GB2312" w:cs="Times New Roman"/>
          <w:b w:val="0"/>
          <w:bCs w:val="0"/>
          <w:color w:val="000000"/>
          <w:sz w:val="32"/>
          <w:szCs w:val="32"/>
          <w:lang w:eastAsia="zh-CN"/>
        </w:rPr>
        <w:t>组织</w:t>
      </w:r>
      <w:r>
        <w:rPr>
          <w:rFonts w:hint="default" w:ascii="宋体" w:hAnsi="宋体" w:eastAsia="仿宋_GB2312" w:cs="Times New Roman"/>
          <w:b w:val="0"/>
          <w:bCs w:val="0"/>
          <w:color w:val="000000"/>
          <w:sz w:val="32"/>
          <w:szCs w:val="32"/>
        </w:rPr>
        <w:t>联合执法，开展防范、打击走私和非法贸易行动，加</w:t>
      </w:r>
      <w:r>
        <w:rPr>
          <w:rFonts w:hint="eastAsia" w:ascii="宋体" w:hAnsi="宋体" w:eastAsia="仿宋_GB2312" w:cs="Times New Roman"/>
          <w:b w:val="0"/>
          <w:bCs w:val="0"/>
          <w:color w:val="000000"/>
          <w:sz w:val="32"/>
          <w:szCs w:val="32"/>
          <w:lang w:eastAsia="zh-CN"/>
        </w:rPr>
        <w:t>强</w:t>
      </w:r>
      <w:r>
        <w:rPr>
          <w:rFonts w:hint="default" w:ascii="宋体" w:hAnsi="宋体" w:eastAsia="仿宋_GB2312" w:cs="Times New Roman"/>
          <w:b w:val="0"/>
          <w:bCs w:val="0"/>
          <w:color w:val="000000"/>
          <w:sz w:val="32"/>
          <w:szCs w:val="32"/>
        </w:rPr>
        <w:t>监督检查和责任追究，严格查处违法行为。</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第三十七条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县级以上林业主管部门负责陆生野生动物保护监督管理工作，依法可以委托自然保护地管理机构查处破坏自然保护地自然资源、野生动物栖息地的行为。</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县级以上农业农村主管部门负责水生野生动物保护监督管理工作，依法对人工繁育、合法捕获的野生动物及其制品进行检疫。</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县级以上市场监督管理部门依法对商品交易市场、电子商务平台、餐饮等交易、消费场所经营利用野生动物及其制品的行为进行监督管理；对违法经营场所和违法经营者，依法予以取缔或者查封、关闭。</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公安机关按照</w:t>
      </w:r>
      <w:r>
        <w:rPr>
          <w:rFonts w:hint="eastAsia" w:ascii="宋体" w:hAnsi="宋体" w:eastAsia="仿宋_GB2312" w:cs="Times New Roman"/>
          <w:b w:val="0"/>
          <w:bCs w:val="0"/>
          <w:color w:val="000000"/>
          <w:sz w:val="32"/>
          <w:szCs w:val="32"/>
          <w:lang w:eastAsia="zh-CN"/>
        </w:rPr>
        <w:t>国家和</w:t>
      </w:r>
      <w:r>
        <w:rPr>
          <w:rFonts w:hint="eastAsia" w:ascii="宋体" w:hAnsi="宋体" w:eastAsia="仿宋_GB2312" w:cs="Times New Roman"/>
          <w:b w:val="0"/>
          <w:bCs w:val="0"/>
          <w:color w:val="000000"/>
          <w:sz w:val="32"/>
          <w:szCs w:val="32"/>
        </w:rPr>
        <w:t>省</w:t>
      </w:r>
      <w:r>
        <w:rPr>
          <w:rFonts w:hint="default" w:ascii="宋体" w:hAnsi="宋体" w:eastAsia="仿宋_GB2312" w:cs="Times New Roman"/>
          <w:b w:val="0"/>
          <w:bCs w:val="0"/>
          <w:color w:val="000000"/>
          <w:sz w:val="32"/>
          <w:szCs w:val="32"/>
        </w:rPr>
        <w:t>的规定负责野生动物保护管理相关行政执法。</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海关依法对野生动物实施进出境检疫，凭进口批准文件或者允许进出口证明书以及检疫证明按照规定办理通关手续。</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交通运输、卫生健康、科技、城市管理、邮政</w:t>
      </w:r>
      <w:r>
        <w:rPr>
          <w:rFonts w:hint="default" w:ascii="宋体" w:hAnsi="宋体" w:eastAsia="仿宋_GB2312" w:cs="Times New Roman"/>
          <w:b w:val="0"/>
          <w:bCs w:val="0"/>
          <w:color w:val="000000"/>
          <w:sz w:val="32"/>
          <w:szCs w:val="32"/>
          <w:lang w:eastAsia="zh-CN"/>
        </w:rPr>
        <w:t>管理</w:t>
      </w:r>
      <w:r>
        <w:rPr>
          <w:rFonts w:hint="default" w:ascii="宋体" w:hAnsi="宋体" w:eastAsia="仿宋_GB2312" w:cs="Times New Roman"/>
          <w:b w:val="0"/>
          <w:bCs w:val="0"/>
          <w:color w:val="000000"/>
          <w:sz w:val="32"/>
          <w:szCs w:val="32"/>
        </w:rPr>
        <w:t>、网信、电信管理等部门和机构应当按照职责分工对野生动物及其制品出售、购买、利用、运输、寄递等活动进行监督检查。</w:t>
      </w:r>
    </w:p>
    <w:p>
      <w:pPr>
        <w:wordWrap/>
        <w:snapToGrid/>
        <w:spacing w:after="0" w:line="590" w:lineRule="exact"/>
        <w:ind w:left="0" w:leftChars="0" w:right="0" w:firstLine="640" w:firstLineChars="200"/>
        <w:textAlignment w:val="auto"/>
        <w:rPr>
          <w:rFonts w:hint="eastAsia" w:ascii="宋体" w:hAnsi="宋体" w:eastAsia="楷体_GB2312" w:cs="楷体_GB2312"/>
          <w:b w:val="0"/>
          <w:bCs w:val="0"/>
          <w:color w:val="000000"/>
          <w:sz w:val="32"/>
          <w:szCs w:val="32"/>
          <w:lang w:eastAsia="zh-CN"/>
        </w:rPr>
      </w:pPr>
      <w:r>
        <w:rPr>
          <w:rFonts w:hint="eastAsia" w:ascii="宋体" w:hAnsi="宋体" w:eastAsia="仿宋_GB2312" w:cs="Times New Roman"/>
          <w:b w:val="0"/>
          <w:bCs w:val="0"/>
          <w:color w:val="000000"/>
          <w:sz w:val="32"/>
          <w:szCs w:val="32"/>
          <w:lang w:eastAsia="zh-CN"/>
        </w:rPr>
        <w:t>铁路、道路、水路、</w:t>
      </w:r>
      <w:r>
        <w:rPr>
          <w:rFonts w:hint="default" w:ascii="宋体" w:hAnsi="宋体" w:eastAsia="仿宋_GB2312" w:cs="Times New Roman"/>
          <w:b w:val="0"/>
          <w:bCs w:val="0"/>
          <w:color w:val="000000"/>
          <w:sz w:val="32"/>
          <w:szCs w:val="32"/>
        </w:rPr>
        <w:t>航空</w:t>
      </w:r>
      <w:r>
        <w:rPr>
          <w:rFonts w:hint="eastAsia" w:ascii="宋体" w:hAnsi="宋体" w:eastAsia="仿宋_GB2312" w:cs="Times New Roman"/>
          <w:b w:val="0"/>
          <w:bCs w:val="0"/>
          <w:color w:val="000000"/>
          <w:sz w:val="32"/>
          <w:szCs w:val="32"/>
          <w:lang w:eastAsia="zh-CN"/>
        </w:rPr>
        <w:t>以及车站、机场、港口</w:t>
      </w:r>
      <w:r>
        <w:rPr>
          <w:rFonts w:hint="default" w:ascii="宋体" w:hAnsi="宋体" w:eastAsia="仿宋_GB2312" w:cs="Times New Roman"/>
          <w:b w:val="0"/>
          <w:bCs w:val="0"/>
          <w:color w:val="000000"/>
          <w:sz w:val="32"/>
          <w:szCs w:val="32"/>
        </w:rPr>
        <w:t>等单位应当协助做好相关工作。</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第三十八条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省野生动物保护主管部门对野生动物及其栖息地保护管理工作不力、问题突出、公众反映强烈的地区，可以约谈所在地地级以上市、县级人民政府及其有关主管部门主要负责人，要求其采取措施</w:t>
      </w:r>
      <w:r>
        <w:rPr>
          <w:rFonts w:hint="eastAsia" w:ascii="宋体" w:hAnsi="宋体" w:eastAsia="仿宋_GB2312" w:cs="Times New Roman"/>
          <w:b w:val="0"/>
          <w:bCs w:val="0"/>
          <w:color w:val="000000"/>
          <w:sz w:val="32"/>
          <w:szCs w:val="32"/>
          <w:lang w:eastAsia="zh-CN"/>
        </w:rPr>
        <w:t>限期</w:t>
      </w:r>
      <w:r>
        <w:rPr>
          <w:rFonts w:hint="default" w:ascii="宋体" w:hAnsi="宋体" w:eastAsia="仿宋_GB2312" w:cs="Times New Roman"/>
          <w:b w:val="0"/>
          <w:bCs w:val="0"/>
          <w:color w:val="000000"/>
          <w:sz w:val="32"/>
          <w:szCs w:val="32"/>
        </w:rPr>
        <w:t>整改。约谈整改情况应当向社会公开。</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第三十九条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破坏野生动物及其栖息地造成生态环境损害的，县级以上野生动物保护主管部门可以依法向人民法院提起诉讼，对侵权人提出损害赔偿要求。</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野生动物及其制品种类、名称鉴定由执法部门委托专业技术人员、第三方专业机构或者具有相应司法鉴定资质的鉴定机构承担，</w:t>
      </w:r>
      <w:r>
        <w:rPr>
          <w:rFonts w:hint="eastAsia" w:ascii="宋体" w:hAnsi="宋体" w:eastAsia="仿宋_GB2312" w:cs="Times New Roman"/>
          <w:b w:val="0"/>
          <w:bCs w:val="0"/>
          <w:color w:val="000000"/>
          <w:sz w:val="32"/>
          <w:szCs w:val="32"/>
        </w:rPr>
        <w:t>国家另有规定的</w:t>
      </w:r>
      <w:r>
        <w:rPr>
          <w:rFonts w:hint="eastAsia" w:ascii="宋体" w:hAnsi="宋体" w:eastAsia="仿宋_GB2312" w:cs="Times New Roman"/>
          <w:b w:val="0"/>
          <w:bCs w:val="0"/>
          <w:color w:val="000000"/>
          <w:sz w:val="32"/>
          <w:szCs w:val="32"/>
          <w:lang w:eastAsia="zh-CN"/>
        </w:rPr>
        <w:t>从其规定</w:t>
      </w:r>
      <w:r>
        <w:rPr>
          <w:rFonts w:hint="eastAsia" w:ascii="宋体" w:hAnsi="宋体" w:eastAsia="仿宋_GB2312" w:cs="Times New Roman"/>
          <w:b w:val="0"/>
          <w:bCs w:val="0"/>
          <w:color w:val="000000"/>
          <w:sz w:val="32"/>
          <w:szCs w:val="32"/>
        </w:rPr>
        <w:t>。</w:t>
      </w:r>
    </w:p>
    <w:p>
      <w:pPr>
        <w:wordWrap/>
        <w:overflowPunct w:val="0"/>
        <w:snapToGrid/>
        <w:spacing w:after="0" w:line="590" w:lineRule="exact"/>
        <w:ind w:left="0" w:leftChars="0" w:right="0"/>
        <w:textAlignment w:val="auto"/>
        <w:rPr>
          <w:rFonts w:hint="default" w:ascii="宋体" w:hAnsi="宋体" w:eastAsia="仿宋_GB2312" w:cs="Times New Roman"/>
          <w:b w:val="0"/>
          <w:bCs w:val="0"/>
          <w:color w:val="000000"/>
          <w:sz w:val="32"/>
          <w:szCs w:val="32"/>
        </w:rPr>
      </w:pPr>
    </w:p>
    <w:p>
      <w:pPr>
        <w:wordWrap/>
        <w:overflowPunct w:val="0"/>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第八章  法律责任</w:t>
      </w:r>
    </w:p>
    <w:p>
      <w:pPr>
        <w:wordWrap/>
        <w:overflowPunct w:val="0"/>
        <w:snapToGrid/>
        <w:spacing w:after="0" w:line="590" w:lineRule="exact"/>
        <w:ind w:left="0" w:leftChars="0" w:right="0"/>
        <w:jc w:val="center"/>
        <w:textAlignment w:val="auto"/>
        <w:rPr>
          <w:rFonts w:hint="default" w:ascii="宋体" w:hAnsi="宋体" w:eastAsia="黑体" w:cs="Times New Roman"/>
          <w:b w:val="0"/>
          <w:bCs w:val="0"/>
          <w:color w:val="000000"/>
          <w:sz w:val="32"/>
          <w:szCs w:val="32"/>
        </w:rPr>
      </w:pPr>
    </w:p>
    <w:p>
      <w:pPr>
        <w:widowControl w:val="0"/>
        <w:wordWrap/>
        <w:overflowPunct w:val="0"/>
        <w:adjustRightInd/>
        <w:snapToGrid/>
        <w:spacing w:beforeAutospacing="0" w:after="0" w:afterAutospacing="0" w:line="590" w:lineRule="exact"/>
        <w:ind w:left="0" w:leftChars="0" w:right="0" w:firstLine="640" w:firstLineChars="200"/>
        <w:jc w:val="both"/>
        <w:textAlignment w:val="auto"/>
        <w:outlineLvl w:val="9"/>
        <w:rPr>
          <w:rFonts w:hint="default" w:ascii="宋体" w:hAnsi="宋体" w:eastAsia="仿宋_GB2312" w:cs="Times New Roman"/>
          <w:b w:val="0"/>
          <w:bCs w:val="0"/>
          <w:color w:val="000000"/>
          <w:sz w:val="32"/>
          <w:szCs w:val="32"/>
          <w:lang w:eastAsia="zh-CN"/>
        </w:rPr>
      </w:pPr>
      <w:r>
        <w:rPr>
          <w:rFonts w:hint="default" w:ascii="宋体" w:hAnsi="宋体" w:eastAsia="黑体" w:cs="Times New Roman"/>
          <w:b w:val="0"/>
          <w:bCs w:val="0"/>
          <w:color w:val="000000"/>
          <w:kern w:val="0"/>
          <w:sz w:val="32"/>
          <w:szCs w:val="32"/>
        </w:rPr>
        <w:t>第四十条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野生动物保护主管部门或者其他有关部门、机关不依法作出行政许可决定，发现违法行为或者接到对违法行为的举报不予查处或者不依法查处，或者有滥用职权等其他不依法履行职责的行为的，由本级人民政府或者上级人民政府有关部门、机关责令改正，对负有责任的主管人员和其他直接责任人员依法给予处分；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一</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宋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第十四条第三款规定，人工繁育非国家重点保护野生动物未持有种源合法来源证明的，由县级以上野生动物保护主管部门没收野生动物及其制品，可以并处野生动物及其制品价值一倍以上三倍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二</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第十九条、第二十条、第二十二条规定，猎捕、杀害野生动物的，由县级以上野生动物保护主管部门或者有关自然保护地管理机构按照职责分工没收猎获物、猎捕工具和违法所得，吊销猎捕许可，并按照以下规定处</w:t>
      </w:r>
      <w:r>
        <w:rPr>
          <w:rFonts w:hint="eastAsia" w:ascii="宋体" w:hAnsi="宋体" w:eastAsia="仿宋_GB2312" w:cs="Times New Roman"/>
          <w:b w:val="0"/>
          <w:bCs w:val="0"/>
          <w:color w:val="000000"/>
          <w:sz w:val="32"/>
          <w:szCs w:val="32"/>
          <w:lang w:eastAsia="zh-CN"/>
        </w:rPr>
        <w:t>以</w:t>
      </w:r>
      <w:r>
        <w:rPr>
          <w:rFonts w:hint="default" w:ascii="宋体" w:hAnsi="宋体" w:eastAsia="仿宋_GB2312" w:cs="Times New Roman"/>
          <w:b w:val="0"/>
          <w:bCs w:val="0"/>
          <w:color w:val="000000"/>
          <w:sz w:val="32"/>
          <w:szCs w:val="32"/>
        </w:rPr>
        <w:t>罚款；构成犯罪的，依法追究刑事责任：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（一）属于国家重点保护野生动物的，并处猎获物价值</w:t>
      </w:r>
      <w:r>
        <w:rPr>
          <w:rFonts w:hint="eastAsia" w:ascii="宋体" w:hAnsi="宋体" w:eastAsia="仿宋_GB2312" w:cs="Times New Roman"/>
          <w:b w:val="0"/>
          <w:bCs w:val="0"/>
          <w:color w:val="000000"/>
          <w:sz w:val="32"/>
          <w:szCs w:val="32"/>
          <w:lang w:eastAsia="zh-CN"/>
        </w:rPr>
        <w:t>二</w:t>
      </w:r>
      <w:r>
        <w:rPr>
          <w:rFonts w:hint="eastAsia" w:ascii="宋体" w:hAnsi="宋体" w:eastAsia="仿宋_GB2312" w:cs="Times New Roman"/>
          <w:b w:val="0"/>
          <w:bCs w:val="0"/>
          <w:color w:val="000000"/>
          <w:sz w:val="32"/>
          <w:szCs w:val="32"/>
        </w:rPr>
        <w:t>倍以上</w:t>
      </w:r>
      <w:r>
        <w:rPr>
          <w:rFonts w:hint="eastAsia" w:ascii="宋体" w:hAnsi="宋体" w:eastAsia="仿宋_GB2312" w:cs="Times New Roman"/>
          <w:b w:val="0"/>
          <w:bCs w:val="0"/>
          <w:color w:val="000000"/>
          <w:sz w:val="32"/>
          <w:szCs w:val="32"/>
          <w:lang w:eastAsia="zh-CN"/>
        </w:rPr>
        <w:t>二十</w:t>
      </w:r>
      <w:r>
        <w:rPr>
          <w:rFonts w:hint="eastAsia" w:ascii="宋体" w:hAnsi="宋体" w:eastAsia="仿宋_GB2312" w:cs="Times New Roman"/>
          <w:b w:val="0"/>
          <w:bCs w:val="0"/>
          <w:color w:val="000000"/>
          <w:sz w:val="32"/>
          <w:szCs w:val="32"/>
        </w:rPr>
        <w:t>倍以下的罚款</w:t>
      </w:r>
      <w:r>
        <w:rPr>
          <w:rFonts w:hint="default" w:ascii="宋体" w:hAnsi="宋体" w:eastAsia="仿宋_GB2312" w:cs="Times New Roman"/>
          <w:b w:val="0"/>
          <w:bCs w:val="0"/>
          <w:color w:val="000000"/>
          <w:sz w:val="32"/>
          <w:szCs w:val="32"/>
        </w:rPr>
        <w:t>；没有猎获物的，并处一万元以上</w:t>
      </w:r>
      <w:r>
        <w:rPr>
          <w:rFonts w:hint="eastAsia" w:ascii="宋体" w:hAnsi="宋体" w:eastAsia="仿宋_GB2312" w:cs="Times New Roman"/>
          <w:b w:val="0"/>
          <w:bCs w:val="0"/>
          <w:color w:val="000000"/>
          <w:sz w:val="32"/>
          <w:szCs w:val="32"/>
          <w:lang w:eastAsia="zh-CN"/>
        </w:rPr>
        <w:t>十</w:t>
      </w:r>
      <w:r>
        <w:rPr>
          <w:rFonts w:hint="default" w:ascii="宋体" w:hAnsi="宋体" w:eastAsia="仿宋_GB2312" w:cs="Times New Roman"/>
          <w:b w:val="0"/>
          <w:bCs w:val="0"/>
          <w:color w:val="000000"/>
          <w:sz w:val="32"/>
          <w:szCs w:val="32"/>
        </w:rPr>
        <w:t>万元以下的罚款；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（二）属于非国家重点保护野生动物的，并处猎获物价值二倍以上</w:t>
      </w:r>
      <w:r>
        <w:rPr>
          <w:rFonts w:hint="eastAsia" w:ascii="宋体" w:hAnsi="宋体" w:eastAsia="仿宋_GB2312" w:cs="Times New Roman"/>
          <w:b w:val="0"/>
          <w:bCs w:val="0"/>
          <w:color w:val="000000"/>
          <w:sz w:val="32"/>
          <w:szCs w:val="32"/>
          <w:lang w:eastAsia="zh-CN"/>
        </w:rPr>
        <w:t>十</w:t>
      </w:r>
      <w:r>
        <w:rPr>
          <w:rFonts w:hint="default" w:ascii="宋体" w:hAnsi="宋体" w:eastAsia="仿宋_GB2312" w:cs="Times New Roman"/>
          <w:b w:val="0"/>
          <w:bCs w:val="0"/>
          <w:color w:val="000000"/>
          <w:sz w:val="32"/>
          <w:szCs w:val="32"/>
        </w:rPr>
        <w:t>倍以下的罚款；没有猎获物的，</w:t>
      </w:r>
      <w:r>
        <w:rPr>
          <w:rFonts w:hint="eastAsia" w:ascii="宋体" w:hAnsi="宋体" w:eastAsia="仿宋_GB2312" w:cs="Times New Roman"/>
          <w:b w:val="0"/>
          <w:bCs w:val="0"/>
          <w:color w:val="000000"/>
          <w:sz w:val="32"/>
          <w:szCs w:val="32"/>
        </w:rPr>
        <w:t>并处</w:t>
      </w:r>
      <w:r>
        <w:rPr>
          <w:rFonts w:hint="eastAsia" w:ascii="宋体" w:hAnsi="宋体" w:eastAsia="仿宋_GB2312" w:cs="Times New Roman"/>
          <w:b w:val="0"/>
          <w:bCs w:val="0"/>
          <w:color w:val="000000"/>
          <w:sz w:val="32"/>
          <w:szCs w:val="32"/>
          <w:lang w:eastAsia="zh-CN"/>
        </w:rPr>
        <w:t>一万</w:t>
      </w:r>
      <w:r>
        <w:rPr>
          <w:rFonts w:hint="eastAsia" w:ascii="宋体" w:hAnsi="宋体" w:eastAsia="仿宋_GB2312" w:cs="Times New Roman"/>
          <w:b w:val="0"/>
          <w:bCs w:val="0"/>
          <w:color w:val="000000"/>
          <w:sz w:val="32"/>
          <w:szCs w:val="32"/>
        </w:rPr>
        <w:t>元以上</w:t>
      </w:r>
      <w:r>
        <w:rPr>
          <w:rFonts w:hint="eastAsia" w:ascii="宋体" w:hAnsi="宋体" w:eastAsia="仿宋_GB2312" w:cs="Times New Roman"/>
          <w:b w:val="0"/>
          <w:bCs w:val="0"/>
          <w:color w:val="000000"/>
          <w:sz w:val="32"/>
          <w:szCs w:val="32"/>
          <w:lang w:eastAsia="zh-CN"/>
        </w:rPr>
        <w:t>五</w:t>
      </w:r>
      <w:r>
        <w:rPr>
          <w:rFonts w:hint="eastAsia" w:ascii="宋体" w:hAnsi="宋体" w:eastAsia="仿宋_GB2312" w:cs="Times New Roman"/>
          <w:b w:val="0"/>
          <w:bCs w:val="0"/>
          <w:color w:val="000000"/>
          <w:sz w:val="32"/>
          <w:szCs w:val="32"/>
        </w:rPr>
        <w:t>万元以下的罚款</w:t>
      </w:r>
      <w:r>
        <w:rPr>
          <w:rFonts w:hint="eastAsia"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eastAsia" w:ascii="宋体" w:hAnsi="宋体" w:eastAsia="仿宋_GB2312" w:cs="Times New Roman"/>
          <w:b w:val="0"/>
          <w:bCs w:val="0"/>
          <w:color w:val="000000"/>
          <w:sz w:val="32"/>
          <w:szCs w:val="32"/>
          <w:lang w:val="en-US" w:eastAsia="zh-CN"/>
        </w:rPr>
        <w:t>（三）以食用为目的猎捕、杀害其他陆生野生动物的，</w:t>
      </w:r>
      <w:r>
        <w:rPr>
          <w:rFonts w:hint="eastAsia" w:ascii="宋体" w:hAnsi="宋体" w:eastAsia="仿宋_GB2312" w:cs="Times New Roman"/>
          <w:b w:val="0"/>
          <w:bCs w:val="0"/>
          <w:color w:val="000000"/>
          <w:sz w:val="32"/>
          <w:szCs w:val="32"/>
        </w:rPr>
        <w:t>并处猎获物价值</w:t>
      </w:r>
      <w:r>
        <w:rPr>
          <w:rFonts w:hint="eastAsia" w:ascii="宋体" w:hAnsi="宋体" w:eastAsia="仿宋_GB2312" w:cs="Times New Roman"/>
          <w:b w:val="0"/>
          <w:bCs w:val="0"/>
          <w:color w:val="000000"/>
          <w:sz w:val="32"/>
          <w:szCs w:val="32"/>
          <w:lang w:eastAsia="zh-CN"/>
        </w:rPr>
        <w:t>一</w:t>
      </w:r>
      <w:r>
        <w:rPr>
          <w:rFonts w:hint="eastAsia" w:ascii="宋体" w:hAnsi="宋体" w:eastAsia="仿宋_GB2312" w:cs="Times New Roman"/>
          <w:b w:val="0"/>
          <w:bCs w:val="0"/>
          <w:color w:val="000000"/>
          <w:sz w:val="32"/>
          <w:szCs w:val="32"/>
        </w:rPr>
        <w:t>倍以</w:t>
      </w:r>
      <w:r>
        <w:rPr>
          <w:rFonts w:hint="eastAsia" w:ascii="宋体" w:hAnsi="宋体" w:eastAsia="仿宋_GB2312" w:cs="Times New Roman"/>
          <w:b w:val="0"/>
          <w:bCs w:val="0"/>
          <w:color w:val="000000"/>
          <w:sz w:val="32"/>
          <w:szCs w:val="32"/>
          <w:lang w:eastAsia="zh-CN"/>
        </w:rPr>
        <w:t>上五</w:t>
      </w:r>
      <w:r>
        <w:rPr>
          <w:rFonts w:hint="eastAsia" w:ascii="宋体" w:hAnsi="宋体" w:eastAsia="仿宋_GB2312" w:cs="Times New Roman"/>
          <w:b w:val="0"/>
          <w:bCs w:val="0"/>
          <w:color w:val="000000"/>
          <w:sz w:val="32"/>
          <w:szCs w:val="32"/>
        </w:rPr>
        <w:t>倍以下的罚款；没有猎获物的，并处二千元以上一万元以下的罚款。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三</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违反本条例第二十三条、第二十六条第一款、第二十七条规定，未经批准、未取得或者未按照规定使用专用标识，或者未持有、未附有</w:t>
      </w:r>
      <w:r>
        <w:rPr>
          <w:rFonts w:hint="eastAsia" w:ascii="宋体" w:hAnsi="宋体" w:eastAsia="仿宋_GB2312" w:cs="Times New Roman"/>
          <w:b w:val="0"/>
          <w:bCs w:val="0"/>
          <w:color w:val="000000"/>
          <w:sz w:val="32"/>
          <w:szCs w:val="32"/>
          <w:lang w:eastAsia="zh-CN"/>
        </w:rPr>
        <w:t>其他</w:t>
      </w:r>
      <w:r>
        <w:rPr>
          <w:rFonts w:hint="default" w:ascii="宋体" w:hAnsi="宋体" w:eastAsia="仿宋_GB2312" w:cs="Times New Roman"/>
          <w:b w:val="0"/>
          <w:bCs w:val="0"/>
          <w:color w:val="000000"/>
          <w:sz w:val="32"/>
          <w:szCs w:val="32"/>
        </w:rPr>
        <w:t>合法来源证明出售、购买、利用、运输、携带、寄递野生动物及其制品的，由县级以上野生动物保护</w:t>
      </w:r>
      <w:r>
        <w:rPr>
          <w:rFonts w:hint="default" w:ascii="宋体" w:hAnsi="宋体" w:eastAsia="仿宋_GB2312" w:cs="Times New Roman"/>
          <w:b w:val="0"/>
          <w:bCs w:val="0"/>
          <w:color w:val="000000"/>
          <w:sz w:val="32"/>
          <w:szCs w:val="32"/>
          <w:lang w:eastAsia="zh-CN"/>
        </w:rPr>
        <w:t>、</w:t>
      </w:r>
      <w:r>
        <w:rPr>
          <w:rFonts w:hint="default" w:ascii="宋体" w:hAnsi="宋体" w:eastAsia="仿宋_GB2312" w:cs="Times New Roman"/>
          <w:b w:val="0"/>
          <w:bCs w:val="0"/>
          <w:color w:val="000000"/>
          <w:sz w:val="32"/>
          <w:szCs w:val="32"/>
        </w:rPr>
        <w:t>市场监督管理</w:t>
      </w:r>
      <w:r>
        <w:rPr>
          <w:rFonts w:hint="default" w:ascii="宋体" w:hAnsi="宋体" w:eastAsia="仿宋_GB2312" w:cs="Times New Roman"/>
          <w:b w:val="0"/>
          <w:bCs w:val="0"/>
          <w:color w:val="000000"/>
          <w:sz w:val="32"/>
          <w:szCs w:val="32"/>
          <w:lang w:eastAsia="zh-CN"/>
        </w:rPr>
        <w:t>、邮政管理</w:t>
      </w:r>
      <w:r>
        <w:rPr>
          <w:rFonts w:hint="default" w:ascii="宋体" w:hAnsi="宋体" w:eastAsia="仿宋_GB2312" w:cs="Times New Roman"/>
          <w:b w:val="0"/>
          <w:bCs w:val="0"/>
          <w:color w:val="000000"/>
          <w:sz w:val="32"/>
          <w:szCs w:val="32"/>
        </w:rPr>
        <w:t>部门按照职责分工没收野生动物及其制品和违法所得，并按照以下规定处</w:t>
      </w:r>
      <w:r>
        <w:rPr>
          <w:rFonts w:hint="eastAsia" w:ascii="宋体" w:hAnsi="宋体" w:eastAsia="仿宋_GB2312" w:cs="Times New Roman"/>
          <w:b w:val="0"/>
          <w:bCs w:val="0"/>
          <w:color w:val="000000"/>
          <w:sz w:val="32"/>
          <w:szCs w:val="32"/>
          <w:lang w:eastAsia="zh-CN"/>
        </w:rPr>
        <w:t>以</w:t>
      </w:r>
      <w:r>
        <w:rPr>
          <w:rFonts w:hint="default" w:ascii="宋体" w:hAnsi="宋体" w:eastAsia="仿宋_GB2312" w:cs="Times New Roman"/>
          <w:b w:val="0"/>
          <w:bCs w:val="0"/>
          <w:color w:val="000000"/>
          <w:sz w:val="32"/>
          <w:szCs w:val="32"/>
        </w:rPr>
        <w:t>罚款；情节严重的，吊销相关许可、撤销批准文件、收回专用标识；构成犯罪的，依法追究刑事责任：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（一）属于国家重点保护野生动物的，并处野生动物及其制品价值</w:t>
      </w:r>
      <w:r>
        <w:rPr>
          <w:rFonts w:hint="eastAsia" w:ascii="宋体" w:hAnsi="宋体" w:eastAsia="仿宋_GB2312" w:cs="Times New Roman"/>
          <w:b w:val="0"/>
          <w:bCs w:val="0"/>
          <w:color w:val="000000"/>
          <w:sz w:val="32"/>
          <w:szCs w:val="32"/>
          <w:lang w:eastAsia="zh-CN"/>
        </w:rPr>
        <w:t>二</w:t>
      </w:r>
      <w:r>
        <w:rPr>
          <w:rFonts w:hint="eastAsia" w:ascii="宋体" w:hAnsi="宋体" w:eastAsia="仿宋_GB2312" w:cs="Times New Roman"/>
          <w:b w:val="0"/>
          <w:bCs w:val="0"/>
          <w:color w:val="000000"/>
          <w:sz w:val="32"/>
          <w:szCs w:val="32"/>
        </w:rPr>
        <w:t>倍以上</w:t>
      </w:r>
      <w:r>
        <w:rPr>
          <w:rFonts w:hint="eastAsia" w:ascii="宋体" w:hAnsi="宋体" w:eastAsia="仿宋_GB2312" w:cs="Times New Roman"/>
          <w:b w:val="0"/>
          <w:bCs w:val="0"/>
          <w:color w:val="000000"/>
          <w:sz w:val="32"/>
          <w:szCs w:val="32"/>
          <w:lang w:eastAsia="zh-CN"/>
        </w:rPr>
        <w:t>二十</w:t>
      </w:r>
      <w:r>
        <w:rPr>
          <w:rFonts w:hint="eastAsia" w:ascii="宋体" w:hAnsi="宋体" w:eastAsia="仿宋_GB2312" w:cs="Times New Roman"/>
          <w:b w:val="0"/>
          <w:bCs w:val="0"/>
          <w:color w:val="000000"/>
          <w:sz w:val="32"/>
          <w:szCs w:val="32"/>
        </w:rPr>
        <w:t>倍以下的罚款</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（二）属于非国家重点保护野生动物的，并处野生动物价值二倍以上</w:t>
      </w:r>
      <w:r>
        <w:rPr>
          <w:rFonts w:hint="eastAsia" w:ascii="宋体" w:hAnsi="宋体" w:eastAsia="仿宋_GB2312" w:cs="Times New Roman"/>
          <w:b w:val="0"/>
          <w:bCs w:val="0"/>
          <w:color w:val="000000"/>
          <w:sz w:val="32"/>
          <w:szCs w:val="32"/>
          <w:lang w:eastAsia="zh-CN"/>
        </w:rPr>
        <w:t>十</w:t>
      </w:r>
      <w:r>
        <w:rPr>
          <w:rFonts w:hint="default" w:ascii="宋体" w:hAnsi="宋体" w:eastAsia="仿宋_GB2312" w:cs="Times New Roman"/>
          <w:b w:val="0"/>
          <w:bCs w:val="0"/>
          <w:color w:val="000000"/>
          <w:sz w:val="32"/>
          <w:szCs w:val="32"/>
        </w:rPr>
        <w:t>倍以下的罚款</w:t>
      </w:r>
      <w:r>
        <w:rPr>
          <w:rFonts w:hint="eastAsia" w:ascii="宋体" w:hAnsi="宋体" w:eastAsia="仿宋_GB2312" w:cs="Times New Roman"/>
          <w:b w:val="0"/>
          <w:bCs w:val="0"/>
          <w:color w:val="000000"/>
          <w:sz w:val="32"/>
          <w:szCs w:val="32"/>
          <w:lang w:eastAsia="zh-CN"/>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（三）</w:t>
      </w:r>
      <w:r>
        <w:rPr>
          <w:rFonts w:hint="eastAsia" w:ascii="宋体" w:hAnsi="宋体" w:eastAsia="仿宋_GB2312" w:cs="Times New Roman"/>
          <w:b w:val="0"/>
          <w:bCs w:val="0"/>
          <w:color w:val="000000"/>
          <w:sz w:val="32"/>
          <w:szCs w:val="32"/>
          <w:lang w:val="en-US" w:eastAsia="zh-CN"/>
        </w:rPr>
        <w:t>以食用为目的出售、购买、运输、携带、寄递其他陆生野生动物和</w:t>
      </w:r>
      <w:r>
        <w:rPr>
          <w:rFonts w:hint="default" w:ascii="宋体" w:hAnsi="宋体" w:eastAsia="仿宋_GB2312" w:cs="Times New Roman"/>
          <w:b w:val="0"/>
          <w:bCs w:val="0"/>
          <w:color w:val="000000"/>
          <w:sz w:val="32"/>
          <w:szCs w:val="32"/>
        </w:rPr>
        <w:t>省禁止交易的其他野生动物的，并处野生动物价值一倍以上五倍以下的罚款。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fldChar w:fldCharType="begin"/>
      </w:r>
      <w:r>
        <w:rPr>
          <w:rFonts w:hint="default" w:ascii="宋体" w:hAnsi="宋体" w:eastAsia="黑体" w:cs="Times New Roman"/>
          <w:b w:val="0"/>
          <w:bCs w:val="0"/>
          <w:color w:val="000000"/>
          <w:sz w:val="32"/>
          <w:szCs w:val="32"/>
        </w:rPr>
        <w:instrText xml:space="preserve">ADDIN CNKISM.UserStyle</w:instrText>
      </w:r>
      <w:r>
        <w:rPr>
          <w:rFonts w:hint="default" w:ascii="宋体" w:hAnsi="宋体" w:eastAsia="黑体" w:cs="Times New Roman"/>
          <w:b w:val="0"/>
          <w:bCs w:val="0"/>
          <w:color w:val="000000"/>
          <w:sz w:val="32"/>
          <w:szCs w:val="32"/>
        </w:rPr>
        <w:fldChar w:fldCharType="separate"/>
      </w:r>
      <w:r>
        <w:rPr>
          <w:rFonts w:hint="default" w:ascii="宋体" w:hAnsi="宋体" w:eastAsia="黑体" w:cs="Times New Roman"/>
          <w:b w:val="0"/>
          <w:bCs w:val="0"/>
          <w:color w:val="000000"/>
          <w:sz w:val="32"/>
          <w:szCs w:val="32"/>
        </w:rPr>
        <w:fldChar w:fldCharType="end"/>
      </w: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四</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kern w:val="0"/>
          <w:sz w:val="32"/>
          <w:szCs w:val="32"/>
          <w:shd w:val="clear" w:color="auto" w:fill="FFFFFF"/>
        </w:rPr>
        <w:t xml:space="preserve"> </w:t>
      </w:r>
      <w:r>
        <w:rPr>
          <w:rFonts w:hint="default" w:ascii="宋体" w:hAnsi="宋体" w:eastAsia="仿宋_GB2312" w:cs="Times New Roman"/>
          <w:b w:val="0"/>
          <w:bCs w:val="0"/>
          <w:color w:val="000000"/>
          <w:sz w:val="32"/>
          <w:szCs w:val="32"/>
        </w:rPr>
        <w:t>违反本条例第二十四条第</w:t>
      </w:r>
      <w:r>
        <w:rPr>
          <w:rFonts w:hint="default" w:ascii="宋体" w:hAnsi="宋体" w:eastAsia="仿宋_GB2312" w:cs="Times New Roman"/>
          <w:b w:val="0"/>
          <w:bCs w:val="0"/>
          <w:color w:val="000000"/>
          <w:sz w:val="32"/>
          <w:szCs w:val="32"/>
          <w:lang w:eastAsia="zh-CN"/>
        </w:rPr>
        <w:t>一</w:t>
      </w:r>
      <w:r>
        <w:rPr>
          <w:rFonts w:hint="default" w:ascii="宋体" w:hAnsi="宋体" w:eastAsia="仿宋_GB2312" w:cs="Times New Roman"/>
          <w:b w:val="0"/>
          <w:bCs w:val="0"/>
          <w:color w:val="000000"/>
          <w:sz w:val="32"/>
          <w:szCs w:val="32"/>
        </w:rPr>
        <w:t>款、第三十二条规定，提供交易服务的，由县级以上市场监督管理部门责令停止违法行为，限期改正，没收违法所得，并处违法所得</w:t>
      </w:r>
      <w:r>
        <w:rPr>
          <w:rFonts w:hint="eastAsia" w:ascii="宋体" w:hAnsi="宋体" w:eastAsia="仿宋_GB2312" w:cs="Times New Roman"/>
          <w:b w:val="0"/>
          <w:bCs w:val="0"/>
          <w:color w:val="000000"/>
          <w:sz w:val="32"/>
          <w:szCs w:val="32"/>
          <w:lang w:eastAsia="zh-CN"/>
        </w:rPr>
        <w:t>二</w:t>
      </w:r>
      <w:r>
        <w:rPr>
          <w:rFonts w:hint="default" w:ascii="宋体" w:hAnsi="宋体" w:eastAsia="仿宋_GB2312" w:cs="Times New Roman"/>
          <w:b w:val="0"/>
          <w:bCs w:val="0"/>
          <w:color w:val="000000"/>
          <w:sz w:val="32"/>
          <w:szCs w:val="32"/>
        </w:rPr>
        <w:t>倍以上五倍以下的罚款；没有违法所得的，处</w:t>
      </w:r>
      <w:r>
        <w:rPr>
          <w:rFonts w:hint="eastAsia" w:ascii="宋体" w:hAnsi="宋体" w:eastAsia="仿宋_GB2312" w:cs="Times New Roman"/>
          <w:b w:val="0"/>
          <w:bCs w:val="0"/>
          <w:color w:val="000000"/>
          <w:sz w:val="32"/>
          <w:szCs w:val="32"/>
          <w:lang w:eastAsia="zh-CN"/>
        </w:rPr>
        <w:t>一</w:t>
      </w:r>
      <w:r>
        <w:rPr>
          <w:rFonts w:hint="default" w:ascii="宋体" w:hAnsi="宋体" w:eastAsia="仿宋_GB2312" w:cs="Times New Roman"/>
          <w:b w:val="0"/>
          <w:bCs w:val="0"/>
          <w:color w:val="000000"/>
          <w:sz w:val="32"/>
          <w:szCs w:val="32"/>
        </w:rPr>
        <w:t>万元以上五万元以下的罚款；明知行为人以食用或者生产、经营食品为目的的，从重处罚；构成犯罪的，依法追究刑事责任。</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五</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违反本条例第二十九条第一款、第三十条规定，食用野生动物的，由县级以上林业、农业农村、市场监督管理等部门按照职责分工责令停止违法行为，</w:t>
      </w:r>
      <w:r>
        <w:rPr>
          <w:rFonts w:hint="eastAsia" w:ascii="宋体" w:hAnsi="宋体" w:eastAsia="仿宋_GB2312" w:cs="Times New Roman"/>
          <w:b w:val="0"/>
          <w:bCs w:val="0"/>
          <w:color w:val="000000"/>
          <w:sz w:val="32"/>
          <w:szCs w:val="32"/>
          <w:lang w:eastAsia="zh-CN"/>
        </w:rPr>
        <w:t>按以下规定对食用者进行处罚；对组织食用的，从重处罚</w:t>
      </w:r>
      <w:r>
        <w:rPr>
          <w:rFonts w:hint="default"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（一）</w:t>
      </w:r>
      <w:r>
        <w:rPr>
          <w:rFonts w:hint="eastAsia" w:ascii="宋体" w:hAnsi="宋体" w:eastAsia="仿宋_GB2312" w:cs="Times New Roman"/>
          <w:b w:val="0"/>
          <w:bCs w:val="0"/>
          <w:color w:val="000000"/>
          <w:sz w:val="32"/>
          <w:szCs w:val="32"/>
          <w:lang w:val="en-US" w:eastAsia="zh-CN"/>
        </w:rPr>
        <w:t>属于国家重点保护野生动物及其制品的，处野生动物及其制品价值二倍以上二十倍以下的罚款</w:t>
      </w:r>
      <w:r>
        <w:rPr>
          <w:rFonts w:hint="eastAsia" w:ascii="宋体" w:hAnsi="宋体" w:eastAsia="仿宋_GB2312" w:cs="Times New Roman"/>
          <w:b w:val="0"/>
          <w:bCs w:val="0"/>
          <w:color w:val="000000"/>
          <w:sz w:val="32"/>
          <w:szCs w:val="32"/>
        </w:rPr>
        <w:t>；</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lang w:val="en-US" w:eastAsia="zh-CN"/>
        </w:rPr>
      </w:pPr>
      <w:r>
        <w:rPr>
          <w:rFonts w:hint="default" w:ascii="宋体" w:hAnsi="宋体" w:eastAsia="仿宋_GB2312" w:cs="Times New Roman"/>
          <w:b w:val="0"/>
          <w:bCs w:val="0"/>
          <w:color w:val="000000"/>
          <w:sz w:val="32"/>
          <w:szCs w:val="32"/>
        </w:rPr>
        <w:t>（二）</w:t>
      </w:r>
      <w:r>
        <w:rPr>
          <w:rFonts w:hint="eastAsia" w:ascii="宋体" w:hAnsi="宋体" w:eastAsia="仿宋_GB2312" w:cs="Times New Roman"/>
          <w:b w:val="0"/>
          <w:bCs w:val="0"/>
          <w:color w:val="000000"/>
          <w:sz w:val="32"/>
          <w:szCs w:val="32"/>
          <w:lang w:val="en-US" w:eastAsia="zh-CN"/>
        </w:rPr>
        <w:t>属于非国家重点保护野生动物或者其他陆生野生动物的，处野生动物价值一倍以上五倍以下的罚款。</w:t>
      </w:r>
    </w:p>
    <w:p>
      <w:pPr>
        <w:wordWrap/>
        <w:snapToGrid/>
        <w:spacing w:after="0" w:line="590" w:lineRule="exact"/>
        <w:ind w:left="0" w:leftChars="0" w:right="0" w:firstLine="640" w:firstLineChars="200"/>
        <w:textAlignment w:val="auto"/>
        <w:rPr>
          <w:rFonts w:hint="eastAsia" w:ascii="宋体" w:hAnsi="宋体" w:eastAsia="仿宋_GB2312" w:cs="Times New Roman"/>
          <w:b w:val="0"/>
          <w:bCs w:val="0"/>
          <w:color w:val="000000"/>
          <w:sz w:val="32"/>
          <w:szCs w:val="32"/>
          <w:lang w:val="en-US" w:eastAsia="zh-CN"/>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六</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 xml:space="preserve"> 违反本条例第二十九条第二款、第三十一条规定，生产、经营、购买、储存、加工、出售禁止食用的野生动物及其制品、食品的，由县级以上林业、农业农村、市场监督管理等部门按照职责分工责令停止违法行为，没收</w:t>
      </w:r>
      <w:r>
        <w:rPr>
          <w:rFonts w:hint="eastAsia" w:ascii="宋体" w:hAnsi="宋体" w:eastAsia="仿宋_GB2312" w:cs="Times New Roman"/>
          <w:b w:val="0"/>
          <w:bCs w:val="0"/>
          <w:color w:val="000000"/>
          <w:sz w:val="32"/>
          <w:szCs w:val="32"/>
          <w:lang w:val="en-US" w:eastAsia="zh-CN"/>
        </w:rPr>
        <w:t>违法所得和</w:t>
      </w:r>
      <w:r>
        <w:rPr>
          <w:rFonts w:hint="default" w:ascii="宋体" w:hAnsi="宋体" w:eastAsia="仿宋_GB2312" w:cs="Times New Roman"/>
          <w:b w:val="0"/>
          <w:bCs w:val="0"/>
          <w:color w:val="000000"/>
          <w:sz w:val="32"/>
          <w:szCs w:val="32"/>
        </w:rPr>
        <w:t>野生动物及其制品、食品</w:t>
      </w:r>
      <w:r>
        <w:rPr>
          <w:rFonts w:hint="eastAsia" w:ascii="宋体" w:hAnsi="宋体" w:eastAsia="仿宋_GB2312" w:cs="Times New Roman"/>
          <w:b w:val="0"/>
          <w:bCs w:val="0"/>
          <w:color w:val="000000"/>
          <w:sz w:val="32"/>
          <w:szCs w:val="32"/>
          <w:lang w:eastAsia="zh-CN"/>
        </w:rPr>
        <w:t>；</w:t>
      </w:r>
      <w:r>
        <w:rPr>
          <w:rFonts w:hint="eastAsia" w:ascii="宋体" w:hAnsi="宋体" w:eastAsia="仿宋_GB2312" w:cs="Times New Roman"/>
          <w:b w:val="0"/>
          <w:bCs w:val="0"/>
          <w:color w:val="000000"/>
          <w:sz w:val="32"/>
          <w:szCs w:val="32"/>
          <w:lang w:val="en-US" w:eastAsia="zh-CN"/>
        </w:rPr>
        <w:t>野生动物及其制品、食品价值或者货值金额不足一万元的，并处十万元以上十五万元以下的罚款；价值或者货值金额一万元以上的，并处价值或者货值金额十五倍以上三十倍以下的罚款；情节严重的，依法吊销许可证。</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default" w:ascii="宋体" w:hAnsi="宋体" w:eastAsia="仿宋_GB2312" w:cs="Times New Roman"/>
          <w:b w:val="0"/>
          <w:bCs w:val="0"/>
          <w:color w:val="000000"/>
          <w:sz w:val="32"/>
          <w:szCs w:val="32"/>
        </w:rPr>
        <w:t>违反本条例第三十一条规定，用禁止食用的野生动物及其制品名称、别称、图案制作招牌或者菜谱的，由县级市场监督管理、城市管理综合执法等部门按照职责分工责令限期改正；逾期不改正的，依法强制拆除，并处一万元以上三万元以下的罚款。</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r>
        <w:rPr>
          <w:rFonts w:hint="eastAsia" w:ascii="宋体" w:hAnsi="宋体" w:eastAsia="黑体" w:cs="Times New Roman"/>
          <w:b w:val="0"/>
          <w:bCs w:val="0"/>
          <w:color w:val="000000"/>
          <w:sz w:val="32"/>
          <w:szCs w:val="32"/>
          <w:lang w:eastAsia="zh-CN"/>
        </w:rPr>
        <w:t>第</w:t>
      </w:r>
      <w:r>
        <w:rPr>
          <w:rFonts w:hint="default" w:ascii="宋体" w:hAnsi="宋体" w:eastAsia="黑体" w:cs="Times New Roman"/>
          <w:b w:val="0"/>
          <w:bCs w:val="0"/>
          <w:color w:val="000000"/>
          <w:sz w:val="32"/>
          <w:szCs w:val="32"/>
        </w:rPr>
        <w:t>四十</w:t>
      </w:r>
      <w:r>
        <w:rPr>
          <w:rFonts w:hint="default" w:ascii="宋体" w:hAnsi="宋体" w:eastAsia="黑体" w:cs="Times New Roman"/>
          <w:b w:val="0"/>
          <w:bCs w:val="0"/>
          <w:color w:val="000000"/>
          <w:sz w:val="32"/>
          <w:szCs w:val="32"/>
          <w:lang w:eastAsia="zh-CN"/>
        </w:rPr>
        <w:t>七</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黑体" w:cs="Times New Roman"/>
          <w:b w:val="0"/>
          <w:bCs w:val="0"/>
          <w:color w:val="000000"/>
          <w:sz w:val="32"/>
          <w:szCs w:val="32"/>
        </w:rPr>
        <w:t xml:space="preserve"> </w:t>
      </w:r>
      <w:r>
        <w:rPr>
          <w:rFonts w:hint="default" w:ascii="宋体" w:hAnsi="宋体" w:eastAsia="仿宋_GB2312" w:cs="Times New Roman"/>
          <w:b w:val="0"/>
          <w:bCs w:val="0"/>
          <w:color w:val="000000"/>
          <w:sz w:val="32"/>
          <w:szCs w:val="32"/>
        </w:rPr>
        <w:t>违反本条例其他规定的，依照相关法律法规从重处罚。</w:t>
      </w:r>
    </w:p>
    <w:p>
      <w:pPr>
        <w:wordWrap/>
        <w:snapToGrid/>
        <w:spacing w:after="0" w:line="590" w:lineRule="exact"/>
        <w:ind w:left="0" w:leftChars="0" w:right="0" w:firstLine="640" w:firstLineChars="200"/>
        <w:textAlignment w:val="auto"/>
        <w:rPr>
          <w:rFonts w:hint="default" w:ascii="宋体" w:hAnsi="宋体" w:eastAsia="仿宋_GB2312" w:cs="Times New Roman"/>
          <w:b w:val="0"/>
          <w:bCs w:val="0"/>
          <w:color w:val="000000"/>
          <w:sz w:val="32"/>
          <w:szCs w:val="32"/>
        </w:rPr>
      </w:pPr>
    </w:p>
    <w:p>
      <w:pPr>
        <w:wordWrap/>
        <w:snapToGrid/>
        <w:spacing w:after="0" w:line="590" w:lineRule="exact"/>
        <w:ind w:left="0" w:leftChars="0" w:right="0" w:firstLine="0" w:firstLineChars="0"/>
        <w:jc w:val="center"/>
        <w:textAlignment w:val="auto"/>
        <w:rPr>
          <w:rFonts w:hint="default" w:ascii="宋体" w:hAnsi="宋体" w:eastAsia="黑体" w:cs="Times New Roman"/>
          <w:b w:val="0"/>
          <w:bCs w:val="0"/>
          <w:color w:val="000000"/>
          <w:sz w:val="32"/>
          <w:szCs w:val="32"/>
        </w:rPr>
      </w:pPr>
      <w:r>
        <w:rPr>
          <w:rFonts w:hint="default" w:ascii="宋体" w:hAnsi="宋体" w:eastAsia="黑体" w:cs="Times New Roman"/>
          <w:b w:val="0"/>
          <w:bCs w:val="0"/>
          <w:color w:val="000000"/>
          <w:sz w:val="32"/>
          <w:szCs w:val="32"/>
        </w:rPr>
        <w:t>第九章  附则</w:t>
      </w:r>
    </w:p>
    <w:p>
      <w:pPr>
        <w:wordWrap/>
        <w:snapToGrid/>
        <w:spacing w:after="0" w:line="590" w:lineRule="exact"/>
        <w:ind w:left="0" w:leftChars="0" w:right="0"/>
        <w:jc w:val="center"/>
        <w:textAlignment w:val="auto"/>
        <w:rPr>
          <w:rFonts w:hint="default" w:ascii="宋体" w:hAnsi="宋体" w:eastAsia="仿宋_GB2312" w:cs="Times New Roman"/>
          <w:b w:val="0"/>
          <w:bCs w:val="0"/>
          <w:color w:val="000000"/>
          <w:sz w:val="32"/>
          <w:szCs w:val="32"/>
        </w:rPr>
      </w:pPr>
    </w:p>
    <w:p>
      <w:pPr>
        <w:widowControl w:val="0"/>
        <w:wordWrap/>
        <w:overflowPunct w:val="0"/>
        <w:adjustRightInd/>
        <w:snapToGrid/>
        <w:spacing w:beforeAutospacing="0" w:afterAutospacing="0" w:line="560" w:lineRule="exact"/>
        <w:ind w:left="0" w:leftChars="0" w:firstLine="640" w:firstLineChars="200"/>
        <w:jc w:val="both"/>
        <w:textAlignment w:val="auto"/>
        <w:rPr>
          <w:rFonts w:hint="eastAsia" w:ascii="宋体" w:hAnsi="宋体" w:eastAsia="宋体" w:cs="仿宋_GB2312"/>
          <w:kern w:val="2"/>
          <w:sz w:val="32"/>
          <w:szCs w:val="32"/>
          <w:lang w:val="en-US" w:eastAsia="zh-CN" w:bidi="ar-SA"/>
        </w:rPr>
      </w:pPr>
      <w:r>
        <w:rPr>
          <w:rFonts w:hint="default" w:ascii="宋体" w:hAnsi="宋体" w:eastAsia="黑体" w:cs="Times New Roman"/>
          <w:b w:val="0"/>
          <w:bCs w:val="0"/>
          <w:color w:val="000000"/>
          <w:sz w:val="32"/>
          <w:szCs w:val="32"/>
        </w:rPr>
        <w:t>第四十</w:t>
      </w:r>
      <w:r>
        <w:rPr>
          <w:rFonts w:hint="default" w:ascii="宋体" w:hAnsi="宋体" w:eastAsia="黑体" w:cs="Times New Roman"/>
          <w:b w:val="0"/>
          <w:bCs w:val="0"/>
          <w:color w:val="000000"/>
          <w:sz w:val="32"/>
          <w:szCs w:val="32"/>
          <w:lang w:eastAsia="zh-CN"/>
        </w:rPr>
        <w:t>八</w:t>
      </w:r>
      <w:r>
        <w:rPr>
          <w:rFonts w:hint="default" w:ascii="宋体" w:hAnsi="宋体" w:eastAsia="黑体" w:cs="Times New Roman"/>
          <w:b w:val="0"/>
          <w:bCs w:val="0"/>
          <w:color w:val="000000"/>
          <w:sz w:val="32"/>
          <w:szCs w:val="32"/>
        </w:rPr>
        <w:t>条</w:t>
      </w:r>
      <w:r>
        <w:rPr>
          <w:rFonts w:hint="eastAsia" w:ascii="宋体" w:hAnsi="宋体" w:eastAsia="黑体" w:cs="Times New Roman"/>
          <w:b w:val="0"/>
          <w:bCs w:val="0"/>
          <w:color w:val="000000"/>
          <w:sz w:val="32"/>
          <w:szCs w:val="32"/>
          <w:lang w:val="en-US" w:eastAsia="zh-CN"/>
        </w:rPr>
        <w:t xml:space="preserve">  </w:t>
      </w:r>
      <w:r>
        <w:rPr>
          <w:rFonts w:hint="default" w:ascii="宋体" w:hAnsi="宋体" w:eastAsia="仿宋_GB2312" w:cs="Times New Roman"/>
          <w:b w:val="0"/>
          <w:bCs w:val="0"/>
          <w:color w:val="000000"/>
          <w:sz w:val="32"/>
          <w:szCs w:val="32"/>
        </w:rPr>
        <w:t>本条例自</w:t>
      </w:r>
      <w:r>
        <w:rPr>
          <w:rFonts w:hint="eastAsia" w:ascii="宋体" w:hAnsi="宋体" w:eastAsia="仿宋_GB2312" w:cs="Times New Roman"/>
          <w:b w:val="0"/>
          <w:bCs w:val="0"/>
          <w:color w:val="000000"/>
          <w:sz w:val="32"/>
          <w:szCs w:val="32"/>
          <w:lang w:val="en-US" w:eastAsia="zh-CN"/>
        </w:rPr>
        <w:t>2020</w:t>
      </w:r>
      <w:r>
        <w:rPr>
          <w:rFonts w:hint="default" w:ascii="宋体" w:hAnsi="宋体" w:eastAsia="仿宋_GB2312" w:cs="Times New Roman"/>
          <w:b w:val="0"/>
          <w:bCs w:val="0"/>
          <w:color w:val="000000"/>
          <w:sz w:val="32"/>
          <w:szCs w:val="32"/>
        </w:rPr>
        <w:t>年</w:t>
      </w:r>
      <w:r>
        <w:rPr>
          <w:rFonts w:hint="eastAsia" w:ascii="宋体" w:hAnsi="宋体" w:eastAsia="仿宋_GB2312" w:cs="Times New Roman"/>
          <w:b w:val="0"/>
          <w:bCs w:val="0"/>
          <w:color w:val="000000"/>
          <w:sz w:val="32"/>
          <w:szCs w:val="32"/>
          <w:lang w:val="en-US" w:eastAsia="zh-CN"/>
        </w:rPr>
        <w:t>5</w:t>
      </w:r>
      <w:r>
        <w:rPr>
          <w:rFonts w:hint="default" w:ascii="宋体" w:hAnsi="宋体" w:eastAsia="仿宋_GB2312" w:cs="Times New Roman"/>
          <w:b w:val="0"/>
          <w:bCs w:val="0"/>
          <w:color w:val="000000"/>
          <w:sz w:val="32"/>
          <w:szCs w:val="32"/>
        </w:rPr>
        <w:t>月</w:t>
      </w:r>
      <w:r>
        <w:rPr>
          <w:rFonts w:hint="eastAsia" w:ascii="宋体" w:hAnsi="宋体" w:eastAsia="仿宋_GB2312" w:cs="Times New Roman"/>
          <w:b w:val="0"/>
          <w:bCs w:val="0"/>
          <w:color w:val="000000"/>
          <w:sz w:val="32"/>
          <w:szCs w:val="32"/>
          <w:lang w:val="en-US" w:eastAsia="zh-CN"/>
        </w:rPr>
        <w:t>1</w:t>
      </w:r>
      <w:r>
        <w:rPr>
          <w:rFonts w:hint="default" w:ascii="宋体" w:hAnsi="宋体" w:eastAsia="仿宋_GB2312" w:cs="Times New Roman"/>
          <w:b w:val="0"/>
          <w:bCs w:val="0"/>
          <w:color w:val="000000"/>
          <w:sz w:val="32"/>
          <w:szCs w:val="32"/>
        </w:rPr>
        <w:t>日起施行。</w:t>
      </w:r>
    </w:p>
    <w:p>
      <w:pPr>
        <w:widowControl w:val="0"/>
        <w:wordWrap/>
        <w:overflowPunct w:val="0"/>
        <w:adjustRightInd/>
        <w:snapToGrid/>
        <w:spacing w:line="590" w:lineRule="exact"/>
        <w:ind w:left="0" w:leftChars="0" w:right="0"/>
        <w:jc w:val="center"/>
        <w:textAlignment w:val="auto"/>
        <w:outlineLvl w:val="0"/>
        <w:rPr>
          <w:rFonts w:hint="eastAsia" w:ascii="宋体" w:hAnsi="宋体" w:eastAsia="宋体" w:cs="宋体"/>
          <w:sz w:val="44"/>
          <w:szCs w:val="44"/>
        </w:rPr>
      </w:pPr>
      <w:r>
        <w:rPr>
          <w:rFonts w:hint="eastAsia" w:ascii="宋体" w:hAnsi="宋体" w:eastAsia="宋体" w:cs="宋体"/>
          <w:color w:val="000000"/>
          <w:sz w:val="44"/>
          <w:szCs w:val="44"/>
        </w:rPr>
        <w:br w:type="page"/>
      </w:r>
      <w:bookmarkStart w:id="440" w:name="_Toc11319"/>
      <w:bookmarkStart w:id="441" w:name="_Toc30924"/>
      <w:r>
        <w:rPr>
          <w:rFonts w:hint="eastAsia" w:ascii="宋体" w:hAnsi="宋体" w:eastAsia="宋体" w:cs="宋体"/>
          <w:sz w:val="44"/>
          <w:szCs w:val="44"/>
        </w:rPr>
        <w:t>广东省渔业管理条例</w:t>
      </w:r>
      <w:bookmarkEnd w:id="440"/>
    </w:p>
    <w:p>
      <w:pPr>
        <w:widowControl w:val="0"/>
        <w:wordWrap/>
        <w:overflowPunct w:val="0"/>
        <w:adjustRightInd/>
        <w:snapToGrid/>
        <w:spacing w:line="590" w:lineRule="exact"/>
        <w:ind w:left="0" w:leftChars="0" w:right="0"/>
        <w:jc w:val="center"/>
        <w:textAlignment w:val="auto"/>
        <w:outlineLvl w:val="9"/>
        <w:rPr>
          <w:rFonts w:hint="eastAsia" w:ascii="宋体" w:hAnsi="宋体" w:eastAsia="方正小标宋简体" w:cs="方正小标宋简体"/>
          <w:sz w:val="32"/>
          <w:szCs w:val="32"/>
          <w:lang w:val="en-US" w:eastAsia="zh-CN"/>
        </w:rPr>
      </w:pPr>
    </w:p>
    <w:p>
      <w:pPr>
        <w:overflowPunct w:val="0"/>
        <w:spacing w:beforeLines="0" w:afterLines="0" w:line="590" w:lineRule="exact"/>
        <w:ind w:left="640" w:leftChars="200" w:right="640" w:rightChars="200"/>
        <w:rPr>
          <w:rFonts w:hint="eastAsia" w:ascii="宋体" w:hAnsi="宋体" w:eastAsia="楷体_GB2312" w:cs="楷体_GB2312"/>
          <w:sz w:val="32"/>
          <w:szCs w:val="32"/>
          <w:lang w:eastAsia="zh-CN"/>
        </w:rPr>
      </w:pPr>
      <w:r>
        <w:rPr>
          <w:rFonts w:hint="eastAsia" w:ascii="宋体" w:hAnsi="宋体" w:eastAsia="楷体_GB2312" w:cs="楷体_GB2312"/>
          <w:sz w:val="32"/>
          <w:szCs w:val="32"/>
          <w:lang w:eastAsia="zh-CN"/>
        </w:rPr>
        <w:t>（2003年7月25日广东省第十届人民代表大会常务委员会第五次会议通过</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lang w:eastAsia="zh-CN"/>
        </w:rPr>
        <w:t>根据2012年7月26日广东省第十一届人民代表大会常务委员会第三十五次会议《关于修改&lt;广东省民营科技企业管理条例&gt;等二十三项法规的决定》第一次修正</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sz w:val="32"/>
          <w:szCs w:val="32"/>
          <w:lang w:eastAsia="zh-CN"/>
        </w:rPr>
        <w:t>根据2015年12月30日广东省第十二届人民代表大会常务委员会第二十二次会议《关于修改〈广东省实施《中华人民共和国海洋环境保护法》办法〉和〈广东省渔业管理条例〉个别条款的决定》第二次修正</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bCs/>
          <w:sz w:val="32"/>
          <w:szCs w:val="32"/>
          <w:lang w:val="en-US" w:eastAsia="zh-CN"/>
        </w:rPr>
        <w:t>根据</w:t>
      </w:r>
      <w:r>
        <w:rPr>
          <w:rFonts w:hint="eastAsia" w:ascii="宋体" w:hAnsi="宋体" w:eastAsia="楷体_GB2312" w:cs="楷体_GB2312"/>
          <w:color w:val="auto"/>
          <w:sz w:val="32"/>
          <w:szCs w:val="32"/>
        </w:rPr>
        <w:t>201</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年</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月</w:t>
      </w:r>
      <w:r>
        <w:rPr>
          <w:rFonts w:hint="eastAsia" w:ascii="宋体" w:hAnsi="宋体" w:eastAsia="楷体_GB2312" w:cs="楷体_GB2312"/>
          <w:color w:val="auto"/>
          <w:sz w:val="32"/>
          <w:szCs w:val="32"/>
          <w:lang w:val="en-US" w:eastAsia="zh-CN"/>
        </w:rPr>
        <w:t>25</w:t>
      </w:r>
      <w:r>
        <w:rPr>
          <w:rFonts w:hint="eastAsia" w:ascii="宋体" w:hAnsi="宋体" w:eastAsia="楷体_GB2312" w:cs="楷体_GB2312"/>
          <w:color w:val="auto"/>
          <w:sz w:val="32"/>
          <w:szCs w:val="32"/>
        </w:rPr>
        <w:t>日广东省第十</w:t>
      </w:r>
      <w:r>
        <w:rPr>
          <w:rFonts w:hint="eastAsia" w:ascii="宋体" w:hAnsi="宋体" w:eastAsia="楷体_GB2312" w:cs="楷体_GB2312"/>
          <w:color w:val="auto"/>
          <w:sz w:val="32"/>
          <w:szCs w:val="32"/>
          <w:lang w:eastAsia="zh-CN"/>
        </w:rPr>
        <w:t>三</w:t>
      </w:r>
      <w:r>
        <w:rPr>
          <w:rFonts w:hint="eastAsia" w:ascii="宋体" w:hAnsi="宋体" w:eastAsia="楷体_GB2312" w:cs="楷体_GB2312"/>
          <w:color w:val="auto"/>
          <w:sz w:val="32"/>
          <w:szCs w:val="32"/>
        </w:rPr>
        <w:t>届人民代表大会常务委员会第</w:t>
      </w:r>
      <w:r>
        <w:rPr>
          <w:rFonts w:hint="eastAsia" w:ascii="宋体" w:hAnsi="宋体" w:eastAsia="楷体_GB2312" w:cs="楷体_GB2312"/>
          <w:color w:val="auto"/>
          <w:sz w:val="32"/>
          <w:szCs w:val="32"/>
          <w:lang w:val="en-US" w:eastAsia="zh-CN"/>
        </w:rPr>
        <w:t>十四</w:t>
      </w:r>
      <w:r>
        <w:rPr>
          <w:rFonts w:hint="eastAsia" w:ascii="宋体" w:hAnsi="宋体" w:eastAsia="楷体_GB2312" w:cs="楷体_GB2312"/>
          <w:color w:val="auto"/>
          <w:sz w:val="32"/>
          <w:szCs w:val="32"/>
        </w:rPr>
        <w:t>次会议《</w:t>
      </w:r>
      <w:r>
        <w:rPr>
          <w:rFonts w:hint="eastAsia" w:ascii="宋体" w:hAnsi="宋体" w:eastAsia="楷体_GB2312" w:cs="楷体_GB2312"/>
          <w:b w:val="0"/>
          <w:bCs w:val="0"/>
          <w:spacing w:val="0"/>
          <w:sz w:val="32"/>
          <w:szCs w:val="32"/>
          <w:lang w:eastAsia="zh-CN"/>
        </w:rPr>
        <w:t>关于修改〈广东省食品安全条例〉</w:t>
      </w:r>
      <w:r>
        <w:rPr>
          <w:rFonts w:hint="eastAsia" w:ascii="宋体" w:hAnsi="宋体" w:eastAsia="楷体_GB2312" w:cs="楷体_GB2312"/>
          <w:spacing w:val="0"/>
          <w:sz w:val="32"/>
          <w:szCs w:val="32"/>
          <w:lang w:eastAsia="zh-CN"/>
        </w:rPr>
        <w:t>等十项地方性法规的决定</w:t>
      </w:r>
      <w:r>
        <w:rPr>
          <w:rFonts w:hint="eastAsia" w:ascii="宋体" w:hAnsi="宋体" w:eastAsia="楷体_GB2312" w:cs="楷体_GB2312"/>
          <w:color w:val="auto"/>
          <w:sz w:val="32"/>
          <w:szCs w:val="32"/>
        </w:rPr>
        <w:t>》</w:t>
      </w:r>
      <w:r>
        <w:rPr>
          <w:rFonts w:hint="eastAsia" w:ascii="宋体" w:hAnsi="宋体" w:eastAsia="楷体_GB2312" w:cs="楷体_GB2312"/>
          <w:color w:val="auto"/>
          <w:sz w:val="32"/>
          <w:szCs w:val="32"/>
          <w:lang w:eastAsia="zh-CN"/>
        </w:rPr>
        <w:t>第三次修正</w:t>
      </w:r>
      <w:r>
        <w:rPr>
          <w:rFonts w:hint="eastAsia" w:ascii="宋体" w:hAnsi="宋体" w:eastAsia="楷体_GB2312" w:cs="楷体_GB2312"/>
          <w:sz w:val="32"/>
          <w:szCs w:val="32"/>
          <w:lang w:eastAsia="zh-CN"/>
        </w:rPr>
        <w:t>）</w:t>
      </w:r>
    </w:p>
    <w:p>
      <w:pPr>
        <w:widowControl w:val="0"/>
        <w:wordWrap/>
        <w:overflowPunct w:val="0"/>
        <w:adjustRightInd/>
        <w:snapToGrid/>
        <w:spacing w:line="590" w:lineRule="exact"/>
        <w:ind w:left="0" w:leftChars="0" w:right="0"/>
        <w:jc w:val="center"/>
        <w:textAlignment w:val="auto"/>
        <w:outlineLvl w:val="9"/>
        <w:rPr>
          <w:rFonts w:hint="eastAsia" w:ascii="宋体" w:hAnsi="宋体" w:eastAsia="宋体" w:cs="宋体"/>
          <w:sz w:val="32"/>
          <w:szCs w:val="32"/>
          <w:lang w:val="en-US" w:eastAsia="zh-CN"/>
        </w:rPr>
      </w:pPr>
    </w:p>
    <w:p>
      <w:pPr>
        <w:widowControl w:val="0"/>
        <w:overflowPunct w:val="0"/>
        <w:spacing w:line="590" w:lineRule="exact"/>
        <w:ind w:firstLine="0" w:firstLineChars="0"/>
        <w:jc w:val="center"/>
        <w:rPr>
          <w:rFonts w:hint="eastAsia" w:ascii="宋体" w:hAnsi="宋体" w:eastAsia="楷体_GB2312" w:cs="楷体_GB2312"/>
          <w:kern w:val="2"/>
          <w:sz w:val="32"/>
          <w:lang w:val="en-US" w:eastAsia="zh-CN"/>
        </w:rPr>
      </w:pPr>
      <w:r>
        <w:rPr>
          <w:rFonts w:hint="eastAsia" w:ascii="宋体" w:hAnsi="宋体" w:eastAsia="楷体_GB2312" w:cs="楷体_GB2312"/>
          <w:kern w:val="2"/>
          <w:sz w:val="32"/>
          <w:lang w:val="en-US" w:eastAsia="zh-CN"/>
        </w:rPr>
        <w:t>目    录</w:t>
      </w:r>
    </w:p>
    <w:p>
      <w:pPr>
        <w:widowControl w:val="0"/>
        <w:overflowPunct w:val="0"/>
        <w:spacing w:line="590" w:lineRule="exact"/>
        <w:ind w:firstLine="640" w:firstLineChars="200"/>
        <w:jc w:val="both"/>
        <w:rPr>
          <w:rFonts w:hint="eastAsia" w:ascii="宋体" w:hAnsi="宋体" w:eastAsia="楷体_GB2312" w:cs="楷体_GB2312"/>
          <w:kern w:val="2"/>
          <w:sz w:val="32"/>
          <w:lang w:val="en-US" w:eastAsia="zh-CN"/>
        </w:rPr>
      </w:pP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第二章　养殖管理</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第三章　水产苗种管理</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第四章　捕捞管理</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rPr>
        <w:t>第五章　渔业资源增殖和保护</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color w:val="auto"/>
          <w:sz w:val="32"/>
          <w:szCs w:val="32"/>
        </w:rPr>
      </w:pPr>
      <w:r>
        <w:rPr>
          <w:rFonts w:hint="eastAsia" w:ascii="宋体" w:hAnsi="宋体" w:eastAsia="楷体_GB2312" w:cs="楷体_GB2312"/>
          <w:color w:val="auto"/>
          <w:sz w:val="32"/>
          <w:szCs w:val="32"/>
        </w:rPr>
        <w:t>第六章　法律责任</w:t>
      </w:r>
    </w:p>
    <w:p>
      <w:pPr>
        <w:widowControl w:val="0"/>
        <w:wordWrap/>
        <w:overflowPunct w:val="0"/>
        <w:adjustRightInd/>
        <w:snapToGrid/>
        <w:spacing w:beforeLines="0" w:afterLines="0" w:line="590" w:lineRule="exact"/>
        <w:ind w:left="0" w:leftChars="0" w:right="0" w:firstLine="640" w:firstLineChars="200"/>
        <w:jc w:val="both"/>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第七章　附则</w:t>
      </w:r>
    </w:p>
    <w:p>
      <w:pPr>
        <w:widowControl w:val="0"/>
        <w:overflowPunct w:val="0"/>
        <w:spacing w:beforeLines="0" w:afterLines="0" w:line="590" w:lineRule="exact"/>
        <w:ind w:firstLine="640" w:firstLineChars="200"/>
        <w:jc w:val="both"/>
        <w:rPr>
          <w:rFonts w:hint="eastAsia" w:ascii="宋体" w:hAnsi="宋体" w:eastAsia="宋体" w:cs="宋体"/>
          <w:kern w:val="2"/>
          <w:sz w:val="32"/>
          <w:lang w:val="en-US" w:eastAsia="zh-CN"/>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第一章　总则</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　　</w:t>
      </w:r>
    </w:p>
    <w:p>
      <w:pPr>
        <w:widowControl w:val="0"/>
        <w:wordWrap/>
        <w:overflowPunct w:val="0"/>
        <w:adjustRightInd/>
        <w:snapToGrid/>
        <w:spacing w:line="590" w:lineRule="exact"/>
        <w:ind w:left="0" w:leftChars="0" w:right="0" w:firstLine="640" w:firstLineChars="200"/>
        <w:textAlignment w:val="auto"/>
        <w:outlineLvl w:val="9"/>
        <w:rPr>
          <w:rFonts w:hint="eastAsia" w:ascii="宋体" w:hAnsi="宋体" w:eastAsia="仿宋_GB2312" w:cs="仿宋_GB2312"/>
          <w:sz w:val="32"/>
          <w:szCs w:val="32"/>
        </w:rPr>
      </w:pPr>
      <w:r>
        <w:rPr>
          <w:rFonts w:hint="eastAsia" w:ascii="宋体" w:hAnsi="宋体" w:eastAsia="黑体" w:cs="黑体"/>
          <w:sz w:val="32"/>
          <w:szCs w:val="32"/>
          <w:lang w:val="en-US" w:eastAsia="zh-CN"/>
        </w:rPr>
        <w:t>第一条</w:t>
      </w:r>
      <w:r>
        <w:rPr>
          <w:rFonts w:hint="eastAsia" w:ascii="宋体" w:hAnsi="宋体" w:eastAsia="仿宋_GB2312" w:cs="仿宋_GB2312"/>
          <w:sz w:val="32"/>
          <w:szCs w:val="32"/>
          <w:lang w:val="en-US" w:eastAsia="zh-CN"/>
        </w:rPr>
        <w:t>　为加强渔业资源保护、增殖、开发和合理利用，保障渔业生产者的合法权益，促进渔业的可持续发展，根据《</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(191977,0)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中华人民共和国农业法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(218763,0)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中华人民共和国渔业法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》及其他有关法律、法规，结合本省实际，制定本条例。</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第二条</w:t>
      </w:r>
      <w:r>
        <w:rPr>
          <w:rFonts w:hint="eastAsia" w:ascii="宋体" w:hAnsi="宋体" w:eastAsia="仿宋_GB2312" w:cs="仿宋_GB2312"/>
          <w:sz w:val="32"/>
          <w:szCs w:val="32"/>
          <w:lang w:val="en-US" w:eastAsia="zh-CN"/>
        </w:rPr>
        <w:t>　在本省水域、滩涂和国家规定由本省实施渔业监督管理的水域从事养殖、捕捞等渔业生产活动以及管理，必须遵守本条例。</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第三条</w:t>
      </w:r>
      <w:r>
        <w:rPr>
          <w:rFonts w:hint="eastAsia" w:ascii="宋体" w:hAnsi="宋体" w:eastAsia="仿宋_GB2312" w:cs="仿宋_GB2312"/>
          <w:sz w:val="32"/>
          <w:szCs w:val="32"/>
          <w:lang w:val="en-US" w:eastAsia="zh-CN"/>
        </w:rPr>
        <w:t>　县级以上人民政府应当把渔业生产纳入国民经济发展计划，采取措施，加强水域的统一规划和综合利用。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渔业生产实行以养殖为主，养殖、捕捞、加工并举，因地制宜，各有侧重的方针。</w:t>
      </w:r>
      <w:r>
        <w:rPr>
          <w:rFonts w:hint="eastAsia" w:ascii="宋体" w:hAnsi="宋体" w:eastAsia="楷体_GB2312" w:cs="楷体"/>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第四条</w:t>
      </w:r>
      <w:r>
        <w:rPr>
          <w:rFonts w:hint="eastAsia" w:ascii="宋体" w:hAnsi="宋体" w:eastAsia="仿宋_GB2312" w:cs="仿宋_GB2312"/>
          <w:sz w:val="32"/>
          <w:szCs w:val="32"/>
          <w:lang w:val="en-US" w:eastAsia="zh-CN"/>
        </w:rPr>
        <w:t>　各级人民政府应当鼓励渔业科学技术的研究和应用，推广先进技术，提高渔业科学技术水平。</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第五条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主管部门应当加强渔业产品质量的监督管理，建立渔业产品质量检验检测监督体系，推行渔业标准化生产，并按照国家有关规定加强水生动植物防疫和检疫的监督管理。</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第六条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主管部门主管本行政区域内的渔业工作，组织实施本条例。其他有关</w:t>
      </w:r>
      <w:r>
        <w:rPr>
          <w:rFonts w:hint="eastAsia" w:ascii="宋体" w:hAnsi="宋体" w:eastAsia="仿宋_GB2312" w:cs="仿宋_GB2312"/>
          <w:i w:val="0"/>
          <w:iCs w:val="0"/>
          <w:sz w:val="32"/>
          <w:szCs w:val="32"/>
          <w:u w:val="none"/>
          <w:lang w:val="en-US" w:eastAsia="zh-CN"/>
        </w:rPr>
        <w:t>行政</w:t>
      </w:r>
      <w:r>
        <w:rPr>
          <w:rFonts w:hint="eastAsia" w:ascii="宋体" w:hAnsi="宋体" w:eastAsia="仿宋_GB2312" w:cs="仿宋_GB2312"/>
          <w:sz w:val="32"/>
          <w:szCs w:val="32"/>
          <w:lang w:val="en-US" w:eastAsia="zh-CN"/>
        </w:rPr>
        <w:t>主管部门，按照各自职责，协助做好渔业监督管理工作。</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主管部门可以在重要渔业水域、渔港设渔政监督管理机构。上级渔政监督管理机构有权对下级渔政监督管理机构的工作进行监督。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乡、镇人民政府协助</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主管部门做好本行政区域内的渔业管理工作。</w:t>
      </w:r>
      <w:r>
        <w:rPr>
          <w:rFonts w:hint="eastAsia" w:ascii="宋体" w:hAnsi="宋体" w:eastAsia="楷体_GB2312" w:cs="楷体"/>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第七条</w:t>
      </w:r>
      <w:r>
        <w:rPr>
          <w:rFonts w:hint="eastAsia" w:ascii="宋体" w:hAnsi="宋体" w:eastAsia="仿宋_GB2312" w:cs="仿宋_GB2312"/>
          <w:sz w:val="32"/>
          <w:szCs w:val="32"/>
          <w:lang w:val="en-US" w:eastAsia="zh-CN"/>
        </w:rPr>
        <w:t>　本省渔业的监督管理，实行统一领导、分级管理。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跨市、县的或者两个以上市、县共同生产作业的渔业水域、滩涂，由共同的上级</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主管部门或者渔政监督管理机构监督管理，或者由共同的上级</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主管部门、渔政监督管理机构指定有关的市、县</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w:t>
      </w:r>
      <w:r>
        <w:rPr>
          <w:rFonts w:hint="eastAsia" w:ascii="宋体" w:hAnsi="宋体" w:eastAsia="黑体" w:cs="黑体"/>
          <w:color w:val="auto"/>
          <w:sz w:val="32"/>
          <w:szCs w:val="32"/>
          <w:lang w:val="en-US" w:eastAsia="zh-CN"/>
        </w:rPr>
        <w:t>、</w:t>
      </w:r>
      <w:r>
        <w:rPr>
          <w:rFonts w:hint="eastAsia" w:ascii="宋体" w:hAnsi="宋体" w:eastAsia="仿宋_GB2312" w:cs="仿宋_GB2312"/>
          <w:sz w:val="32"/>
          <w:szCs w:val="32"/>
          <w:lang w:val="en-US" w:eastAsia="zh-CN"/>
        </w:rPr>
        <w:t>渔政监督管理机构监督管理。</w:t>
      </w:r>
      <w:r>
        <w:rPr>
          <w:rFonts w:hint="eastAsia" w:ascii="宋体" w:hAnsi="宋体" w:eastAsia="楷体_GB2312" w:cs="楷体"/>
          <w:b/>
          <w:bCs/>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第八条</w:t>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主管部门和渔政监督管理机构及其工作人员不得参与和从事渔业生产经营活动。</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第二章　养殖管理</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cs="仿宋_GB2312"/>
          <w:sz w:val="32"/>
          <w:szCs w:val="32"/>
          <w:lang w:val="en-US" w:eastAsia="zh-CN"/>
        </w:rPr>
      </w:pPr>
      <w:r>
        <w:rPr>
          <w:rFonts w:hint="eastAsia" w:ascii="宋体" w:hAnsi="宋体" w:eastAsia="黑体" w:cs="黑体"/>
          <w:sz w:val="32"/>
          <w:szCs w:val="32"/>
          <w:lang w:val="en-US" w:eastAsia="zh-CN"/>
        </w:rPr>
        <w:t>第九条</w:t>
      </w:r>
      <w:r>
        <w:rPr>
          <w:rFonts w:hint="eastAsia" w:ascii="宋体" w:hAnsi="宋体" w:eastAsia="仿宋_GB2312" w:cs="仿宋_GB2312"/>
          <w:sz w:val="32"/>
          <w:szCs w:val="32"/>
          <w:lang w:val="en-US" w:eastAsia="zh-CN"/>
        </w:rPr>
        <w:t>　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主管部门应当根据国家对水域、滩涂利用的统一规划，会同交通、自然</w:t>
      </w:r>
      <w:r>
        <w:rPr>
          <w:rFonts w:hint="eastAsia" w:ascii="宋体" w:hAnsi="宋体" w:eastAsia="仿宋_GB2312" w:cs="仿宋_GB2312"/>
          <w:color w:val="auto"/>
          <w:sz w:val="32"/>
          <w:szCs w:val="32"/>
          <w:lang w:val="en-US" w:eastAsia="zh-CN"/>
        </w:rPr>
        <w:t>资源</w:t>
      </w:r>
      <w:r>
        <w:rPr>
          <w:rFonts w:hint="eastAsia" w:ascii="宋体" w:hAnsi="宋体" w:eastAsia="仿宋_GB2312" w:cs="仿宋_GB2312"/>
          <w:sz w:val="32"/>
          <w:szCs w:val="32"/>
          <w:lang w:val="en-US" w:eastAsia="zh-CN"/>
        </w:rPr>
        <w:t>、</w:t>
      </w:r>
      <w:r>
        <w:rPr>
          <w:rFonts w:hint="eastAsia" w:ascii="宋体" w:hAnsi="宋体" w:eastAsia="仿宋_GB2312" w:cs="仿宋_GB2312"/>
          <w:i w:val="0"/>
          <w:iCs w:val="0"/>
          <w:sz w:val="32"/>
          <w:szCs w:val="32"/>
          <w:u w:val="none"/>
          <w:lang w:val="en-US" w:eastAsia="zh-CN"/>
        </w:rPr>
        <w:t>建设</w:t>
      </w:r>
      <w:r>
        <w:rPr>
          <w:rFonts w:hint="eastAsia" w:ascii="宋体" w:hAnsi="宋体" w:eastAsia="仿宋_GB2312" w:cs="仿宋_GB2312"/>
          <w:sz w:val="32"/>
          <w:szCs w:val="32"/>
          <w:lang w:val="en-US" w:eastAsia="zh-CN"/>
        </w:rPr>
        <w:t>、生态环境、水利、</w:t>
      </w:r>
      <w:r>
        <w:rPr>
          <w:rFonts w:hint="eastAsia" w:ascii="宋体" w:hAnsi="宋体" w:eastAsia="仿宋_GB2312" w:cs="仿宋_GB2312"/>
          <w:i w:val="0"/>
          <w:iCs w:val="0"/>
          <w:sz w:val="32"/>
          <w:szCs w:val="32"/>
          <w:u w:val="none"/>
          <w:lang w:val="en-US" w:eastAsia="zh-CN"/>
        </w:rPr>
        <w:t>林业、</w:t>
      </w:r>
      <w:r>
        <w:rPr>
          <w:rFonts w:hint="eastAsia" w:ascii="宋体" w:hAnsi="宋体" w:eastAsia="仿宋_GB2312" w:cs="仿宋_GB2312"/>
          <w:sz w:val="32"/>
          <w:szCs w:val="32"/>
          <w:lang w:val="en-US" w:eastAsia="zh-CN"/>
        </w:rPr>
        <w:t>海事等有关部门，制定养殖水域、滩涂利用规划，报省人民政府批准实施。养殖水域、滩涂利用规划应当与土地利用、防洪、防风等规划相衔接。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县级以上人民政府应当加强商品鱼生产基地和城市郊区重要养殖水域的保护，划定养殖保护区，采取相应的保护措施。</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主管部门应当加强对所辖水域、滩涂养殖容量的调查评估，根据养殖区域的自然承载力，确定养殖容量并实施监控和管理。</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第十一条</w:t>
      </w:r>
      <w:r>
        <w:rPr>
          <w:rFonts w:hint="eastAsia" w:ascii="宋体" w:hAnsi="宋体" w:eastAsia="仿宋_GB2312" w:cs="仿宋_GB2312"/>
          <w:sz w:val="32"/>
          <w:szCs w:val="32"/>
          <w:lang w:val="en-US" w:eastAsia="zh-CN"/>
        </w:rPr>
        <w:t>　使用国家规划确定用于养殖业的全民所有的水域、滩涂从事养殖生产的单位和个人，应当向水域、滩涂所在地县级以上人民政府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主管部门提出申请，由本级人民政府核发养殖证，许可其使用该水域、滩涂从事养殖生产。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承包集体所有或者全民所有由集体经济组织使用的水域、滩涂从事养殖生产的，依法签订承包合同后，可以向所在地县级以上人民政府申请领取养殖证，当地人民政府予以注册登记后，发给养殖证。养殖证登记事项发生变更的，需到原发证机关办理变更登记手续。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从事养殖的单位和个人需持有养殖证方可申请水产品原产地证书、无公害水产品基地资格等。</w:t>
      </w:r>
      <w:r>
        <w:rPr>
          <w:rFonts w:hint="eastAsia" w:ascii="宋体" w:hAnsi="宋体" w:eastAsia="仿宋_GB2312" w:cs="仿宋_GB2312"/>
          <w:b w:val="0"/>
          <w:bCs w:val="0"/>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第十二条</w:t>
      </w:r>
      <w:r>
        <w:rPr>
          <w:rFonts w:hint="eastAsia" w:ascii="宋体" w:hAnsi="宋体" w:eastAsia="仿宋_GB2312" w:cs="仿宋_GB2312"/>
          <w:sz w:val="32"/>
          <w:szCs w:val="32"/>
          <w:lang w:val="en-US" w:eastAsia="zh-CN"/>
        </w:rPr>
        <w:t>　核发养殖证应当符合养殖水域、滩涂利用规划和区域养殖容量要求，并优先安排以下当地渔业生产者：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（一）养殖水域、滩涂毗邻所在村、乡（镇）的；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（二）因渔业产业结构调整从捕捞业转产从事养殖业的</w:t>
      </w:r>
      <w:r>
        <w:rPr>
          <w:rFonts w:hint="eastAsia" w:ascii="宋体" w:hAnsi="宋体" w:cs="仿宋_GB2312"/>
          <w:sz w:val="32"/>
          <w:szCs w:val="32"/>
          <w:lang w:val="en-US" w:eastAsia="zh-CN"/>
        </w:rPr>
        <w:t xml:space="preserve">；  </w:t>
      </w: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（三）因养殖规划调整另行安排养殖场所的。</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第十三条</w:t>
      </w:r>
      <w:r>
        <w:rPr>
          <w:rFonts w:hint="eastAsia" w:ascii="宋体" w:hAnsi="宋体" w:eastAsia="仿宋_GB2312" w:cs="仿宋_GB2312"/>
          <w:sz w:val="32"/>
          <w:szCs w:val="32"/>
          <w:lang w:val="en-US" w:eastAsia="zh-CN"/>
        </w:rPr>
        <w:t>　水域、滩涂养殖使用权可以依法转让。任何单位和个人不得侵占、买卖或者以其他形式非法转让水域、滩涂养殖使用权。</w:t>
      </w:r>
      <w:r>
        <w:rPr>
          <w:rFonts w:hint="eastAsia" w:ascii="宋体" w:hAnsi="宋体" w:eastAsia="楷体_GB2312" w:cs="楷体"/>
          <w:b w:val="0"/>
          <w:bCs w:val="0"/>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第十四条</w:t>
      </w:r>
      <w:r>
        <w:rPr>
          <w:rFonts w:hint="eastAsia" w:ascii="宋体" w:hAnsi="宋体" w:eastAsia="仿宋_GB2312" w:cs="仿宋_GB2312"/>
          <w:sz w:val="32"/>
          <w:szCs w:val="32"/>
          <w:lang w:val="en-US" w:eastAsia="zh-CN"/>
        </w:rPr>
        <w:t>　从事养殖生产的单位和个人应当遵守下列规定：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（一）使用全民所有的水域、滩涂从事养殖生产的，按照养殖证许可使用的范围进行生产；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（二）合理使用渔药、饵料、饲料、添加剂，并做好使用记录，不得使用含有毒有害物质的渔药、饲料、饵料、添加剂等；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（三）不得向养殖水域倾倒生产、生活垃圾；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（四）及时合理处置被污染或者含病原体的水体和病死养殖生物，防止病害传播；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（五）防止对水域生态系统有危害的养殖品种逃逸。</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第十五条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主管部门应当采取措施鼓励发展无公害水产品养殖，并加强监督管理。</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主管部门协助做好无公害水产品认证。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第十六条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主管部门应当加强对养殖</w:t>
      </w:r>
      <w:r>
        <w:rPr>
          <w:rFonts w:hint="eastAsia" w:ascii="宋体" w:hAnsi="宋体" w:eastAsia="仿宋_GB2312" w:cs="仿宋_GB2312"/>
          <w:i w:val="0"/>
          <w:iCs w:val="0"/>
          <w:sz w:val="32"/>
          <w:szCs w:val="32"/>
          <w:u w:val="none"/>
          <w:lang w:val="en-US" w:eastAsia="zh-CN"/>
        </w:rPr>
        <w:t>的水域环境、</w:t>
      </w:r>
      <w:r>
        <w:rPr>
          <w:rFonts w:hint="eastAsia" w:ascii="宋体" w:hAnsi="宋体" w:eastAsia="仿宋_GB2312" w:cs="仿宋_GB2312"/>
          <w:sz w:val="32"/>
          <w:szCs w:val="32"/>
          <w:lang w:val="en-US" w:eastAsia="zh-CN"/>
        </w:rPr>
        <w:t>水质状况、水生生物毒性和疫情等的监控，并对水域生态环境影响较大的养殖品种和方式予以限制。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养殖水域环境遭到污染时，县级以上人民政府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主管部门应当采取强制性应急措施，或者报本级人民政府批准后，暂时关闭养殖区域。</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第三章　水产苗种管理</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第十七条</w:t>
      </w:r>
      <w:r>
        <w:rPr>
          <w:rFonts w:hint="eastAsia" w:ascii="宋体" w:hAnsi="宋体" w:eastAsia="仿宋_GB2312" w:cs="仿宋_GB2312"/>
          <w:sz w:val="32"/>
          <w:szCs w:val="32"/>
          <w:lang w:val="en-US" w:eastAsia="zh-CN"/>
        </w:rPr>
        <w:t>　从事水产苗种生产的单位和个人必须向生产所在地县级以上人民政府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主管部门提出申请，经批准后方可从事生产。但是，渔业生产者自育、自用水产苗种的除外。渔业行政主管部门必须在收到申请后三十日内作出许可或者不予许可的决定。对不予许可的，必须书面说明理由。</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水产苗种生产许可证实行分级分类审批制度，具体办法由省人民政府渔业行政主管部门制定。</w:t>
      </w: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第十八条</w:t>
      </w:r>
      <w:r>
        <w:rPr>
          <w:rFonts w:hint="eastAsia" w:ascii="宋体" w:hAnsi="宋体" w:eastAsia="仿宋_GB2312" w:cs="仿宋_GB2312"/>
          <w:sz w:val="32"/>
          <w:szCs w:val="32"/>
          <w:lang w:val="en-US" w:eastAsia="zh-CN"/>
        </w:rPr>
        <w:t>　从事水产苗种生产的单位和个人应当应用良种良法，按照水产苗种生产技术操作规程和标准进行生产，建立生产和技术档案。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生产和销售的水产苗种质量应当符合国家标准、或者行业标准、或者地方标准。销售的水产苗种应当附有质量合格证。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第十九条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主管部门应当加强水产苗种质量的监督管理。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地级以上市人民政府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主管部门应当对生产和销售单位进行苗种质量检测，并将结果向社会公布。</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主管部门应当加强水生生物安全的监督管</w:t>
      </w:r>
      <w:r>
        <w:rPr>
          <w:rFonts w:hint="eastAsia" w:ascii="宋体" w:hAnsi="宋体" w:eastAsia="仿宋_GB2312" w:cs="仿宋_GB2312"/>
          <w:i w:val="0"/>
          <w:iCs w:val="0"/>
          <w:sz w:val="32"/>
          <w:szCs w:val="32"/>
          <w:u w:val="none"/>
          <w:lang w:val="en-US" w:eastAsia="zh-CN"/>
        </w:rPr>
        <w:t>理，应对辖区内水产品批发市场、水族馆等场所进行监督检查。　</w:t>
      </w:r>
      <w:r>
        <w:rPr>
          <w:rFonts w:hint="eastAsia" w:ascii="宋体" w:hAnsi="宋体" w:eastAsia="仿宋_GB2312" w:cs="仿宋_GB2312"/>
          <w:sz w:val="32"/>
          <w:szCs w:val="32"/>
          <w:lang w:val="en-US" w:eastAsia="zh-CN"/>
        </w:rPr>
        <w:t>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经批准拥有高危水生生物的单位和个人应当采取相应的安全控制措施。</w:t>
      </w:r>
    </w:p>
    <w:p>
      <w:pPr>
        <w:widowControl w:val="0"/>
        <w:wordWrap/>
        <w:overflowPunct w:val="0"/>
        <w:adjustRightInd/>
        <w:snapToGrid/>
        <w:spacing w:line="590" w:lineRule="exact"/>
        <w:ind w:left="0" w:leftChars="0" w:right="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第二十一条</w:t>
      </w:r>
      <w:r>
        <w:rPr>
          <w:rFonts w:hint="eastAsia" w:ascii="宋体" w:hAnsi="宋体" w:eastAsia="仿宋_GB2312" w:cs="仿宋_GB2312"/>
          <w:sz w:val="32"/>
          <w:szCs w:val="32"/>
          <w:lang w:val="en-US" w:eastAsia="zh-CN"/>
        </w:rPr>
        <w:t>　进口、</w:t>
      </w:r>
      <w:r>
        <w:rPr>
          <w:rFonts w:hint="eastAsia" w:ascii="宋体" w:hAnsi="宋体" w:eastAsia="仿宋_GB2312" w:cs="仿宋_GB2312"/>
          <w:color w:val="auto"/>
          <w:sz w:val="32"/>
          <w:szCs w:val="32"/>
          <w:lang w:val="en-US" w:eastAsia="zh-CN"/>
        </w:rPr>
        <w:t>出口水产苗种</w:t>
      </w:r>
      <w:r>
        <w:rPr>
          <w:rFonts w:hint="eastAsia" w:ascii="宋体" w:hAnsi="宋体" w:eastAsia="仿宋_GB2312" w:cs="仿宋_GB2312"/>
          <w:i w:val="0"/>
          <w:iCs w:val="0"/>
          <w:color w:val="auto"/>
          <w:sz w:val="32"/>
          <w:szCs w:val="32"/>
          <w:u w:val="none"/>
          <w:lang w:val="en-US" w:eastAsia="zh-CN"/>
        </w:rPr>
        <w:t>，</w:t>
      </w:r>
      <w:r>
        <w:rPr>
          <w:rFonts w:hint="eastAsia" w:ascii="宋体" w:hAnsi="宋体" w:eastAsia="仿宋_GB2312" w:cs="仿宋_GB2312"/>
          <w:color w:val="auto"/>
          <w:sz w:val="32"/>
          <w:szCs w:val="32"/>
          <w:lang w:val="en-US" w:eastAsia="zh-CN"/>
        </w:rPr>
        <w:t>应当</w:t>
      </w:r>
      <w:r>
        <w:rPr>
          <w:rFonts w:hint="eastAsia" w:ascii="宋体" w:hAnsi="宋体" w:eastAsia="仿宋_GB2312" w:cs="仿宋_GB2312"/>
          <w:sz w:val="32"/>
          <w:szCs w:val="32"/>
          <w:lang w:val="en-US" w:eastAsia="zh-CN"/>
        </w:rPr>
        <w:t>依法办理审批手续。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仿宋_GB2312" w:cs="仿宋_GB2312"/>
          <w:i w:val="0"/>
          <w:iCs w:val="0"/>
          <w:color w:val="auto"/>
          <w:sz w:val="32"/>
          <w:szCs w:val="32"/>
          <w:u w:val="none"/>
          <w:lang w:val="en-US" w:eastAsia="zh-CN"/>
        </w:rPr>
        <w:t>从境外引进的水产苗种</w:t>
      </w:r>
      <w:r>
        <w:rPr>
          <w:rFonts w:hint="eastAsia" w:ascii="宋体" w:hAnsi="宋体" w:eastAsia="仿宋_GB2312" w:cs="仿宋_GB2312"/>
          <w:i w:val="0"/>
          <w:iCs w:val="0"/>
          <w:sz w:val="32"/>
          <w:szCs w:val="32"/>
          <w:u w:val="none"/>
          <w:lang w:val="en-US" w:eastAsia="zh-CN"/>
        </w:rPr>
        <w:t>，</w:t>
      </w:r>
      <w:r>
        <w:rPr>
          <w:rFonts w:hint="eastAsia" w:ascii="宋体" w:hAnsi="宋体" w:eastAsia="仿宋_GB2312" w:cs="仿宋_GB2312"/>
          <w:sz w:val="32"/>
          <w:szCs w:val="32"/>
          <w:lang w:val="en-US" w:eastAsia="zh-CN"/>
        </w:rPr>
        <w:t>不得擅自转让和销售。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水产苗种进口、出口必须按照国家法律、行政法规的规定实施检疫。</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第四章　捕捞管理</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rPr>
      </w:pPr>
      <w:r>
        <w:rPr>
          <w:rFonts w:hint="eastAsia" w:ascii="宋体" w:hAnsi="宋体" w:eastAsia="黑体" w:cs="黑体"/>
          <w:sz w:val="32"/>
          <w:szCs w:val="32"/>
          <w:lang w:val="en-US" w:eastAsia="zh-CN"/>
        </w:rPr>
        <w:t>第二十二条</w:t>
      </w:r>
      <w:r>
        <w:rPr>
          <w:rFonts w:hint="eastAsia" w:ascii="宋体" w:hAnsi="宋体" w:eastAsia="仿宋_GB2312" w:cs="仿宋_GB2312"/>
          <w:sz w:val="32"/>
          <w:szCs w:val="32"/>
          <w:lang w:val="en-US" w:eastAsia="zh-CN"/>
        </w:rPr>
        <w:t>　县级以上人民政府及其</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主管部门应当鼓励发展远洋捕捞业，并根据渔业资源的可捕量合理安排近海捕捞，严格控制沿岸渔场和江河的捕捞强度。</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第二十三条</w:t>
      </w:r>
      <w:r>
        <w:rPr>
          <w:rFonts w:hint="eastAsia" w:ascii="宋体" w:hAnsi="宋体" w:eastAsia="仿宋_GB2312" w:cs="仿宋_GB2312"/>
          <w:sz w:val="32"/>
          <w:szCs w:val="32"/>
          <w:lang w:val="en-US" w:eastAsia="zh-CN"/>
        </w:rPr>
        <w:t>　根据捕捞量低于渔业资源增长量的原则，实行捕捞限额制度。</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毗邻海域捕捞限额的分配方案由省人民政府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根据国家下达的捕捞限额指标制定，报省人民政府批准后实施；国家和省确定的重要江河、湖泊的捕捞限额总量由省人民政府确定，其他江河、湖泊的捕捞限额总量由相关市人民政府确定或协商确定。捕捞限额的分配方法和分配结果必须向社会公布，接受社会监督。</w:t>
      </w:r>
      <w:r>
        <w:rPr>
          <w:rFonts w:hint="eastAsia" w:ascii="宋体" w:hAnsi="宋体" w:eastAsia="楷体_GB2312" w:cs="楷体"/>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第二十四条</w:t>
      </w:r>
      <w:r>
        <w:rPr>
          <w:rFonts w:hint="eastAsia" w:ascii="宋体" w:hAnsi="宋体" w:eastAsia="仿宋_GB2312" w:cs="仿宋_GB2312"/>
          <w:sz w:val="32"/>
          <w:szCs w:val="32"/>
          <w:lang w:val="en-US" w:eastAsia="zh-CN"/>
        </w:rPr>
        <w:t>　省人民政府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主管部门应当根据国家下达的船网工具控制指标，严格控制捕捞渔船的数量和功率。新造、改造、进口、购置渔船应当按照国家有关规定办理船网工具控制指标审批手续。</w:t>
      </w:r>
      <w:r>
        <w:rPr>
          <w:rFonts w:hint="eastAsia" w:ascii="宋体" w:hAnsi="宋体" w:eastAsia="仿宋_GB2312" w:cs="仿宋_GB2312"/>
          <w:b w:val="0"/>
          <w:bCs w:val="0"/>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第二十五条</w:t>
      </w:r>
      <w:r>
        <w:rPr>
          <w:rFonts w:hint="eastAsia" w:ascii="宋体" w:hAnsi="宋体" w:eastAsia="仿宋_GB2312" w:cs="仿宋_GB2312"/>
          <w:sz w:val="32"/>
          <w:szCs w:val="32"/>
          <w:lang w:val="en-US" w:eastAsia="zh-CN"/>
        </w:rPr>
        <w:t>　从事捕捞生产的单位和个人，应当依法申领渔业捕捞许可证。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到我国与有关国家缔结的协定确定的共同管理的渔区或者公海从事捕捞作业的捕捞许可证，由国务院</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主管部门批准发放。海洋大型拖网、围网作业的捕捞许可证，由省级人民政府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主管部门批准发放。其他作业捕捞许可证由县级以上人民政府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主管部门批准发放。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第二十六条</w:t>
      </w:r>
      <w:r>
        <w:rPr>
          <w:rFonts w:hint="eastAsia" w:ascii="宋体" w:hAnsi="宋体" w:eastAsia="仿宋_GB2312" w:cs="仿宋_GB2312"/>
          <w:color w:val="auto"/>
          <w:sz w:val="32"/>
          <w:szCs w:val="32"/>
          <w:lang w:val="en-US" w:eastAsia="zh-CN"/>
        </w:rPr>
        <w:t>　具备下列条件的，方可发给捕捞许可证：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（一）有渔业船舶检验证书；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（二）有渔业船舶登记证书；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（三）国务院渔业行政主管部门规定的其他条件。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县级以上人民政府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主管部门批准发放的捕捞许可证，应当与上级下达的捕捞限额指标相适应。</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第二十七条</w:t>
      </w:r>
      <w:r>
        <w:rPr>
          <w:rFonts w:hint="eastAsia" w:ascii="宋体" w:hAnsi="宋体" w:eastAsia="仿宋_GB2312" w:cs="仿宋_GB2312"/>
          <w:color w:val="auto"/>
          <w:sz w:val="32"/>
          <w:szCs w:val="32"/>
          <w:lang w:val="en-US" w:eastAsia="zh-CN"/>
        </w:rPr>
        <w:t>　从事捕捞作业的单位和个人应当遵守国家有关休渔期、禁渔区等保护渔业资源的规定和渔船作业规范；不得在航道、锚地设置碍航渔具；禁止在渔业水域倾倒、遗弃副渔获物、渔具。大中型捕捞渔船应当填写渔捞日志，按规定使用船位监控装置。未经批准，不得进入他国管辖水域作业。</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第二十八条</w:t>
      </w:r>
      <w:r>
        <w:rPr>
          <w:rFonts w:hint="eastAsia" w:ascii="宋体" w:hAnsi="宋体" w:eastAsia="仿宋_GB2312" w:cs="仿宋_GB2312"/>
          <w:color w:val="auto"/>
          <w:sz w:val="32"/>
          <w:szCs w:val="32"/>
          <w:lang w:val="en-US" w:eastAsia="zh-CN"/>
        </w:rPr>
        <w:t>　因养殖、科学研究及其他特殊需要在特定的渔场、渔汛、使用特殊方法捕捞，或者捕捞具有重要经济价值的水生动植物苗种、亲体的，应当经省人民政府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w:t>
      </w:r>
      <w:r>
        <w:rPr>
          <w:rFonts w:hint="eastAsia" w:ascii="宋体" w:hAnsi="宋体" w:eastAsia="仿宋_GB2312" w:cs="仿宋_GB2312"/>
          <w:i w:val="0"/>
          <w:iCs w:val="0"/>
          <w:color w:val="auto"/>
          <w:sz w:val="32"/>
          <w:szCs w:val="32"/>
          <w:u w:val="none"/>
          <w:lang w:val="en-US" w:eastAsia="zh-CN"/>
        </w:rPr>
        <w:t>或者其委托的部门</w:t>
      </w:r>
      <w:r>
        <w:rPr>
          <w:rFonts w:hint="eastAsia" w:ascii="宋体" w:hAnsi="宋体" w:eastAsia="仿宋_GB2312" w:cs="仿宋_GB2312"/>
          <w:color w:val="auto"/>
          <w:sz w:val="32"/>
          <w:szCs w:val="32"/>
          <w:lang w:val="en-US" w:eastAsia="zh-CN"/>
        </w:rPr>
        <w:t>批准。</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第二十九条</w:t>
      </w:r>
      <w:r>
        <w:rPr>
          <w:rFonts w:hint="eastAsia" w:ascii="宋体" w:hAnsi="宋体" w:eastAsia="仿宋_GB2312" w:cs="仿宋_GB2312"/>
          <w:color w:val="auto"/>
          <w:sz w:val="32"/>
          <w:szCs w:val="32"/>
          <w:lang w:val="en-US" w:eastAsia="zh-CN"/>
        </w:rPr>
        <w:t>　定置作业、采捕小贝类作业以及潜捕作业，不得跨县生产。确需跨县生产的，必须向渔场所在地县级人民政府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主管部门提出申请，经共同的上级人民政府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主管部门批准后方可进行。</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w:t>
      </w:r>
      <w:r>
        <w:rPr>
          <w:rFonts w:hint="eastAsia" w:ascii="宋体" w:hAnsi="宋体" w:eastAsia="黑体" w:cs="黑体"/>
          <w:sz w:val="32"/>
          <w:szCs w:val="32"/>
          <w:lang w:val="en-US" w:eastAsia="zh-CN"/>
        </w:rPr>
        <w:t>第三十条</w:t>
      </w:r>
      <w:r>
        <w:rPr>
          <w:rFonts w:hint="eastAsia" w:ascii="宋体" w:hAnsi="宋体" w:eastAsia="仿宋_GB2312" w:cs="仿宋_GB2312"/>
          <w:color w:val="auto"/>
          <w:sz w:val="32"/>
          <w:szCs w:val="32"/>
          <w:lang w:val="en-US" w:eastAsia="zh-CN"/>
        </w:rPr>
        <w:t>　渔业船舶所有人应当为其水上作业人</w:t>
      </w:r>
      <w:r>
        <w:rPr>
          <w:rFonts w:hint="eastAsia" w:ascii="宋体" w:hAnsi="宋体" w:eastAsia="仿宋_GB2312" w:cs="仿宋_GB2312"/>
          <w:sz w:val="32"/>
          <w:szCs w:val="32"/>
          <w:lang w:val="en-US" w:eastAsia="zh-CN"/>
        </w:rPr>
        <w:t>员购买人身保险。各级人民政府鼓励开展海上自救互救和船东互保业务。</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第五章　渔业资源增殖和保护</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firstLine="655"/>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第三十一条</w:t>
      </w:r>
      <w:r>
        <w:rPr>
          <w:rFonts w:hint="eastAsia" w:ascii="宋体" w:hAnsi="宋体" w:eastAsia="仿宋_GB2312" w:cs="仿宋_GB2312"/>
          <w:sz w:val="32"/>
          <w:szCs w:val="32"/>
          <w:lang w:val="en-US" w:eastAsia="zh-CN"/>
        </w:rPr>
        <w:t>　县级以上人民政府应当加强水产自然保护区的建设和管理，保护生物多样性，对稀有、濒危、珍贵水生生物资源及其原生地实行重点保护。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县级以上人民政</w:t>
      </w:r>
      <w:r>
        <w:rPr>
          <w:rFonts w:hint="eastAsia" w:ascii="宋体" w:hAnsi="宋体" w:eastAsia="仿宋_GB2312" w:cs="仿宋_GB2312"/>
          <w:i w:val="0"/>
          <w:iCs w:val="0"/>
          <w:sz w:val="32"/>
          <w:szCs w:val="32"/>
          <w:u w:val="none"/>
          <w:lang w:val="en-US" w:eastAsia="zh-CN"/>
        </w:rPr>
        <w:t>府渔业行政主管部门应当对</w:t>
      </w:r>
      <w:r>
        <w:rPr>
          <w:rFonts w:hint="eastAsia" w:ascii="宋体" w:hAnsi="宋体" w:eastAsia="仿宋_GB2312" w:cs="仿宋_GB2312"/>
          <w:sz w:val="32"/>
          <w:szCs w:val="32"/>
          <w:lang w:val="en-US" w:eastAsia="zh-CN"/>
        </w:rPr>
        <w:t>其管理的渔业水域进行统一规划，采取措施，加强鱼、虾、蟹等水生动物的产卵场、繁殖场、索饵场、洄游通道以及人工鱼礁区等重要渔业水域的保护。</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第三十二条</w:t>
      </w:r>
      <w:r>
        <w:rPr>
          <w:rFonts w:hint="eastAsia" w:ascii="宋体" w:hAnsi="宋体" w:eastAsia="仿宋_GB2312" w:cs="仿宋_GB2312"/>
          <w:sz w:val="32"/>
          <w:szCs w:val="32"/>
          <w:lang w:val="en-US" w:eastAsia="zh-CN"/>
        </w:rPr>
        <w:t>　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主管部门应当加强人工增殖放流的监督管理。在渔业资源增殖保护区进行人工增殖放流，应当进行科学评估。</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第三十三条</w:t>
      </w:r>
      <w:r>
        <w:rPr>
          <w:rFonts w:hint="eastAsia" w:ascii="宋体" w:hAnsi="宋体" w:eastAsia="仿宋_GB2312" w:cs="仿宋_GB2312"/>
          <w:sz w:val="32"/>
          <w:szCs w:val="32"/>
          <w:lang w:val="en-US" w:eastAsia="zh-CN"/>
        </w:rPr>
        <w:t>　县级以上人民政府应当加强人工鱼礁建设和人工鱼礁礁体以及礁区的保护管理。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人工鱼礁的建设实行规划论证和分级、分类管理制度。单位和个人可以投资兴建准生态型、开放型人工鱼礁。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第三十四条</w:t>
      </w:r>
      <w:r>
        <w:rPr>
          <w:rFonts w:hint="eastAsia" w:ascii="宋体" w:hAnsi="宋体" w:eastAsia="仿宋_GB2312" w:cs="仿宋_GB2312"/>
          <w:sz w:val="32"/>
          <w:szCs w:val="32"/>
          <w:lang w:val="en-US" w:eastAsia="zh-CN"/>
        </w:rPr>
        <w:t>　禁止使用炸鱼、毒鱼、电鱼等破坏渔业资源的方法进行捕捞。禁止制造、销售、使用禁用的渔具。禁止在禁渔区、禁渔期进行捕捞。禁止使用小于规定的最小网目尺寸的网具进行捕捞。捕捞的渔获物中幼鱼不得超过规定的比例。在禁渔区或者禁渔期内禁止销售非法捕捞的渔获物。</w:t>
      </w:r>
    </w:p>
    <w:p>
      <w:pPr>
        <w:widowControl w:val="0"/>
        <w:wordWrap/>
        <w:overflowPunct w:val="0"/>
        <w:adjustRightInd/>
        <w:snapToGrid/>
        <w:spacing w:line="590" w:lineRule="exact"/>
        <w:ind w:left="0" w:leftChars="0" w:right="0" w:firstLine="640" w:firstLineChars="20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第三十五条</w:t>
      </w:r>
      <w:r>
        <w:rPr>
          <w:rFonts w:hint="eastAsia" w:ascii="宋体" w:hAnsi="宋体" w:eastAsia="仿宋_GB2312" w:cs="仿宋_GB2312"/>
          <w:sz w:val="32"/>
          <w:szCs w:val="32"/>
          <w:lang w:val="en-US" w:eastAsia="zh-CN"/>
        </w:rPr>
        <w:t>　在鱼、虾、蟹等经济水生动物产卵场和洄游通道建闸、筑坝等建设项目及水下开采的，有关主管部门审批前应当征求县级以上人民政府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主管部门的意见。</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第三十六条</w:t>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县级以上人民政府渔业行政主管部门建立的渔业环境监测站，纳入全省环境监测网络。其监测数据，可以作为处理渔业水域污染事故的依据。　　</w:t>
      </w:r>
      <w:r>
        <w:rPr>
          <w:rFonts w:hint="eastAsia" w:ascii="宋体" w:hAnsi="宋体" w:eastAsia="仿宋_GB2312" w:cs="仿宋_GB2312"/>
          <w:i w:val="0"/>
          <w:iCs w:val="0"/>
          <w:sz w:val="32"/>
          <w:szCs w:val="32"/>
          <w:u w:val="none"/>
          <w:lang w:val="en-US" w:eastAsia="zh-CN"/>
        </w:rPr>
        <w:br w:type="textWrapping"/>
      </w:r>
      <w:r>
        <w:rPr>
          <w:rFonts w:hint="eastAsia" w:ascii="宋体" w:hAnsi="宋体" w:eastAsia="仿宋_GB2312" w:cs="仿宋_GB2312"/>
          <w:sz w:val="32"/>
          <w:szCs w:val="32"/>
          <w:lang w:val="en-US" w:eastAsia="zh-CN"/>
        </w:rPr>
        <w:t>　　在鱼、虾、蟹类产卵场、索饵场、越冬场、洄游通道和养殖场等重要渔业水体不得新建排污口，已建排污口的应限期治理或搬迁。造成渔业污染事故的，应当接受县级以上人民政府</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主管部门或者渔政监督管理机构的调查处理。</w:t>
      </w:r>
    </w:p>
    <w:p>
      <w:pPr>
        <w:widowControl w:val="0"/>
        <w:wordWrap/>
        <w:overflowPunct w:val="0"/>
        <w:adjustRightInd/>
        <w:snapToGrid/>
        <w:spacing w:line="590" w:lineRule="exact"/>
        <w:ind w:left="0" w:leftChars="0" w:right="0" w:firstLine="560" w:firstLineChars="0"/>
        <w:textAlignment w:val="auto"/>
        <w:outlineLvl w:val="9"/>
        <w:rPr>
          <w:rFonts w:hint="eastAsia" w:ascii="宋体" w:hAnsi="宋体" w:eastAsia="仿宋_GB2312" w:cs="仿宋_GB2312"/>
          <w:color w:val="auto"/>
          <w:sz w:val="32"/>
          <w:szCs w:val="32"/>
          <w:lang w:val="en-US" w:eastAsia="zh-CN"/>
        </w:rPr>
      </w:pPr>
      <w:r>
        <w:rPr>
          <w:rFonts w:hint="eastAsia" w:ascii="宋体" w:hAnsi="宋体" w:eastAsia="黑体" w:cs="黑体"/>
          <w:sz w:val="32"/>
          <w:szCs w:val="32"/>
          <w:lang w:val="en-US" w:eastAsia="zh-CN"/>
        </w:rPr>
        <w:t>第三十七条</w:t>
      </w:r>
      <w:r>
        <w:rPr>
          <w:rFonts w:hint="eastAsia" w:ascii="宋体" w:hAnsi="宋体" w:eastAsia="仿宋_GB2312" w:cs="仿宋_GB2312"/>
          <w:sz w:val="32"/>
          <w:szCs w:val="32"/>
          <w:lang w:val="en-US" w:eastAsia="zh-CN"/>
        </w:rPr>
        <w:t>　水工建设、疏航、勘探、爆破、兴建锚地、排污、倾废等不得损害渔业资源。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第三十八条</w:t>
      </w:r>
      <w:r>
        <w:rPr>
          <w:rFonts w:hint="eastAsia" w:ascii="宋体" w:hAnsi="宋体" w:eastAsia="仿宋_GB2312" w:cs="仿宋_GB2312"/>
          <w:sz w:val="32"/>
          <w:szCs w:val="32"/>
          <w:lang w:val="en-US" w:eastAsia="zh-CN"/>
        </w:rPr>
        <w:t>　县级以上人民政府应当积极引导、支持从事捕捞业的渔民和渔业生产经营组织从事水产养殖、休闲渔业或者其他职业，对统一规划转产转业的渔民，应当按照国家规定予以适当补助。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县级以上人民政府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主管部门可以根据辖区内渔业水域和渔业资源状况划定游钓等休闲渔业区。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从事休闲渔业的船舶必须符合相应的安全适航标准，并经省有关行政主管部门检验登记。未经检验登记的，不得从事休闲渔业经营活动。　　</w:t>
      </w:r>
      <w:r>
        <w:rPr>
          <w:rFonts w:hint="eastAsia" w:ascii="宋体" w:hAnsi="宋体" w:eastAsia="仿宋_GB2312" w:cs="仿宋_GB2312"/>
          <w:color w:val="auto"/>
          <w:sz w:val="32"/>
          <w:szCs w:val="32"/>
          <w:lang w:val="en-US" w:eastAsia="zh-CN"/>
        </w:rPr>
        <w:br w:type="textWrapping"/>
      </w:r>
      <w:r>
        <w:rPr>
          <w:rFonts w:hint="eastAsia" w:ascii="宋体" w:hAnsi="宋体" w:eastAsia="仿宋_GB2312" w:cs="仿宋_GB2312"/>
          <w:color w:val="auto"/>
          <w:sz w:val="32"/>
          <w:szCs w:val="32"/>
          <w:lang w:val="en-US" w:eastAsia="zh-CN"/>
        </w:rPr>
        <w:t>　　休闲渔业船舶安全适航标准及休闲渔业安全管理办法，由省人民政府</w:t>
      </w:r>
      <w:r>
        <w:rPr>
          <w:rFonts w:hint="eastAsia" w:ascii="宋体" w:hAnsi="宋体" w:eastAsia="仿宋_GB2312" w:cs="仿宋_GB2312"/>
          <w:i w:val="0"/>
          <w:iCs w:val="0"/>
          <w:color w:val="auto"/>
          <w:sz w:val="32"/>
          <w:szCs w:val="32"/>
          <w:u w:val="none"/>
          <w:lang w:val="en-US" w:eastAsia="zh-CN"/>
        </w:rPr>
        <w:t>渔业行政</w:t>
      </w:r>
      <w:r>
        <w:rPr>
          <w:rFonts w:hint="eastAsia" w:ascii="宋体" w:hAnsi="宋体" w:eastAsia="仿宋_GB2312" w:cs="仿宋_GB2312"/>
          <w:color w:val="auto"/>
          <w:sz w:val="32"/>
          <w:szCs w:val="32"/>
          <w:lang w:val="en-US" w:eastAsia="zh-CN"/>
        </w:rPr>
        <w:t>主管部门会同有关部门制定。</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b w:val="0"/>
          <w:bCs w:val="0"/>
          <w:color w:val="auto"/>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第六章　法律责任</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color w:val="auto"/>
          <w:sz w:val="32"/>
          <w:szCs w:val="32"/>
        </w:rPr>
      </w:pPr>
    </w:p>
    <w:p>
      <w:pPr>
        <w:widowControl w:val="0"/>
        <w:wordWrap/>
        <w:overflowPunct w:val="0"/>
        <w:adjustRightInd/>
        <w:snapToGrid/>
        <w:spacing w:line="590" w:lineRule="exact"/>
        <w:ind w:left="0" w:leftChars="0" w:right="0" w:firstLine="640"/>
        <w:textAlignment w:val="auto"/>
        <w:outlineLvl w:val="9"/>
        <w:rPr>
          <w:rFonts w:hint="eastAsia" w:ascii="宋体" w:hAnsi="宋体" w:eastAsia="仿宋_GB2312" w:cs="仿宋_GB2312"/>
          <w:sz w:val="32"/>
          <w:szCs w:val="32"/>
          <w:lang w:val="en-US" w:eastAsia="zh-CN"/>
        </w:rPr>
      </w:pPr>
      <w:r>
        <w:rPr>
          <w:rFonts w:hint="eastAsia" w:ascii="宋体" w:hAnsi="宋体" w:eastAsia="黑体" w:cs="黑体"/>
          <w:sz w:val="32"/>
          <w:szCs w:val="32"/>
          <w:lang w:val="en-US" w:eastAsia="zh-CN"/>
        </w:rPr>
        <w:t>第三十九条</w:t>
      </w:r>
      <w:r>
        <w:rPr>
          <w:rFonts w:hint="eastAsia" w:ascii="宋体" w:hAnsi="宋体" w:eastAsia="仿宋_GB2312" w:cs="仿宋_GB2312"/>
          <w:color w:val="auto"/>
          <w:sz w:val="32"/>
          <w:szCs w:val="32"/>
          <w:lang w:val="en-US" w:eastAsia="zh-CN"/>
        </w:rPr>
        <w:t>　使用全民所有的水域、滩涂从事养殖生产，未依法领取养殖证或者超越养殖证许可使用的范围进行生产的，责令改正，补办养殖证，或者限期拆除养殖设施；妨碍航运、行洪的，可以并处一万元以下的罚款。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第四十条</w:t>
      </w:r>
      <w:r>
        <w:rPr>
          <w:rFonts w:hint="eastAsia" w:ascii="宋体" w:hAnsi="宋体" w:eastAsia="仿宋_GB2312" w:cs="仿宋_GB2312"/>
          <w:sz w:val="32"/>
          <w:szCs w:val="32"/>
          <w:lang w:val="en-US" w:eastAsia="zh-CN"/>
        </w:rPr>
        <w:t>　使用含有毒有害物质的渔药、饵料、饲料、添加剂，向养殖水域投放生产、生活垃圾，以及不合理处理被污染或者含病原体的水体和病死养殖生物的，责令改正，情节严重的，可以处三万元以下罚款。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第四十一条</w:t>
      </w:r>
      <w:r>
        <w:rPr>
          <w:rFonts w:hint="eastAsia" w:ascii="宋体" w:hAnsi="宋体" w:eastAsia="仿宋_GB2312" w:cs="仿宋_GB2312"/>
          <w:sz w:val="32"/>
          <w:szCs w:val="32"/>
          <w:lang w:val="en-US" w:eastAsia="zh-CN"/>
        </w:rPr>
        <w:t>　销售的水产苗种、亲体不符合国家标准、或者行业标准、或者地方标准，以及未经批准擅自从境外引进水生生物物种的，进口的苗种、亲体未在指定场所养殖孵化或者未经批准转售的，没收非法引进的水生物种、苗种、亲体和违法所得，可以并处三万元以下罚款。</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第四十二条</w:t>
      </w:r>
      <w:r>
        <w:rPr>
          <w:rFonts w:hint="eastAsia" w:ascii="宋体" w:hAnsi="宋体" w:eastAsia="仿宋_GB2312" w:cs="仿宋_GB2312"/>
          <w:sz w:val="32"/>
          <w:szCs w:val="32"/>
          <w:lang w:val="en-US" w:eastAsia="zh-CN"/>
        </w:rPr>
        <w:t>　违反捕捞作业规范，在渔业水域倾倒、遗弃副渔获物、渔具的，给予警告，情节严重的，可以处五百元以上五千元以下罚款。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大中型海洋捕捞渔船未按规定填写渔捞日志或者未按规定使用船位监控装置的，责令改正。</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第四十三条</w:t>
      </w:r>
      <w:r>
        <w:rPr>
          <w:rFonts w:hint="eastAsia" w:ascii="宋体" w:hAnsi="宋体" w:eastAsia="仿宋_GB2312" w:cs="仿宋_GB2312"/>
          <w:sz w:val="32"/>
          <w:szCs w:val="32"/>
          <w:lang w:val="en-US" w:eastAsia="zh-CN"/>
        </w:rPr>
        <w:t>　使用炸鱼、毒鱼、电鱼等破坏渔业资源方法进行捕捞的，使用小于规定的最小网目尺寸的网具进行捕捞或者渔获物中幼鱼超过规定比例的，没收渔获物和违法所得，处五万元以下的罚款；情节严重的，没收渔具，吊销捕捞许可证；情节特别严重的，可以没收渔船；构成犯罪的，依法追究刑事责任。</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第四十四条</w:t>
      </w:r>
      <w:r>
        <w:rPr>
          <w:rFonts w:hint="eastAsia" w:ascii="宋体" w:hAnsi="宋体" w:eastAsia="仿宋_GB2312" w:cs="仿宋_GB2312"/>
          <w:sz w:val="32"/>
          <w:szCs w:val="32"/>
          <w:lang w:val="en-US" w:eastAsia="zh-CN"/>
        </w:rPr>
        <w:t>　因水工建设、疏航、勘探、爆破、兴建锚地、排污、倾废等破坏渔业资源，造成损失的，致害者应当承担民事责任。</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i w:val="0"/>
          <w:iCs w:val="0"/>
          <w:sz w:val="32"/>
          <w:szCs w:val="32"/>
          <w:u w:val="none"/>
          <w:lang w:val="en-US" w:eastAsia="zh-CN"/>
        </w:rPr>
        <w:t>第四十五条</w:t>
      </w:r>
      <w:r>
        <w:rPr>
          <w:rFonts w:hint="eastAsia" w:ascii="宋体" w:hAnsi="宋体" w:eastAsia="仿宋_GB2312" w:cs="仿宋_GB2312"/>
          <w:i w:val="0"/>
          <w:iCs w:val="0"/>
          <w:sz w:val="32"/>
          <w:szCs w:val="32"/>
          <w:u w:val="none"/>
          <w:lang w:val="en-US" w:eastAsia="zh-CN"/>
        </w:rPr>
        <w:t>　本条例规定的行政处罚，由县级以上人民政府渔业行政主管部门或者渔政监督管理机构决定。　　</w:t>
      </w:r>
      <w:r>
        <w:rPr>
          <w:rFonts w:hint="eastAsia" w:ascii="宋体" w:hAnsi="宋体" w:eastAsia="仿宋_GB2312" w:cs="仿宋_GB2312"/>
          <w:i/>
          <w:iCs/>
          <w:sz w:val="32"/>
          <w:szCs w:val="32"/>
          <w:u w:val="single"/>
          <w:lang w:val="en-US" w:eastAsia="zh-CN"/>
        </w:rPr>
        <w:br w:type="textWrapping"/>
      </w:r>
      <w:r>
        <w:rPr>
          <w:rFonts w:hint="eastAsia" w:ascii="宋体" w:hAnsi="宋体" w:eastAsia="仿宋_GB2312" w:cs="仿宋_GB2312"/>
          <w:i w:val="0"/>
          <w:iCs w:val="0"/>
          <w:sz w:val="32"/>
          <w:szCs w:val="32"/>
          <w:u w:val="none"/>
          <w:lang w:val="en-US" w:eastAsia="zh-CN"/>
        </w:rPr>
        <w:t>　　渔业执法人员依法进行检查时，任何单位和个人不得阻挠。拒绝、阻碍渔业行政执法人员依法执行职务的，按照国家有关法律、行政法规追究法律责任。</w:t>
      </w:r>
      <w:r>
        <w:rPr>
          <w:rFonts w:hint="eastAsia" w:ascii="宋体" w:hAnsi="宋体" w:eastAsia="仿宋_GB2312" w:cs="仿宋_GB2312"/>
          <w:i w:val="0"/>
          <w:iCs w:val="0"/>
          <w:sz w:val="32"/>
          <w:szCs w:val="32"/>
          <w:u w:val="none"/>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第四十六条</w:t>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主管部门和渔政监督管理机构及其工作人员有下列行为之一的，按照国家有关规定给予行政处分；构成犯罪的，依法追究刑事责任：</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（一）不按规定核发许可证、分配捕捞限额的；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（二）不按规定发给养殖证的；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（三）不按规定公布苗种质量检测结果、捕捞限额分配结果的；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（四）从事渔业生产经营活动的；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（五）养殖水域遭到重大污染不采取措施，造成严重后果的；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（六）其他玩忽职守不履行法定义务、滥用职权的。　　</w:t>
      </w:r>
      <w:r>
        <w:rPr>
          <w:rFonts w:hint="eastAsia" w:ascii="宋体" w:hAnsi="宋体" w:eastAsia="仿宋_GB2312" w:cs="仿宋_GB2312"/>
          <w:sz w:val="32"/>
          <w:szCs w:val="32"/>
          <w:lang w:val="en-US" w:eastAsia="zh-CN"/>
        </w:rPr>
        <w:br w:type="textWrapping"/>
      </w:r>
      <w:r>
        <w:rPr>
          <w:rFonts w:hint="eastAsia" w:ascii="宋体" w:hAnsi="宋体" w:eastAsia="仿宋_GB2312" w:cs="仿宋_GB2312"/>
          <w:sz w:val="32"/>
          <w:szCs w:val="32"/>
          <w:lang w:val="en-US" w:eastAsia="zh-CN"/>
        </w:rPr>
        <w:t>　　</w:t>
      </w:r>
      <w:r>
        <w:rPr>
          <w:rFonts w:hint="eastAsia" w:ascii="宋体" w:hAnsi="宋体" w:eastAsia="仿宋_GB2312" w:cs="仿宋_GB2312"/>
          <w:i w:val="0"/>
          <w:iCs w:val="0"/>
          <w:sz w:val="32"/>
          <w:szCs w:val="32"/>
          <w:u w:val="none"/>
          <w:lang w:val="en-US" w:eastAsia="zh-CN"/>
        </w:rPr>
        <w:t>渔业行政</w:t>
      </w:r>
      <w:r>
        <w:rPr>
          <w:rFonts w:hint="eastAsia" w:ascii="宋体" w:hAnsi="宋体" w:eastAsia="仿宋_GB2312" w:cs="仿宋_GB2312"/>
          <w:sz w:val="32"/>
          <w:szCs w:val="32"/>
          <w:lang w:val="en-US" w:eastAsia="zh-CN"/>
        </w:rPr>
        <w:t>主管部门和渔政监督管理机构及其工作人员在行使职权时，侵犯《</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(188542,0)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中华人民共和国国家赔偿法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》规定的公民人身权、财产权的，按照赔偿法的规定予以赔偿。</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jc w:val="center"/>
        <w:textAlignment w:val="auto"/>
        <w:outlineLvl w:val="9"/>
        <w:rPr>
          <w:rFonts w:hint="eastAsia" w:ascii="宋体" w:hAnsi="宋体" w:eastAsia="黑体" w:cs="黑体"/>
          <w:sz w:val="32"/>
          <w:szCs w:val="32"/>
        </w:rPr>
      </w:pPr>
      <w:r>
        <w:rPr>
          <w:rFonts w:hint="eastAsia" w:ascii="宋体" w:hAnsi="宋体" w:eastAsia="黑体" w:cs="黑体"/>
          <w:sz w:val="32"/>
          <w:szCs w:val="32"/>
        </w:rPr>
        <w:t>第七章　附则</w:t>
      </w: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rPr>
      </w:pPr>
    </w:p>
    <w:p>
      <w:pPr>
        <w:widowControl w:val="0"/>
        <w:wordWrap/>
        <w:overflowPunct w:val="0"/>
        <w:adjustRightInd/>
        <w:snapToGrid/>
        <w:spacing w:line="590" w:lineRule="exact"/>
        <w:ind w:left="0" w:leftChars="0" w:right="0"/>
        <w:textAlignment w:val="auto"/>
        <w:outlineLvl w:val="9"/>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　　</w:t>
      </w:r>
      <w:r>
        <w:rPr>
          <w:rFonts w:hint="eastAsia" w:ascii="宋体" w:hAnsi="宋体" w:eastAsia="黑体" w:cs="黑体"/>
          <w:sz w:val="32"/>
          <w:szCs w:val="32"/>
          <w:lang w:val="en-US" w:eastAsia="zh-CN"/>
        </w:rPr>
        <w:t>第四十七条</w:t>
      </w:r>
      <w:r>
        <w:rPr>
          <w:rFonts w:hint="eastAsia" w:ascii="宋体" w:hAnsi="宋体" w:eastAsia="仿宋_GB2312" w:cs="仿宋_GB2312"/>
          <w:sz w:val="32"/>
          <w:szCs w:val="32"/>
          <w:lang w:val="en-US" w:eastAsia="zh-CN"/>
        </w:rPr>
        <w:t>　本条例自2003年9月1日起施行。1990年2月18日广东省第七届人民代表大会常务委员会通过的《</w:t>
      </w:r>
      <w:r>
        <w:rPr>
          <w:rFonts w:hint="eastAsia" w:ascii="宋体" w:hAnsi="宋体" w:eastAsia="仿宋_GB2312" w:cs="仿宋_GB2312"/>
          <w:sz w:val="32"/>
          <w:szCs w:val="32"/>
          <w:lang w:val="en-US" w:eastAsia="zh-CN"/>
        </w:rPr>
        <w:fldChar w:fldCharType="begin"/>
      </w:r>
      <w:r>
        <w:rPr>
          <w:rFonts w:hint="eastAsia" w:ascii="宋体" w:hAnsi="宋体" w:eastAsia="仿宋_GB2312" w:cs="仿宋_GB2312"/>
          <w:sz w:val="32"/>
          <w:szCs w:val="32"/>
          <w:lang w:val="en-US" w:eastAsia="zh-CN"/>
        </w:rPr>
        <w:instrText xml:space="preserve"> HYPERLINK "http://172.17.252.5/FullText/fulltext_form.aspx?db=lar&amp;gid=17931291&amp;ix=0&amp;w=H4sIAAAAAAAEAAA3Acj+AAEAAAD/////AQAAAAAAAAAMAgAAADxDbGlWNSwgVmVyc2lvbj0xLjAuMC4wLCBDdWx0dXJlPW5ldXRyYWwsIFB1YmxpY0tleVRva2VuPW51bGwFAQAAACtDbGlWNS5Db21tb25DbGFzcy5TZXJpYWxQYXJhbStTZWFyY2hfU3RydWN0BgAAAAhEYXRhYmFzZQVXaGVyZQRTb3J0B0tleXdvcmQHSXNHcm91cAlJc1N1bW1hcnkBAQEBAAABAQIAAAAGAwAAAANsYXIGBAAAADvmlYjlipvnuqfliKs9WE0wNyUgYW5kICAo5rOV6KeE5qCH6aKYPScl5bm/5Lic55yB5riU5LiaJScpIAYFAAAADS3lj5HluIPml6XmnJ8GBgAAAA/lub/kuJznnIHmuJTkuJoAAAsBAAD//javascript:SLC(16779038,0)" </w:instrText>
      </w:r>
      <w:r>
        <w:rPr>
          <w:rFonts w:hint="eastAsia" w:ascii="宋体" w:hAnsi="宋体" w:eastAsia="仿宋_GB2312" w:cs="仿宋_GB2312"/>
          <w:sz w:val="32"/>
          <w:szCs w:val="32"/>
          <w:lang w:val="en-US" w:eastAsia="zh-CN"/>
        </w:rPr>
        <w:fldChar w:fldCharType="separate"/>
      </w:r>
      <w:r>
        <w:rPr>
          <w:rFonts w:hint="eastAsia" w:ascii="宋体" w:hAnsi="宋体" w:eastAsia="仿宋_GB2312" w:cs="仿宋_GB2312"/>
          <w:sz w:val="32"/>
          <w:szCs w:val="32"/>
        </w:rPr>
        <w:t>广东省渔业管理实施办法</w:t>
      </w:r>
      <w:r>
        <w:rPr>
          <w:rFonts w:hint="eastAsia" w:ascii="宋体" w:hAnsi="宋体" w:eastAsia="仿宋_GB2312" w:cs="仿宋_GB2312"/>
          <w:sz w:val="32"/>
          <w:szCs w:val="32"/>
          <w:lang w:val="en-US" w:eastAsia="zh-CN"/>
        </w:rPr>
        <w:fldChar w:fldCharType="end"/>
      </w:r>
      <w:r>
        <w:rPr>
          <w:rFonts w:hint="eastAsia" w:ascii="宋体" w:hAnsi="宋体" w:eastAsia="仿宋_GB2312" w:cs="仿宋_GB2312"/>
          <w:sz w:val="32"/>
          <w:szCs w:val="32"/>
          <w:lang w:val="en-US" w:eastAsia="zh-CN"/>
        </w:rPr>
        <w:t>》同时废止。</w:t>
      </w: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3"/>
        <w:widowControl w:val="0"/>
        <w:wordWrap/>
        <w:overflowPunct w:val="0"/>
        <w:spacing w:beforeAutospacing="0" w:afterAutospacing="0" w:line="560" w:lineRule="exact"/>
        <w:ind w:left="0" w:leftChars="0" w:firstLine="0" w:firstLineChars="0"/>
        <w:jc w:val="center"/>
        <w:textAlignment w:val="auto"/>
        <w:outlineLvl w:val="0"/>
        <w:rPr>
          <w:rFonts w:hint="eastAsia" w:ascii="宋体" w:hAnsi="宋体" w:eastAsia="宋体" w:cs="宋体"/>
          <w:color w:val="000000"/>
          <w:sz w:val="44"/>
          <w:szCs w:val="44"/>
          <w:lang w:eastAsia="zh-CN"/>
        </w:rPr>
      </w:pPr>
      <w:bookmarkStart w:id="442" w:name="_Toc31977"/>
      <w:r>
        <w:rPr>
          <w:rFonts w:hint="eastAsia" w:ascii="宋体" w:hAnsi="宋体" w:eastAsia="宋体" w:cs="宋体"/>
          <w:color w:val="000000"/>
          <w:sz w:val="44"/>
          <w:szCs w:val="44"/>
          <w:lang w:eastAsia="zh-CN"/>
        </w:rPr>
        <w:t>广东省动物防疫条例</w:t>
      </w:r>
      <w:bookmarkEnd w:id="441"/>
      <w:bookmarkEnd w:id="442"/>
    </w:p>
    <w:p>
      <w:pPr>
        <w:widowControl w:val="0"/>
        <w:wordWrap/>
        <w:overflowPunct w:val="0"/>
        <w:spacing w:before="0" w:beforeAutospacing="0" w:afterAutospacing="0" w:line="560" w:lineRule="exact"/>
        <w:ind w:left="637" w:leftChars="199" w:right="525" w:rightChars="164" w:firstLine="0" w:firstLineChars="0"/>
        <w:jc w:val="both"/>
        <w:textAlignment w:val="auto"/>
        <w:outlineLvl w:val="9"/>
        <w:rPr>
          <w:rFonts w:hint="eastAsia" w:ascii="楷体" w:hAnsi="楷体" w:eastAsia="楷体" w:cs="楷体"/>
          <w:color w:val="000000"/>
          <w:kern w:val="2"/>
          <w:sz w:val="32"/>
          <w:szCs w:val="32"/>
          <w:lang w:val="en-US" w:eastAsia="zh-CN" w:bidi="ar-SA"/>
        </w:rPr>
      </w:pPr>
    </w:p>
    <w:p>
      <w:pPr>
        <w:widowControl w:val="0"/>
        <w:wordWrap/>
        <w:overflowPunct w:val="0"/>
        <w:spacing w:before="0" w:beforeAutospacing="0" w:afterAutospacing="0" w:line="560" w:lineRule="exact"/>
        <w:ind w:left="637" w:leftChars="199" w:right="525" w:rightChars="164" w:firstLine="0" w:firstLineChars="0"/>
        <w:jc w:val="both"/>
        <w:textAlignment w:val="auto"/>
        <w:outlineLvl w:val="9"/>
        <w:rPr>
          <w:rFonts w:hint="eastAsia" w:ascii="楷体" w:hAnsi="楷体" w:eastAsia="楷体" w:cs="楷体"/>
          <w:color w:val="000000"/>
          <w:kern w:val="2"/>
          <w:sz w:val="32"/>
          <w:szCs w:val="32"/>
          <w:lang w:val="en-US" w:eastAsia="zh-CN" w:bidi="ar-SA"/>
        </w:rPr>
      </w:pPr>
      <w:r>
        <w:rPr>
          <w:rFonts w:hint="eastAsia" w:ascii="楷体" w:hAnsi="楷体" w:eastAsia="楷体" w:cs="楷体"/>
          <w:color w:val="000000"/>
          <w:kern w:val="2"/>
          <w:sz w:val="32"/>
          <w:szCs w:val="32"/>
          <w:lang w:val="en-US" w:eastAsia="zh-CN" w:bidi="ar-SA"/>
        </w:rPr>
        <w:t>（2001年12月3日广东省第九届人民代表大会常务委员会第二十九次会议通过　2016年12月1日广东省第十二届人民代表大会常务委员会第二十九次会议修订　根据2019年9月25日广东省第十三届人民代表大会常务委员会第十四次会议《关于修改〈广东省食品安全条例〉等十项地方性法规的决定》修正）</w:t>
      </w:r>
    </w:p>
    <w:p>
      <w:pPr>
        <w:widowControl w:val="0"/>
        <w:wordWrap/>
        <w:overflowPunct w:val="0"/>
        <w:spacing w:before="0" w:beforeAutospacing="0" w:afterAutospacing="0" w:line="560" w:lineRule="exact"/>
        <w:ind w:left="637" w:leftChars="199" w:right="525" w:rightChars="164" w:firstLine="0" w:firstLineChars="0"/>
        <w:jc w:val="both"/>
        <w:textAlignment w:val="auto"/>
        <w:outlineLvl w:val="9"/>
        <w:rPr>
          <w:rFonts w:hint="eastAsia" w:ascii="楷体" w:hAnsi="楷体" w:eastAsia="楷体" w:cs="楷体"/>
          <w:color w:val="000000"/>
          <w:kern w:val="2"/>
          <w:sz w:val="32"/>
          <w:szCs w:val="32"/>
          <w:lang w:val="en-US" w:eastAsia="zh-CN" w:bidi="ar-SA"/>
        </w:rPr>
      </w:pP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第一条</w:t>
      </w:r>
      <w:r>
        <w:rPr>
          <w:rFonts w:hint="eastAsia" w:ascii="宋体" w:hAnsi="宋体" w:eastAsia="仿宋_GB2312" w:cs="仿宋_GB2312"/>
          <w:color w:val="000000"/>
          <w:kern w:val="2"/>
          <w:sz w:val="32"/>
          <w:szCs w:val="32"/>
          <w:lang w:val="en-US" w:eastAsia="zh-CN" w:bidi="ar-SA"/>
        </w:rPr>
        <w:t>　为了加强对动物防疫活动的管理，预防、控制和扑灭动物疫病，促进养殖业发展，保护人体健康，维护公共卫生安全，根据《中华人民共和国动物防疫法》等法律、法规，结合本省实际，制定本条例。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第二条　</w:t>
      </w:r>
      <w:r>
        <w:rPr>
          <w:rFonts w:hint="eastAsia" w:ascii="宋体" w:hAnsi="宋体" w:eastAsia="仿宋_GB2312" w:cs="仿宋_GB2312"/>
          <w:color w:val="000000"/>
          <w:kern w:val="2"/>
          <w:sz w:val="32"/>
          <w:szCs w:val="32"/>
          <w:lang w:val="en-US" w:eastAsia="zh-CN" w:bidi="ar-SA"/>
        </w:rPr>
        <w:t>本条例适用于本省行政区域内动物防疫及其监督管理活动。</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本条例所称动物防疫，是指对动物疫病的预防、控制、扑灭和对动物、动物产品的检疫。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第三条</w:t>
      </w:r>
      <w:r>
        <w:rPr>
          <w:rFonts w:hint="eastAsia" w:ascii="宋体" w:hAnsi="宋体" w:eastAsia="仿宋_GB2312" w:cs="仿宋_GB2312"/>
          <w:color w:val="000000"/>
          <w:kern w:val="2"/>
          <w:sz w:val="32"/>
          <w:szCs w:val="32"/>
          <w:lang w:val="en-US" w:eastAsia="zh-CN" w:bidi="ar-SA"/>
        </w:rPr>
        <w:t>　县级以上人民政府应当加强对动物防疫工作的统一领导，建立健全动物防疫公共服务体系和动物疫病防控责任制。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县级以上人民政府应当加强乡镇和村级动物防疫队伍建设，将村级动物防疫工作经费纳入财政预算，建立健全村级动物防疫队伍经费和装备保障机制。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县级以上人民政府应当储备预防、控制、扑灭动物疫病所需的药物、器械等应急防疫物资。</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第四条　</w:t>
      </w:r>
      <w:r>
        <w:rPr>
          <w:rFonts w:hint="eastAsia" w:ascii="宋体" w:hAnsi="宋体" w:eastAsia="仿宋_GB2312" w:cs="仿宋_GB2312"/>
          <w:color w:val="000000"/>
          <w:kern w:val="2"/>
          <w:sz w:val="32"/>
          <w:szCs w:val="32"/>
          <w:lang w:val="en-US" w:eastAsia="zh-CN" w:bidi="ar-SA"/>
        </w:rPr>
        <w:t>县级以上人民政府兽医主管部门主管本行政区域内的动物防疫工作。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县级以上人民政府林业、公安、交通运输、卫生、市场监督管理等有关部门按照各自职责，做好动物防疫工作。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第五条</w:t>
      </w:r>
      <w:r>
        <w:rPr>
          <w:rFonts w:hint="eastAsia" w:ascii="宋体" w:hAnsi="宋体" w:eastAsia="仿宋_GB2312" w:cs="仿宋_GB2312"/>
          <w:color w:val="000000"/>
          <w:kern w:val="2"/>
          <w:sz w:val="32"/>
          <w:szCs w:val="32"/>
          <w:lang w:val="en-US" w:eastAsia="zh-CN" w:bidi="ar-SA"/>
        </w:rPr>
        <w:t>　县级以上人民政府设立的动物卫生监督机构，具体负责本行政区域内动物、动物产品的检疫工作和其他有关动物防疫的监督管理执法工作。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县级以上动物卫生监督机构可以根据实际需要向乡镇派驻动物防疫监督工作人员实施动物防疫和动物防疫监督。</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第六条</w:t>
      </w:r>
      <w:r>
        <w:rPr>
          <w:rFonts w:hint="eastAsia" w:ascii="宋体" w:hAnsi="宋体" w:eastAsia="仿宋_GB2312" w:cs="仿宋_GB2312"/>
          <w:color w:val="000000"/>
          <w:kern w:val="2"/>
          <w:sz w:val="32"/>
          <w:szCs w:val="32"/>
          <w:lang w:val="en-US" w:eastAsia="zh-CN" w:bidi="ar-SA"/>
        </w:rPr>
        <w:t>　县级以上人民政府应当根据统筹规划、合理布局、综合设置的原则建立动物疫病预防控制机构，承担动物疫病的监测、检测、诊断、流行病学调查、疫情报告以及其他预防、控制等技术工作。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第七条　</w:t>
      </w:r>
      <w:r>
        <w:rPr>
          <w:rFonts w:hint="eastAsia" w:ascii="宋体" w:hAnsi="宋体" w:eastAsia="仿宋_GB2312" w:cs="仿宋_GB2312"/>
          <w:color w:val="000000"/>
          <w:kern w:val="2"/>
          <w:sz w:val="32"/>
          <w:szCs w:val="32"/>
          <w:lang w:val="en-US" w:eastAsia="zh-CN" w:bidi="ar-SA"/>
        </w:rPr>
        <w:t>乡镇人民政府、街道办事处应当根据动物疫病防控需要，组织相关机构及人员做好动物防疫知识宣传、动物疫病强制免疫服务工作，并协助开展重大动物疫情控制和扑灭处理等工作。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村民委员会、居民委员会应当协助做好动物防疫工作。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第八条　</w:t>
      </w:r>
      <w:r>
        <w:rPr>
          <w:rFonts w:hint="eastAsia" w:ascii="宋体" w:hAnsi="宋体" w:eastAsia="仿宋_GB2312" w:cs="仿宋_GB2312"/>
          <w:color w:val="000000"/>
          <w:kern w:val="2"/>
          <w:sz w:val="32"/>
          <w:szCs w:val="32"/>
          <w:lang w:val="en-US" w:eastAsia="zh-CN" w:bidi="ar-SA"/>
        </w:rPr>
        <w:t>县级以上人民政府应当运用现代信息技术，建立动物防疫信息平台，加强动物防疫信息采集、传输、汇总、分析和评估工作。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第九条</w:t>
      </w:r>
      <w:r>
        <w:rPr>
          <w:rFonts w:hint="eastAsia" w:ascii="宋体" w:hAnsi="宋体" w:eastAsia="仿宋_GB2312" w:cs="仿宋_GB2312"/>
          <w:color w:val="000000"/>
          <w:kern w:val="2"/>
          <w:sz w:val="32"/>
          <w:szCs w:val="32"/>
          <w:lang w:val="en-US" w:eastAsia="zh-CN" w:bidi="ar-SA"/>
        </w:rPr>
        <w:t>　县级以上人民政府兽医主管部门和卫生主管部门应当建立人畜共患传染病防控合作机制，共同制定人畜共患传染病防控方案，组织对易感动物和相关职业人群进行人畜共患传染病的监测，及时通报相关信息，并采取防控措施。</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第十条</w:t>
      </w:r>
      <w:r>
        <w:rPr>
          <w:rFonts w:hint="eastAsia" w:ascii="宋体" w:hAnsi="宋体" w:eastAsia="仿宋_GB2312" w:cs="仿宋_GB2312"/>
          <w:color w:val="000000"/>
          <w:kern w:val="2"/>
          <w:sz w:val="32"/>
          <w:szCs w:val="32"/>
          <w:lang w:val="en-US" w:eastAsia="zh-CN" w:bidi="ar-SA"/>
        </w:rPr>
        <w:t>　县级以上人民政府兽医主管部门、卫生主管部门应当制定相关人畜共患传染病病种的监测方案，根据监测方案开展监测工作，并及时通报异常情况。</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省人民政府兽医主管部门、卫生主管部门应当针对高发人畜共患传染病设立省级监测点，收集和分析疫情资料，掌握流行规律。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第十一条</w:t>
      </w:r>
      <w:r>
        <w:rPr>
          <w:rFonts w:hint="eastAsia" w:ascii="宋体" w:hAnsi="宋体" w:eastAsia="仿宋_GB2312" w:cs="仿宋_GB2312"/>
          <w:color w:val="000000"/>
          <w:kern w:val="2"/>
          <w:sz w:val="32"/>
          <w:szCs w:val="32"/>
          <w:lang w:val="en-US" w:eastAsia="zh-CN" w:bidi="ar-SA"/>
        </w:rPr>
        <w:t>　发生人畜共患传染病动物疫情时，兽医主管部门应当按照县级以上人民政府有关要求，及时采取控制和扑灭措施；卫生主管部门应当开展风险评估，并根据评估情况进行监测，采取相应的预防、控制措施。</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第十二条</w:t>
      </w:r>
      <w:r>
        <w:rPr>
          <w:rFonts w:hint="eastAsia" w:ascii="宋体" w:hAnsi="宋体" w:eastAsia="仿宋_GB2312" w:cs="仿宋_GB2312"/>
          <w:color w:val="000000"/>
          <w:kern w:val="2"/>
          <w:sz w:val="32"/>
          <w:szCs w:val="32"/>
          <w:lang w:val="en-US" w:eastAsia="zh-CN" w:bidi="ar-SA"/>
        </w:rPr>
        <w:t>　患有人畜共患传染病的人员不得直接从事动物饲养、屠宰、经营、隔离、运输等活动。</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第十三条　</w:t>
      </w:r>
      <w:r>
        <w:rPr>
          <w:rFonts w:hint="eastAsia" w:ascii="宋体" w:hAnsi="宋体" w:eastAsia="仿宋_GB2312" w:cs="仿宋_GB2312"/>
          <w:color w:val="000000"/>
          <w:kern w:val="2"/>
          <w:sz w:val="32"/>
          <w:szCs w:val="32"/>
          <w:lang w:val="en-US" w:eastAsia="zh-CN" w:bidi="ar-SA"/>
        </w:rPr>
        <w:t>县级以上人民政府应当加强无规定动物疫病区或者生物安全隔离区建设，实行动物疫病的区域化管理。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无规定动物疫病区核心区、缓冲区和生物安全通道所在地各级人民政府应当做好相关区域的组织、管理和协调工作，并在技术、设施、设备、人员及经费等方面予以保障。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鼓励和支持动物养殖企业、动物饲养场建立生物安全隔离区。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第十四条　</w:t>
      </w:r>
      <w:r>
        <w:rPr>
          <w:rFonts w:hint="eastAsia" w:ascii="宋体" w:hAnsi="宋体" w:eastAsia="仿宋_GB2312" w:cs="仿宋_GB2312"/>
          <w:color w:val="000000"/>
          <w:kern w:val="2"/>
          <w:sz w:val="32"/>
          <w:szCs w:val="32"/>
          <w:lang w:val="en-US" w:eastAsia="zh-CN" w:bidi="ar-SA"/>
        </w:rPr>
        <w:t>动物防疫监督管理工作应当遵循风险控制和可追溯管理相结合的原则，加强畜禽标识管理，完善信息采集传输、数据分析处理设施，建立动物防疫风险管理体系和动物产品追溯管理体系。</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　　第十五条</w:t>
      </w:r>
      <w:r>
        <w:rPr>
          <w:rFonts w:hint="eastAsia" w:ascii="宋体" w:hAnsi="宋体" w:eastAsia="仿宋_GB2312" w:cs="仿宋_GB2312"/>
          <w:color w:val="000000"/>
          <w:kern w:val="2"/>
          <w:sz w:val="32"/>
          <w:szCs w:val="32"/>
          <w:lang w:val="en-US" w:eastAsia="zh-CN" w:bidi="ar-SA"/>
        </w:rPr>
        <w:t>　从事动物饲养、屠宰、经营、隔离、运输以及动物产品生产、经营、加工、贮藏等活动的单位和个人应当依法做好免疫、消毒和疫情报告等工作。其中，规模动物饲养场（养殖小区）还应当对其饲养的动物开展动物疫病检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第十六条</w:t>
      </w:r>
      <w:r>
        <w:rPr>
          <w:rFonts w:hint="eastAsia" w:ascii="宋体" w:hAnsi="宋体" w:eastAsia="仿宋_GB2312" w:cs="仿宋_GB2312"/>
          <w:color w:val="000000"/>
          <w:kern w:val="2"/>
          <w:sz w:val="32"/>
          <w:szCs w:val="32"/>
          <w:lang w:val="en-US" w:eastAsia="zh-CN" w:bidi="ar-SA"/>
        </w:rPr>
        <w:t>　省人民政府兽医主管部门根据国家动物疫病强制免疫计划，制定和组织实施强制免疫计划；并可以根据动物疫病流行情况增加实施强制免疫的动物疫病病种和区域，报省人民政府批准后执行。</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县级以上人民政府兽医主管部门组织实施本行政区域内动物疫病强制免疫计划。</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第十七条　</w:t>
      </w:r>
      <w:r>
        <w:rPr>
          <w:rFonts w:hint="eastAsia" w:ascii="宋体" w:hAnsi="宋体" w:eastAsia="仿宋_GB2312" w:cs="仿宋_GB2312"/>
          <w:color w:val="000000"/>
          <w:kern w:val="2"/>
          <w:sz w:val="32"/>
          <w:szCs w:val="32"/>
          <w:lang w:val="en-US" w:eastAsia="zh-CN" w:bidi="ar-SA"/>
        </w:rPr>
        <w:t>乡镇人民政府、街道办事处应当组织辖区内饲养动物的单位和个人做好动物疫病强制免疫工作。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饲养动物的单位和个人应当依法履行动物疫病强制免疫义务，按照兽医主管部门的要求做好动物疫病强制免疫等工作。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犬猫等动物饲养者应当对其饲养的动物做好狂犬病免疫等防疫工作。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乡镇、县级人民政府应当加强对无主犬猫的疫病防控等管理工作。</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第十八条　发现疑似重大动物疫情时，县级以上人民政府兽医主管部门应当立即派人到现场采集病料，并送有关机构进行检测。</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第十九条</w:t>
      </w:r>
      <w:r>
        <w:rPr>
          <w:rFonts w:hint="eastAsia" w:ascii="宋体" w:hAnsi="宋体" w:eastAsia="仿宋_GB2312" w:cs="仿宋_GB2312"/>
          <w:color w:val="000000"/>
          <w:kern w:val="2"/>
          <w:sz w:val="32"/>
          <w:szCs w:val="32"/>
          <w:lang w:val="en-US" w:eastAsia="zh-CN" w:bidi="ar-SA"/>
        </w:rPr>
        <w:t>　重大动物疫情认定之前，县级以上人民政府可以对疫区作出封锁决定，并采取扑杀、销毁等措施。对强制扑杀的动物、销毁的动物产品和相关物品，县级以上人民政府应当给予补偿。</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第二十条</w:t>
      </w:r>
      <w:r>
        <w:rPr>
          <w:rFonts w:hint="eastAsia" w:ascii="宋体" w:hAnsi="宋体" w:eastAsia="仿宋_GB2312" w:cs="仿宋_GB2312"/>
          <w:color w:val="000000"/>
          <w:kern w:val="2"/>
          <w:sz w:val="32"/>
          <w:szCs w:val="32"/>
          <w:lang w:val="en-US" w:eastAsia="zh-CN" w:bidi="ar-SA"/>
        </w:rPr>
        <w:t>　动物卫生监督机构的官方兽医具体实施动物、动物产品检疫。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第二十一条</w:t>
      </w:r>
      <w:r>
        <w:rPr>
          <w:rFonts w:hint="eastAsia" w:ascii="宋体" w:hAnsi="宋体" w:eastAsia="仿宋_GB2312" w:cs="仿宋_GB2312"/>
          <w:color w:val="000000"/>
          <w:kern w:val="2"/>
          <w:sz w:val="32"/>
          <w:szCs w:val="32"/>
          <w:lang w:val="en-US" w:eastAsia="zh-CN" w:bidi="ar-SA"/>
        </w:rPr>
        <w:t>　屠宰、出售、运输动物以及出售、运输动物产品前，货主应当按照规定，向当地动物卫生监督机构申报检疫。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对符合受理条件的，动物卫生监督机构应当受理，并按规定时限派出官方兽医到现场或者指定地点实施检疫；对不符合受理条件的，不予受理，并应当说明理由，书面告知申报人。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黑体" w:hAnsi="黑体" w:eastAsia="黑体" w:cs="黑体"/>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第二十二条　</w:t>
      </w:r>
      <w:r>
        <w:rPr>
          <w:rFonts w:hint="eastAsia" w:ascii="宋体" w:hAnsi="宋体" w:eastAsia="仿宋_GB2312" w:cs="仿宋_GB2312"/>
          <w:color w:val="000000"/>
          <w:kern w:val="2"/>
          <w:sz w:val="32"/>
          <w:szCs w:val="32"/>
          <w:lang w:val="en-US" w:eastAsia="zh-CN" w:bidi="ar-SA"/>
        </w:rPr>
        <w:t>动物卫生监督机构应当根据检疫工作需要，合理设置检疫申报点，并向社会公布检疫申报点、检疫范围和检疫对象。</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　　第二十三条　</w:t>
      </w:r>
      <w:r>
        <w:rPr>
          <w:rFonts w:hint="eastAsia" w:ascii="宋体" w:hAnsi="宋体" w:eastAsia="仿宋_GB2312" w:cs="仿宋_GB2312"/>
          <w:color w:val="000000"/>
          <w:kern w:val="2"/>
          <w:sz w:val="32"/>
          <w:szCs w:val="32"/>
          <w:lang w:val="en-US" w:eastAsia="zh-CN" w:bidi="ar-SA"/>
        </w:rPr>
        <w:t>出售或者运输的动物、动物产品，未取得检疫证明的，不得离开产地。</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第二十四条</w:t>
      </w:r>
      <w:r>
        <w:rPr>
          <w:rFonts w:hint="eastAsia" w:ascii="宋体" w:hAnsi="宋体" w:eastAsia="仿宋_GB2312" w:cs="仿宋_GB2312"/>
          <w:color w:val="000000"/>
          <w:kern w:val="2"/>
          <w:sz w:val="32"/>
          <w:szCs w:val="32"/>
          <w:lang w:val="en-US" w:eastAsia="zh-CN" w:bidi="ar-SA"/>
        </w:rPr>
        <w:t>　动物卫生监督机构应当依法向定点屠宰场所派驻或者派出官方兽医实施屠宰检疫。</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第二十五条　</w:t>
      </w:r>
      <w:r>
        <w:rPr>
          <w:rFonts w:hint="eastAsia" w:ascii="宋体" w:hAnsi="宋体" w:eastAsia="仿宋_GB2312" w:cs="仿宋_GB2312"/>
          <w:color w:val="000000"/>
          <w:kern w:val="2"/>
          <w:sz w:val="32"/>
          <w:szCs w:val="32"/>
          <w:lang w:val="en-US" w:eastAsia="zh-CN" w:bidi="ar-SA"/>
        </w:rPr>
        <w:t>定点屠宰场所、交易市场、冷冻动物产品贮藏场所等经营者在购进动物、动物产品时，应当查验动物检疫合格证明及检疫标志。</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第二十六条</w:t>
      </w:r>
      <w:r>
        <w:rPr>
          <w:rFonts w:hint="eastAsia" w:ascii="宋体" w:hAnsi="宋体" w:eastAsia="仿宋_GB2312" w:cs="仿宋_GB2312"/>
          <w:color w:val="000000"/>
          <w:kern w:val="2"/>
          <w:sz w:val="32"/>
          <w:szCs w:val="32"/>
          <w:lang w:val="en-US" w:eastAsia="zh-CN" w:bidi="ar-SA"/>
        </w:rPr>
        <w:t>　动物卫生监督机构及其官方兽医等工作人员开展动物防疫工作，不得有以下行为：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（一）对未经现场检疫或者检疫不合格的动物、动物产品出具检疫证明、加施检疫标志；</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（二）对检疫合格的动物、动物产品拒不出具检疫证明、加施检疫标志；</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（三）从事与动物防疫有关的经营性活动，或者违反规定加收费用、重复收费；</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（四）其他违反本条例规定的行为。</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第二十七条</w:t>
      </w:r>
      <w:r>
        <w:rPr>
          <w:rFonts w:hint="eastAsia" w:ascii="宋体" w:hAnsi="宋体" w:eastAsia="仿宋_GB2312" w:cs="仿宋_GB2312"/>
          <w:color w:val="000000"/>
          <w:kern w:val="2"/>
          <w:sz w:val="32"/>
          <w:szCs w:val="32"/>
          <w:lang w:val="en-US" w:eastAsia="zh-CN" w:bidi="ar-SA"/>
        </w:rPr>
        <w:t>　各级人民政府负责本行政区域内病死动物的无害化处理工作，建立病死动物无害化处理体系和机制。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县级以上人民政府根据本地区畜禽养殖等情况，合理规划、设立区域性病死动物无害化处理场，推进辖区内病死动物统一收集和集中处理。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县级以上人民政府有关部门应当按照各自职责，落实无害化处理的各项任务和措施。</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第二十八条</w:t>
      </w:r>
      <w:r>
        <w:rPr>
          <w:rFonts w:hint="eastAsia" w:ascii="宋体" w:hAnsi="宋体" w:eastAsia="仿宋_GB2312" w:cs="仿宋_GB2312"/>
          <w:color w:val="000000"/>
          <w:kern w:val="2"/>
          <w:sz w:val="32"/>
          <w:szCs w:val="32"/>
          <w:lang w:val="en-US" w:eastAsia="zh-CN" w:bidi="ar-SA"/>
        </w:rPr>
        <w:t>　从事动物饲养、屠宰、经营、运输的单位和个人应当按照国家有关规定对病死动物进行无害化处理，不得抛弃、收购、贩卖、屠宰、加工病死动物；不具备无害化处理能力的，应当委托有处理能力的单位处理。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第二十九条</w:t>
      </w:r>
      <w:r>
        <w:rPr>
          <w:rFonts w:hint="eastAsia" w:ascii="宋体" w:hAnsi="宋体" w:eastAsia="仿宋_GB2312" w:cs="仿宋_GB2312"/>
          <w:color w:val="000000"/>
          <w:kern w:val="2"/>
          <w:sz w:val="32"/>
          <w:szCs w:val="32"/>
          <w:lang w:val="en-US" w:eastAsia="zh-CN" w:bidi="ar-SA"/>
        </w:rPr>
        <w:t>　在江河、湖泊、水库等水域发现的死亡动物，由所在地县级人民政府组织收集处理。在城市公共场所或者乡村发现的死亡动物，由所在地乡镇人民政府或者街道办事处组织收集处理。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第三十条</w:t>
      </w:r>
      <w:r>
        <w:rPr>
          <w:rFonts w:hint="eastAsia" w:ascii="宋体" w:hAnsi="宋体" w:eastAsia="仿宋_GB2312" w:cs="仿宋_GB2312"/>
          <w:color w:val="000000"/>
          <w:kern w:val="2"/>
          <w:sz w:val="32"/>
          <w:szCs w:val="32"/>
          <w:lang w:val="en-US" w:eastAsia="zh-CN" w:bidi="ar-SA"/>
        </w:rPr>
        <w:t>　从事动物诊疗活动的机构，应当按照国家规定取得动物诊疗许可证，并按照动物诊疗许可证载明的范围开展诊疗活动，执行相关专业技术规范。</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第三十一条　</w:t>
      </w:r>
      <w:r>
        <w:rPr>
          <w:rFonts w:hint="eastAsia" w:ascii="宋体" w:hAnsi="宋体" w:eastAsia="仿宋_GB2312" w:cs="仿宋_GB2312"/>
          <w:color w:val="000000"/>
          <w:kern w:val="2"/>
          <w:sz w:val="32"/>
          <w:szCs w:val="32"/>
          <w:lang w:val="en-US" w:eastAsia="zh-CN" w:bidi="ar-SA"/>
        </w:rPr>
        <w:t>申请领取动物诊疗许可证，应当提交下列材料：</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（一）动物诊疗许可证申请表；</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（二）法定代表人或者负责人身份证明；</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（三）动物诊疗场所使用权证明；</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（四）动物诊疗场所地理方位图、室内平面图和各功能区布局图；</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（五）执业兽医师资格证书原件及复印件；</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（六）执业兽医的健康证明材料；</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（七）设施设备清单；</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（八）管理制度文本。</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第三十二条</w:t>
      </w:r>
      <w:r>
        <w:rPr>
          <w:rFonts w:hint="eastAsia" w:ascii="宋体" w:hAnsi="宋体" w:eastAsia="仿宋_GB2312" w:cs="仿宋_GB2312"/>
          <w:color w:val="000000"/>
          <w:kern w:val="2"/>
          <w:sz w:val="32"/>
          <w:szCs w:val="32"/>
          <w:lang w:val="en-US" w:eastAsia="zh-CN" w:bidi="ar-SA"/>
        </w:rPr>
        <w:t>　发证机关应当在受理申请之日起二十个工作日内完成申请材料的审核和动物诊疗场所的实地考查，符合条件的，向申请人颁发动物诊疗许可证；不符合条件的，书面通知申请人，并说明理由。</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第三十三条　</w:t>
      </w:r>
      <w:r>
        <w:rPr>
          <w:rFonts w:hint="eastAsia" w:ascii="宋体" w:hAnsi="宋体" w:eastAsia="仿宋_GB2312" w:cs="仿宋_GB2312"/>
          <w:color w:val="000000"/>
          <w:kern w:val="2"/>
          <w:sz w:val="32"/>
          <w:szCs w:val="32"/>
          <w:lang w:val="en-US" w:eastAsia="zh-CN" w:bidi="ar-SA"/>
        </w:rPr>
        <w:t>饲养动物的单位和个人违反本条例第十七条第二款规定，未依法履行动物疫病强制免疫义务的，由动物卫生监督机构责令改正，给予警告；拒不改正的，由动物卫生监督机构代作处理，所需处理费用由违法行为人承担，可以处一千元以下罚款。</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第三十四条</w:t>
      </w:r>
      <w:r>
        <w:rPr>
          <w:rFonts w:hint="eastAsia" w:ascii="宋体" w:hAnsi="宋体" w:eastAsia="仿宋_GB2312" w:cs="仿宋_GB2312"/>
          <w:color w:val="000000"/>
          <w:kern w:val="2"/>
          <w:sz w:val="32"/>
          <w:szCs w:val="32"/>
          <w:lang w:val="en-US" w:eastAsia="zh-CN" w:bidi="ar-SA"/>
        </w:rPr>
        <w:t>　从事动物饲养、屠宰、经营、运输的单位和个人，违反本条例第二十八条规定，未按照国家有关规定对病死动物进行无害化处理的，由动物卫生监督机构责令无害化处理，所需处理费用由违法行为人承担，可以处三千元以下罚款。</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第三十五条</w:t>
      </w:r>
      <w:r>
        <w:rPr>
          <w:rFonts w:hint="eastAsia" w:ascii="宋体" w:hAnsi="宋体" w:eastAsia="仿宋_GB2312" w:cs="仿宋_GB2312"/>
          <w:color w:val="000000"/>
          <w:kern w:val="2"/>
          <w:sz w:val="32"/>
          <w:szCs w:val="32"/>
          <w:lang w:val="en-US" w:eastAsia="zh-CN" w:bidi="ar-SA"/>
        </w:rPr>
        <w:t>　动物卫生监督机构及其工作人员违反本条例第二十六条规定的，由本级人民政府或者兽医主管部门责令改正，通报批评；对直接负责的主管人员和其他直接责任人员依法给予处分；构成犯罪的，依法追究刑事责任。</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第三十六条</w:t>
      </w:r>
      <w:r>
        <w:rPr>
          <w:rFonts w:hint="eastAsia" w:ascii="宋体" w:hAnsi="宋体" w:eastAsia="仿宋_GB2312" w:cs="仿宋_GB2312"/>
          <w:color w:val="000000"/>
          <w:kern w:val="2"/>
          <w:sz w:val="32"/>
          <w:szCs w:val="32"/>
          <w:lang w:val="en-US" w:eastAsia="zh-CN" w:bidi="ar-SA"/>
        </w:rPr>
        <w:t>　违反本条例其他规定的，依照有关法律、法规的规定处理。</w:t>
      </w:r>
    </w:p>
    <w:p>
      <w:pPr>
        <w:widowControl w:val="0"/>
        <w:wordWrap/>
        <w:overflowPunct w:val="0"/>
        <w:spacing w:before="0" w:beforeAutospacing="0" w:afterAutospacing="0" w:line="560" w:lineRule="exact"/>
        <w:ind w:left="0" w:leftChars="0" w:firstLine="0" w:firstLineChars="0"/>
        <w:jc w:val="both"/>
        <w:textAlignment w:val="auto"/>
        <w:outlineLvl w:val="9"/>
        <w:rPr>
          <w:rFonts w:hint="eastAsia" w:ascii="宋体" w:hAnsi="宋体" w:eastAsia="仿宋_GB2312" w:cs="仿宋_GB2312"/>
          <w:color w:val="000000"/>
          <w:kern w:val="2"/>
          <w:sz w:val="32"/>
          <w:szCs w:val="32"/>
          <w:lang w:val="en-US" w:eastAsia="zh-CN" w:bidi="ar-SA"/>
        </w:rPr>
      </w:pPr>
      <w:r>
        <w:rPr>
          <w:rFonts w:hint="eastAsia" w:ascii="宋体" w:hAnsi="宋体" w:eastAsia="仿宋_GB2312" w:cs="仿宋_GB2312"/>
          <w:color w:val="000000"/>
          <w:kern w:val="2"/>
          <w:sz w:val="32"/>
          <w:szCs w:val="32"/>
          <w:lang w:val="en-US" w:eastAsia="zh-CN" w:bidi="ar-SA"/>
        </w:rPr>
        <w:t>　</w:t>
      </w:r>
      <w:r>
        <w:rPr>
          <w:rFonts w:hint="eastAsia" w:ascii="黑体" w:hAnsi="黑体" w:eastAsia="黑体" w:cs="黑体"/>
          <w:color w:val="000000"/>
          <w:kern w:val="2"/>
          <w:sz w:val="32"/>
          <w:szCs w:val="32"/>
          <w:lang w:val="en-US" w:eastAsia="zh-CN" w:bidi="ar-SA"/>
        </w:rPr>
        <w:t>　第三十七条　</w:t>
      </w:r>
      <w:r>
        <w:rPr>
          <w:rFonts w:hint="eastAsia" w:ascii="宋体" w:hAnsi="宋体" w:eastAsia="仿宋_GB2312" w:cs="仿宋_GB2312"/>
          <w:color w:val="000000"/>
          <w:kern w:val="2"/>
          <w:sz w:val="32"/>
          <w:szCs w:val="32"/>
          <w:lang w:val="en-US" w:eastAsia="zh-CN" w:bidi="ar-SA"/>
        </w:rPr>
        <w:t>本条例自2017年3月1日起施行。</w:t>
      </w:r>
    </w:p>
    <w:p>
      <w:pPr>
        <w:wordWrap/>
        <w:spacing w:line="560" w:lineRule="exact"/>
        <w:jc w:val="center"/>
        <w:textAlignment w:val="auto"/>
        <w:outlineLvl w:val="0"/>
        <w:rPr>
          <w:rFonts w:hint="eastAsia" w:ascii="宋体" w:hAnsi="宋体" w:eastAsia="方正小标宋简体" w:cs="方正小标宋简体"/>
          <w:bCs/>
          <w:sz w:val="44"/>
          <w:szCs w:val="44"/>
        </w:rPr>
      </w:pPr>
      <w:r>
        <w:rPr>
          <w:rFonts w:hint="eastAsia" w:ascii="Times New Roman" w:hAnsi="Times New Roman" w:eastAsia="宋体" w:cs="Times New Roman"/>
          <w:bCs/>
          <w:kern w:val="44"/>
          <w:sz w:val="44"/>
          <w:szCs w:val="44"/>
          <w:lang w:val="en-US" w:eastAsia="zh-CN" w:bidi="ar-SA"/>
        </w:rPr>
        <w:br w:type="page"/>
      </w:r>
      <w:bookmarkStart w:id="443" w:name="_Toc1955"/>
      <w:bookmarkStart w:id="444" w:name="_Toc12511"/>
      <w:r>
        <w:rPr>
          <w:rFonts w:hint="eastAsia" w:ascii="宋体" w:hAnsi="宋体" w:eastAsia="宋体" w:cs="宋体"/>
          <w:bCs/>
          <w:sz w:val="44"/>
          <w:szCs w:val="44"/>
        </w:rPr>
        <w:t>广东省实验动物管理条例</w:t>
      </w:r>
      <w:bookmarkEnd w:id="443"/>
      <w:bookmarkEnd w:id="444"/>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楷体_GB2312" w:cs="楷体_GB2312"/>
          <w:sz w:val="32"/>
          <w:szCs w:val="32"/>
        </w:rPr>
      </w:pPr>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宋体" w:cs="宋体"/>
          <w:sz w:val="32"/>
          <w:szCs w:val="20"/>
        </w:rPr>
      </w:pPr>
      <w:r>
        <w:rPr>
          <w:rFonts w:hint="eastAsia" w:ascii="宋体" w:hAnsi="宋体" w:eastAsia="楷体_GB2312" w:cs="楷体_GB2312"/>
          <w:sz w:val="32"/>
          <w:szCs w:val="20"/>
        </w:rPr>
        <w:t>（2010年6月2日广东省第十一届人民代表大会常务委员会第十九次会议通过</w:t>
      </w:r>
      <w:r>
        <w:rPr>
          <w:rFonts w:hint="eastAsia" w:ascii="宋体" w:hAnsi="宋体" w:eastAsia="楷体_GB2312" w:cs="楷体_GB2312"/>
          <w:sz w:val="32"/>
          <w:szCs w:val="20"/>
          <w:lang w:val="en-US" w:eastAsia="zh-CN"/>
        </w:rPr>
        <w:t xml:space="preserve">  根据2019年11月29日广东省第十三届人民代表大会常务委员会第十五次会议《</w:t>
      </w:r>
      <w:r>
        <w:rPr>
          <w:rFonts w:hint="eastAsia" w:ascii="宋体" w:hAnsi="宋体" w:eastAsia="楷体_GB2312" w:cs="楷体_GB2312"/>
          <w:b w:val="0"/>
          <w:bCs w:val="0"/>
          <w:spacing w:val="0"/>
          <w:sz w:val="32"/>
          <w:szCs w:val="32"/>
          <w:lang w:eastAsia="zh-CN"/>
        </w:rPr>
        <w:t>关于修改〈广东省水利工程管理条例〉</w:t>
      </w:r>
      <w:r>
        <w:rPr>
          <w:rFonts w:hint="eastAsia" w:ascii="宋体" w:hAnsi="宋体" w:eastAsia="楷体_GB2312" w:cs="楷体_GB2312"/>
          <w:spacing w:val="0"/>
          <w:sz w:val="32"/>
          <w:szCs w:val="32"/>
          <w:lang w:eastAsia="zh-CN"/>
        </w:rPr>
        <w:t>等十六项地方性法规的决定</w:t>
      </w:r>
      <w:r>
        <w:rPr>
          <w:rFonts w:hint="eastAsia" w:ascii="宋体" w:hAnsi="宋体" w:eastAsia="楷体_GB2312" w:cs="楷体_GB2312"/>
          <w:sz w:val="32"/>
          <w:szCs w:val="20"/>
          <w:lang w:val="en-US" w:eastAsia="zh-CN"/>
        </w:rPr>
        <w:t>》修正</w:t>
      </w:r>
      <w:r>
        <w:rPr>
          <w:rFonts w:hint="eastAsia" w:ascii="宋体" w:hAnsi="宋体" w:eastAsia="楷体_GB2312" w:cs="楷体_GB2312"/>
          <w:sz w:val="32"/>
          <w:szCs w:val="20"/>
        </w:rPr>
        <w:t>）</w:t>
      </w:r>
    </w:p>
    <w:p>
      <w:pPr>
        <w:wordWrap/>
        <w:spacing w:line="560" w:lineRule="exact"/>
        <w:ind w:firstLine="640" w:firstLineChars="200"/>
        <w:textAlignment w:val="auto"/>
        <w:rPr>
          <w:rFonts w:hint="eastAsia" w:ascii="宋体" w:hAnsi="宋体" w:eastAsia="宋体" w:cs="宋体"/>
          <w:sz w:val="32"/>
          <w:szCs w:val="20"/>
        </w:rPr>
      </w:pPr>
    </w:p>
    <w:p>
      <w:pPr>
        <w:widowControl w:val="0"/>
        <w:wordWrap/>
        <w:spacing w:line="560" w:lineRule="exact"/>
        <w:ind w:firstLine="640" w:firstLineChars="200"/>
        <w:jc w:val="both"/>
        <w:textAlignment w:val="auto"/>
        <w:rPr>
          <w:rFonts w:hint="eastAsia" w:ascii="宋体" w:hAnsi="宋体" w:eastAsia="宋体" w:cs="Times New Roman"/>
          <w:kern w:val="2"/>
          <w:sz w:val="32"/>
          <w:lang w:val="en-US" w:eastAsia="zh-CN"/>
        </w:rPr>
      </w:pPr>
    </w:p>
    <w:p>
      <w:pPr>
        <w:wordWrap/>
        <w:spacing w:line="560" w:lineRule="exact"/>
        <w:ind w:firstLine="640" w:firstLineChars="200"/>
        <w:jc w:val="center"/>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目    录</w:t>
      </w:r>
    </w:p>
    <w:p>
      <w:pPr>
        <w:wordWrap/>
        <w:spacing w:line="560" w:lineRule="exact"/>
        <w:ind w:firstLine="640" w:firstLineChars="200"/>
        <w:textAlignment w:val="auto"/>
        <w:rPr>
          <w:rFonts w:hint="eastAsia" w:ascii="宋体" w:hAnsi="宋体" w:eastAsia="宋体" w:cs="宋体"/>
          <w:sz w:val="32"/>
          <w:szCs w:val="20"/>
        </w:rPr>
      </w:pP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第一章  总则</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第二章  生产与使用管理</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第三章  生产与使用规范</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第四章  生物安全与实验动物福利</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第五章  生产与使用监督</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第六章  法律责任</w:t>
      </w:r>
    </w:p>
    <w:p>
      <w:pPr>
        <w:wordWrap/>
        <w:spacing w:line="560" w:lineRule="exact"/>
        <w:ind w:firstLine="640" w:firstLineChars="200"/>
        <w:textAlignment w:val="auto"/>
        <w:rPr>
          <w:rFonts w:hint="eastAsia" w:ascii="宋体" w:hAnsi="宋体" w:eastAsia="楷体_GB2312" w:cs="楷体_GB2312"/>
          <w:sz w:val="32"/>
          <w:szCs w:val="20"/>
        </w:rPr>
      </w:pPr>
      <w:r>
        <w:rPr>
          <w:rFonts w:hint="eastAsia" w:ascii="宋体" w:hAnsi="宋体" w:eastAsia="楷体_GB2312" w:cs="楷体_GB2312"/>
          <w:sz w:val="32"/>
          <w:szCs w:val="20"/>
        </w:rPr>
        <w:t>第七章  附则</w:t>
      </w:r>
    </w:p>
    <w:p>
      <w:pPr>
        <w:wordWrap/>
        <w:spacing w:line="560" w:lineRule="exact"/>
        <w:textAlignment w:val="auto"/>
        <w:rPr>
          <w:rFonts w:hint="eastAsia" w:ascii="宋体" w:hAnsi="宋体" w:eastAsia="宋体" w:cs="宋体"/>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第一章  总则</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第一条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为了适应科学研究和经济社会发展的需要，加强对生产、使用实验动物的管理，保证实验动物和动物实验的质量，促进自主创新,维护公共卫生安全，根据有关法律、行政法规，结合本省实际，制定本条例。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第二条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本条例适用于本省行政区域内</w:t>
      </w:r>
      <w:r>
        <w:rPr>
          <w:rFonts w:hint="eastAsia" w:ascii="宋体" w:hAnsi="宋体" w:eastAsia="仿宋_GB2312" w:cs="仿宋_GB2312"/>
          <w:bCs/>
          <w:color w:val="000000"/>
          <w:sz w:val="32"/>
          <w:szCs w:val="20"/>
        </w:rPr>
        <w:t>生产、使用实验动物及其监督管理活动</w:t>
      </w:r>
      <w:r>
        <w:rPr>
          <w:rFonts w:hint="eastAsia" w:ascii="宋体" w:hAnsi="宋体" w:eastAsia="仿宋_GB2312" w:cs="仿宋_GB2312"/>
          <w:bCs/>
          <w:sz w:val="32"/>
          <w:szCs w:val="20"/>
        </w:rPr>
        <w:t>。</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实验动物的管理应当遵循统一规划、合理分工、加强监督</w:t>
      </w:r>
      <w:r>
        <w:rPr>
          <w:rFonts w:hint="eastAsia" w:ascii="宋体" w:hAnsi="宋体" w:eastAsia="仿宋_GB2312" w:cs="仿宋_GB2312"/>
          <w:kern w:val="0"/>
          <w:sz w:val="32"/>
          <w:szCs w:val="20"/>
        </w:rPr>
        <w:t>、有利于促进实验动物科学研究和应用</w:t>
      </w:r>
      <w:r>
        <w:rPr>
          <w:rFonts w:hint="eastAsia" w:ascii="宋体" w:hAnsi="宋体" w:eastAsia="仿宋_GB2312" w:cs="仿宋_GB2312"/>
          <w:bCs/>
          <w:sz w:val="32"/>
          <w:szCs w:val="20"/>
        </w:rPr>
        <w:t>的原则。</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实验动物按照国家标准实行分级分类管理。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省人民政府科学技术主管部门负责全省实验动物管理工作，组织实施本条例。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color w:val="000000"/>
          <w:sz w:val="32"/>
          <w:szCs w:val="20"/>
        </w:rPr>
        <w:t>县级以上</w:t>
      </w:r>
      <w:r>
        <w:rPr>
          <w:rFonts w:hint="eastAsia" w:ascii="宋体" w:hAnsi="宋体" w:eastAsia="仿宋_GB2312" w:cs="仿宋_GB2312"/>
          <w:bCs/>
          <w:sz w:val="32"/>
          <w:szCs w:val="20"/>
        </w:rPr>
        <w:t>人民政府科技、卫生、教育、农业、生态环境、市场监督管理等有关部门在各自职责范围内做好实验动物管理工作。</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省实验动物监测机构依照</w:t>
      </w:r>
      <w:r>
        <w:rPr>
          <w:rFonts w:hint="eastAsia" w:ascii="宋体" w:hAnsi="宋体" w:eastAsia="仿宋_GB2312" w:cs="仿宋_GB2312"/>
          <w:bCs/>
          <w:color w:val="000000"/>
          <w:sz w:val="32"/>
          <w:szCs w:val="20"/>
        </w:rPr>
        <w:t>本条例规定</w:t>
      </w:r>
      <w:r>
        <w:rPr>
          <w:rFonts w:hint="eastAsia" w:ascii="宋体" w:hAnsi="宋体" w:eastAsia="仿宋_GB2312" w:cs="仿宋_GB2312"/>
          <w:bCs/>
          <w:sz w:val="32"/>
          <w:szCs w:val="20"/>
        </w:rPr>
        <w:t xml:space="preserve">负责实验动物和动物实验的质量技术监督和检验测试工作。    </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本省实验动物生产、使用实行许可管理和质量监督所需经费，由本级财政予以保障。</w:t>
      </w:r>
    </w:p>
    <w:p>
      <w:pPr>
        <w:wordWrap/>
        <w:spacing w:line="560" w:lineRule="exact"/>
        <w:ind w:firstLine="640" w:firstLineChars="200"/>
        <w:textAlignment w:val="auto"/>
        <w:rPr>
          <w:rFonts w:hint="eastAsia" w:ascii="宋体" w:hAnsi="宋体" w:eastAsia="仿宋_GB2312" w:cs="仿宋_GB2312"/>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第二章  生产与使用管理</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实验动物的生产、使用实行许可管理制度。</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第七条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从事实验动物保种、繁育、供应等生产活动的单位和个人，应当取得由省人民政府科学技术主管部门颁发的实验动物生产许可证。</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设立动物实验场所使用实验动物进行科学研究、实验和检测等活动的单位和个人，应当取得由省人民政府科学技术主管部门颁发的实验动物使用许可证。</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第八条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申请实验动物生产许可证的单位和个人，应当符合下列条件：</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（一）有工商营业执照或者事业单位法人证书；</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（二）实验动物种子来自国家实验动物种子中心或者国家认可的保种单位、种源单位，遗传背景清楚，质量符合国家标准；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（三）实验动物的生产环境及设施、笼器具、饲料、饮用水等符合国家标准和有关规定；</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（四）具有保证正常生产实验动物所需要的专业技术人员和实验动物质量的检测能力；</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（五）有健全的饲养、繁育等管理制度和相应的操作规程。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第九条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申请实验动物使用许可证的单位和个人，应当符合下列条件：</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（一）有工商营业执照或者事业单位法人证书；</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（二）使用的实验动物及其相关产品应当来自有实验动物生产许可证的单位，质量符合国家标准；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（三）实验动物的饲料、垫料、笼器具、饮用水等符合国家标准和有关规定；</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（四）有符合国家标准的动物实验环境设施；</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（五）具有保证正常使用实验动物所需要的专业技术人员，以及动物实验设施环境质量的检测能力；</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（六）有健全的实验室管理制度和相应的动物实验技术操作规程。</w:t>
      </w:r>
    </w:p>
    <w:p>
      <w:pPr>
        <w:wordWrap/>
        <w:autoSpaceDE w:val="0"/>
        <w:autoSpaceDN w:val="0"/>
        <w:adjustRightInd w:val="0"/>
        <w:spacing w:line="560" w:lineRule="exact"/>
        <w:ind w:firstLine="640" w:firstLineChars="200"/>
        <w:textAlignment w:val="auto"/>
        <w:rPr>
          <w:rFonts w:hint="eastAsia" w:ascii="宋体" w:hAnsi="宋体" w:eastAsia="仿宋_GB2312" w:cs="仿宋_GB2312"/>
          <w:sz w:val="32"/>
          <w:szCs w:val="20"/>
          <w:lang w:val="zh-CN"/>
        </w:rPr>
      </w:pPr>
      <w:r>
        <w:rPr>
          <w:rFonts w:hint="eastAsia" w:ascii="宋体" w:hAnsi="宋体" w:eastAsia="黑体" w:cs="黑体"/>
          <w:sz w:val="32"/>
          <w:szCs w:val="20"/>
        </w:rPr>
        <w:t xml:space="preserve">第十条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申请实验动物的生产、使用许可证的单位和个人，可以采用书面申请或者电子数据交换等方式向省人民政府科学技术主管部门提出申请。</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第十一条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省人民政府科学技术主管部门受理申请后，应当组织专家对申请事项进行现场评审。专家评审的时间不得超过二十个工作日，评审所需时间不计算在作出行政许可决定的期限内。</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color w:val="000000"/>
          <w:sz w:val="32"/>
          <w:szCs w:val="20"/>
        </w:rPr>
        <w:t>省</w:t>
      </w:r>
      <w:r>
        <w:rPr>
          <w:rFonts w:hint="eastAsia" w:ascii="宋体" w:hAnsi="宋体" w:eastAsia="仿宋_GB2312" w:cs="仿宋_GB2312"/>
          <w:bCs/>
          <w:sz w:val="32"/>
          <w:szCs w:val="20"/>
        </w:rPr>
        <w:t>人民政府</w:t>
      </w:r>
      <w:r>
        <w:rPr>
          <w:rFonts w:hint="eastAsia" w:ascii="宋体" w:hAnsi="宋体" w:eastAsia="仿宋_GB2312" w:cs="仿宋_GB2312"/>
          <w:bCs/>
          <w:color w:val="000000"/>
          <w:sz w:val="32"/>
          <w:szCs w:val="20"/>
        </w:rPr>
        <w:t>科学技术主管部门</w:t>
      </w:r>
      <w:r>
        <w:rPr>
          <w:rFonts w:hint="eastAsia" w:ascii="宋体" w:hAnsi="宋体" w:eastAsia="仿宋_GB2312" w:cs="仿宋_GB2312"/>
          <w:bCs/>
          <w:sz w:val="32"/>
          <w:szCs w:val="20"/>
        </w:rPr>
        <w:t>应当自受理申请之日起二十个工作日内作出行政许可决定</w:t>
      </w:r>
      <w:r>
        <w:rPr>
          <w:rFonts w:hint="eastAsia" w:ascii="宋体" w:hAnsi="宋体" w:eastAsia="仿宋_GB2312" w:cs="仿宋_GB2312"/>
          <w:bCs/>
          <w:color w:val="000000"/>
          <w:sz w:val="32"/>
          <w:szCs w:val="20"/>
        </w:rPr>
        <w:t>。</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第十二条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实验动物的生产、使用许可证的有效期为五年。被许可人需要延续取得行政许可的，应当在许可证有效期届满三个月前，向省人民政府科学技术主管部门提出申请。</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省人民政府科学技术主管部门应当根据被许可人的申请，在该行政许可有效期届满前作出是否准予延续的决定；逾期未作出决定的，视为准予延续。</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实验动物的生产、使用许可证不得转借、转让、出租或者超许可范围使用。</w:t>
      </w:r>
    </w:p>
    <w:p>
      <w:pPr>
        <w:wordWrap/>
        <w:spacing w:line="560" w:lineRule="exact"/>
        <w:ind w:firstLine="640" w:firstLineChars="200"/>
        <w:textAlignment w:val="auto"/>
        <w:rPr>
          <w:rFonts w:hint="eastAsia" w:ascii="宋体" w:hAnsi="宋体" w:eastAsia="仿宋_GB2312" w:cs="仿宋_GB2312"/>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第三章  生产与使用规范</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第十四条</w:t>
      </w:r>
      <w:r>
        <w:rPr>
          <w:rFonts w:hint="eastAsia" w:ascii="宋体" w:hAnsi="宋体" w:eastAsia="仿宋_GB2312" w:cs="仿宋_GB2312"/>
          <w:sz w:val="32"/>
          <w:szCs w:val="20"/>
        </w:rPr>
        <w:t xml:space="preserve">  具有</w:t>
      </w:r>
      <w:r>
        <w:rPr>
          <w:rFonts w:hint="eastAsia" w:ascii="宋体" w:hAnsi="宋体" w:eastAsia="仿宋_GB2312" w:cs="仿宋_GB2312"/>
          <w:bCs/>
          <w:sz w:val="32"/>
          <w:szCs w:val="20"/>
        </w:rPr>
        <w:t>实验动物生产许可证的单位和个人，对其提供的实验动物应当出具质量合格证明；</w:t>
      </w:r>
      <w:r>
        <w:rPr>
          <w:rFonts w:hint="eastAsia" w:ascii="宋体" w:hAnsi="宋体" w:eastAsia="仿宋_GB2312" w:cs="仿宋_GB2312"/>
          <w:sz w:val="32"/>
          <w:szCs w:val="20"/>
        </w:rPr>
        <w:t>具有</w:t>
      </w:r>
      <w:r>
        <w:rPr>
          <w:rFonts w:hint="eastAsia" w:ascii="宋体" w:hAnsi="宋体" w:eastAsia="仿宋_GB2312" w:cs="仿宋_GB2312"/>
          <w:bCs/>
          <w:sz w:val="32"/>
          <w:szCs w:val="20"/>
        </w:rPr>
        <w:t>实验动物使用许可证的单位和个人，对在其场所进行的动物实验应当出具动物实验证明。</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单位和个人应用实验动物进行医疗卫生、药品等科学研究、实验、检测以及以实验动物为材料和载体生产产品等活动的，应当使用具有实验动物生产许可证的单位和个人生产的符合标准要求的实验动物，并且在具有实验动物使用许可证的</w:t>
      </w:r>
      <w:r>
        <w:rPr>
          <w:rFonts w:hint="eastAsia" w:ascii="宋体" w:hAnsi="宋体" w:eastAsia="仿宋_GB2312" w:cs="仿宋_GB2312"/>
          <w:bCs/>
          <w:color w:val="000000"/>
          <w:sz w:val="32"/>
          <w:szCs w:val="20"/>
        </w:rPr>
        <w:t>场所</w:t>
      </w:r>
      <w:r>
        <w:rPr>
          <w:rFonts w:hint="eastAsia" w:ascii="宋体" w:hAnsi="宋体" w:eastAsia="仿宋_GB2312" w:cs="仿宋_GB2312"/>
          <w:bCs/>
          <w:sz w:val="32"/>
          <w:szCs w:val="20"/>
        </w:rPr>
        <w:t>内进行相关活动。</w:t>
      </w:r>
    </w:p>
    <w:p>
      <w:pPr>
        <w:wordWrap/>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违反前款规定进行的科学研究、实验、检定、评价的结果无效，相关的科研项目不得验收、鉴定、评奖。</w:t>
      </w:r>
    </w:p>
    <w:p>
      <w:pPr>
        <w:wordWrap/>
        <w:spacing w:line="560" w:lineRule="exact"/>
        <w:ind w:firstLine="640" w:firstLineChars="200"/>
        <w:textAlignment w:val="auto"/>
        <w:rPr>
          <w:rFonts w:hint="eastAsia" w:ascii="宋体" w:hAnsi="宋体" w:eastAsia="楷体_GB2312" w:cs="楷体_GB2312"/>
          <w:bCs/>
          <w:sz w:val="32"/>
          <w:szCs w:val="20"/>
        </w:rPr>
      </w:pPr>
      <w:r>
        <w:rPr>
          <w:rFonts w:hint="eastAsia" w:ascii="宋体" w:hAnsi="宋体" w:eastAsia="仿宋_GB2312" w:cs="仿宋_GB2312"/>
          <w:bCs/>
          <w:sz w:val="32"/>
          <w:szCs w:val="20"/>
        </w:rPr>
        <w:t>教学示教时使用实验动物的，在保证公共卫生安全的前提下，可以在实验动物使用许可证规定以外的场所内进行</w:t>
      </w:r>
      <w:r>
        <w:rPr>
          <w:rFonts w:hint="eastAsia" w:ascii="宋体" w:hAnsi="宋体" w:eastAsia="黑体" w:cs="黑体"/>
          <w:bCs/>
          <w:sz w:val="32"/>
          <w:szCs w:val="20"/>
        </w:rPr>
        <w:t>。</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实验动物的饲育室和实验室应当分开设立。不同品种、品系、等级和不同实验目的的实验动物，应当分开饲养。</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第十七条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运输实验动物时，使用的笼器具、运输工具应当符合安全和微生物控制等级要求，不同品种、品系和等级的实验动物不得混装，保证实验动物达到相应质量等级。</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第十八条</w:t>
      </w:r>
      <w:r>
        <w:rPr>
          <w:rFonts w:hint="eastAsia" w:ascii="宋体" w:hAnsi="宋体" w:eastAsia="仿宋_GB2312" w:cs="仿宋_GB2312"/>
          <w:sz w:val="32"/>
          <w:szCs w:val="20"/>
        </w:rPr>
        <w:t xml:space="preserve"> </w:t>
      </w:r>
      <w:r>
        <w:rPr>
          <w:rFonts w:hint="eastAsia" w:ascii="宋体" w:hAnsi="宋体" w:eastAsia="仿宋_GB2312" w:cs="仿宋_GB2312"/>
          <w:b/>
          <w:bCs/>
          <w:sz w:val="32"/>
          <w:szCs w:val="20"/>
        </w:rPr>
        <w:t xml:space="preserve"> </w:t>
      </w:r>
      <w:r>
        <w:rPr>
          <w:rFonts w:hint="eastAsia" w:ascii="宋体" w:hAnsi="宋体" w:eastAsia="仿宋_GB2312" w:cs="仿宋_GB2312"/>
          <w:bCs/>
          <w:sz w:val="32"/>
          <w:szCs w:val="20"/>
        </w:rPr>
        <w:t>生产、使用实验动物需要捕捉野生动物的，应当遵守国家相关法律法规的规定，并对所捕捉的野生动物进行隔离检疫。</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生产、使用实验动物需要从国外引入实验动物的，应当持有供应方提供的动物种系名称、遗传背景、质量状况及生物学特性等有关资料，依照</w:t>
      </w:r>
      <w:r>
        <w:rPr>
          <w:rFonts w:hint="eastAsia" w:ascii="宋体" w:hAnsi="宋体" w:eastAsia="仿宋_GB2312" w:cs="仿宋_GB2312"/>
          <w:bCs/>
          <w:color w:val="000000"/>
          <w:sz w:val="32"/>
          <w:szCs w:val="20"/>
        </w:rPr>
        <w:t>《中华人民共和国进出境动植物检疫法》</w:t>
      </w:r>
      <w:r>
        <w:rPr>
          <w:rFonts w:hint="eastAsia" w:ascii="宋体" w:hAnsi="宋体" w:eastAsia="仿宋_GB2312" w:cs="仿宋_GB2312"/>
          <w:bCs/>
          <w:sz w:val="32"/>
          <w:szCs w:val="20"/>
        </w:rPr>
        <w:t>规定办理有关手续。</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第十九条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从事实验动物生产、使用的单位和个人应当按照国家标准对其生产的实验动物和环境设施进行检测。检测过程和检测数据应当有完整、准确的记录。</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第二十条 </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从事实验动物生产、使用的单位和个人，应当对直接从事实验动物工作的人员采取安全防护措施，定期组织与传染病有关的健康检查，调整不适宜承担实验动物工作的人员。</w:t>
      </w:r>
    </w:p>
    <w:p>
      <w:pPr>
        <w:wordWrap/>
        <w:spacing w:line="560" w:lineRule="exact"/>
        <w:ind w:firstLine="640" w:firstLineChars="200"/>
        <w:textAlignment w:val="auto"/>
        <w:rPr>
          <w:rFonts w:hint="eastAsia" w:ascii="宋体" w:hAnsi="宋体" w:eastAsia="仿宋_GB2312" w:cs="仿宋_GB2312"/>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第四章  生物安全与实验动物福利</w:t>
      </w:r>
    </w:p>
    <w:p>
      <w:pPr>
        <w:wordWrap/>
        <w:spacing w:line="560" w:lineRule="exact"/>
        <w:jc w:val="center"/>
        <w:textAlignment w:val="auto"/>
        <w:rPr>
          <w:rFonts w:hint="eastAsia" w:ascii="宋体" w:hAnsi="宋体" w:eastAsia="黑体" w:cs="黑体"/>
          <w:b/>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 xml:space="preserve">第二十一条 </w:t>
      </w:r>
      <w:r>
        <w:rPr>
          <w:rFonts w:hint="eastAsia" w:ascii="宋体" w:hAnsi="宋体" w:eastAsia="仿宋_GB2312" w:cs="仿宋_GB2312"/>
          <w:bCs/>
          <w:sz w:val="32"/>
          <w:szCs w:val="20"/>
        </w:rPr>
        <w:t xml:space="preserve"> 实验动物的预防免疫应当结合科学研究与实验的要求实施，预防免疫后的实验动物不得用于生物制品的生产、检定。</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对应当进行预防免疫的实验动物,依照《中华人民共和国动物防疫法》的规定实施预防免疫。</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第二十二条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发生传染性疾病时，从事实验动物生产、使用的单位和个人应当及时采取隔离、预防控制措施，防止动物疫情扩散，同时报告当地畜牧兽医主管部门、动物防疫监督机构；当发生人畜共患病时，还应当立即报告当地疾病预防控制机构。</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发生重大动物疫情的，应当按照国家规定立即启动突发重大动物疫情应急预案。</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在实验动物生产、使用过程中产生的废弃物和实验动物尸体应当经无害化处理，其中列入国家危险废物名录的应当按国家规定交由具有相应资质的单位处理。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对实验动物生产、使用过程中产生的废水、废气等，应当进行处理，达到有关标准后排放。</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第二十四条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禁止使用后的实验动物流入消费市场。</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开展病原体感染、化学染毒和放射性的动物实验，应当符合国家法律法规和国家标准对实验室生物安全、放射卫生防护及环境保护的要求，防范安全事故的发生。</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从事实验动物基因工程研究的，应当符合国家对基因工程安全管理的要求。</w:t>
      </w:r>
    </w:p>
    <w:p>
      <w:pPr>
        <w:wordWrap/>
        <w:spacing w:line="560" w:lineRule="exact"/>
        <w:ind w:firstLine="640" w:firstLineChars="200"/>
        <w:textAlignment w:val="auto"/>
        <w:rPr>
          <w:rFonts w:hint="eastAsia" w:ascii="宋体" w:hAnsi="宋体" w:eastAsia="仿宋_GB2312" w:cs="仿宋_GB2312"/>
          <w:bCs/>
          <w:color w:val="000000"/>
          <w:sz w:val="32"/>
          <w:szCs w:val="20"/>
        </w:rPr>
      </w:pPr>
      <w:r>
        <w:rPr>
          <w:rFonts w:hint="eastAsia" w:ascii="宋体" w:hAnsi="宋体" w:eastAsia="黑体" w:cs="黑体"/>
          <w:sz w:val="32"/>
          <w:szCs w:val="20"/>
        </w:rPr>
        <w:t>第二十七条</w:t>
      </w:r>
      <w:r>
        <w:rPr>
          <w:rFonts w:hint="eastAsia" w:ascii="宋体" w:hAnsi="宋体" w:eastAsia="仿宋_GB2312" w:cs="仿宋_GB2312"/>
          <w:sz w:val="32"/>
          <w:szCs w:val="20"/>
        </w:rPr>
        <w:t xml:space="preserve">  </w:t>
      </w:r>
      <w:r>
        <w:rPr>
          <w:rFonts w:hint="eastAsia" w:ascii="宋体" w:hAnsi="宋体" w:eastAsia="仿宋_GB2312" w:cs="仿宋_GB2312"/>
          <w:bCs/>
          <w:color w:val="000000"/>
          <w:sz w:val="32"/>
          <w:szCs w:val="20"/>
        </w:rPr>
        <w:t>鼓励共享实验动物的实验数据和资源，倡导减少、替代使用实验动物和优化动物实验方法。</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第二十八条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实验动物生产、使用活动涉及实验动物伦理与物种安全问题的，应当遵照国家有关规定，并符合国际惯例。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第二十九条</w:t>
      </w:r>
      <w:r>
        <w:rPr>
          <w:rFonts w:hint="eastAsia" w:ascii="宋体" w:hAnsi="宋体" w:eastAsia="黑体" w:cs="黑体"/>
          <w:b/>
          <w:bCs/>
          <w:sz w:val="32"/>
          <w:szCs w:val="20"/>
        </w:rPr>
        <w:t xml:space="preserve"> </w:t>
      </w:r>
      <w:r>
        <w:rPr>
          <w:rFonts w:hint="eastAsia" w:ascii="宋体" w:hAnsi="宋体" w:eastAsia="黑体" w:cs="黑体"/>
          <w:bCs/>
          <w:sz w:val="32"/>
          <w:szCs w:val="20"/>
        </w:rPr>
        <w:t xml:space="preserve"> </w:t>
      </w:r>
      <w:r>
        <w:rPr>
          <w:rFonts w:hint="eastAsia" w:ascii="宋体" w:hAnsi="宋体" w:eastAsia="仿宋_GB2312" w:cs="仿宋_GB2312"/>
          <w:bCs/>
          <w:sz w:val="32"/>
          <w:szCs w:val="20"/>
        </w:rPr>
        <w:t xml:space="preserve">从事实验动物工作的人员在生产、使用和运输过程中应当维护实验动物福利，关爱实验动物，不得虐待实验动物。 </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对实验动物进行手术时，应当进行有效的麻醉；需要处死实验动物时，应当实施安死术。</w:t>
      </w:r>
    </w:p>
    <w:p>
      <w:pPr>
        <w:wordWrap/>
        <w:spacing w:line="560" w:lineRule="exact"/>
        <w:ind w:firstLine="636" w:firstLineChars="199"/>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第三十一条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在开展动物实验项目时，应当制定保证实验动物福利、符合实验动物伦理要求的实验方案；有条件的应当设立实验动物福利伦理组织，对实验方案进行审查，对实验过程进行监督管理。</w:t>
      </w:r>
    </w:p>
    <w:p>
      <w:pPr>
        <w:wordWrap/>
        <w:spacing w:line="560" w:lineRule="exact"/>
        <w:textAlignment w:val="auto"/>
        <w:rPr>
          <w:rFonts w:hint="eastAsia" w:ascii="宋体" w:hAnsi="宋体" w:eastAsia="宋体" w:cs="宋体"/>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第五章  生产与使用监督</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textAlignment w:val="auto"/>
        <w:rPr>
          <w:rFonts w:hint="eastAsia" w:ascii="宋体" w:hAnsi="宋体" w:eastAsia="仿宋_GB2312" w:cs="仿宋_GB2312"/>
          <w:bCs/>
          <w:sz w:val="32"/>
          <w:szCs w:val="20"/>
        </w:rPr>
      </w:pPr>
      <w:r>
        <w:rPr>
          <w:rFonts w:hint="eastAsia" w:ascii="宋体" w:hAnsi="宋体" w:eastAsia="仿宋_GB2312" w:cs="仿宋_GB2312"/>
          <w:b/>
          <w:bCs/>
          <w:sz w:val="32"/>
          <w:szCs w:val="20"/>
        </w:rPr>
        <w:t xml:space="preserve">    </w:t>
      </w:r>
      <w:r>
        <w:rPr>
          <w:rFonts w:hint="eastAsia" w:ascii="宋体" w:hAnsi="宋体" w:eastAsia="黑体" w:cs="黑体"/>
          <w:sz w:val="32"/>
          <w:szCs w:val="20"/>
        </w:rPr>
        <w:t>第三十二条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省人民政府科学技术主管部门应当制定实验动物生产、使用的年度监督计划，定期对实验动物生产、使用情况进行监督检查，组织开展监督工作。</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第三十三条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省实验动物监测机构负责向申请行政许可的单位和个人出具检测报告，配合省人民政府科学技术主管部门对行政许可实施情况进行监督检查，开展实验动物的质量调查、质量标准研究、科学研究等工作。</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省实验动物监测机构进行前款规定的检测不收取检测费用。</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省实验动物监测机构及其有关人员对所实施的检验、检测结论承担法律责任。</w:t>
      </w:r>
    </w:p>
    <w:p>
      <w:pPr>
        <w:wordWrap/>
        <w:spacing w:line="560" w:lineRule="exact"/>
        <w:ind w:firstLine="601"/>
        <w:textAlignment w:val="auto"/>
        <w:rPr>
          <w:rFonts w:hint="eastAsia" w:ascii="宋体" w:hAnsi="宋体" w:eastAsia="仿宋_GB2312" w:cs="仿宋_GB2312"/>
          <w:bCs/>
          <w:sz w:val="32"/>
          <w:szCs w:val="20"/>
        </w:rPr>
      </w:pPr>
      <w:r>
        <w:rPr>
          <w:rFonts w:hint="eastAsia" w:ascii="宋体" w:hAnsi="宋体" w:eastAsia="黑体" w:cs="黑体"/>
          <w:sz w:val="32"/>
          <w:szCs w:val="20"/>
        </w:rPr>
        <w:t>第三十四条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实验动物的检测包括对实验动物</w:t>
      </w:r>
      <w:r>
        <w:rPr>
          <w:rFonts w:hint="eastAsia" w:ascii="宋体" w:hAnsi="宋体" w:eastAsia="仿宋_GB2312" w:cs="仿宋_GB2312"/>
          <w:bCs/>
          <w:color w:val="000000"/>
          <w:sz w:val="32"/>
          <w:szCs w:val="20"/>
        </w:rPr>
        <w:t>遗传、微生物、寄生虫和病理，以及对实验动物饲料、饮</w:t>
      </w:r>
      <w:r>
        <w:rPr>
          <w:rFonts w:hint="eastAsia" w:ascii="宋体" w:hAnsi="宋体" w:eastAsia="仿宋_GB2312" w:cs="仿宋_GB2312"/>
          <w:bCs/>
          <w:sz w:val="32"/>
          <w:szCs w:val="20"/>
        </w:rPr>
        <w:t>用</w:t>
      </w:r>
      <w:r>
        <w:rPr>
          <w:rFonts w:hint="eastAsia" w:ascii="宋体" w:hAnsi="宋体" w:eastAsia="仿宋_GB2312" w:cs="仿宋_GB2312"/>
          <w:bCs/>
          <w:color w:val="000000"/>
          <w:sz w:val="32"/>
          <w:szCs w:val="20"/>
        </w:rPr>
        <w:t>水、笼器具、</w:t>
      </w:r>
      <w:r>
        <w:rPr>
          <w:rFonts w:hint="eastAsia" w:ascii="宋体" w:hAnsi="宋体" w:eastAsia="仿宋_GB2312" w:cs="仿宋_GB2312"/>
          <w:bCs/>
          <w:sz w:val="32"/>
          <w:szCs w:val="20"/>
        </w:rPr>
        <w:t>繁育设施环境和动物实验设施环境等的质量检测。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第三十五条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实验动物的检测执行国家标准；国家尚未制定标准的，执行行业标准；国家、行业均未制定标准的，执行地方标准。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涉及对外检验、检定和外包的动物实验可以按照国际标准或者委托方要求的国外标准执行，但该标准与我国公共卫生安全要求冲突的除外。</w:t>
      </w:r>
    </w:p>
    <w:p>
      <w:pPr>
        <w:wordWrap/>
        <w:spacing w:line="560" w:lineRule="exact"/>
        <w:ind w:firstLine="6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第三十六条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实验动物的检测工作应当科学、公正、准确，检测报告应当内容齐全，数据准确，结论明确。</w:t>
      </w:r>
    </w:p>
    <w:p>
      <w:pPr>
        <w:wordWrap/>
        <w:spacing w:line="560" w:lineRule="exact"/>
        <w:ind w:firstLine="630" w:firstLineChars="197"/>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第三十七条</w:t>
      </w:r>
      <w:r>
        <w:rPr>
          <w:rFonts w:hint="eastAsia" w:ascii="宋体" w:hAnsi="宋体" w:eastAsia="仿宋_GB2312" w:cs="仿宋_GB2312"/>
          <w:b/>
          <w:bCs/>
          <w:sz w:val="32"/>
          <w:szCs w:val="20"/>
        </w:rPr>
        <w:t xml:space="preserve">  </w:t>
      </w:r>
      <w:r>
        <w:rPr>
          <w:rFonts w:hint="eastAsia" w:ascii="宋体" w:hAnsi="宋体" w:eastAsia="仿宋_GB2312" w:cs="仿宋_GB2312"/>
          <w:bCs/>
          <w:sz w:val="32"/>
          <w:szCs w:val="20"/>
        </w:rPr>
        <w:t>对实验动物检测结果有异议的单位和个人，可以在收到检测报告之日起十五个工作日内向省实验动物监测机构提出复检。</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第三十八条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检测结果不合格的，生产或者使用的单位和个人应当查明不合格原因，制定整改方案，按期整改并接受复检；不合格的实验动物或者动物实验场所不得继续销售或者使用，并按照相关规定监督销毁或者作必要的技术处理。</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第三十九条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 xml:space="preserve"> 省实验动物监测机构应当汇总其对实验动物和动物实验质量的检测结果，上报省人民政府科学技术主管部门，由省人民政府科学技术主管部门向社会公布检测结果。</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第四十条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从事实验动物生产、使用的单位和个人应当接受并配合依法进行的监督和检测。</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第四十一条</w:t>
      </w:r>
      <w:r>
        <w:rPr>
          <w:rFonts w:hint="eastAsia" w:ascii="宋体" w:hAnsi="宋体" w:eastAsia="仿宋_GB2312" w:cs="仿宋_GB2312"/>
          <w:sz w:val="32"/>
          <w:szCs w:val="20"/>
        </w:rPr>
        <w:t xml:space="preserve">  </w:t>
      </w:r>
      <w:r>
        <w:rPr>
          <w:rFonts w:hint="eastAsia" w:ascii="宋体" w:hAnsi="宋体" w:eastAsia="仿宋_GB2312" w:cs="仿宋_GB2312"/>
          <w:bCs/>
          <w:sz w:val="32"/>
          <w:szCs w:val="20"/>
        </w:rPr>
        <w:t>省人民政府科学技术主管部门应当建立从事实验动物生产、使用的单位和个人的信用制度，并通过媒体、网络等形式依法公布实验动物生产、使用、管理等方面的相关信息。</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第四十二条</w:t>
      </w:r>
      <w:r>
        <w:rPr>
          <w:rFonts w:hint="eastAsia" w:ascii="宋体" w:hAnsi="宋体" w:eastAsia="仿宋_GB2312" w:cs="仿宋_GB2312"/>
          <w:sz w:val="32"/>
          <w:szCs w:val="20"/>
        </w:rPr>
        <w:t xml:space="preserve"> </w:t>
      </w:r>
      <w:r>
        <w:rPr>
          <w:rFonts w:hint="eastAsia" w:ascii="宋体" w:hAnsi="宋体" w:eastAsia="仿宋_GB2312" w:cs="仿宋_GB2312"/>
          <w:b/>
          <w:bCs/>
          <w:sz w:val="32"/>
          <w:szCs w:val="20"/>
        </w:rPr>
        <w:t xml:space="preserve"> </w:t>
      </w:r>
      <w:r>
        <w:rPr>
          <w:rFonts w:hint="eastAsia" w:ascii="宋体" w:hAnsi="宋体" w:eastAsia="仿宋_GB2312" w:cs="仿宋_GB2312"/>
          <w:bCs/>
          <w:sz w:val="32"/>
          <w:szCs w:val="20"/>
        </w:rPr>
        <w:t>任何单位和个人对违反本条例的行为有权向省人民政府科学技术主管部门举报或者投诉。</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省人民政府科学技术主管部门应当在接到举报或者投诉之日起十五个工作日内决定是否受理，并告知举报人或者投诉人。</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对决定受理的案件，省人民政府科学技术主管部门应当及时组织调查，并将处理结果告知举报人或者投诉人。</w:t>
      </w:r>
    </w:p>
    <w:p>
      <w:pPr>
        <w:wordWrap/>
        <w:autoSpaceDE w:val="0"/>
        <w:autoSpaceDN w:val="0"/>
        <w:adjustRightInd w:val="0"/>
        <w:spacing w:line="560" w:lineRule="exact"/>
        <w:jc w:val="center"/>
        <w:textAlignment w:val="auto"/>
        <w:rPr>
          <w:rFonts w:hint="eastAsia" w:ascii="宋体" w:hAnsi="宋体" w:eastAsia="宋体" w:cs="宋体"/>
          <w:bCs/>
          <w:sz w:val="32"/>
          <w:szCs w:val="20"/>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第六章  法律责任</w:t>
      </w:r>
    </w:p>
    <w:p>
      <w:pPr>
        <w:wordWrap/>
        <w:spacing w:line="560" w:lineRule="exact"/>
        <w:jc w:val="center"/>
        <w:textAlignment w:val="auto"/>
        <w:rPr>
          <w:rFonts w:hint="eastAsia" w:ascii="宋体" w:hAnsi="宋体" w:eastAsia="仿宋_GB2312" w:cs="仿宋_GB2312"/>
          <w:b/>
          <w:bCs/>
          <w:sz w:val="32"/>
          <w:szCs w:val="20"/>
        </w:rPr>
      </w:pP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bCs/>
          <w:sz w:val="32"/>
          <w:szCs w:val="20"/>
          <w:lang w:val="zh-CN"/>
        </w:rPr>
        <w:t>第四十三条</w:t>
      </w:r>
      <w:r>
        <w:rPr>
          <w:rFonts w:hint="eastAsia" w:ascii="宋体" w:hAnsi="宋体" w:eastAsia="仿宋_GB2312" w:cs="仿宋_GB2312"/>
          <w:bCs/>
          <w:sz w:val="32"/>
          <w:szCs w:val="20"/>
          <w:lang w:val="zh-CN"/>
        </w:rPr>
        <w:t xml:space="preserve"> </w:t>
      </w:r>
      <w:r>
        <w:rPr>
          <w:rFonts w:hint="eastAsia" w:ascii="宋体" w:hAnsi="宋体" w:eastAsia="仿宋_GB2312" w:cs="仿宋_GB2312"/>
          <w:sz w:val="32"/>
          <w:szCs w:val="20"/>
        </w:rPr>
        <w:t xml:space="preserve"> 违反本条例第七条、第十二条规定，</w:t>
      </w:r>
      <w:r>
        <w:rPr>
          <w:rFonts w:hint="eastAsia" w:ascii="宋体" w:hAnsi="宋体" w:eastAsia="仿宋_GB2312" w:cs="仿宋_GB2312"/>
          <w:bCs/>
          <w:sz w:val="32"/>
          <w:szCs w:val="20"/>
          <w:lang w:val="zh-CN"/>
        </w:rPr>
        <w:t>未取得实验动物的</w:t>
      </w:r>
      <w:r>
        <w:rPr>
          <w:rFonts w:hint="eastAsia" w:ascii="宋体" w:hAnsi="宋体" w:eastAsia="仿宋_GB2312" w:cs="仿宋_GB2312"/>
          <w:bCs/>
          <w:sz w:val="32"/>
          <w:szCs w:val="20"/>
        </w:rPr>
        <w:t>生产、使用</w:t>
      </w:r>
      <w:r>
        <w:rPr>
          <w:rFonts w:hint="eastAsia" w:ascii="宋体" w:hAnsi="宋体" w:eastAsia="仿宋_GB2312" w:cs="仿宋_GB2312"/>
          <w:bCs/>
          <w:sz w:val="32"/>
          <w:szCs w:val="20"/>
          <w:lang w:val="zh-CN"/>
        </w:rPr>
        <w:t>许可证或者许可证已过期，擅自</w:t>
      </w:r>
      <w:r>
        <w:rPr>
          <w:rFonts w:hint="eastAsia" w:ascii="宋体" w:hAnsi="宋体" w:eastAsia="仿宋_GB2312" w:cs="仿宋_GB2312"/>
          <w:bCs/>
          <w:sz w:val="32"/>
          <w:szCs w:val="20"/>
        </w:rPr>
        <w:t>从事实验动物生产或者使用的，由省人民政府科学技术主管部门没收违法所得，并可以处一万元以上三万元以下的罚款。</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sz w:val="32"/>
          <w:szCs w:val="20"/>
        </w:rPr>
        <w:t>第四十四条</w:t>
      </w:r>
      <w:r>
        <w:rPr>
          <w:rFonts w:hint="eastAsia" w:ascii="宋体" w:hAnsi="宋体" w:eastAsia="黑体" w:cs="黑体"/>
          <w:sz w:val="32"/>
          <w:szCs w:val="20"/>
          <w:lang w:val="zh-CN"/>
        </w:rPr>
        <w:t xml:space="preserve"> </w:t>
      </w:r>
      <w:r>
        <w:rPr>
          <w:rFonts w:hint="eastAsia" w:ascii="宋体" w:hAnsi="宋体" w:eastAsia="仿宋_GB2312" w:cs="仿宋_GB2312"/>
          <w:sz w:val="32"/>
          <w:szCs w:val="20"/>
          <w:lang w:val="zh-CN"/>
        </w:rPr>
        <w:t xml:space="preserve"> </w:t>
      </w:r>
      <w:r>
        <w:rPr>
          <w:rFonts w:hint="eastAsia" w:ascii="宋体" w:hAnsi="宋体" w:eastAsia="仿宋_GB2312" w:cs="仿宋_GB2312"/>
          <w:bCs/>
          <w:sz w:val="32"/>
          <w:szCs w:val="20"/>
          <w:lang w:val="zh-CN"/>
        </w:rPr>
        <w:t>违反本条例规定</w:t>
      </w:r>
      <w:r>
        <w:rPr>
          <w:rFonts w:hint="eastAsia" w:ascii="宋体" w:hAnsi="宋体" w:eastAsia="仿宋_GB2312" w:cs="仿宋_GB2312"/>
          <w:bCs/>
          <w:color w:val="000000"/>
          <w:sz w:val="32"/>
          <w:szCs w:val="20"/>
          <w:lang w:val="zh-CN"/>
        </w:rPr>
        <w:t>，</w:t>
      </w:r>
      <w:r>
        <w:rPr>
          <w:rFonts w:hint="eastAsia" w:ascii="宋体" w:hAnsi="宋体" w:eastAsia="仿宋_GB2312" w:cs="仿宋_GB2312"/>
          <w:bCs/>
          <w:sz w:val="32"/>
          <w:szCs w:val="20"/>
          <w:lang w:val="zh-CN"/>
        </w:rPr>
        <w:t>有下列情形之一的，由</w:t>
      </w:r>
      <w:r>
        <w:rPr>
          <w:rFonts w:hint="eastAsia" w:ascii="宋体" w:hAnsi="宋体" w:eastAsia="仿宋_GB2312" w:cs="仿宋_GB2312"/>
          <w:bCs/>
          <w:sz w:val="32"/>
          <w:szCs w:val="20"/>
        </w:rPr>
        <w:t>省人民政府科学技术主管部门</w:t>
      </w:r>
      <w:r>
        <w:rPr>
          <w:rFonts w:hint="eastAsia" w:ascii="宋体" w:hAnsi="宋体" w:eastAsia="仿宋_GB2312" w:cs="仿宋_GB2312"/>
          <w:bCs/>
          <w:sz w:val="32"/>
          <w:szCs w:val="20"/>
          <w:lang w:val="zh-CN"/>
        </w:rPr>
        <w:t>责令限期改正；逾期不改的，暂扣实验动物的</w:t>
      </w:r>
      <w:r>
        <w:rPr>
          <w:rFonts w:hint="eastAsia" w:ascii="宋体" w:hAnsi="宋体" w:eastAsia="仿宋_GB2312" w:cs="仿宋_GB2312"/>
          <w:bCs/>
          <w:sz w:val="32"/>
          <w:szCs w:val="20"/>
        </w:rPr>
        <w:t>生产、使用</w:t>
      </w:r>
      <w:r>
        <w:rPr>
          <w:rFonts w:hint="eastAsia" w:ascii="宋体" w:hAnsi="宋体" w:eastAsia="仿宋_GB2312" w:cs="仿宋_GB2312"/>
          <w:bCs/>
          <w:sz w:val="32"/>
          <w:szCs w:val="20"/>
          <w:lang w:val="zh-CN"/>
        </w:rPr>
        <w:t>许可证，并处二千元以上一</w:t>
      </w:r>
      <w:r>
        <w:rPr>
          <w:rFonts w:hint="eastAsia" w:ascii="宋体" w:hAnsi="宋体" w:eastAsia="仿宋_GB2312" w:cs="仿宋_GB2312"/>
          <w:bCs/>
          <w:sz w:val="32"/>
          <w:szCs w:val="20"/>
        </w:rPr>
        <w:t>万元以下的罚款</w:t>
      </w:r>
      <w:r>
        <w:rPr>
          <w:rFonts w:hint="eastAsia" w:ascii="宋体" w:hAnsi="宋体" w:eastAsia="仿宋_GB2312" w:cs="仿宋_GB2312"/>
          <w:bCs/>
          <w:sz w:val="32"/>
          <w:szCs w:val="20"/>
          <w:lang w:val="zh-CN"/>
        </w:rPr>
        <w:t>：</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（一）实验动物的饲育室和实验室不分开设立的；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（二）对不同品种、品系、等级和不同实验目的的实验动物不分开饲养的；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（三）将不同品种、品系和等级的实验动物混装运输的；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（四）检测过程和检测数据的记录不完整、不准确的；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（五）销售不合格的实验动物或者使用不合格的动物实验场所的。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sz w:val="32"/>
          <w:szCs w:val="20"/>
        </w:rPr>
        <w:t>第四十五条</w:t>
      </w:r>
      <w:r>
        <w:rPr>
          <w:rFonts w:hint="eastAsia" w:ascii="宋体" w:hAnsi="宋体" w:eastAsia="仿宋_GB2312" w:cs="仿宋_GB2312"/>
          <w:sz w:val="32"/>
          <w:szCs w:val="20"/>
          <w:lang w:val="zh-CN"/>
        </w:rPr>
        <w:t xml:space="preserve">  </w:t>
      </w:r>
      <w:r>
        <w:rPr>
          <w:rFonts w:hint="eastAsia" w:ascii="宋体" w:hAnsi="宋体" w:eastAsia="仿宋_GB2312" w:cs="仿宋_GB2312"/>
          <w:bCs/>
          <w:sz w:val="32"/>
          <w:szCs w:val="20"/>
          <w:lang w:val="zh-CN"/>
        </w:rPr>
        <w:t>违反本条例第二十四条规定，将使用后的实验动物流入消费市场的，由省人民政府科学技术主管部门责令改正，没收违法所得，并处一万元以上三万元以下的罚款；情节严重或者逾期不改的，吊销实验动物的生产、使用许可证。</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color w:val="000000"/>
          <w:sz w:val="32"/>
          <w:szCs w:val="20"/>
          <w:lang w:val="zh-CN"/>
        </w:rPr>
      </w:pPr>
      <w:r>
        <w:rPr>
          <w:rFonts w:hint="eastAsia" w:ascii="宋体" w:hAnsi="宋体" w:eastAsia="黑体" w:cs="黑体"/>
          <w:sz w:val="32"/>
          <w:szCs w:val="20"/>
        </w:rPr>
        <w:t>第四十六条</w:t>
      </w:r>
      <w:r>
        <w:rPr>
          <w:rFonts w:hint="eastAsia" w:ascii="宋体" w:hAnsi="宋体" w:eastAsia="仿宋_GB2312" w:cs="仿宋_GB2312"/>
          <w:sz w:val="32"/>
          <w:szCs w:val="20"/>
          <w:lang w:val="zh-CN"/>
        </w:rPr>
        <w:t>　</w:t>
      </w:r>
      <w:r>
        <w:rPr>
          <w:rFonts w:hint="eastAsia" w:ascii="宋体" w:hAnsi="宋体" w:eastAsia="仿宋_GB2312" w:cs="仿宋_GB2312"/>
          <w:bCs/>
          <w:sz w:val="32"/>
          <w:szCs w:val="20"/>
          <w:lang w:val="zh-CN"/>
        </w:rPr>
        <w:t>违反本条例第十三条、第二十二条、第二十三条、第二十五条、第二十六条、第四十条规定的，</w:t>
      </w:r>
      <w:r>
        <w:rPr>
          <w:rFonts w:hint="eastAsia" w:ascii="宋体" w:hAnsi="宋体" w:eastAsia="仿宋_GB2312" w:cs="仿宋_GB2312"/>
          <w:bCs/>
          <w:color w:val="000000"/>
          <w:sz w:val="32"/>
          <w:szCs w:val="20"/>
          <w:lang w:val="zh-CN"/>
        </w:rPr>
        <w:t>依照国家有关法律法规进行处理，并可由省人民政府科学技术主管部门暂扣或者吊销实验动物的生产、使用许可证。</w:t>
      </w:r>
    </w:p>
    <w:p>
      <w:pPr>
        <w:wordWrap/>
        <w:autoSpaceDE w:val="0"/>
        <w:autoSpaceDN w:val="0"/>
        <w:adjustRightInd w:val="0"/>
        <w:spacing w:line="560" w:lineRule="exact"/>
        <w:ind w:firstLine="640" w:firstLineChars="200"/>
        <w:textAlignment w:val="auto"/>
        <w:rPr>
          <w:rFonts w:hint="eastAsia" w:ascii="宋体" w:hAnsi="宋体" w:eastAsia="仿宋_GB2312" w:cs="仿宋_GB2312"/>
          <w:sz w:val="32"/>
          <w:szCs w:val="20"/>
        </w:rPr>
      </w:pPr>
      <w:r>
        <w:rPr>
          <w:rFonts w:hint="eastAsia" w:ascii="宋体" w:hAnsi="宋体" w:eastAsia="黑体" w:cs="黑体"/>
          <w:sz w:val="32"/>
          <w:szCs w:val="20"/>
          <w:lang w:val="zh-CN"/>
        </w:rPr>
        <w:t xml:space="preserve">第四十七条 </w:t>
      </w:r>
      <w:r>
        <w:rPr>
          <w:rFonts w:hint="eastAsia" w:ascii="宋体" w:hAnsi="宋体" w:eastAsia="仿宋_GB2312" w:cs="仿宋_GB2312"/>
          <w:bCs/>
          <w:sz w:val="32"/>
          <w:szCs w:val="20"/>
          <w:lang w:val="zh-CN"/>
        </w:rPr>
        <w:t xml:space="preserve"> </w:t>
      </w:r>
      <w:r>
        <w:rPr>
          <w:rFonts w:hint="eastAsia" w:ascii="宋体" w:hAnsi="宋体" w:eastAsia="仿宋_GB2312" w:cs="仿宋_GB2312"/>
          <w:sz w:val="32"/>
          <w:szCs w:val="20"/>
        </w:rPr>
        <w:t>违反本条例有关规定的单位和个人，引发危害公共安全等重大事故、造成严重后果的，依照国家有关法律法规追究责任。</w:t>
      </w:r>
    </w:p>
    <w:p>
      <w:pPr>
        <w:wordWrap/>
        <w:autoSpaceDE w:val="0"/>
        <w:autoSpaceDN w:val="0"/>
        <w:adjustRightInd w:val="0"/>
        <w:spacing w:line="560" w:lineRule="exact"/>
        <w:ind w:firstLine="640" w:firstLineChars="200"/>
        <w:textAlignment w:val="auto"/>
        <w:rPr>
          <w:rFonts w:hint="eastAsia" w:ascii="宋体" w:hAnsi="宋体" w:eastAsia="仿宋_GB2312" w:cs="仿宋_GB2312"/>
          <w:sz w:val="32"/>
          <w:szCs w:val="20"/>
        </w:rPr>
      </w:pPr>
      <w:r>
        <w:rPr>
          <w:rFonts w:hint="eastAsia" w:ascii="宋体" w:hAnsi="宋体" w:eastAsia="黑体" w:cs="黑体"/>
          <w:bCs/>
          <w:sz w:val="32"/>
          <w:szCs w:val="20"/>
          <w:lang w:val="zh-CN"/>
        </w:rPr>
        <w:t>第四十八条</w:t>
      </w:r>
      <w:r>
        <w:rPr>
          <w:rFonts w:hint="eastAsia" w:ascii="宋体" w:hAnsi="宋体" w:eastAsia="仿宋_GB2312" w:cs="仿宋_GB2312"/>
          <w:bCs/>
          <w:sz w:val="32"/>
          <w:szCs w:val="20"/>
          <w:lang w:val="zh-CN"/>
        </w:rPr>
        <w:t xml:space="preserve">  </w:t>
      </w:r>
      <w:r>
        <w:rPr>
          <w:rFonts w:hint="eastAsia" w:ascii="宋体" w:hAnsi="宋体" w:eastAsia="仿宋_GB2312" w:cs="仿宋_GB2312"/>
          <w:sz w:val="32"/>
          <w:szCs w:val="20"/>
        </w:rPr>
        <w:t>违反本条例第四十四条、第四十六条规定暂扣实验动物的生产、使用许可证的，有关单位和个人应当按期整改，经验收合格后，</w:t>
      </w:r>
      <w:r>
        <w:rPr>
          <w:rFonts w:hint="eastAsia" w:ascii="宋体" w:hAnsi="宋体" w:eastAsia="仿宋_GB2312" w:cs="仿宋_GB2312"/>
          <w:bCs/>
          <w:sz w:val="32"/>
          <w:szCs w:val="20"/>
        </w:rPr>
        <w:t>省人民政府科学技术主管部门应当立即返还</w:t>
      </w:r>
      <w:r>
        <w:rPr>
          <w:rFonts w:hint="eastAsia" w:ascii="宋体" w:hAnsi="宋体" w:eastAsia="仿宋_GB2312" w:cs="仿宋_GB2312"/>
          <w:sz w:val="32"/>
          <w:szCs w:val="20"/>
        </w:rPr>
        <w:t>实验动物的生产、使用许可证。</w:t>
      </w:r>
    </w:p>
    <w:p>
      <w:pPr>
        <w:wordWrap/>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bCs/>
          <w:sz w:val="32"/>
          <w:szCs w:val="20"/>
          <w:lang w:val="zh-CN"/>
        </w:rPr>
        <w:t>第四十九条</w:t>
      </w:r>
      <w:r>
        <w:rPr>
          <w:rFonts w:hint="eastAsia" w:ascii="宋体" w:hAnsi="宋体" w:eastAsia="仿宋_GB2312" w:cs="仿宋_GB2312"/>
          <w:bCs/>
          <w:sz w:val="32"/>
          <w:szCs w:val="20"/>
          <w:lang w:val="zh-CN"/>
        </w:rPr>
        <w:t xml:space="preserve">  </w:t>
      </w:r>
      <w:r>
        <w:rPr>
          <w:rFonts w:hint="eastAsia" w:ascii="宋体" w:hAnsi="宋体" w:eastAsia="仿宋_GB2312" w:cs="仿宋_GB2312"/>
          <w:bCs/>
          <w:sz w:val="32"/>
          <w:szCs w:val="20"/>
        </w:rPr>
        <w:t>省人民政府科学技术主管部门及其工作人员</w:t>
      </w:r>
      <w:r>
        <w:rPr>
          <w:rFonts w:hint="eastAsia" w:ascii="宋体" w:hAnsi="宋体" w:eastAsia="仿宋_GB2312" w:cs="仿宋_GB2312"/>
          <w:bCs/>
          <w:sz w:val="32"/>
          <w:szCs w:val="20"/>
          <w:lang w:val="zh-CN"/>
        </w:rPr>
        <w:t>有下列行为之一的，由有关机关责令改正；情节严重的，对直接负责的主管人员和其他直接责任人员依法给予处分；构成犯罪的，依法追究刑事责任：</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（一）对不符合法定条件的申请人准予行政许可的；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（二）对符合法定条件的申请人不给予行政许可的；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（三）不在法定期限内作出行政许可决定的；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（四）不按规定程序作出行政许可决定的；</w:t>
      </w:r>
    </w:p>
    <w:p>
      <w:pPr>
        <w:wordWrap/>
        <w:spacing w:line="560" w:lineRule="exact"/>
        <w:ind w:firstLine="640" w:firstLineChars="200"/>
        <w:jc w:val="left"/>
        <w:textAlignment w:val="auto"/>
        <w:rPr>
          <w:rFonts w:hint="eastAsia" w:ascii="宋体" w:hAnsi="宋体" w:eastAsia="仿宋_GB2312" w:cs="仿宋_GB2312"/>
          <w:bCs/>
          <w:sz w:val="32"/>
          <w:szCs w:val="20"/>
          <w:lang w:val="zh-CN"/>
        </w:rPr>
      </w:pPr>
      <w:r>
        <w:rPr>
          <w:rFonts w:hint="eastAsia" w:ascii="宋体" w:hAnsi="宋体" w:eastAsia="仿宋_GB2312" w:cs="仿宋_GB2312"/>
          <w:bCs/>
          <w:sz w:val="32"/>
          <w:szCs w:val="20"/>
          <w:lang w:val="zh-CN"/>
        </w:rPr>
        <w:t>（五）不依法履行职责或者监管不力，造成严重后果的。</w:t>
      </w:r>
    </w:p>
    <w:p>
      <w:pPr>
        <w:wordWrap/>
        <w:autoSpaceDE w:val="0"/>
        <w:autoSpaceDN w:val="0"/>
        <w:adjustRightInd w:val="0"/>
        <w:spacing w:line="560" w:lineRule="exact"/>
        <w:ind w:firstLine="640" w:firstLineChars="200"/>
        <w:textAlignment w:val="auto"/>
        <w:rPr>
          <w:rFonts w:hint="eastAsia" w:ascii="宋体" w:hAnsi="宋体" w:eastAsia="仿宋_GB2312" w:cs="仿宋_GB2312"/>
          <w:bCs/>
          <w:sz w:val="32"/>
          <w:szCs w:val="20"/>
          <w:lang w:val="zh-CN"/>
        </w:rPr>
      </w:pPr>
      <w:r>
        <w:rPr>
          <w:rFonts w:hint="eastAsia" w:ascii="宋体" w:hAnsi="宋体" w:eastAsia="黑体" w:cs="黑体"/>
          <w:bCs/>
          <w:sz w:val="32"/>
          <w:szCs w:val="20"/>
          <w:lang w:val="zh-CN"/>
        </w:rPr>
        <w:t>第五十条</w:t>
      </w:r>
      <w:r>
        <w:rPr>
          <w:rFonts w:hint="eastAsia" w:ascii="宋体" w:hAnsi="宋体" w:eastAsia="仿宋_GB2312" w:cs="仿宋_GB2312"/>
          <w:bCs/>
          <w:sz w:val="32"/>
          <w:szCs w:val="20"/>
          <w:lang w:val="zh-CN"/>
        </w:rPr>
        <w:t xml:space="preserve">  </w:t>
      </w:r>
      <w:r>
        <w:rPr>
          <w:rFonts w:hint="eastAsia" w:ascii="宋体" w:hAnsi="宋体" w:eastAsia="仿宋_GB2312" w:cs="仿宋_GB2312"/>
          <w:bCs/>
          <w:sz w:val="32"/>
          <w:szCs w:val="20"/>
        </w:rPr>
        <w:t>省实验动物监测机构及其工作人员</w:t>
      </w:r>
      <w:r>
        <w:rPr>
          <w:rFonts w:hint="eastAsia" w:ascii="宋体" w:hAnsi="宋体" w:eastAsia="仿宋_GB2312" w:cs="仿宋_GB2312"/>
          <w:bCs/>
          <w:sz w:val="32"/>
          <w:szCs w:val="20"/>
          <w:lang w:val="zh-CN"/>
        </w:rPr>
        <w:t>违反本条例规定，不依法履行职责、检测不公正、出具虚假报告、滥收费用的，由</w:t>
      </w:r>
      <w:r>
        <w:rPr>
          <w:rFonts w:hint="eastAsia" w:ascii="宋体" w:hAnsi="宋体" w:eastAsia="仿宋_GB2312" w:cs="仿宋_GB2312"/>
          <w:bCs/>
          <w:sz w:val="32"/>
          <w:szCs w:val="20"/>
        </w:rPr>
        <w:t>省人民政府科学技术主管部门</w:t>
      </w:r>
      <w:r>
        <w:rPr>
          <w:rFonts w:hint="eastAsia" w:ascii="宋体" w:hAnsi="宋体" w:eastAsia="仿宋_GB2312" w:cs="仿宋_GB2312"/>
          <w:bCs/>
          <w:sz w:val="32"/>
          <w:szCs w:val="20"/>
          <w:lang w:val="zh-CN"/>
        </w:rPr>
        <w:t>责令改正，通报批评；对直接负责的主管人员和其他直接责任人员依法给予处分；对受检单位造成损失的，应当承担相应的赔偿责任；构成犯罪的，依法追究刑事责任。</w:t>
      </w:r>
    </w:p>
    <w:p>
      <w:pPr>
        <w:wordWrap/>
        <w:spacing w:line="560" w:lineRule="exact"/>
        <w:ind w:firstLine="600"/>
        <w:textAlignment w:val="auto"/>
        <w:rPr>
          <w:rFonts w:hint="eastAsia" w:ascii="宋体" w:hAnsi="宋体" w:eastAsia="仿宋_GB2312" w:cs="仿宋_GB2312"/>
          <w:bCs/>
          <w:sz w:val="32"/>
          <w:szCs w:val="20"/>
          <w:lang w:val="zh-CN"/>
        </w:rPr>
      </w:pPr>
    </w:p>
    <w:p>
      <w:pPr>
        <w:wordWrap/>
        <w:spacing w:line="560" w:lineRule="exact"/>
        <w:jc w:val="center"/>
        <w:textAlignment w:val="auto"/>
        <w:rPr>
          <w:rFonts w:hint="eastAsia" w:ascii="宋体" w:hAnsi="宋体" w:eastAsia="黑体" w:cs="黑体"/>
          <w:sz w:val="32"/>
          <w:szCs w:val="20"/>
        </w:rPr>
      </w:pPr>
      <w:r>
        <w:rPr>
          <w:rFonts w:hint="eastAsia" w:ascii="宋体" w:hAnsi="宋体" w:eastAsia="黑体" w:cs="黑体"/>
          <w:sz w:val="32"/>
          <w:szCs w:val="20"/>
        </w:rPr>
        <w:t>第七章  附则</w:t>
      </w:r>
    </w:p>
    <w:p>
      <w:pPr>
        <w:wordWrap/>
        <w:spacing w:line="560" w:lineRule="exact"/>
        <w:jc w:val="center"/>
        <w:textAlignment w:val="auto"/>
        <w:rPr>
          <w:rFonts w:hint="eastAsia" w:ascii="宋体" w:hAnsi="宋体" w:eastAsia="仿宋_GB2312" w:cs="仿宋_GB2312"/>
          <w:bCs/>
          <w:sz w:val="32"/>
          <w:szCs w:val="20"/>
        </w:rPr>
      </w:pP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黑体" w:cs="黑体"/>
          <w:sz w:val="32"/>
          <w:szCs w:val="20"/>
        </w:rPr>
        <w:t>第五十一条</w:t>
      </w:r>
      <w:r>
        <w:rPr>
          <w:rFonts w:hint="eastAsia" w:ascii="宋体" w:hAnsi="宋体" w:eastAsia="仿宋_GB2312" w:cs="仿宋_GB2312"/>
          <w:bCs/>
          <w:sz w:val="32"/>
          <w:szCs w:val="20"/>
        </w:rPr>
        <w:t xml:space="preserve">  本条例下列用语的含义：</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（一）实验动物，是指经人工饲养培育，遗传背景明确或者来源清楚，对其质量实行控制，用于科学研究、教学、医药、生产和检定以及其他科学实验的动物。</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（二）动物实验，是指以实验动物为对象和材料，在设计的条件下进行实验或者检测，观察、记录反应过程和结果的活动。</w:t>
      </w:r>
    </w:p>
    <w:p>
      <w:pPr>
        <w:wordWrap/>
        <w:spacing w:line="560" w:lineRule="exact"/>
        <w:ind w:firstLine="640" w:firstLineChars="200"/>
        <w:textAlignment w:val="auto"/>
        <w:rPr>
          <w:rFonts w:hint="eastAsia" w:ascii="宋体" w:hAnsi="宋体" w:eastAsia="仿宋_GB2312" w:cs="仿宋_GB2312"/>
          <w:color w:val="000000"/>
          <w:sz w:val="32"/>
          <w:szCs w:val="20"/>
        </w:rPr>
      </w:pPr>
      <w:r>
        <w:rPr>
          <w:rFonts w:hint="eastAsia" w:ascii="宋体" w:hAnsi="宋体" w:eastAsia="仿宋_GB2312" w:cs="仿宋_GB2312"/>
          <w:bCs/>
          <w:sz w:val="32"/>
          <w:szCs w:val="20"/>
        </w:rPr>
        <w:t>（三）</w:t>
      </w:r>
      <w:r>
        <w:rPr>
          <w:rFonts w:hint="eastAsia" w:ascii="宋体" w:hAnsi="宋体" w:eastAsia="仿宋_GB2312" w:cs="仿宋_GB2312"/>
          <w:bCs/>
          <w:color w:val="000000"/>
          <w:sz w:val="32"/>
          <w:szCs w:val="20"/>
        </w:rPr>
        <w:t>实验动物伦理，是指在实验动物生产、使用活动中，</w:t>
      </w:r>
      <w:r>
        <w:rPr>
          <w:rFonts w:hint="eastAsia" w:ascii="宋体" w:hAnsi="宋体" w:eastAsia="仿宋_GB2312" w:cs="仿宋_GB2312"/>
          <w:color w:val="000000"/>
          <w:sz w:val="32"/>
          <w:szCs w:val="20"/>
        </w:rPr>
        <w:t>人对实验动物的伦理态度和伦理行为规范，主要包括尊重实验动物生命价值、权利福利，在动物实验中审慎考虑平衡实验目的、公众利益和实验动物生命价值权利。</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color w:val="000000"/>
          <w:sz w:val="32"/>
          <w:szCs w:val="20"/>
        </w:rPr>
        <w:t>（四）</w:t>
      </w:r>
      <w:r>
        <w:rPr>
          <w:rFonts w:hint="eastAsia" w:ascii="宋体" w:hAnsi="宋体" w:eastAsia="仿宋_GB2312" w:cs="仿宋_GB2312"/>
          <w:bCs/>
          <w:sz w:val="32"/>
          <w:szCs w:val="20"/>
        </w:rPr>
        <w:t>实验动物福利，是指善待实验动物，即在饲养管理和使用实验动物活动中，采取有效措施，保证实验动物能够受到良好的管理与照料，为其提供清洁、舒适的生活环境，提供保证健康所需的充足的食物、饮用水和空间，使实验动物减少或避免不必要的伤害、饥渴、不适、惊恐、疾病和疼痛。</w:t>
      </w:r>
    </w:p>
    <w:p>
      <w:pPr>
        <w:wordWrap/>
        <w:spacing w:line="560" w:lineRule="exact"/>
        <w:ind w:firstLine="640" w:firstLineChars="200"/>
        <w:textAlignment w:val="auto"/>
        <w:rPr>
          <w:rFonts w:hint="eastAsia" w:ascii="宋体" w:hAnsi="宋体" w:eastAsia="仿宋_GB2312" w:cs="仿宋_GB2312"/>
          <w:bCs/>
          <w:sz w:val="32"/>
          <w:szCs w:val="20"/>
        </w:rPr>
      </w:pPr>
      <w:r>
        <w:rPr>
          <w:rFonts w:hint="eastAsia" w:ascii="宋体" w:hAnsi="宋体" w:eastAsia="仿宋_GB2312" w:cs="仿宋_GB2312"/>
          <w:bCs/>
          <w:sz w:val="32"/>
          <w:szCs w:val="20"/>
        </w:rPr>
        <w:t>（五）安死术，是指以人道的方法处死动物的技术，使动物在没有惊恐和痛苦的状态下安静地并在尽可能短的时间内死亡。</w:t>
      </w:r>
    </w:p>
    <w:p>
      <w:pPr>
        <w:wordWrap/>
        <w:spacing w:line="560" w:lineRule="exact"/>
        <w:jc w:val="center"/>
        <w:textAlignment w:val="auto"/>
        <w:rPr>
          <w:rFonts w:hint="eastAsia" w:ascii="Times New Roman" w:hAnsi="Times New Roman" w:eastAsia="宋体" w:cs="Times New Roman"/>
          <w:bCs/>
          <w:kern w:val="44"/>
          <w:sz w:val="44"/>
          <w:szCs w:val="44"/>
          <w:lang w:val="en-US" w:eastAsia="zh-CN" w:bidi="ar-SA"/>
        </w:rPr>
      </w:pPr>
      <w:r>
        <w:rPr>
          <w:rFonts w:hint="eastAsia" w:ascii="宋体" w:hAnsi="宋体" w:eastAsia="黑体" w:cs="黑体"/>
          <w:bCs/>
          <w:sz w:val="32"/>
          <w:szCs w:val="20"/>
          <w:lang w:val="zh-CN"/>
        </w:rPr>
        <w:t>第五十二条</w:t>
      </w:r>
      <w:r>
        <w:rPr>
          <w:rFonts w:hint="eastAsia" w:ascii="宋体" w:hAnsi="宋体" w:eastAsia="仿宋_GB2312" w:cs="仿宋_GB2312"/>
          <w:bCs/>
          <w:sz w:val="32"/>
          <w:szCs w:val="20"/>
          <w:lang w:val="zh-CN"/>
        </w:rPr>
        <w:t xml:space="preserve">  本条例自2010年10月1日起施行。</w:t>
      </w:r>
    </w:p>
    <w:p>
      <w:pPr>
        <w:wordWrap/>
        <w:spacing w:line="560" w:lineRule="exact"/>
        <w:textAlignment w:val="auto"/>
        <w:rPr>
          <w:rFonts w:hint="eastAsia" w:ascii="宋体" w:hAnsi="宋体" w:eastAsia="宋体" w:cs="宋体"/>
          <w:color w:val="000000"/>
          <w:sz w:val="44"/>
          <w:szCs w:val="44"/>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5" w:name="_Toc1718"/>
      <w:r>
        <w:rPr>
          <w:rFonts w:hint="eastAsia" w:ascii="宋体" w:hAnsi="宋体" w:eastAsia="宋体" w:cs="宋体"/>
          <w:color w:val="000000"/>
          <w:sz w:val="44"/>
          <w:szCs w:val="44"/>
        </w:rPr>
        <w:t>广东省</w:t>
      </w:r>
      <w:r>
        <w:rPr>
          <w:rFonts w:hint="eastAsia" w:ascii="宋体" w:hAnsi="宋体" w:eastAsia="宋体" w:cs="宋体"/>
          <w:color w:val="000000"/>
          <w:sz w:val="44"/>
          <w:szCs w:val="44"/>
          <w:lang w:eastAsia="zh-CN"/>
        </w:rPr>
        <w:t>市场监管</w:t>
      </w:r>
      <w:r>
        <w:rPr>
          <w:rFonts w:hint="eastAsia" w:ascii="宋体" w:hAnsi="宋体" w:eastAsia="宋体" w:cs="宋体"/>
          <w:color w:val="000000"/>
          <w:sz w:val="44"/>
          <w:szCs w:val="44"/>
        </w:rPr>
        <w:t>条例</w:t>
      </w:r>
      <w:bookmarkEnd w:id="445"/>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rPr>
        <w:t>（201</w:t>
      </w:r>
      <w:r>
        <w:rPr>
          <w:rFonts w:hint="eastAsia" w:ascii="宋体" w:hAnsi="宋体" w:eastAsia="楷体_GB2312" w:cs="楷体_GB2312"/>
          <w:b w:val="0"/>
          <w:bCs w:val="0"/>
          <w:sz w:val="32"/>
          <w:szCs w:val="32"/>
          <w:lang w:val="en-US" w:eastAsia="zh-CN"/>
        </w:rPr>
        <w:t>6</w:t>
      </w:r>
      <w:r>
        <w:rPr>
          <w:rFonts w:hint="eastAsia" w:ascii="宋体" w:hAnsi="宋体" w:eastAsia="楷体_GB2312" w:cs="楷体_GB2312"/>
          <w:b w:val="0"/>
          <w:bCs w:val="0"/>
          <w:sz w:val="32"/>
          <w:szCs w:val="32"/>
        </w:rPr>
        <w:t>年</w:t>
      </w:r>
      <w:r>
        <w:rPr>
          <w:rFonts w:hint="eastAsia" w:ascii="宋体" w:hAnsi="宋体" w:eastAsia="楷体_GB2312" w:cs="楷体_GB2312"/>
          <w:b w:val="0"/>
          <w:bCs w:val="0"/>
          <w:sz w:val="32"/>
          <w:szCs w:val="32"/>
          <w:lang w:val="en-US" w:eastAsia="zh-CN"/>
        </w:rPr>
        <w:t>7</w:t>
      </w:r>
      <w:r>
        <w:rPr>
          <w:rFonts w:hint="eastAsia" w:ascii="宋体" w:hAnsi="宋体" w:eastAsia="楷体_GB2312" w:cs="楷体_GB2312"/>
          <w:b w:val="0"/>
          <w:bCs w:val="0"/>
          <w:sz w:val="32"/>
          <w:szCs w:val="32"/>
        </w:rPr>
        <w:t>月</w:t>
      </w:r>
      <w:r>
        <w:rPr>
          <w:rFonts w:hint="eastAsia" w:ascii="宋体" w:hAnsi="宋体" w:eastAsia="楷体_GB2312" w:cs="楷体_GB2312"/>
          <w:b w:val="0"/>
          <w:bCs w:val="0"/>
          <w:sz w:val="32"/>
          <w:szCs w:val="32"/>
          <w:lang w:val="en-US" w:eastAsia="zh-CN"/>
        </w:rPr>
        <w:t>28</w:t>
      </w:r>
      <w:r>
        <w:rPr>
          <w:rFonts w:hint="eastAsia" w:ascii="宋体" w:hAnsi="宋体" w:eastAsia="楷体_GB2312" w:cs="楷体_GB2312"/>
          <w:b w:val="0"/>
          <w:bCs w:val="0"/>
          <w:sz w:val="32"/>
          <w:szCs w:val="32"/>
        </w:rPr>
        <w:t>日广东省第十</w:t>
      </w:r>
      <w:r>
        <w:rPr>
          <w:rFonts w:hint="eastAsia" w:ascii="宋体" w:hAnsi="宋体" w:eastAsia="楷体_GB2312" w:cs="楷体_GB2312"/>
          <w:b w:val="0"/>
          <w:bCs w:val="0"/>
          <w:sz w:val="32"/>
          <w:szCs w:val="32"/>
          <w:lang w:eastAsia="zh-CN"/>
        </w:rPr>
        <w:t>二</w:t>
      </w:r>
      <w:r>
        <w:rPr>
          <w:rFonts w:hint="eastAsia" w:ascii="宋体" w:hAnsi="宋体" w:eastAsia="楷体_GB2312" w:cs="楷体_GB2312"/>
          <w:b w:val="0"/>
          <w:bCs w:val="0"/>
          <w:sz w:val="32"/>
          <w:szCs w:val="32"/>
        </w:rPr>
        <w:t>届人民代表大会常务委员会第</w:t>
      </w:r>
      <w:r>
        <w:rPr>
          <w:rFonts w:hint="eastAsia" w:ascii="宋体" w:hAnsi="宋体" w:eastAsia="楷体_GB2312" w:cs="楷体_GB2312"/>
          <w:b w:val="0"/>
          <w:bCs w:val="0"/>
          <w:sz w:val="32"/>
          <w:szCs w:val="32"/>
          <w:lang w:eastAsia="zh-CN"/>
        </w:rPr>
        <w:t>二十七</w:t>
      </w:r>
      <w:r>
        <w:rPr>
          <w:rFonts w:hint="eastAsia" w:ascii="宋体" w:hAnsi="宋体" w:eastAsia="楷体_GB2312" w:cs="楷体_GB2312"/>
          <w:b w:val="0"/>
          <w:bCs w:val="0"/>
          <w:sz w:val="32"/>
          <w:szCs w:val="32"/>
        </w:rPr>
        <w:t>次会议通过</w:t>
      </w:r>
      <w:r>
        <w:rPr>
          <w:rFonts w:hint="eastAsia" w:ascii="宋体" w:hAnsi="宋体" w:eastAsia="楷体_GB2312" w:cs="楷体_GB2312"/>
          <w:b w:val="0"/>
          <w:bCs w:val="0"/>
          <w:sz w:val="32"/>
          <w:szCs w:val="32"/>
          <w:lang w:val="en-US" w:eastAsia="zh-CN"/>
        </w:rPr>
        <w:t xml:space="preserve">  2016年7月28日公布  自2016年10月1日起施行</w:t>
      </w:r>
      <w:r>
        <w:rPr>
          <w:rFonts w:hint="eastAsia" w:ascii="宋体" w:hAnsi="宋体" w:eastAsia="楷体_GB2312" w:cs="楷体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目    录</w:t>
      </w:r>
    </w:p>
    <w:p>
      <w:pPr>
        <w:widowControl w:val="0"/>
        <w:wordWrap/>
        <w:overflowPunct w:val="0"/>
        <w:adjustRightInd/>
        <w:snapToGrid/>
        <w:spacing w:beforeAutospacing="0" w:afterAutospacing="0" w:line="560" w:lineRule="exact"/>
        <w:ind w:left="0" w:leftChars="0" w:right="0" w:firstLine="640" w:firstLineChars="200"/>
        <w:jc w:val="center"/>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第一章  总则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第二章  监管职责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第三章  准入监管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第四章  后续监管</w:t>
      </w:r>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楷体_GB2312" w:cs="楷体_GB2312"/>
          <w:b w:val="0"/>
          <w:bCs w:val="0"/>
          <w:sz w:val="32"/>
          <w:szCs w:val="32"/>
          <w:lang w:eastAsia="zh-CN"/>
        </w:rPr>
      </w:pPr>
      <w:r>
        <w:rPr>
          <w:rFonts w:hint="eastAsia" w:ascii="宋体" w:hAnsi="宋体" w:eastAsia="宋体" w:cs="宋体"/>
          <w:b w:val="0"/>
          <w:bCs w:val="0"/>
          <w:sz w:val="32"/>
          <w:szCs w:val="32"/>
          <w:lang w:val="en-US" w:eastAsia="zh-CN"/>
        </w:rPr>
        <w:t xml:space="preserve">        </w:t>
      </w:r>
      <w:r>
        <w:rPr>
          <w:rFonts w:hint="eastAsia" w:ascii="宋体" w:hAnsi="宋体" w:eastAsia="楷体_GB2312" w:cs="楷体_GB2312"/>
          <w:b w:val="0"/>
          <w:bCs w:val="0"/>
          <w:sz w:val="32"/>
          <w:szCs w:val="32"/>
          <w:lang w:val="en-US" w:eastAsia="zh-CN"/>
        </w:rPr>
        <w:t>第一节  一般监管</w:t>
      </w:r>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第二节  协同监管</w:t>
      </w:r>
    </w:p>
    <w:p>
      <w:pPr>
        <w:widowControl w:val="0"/>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第三节  信用监管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第四节  风险监管</w:t>
      </w:r>
    </w:p>
    <w:p>
      <w:pPr>
        <w:widowControl w:val="0"/>
        <w:numPr>
          <w:ilvl w:val="0"/>
          <w:numId w:val="16"/>
        </w:numPr>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社会监督</w:t>
      </w:r>
    </w:p>
    <w:p>
      <w:pPr>
        <w:widowControl w:val="0"/>
        <w:numPr>
          <w:ilvl w:val="0"/>
          <w:numId w:val="16"/>
        </w:numPr>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法律责任</w:t>
      </w:r>
    </w:p>
    <w:p>
      <w:pPr>
        <w:widowControl w:val="0"/>
        <w:numPr>
          <w:ilvl w:val="0"/>
          <w:numId w:val="16"/>
        </w:numPr>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lang w:val="en-US" w:eastAsia="zh-CN"/>
        </w:rPr>
      </w:pPr>
      <w:r>
        <w:rPr>
          <w:rFonts w:hint="eastAsia" w:ascii="宋体" w:hAnsi="宋体" w:eastAsia="楷体_GB2312" w:cs="楷体_GB2312"/>
          <w:b w:val="0"/>
          <w:bCs w:val="0"/>
          <w:sz w:val="32"/>
          <w:szCs w:val="32"/>
          <w:lang w:val="en-US" w:eastAsia="zh-CN"/>
        </w:rPr>
        <w:t xml:space="preserve"> 附则</w:t>
      </w:r>
    </w:p>
    <w:p>
      <w:pPr>
        <w:widowControl w:val="0"/>
        <w:numPr>
          <w:ilvl w:val="0"/>
          <w:numId w:val="0"/>
        </w:numPr>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val="0"/>
          <w:sz w:val="32"/>
          <w:szCs w:val="32"/>
          <w:lang w:val="en-US" w:eastAsia="zh-CN"/>
        </w:rPr>
      </w:pPr>
    </w:p>
    <w:p>
      <w:pPr>
        <w:widowControl w:val="0"/>
        <w:numPr>
          <w:ilvl w:val="0"/>
          <w:numId w:val="17"/>
        </w:numPr>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 xml:space="preserve"> 总则</w:t>
      </w:r>
    </w:p>
    <w:p>
      <w:pPr>
        <w:widowControl w:val="0"/>
        <w:numPr>
          <w:ilvl w:val="0"/>
          <w:numId w:val="0"/>
        </w:numPr>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宋体" w:cs="宋体"/>
          <w:b w:val="0"/>
          <w:bCs w:val="0"/>
          <w:sz w:val="32"/>
          <w:szCs w:val="32"/>
        </w:rPr>
        <w:t>　</w:t>
      </w:r>
      <w:r>
        <w:rPr>
          <w:rFonts w:hint="eastAsia" w:ascii="宋体" w:hAnsi="宋体" w:eastAsia="黑体" w:cs="黑体"/>
          <w:b w:val="0"/>
          <w:bCs w:val="0"/>
          <w:sz w:val="32"/>
          <w:szCs w:val="32"/>
        </w:rPr>
        <w:t>　第一条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为了规范市场监管行为，健全市场监管制度，维护公平竞争的市场秩序，保护市场主体和消费者的合法权益，促进市场经济持续健康发展，根据有关法律、法规，结合本省实际，制定本条例。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本条例适用于本省行政区域内各级人民政府</w:t>
      </w:r>
      <w:r>
        <w:rPr>
          <w:rFonts w:hint="eastAsia" w:ascii="宋体" w:hAnsi="宋体" w:eastAsia="仿宋_GB2312" w:cs="仿宋_GB2312"/>
          <w:b w:val="0"/>
          <w:bCs w:val="0"/>
          <w:i w:val="0"/>
          <w:iCs w:val="0"/>
          <w:sz w:val="32"/>
          <w:szCs w:val="32"/>
          <w:u w:val="none" w:color="auto"/>
          <w:lang w:val="en-US" w:eastAsia="zh-CN"/>
        </w:rPr>
        <w:t>及其</w:t>
      </w:r>
      <w:r>
        <w:rPr>
          <w:rFonts w:hint="eastAsia" w:ascii="宋体" w:hAnsi="宋体" w:eastAsia="仿宋_GB2312" w:cs="仿宋_GB2312"/>
          <w:b w:val="0"/>
          <w:bCs w:val="0"/>
          <w:sz w:val="32"/>
          <w:szCs w:val="32"/>
        </w:rPr>
        <w:t>负有市场监管职责的部门（以下简称市场监管部门）对市场主体及其生产经营行为实施的监督管理活动。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本条例所称市场主体，是指在生产经营活动中提供商品或者服务的公民、法人或者其他组织。</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xml:space="preserve">    </w:t>
      </w:r>
      <w:r>
        <w:rPr>
          <w:rFonts w:hint="eastAsia" w:ascii="宋体" w:hAnsi="宋体" w:eastAsia="黑体" w:cs="黑体"/>
          <w:b w:val="0"/>
          <w:bCs w:val="0"/>
          <w:sz w:val="32"/>
          <w:szCs w:val="32"/>
        </w:rPr>
        <w:t xml:space="preserve">第三条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lang w:eastAsia="zh-CN"/>
        </w:rPr>
        <w:t>各级人民政府及其</w:t>
      </w:r>
      <w:r>
        <w:rPr>
          <w:rFonts w:hint="eastAsia" w:ascii="宋体" w:hAnsi="宋体" w:eastAsia="仿宋_GB2312" w:cs="仿宋_GB2312"/>
          <w:b w:val="0"/>
          <w:bCs w:val="0"/>
          <w:sz w:val="32"/>
          <w:szCs w:val="32"/>
        </w:rPr>
        <w:t>市场监管部门实施市场监管，应当遵循合法适当、公平公正、透明高效、权责一致的原则。</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 w:cs="仿宋"/>
          <w:b w:val="0"/>
          <w:bCs w:val="0"/>
          <w:sz w:val="32"/>
          <w:szCs w:val="32"/>
        </w:rPr>
      </w:pPr>
      <w:r>
        <w:rPr>
          <w:rFonts w:hint="eastAsia" w:ascii="宋体" w:hAnsi="宋体" w:eastAsia="黑体" w:cs="黑体"/>
          <w:b w:val="0"/>
          <w:bCs w:val="0"/>
          <w:sz w:val="32"/>
          <w:szCs w:val="32"/>
        </w:rPr>
        <w:t>第四条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市场监管部门应当依照法定权限和程序实施市场监管</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i w:val="0"/>
          <w:iCs w:val="0"/>
          <w:sz w:val="32"/>
          <w:szCs w:val="32"/>
          <w:u w:val="none" w:color="auto"/>
          <w:lang w:eastAsia="zh-CN"/>
        </w:rPr>
        <w:t>不得违法增设权力和减少职责。没</w:t>
      </w:r>
      <w:r>
        <w:rPr>
          <w:rFonts w:hint="eastAsia" w:ascii="宋体" w:hAnsi="宋体" w:eastAsia="仿宋_GB2312" w:cs="仿宋_GB2312"/>
          <w:b w:val="0"/>
          <w:bCs w:val="0"/>
          <w:i w:val="0"/>
          <w:iCs w:val="0"/>
          <w:sz w:val="32"/>
          <w:szCs w:val="32"/>
          <w:u w:val="none" w:color="auto"/>
        </w:rPr>
        <w:t>有法律、法规依据，不得</w:t>
      </w:r>
      <w:r>
        <w:rPr>
          <w:rFonts w:hint="eastAsia" w:ascii="宋体" w:hAnsi="宋体" w:eastAsia="仿宋_GB2312" w:cs="仿宋_GB2312"/>
          <w:b w:val="0"/>
          <w:bCs w:val="0"/>
          <w:sz w:val="32"/>
          <w:szCs w:val="32"/>
        </w:rPr>
        <w:t>减损市场主体权利或者增加</w:t>
      </w:r>
      <w:r>
        <w:rPr>
          <w:rFonts w:hint="eastAsia" w:ascii="宋体" w:hAnsi="宋体" w:eastAsia="仿宋_GB2312" w:cs="仿宋_GB2312"/>
          <w:b w:val="0"/>
          <w:bCs w:val="0"/>
          <w:i w:val="0"/>
          <w:iCs w:val="0"/>
          <w:sz w:val="32"/>
          <w:szCs w:val="32"/>
          <w:u w:val="none" w:color="auto"/>
          <w:lang w:eastAsia="zh-CN"/>
        </w:rPr>
        <w:t>市场主体</w:t>
      </w:r>
      <w:r>
        <w:rPr>
          <w:rFonts w:hint="eastAsia" w:ascii="宋体" w:hAnsi="宋体" w:eastAsia="仿宋_GB2312" w:cs="仿宋_GB2312"/>
          <w:b w:val="0"/>
          <w:bCs w:val="0"/>
          <w:sz w:val="32"/>
          <w:szCs w:val="32"/>
        </w:rPr>
        <w:t>义务。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市场监管部门、市场主体、社会组织和公众应当共同维护市场秩序，促进市场健康发展。</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市场监管部门应当鼓励和支持社会组织、公众参与市场监督。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市场主体应当加强内部管理和自我约束，自觉守法，诚信经营，接受政府和社会组织、公众的监督，依法承担生产经营活动产生的责任。</w:t>
      </w:r>
    </w:p>
    <w:p>
      <w:pPr>
        <w:widowControl w:val="0"/>
        <w:wordWrap/>
        <w:overflowPunct w:val="0"/>
        <w:adjustRightInd/>
        <w:snapToGrid/>
        <w:spacing w:beforeAutospacing="0" w:afterAutospacing="0" w:line="560" w:lineRule="exact"/>
        <w:ind w:left="0" w:leftChars="0" w:right="0" w:firstLine="0" w:firstLineChars="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第二章  监管职责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第七条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rPr>
        <w:t>应当</w:t>
      </w:r>
      <w:r>
        <w:rPr>
          <w:rFonts w:hint="eastAsia" w:ascii="宋体" w:hAnsi="宋体" w:eastAsia="仿宋_GB2312" w:cs="仿宋_GB2312"/>
          <w:b w:val="0"/>
          <w:bCs w:val="0"/>
          <w:sz w:val="32"/>
          <w:szCs w:val="32"/>
        </w:rPr>
        <w:t>建立健全市场监管统筹和协调机制，及时协调、解决市场监管中的重大问题。</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县级以上人民政府应当依法制定、调整所属市场监管部门的权责清单，并</w:t>
      </w:r>
      <w:r>
        <w:rPr>
          <w:rFonts w:hint="eastAsia" w:ascii="宋体" w:hAnsi="宋体" w:eastAsia="仿宋_GB2312" w:cs="仿宋_GB2312"/>
          <w:b w:val="0"/>
          <w:bCs w:val="0"/>
          <w:i w:val="0"/>
          <w:iCs w:val="0"/>
          <w:sz w:val="32"/>
          <w:szCs w:val="32"/>
          <w:u w:val="none" w:color="auto"/>
        </w:rPr>
        <w:t>及时</w:t>
      </w:r>
      <w:r>
        <w:rPr>
          <w:rFonts w:hint="eastAsia" w:ascii="宋体" w:hAnsi="宋体" w:eastAsia="仿宋_GB2312" w:cs="仿宋_GB2312"/>
          <w:b w:val="0"/>
          <w:bCs w:val="0"/>
          <w:sz w:val="32"/>
          <w:szCs w:val="32"/>
        </w:rPr>
        <w:t>向社会公开。</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县级以上人民政府应当定期对所属市场监管部门和下一级人民政府履行市场监管职责的情况进行考核。</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i w:val="0"/>
          <w:iCs w:val="0"/>
          <w:sz w:val="32"/>
          <w:szCs w:val="32"/>
          <w:u w:val="none" w:color="auto"/>
        </w:rPr>
      </w:pPr>
      <w:r>
        <w:rPr>
          <w:rFonts w:hint="eastAsia" w:ascii="宋体" w:hAnsi="宋体" w:eastAsia="黑体" w:cs="黑体"/>
          <w:b w:val="0"/>
          <w:bCs w:val="0"/>
          <w:sz w:val="32"/>
          <w:szCs w:val="32"/>
        </w:rPr>
        <w:t>第八条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监管职责</w:t>
      </w:r>
      <w:r>
        <w:rPr>
          <w:rFonts w:hint="eastAsia" w:ascii="宋体" w:hAnsi="宋体" w:eastAsia="仿宋_GB2312" w:cs="仿宋_GB2312"/>
          <w:b w:val="0"/>
          <w:bCs w:val="0"/>
          <w:sz w:val="32"/>
          <w:szCs w:val="32"/>
          <w:lang w:eastAsia="zh-CN"/>
        </w:rPr>
        <w:t>依照</w:t>
      </w:r>
      <w:r>
        <w:rPr>
          <w:rFonts w:hint="eastAsia" w:ascii="宋体" w:hAnsi="宋体" w:eastAsia="仿宋_GB2312" w:cs="仿宋_GB2312"/>
          <w:b w:val="0"/>
          <w:bCs w:val="0"/>
          <w:sz w:val="32"/>
          <w:szCs w:val="32"/>
        </w:rPr>
        <w:t>法律、法规</w:t>
      </w:r>
      <w:r>
        <w:rPr>
          <w:rFonts w:hint="eastAsia" w:ascii="宋体" w:hAnsi="宋体" w:eastAsia="仿宋_GB2312" w:cs="仿宋_GB2312"/>
          <w:b w:val="0"/>
          <w:bCs w:val="0"/>
          <w:sz w:val="32"/>
          <w:szCs w:val="32"/>
          <w:lang w:eastAsia="zh-CN"/>
        </w:rPr>
        <w:t>确定；</w:t>
      </w:r>
      <w:r>
        <w:rPr>
          <w:rFonts w:hint="eastAsia" w:ascii="宋体" w:hAnsi="宋体" w:eastAsia="仿宋_GB2312" w:cs="仿宋_GB2312"/>
          <w:b w:val="0"/>
          <w:bCs w:val="0"/>
          <w:i w:val="0"/>
          <w:iCs w:val="0"/>
          <w:sz w:val="32"/>
          <w:szCs w:val="32"/>
          <w:u w:val="none" w:color="auto"/>
          <w:lang w:eastAsia="zh-CN"/>
        </w:rPr>
        <w:t>法律、法规没有明确市场监管部门的，按照下列规定确定：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（一）</w:t>
      </w:r>
      <w:r>
        <w:rPr>
          <w:rFonts w:hint="eastAsia" w:ascii="宋体" w:hAnsi="宋体" w:eastAsia="仿宋_GB2312" w:cs="仿宋_GB2312"/>
          <w:b w:val="0"/>
          <w:bCs w:val="0"/>
          <w:sz w:val="32"/>
          <w:szCs w:val="32"/>
        </w:rPr>
        <w:t>涉及行政许可的，行政许可实施部门为市场监管部门；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（二）</w:t>
      </w:r>
      <w:r>
        <w:rPr>
          <w:rFonts w:hint="eastAsia" w:ascii="宋体" w:hAnsi="宋体" w:eastAsia="仿宋_GB2312" w:cs="仿宋_GB2312"/>
          <w:b w:val="0"/>
          <w:bCs w:val="0"/>
          <w:sz w:val="32"/>
          <w:szCs w:val="32"/>
        </w:rPr>
        <w:t>不涉及行政许可但有行业主管部门的，行业主管部门为市场监管部门；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（三）</w:t>
      </w:r>
      <w:r>
        <w:rPr>
          <w:rFonts w:hint="eastAsia" w:ascii="宋体" w:hAnsi="宋体" w:eastAsia="仿宋_GB2312" w:cs="仿宋_GB2312"/>
          <w:b w:val="0"/>
          <w:bCs w:val="0"/>
          <w:sz w:val="32"/>
          <w:szCs w:val="32"/>
        </w:rPr>
        <w:t>不涉及行政许可且无行业主管部门</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，由</w:t>
      </w:r>
      <w:r>
        <w:rPr>
          <w:rFonts w:hint="eastAsia" w:ascii="宋体" w:hAnsi="宋体" w:eastAsia="仿宋_GB2312" w:cs="仿宋_GB2312"/>
          <w:b w:val="0"/>
          <w:bCs w:val="0"/>
          <w:i w:val="0"/>
          <w:iCs w:val="0"/>
          <w:sz w:val="32"/>
          <w:szCs w:val="32"/>
          <w:u w:val="none" w:color="auto"/>
          <w:lang w:eastAsia="zh-CN"/>
        </w:rPr>
        <w:t>县级以上</w:t>
      </w:r>
      <w:r>
        <w:rPr>
          <w:rFonts w:hint="eastAsia" w:ascii="宋体" w:hAnsi="宋体" w:eastAsia="仿宋_GB2312" w:cs="仿宋_GB2312"/>
          <w:b w:val="0"/>
          <w:bCs w:val="0"/>
          <w:sz w:val="32"/>
          <w:szCs w:val="32"/>
        </w:rPr>
        <w:t>人民政府指定市场监管部门；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（四）涉及多个部门且监管职责分工不明确的，由</w:t>
      </w:r>
      <w:r>
        <w:rPr>
          <w:rFonts w:hint="eastAsia" w:ascii="宋体" w:hAnsi="宋体" w:eastAsia="仿宋_GB2312" w:cs="仿宋_GB2312"/>
          <w:b w:val="0"/>
          <w:bCs w:val="0"/>
          <w:i w:val="0"/>
          <w:iCs w:val="0"/>
          <w:sz w:val="32"/>
          <w:szCs w:val="32"/>
          <w:u w:val="none" w:color="auto"/>
          <w:lang w:eastAsia="zh-CN"/>
        </w:rPr>
        <w:t>县级以上</w:t>
      </w:r>
      <w:r>
        <w:rPr>
          <w:rFonts w:hint="eastAsia" w:ascii="宋体" w:hAnsi="宋体" w:eastAsia="仿宋_GB2312" w:cs="仿宋_GB2312"/>
          <w:b w:val="0"/>
          <w:bCs w:val="0"/>
          <w:sz w:val="32"/>
          <w:szCs w:val="32"/>
        </w:rPr>
        <w:t>人民政府指定市场监管部门。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市场主体依法应当取得而未取得行政许可，擅自从事与许可事项相关的生产经营活动的，由行政许可实施部门予以查处。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除前款规定的情形外，市场主体依法应当取得而未取得营业执照，擅自从事生产经营活动的，由工商行政管理部门予以查处。</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法律、法规另有规定的，从其规定。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第十条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市场监管部门的不同层级对同一市场主体及其生产经营行为均有监管职权的，原则上由最低一级市场监管部门实施监管。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乡镇人民政府和街道办事处发现市场违法行为但无权查处的，应当向上一级人民政府或者其市场监管部门报告。</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地级以上市人民政府可以通过法定程序赋予特大镇人民政府行使县级人民政府及其部门的部分市场监管职权，委托较大镇、一般镇人民政府和街道办事处行使县级人民政府及其部门的部分市场监管职权。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第十一条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县级以上人民政府可以依法整合市场监管职能，相对集中</w:t>
      </w:r>
      <w:r>
        <w:rPr>
          <w:rFonts w:hint="eastAsia" w:ascii="宋体" w:hAnsi="宋体" w:eastAsia="仿宋_GB2312" w:cs="仿宋_GB2312"/>
          <w:b w:val="0"/>
          <w:bCs w:val="0"/>
          <w:sz w:val="32"/>
          <w:szCs w:val="32"/>
          <w:lang w:eastAsia="zh-CN"/>
        </w:rPr>
        <w:t>行使</w:t>
      </w:r>
      <w:r>
        <w:rPr>
          <w:rFonts w:hint="eastAsia" w:ascii="宋体" w:hAnsi="宋体" w:eastAsia="仿宋_GB2312" w:cs="仿宋_GB2312"/>
          <w:b w:val="0"/>
          <w:bCs w:val="0"/>
          <w:sz w:val="32"/>
          <w:szCs w:val="32"/>
        </w:rPr>
        <w:t>执法权。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市场监管部门可以整合所属机构的执法职能，交由一个机构履行。</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市场监管部门可以将</w:t>
      </w:r>
      <w:r>
        <w:rPr>
          <w:rFonts w:hint="eastAsia" w:ascii="宋体" w:hAnsi="宋体" w:eastAsia="仿宋_GB2312" w:cs="仿宋_GB2312"/>
          <w:b w:val="0"/>
          <w:bCs w:val="0"/>
          <w:i w:val="0"/>
          <w:iCs w:val="0"/>
          <w:sz w:val="32"/>
          <w:szCs w:val="32"/>
          <w:u w:val="none" w:color="auto"/>
        </w:rPr>
        <w:t>适宜由行业组织承接的</w:t>
      </w:r>
      <w:r>
        <w:rPr>
          <w:rFonts w:hint="eastAsia" w:ascii="宋体" w:hAnsi="宋体" w:eastAsia="仿宋_GB2312" w:cs="仿宋_GB2312"/>
          <w:b w:val="0"/>
          <w:bCs w:val="0"/>
          <w:sz w:val="32"/>
          <w:szCs w:val="32"/>
          <w:lang w:eastAsia="zh-CN"/>
        </w:rPr>
        <w:t>市场监管</w:t>
      </w:r>
      <w:r>
        <w:rPr>
          <w:rFonts w:hint="eastAsia" w:ascii="宋体" w:hAnsi="宋体" w:eastAsia="仿宋_GB2312" w:cs="仿宋_GB2312"/>
          <w:b w:val="0"/>
          <w:bCs w:val="0"/>
          <w:sz w:val="32"/>
          <w:szCs w:val="32"/>
        </w:rPr>
        <w:t>职能或者事项，转移、委托给具备条件的行业组织。</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第十三条</w:t>
      </w:r>
      <w:r>
        <w:rPr>
          <w:rFonts w:hint="eastAsia" w:ascii="宋体" w:hAnsi="宋体" w:eastAsia="仿宋" w:cs="仿宋"/>
          <w:b w:val="0"/>
          <w:bCs w:val="0"/>
          <w:sz w:val="32"/>
          <w:szCs w:val="32"/>
        </w:rPr>
        <w:t xml:space="preserve"> </w:t>
      </w:r>
      <w:r>
        <w:rPr>
          <w:rFonts w:hint="eastAsia" w:ascii="宋体" w:hAnsi="宋体" w:eastAsia="仿宋" w:cs="仿宋"/>
          <w:b w:val="0"/>
          <w:bCs w:val="0"/>
          <w:sz w:val="32"/>
          <w:szCs w:val="32"/>
          <w:lang w:val="en-US" w:eastAsia="zh-CN"/>
        </w:rPr>
        <w:t xml:space="preserve"> </w:t>
      </w:r>
      <w:r>
        <w:rPr>
          <w:rFonts w:hint="eastAsia" w:ascii="宋体" w:hAnsi="宋体" w:eastAsia="仿宋_GB2312" w:cs="仿宋_GB2312"/>
          <w:b w:val="0"/>
          <w:bCs w:val="0"/>
          <w:i w:val="0"/>
          <w:iCs w:val="0"/>
          <w:sz w:val="32"/>
          <w:szCs w:val="32"/>
          <w:u w:val="none" w:color="auto"/>
          <w:lang w:eastAsia="zh-CN"/>
        </w:rPr>
        <w:t>市场监管的范围、方式、程序</w:t>
      </w:r>
      <w:r>
        <w:rPr>
          <w:rFonts w:hint="eastAsia" w:ascii="宋体" w:hAnsi="宋体" w:eastAsia="仿宋_GB2312" w:cs="仿宋_GB2312"/>
          <w:b w:val="0"/>
          <w:bCs w:val="0"/>
          <w:sz w:val="32"/>
          <w:szCs w:val="32"/>
        </w:rPr>
        <w:t>需要通过制定、修改地方性法规、规章进一步明确的，依照法定程序</w:t>
      </w:r>
      <w:r>
        <w:rPr>
          <w:rFonts w:hint="eastAsia" w:ascii="宋体" w:hAnsi="宋体" w:eastAsia="仿宋_GB2312" w:cs="仿宋_GB2312"/>
          <w:b w:val="0"/>
          <w:bCs w:val="0"/>
          <w:i w:val="0"/>
          <w:iCs w:val="0"/>
          <w:sz w:val="32"/>
          <w:szCs w:val="32"/>
          <w:u w:val="none" w:color="auto"/>
          <w:lang w:eastAsia="zh-CN"/>
        </w:rPr>
        <w:t>办理</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第三章　准入监管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市场准入实行负面清单管理制度。负面清单按照国家有关规定执行。</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i w:val="0"/>
          <w:iCs w:val="0"/>
          <w:sz w:val="32"/>
          <w:szCs w:val="32"/>
          <w:u w:val="none" w:color="auto"/>
          <w:lang w:eastAsia="zh-CN"/>
        </w:rPr>
        <w:t>没有法定依据不得</w:t>
      </w:r>
      <w:r>
        <w:rPr>
          <w:rFonts w:hint="eastAsia" w:ascii="宋体" w:hAnsi="宋体" w:eastAsia="仿宋_GB2312" w:cs="仿宋_GB2312"/>
          <w:b w:val="0"/>
          <w:bCs w:val="0"/>
          <w:i w:val="0"/>
          <w:iCs w:val="0"/>
          <w:sz w:val="32"/>
          <w:szCs w:val="32"/>
          <w:u w:val="none" w:color="auto"/>
        </w:rPr>
        <w:t>设定或者实施</w:t>
      </w:r>
      <w:r>
        <w:rPr>
          <w:rFonts w:hint="eastAsia" w:ascii="宋体" w:hAnsi="宋体" w:eastAsia="仿宋_GB2312" w:cs="仿宋_GB2312"/>
          <w:b w:val="0"/>
          <w:bCs w:val="0"/>
          <w:sz w:val="32"/>
          <w:szCs w:val="32"/>
        </w:rPr>
        <w:t>市场准入行政许可。已取消的市场准入行政许可，非经法定程序不得恢复。</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工商登记前置许可事项范围按照国家编制的目录执行，确需调整的，由省人民政府按照法定程序报请有权机关批准或者取得授权。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工商登记后置许可事项目录由省人民政府依法制定，并向社会公布。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第十六条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市场监管部门应当建立健全市场准入行政许可标准化制度，制定办事指南和业务手册，明确行政许可的依据、条件、期限、流程</w:t>
      </w:r>
      <w:r>
        <w:rPr>
          <w:rFonts w:hint="eastAsia" w:ascii="宋体" w:hAnsi="宋体" w:eastAsia="仿宋_GB2312" w:cs="仿宋_GB2312"/>
          <w:b w:val="0"/>
          <w:bCs w:val="0"/>
          <w:i w:val="0"/>
          <w:iCs w:val="0"/>
          <w:sz w:val="32"/>
          <w:szCs w:val="32"/>
          <w:u w:val="none" w:color="auto"/>
        </w:rPr>
        <w:t>、裁量标准</w:t>
      </w:r>
      <w:r>
        <w:rPr>
          <w:rFonts w:hint="eastAsia" w:ascii="宋体" w:hAnsi="宋体" w:eastAsia="仿宋_GB2312" w:cs="仿宋_GB2312"/>
          <w:b w:val="0"/>
          <w:bCs w:val="0"/>
          <w:sz w:val="32"/>
          <w:szCs w:val="32"/>
        </w:rPr>
        <w:t>和申请的材料、格式文本等事项，并在行政许可受理场所</w:t>
      </w:r>
      <w:r>
        <w:rPr>
          <w:rFonts w:hint="eastAsia" w:ascii="宋体" w:hAnsi="宋体" w:eastAsia="仿宋_GB2312" w:cs="仿宋_GB2312"/>
          <w:b w:val="0"/>
          <w:bCs w:val="0"/>
          <w:i w:val="0"/>
          <w:iCs w:val="0"/>
          <w:sz w:val="32"/>
          <w:szCs w:val="32"/>
          <w:u w:val="none" w:color="auto"/>
          <w:lang w:eastAsia="zh-CN"/>
        </w:rPr>
        <w:t>、</w:t>
      </w:r>
      <w:r>
        <w:rPr>
          <w:rFonts w:hint="eastAsia" w:ascii="宋体" w:hAnsi="宋体" w:eastAsia="仿宋_GB2312" w:cs="仿宋_GB2312"/>
          <w:b w:val="0"/>
          <w:bCs w:val="0"/>
          <w:sz w:val="32"/>
          <w:szCs w:val="32"/>
        </w:rPr>
        <w:t>政务网站公布。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　第十七条  </w:t>
      </w:r>
      <w:r>
        <w:rPr>
          <w:rFonts w:hint="eastAsia" w:ascii="宋体" w:hAnsi="宋体" w:eastAsia="仿宋_GB2312" w:cs="仿宋_GB2312"/>
          <w:b w:val="0"/>
          <w:bCs w:val="0"/>
          <w:sz w:val="32"/>
          <w:szCs w:val="32"/>
        </w:rPr>
        <w:t>各级人民政府应当完善政务服务平台和网上办事大厅，集中办理市场准入行政许可，简化流程，提高效率。</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市场监管部门实施市场准入行政许可时，不得违法增减条件和程序。</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_GB2312" w:cs="仿宋_GB2312"/>
          <w:b w:val="0"/>
          <w:bCs w:val="0"/>
          <w:sz w:val="32"/>
          <w:szCs w:val="32"/>
        </w:rPr>
        <w:t>　　市场监管部门实施备案等非行政许可事项时，不得设置前置性限制条件，不得以行政许可的条件和程序要求行政相对人。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市场监管部门实施市场准入行政许可，不得</w:t>
      </w:r>
      <w:r>
        <w:rPr>
          <w:rFonts w:hint="eastAsia" w:ascii="宋体" w:hAnsi="宋体" w:eastAsia="仿宋_GB2312" w:cs="仿宋_GB2312"/>
          <w:b w:val="0"/>
          <w:bCs w:val="0"/>
          <w:sz w:val="32"/>
          <w:szCs w:val="32"/>
          <w:lang w:eastAsia="zh-CN"/>
        </w:rPr>
        <w:t>违法</w:t>
      </w:r>
      <w:r>
        <w:rPr>
          <w:rFonts w:hint="eastAsia" w:ascii="宋体" w:hAnsi="宋体" w:eastAsia="仿宋_GB2312" w:cs="仿宋_GB2312"/>
          <w:b w:val="0"/>
          <w:bCs w:val="0"/>
          <w:sz w:val="32"/>
          <w:szCs w:val="32"/>
        </w:rPr>
        <w:t>要求申请人接受中介服务。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行政许可前置环节确需技术审查、评估、鉴证、公证、信用评级、咨询等有偿中介服务的，应当向社会公开，并不得指定或者变相指定中介服务机构。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市场监管部门应当在职责范围内加强对中介服务机构的监管。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w:t>
      </w:r>
      <w:r>
        <w:rPr>
          <w:rFonts w:hint="eastAsia" w:ascii="宋体" w:hAnsi="宋体" w:eastAsia="仿宋_GB2312" w:cs="仿宋_GB2312"/>
          <w:b w:val="0"/>
          <w:bCs w:val="0"/>
          <w:i w:val="0"/>
          <w:iCs w:val="0"/>
          <w:sz w:val="32"/>
          <w:szCs w:val="32"/>
          <w:u w:val="none" w:color="auto"/>
          <w:lang w:eastAsia="zh-CN"/>
        </w:rPr>
        <w:t>维护</w:t>
      </w:r>
      <w:r>
        <w:rPr>
          <w:rFonts w:hint="eastAsia" w:ascii="宋体" w:hAnsi="宋体" w:eastAsia="仿宋_GB2312" w:cs="仿宋_GB2312"/>
          <w:b w:val="0"/>
          <w:bCs w:val="0"/>
          <w:sz w:val="32"/>
          <w:szCs w:val="32"/>
          <w:lang w:eastAsia="zh-CN"/>
        </w:rPr>
        <w:t>市场统一和公平竞争规则，</w:t>
      </w:r>
      <w:r>
        <w:rPr>
          <w:rFonts w:hint="eastAsia" w:ascii="宋体" w:hAnsi="宋体" w:eastAsia="仿宋_GB2312" w:cs="仿宋_GB2312"/>
          <w:b w:val="0"/>
          <w:bCs w:val="0"/>
          <w:i w:val="0"/>
          <w:iCs w:val="0"/>
          <w:sz w:val="32"/>
          <w:szCs w:val="32"/>
          <w:u w:val="none" w:color="auto"/>
        </w:rPr>
        <w:t>清理和废除妨碍</w:t>
      </w:r>
      <w:r>
        <w:rPr>
          <w:rFonts w:hint="eastAsia" w:ascii="宋体" w:hAnsi="宋体" w:eastAsia="仿宋_GB2312" w:cs="仿宋_GB2312"/>
          <w:b w:val="0"/>
          <w:bCs w:val="0"/>
          <w:i w:val="0"/>
          <w:iCs w:val="0"/>
          <w:sz w:val="32"/>
          <w:szCs w:val="32"/>
          <w:u w:val="none" w:color="auto"/>
          <w:lang w:eastAsia="zh-CN"/>
        </w:rPr>
        <w:t>市场</w:t>
      </w:r>
      <w:r>
        <w:rPr>
          <w:rFonts w:hint="eastAsia" w:ascii="宋体" w:hAnsi="宋体" w:eastAsia="仿宋_GB2312" w:cs="仿宋_GB2312"/>
          <w:b w:val="0"/>
          <w:bCs w:val="0"/>
          <w:i w:val="0"/>
          <w:iCs w:val="0"/>
          <w:sz w:val="32"/>
          <w:szCs w:val="32"/>
          <w:u w:val="none" w:color="auto"/>
        </w:rPr>
        <w:t>统一和公平竞争的规定和做法，</w:t>
      </w:r>
      <w:r>
        <w:rPr>
          <w:rFonts w:hint="eastAsia" w:ascii="宋体" w:hAnsi="宋体" w:eastAsia="仿宋_GB2312" w:cs="仿宋_GB2312"/>
          <w:b w:val="0"/>
          <w:bCs w:val="0"/>
          <w:sz w:val="32"/>
          <w:szCs w:val="32"/>
        </w:rPr>
        <w:t>不得限制、妨碍不同地区、不同行业市场主体之间的公平竞争，不得限制、妨碍其他地区的商品或者服务进入本地市场。</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第二十一条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sz w:val="32"/>
          <w:szCs w:val="32"/>
          <w:lang w:eastAsia="zh-CN"/>
        </w:rPr>
        <w:t>及其</w:t>
      </w:r>
      <w:r>
        <w:rPr>
          <w:rFonts w:hint="eastAsia" w:ascii="宋体" w:hAnsi="宋体" w:eastAsia="仿宋_GB2312" w:cs="仿宋_GB2312"/>
          <w:b w:val="0"/>
          <w:bCs w:val="0"/>
          <w:sz w:val="32"/>
          <w:szCs w:val="32"/>
        </w:rPr>
        <w:t>市场监管部门</w:t>
      </w:r>
      <w:r>
        <w:rPr>
          <w:rFonts w:hint="eastAsia" w:ascii="宋体" w:hAnsi="宋体" w:eastAsia="仿宋_GB2312" w:cs="仿宋_GB2312"/>
          <w:b w:val="0"/>
          <w:bCs w:val="0"/>
          <w:sz w:val="32"/>
          <w:szCs w:val="32"/>
          <w:lang w:eastAsia="zh-CN"/>
        </w:rPr>
        <w:t>对</w:t>
      </w:r>
      <w:r>
        <w:rPr>
          <w:rFonts w:hint="eastAsia" w:ascii="宋体" w:hAnsi="宋体" w:eastAsia="仿宋_GB2312" w:cs="仿宋_GB2312"/>
          <w:b w:val="0"/>
          <w:bCs w:val="0"/>
          <w:sz w:val="32"/>
          <w:szCs w:val="32"/>
        </w:rPr>
        <w:t>违反市场监管法律、法规禁止性规定或者</w:t>
      </w:r>
      <w:r>
        <w:rPr>
          <w:rFonts w:hint="eastAsia" w:ascii="宋体" w:hAnsi="宋体" w:eastAsia="仿宋_GB2312" w:cs="仿宋_GB2312"/>
          <w:b w:val="0"/>
          <w:bCs w:val="0"/>
          <w:i w:val="0"/>
          <w:iCs w:val="0"/>
          <w:sz w:val="32"/>
          <w:szCs w:val="32"/>
          <w:u w:val="none" w:color="auto"/>
          <w:lang w:eastAsia="zh-CN"/>
        </w:rPr>
        <w:t>不符合</w:t>
      </w:r>
      <w:r>
        <w:rPr>
          <w:rFonts w:hint="eastAsia" w:ascii="宋体" w:hAnsi="宋体" w:eastAsia="仿宋_GB2312" w:cs="仿宋_GB2312"/>
          <w:b w:val="0"/>
          <w:bCs w:val="0"/>
          <w:sz w:val="32"/>
          <w:szCs w:val="32"/>
        </w:rPr>
        <w:t>强制性标准要求的</w:t>
      </w:r>
      <w:r>
        <w:rPr>
          <w:rFonts w:hint="eastAsia" w:ascii="宋体" w:hAnsi="宋体" w:eastAsia="仿宋_GB2312" w:cs="仿宋_GB2312"/>
          <w:b w:val="0"/>
          <w:bCs w:val="0"/>
          <w:sz w:val="32"/>
          <w:szCs w:val="32"/>
          <w:lang w:eastAsia="zh-CN"/>
        </w:rPr>
        <w:t>市场主体</w:t>
      </w:r>
      <w:r>
        <w:rPr>
          <w:rFonts w:hint="eastAsia" w:ascii="宋体" w:hAnsi="宋体" w:eastAsia="仿宋_GB2312" w:cs="仿宋_GB2312"/>
          <w:b w:val="0"/>
          <w:bCs w:val="0"/>
          <w:sz w:val="32"/>
          <w:szCs w:val="32"/>
        </w:rPr>
        <w:t>，应当依法对其采取责令停产停业、吊销相关证照等市场退出措施。</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第四章　后续监管</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eastAsia="zh-CN"/>
        </w:rPr>
      </w:pPr>
      <w:r>
        <w:rPr>
          <w:rFonts w:hint="eastAsia" w:ascii="宋体" w:hAnsi="宋体" w:eastAsia="黑体" w:cs="黑体"/>
          <w:b w:val="0"/>
          <w:bCs w:val="0"/>
          <w:sz w:val="32"/>
          <w:szCs w:val="32"/>
          <w:lang w:val="en-US" w:eastAsia="zh-CN"/>
        </w:rPr>
        <w:t>第一节  一般监管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　第二十二条  </w:t>
      </w:r>
      <w:r>
        <w:rPr>
          <w:rFonts w:hint="eastAsia" w:ascii="宋体" w:hAnsi="宋体" w:eastAsia="仿宋_GB2312" w:cs="仿宋_GB2312"/>
          <w:b w:val="0"/>
          <w:bCs w:val="0"/>
          <w:sz w:val="32"/>
          <w:szCs w:val="32"/>
        </w:rPr>
        <w:t>各级人民政府应当完善监管程序，落实监管责任，组织和督促所属市场监管部门共同做好市场监管工作。</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第二十三条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市场监管部门应当制定本部门履行监管职责的具体标准和规范，明确监管事项、依据、程序等，并向社会公布。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仿宋" w:cs="仿宋"/>
          <w:b w:val="0"/>
          <w:bCs w:val="0"/>
          <w:sz w:val="32"/>
          <w:szCs w:val="32"/>
          <w:lang w:val="en-US" w:eastAsia="zh-CN"/>
        </w:rPr>
        <w:t xml:space="preserve"> </w:t>
      </w:r>
      <w:r>
        <w:rPr>
          <w:rFonts w:hint="eastAsia" w:ascii="宋体" w:hAnsi="宋体" w:eastAsia="黑体" w:cs="黑体"/>
          <w:b w:val="0"/>
          <w:bCs w:val="0"/>
          <w:sz w:val="32"/>
          <w:szCs w:val="32"/>
          <w:lang w:val="en-US" w:eastAsia="zh-CN"/>
        </w:rPr>
        <w:t xml:space="preserve"> </w:t>
      </w:r>
      <w:r>
        <w:rPr>
          <w:rFonts w:hint="eastAsia" w:ascii="宋体" w:hAnsi="宋体" w:eastAsia="黑体" w:cs="黑体"/>
          <w:b w:val="0"/>
          <w:bCs w:val="0"/>
          <w:sz w:val="32"/>
          <w:szCs w:val="32"/>
        </w:rPr>
        <w:t>第二十四条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市场监管部门应当建立监管信息交换共享机制，编制监管信息共享目录，运用信息技术，通过数据比对等方式</w:t>
      </w:r>
      <w:r>
        <w:rPr>
          <w:rFonts w:hint="eastAsia" w:ascii="宋体" w:hAnsi="宋体" w:eastAsia="仿宋_GB2312" w:cs="仿宋_GB2312"/>
          <w:b w:val="0"/>
          <w:bCs w:val="0"/>
          <w:i w:val="0"/>
          <w:iCs w:val="0"/>
          <w:sz w:val="32"/>
          <w:szCs w:val="32"/>
          <w:u w:val="none" w:color="auto"/>
          <w:lang w:eastAsia="zh-CN"/>
        </w:rPr>
        <w:t>提高监管效率</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市场监管部门可以通过自动监控系统实施在线监管</w:t>
      </w:r>
      <w:r>
        <w:rPr>
          <w:rFonts w:hint="eastAsia" w:ascii="宋体" w:hAnsi="宋体" w:eastAsia="仿宋_GB2312" w:cs="仿宋_GB2312"/>
          <w:b w:val="0"/>
          <w:bCs w:val="0"/>
          <w:sz w:val="32"/>
          <w:szCs w:val="32"/>
          <w:lang w:eastAsia="zh-CN"/>
        </w:rPr>
        <w:t>，并可以</w:t>
      </w:r>
      <w:r>
        <w:rPr>
          <w:rFonts w:hint="eastAsia" w:ascii="宋体" w:hAnsi="宋体" w:eastAsia="仿宋_GB2312" w:cs="仿宋_GB2312"/>
          <w:b w:val="0"/>
          <w:bCs w:val="0"/>
          <w:sz w:val="32"/>
          <w:szCs w:val="32"/>
        </w:rPr>
        <w:t>运用移动执法、电子案卷等信息网络技术，提高监管效能。</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县级以上人民政府应当按照</w:t>
      </w:r>
      <w:r>
        <w:rPr>
          <w:rFonts w:hint="eastAsia" w:ascii="宋体" w:hAnsi="宋体" w:eastAsia="仿宋_GB2312" w:cs="仿宋_GB2312"/>
          <w:b w:val="0"/>
          <w:bCs w:val="0"/>
          <w:sz w:val="32"/>
          <w:szCs w:val="32"/>
          <w:lang w:eastAsia="zh-CN"/>
        </w:rPr>
        <w:t>全</w:t>
      </w:r>
      <w:r>
        <w:rPr>
          <w:rFonts w:hint="eastAsia" w:ascii="宋体" w:hAnsi="宋体" w:eastAsia="仿宋_GB2312" w:cs="仿宋_GB2312"/>
          <w:b w:val="0"/>
          <w:bCs w:val="0"/>
          <w:sz w:val="32"/>
          <w:szCs w:val="32"/>
        </w:rPr>
        <w:t>省统一的数据标准、依托电子政务公共基础设施建设市场监管信息平台，实现各级人民政府之间和部门之间市场监管信息的交换共享，并与社会信用信息</w:t>
      </w:r>
      <w:r>
        <w:rPr>
          <w:rFonts w:hint="eastAsia" w:ascii="宋体" w:hAnsi="宋体" w:eastAsia="仿宋_GB2312" w:cs="仿宋_GB2312"/>
          <w:b w:val="0"/>
          <w:bCs w:val="0"/>
          <w:i w:val="0"/>
          <w:iCs w:val="0"/>
          <w:sz w:val="32"/>
          <w:szCs w:val="32"/>
          <w:u w:val="none" w:color="auto"/>
          <w:lang w:eastAsia="zh-CN"/>
        </w:rPr>
        <w:t>等</w:t>
      </w:r>
      <w:r>
        <w:rPr>
          <w:rFonts w:hint="eastAsia" w:ascii="宋体" w:hAnsi="宋体" w:eastAsia="仿宋_GB2312" w:cs="仿宋_GB2312"/>
          <w:b w:val="0"/>
          <w:bCs w:val="0"/>
          <w:sz w:val="32"/>
          <w:szCs w:val="32"/>
        </w:rPr>
        <w:t>平台互联互通。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在市场监管信息产生、更新之日起二十个工作日内，将市场主体的行政许可、备案、行政处罚、行政强制、表彰奖励等监管信息通过政务信息共享平台，归集到市场监管信息平台，并对其提供的信息的真实性负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市场监管部门应当制定年度监督检查计划，依法对市场主体实施监督检查。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市场监管部门实施监督检查，应当制作监督检查记录，如实记载监督检查情况和处理结果等内容。</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第二十八条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市场监管部门可以采取下列方式实施日常监督检查：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（一）随机抽取市场主体和随机选派监督检查人员，通过书面检查、实地检查、网络监测等方式进行检查；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xml:space="preserve">    （二）根据监管需要，对特定领域、行业、事项进行专项检查；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（三）对可能危及人体健康和人身财产安全、影响国计民生的重要产品、商品进行抽样检验检测；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（四）对投诉举报、上级交办、部门移交、媒体报道的线索和检验检测发现的问题进行核查；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（五）法律、法规规定的其他方式。</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第二十九条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市场监管部门实施监督检查时，可以依法行使下列职权：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（一）询问有关人员，要求其提供有关材料；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（二）查阅、复制、登记保存有关的合同、原始记录、销售凭证、账簿、电子文档等资料；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（三）检查有关的财物、场所，查封、扣押涉嫌违法经营的物品；</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（四）法律、法规规定的其他职权。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lang w:eastAsia="zh-CN"/>
        </w:rPr>
        <w:t>市场监管部门实施监督检查时，对于</w:t>
      </w:r>
      <w:r>
        <w:rPr>
          <w:rFonts w:hint="eastAsia" w:ascii="宋体" w:hAnsi="宋体" w:eastAsia="仿宋_GB2312" w:cs="仿宋_GB2312"/>
          <w:b w:val="0"/>
          <w:bCs w:val="0"/>
          <w:sz w:val="32"/>
          <w:szCs w:val="32"/>
        </w:rPr>
        <w:t>涉及商业秘密或者个人隐私的</w:t>
      </w:r>
      <w:r>
        <w:rPr>
          <w:rFonts w:hint="eastAsia" w:ascii="宋体" w:hAnsi="宋体" w:eastAsia="仿宋_GB2312" w:cs="仿宋_GB2312"/>
          <w:b w:val="0"/>
          <w:bCs w:val="0"/>
          <w:sz w:val="32"/>
          <w:szCs w:val="32"/>
          <w:lang w:eastAsia="zh-CN"/>
        </w:rPr>
        <w:t>信息</w:t>
      </w:r>
      <w:r>
        <w:rPr>
          <w:rFonts w:hint="eastAsia" w:ascii="宋体" w:hAnsi="宋体" w:eastAsia="仿宋_GB2312" w:cs="仿宋_GB2312"/>
          <w:b w:val="0"/>
          <w:bCs w:val="0"/>
          <w:sz w:val="32"/>
          <w:szCs w:val="32"/>
        </w:rPr>
        <w:t>，应当</w:t>
      </w:r>
      <w:r>
        <w:rPr>
          <w:rFonts w:hint="eastAsia" w:ascii="宋体" w:hAnsi="宋体" w:eastAsia="仿宋_GB2312" w:cs="仿宋_GB2312"/>
          <w:b w:val="0"/>
          <w:bCs w:val="0"/>
          <w:sz w:val="32"/>
          <w:szCs w:val="32"/>
          <w:lang w:eastAsia="zh-CN"/>
        </w:rPr>
        <w:t>保密</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第三十条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市场监管部门应当规范行政执法行为，落实行政执法责任制，完善行政执法监督和责任追究制度，严格实行行政执法人员持证上岗和资格考核、管理制度。</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市场监管部门应当建立行政执法自由裁量基准制度，细化、量化行政执法裁量标准，严格限定和合理规范裁量权的行使。</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市场监管部门应当加强执法台账、执法文书管理，完善登记</w:t>
      </w:r>
      <w:r>
        <w:rPr>
          <w:rFonts w:hint="eastAsia" w:ascii="宋体" w:hAnsi="宋体" w:eastAsia="仿宋_GB2312" w:cs="仿宋_GB2312"/>
          <w:b w:val="0"/>
          <w:bCs w:val="0"/>
          <w:spacing w:val="-6"/>
          <w:sz w:val="32"/>
          <w:szCs w:val="32"/>
        </w:rPr>
        <w:t>立案、监督检查、调查取证、行政决定等行政执法全过程记录制度。</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市场监管部门对情节轻微并及时纠正、没有造成危害后果的违法行为依法不予行政处罚</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，可以采用提醒、约谈、告诫等</w:t>
      </w:r>
      <w:r>
        <w:rPr>
          <w:rFonts w:hint="eastAsia" w:ascii="宋体" w:hAnsi="宋体" w:eastAsia="仿宋_GB2312" w:cs="仿宋_GB2312"/>
          <w:b w:val="0"/>
          <w:bCs w:val="0"/>
          <w:i w:val="0"/>
          <w:iCs w:val="0"/>
          <w:sz w:val="32"/>
          <w:szCs w:val="32"/>
          <w:u w:val="none" w:color="auto"/>
          <w:lang w:eastAsia="zh-CN"/>
        </w:rPr>
        <w:t>方式</w:t>
      </w:r>
      <w:r>
        <w:rPr>
          <w:rFonts w:hint="eastAsia" w:ascii="宋体" w:hAnsi="宋体" w:eastAsia="仿宋_GB2312" w:cs="仿宋_GB2312"/>
          <w:b w:val="0"/>
          <w:bCs w:val="0"/>
          <w:sz w:val="32"/>
          <w:szCs w:val="32"/>
        </w:rPr>
        <w:t>实施监管。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市场监管部门应当加强对网络交易平台、网络商品和服务经营者以及其他网络交易服务机构的监管，建立网络交易信用档案</w:t>
      </w:r>
      <w:r>
        <w:rPr>
          <w:rFonts w:hint="eastAsia" w:ascii="宋体" w:hAnsi="宋体" w:eastAsia="仿宋_GB2312" w:cs="仿宋_GB2312"/>
          <w:b w:val="0"/>
          <w:bCs w:val="0"/>
          <w:sz w:val="32"/>
          <w:szCs w:val="32"/>
          <w:lang w:eastAsia="zh-CN"/>
        </w:rPr>
        <w:t>，督促落实网络商品和服务经营者实名登记和身份核实制度，</w:t>
      </w:r>
      <w:r>
        <w:rPr>
          <w:rFonts w:hint="eastAsia" w:ascii="宋体" w:hAnsi="宋体" w:eastAsia="仿宋_GB2312" w:cs="仿宋_GB2312"/>
          <w:b w:val="0"/>
          <w:bCs w:val="0"/>
          <w:sz w:val="32"/>
          <w:szCs w:val="32"/>
        </w:rPr>
        <w:t>依法查处网络交易中的违法行为。</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sz w:val="32"/>
          <w:szCs w:val="32"/>
        </w:rPr>
        <w:t>网络交易平台</w:t>
      </w:r>
      <w:r>
        <w:rPr>
          <w:rFonts w:hint="eastAsia" w:ascii="宋体" w:hAnsi="宋体" w:eastAsia="仿宋_GB2312" w:cs="仿宋_GB2312"/>
          <w:b w:val="0"/>
          <w:bCs w:val="0"/>
          <w:sz w:val="32"/>
          <w:szCs w:val="32"/>
          <w:lang w:eastAsia="zh-CN"/>
        </w:rPr>
        <w:t>应当实行</w:t>
      </w:r>
      <w:r>
        <w:rPr>
          <w:rFonts w:hint="eastAsia" w:ascii="宋体" w:hAnsi="宋体" w:eastAsia="仿宋_GB2312" w:cs="仿宋_GB2312"/>
          <w:b w:val="0"/>
          <w:bCs w:val="0"/>
          <w:sz w:val="32"/>
          <w:szCs w:val="32"/>
        </w:rPr>
        <w:t>网络商品和服务经营者实名登记和身份核实制度</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sz w:val="32"/>
          <w:szCs w:val="32"/>
        </w:rPr>
        <w:t>建立信用评价</w:t>
      </w:r>
      <w:r>
        <w:rPr>
          <w:rFonts w:hint="eastAsia" w:ascii="宋体" w:hAnsi="宋体" w:eastAsia="仿宋_GB2312" w:cs="仿宋_GB2312"/>
          <w:b w:val="0"/>
          <w:bCs w:val="0"/>
          <w:sz w:val="32"/>
          <w:szCs w:val="32"/>
          <w:lang w:eastAsia="zh-CN"/>
        </w:rPr>
        <w:t>体系、信用披露制度，为网络</w:t>
      </w:r>
      <w:r>
        <w:rPr>
          <w:rFonts w:hint="eastAsia" w:ascii="宋体" w:hAnsi="宋体" w:eastAsia="仿宋_GB2312" w:cs="仿宋_GB2312"/>
          <w:b w:val="0"/>
          <w:bCs w:val="0"/>
          <w:sz w:val="32"/>
          <w:szCs w:val="32"/>
        </w:rPr>
        <w:t>交易</w:t>
      </w:r>
      <w:r>
        <w:rPr>
          <w:rFonts w:hint="eastAsia" w:ascii="宋体" w:hAnsi="宋体" w:eastAsia="仿宋_GB2312" w:cs="仿宋_GB2312"/>
          <w:b w:val="0"/>
          <w:bCs w:val="0"/>
          <w:sz w:val="32"/>
          <w:szCs w:val="32"/>
          <w:lang w:eastAsia="zh-CN"/>
        </w:rPr>
        <w:t>当</w:t>
      </w:r>
      <w:r>
        <w:rPr>
          <w:rFonts w:hint="eastAsia" w:ascii="宋体" w:hAnsi="宋体" w:eastAsia="仿宋_GB2312" w:cs="仿宋_GB2312"/>
          <w:b w:val="0"/>
          <w:bCs w:val="0"/>
          <w:spacing w:val="-6"/>
          <w:sz w:val="32"/>
          <w:szCs w:val="32"/>
          <w:lang w:eastAsia="zh-CN"/>
        </w:rPr>
        <w:t>事人</w:t>
      </w:r>
      <w:r>
        <w:rPr>
          <w:rFonts w:hint="eastAsia" w:ascii="宋体" w:hAnsi="宋体" w:eastAsia="仿宋_GB2312" w:cs="仿宋_GB2312"/>
          <w:b w:val="0"/>
          <w:bCs w:val="0"/>
          <w:spacing w:val="-6"/>
          <w:sz w:val="32"/>
          <w:szCs w:val="32"/>
        </w:rPr>
        <w:t>提供</w:t>
      </w:r>
      <w:r>
        <w:rPr>
          <w:rFonts w:hint="eastAsia" w:ascii="宋体" w:hAnsi="宋体" w:eastAsia="仿宋_GB2312" w:cs="仿宋_GB2312"/>
          <w:b w:val="0"/>
          <w:bCs w:val="0"/>
          <w:spacing w:val="-6"/>
          <w:sz w:val="32"/>
          <w:szCs w:val="32"/>
          <w:lang w:eastAsia="zh-CN"/>
        </w:rPr>
        <w:t>公平、公正的</w:t>
      </w:r>
      <w:r>
        <w:rPr>
          <w:rFonts w:hint="eastAsia" w:ascii="宋体" w:hAnsi="宋体" w:eastAsia="仿宋_GB2312" w:cs="仿宋_GB2312"/>
          <w:b w:val="0"/>
          <w:bCs w:val="0"/>
          <w:spacing w:val="-6"/>
          <w:sz w:val="32"/>
          <w:szCs w:val="32"/>
        </w:rPr>
        <w:t>信用评价服务，采取措施保障网络交易安全</w:t>
      </w:r>
      <w:r>
        <w:rPr>
          <w:rFonts w:hint="eastAsia" w:ascii="宋体" w:hAnsi="宋体" w:eastAsia="仿宋_GB2312" w:cs="仿宋_GB2312"/>
          <w:b w:val="0"/>
          <w:bCs w:val="0"/>
          <w:spacing w:val="-6"/>
          <w:sz w:val="32"/>
          <w:szCs w:val="32"/>
          <w:lang w:eastAsia="zh-CN"/>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lang w:eastAsia="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第二节  协同监管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lang w:eastAsia="zh-CN"/>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各级人民政府应当推进综合执法，两个以上市场监管部门</w:t>
      </w:r>
      <w:r>
        <w:rPr>
          <w:rFonts w:hint="eastAsia" w:ascii="宋体" w:hAnsi="宋体" w:eastAsia="仿宋_GB2312" w:cs="仿宋_GB2312"/>
          <w:b w:val="0"/>
          <w:bCs w:val="0"/>
          <w:sz w:val="32"/>
          <w:szCs w:val="32"/>
          <w:lang w:eastAsia="zh-CN"/>
        </w:rPr>
        <w:t>对同一市场违法行为都</w:t>
      </w:r>
      <w:r>
        <w:rPr>
          <w:rFonts w:hint="eastAsia" w:ascii="宋体" w:hAnsi="宋体" w:eastAsia="仿宋_GB2312" w:cs="仿宋_GB2312"/>
          <w:b w:val="0"/>
          <w:bCs w:val="0"/>
          <w:sz w:val="32"/>
          <w:szCs w:val="32"/>
        </w:rPr>
        <w:t>有监管职权的，</w:t>
      </w:r>
      <w:r>
        <w:rPr>
          <w:rFonts w:hint="eastAsia" w:ascii="宋体" w:hAnsi="宋体" w:eastAsia="仿宋_GB2312" w:cs="仿宋_GB2312"/>
          <w:b w:val="0"/>
          <w:bCs w:val="0"/>
          <w:sz w:val="32"/>
          <w:szCs w:val="32"/>
          <w:lang w:eastAsia="zh-CN"/>
        </w:rPr>
        <w:t>应当</w:t>
      </w:r>
      <w:r>
        <w:rPr>
          <w:rFonts w:hint="eastAsia" w:ascii="宋体" w:hAnsi="宋体" w:eastAsia="仿宋_GB2312" w:cs="仿宋_GB2312"/>
          <w:b w:val="0"/>
          <w:bCs w:val="0"/>
          <w:sz w:val="32"/>
          <w:szCs w:val="32"/>
        </w:rPr>
        <w:t>依照法定程序调整为一个部门执法。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市场监管部门应当建立层级之间的执法联动机制。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上级部门应当依法监督和指导下级部门的市场监管工作，指挥重大执法活动，查处或者协调查处跨地区的重大案件，及时移送属于下级部门监管的案件或者违法行为</w:t>
      </w:r>
      <w:r>
        <w:rPr>
          <w:rFonts w:hint="eastAsia" w:ascii="宋体" w:hAnsi="宋体" w:eastAsia="仿宋_GB2312" w:cs="仿宋_GB2312"/>
          <w:b w:val="0"/>
          <w:bCs w:val="0"/>
          <w:sz w:val="32"/>
          <w:szCs w:val="32"/>
          <w:lang w:eastAsia="zh-CN"/>
        </w:rPr>
        <w:t>线索</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下级部门应当接受上级部门的监督和指导，完成上级部门部署的重大执法任务，查处或者协助查处涉及本地区的重大案件。对上级部门移送的案件或者违法行为线索应当及时调查处理，并在规定时限内回复处理结果。</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lang w:eastAsia="zh-CN"/>
        </w:rPr>
        <w:t>不同的</w:t>
      </w:r>
      <w:r>
        <w:rPr>
          <w:rFonts w:hint="eastAsia" w:ascii="宋体" w:hAnsi="宋体" w:eastAsia="仿宋_GB2312" w:cs="仿宋_GB2312"/>
          <w:b w:val="0"/>
          <w:bCs w:val="0"/>
          <w:sz w:val="32"/>
          <w:szCs w:val="32"/>
        </w:rPr>
        <w:t>市场监管部门在履行监管职责过程中，可以开展联合执法。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联合执法的</w:t>
      </w:r>
      <w:r>
        <w:rPr>
          <w:rFonts w:hint="eastAsia" w:ascii="宋体" w:hAnsi="宋体" w:eastAsia="仿宋_GB2312" w:cs="仿宋_GB2312"/>
          <w:b w:val="0"/>
          <w:bCs w:val="0"/>
          <w:sz w:val="32"/>
          <w:szCs w:val="32"/>
          <w:lang w:eastAsia="zh-CN"/>
        </w:rPr>
        <w:t>牵头部门为</w:t>
      </w:r>
      <w:r>
        <w:rPr>
          <w:rFonts w:hint="eastAsia" w:ascii="宋体" w:hAnsi="宋体" w:eastAsia="仿宋_GB2312" w:cs="仿宋_GB2312"/>
          <w:b w:val="0"/>
          <w:bCs w:val="0"/>
          <w:sz w:val="32"/>
          <w:szCs w:val="32"/>
        </w:rPr>
        <w:t>发起部门或者承担主要监管职责的部门，负责联合执法的组织、协调工作。其他市场监管部门应当在职责范围内参与联合执法。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对联合执法有争议的，牵头部门可以提请同级人民政府协调处理。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参与</w:t>
      </w:r>
      <w:r>
        <w:rPr>
          <w:rFonts w:hint="eastAsia" w:ascii="宋体" w:hAnsi="宋体" w:eastAsia="仿宋_GB2312" w:cs="仿宋_GB2312"/>
          <w:b w:val="0"/>
          <w:bCs w:val="0"/>
          <w:sz w:val="32"/>
          <w:szCs w:val="32"/>
        </w:rPr>
        <w:t>联合执法</w:t>
      </w:r>
      <w:r>
        <w:rPr>
          <w:rFonts w:hint="eastAsia" w:ascii="宋体" w:hAnsi="宋体" w:eastAsia="仿宋_GB2312" w:cs="仿宋_GB2312"/>
          <w:b w:val="0"/>
          <w:bCs w:val="0"/>
          <w:sz w:val="32"/>
          <w:szCs w:val="32"/>
          <w:lang w:eastAsia="zh-CN"/>
        </w:rPr>
        <w:t>的各</w:t>
      </w:r>
      <w:r>
        <w:rPr>
          <w:rFonts w:hint="eastAsia" w:ascii="宋体" w:hAnsi="宋体" w:eastAsia="仿宋_GB2312" w:cs="仿宋_GB2312"/>
          <w:b w:val="0"/>
          <w:bCs w:val="0"/>
          <w:sz w:val="32"/>
          <w:szCs w:val="32"/>
        </w:rPr>
        <w:t>部门分别对各自的执法行为承担法律责任。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市场监管部门对违法行为线索应当依法进行核查，属于本部门管辖的，应当依法</w:t>
      </w:r>
      <w:r>
        <w:rPr>
          <w:rFonts w:hint="eastAsia" w:ascii="宋体" w:hAnsi="宋体" w:eastAsia="仿宋_GB2312" w:cs="仿宋_GB2312"/>
          <w:b w:val="0"/>
          <w:bCs w:val="0"/>
          <w:sz w:val="32"/>
          <w:szCs w:val="32"/>
          <w:lang w:eastAsia="zh-CN"/>
        </w:rPr>
        <w:t>及时</w:t>
      </w:r>
      <w:r>
        <w:rPr>
          <w:rFonts w:hint="eastAsia" w:ascii="宋体" w:hAnsi="宋体" w:eastAsia="仿宋_GB2312" w:cs="仿宋_GB2312"/>
          <w:b w:val="0"/>
          <w:bCs w:val="0"/>
          <w:sz w:val="32"/>
          <w:szCs w:val="32"/>
        </w:rPr>
        <w:t>作出是否立案的决定；不属于本部门监管职权范围的，应当及时移送有监管职权的市场监管部门。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对前款移送有争议的，由发生争议的市场监管部门</w:t>
      </w:r>
      <w:r>
        <w:rPr>
          <w:rFonts w:hint="eastAsia" w:ascii="宋体" w:hAnsi="宋体" w:eastAsia="仿宋_GB2312" w:cs="仿宋_GB2312"/>
          <w:b w:val="0"/>
          <w:bCs w:val="0"/>
          <w:sz w:val="32"/>
          <w:szCs w:val="32"/>
          <w:lang w:eastAsia="zh-CN"/>
        </w:rPr>
        <w:t>协商确定，协商不成的，由</w:t>
      </w:r>
      <w:r>
        <w:rPr>
          <w:rFonts w:hint="eastAsia" w:ascii="宋体" w:hAnsi="宋体" w:eastAsia="仿宋_GB2312" w:cs="仿宋_GB2312"/>
          <w:b w:val="0"/>
          <w:bCs w:val="0"/>
          <w:sz w:val="32"/>
          <w:szCs w:val="32"/>
        </w:rPr>
        <w:t>共同上一级行政机关</w:t>
      </w:r>
      <w:r>
        <w:rPr>
          <w:rFonts w:hint="eastAsia" w:ascii="宋体" w:hAnsi="宋体" w:eastAsia="仿宋_GB2312" w:cs="仿宋_GB2312"/>
          <w:b w:val="0"/>
          <w:bCs w:val="0"/>
          <w:i w:val="0"/>
          <w:iCs w:val="0"/>
          <w:sz w:val="32"/>
          <w:szCs w:val="32"/>
          <w:u w:val="none" w:color="auto"/>
          <w:lang w:eastAsia="zh-CN"/>
        </w:rPr>
        <w:t>指定</w:t>
      </w:r>
      <w:r>
        <w:rPr>
          <w:rFonts w:hint="eastAsia" w:ascii="宋体" w:hAnsi="宋体" w:eastAsia="仿宋_GB2312" w:cs="仿宋_GB2312"/>
          <w:b w:val="0"/>
          <w:bCs w:val="0"/>
          <w:sz w:val="32"/>
          <w:szCs w:val="32"/>
        </w:rPr>
        <w:t>监管部门。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第三十七条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市场监管部门在履行监管职责过程中，需要其他市场监管部门协助的，应当以书面形式提出。其他市场监管部门应当依法予以协助。</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第三十八条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市场监管部门依法取得的检验检测报告、鉴定</w:t>
      </w:r>
      <w:r>
        <w:rPr>
          <w:rFonts w:hint="eastAsia" w:ascii="宋体" w:hAnsi="宋体" w:eastAsia="仿宋_GB2312" w:cs="仿宋_GB2312"/>
          <w:b w:val="0"/>
          <w:bCs w:val="0"/>
          <w:sz w:val="32"/>
          <w:szCs w:val="32"/>
          <w:lang w:eastAsia="zh-CN"/>
        </w:rPr>
        <w:t>意见</w:t>
      </w: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eastAsia="zh-CN"/>
        </w:rPr>
        <w:t>勘验笔录、</w:t>
      </w:r>
      <w:r>
        <w:rPr>
          <w:rFonts w:hint="eastAsia" w:ascii="宋体" w:hAnsi="宋体" w:eastAsia="仿宋_GB2312" w:cs="仿宋_GB2312"/>
          <w:b w:val="0"/>
          <w:bCs w:val="0"/>
          <w:sz w:val="32"/>
          <w:szCs w:val="32"/>
        </w:rPr>
        <w:t>现场</w:t>
      </w:r>
      <w:r>
        <w:rPr>
          <w:rFonts w:hint="eastAsia" w:ascii="宋体" w:hAnsi="宋体" w:eastAsia="仿宋_GB2312" w:cs="仿宋_GB2312"/>
          <w:b w:val="0"/>
          <w:bCs w:val="0"/>
          <w:sz w:val="32"/>
          <w:szCs w:val="32"/>
          <w:lang w:eastAsia="zh-CN"/>
        </w:rPr>
        <w:t>笔录</w:t>
      </w:r>
      <w:r>
        <w:rPr>
          <w:rFonts w:hint="eastAsia" w:ascii="宋体" w:hAnsi="宋体" w:eastAsia="仿宋_GB2312" w:cs="仿宋_GB2312"/>
          <w:b w:val="0"/>
          <w:bCs w:val="0"/>
          <w:sz w:val="32"/>
          <w:szCs w:val="32"/>
        </w:rPr>
        <w:t>，其他市场监管部门</w:t>
      </w:r>
      <w:r>
        <w:rPr>
          <w:rFonts w:hint="eastAsia" w:ascii="宋体" w:hAnsi="宋体" w:eastAsia="仿宋_GB2312" w:cs="仿宋_GB2312"/>
          <w:b w:val="0"/>
          <w:bCs w:val="0"/>
          <w:i w:val="0"/>
          <w:iCs w:val="0"/>
          <w:sz w:val="32"/>
          <w:szCs w:val="32"/>
          <w:u w:val="none" w:color="auto"/>
        </w:rPr>
        <w:t>可以</w:t>
      </w:r>
      <w:r>
        <w:rPr>
          <w:rFonts w:hint="eastAsia" w:ascii="宋体" w:hAnsi="宋体" w:eastAsia="仿宋_GB2312" w:cs="仿宋_GB2312"/>
          <w:b w:val="0"/>
          <w:bCs w:val="0"/>
          <w:i w:val="0"/>
          <w:iCs w:val="0"/>
          <w:sz w:val="32"/>
          <w:szCs w:val="32"/>
          <w:u w:val="none" w:color="auto"/>
          <w:lang w:eastAsia="zh-CN"/>
        </w:rPr>
        <w:t>调用</w:t>
      </w:r>
      <w:r>
        <w:rPr>
          <w:rFonts w:hint="eastAsia" w:ascii="宋体" w:hAnsi="宋体" w:eastAsia="仿宋_GB2312" w:cs="仿宋_GB2312"/>
          <w:b w:val="0"/>
          <w:bCs w:val="0"/>
          <w:sz w:val="32"/>
          <w:szCs w:val="32"/>
        </w:rPr>
        <w:t xml:space="preserve">。 </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 w:cs="仿宋"/>
          <w:b w:val="0"/>
          <w:bCs w:val="0"/>
          <w:sz w:val="32"/>
          <w:szCs w:val="32"/>
        </w:rPr>
      </w:pPr>
      <w:r>
        <w:rPr>
          <w:rFonts w:hint="eastAsia" w:ascii="宋体" w:hAnsi="宋体" w:eastAsia="仿宋_GB2312" w:cs="仿宋_GB2312"/>
          <w:b w:val="0"/>
          <w:bCs w:val="0"/>
          <w:sz w:val="32"/>
          <w:szCs w:val="32"/>
        </w:rPr>
        <w:t>不同市场监管部门的行政执法人员在联合执法中共同依法取得的证据，</w:t>
      </w:r>
      <w:r>
        <w:rPr>
          <w:rFonts w:hint="eastAsia" w:ascii="宋体" w:hAnsi="宋体" w:eastAsia="仿宋_GB2312" w:cs="仿宋_GB2312"/>
          <w:b w:val="0"/>
          <w:bCs w:val="0"/>
          <w:i w:val="0"/>
          <w:iCs w:val="0"/>
          <w:sz w:val="32"/>
          <w:szCs w:val="32"/>
          <w:u w:val="none" w:color="auto"/>
          <w:lang w:eastAsia="zh-CN"/>
        </w:rPr>
        <w:t>可以</w:t>
      </w:r>
      <w:r>
        <w:rPr>
          <w:rFonts w:hint="eastAsia" w:ascii="宋体" w:hAnsi="宋体" w:eastAsia="仿宋_GB2312" w:cs="仿宋_GB2312"/>
          <w:b w:val="0"/>
          <w:bCs w:val="0"/>
          <w:sz w:val="32"/>
          <w:szCs w:val="32"/>
        </w:rPr>
        <w:t>作为行政执法证据共同使用。</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第三十九条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市场监管部门应当建立健全涉嫌犯罪案件移送</w:t>
      </w:r>
      <w:r>
        <w:rPr>
          <w:rFonts w:hint="eastAsia" w:ascii="宋体" w:hAnsi="宋体" w:eastAsia="仿宋_GB2312" w:cs="仿宋_GB2312"/>
          <w:b w:val="0"/>
          <w:bCs w:val="0"/>
          <w:sz w:val="32"/>
          <w:szCs w:val="32"/>
          <w:lang w:eastAsia="zh-CN"/>
        </w:rPr>
        <w:t>机制</w:t>
      </w:r>
      <w:r>
        <w:rPr>
          <w:rFonts w:hint="eastAsia" w:ascii="宋体" w:hAnsi="宋体" w:eastAsia="仿宋_GB2312" w:cs="仿宋_GB2312"/>
          <w:b w:val="0"/>
          <w:bCs w:val="0"/>
          <w:sz w:val="32"/>
          <w:szCs w:val="32"/>
        </w:rPr>
        <w:t>，完善涉嫌犯罪案件移送工作信息系统。</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第三节  信用监管</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lang w:val="en-US" w:eastAsia="zh-CN"/>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lang w:val="en-US" w:eastAsia="zh-CN"/>
        </w:rPr>
        <w:t xml:space="preserve">    </w:t>
      </w:r>
      <w:r>
        <w:rPr>
          <w:rFonts w:hint="eastAsia" w:ascii="宋体" w:hAnsi="宋体" w:eastAsia="黑体" w:cs="黑体"/>
          <w:b w:val="0"/>
          <w:bCs w:val="0"/>
          <w:sz w:val="32"/>
          <w:szCs w:val="32"/>
        </w:rPr>
        <w:t>第四十条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各级人民政府</w:t>
      </w:r>
      <w:r>
        <w:rPr>
          <w:rFonts w:hint="eastAsia" w:ascii="宋体" w:hAnsi="宋体" w:eastAsia="仿宋_GB2312" w:cs="仿宋_GB2312"/>
          <w:b w:val="0"/>
          <w:bCs w:val="0"/>
          <w:i w:val="0"/>
          <w:iCs w:val="0"/>
          <w:sz w:val="32"/>
          <w:szCs w:val="32"/>
          <w:u w:val="none" w:color="auto"/>
          <w:lang w:eastAsia="zh-CN"/>
        </w:rPr>
        <w:t>及其</w:t>
      </w:r>
      <w:r>
        <w:rPr>
          <w:rFonts w:hint="eastAsia" w:ascii="宋体" w:hAnsi="宋体" w:eastAsia="仿宋_GB2312" w:cs="仿宋_GB2312"/>
          <w:b w:val="0"/>
          <w:bCs w:val="0"/>
          <w:sz w:val="32"/>
          <w:szCs w:val="32"/>
        </w:rPr>
        <w:t>市场监管部门应当建立信用监管制度，完善市场主体信用信息的采集、记录和交换共享机制，强化信用信息的公开、公示和应用。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信用信息的范围按照法律、法规以及国家和省的有关规定确定。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第四十一条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市场监管部门应当建立市场主体信用承诺制度，将市场主体的信用承诺纳入其信用记录，向社会公开，接受社会监督。</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sz w:val="32"/>
          <w:szCs w:val="32"/>
          <w:lang w:eastAsia="zh-CN"/>
        </w:rPr>
        <w:t>鼓励市场主体在经营场所公开信用承诺。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市场监管部门应当及时、完整、准确、规范记录市场主体信用信息，建立市场主体信用档案。</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市场监管部门应当将市场主体信用记录作为市场监管的重要参考依据。</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市场监管部门应当根据市场主体信用状况，建立市场主体信用分类管理制度，明确分类的标准、程序和相应的监管措施，实行动态管理。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市场监管部门应当建立跨部门联动响应和失信惩戒机制，根据市场主体失信情况，依法采取重点监管、约束、限制措施。</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市场主体信用信息应当及时、统一在市场监管信息平台向社会公示，并向社会公众提供查询服务。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公开市场主体信用信息涉及国家秘密、商业秘密或者个人隐私的，应当符合相关法律、法规的规定。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市场监管部门发现市场主体信用信息存在错误或者遗漏的，应当及时更正或者补充。</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公民、法人和其他组织有证据证明</w:t>
      </w:r>
      <w:r>
        <w:rPr>
          <w:rFonts w:hint="eastAsia" w:ascii="宋体" w:hAnsi="宋体" w:eastAsia="仿宋_GB2312" w:cs="仿宋_GB2312"/>
          <w:b w:val="0"/>
          <w:bCs w:val="0"/>
          <w:i w:val="0"/>
          <w:iCs w:val="0"/>
          <w:sz w:val="32"/>
          <w:szCs w:val="32"/>
          <w:u w:val="none" w:color="auto"/>
          <w:lang w:eastAsia="zh-CN"/>
        </w:rPr>
        <w:t>公开</w:t>
      </w:r>
      <w:r>
        <w:rPr>
          <w:rFonts w:hint="eastAsia" w:ascii="宋体" w:hAnsi="宋体" w:eastAsia="仿宋_GB2312" w:cs="仿宋_GB2312"/>
          <w:b w:val="0"/>
          <w:bCs w:val="0"/>
          <w:sz w:val="32"/>
          <w:szCs w:val="32"/>
        </w:rPr>
        <w:t>的市场主体信用信息存在错误或者遗漏的，有权向市场监管部门提出异议，要求予以更正或者补充。市场监管部门应当自收到异议之日起二十日内核查和处理，将处理结果书面告知异议提出人。经核查，发现信用信息确实存在错误的，应当同时在公示影响范围内做出更正和</w:t>
      </w:r>
      <w:r>
        <w:rPr>
          <w:rFonts w:hint="eastAsia" w:ascii="宋体" w:hAnsi="宋体" w:eastAsia="仿宋_GB2312" w:cs="仿宋_GB2312"/>
          <w:b w:val="0"/>
          <w:bCs w:val="0"/>
          <w:i w:val="0"/>
          <w:iCs w:val="0"/>
          <w:sz w:val="32"/>
          <w:szCs w:val="32"/>
          <w:u w:val="none" w:color="auto"/>
          <w:lang w:eastAsia="zh-CN"/>
        </w:rPr>
        <w:t>补充</w:t>
      </w:r>
      <w:r>
        <w:rPr>
          <w:rFonts w:hint="eastAsia" w:ascii="宋体" w:hAnsi="宋体" w:eastAsia="仿宋_GB2312" w:cs="仿宋_GB2312"/>
          <w:b w:val="0"/>
          <w:bCs w:val="0"/>
          <w:sz w:val="32"/>
          <w:szCs w:val="32"/>
        </w:rPr>
        <w:t>。异议提出人对核查结果仍有异议的，可以依法提起</w:t>
      </w:r>
      <w:r>
        <w:rPr>
          <w:rFonts w:hint="eastAsia" w:ascii="宋体" w:hAnsi="宋体" w:eastAsia="仿宋_GB2312" w:cs="仿宋_GB2312"/>
          <w:b w:val="0"/>
          <w:bCs w:val="0"/>
          <w:sz w:val="32"/>
          <w:szCs w:val="32"/>
          <w:lang w:eastAsia="zh-CN"/>
        </w:rPr>
        <w:t>行政复议或者</w:t>
      </w:r>
      <w:r>
        <w:rPr>
          <w:rFonts w:hint="eastAsia" w:ascii="宋体" w:hAnsi="宋体" w:eastAsia="仿宋_GB2312" w:cs="仿宋_GB2312"/>
          <w:b w:val="0"/>
          <w:bCs w:val="0"/>
          <w:sz w:val="32"/>
          <w:szCs w:val="32"/>
        </w:rPr>
        <w:t>诉讼。</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第四十七条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及其部门在开展财政资金补助、政府采购、政府购买服务、政府投资工程建设招投标等行政管理和服务的过程中，应当查询市场主体信用记录或者要求市场主体提供由具备资质的信用服务机构出具的信用报告。</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各级人民政府及其部门应当明确信用记录、信用报告的主要内容、评价标准和运用规范。</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第四节  风险监管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　　第四十八条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县级以上人民政府及其市场监管部门应当建立风险监管制度，对存在或者可能存在隐患的市场状况进行风险分析和评估，实施风险联动防控，防范区域性、行业性、系统性市场风险。</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第四十九条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县级以上人民政府应当建立统一的风险预警和协调处置机制，加强市场监管部门之间风险信息交换共享；完善市场信息通报、应急处理和救援机制，提高对市场风险事件的预警和处理能力。</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第五十条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市场监管部门应当建立市场风险信息采集、整理、分析、研判和报送制度，并建立统一的风险信息数据库，实现风险信息交换共享。</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市场监管部门应当建立风险信息采集网络，通过投诉举报、检验检测检定、监督检查、媒体报道等途径采集风险信息。</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第五十一条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市场监管部门应当建立市场风险监测制度，识别、验证市场风险。</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市场监管部门应当根据市场风险信息分析结果，制定市场风险监测计划，并将监测情况录入风险信息管理平台。</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仿宋_GB2312" w:cs="仿宋_GB2312"/>
          <w:b w:val="0"/>
          <w:bCs w:val="0"/>
          <w:sz w:val="32"/>
          <w:szCs w:val="32"/>
        </w:rPr>
        <w:t>　市场监管部门对突发的市场风险事件，应当及时组织实施应急专项风险监测。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第五十二条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市场监管部门应当对经监测识别的市场风险进行评估，根据风险发生概率、紧急程度、危害程度和社会影响等确定风险等级，提出风险处置建议。市场风险评估可以委托独立的风险评估机构进行。</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市场监管部门应当建立对高危行业、重点工程、重要商品及生产资料、重点领域的风险评估指标体系。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市场监管部门应当建立市场风险预警和处置制度。根据风险评估结果，按照规定及时、准确向社会发布风险警示，并采取相应风险防范措施。</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第五章  社会监督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任何单位和个人有权向市场监管部门投诉举</w:t>
      </w:r>
      <w:r>
        <w:rPr>
          <w:rFonts w:hint="eastAsia" w:ascii="宋体" w:hAnsi="宋体" w:eastAsia="仿宋_GB2312" w:cs="仿宋_GB2312"/>
          <w:b w:val="0"/>
          <w:bCs w:val="0"/>
          <w:spacing w:val="-9"/>
          <w:sz w:val="32"/>
          <w:szCs w:val="32"/>
        </w:rPr>
        <w:t>报市场违法行为，监督市场监管部门及其工作人员的市场监管行为。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市场监管部门应当建立举报奖励制度，按照规定奖励举报人，并为举报人保密。</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地级以上市人民政府应当按照全省统一的运行规则、数据规范，通过12345投诉举报平台，对</w:t>
      </w:r>
      <w:r>
        <w:rPr>
          <w:rFonts w:hint="eastAsia" w:ascii="宋体" w:hAnsi="宋体" w:eastAsia="仿宋_GB2312" w:cs="仿宋_GB2312"/>
          <w:b w:val="0"/>
          <w:bCs w:val="0"/>
          <w:sz w:val="32"/>
          <w:szCs w:val="32"/>
          <w:lang w:eastAsia="zh-CN"/>
        </w:rPr>
        <w:t>消费投诉、</w:t>
      </w:r>
      <w:r>
        <w:rPr>
          <w:rFonts w:hint="eastAsia" w:ascii="宋体" w:hAnsi="宋体" w:eastAsia="仿宋_GB2312" w:cs="仿宋_GB2312"/>
          <w:b w:val="0"/>
          <w:bCs w:val="0"/>
          <w:sz w:val="32"/>
          <w:szCs w:val="32"/>
        </w:rPr>
        <w:t>市场违法行为举报实现统一接听、按责转办、限时办结、统一督办、统一考核。</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行业组织应当建立健全行业经营自律规范和职业道德准则，规范会员行为，引导会员合法生产经营。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黑体" w:cs="黑体"/>
          <w:b w:val="0"/>
          <w:bCs w:val="0"/>
          <w:sz w:val="32"/>
          <w:szCs w:val="32"/>
        </w:rPr>
        <w:t>第五十七条</w:t>
      </w:r>
      <w:r>
        <w:rPr>
          <w:rFonts w:hint="eastAsia" w:ascii="宋体" w:hAnsi="宋体" w:eastAsia="仿宋_GB2312" w:cs="仿宋_GB2312"/>
          <w:b w:val="0"/>
          <w:bCs w:val="0"/>
          <w:sz w:val="32"/>
          <w:szCs w:val="32"/>
        </w:rPr>
        <w:t xml:space="preserve">  行业组织应当推动行业诚信建设，依法收集、记录和整理会员的信用信息，开展行业信用评价并公开结果，</w:t>
      </w:r>
      <w:r>
        <w:rPr>
          <w:rFonts w:hint="eastAsia" w:ascii="宋体" w:hAnsi="宋体" w:eastAsia="仿宋_GB2312" w:cs="仿宋_GB2312"/>
          <w:b w:val="0"/>
          <w:bCs w:val="0"/>
          <w:i w:val="0"/>
          <w:iCs w:val="0"/>
          <w:sz w:val="32"/>
          <w:szCs w:val="32"/>
          <w:u w:val="none" w:color="auto"/>
          <w:lang w:eastAsia="zh-CN"/>
        </w:rPr>
        <w:t>增强</w:t>
      </w:r>
      <w:r>
        <w:rPr>
          <w:rFonts w:hint="eastAsia" w:ascii="宋体" w:hAnsi="宋体" w:eastAsia="仿宋_GB2312" w:cs="仿宋_GB2312"/>
          <w:b w:val="0"/>
          <w:bCs w:val="0"/>
          <w:sz w:val="32"/>
          <w:szCs w:val="32"/>
        </w:rPr>
        <w:t>会员的诚信意识。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第五十八条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 xml:space="preserve"> 行业组织应当与市场监管部门建立沟通合作机制，配合市场监管部门开展市场监管活动。</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 w:cs="仿宋"/>
          <w:b w:val="0"/>
          <w:bCs w:val="0"/>
          <w:sz w:val="32"/>
          <w:szCs w:val="32"/>
        </w:rPr>
      </w:pPr>
      <w:r>
        <w:rPr>
          <w:rFonts w:hint="eastAsia" w:ascii="宋体" w:hAnsi="宋体" w:eastAsia="仿宋_GB2312" w:cs="仿宋_GB2312"/>
          <w:b w:val="0"/>
          <w:bCs w:val="0"/>
          <w:sz w:val="32"/>
          <w:szCs w:val="32"/>
        </w:rPr>
        <w:t>　　市场监管部门应当主动向行业组织了解行业市场准入、商品和服务质量、竞争行为等有关情况，并协调处理与市场监管有关的问题。</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第五十九条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会计师事务所、税务师事务所、律师事务所、资产评估机构、公证机构等专业服务机构可以依法对市场主体财务、纳税情况、资本验资、资产评估、交易行为等的真实性、合法性进行鉴证。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新闻媒体应当对市场违法行为和市场监管违法行为进行舆论监督。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市场监管部门应当主动接受新闻媒体监督，与新闻媒体建立沟通联络机制，及时调查、处理、回应新闻媒体反映的市场监管问题。</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对社会关注的市场监管问题，市场监管部门应当按照规定及时向新闻媒体和社会公众发布相关信息。</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第六十一条 </w:t>
      </w:r>
      <w:r>
        <w:rPr>
          <w:rFonts w:hint="eastAsia" w:ascii="宋体" w:hAnsi="宋体" w:eastAsia="仿宋_GB2312" w:cs="仿宋_GB2312"/>
          <w:b w:val="0"/>
          <w:bCs w:val="0"/>
          <w:sz w:val="32"/>
          <w:szCs w:val="32"/>
        </w:rPr>
        <w:t xml:space="preserve"> 行业组织和新闻媒体应当</w:t>
      </w:r>
      <w:r>
        <w:rPr>
          <w:rFonts w:hint="eastAsia" w:ascii="宋体" w:hAnsi="宋体" w:eastAsia="仿宋_GB2312" w:cs="仿宋_GB2312"/>
          <w:b w:val="0"/>
          <w:bCs w:val="0"/>
          <w:sz w:val="32"/>
          <w:szCs w:val="32"/>
          <w:lang w:eastAsia="zh-CN"/>
        </w:rPr>
        <w:t>配合市场监管部门</w:t>
      </w:r>
      <w:r>
        <w:rPr>
          <w:rFonts w:hint="eastAsia" w:ascii="宋体" w:hAnsi="宋体" w:eastAsia="仿宋_GB2312" w:cs="仿宋_GB2312"/>
          <w:b w:val="0"/>
          <w:bCs w:val="0"/>
          <w:sz w:val="32"/>
          <w:szCs w:val="32"/>
        </w:rPr>
        <w:t>开展市场监管法律、法规的宣传</w:t>
      </w:r>
      <w:r>
        <w:rPr>
          <w:rFonts w:hint="eastAsia" w:ascii="宋体" w:hAnsi="宋体" w:eastAsia="仿宋_GB2312" w:cs="仿宋_GB2312"/>
          <w:b w:val="0"/>
          <w:bCs w:val="0"/>
          <w:sz w:val="32"/>
          <w:szCs w:val="32"/>
          <w:lang w:eastAsia="zh-CN"/>
        </w:rPr>
        <w:t>普及</w:t>
      </w:r>
      <w:r>
        <w:rPr>
          <w:rFonts w:hint="eastAsia" w:ascii="宋体" w:hAnsi="宋体" w:eastAsia="仿宋_GB2312" w:cs="仿宋_GB2312"/>
          <w:b w:val="0"/>
          <w:bCs w:val="0"/>
          <w:sz w:val="32"/>
          <w:szCs w:val="32"/>
        </w:rPr>
        <w:t>工作，引导生产经营者强化市场经营主体责任，引导消费者选择合法生产经营者生产、销售的商品或者提供的服务。</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第六章　法律责任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 xml:space="preserve">　第六十二条 </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各级人民政府及其工作人员违反本条例的规定，未履行法定职责，造成不良后果的，视其情节轻重，依法对直接负责的主管人员和其他直接责任人员给予处分；涉嫌犯罪的，依法追究刑事责任。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第六十三条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市场监管部门及其工作人员违反本条例的规定，有下列行为之一的，由其上级行政机关或者监察机关依法责令改正；情节严重的，对直接负责的主管人员和其他直接责任人员依法给予处分；涉嫌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（一）实施市场准入行政许可事项时，违法增减条件或者程序的；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（二）实施备案等非行政许可事项时，违法设置前置性限制条件，</w:t>
      </w:r>
      <w:r>
        <w:rPr>
          <w:rFonts w:hint="eastAsia" w:ascii="宋体" w:hAnsi="宋体" w:eastAsia="仿宋_GB2312" w:cs="仿宋_GB2312"/>
          <w:b w:val="0"/>
          <w:bCs w:val="0"/>
          <w:sz w:val="32"/>
          <w:szCs w:val="32"/>
          <w:lang w:eastAsia="zh-CN"/>
        </w:rPr>
        <w:t>或者</w:t>
      </w:r>
      <w:r>
        <w:rPr>
          <w:rFonts w:hint="eastAsia" w:ascii="宋体" w:hAnsi="宋体" w:eastAsia="仿宋_GB2312" w:cs="仿宋_GB2312"/>
          <w:b w:val="0"/>
          <w:bCs w:val="0"/>
          <w:sz w:val="32"/>
          <w:szCs w:val="32"/>
        </w:rPr>
        <w:t>以行政许可的条件</w:t>
      </w:r>
      <w:r>
        <w:rPr>
          <w:rFonts w:hint="eastAsia" w:ascii="宋体" w:hAnsi="宋体" w:eastAsia="仿宋_GB2312" w:cs="仿宋_GB2312"/>
          <w:b w:val="0"/>
          <w:bCs w:val="0"/>
          <w:i w:val="0"/>
          <w:iCs w:val="0"/>
          <w:sz w:val="32"/>
          <w:szCs w:val="32"/>
          <w:u w:val="none" w:color="auto"/>
          <w:lang w:eastAsia="zh-CN"/>
        </w:rPr>
        <w:t>、</w:t>
      </w:r>
      <w:r>
        <w:rPr>
          <w:rFonts w:hint="eastAsia" w:ascii="宋体" w:hAnsi="宋体" w:eastAsia="仿宋_GB2312" w:cs="仿宋_GB2312"/>
          <w:b w:val="0"/>
          <w:bCs w:val="0"/>
          <w:i w:val="0"/>
          <w:iCs w:val="0"/>
          <w:sz w:val="32"/>
          <w:szCs w:val="32"/>
          <w:u w:val="none" w:color="auto"/>
        </w:rPr>
        <w:t>程序</w:t>
      </w:r>
      <w:r>
        <w:rPr>
          <w:rFonts w:hint="eastAsia" w:ascii="宋体" w:hAnsi="宋体" w:eastAsia="仿宋_GB2312" w:cs="仿宋_GB2312"/>
          <w:b w:val="0"/>
          <w:bCs w:val="0"/>
          <w:sz w:val="32"/>
          <w:szCs w:val="32"/>
        </w:rPr>
        <w:t>要求行政相对人的；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（三）在实施市场准入行政许可过程中，</w:t>
      </w:r>
      <w:r>
        <w:rPr>
          <w:rFonts w:hint="eastAsia" w:ascii="宋体" w:hAnsi="宋体" w:eastAsia="仿宋_GB2312" w:cs="仿宋_GB2312"/>
          <w:b w:val="0"/>
          <w:bCs w:val="0"/>
          <w:sz w:val="32"/>
          <w:szCs w:val="32"/>
          <w:lang w:eastAsia="zh-CN"/>
        </w:rPr>
        <w:t>违法</w:t>
      </w:r>
      <w:r>
        <w:rPr>
          <w:rFonts w:hint="eastAsia" w:ascii="宋体" w:hAnsi="宋体" w:eastAsia="仿宋_GB2312" w:cs="仿宋_GB2312"/>
          <w:b w:val="0"/>
          <w:bCs w:val="0"/>
          <w:sz w:val="32"/>
          <w:szCs w:val="32"/>
        </w:rPr>
        <w:t>要求申请人接受中介服务或者指定中介服务机构的；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（四）限制或者妨碍不同地区、不同行业市场主体公平竞争的；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（五）限制或者妨碍其他地区的商品或者服务进入本地市场的；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（六）无正当理由拒不配合或者协助其他市场监管部门履行监管职责的；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（七）对违法行为线索不依法进行核查或者不移送有监管职权的市场监管部门的；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（八）编造、篡改市场主体信用信息或者</w:t>
      </w:r>
      <w:r>
        <w:rPr>
          <w:rFonts w:hint="eastAsia" w:ascii="宋体" w:hAnsi="宋体" w:eastAsia="仿宋_GB2312" w:cs="仿宋_GB2312"/>
          <w:b w:val="0"/>
          <w:bCs w:val="0"/>
          <w:sz w:val="32"/>
          <w:szCs w:val="32"/>
          <w:lang w:eastAsia="zh-CN"/>
        </w:rPr>
        <w:t>对</w:t>
      </w:r>
      <w:r>
        <w:rPr>
          <w:rFonts w:hint="eastAsia" w:ascii="宋体" w:hAnsi="宋体" w:eastAsia="仿宋_GB2312" w:cs="仿宋_GB2312"/>
          <w:b w:val="0"/>
          <w:bCs w:val="0"/>
          <w:sz w:val="32"/>
          <w:szCs w:val="32"/>
        </w:rPr>
        <w:t>存在错误</w:t>
      </w:r>
      <w:r>
        <w:rPr>
          <w:rFonts w:hint="eastAsia" w:ascii="宋体" w:hAnsi="宋体" w:eastAsia="仿宋_GB2312" w:cs="仿宋_GB2312"/>
          <w:b w:val="0"/>
          <w:bCs w:val="0"/>
          <w:sz w:val="32"/>
          <w:szCs w:val="32"/>
          <w:lang w:eastAsia="zh-CN"/>
        </w:rPr>
        <w:t>、</w:t>
      </w:r>
      <w:r>
        <w:rPr>
          <w:rFonts w:hint="eastAsia" w:ascii="宋体" w:hAnsi="宋体" w:eastAsia="仿宋_GB2312" w:cs="仿宋_GB2312"/>
          <w:b w:val="0"/>
          <w:bCs w:val="0"/>
          <w:sz w:val="32"/>
          <w:szCs w:val="32"/>
        </w:rPr>
        <w:t>遗漏的市场主体信用信息拒不更正、补充</w:t>
      </w:r>
      <w:r>
        <w:rPr>
          <w:rFonts w:hint="eastAsia" w:ascii="宋体" w:hAnsi="宋体" w:eastAsia="仿宋_GB2312" w:cs="仿宋_GB2312"/>
          <w:b w:val="0"/>
          <w:bCs w:val="0"/>
          <w:sz w:val="32"/>
          <w:szCs w:val="32"/>
          <w:lang w:eastAsia="zh-CN"/>
        </w:rPr>
        <w:t>的</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（九）未按照规定及时发布市场风险警示或者采取风险防范措施的；</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sz w:val="32"/>
          <w:szCs w:val="32"/>
          <w:lang w:eastAsia="zh-CN"/>
        </w:rPr>
        <w:t>（十）未按照规定及时采取重点监管、约束、限制措施的；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i w:val="0"/>
          <w:iCs w:val="0"/>
          <w:sz w:val="32"/>
          <w:szCs w:val="32"/>
          <w:u w:val="none" w:color="auto"/>
          <w:lang w:eastAsia="zh-CN"/>
        </w:rPr>
        <w:t>十一</w:t>
      </w:r>
      <w:r>
        <w:rPr>
          <w:rFonts w:hint="eastAsia" w:ascii="宋体" w:hAnsi="宋体" w:eastAsia="仿宋_GB2312" w:cs="仿宋_GB2312"/>
          <w:b w:val="0"/>
          <w:bCs w:val="0"/>
          <w:sz w:val="32"/>
          <w:szCs w:val="32"/>
        </w:rPr>
        <w:t>）未按照规定及时回应新闻媒体反映或者社会关注的市场监管问题的；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十二</w:t>
      </w:r>
      <w:r>
        <w:rPr>
          <w:rFonts w:hint="eastAsia" w:ascii="宋体" w:hAnsi="宋体" w:eastAsia="仿宋_GB2312" w:cs="仿宋_GB2312"/>
          <w:b w:val="0"/>
          <w:bCs w:val="0"/>
          <w:sz w:val="32"/>
          <w:szCs w:val="32"/>
        </w:rPr>
        <w:t>）对投诉、举报的市场违法行为不及时处理，或者泄露投诉、举报人信息的；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w:t>
      </w:r>
      <w:r>
        <w:rPr>
          <w:rFonts w:hint="eastAsia" w:ascii="宋体" w:hAnsi="宋体" w:eastAsia="仿宋_GB2312" w:cs="仿宋_GB2312"/>
          <w:b w:val="0"/>
          <w:bCs w:val="0"/>
          <w:sz w:val="32"/>
          <w:szCs w:val="32"/>
          <w:lang w:eastAsia="zh-CN"/>
        </w:rPr>
        <w:t>十三</w:t>
      </w:r>
      <w:r>
        <w:rPr>
          <w:rFonts w:hint="eastAsia" w:ascii="宋体" w:hAnsi="宋体" w:eastAsia="仿宋_GB2312" w:cs="仿宋_GB2312"/>
          <w:b w:val="0"/>
          <w:bCs w:val="0"/>
          <w:sz w:val="32"/>
          <w:szCs w:val="32"/>
        </w:rPr>
        <w:t>）违反规定泄露案件查处信息的；</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w:t>
      </w:r>
      <w:r>
        <w:rPr>
          <w:rFonts w:hint="eastAsia" w:ascii="宋体" w:hAnsi="宋体" w:eastAsia="仿宋_GB2312" w:cs="仿宋_GB2312"/>
          <w:b w:val="0"/>
          <w:bCs w:val="0"/>
          <w:sz w:val="32"/>
          <w:szCs w:val="32"/>
          <w:lang w:eastAsia="zh-CN"/>
        </w:rPr>
        <w:t>十四</w:t>
      </w:r>
      <w:r>
        <w:rPr>
          <w:rFonts w:hint="eastAsia" w:ascii="宋体" w:hAnsi="宋体" w:eastAsia="仿宋_GB2312" w:cs="仿宋_GB2312"/>
          <w:b w:val="0"/>
          <w:bCs w:val="0"/>
          <w:sz w:val="32"/>
          <w:szCs w:val="32"/>
        </w:rPr>
        <w:t>）违反本条例规定的其他行为。</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第六十四条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公民、法人或者其他组织有下列行为之一的，由公安机关依照《中华人民共和国治安管理处罚法》的规定予以处罚；涉嫌犯罪的，依法追究刑事责任：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（一）</w:t>
      </w:r>
      <w:r>
        <w:rPr>
          <w:rFonts w:hint="eastAsia" w:ascii="宋体" w:hAnsi="宋体" w:eastAsia="仿宋_GB2312" w:cs="仿宋_GB2312"/>
          <w:b w:val="0"/>
          <w:bCs w:val="0"/>
          <w:i w:val="0"/>
          <w:iCs w:val="0"/>
          <w:sz w:val="32"/>
          <w:szCs w:val="32"/>
          <w:u w:val="none" w:color="auto"/>
        </w:rPr>
        <w:t>阻碍</w:t>
      </w:r>
      <w:r>
        <w:rPr>
          <w:rFonts w:hint="eastAsia" w:ascii="宋体" w:hAnsi="宋体" w:eastAsia="仿宋_GB2312" w:cs="仿宋_GB2312"/>
          <w:b w:val="0"/>
          <w:bCs w:val="0"/>
          <w:sz w:val="32"/>
          <w:szCs w:val="32"/>
        </w:rPr>
        <w:t>市场监管部门工作人员依法执行职务的；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（二）</w:t>
      </w:r>
      <w:r>
        <w:rPr>
          <w:rFonts w:hint="eastAsia" w:ascii="宋体" w:hAnsi="宋体" w:eastAsia="仿宋_GB2312" w:cs="仿宋_GB2312"/>
          <w:b w:val="0"/>
          <w:bCs w:val="0"/>
          <w:i w:val="0"/>
          <w:iCs w:val="0"/>
          <w:sz w:val="32"/>
          <w:szCs w:val="32"/>
          <w:u w:val="none" w:color="auto"/>
        </w:rPr>
        <w:t>隐藏</w:t>
      </w:r>
      <w:r>
        <w:rPr>
          <w:rFonts w:hint="eastAsia" w:ascii="宋体" w:hAnsi="宋体" w:eastAsia="仿宋_GB2312" w:cs="仿宋_GB2312"/>
          <w:b w:val="0"/>
          <w:bCs w:val="0"/>
          <w:sz w:val="32"/>
          <w:szCs w:val="32"/>
        </w:rPr>
        <w:t>、转移、变卖或者损毁市场监管部门依法查封、扣押、冻结的财物的；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　　（三）伪造、隐匿、毁灭证据或者提供虚假证言、谎报案情，影响市场监管部门依法办案的。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仿宋" w:cs="仿宋"/>
          <w:b w:val="0"/>
          <w:bCs w:val="0"/>
          <w:sz w:val="32"/>
          <w:szCs w:val="32"/>
        </w:rPr>
      </w:pPr>
      <w:r>
        <w:rPr>
          <w:rFonts w:hint="eastAsia" w:ascii="宋体" w:hAnsi="宋体" w:eastAsia="黑体" w:cs="黑体"/>
          <w:b w:val="0"/>
          <w:bCs w:val="0"/>
          <w:sz w:val="32"/>
          <w:szCs w:val="32"/>
        </w:rPr>
        <w:t>第七章　附则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val="0"/>
          <w:sz w:val="32"/>
          <w:szCs w:val="32"/>
        </w:rPr>
      </w:pPr>
      <w:r>
        <w:rPr>
          <w:rFonts w:hint="eastAsia" w:ascii="宋体" w:hAnsi="宋体" w:eastAsia="仿宋" w:cs="仿宋"/>
          <w:b w:val="0"/>
          <w:bCs w:val="0"/>
          <w:sz w:val="32"/>
          <w:szCs w:val="32"/>
        </w:rPr>
        <w:t>　　</w:t>
      </w:r>
      <w:r>
        <w:rPr>
          <w:rFonts w:hint="eastAsia" w:ascii="宋体" w:hAnsi="宋体" w:eastAsia="黑体" w:cs="黑体"/>
          <w:b w:val="0"/>
          <w:bCs w:val="0"/>
          <w:sz w:val="32"/>
          <w:szCs w:val="32"/>
        </w:rPr>
        <w:t>第六十五条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法律、法规授权的具有管理公共事务职能的组织在法定授权范围内，以自己的名义实施市场监管，适用本条例有关市场监管部门的规定。</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第六十六条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中央驻粤机构依照法律、行政法规</w:t>
      </w:r>
      <w:r>
        <w:rPr>
          <w:rFonts w:hint="eastAsia" w:ascii="宋体" w:hAnsi="宋体" w:eastAsia="仿宋_GB2312" w:cs="仿宋_GB2312"/>
          <w:b w:val="0"/>
          <w:bCs w:val="0"/>
          <w:i w:val="0"/>
          <w:iCs w:val="0"/>
          <w:sz w:val="32"/>
          <w:szCs w:val="32"/>
          <w:u w:val="none" w:color="auto"/>
          <w:lang w:eastAsia="zh-CN"/>
        </w:rPr>
        <w:t>实施</w:t>
      </w:r>
      <w:r>
        <w:rPr>
          <w:rFonts w:hint="eastAsia" w:ascii="宋体" w:hAnsi="宋体" w:eastAsia="仿宋_GB2312" w:cs="仿宋_GB2312"/>
          <w:b w:val="0"/>
          <w:bCs w:val="0"/>
          <w:sz w:val="32"/>
          <w:szCs w:val="32"/>
        </w:rPr>
        <w:t>市场监管，可以参照本条例</w:t>
      </w:r>
      <w:r>
        <w:rPr>
          <w:rFonts w:hint="eastAsia" w:ascii="宋体" w:hAnsi="宋体" w:eastAsia="仿宋_GB2312" w:cs="仿宋_GB2312"/>
          <w:b w:val="0"/>
          <w:bCs w:val="0"/>
          <w:i w:val="0"/>
          <w:iCs w:val="0"/>
          <w:sz w:val="32"/>
          <w:szCs w:val="32"/>
          <w:u w:val="none" w:color="auto"/>
        </w:rPr>
        <w:t>有关规定</w:t>
      </w:r>
      <w:r>
        <w:rPr>
          <w:rFonts w:hint="eastAsia" w:ascii="宋体" w:hAnsi="宋体" w:eastAsia="仿宋_GB2312" w:cs="仿宋_GB2312"/>
          <w:b w:val="0"/>
          <w:bCs w:val="0"/>
          <w:i w:val="0"/>
          <w:iCs w:val="0"/>
          <w:sz w:val="32"/>
          <w:szCs w:val="32"/>
          <w:u w:val="none" w:color="auto"/>
          <w:lang w:eastAsia="zh-CN"/>
        </w:rPr>
        <w:t>执行</w:t>
      </w:r>
      <w:r>
        <w:rPr>
          <w:rFonts w:hint="eastAsia" w:ascii="宋体" w:hAnsi="宋体" w:eastAsia="仿宋_GB2312" w:cs="仿宋_GB2312"/>
          <w:b w:val="0"/>
          <w:bCs w:val="0"/>
          <w:sz w:val="32"/>
          <w:szCs w:val="32"/>
        </w:rPr>
        <w:t>。</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第六十七条</w:t>
      </w:r>
      <w:r>
        <w:rPr>
          <w:rFonts w:hint="eastAsia" w:ascii="宋体" w:hAnsi="宋体" w:eastAsia="仿宋" w:cs="仿宋"/>
          <w:b w:val="0"/>
          <w:bCs w:val="0"/>
          <w:sz w:val="32"/>
          <w:szCs w:val="32"/>
        </w:rPr>
        <w:t xml:space="preserve">  </w:t>
      </w:r>
      <w:r>
        <w:rPr>
          <w:rFonts w:hint="eastAsia" w:ascii="宋体" w:hAnsi="宋体" w:eastAsia="仿宋_GB2312" w:cs="仿宋_GB2312"/>
          <w:b w:val="0"/>
          <w:bCs w:val="0"/>
          <w:sz w:val="32"/>
          <w:szCs w:val="32"/>
        </w:rPr>
        <w:t>本条例自</w:t>
      </w:r>
      <w:r>
        <w:rPr>
          <w:rFonts w:hint="eastAsia" w:ascii="宋体" w:hAnsi="宋体" w:eastAsia="仿宋_GB2312" w:cs="仿宋_GB2312"/>
          <w:b w:val="0"/>
          <w:bCs w:val="0"/>
          <w:sz w:val="32"/>
          <w:szCs w:val="32"/>
          <w:lang w:val="en-US" w:eastAsia="zh-CN"/>
        </w:rPr>
        <w:t>2016</w:t>
      </w:r>
      <w:r>
        <w:rPr>
          <w:rFonts w:hint="eastAsia" w:ascii="宋体" w:hAnsi="宋体" w:eastAsia="仿宋_GB2312" w:cs="仿宋_GB2312"/>
          <w:b w:val="0"/>
          <w:bCs w:val="0"/>
          <w:sz w:val="32"/>
          <w:szCs w:val="32"/>
        </w:rPr>
        <w:t>年</w:t>
      </w:r>
      <w:r>
        <w:rPr>
          <w:rFonts w:hint="eastAsia" w:ascii="宋体" w:hAnsi="宋体" w:eastAsia="仿宋_GB2312" w:cs="仿宋_GB2312"/>
          <w:b w:val="0"/>
          <w:bCs w:val="0"/>
          <w:sz w:val="32"/>
          <w:szCs w:val="32"/>
          <w:lang w:val="en-US" w:eastAsia="zh-CN"/>
        </w:rPr>
        <w:t>10</w:t>
      </w:r>
      <w:r>
        <w:rPr>
          <w:rFonts w:hint="eastAsia" w:ascii="宋体" w:hAnsi="宋体" w:eastAsia="仿宋_GB2312" w:cs="仿宋_GB2312"/>
          <w:b w:val="0"/>
          <w:bCs w:val="0"/>
          <w:sz w:val="32"/>
          <w:szCs w:val="32"/>
        </w:rPr>
        <w:t>月</w:t>
      </w:r>
      <w:r>
        <w:rPr>
          <w:rFonts w:hint="eastAsia" w:ascii="宋体" w:hAnsi="宋体" w:eastAsia="仿宋_GB2312" w:cs="仿宋_GB2312"/>
          <w:b w:val="0"/>
          <w:bCs w:val="0"/>
          <w:sz w:val="32"/>
          <w:szCs w:val="32"/>
          <w:lang w:val="en-US" w:eastAsia="zh-CN"/>
        </w:rPr>
        <w:t>1</w:t>
      </w:r>
      <w:r>
        <w:rPr>
          <w:rFonts w:hint="eastAsia" w:ascii="宋体" w:hAnsi="宋体" w:eastAsia="仿宋_GB2312" w:cs="仿宋_GB2312"/>
          <w:b w:val="0"/>
          <w:bCs w:val="0"/>
          <w:sz w:val="32"/>
          <w:szCs w:val="32"/>
        </w:rPr>
        <w:t>日起施行。</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6" w:name="_Toc27964"/>
      <w:r>
        <w:rPr>
          <w:rFonts w:hint="eastAsia" w:ascii="宋体" w:hAnsi="宋体" w:eastAsia="宋体" w:cs="宋体"/>
          <w:color w:val="000000"/>
          <w:sz w:val="44"/>
          <w:szCs w:val="44"/>
        </w:rPr>
        <w:t>广东省租赁房屋治安管理规定</w:t>
      </w:r>
      <w:bookmarkEnd w:id="446"/>
    </w:p>
    <w:p>
      <w:pPr>
        <w:pStyle w:val="33"/>
        <w:widowControl w:val="0"/>
        <w:wordWrap/>
        <w:overflowPunct w:val="0"/>
        <w:spacing w:beforeAutospacing="0" w:afterAutospacing="0" w:line="560" w:lineRule="exact"/>
        <w:textAlignment w:val="auto"/>
        <w:rPr>
          <w:rFonts w:ascii="宋体" w:hAnsi="宋体"/>
          <w:sz w:val="32"/>
          <w:szCs w:val="32"/>
        </w:rPr>
      </w:pPr>
    </w:p>
    <w:p>
      <w:pPr>
        <w:widowControl w:val="0"/>
        <w:wordWrap/>
        <w:overflowPunct w:val="0"/>
        <w:adjustRightInd/>
        <w:snapToGrid/>
        <w:spacing w:beforeAutospacing="0" w:afterAutospacing="0" w:line="560" w:lineRule="exact"/>
        <w:ind w:left="640" w:leftChars="200" w:right="640" w:rightChars="200" w:firstLine="640" w:firstLineChars="200"/>
        <w:jc w:val="both"/>
        <w:textAlignment w:val="auto"/>
        <w:outlineLvl w:val="9"/>
        <w:rPr>
          <w:rFonts w:ascii="宋体" w:hAnsi="宋体" w:eastAsia="楷体_GB2312"/>
          <w:sz w:val="32"/>
          <w:szCs w:val="32"/>
        </w:rPr>
      </w:pPr>
      <w:r>
        <w:rPr>
          <w:rFonts w:ascii="宋体" w:hAnsi="宋体" w:eastAsia="楷体_GB2312"/>
          <w:sz w:val="32"/>
          <w:szCs w:val="32"/>
        </w:rPr>
        <w:t>（2012年5月31日广东省第十一届人民代表大会常务委员会第三十四次会议通过</w:t>
      </w:r>
      <w:r>
        <w:rPr>
          <w:rFonts w:hint="eastAsia" w:ascii="宋体" w:hAnsi="宋体" w:eastAsia="楷体_GB2312"/>
          <w:sz w:val="32"/>
          <w:szCs w:val="32"/>
          <w:lang w:val="en-US" w:eastAsia="zh-CN"/>
        </w:rPr>
        <w:t xml:space="preserve">  </w:t>
      </w:r>
      <w:r>
        <w:rPr>
          <w:rFonts w:hint="eastAsia" w:ascii="宋体" w:hAnsi="宋体" w:eastAsia="楷体_GB2312" w:cs="楷体_GB2312"/>
          <w:sz w:val="32"/>
          <w:szCs w:val="32"/>
          <w:lang w:val="en-US" w:eastAsia="zh-CN"/>
        </w:rPr>
        <w:t>根据2019年11月29日广东省第十三届人民代表大会常务委员会第十五次会议《</w:t>
      </w:r>
      <w:r>
        <w:rPr>
          <w:rFonts w:hint="eastAsia" w:ascii="宋体" w:hAnsi="宋体" w:eastAsia="楷体_GB2312" w:cs="楷体_GB2312"/>
          <w:b w:val="0"/>
          <w:bCs w:val="0"/>
          <w:spacing w:val="0"/>
          <w:sz w:val="32"/>
          <w:szCs w:val="32"/>
          <w:lang w:eastAsia="zh-CN"/>
        </w:rPr>
        <w:t>关于修改〈广东省水利工程管理条例〉</w:t>
      </w:r>
      <w:r>
        <w:rPr>
          <w:rFonts w:hint="eastAsia" w:ascii="宋体" w:hAnsi="宋体" w:eastAsia="楷体_GB2312" w:cs="楷体_GB2312"/>
          <w:spacing w:val="0"/>
          <w:sz w:val="32"/>
          <w:szCs w:val="32"/>
          <w:lang w:eastAsia="zh-CN"/>
        </w:rPr>
        <w:t>等十六项地方性法规的决定</w:t>
      </w:r>
      <w:r>
        <w:rPr>
          <w:rFonts w:hint="eastAsia" w:ascii="宋体" w:hAnsi="宋体" w:eastAsia="楷体_GB2312" w:cs="楷体_GB2312"/>
          <w:sz w:val="32"/>
          <w:szCs w:val="32"/>
          <w:lang w:val="en-US" w:eastAsia="zh-CN"/>
        </w:rPr>
        <w:t>》修正</w:t>
      </w:r>
      <w:r>
        <w:rPr>
          <w:rFonts w:ascii="宋体" w:hAnsi="宋体" w:eastAsia="楷体_GB2312"/>
          <w:sz w:val="32"/>
          <w:szCs w:val="32"/>
        </w:rPr>
        <w:t>）</w:t>
      </w:r>
    </w:p>
    <w:p>
      <w:pPr>
        <w:widowControl w:val="0"/>
        <w:wordWrap/>
        <w:overflowPunct w:val="0"/>
        <w:adjustRightInd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第一条</w:t>
      </w:r>
      <w:r>
        <w:rPr>
          <w:rFonts w:hint="eastAsia" w:ascii="宋体" w:hAnsi="宋体" w:cs="仿宋_GB2312"/>
          <w:sz w:val="32"/>
          <w:szCs w:val="32"/>
        </w:rPr>
        <w:t xml:space="preserve">  为了加强租赁房屋的治安管理，维护社会治安秩序，根据有关法律、法规，结合本省实际，制定本规定。</w:t>
      </w:r>
    </w:p>
    <w:p>
      <w:pPr>
        <w:widowControl w:val="0"/>
        <w:wordWrap/>
        <w:overflowPunct w:val="0"/>
        <w:adjustRightInd w:val="0"/>
        <w:snapToGrid w:val="0"/>
        <w:spacing w:beforeAutospacing="0" w:afterAutospacing="0" w:line="560" w:lineRule="exact"/>
        <w:ind w:firstLine="636" w:firstLineChars="199"/>
        <w:textAlignment w:val="auto"/>
        <w:rPr>
          <w:rFonts w:hint="eastAsia" w:ascii="宋体" w:hAnsi="宋体" w:cs="仿宋_GB2312"/>
          <w:sz w:val="32"/>
          <w:szCs w:val="32"/>
        </w:rPr>
      </w:pPr>
      <w:r>
        <w:rPr>
          <w:rFonts w:hint="eastAsia" w:ascii="宋体" w:hAnsi="宋体" w:eastAsia="黑体" w:cs="黑体"/>
          <w:sz w:val="32"/>
          <w:szCs w:val="32"/>
        </w:rPr>
        <w:t>第二条</w:t>
      </w:r>
      <w:r>
        <w:rPr>
          <w:rFonts w:hint="eastAsia" w:ascii="宋体" w:hAnsi="宋体" w:cs="仿宋_GB2312"/>
          <w:sz w:val="32"/>
          <w:szCs w:val="32"/>
        </w:rPr>
        <w:t xml:space="preserve">  本规定适用于本省行政区域内用于居住的租赁房屋的治安管理服务活动。</w:t>
      </w:r>
    </w:p>
    <w:p>
      <w:pPr>
        <w:widowControl w:val="0"/>
        <w:wordWrap/>
        <w:overflowPunct w:val="0"/>
        <w:adjustRightInd w:val="0"/>
        <w:snapToGrid w:val="0"/>
        <w:spacing w:beforeAutospacing="0" w:afterAutospacing="0" w:line="560" w:lineRule="exact"/>
        <w:ind w:firstLine="636" w:firstLineChars="199"/>
        <w:textAlignment w:val="auto"/>
        <w:rPr>
          <w:rFonts w:hint="eastAsia" w:ascii="宋体" w:hAnsi="宋体" w:cs="仿宋_GB2312"/>
          <w:sz w:val="32"/>
          <w:szCs w:val="32"/>
        </w:rPr>
      </w:pPr>
      <w:r>
        <w:rPr>
          <w:rFonts w:hint="eastAsia" w:ascii="宋体" w:hAnsi="宋体" w:cs="仿宋_GB2312"/>
          <w:sz w:val="32"/>
          <w:szCs w:val="32"/>
        </w:rPr>
        <w:t>租赁房屋用于其他用途的治安管理活动适用国家和省的有关规定。</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eastAsia="黑体" w:cs="黑体"/>
          <w:sz w:val="32"/>
          <w:szCs w:val="32"/>
        </w:rPr>
        <w:t>第三条</w:t>
      </w:r>
      <w:r>
        <w:rPr>
          <w:rFonts w:hint="eastAsia" w:ascii="宋体" w:hAnsi="宋体" w:cs="仿宋_GB2312"/>
          <w:sz w:val="32"/>
          <w:szCs w:val="32"/>
        </w:rPr>
        <w:t xml:space="preserve">  各级人民政府领导和综合协调本行政区域内租赁房屋的治安管理服务工作。</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cs="仿宋_GB2312"/>
          <w:sz w:val="32"/>
          <w:szCs w:val="32"/>
        </w:rPr>
        <w:t>各级人民政府应当按照资源整合、互联互通的原则，推进租赁房屋治安管理信息化，实现政府职能部门间的信息共享。</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cs="仿宋_GB2312"/>
          <w:sz w:val="32"/>
          <w:szCs w:val="32"/>
        </w:rPr>
        <w:t>乡镇人民政府、城市街道办事处应当按照便民原则，根据实际情况集中办理租赁房屋相关业务。</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eastAsia="黑体" w:cs="黑体"/>
          <w:sz w:val="32"/>
          <w:szCs w:val="32"/>
        </w:rPr>
        <w:t xml:space="preserve">第四条 </w:t>
      </w:r>
      <w:r>
        <w:rPr>
          <w:rFonts w:hint="eastAsia" w:ascii="宋体" w:hAnsi="宋体" w:cs="仿宋_GB2312"/>
          <w:sz w:val="32"/>
          <w:szCs w:val="32"/>
        </w:rPr>
        <w:t xml:space="preserve"> 市、县（区）人民政府应当在租赁房屋集中的地区统筹规划、建设公共安全视频图像信息系统，加强对公共安全视频图像信息系统及其信息资料的管理，维护公共安全。</w:t>
      </w:r>
    </w:p>
    <w:p>
      <w:pPr>
        <w:widowControl w:val="0"/>
        <w:wordWrap/>
        <w:overflowPunct w:val="0"/>
        <w:adjustRightInd w:val="0"/>
        <w:snapToGrid w:val="0"/>
        <w:spacing w:beforeAutospacing="0" w:afterAutospacing="0" w:line="560" w:lineRule="exact"/>
        <w:ind w:firstLine="675"/>
        <w:textAlignment w:val="auto"/>
        <w:rPr>
          <w:rFonts w:hint="eastAsia" w:ascii="宋体" w:hAnsi="宋体" w:cs="仿宋_GB2312"/>
          <w:sz w:val="32"/>
          <w:szCs w:val="32"/>
        </w:rPr>
      </w:pPr>
      <w:r>
        <w:rPr>
          <w:rFonts w:hint="eastAsia" w:ascii="宋体" w:hAnsi="宋体" w:eastAsia="黑体" w:cs="黑体"/>
          <w:sz w:val="32"/>
          <w:szCs w:val="32"/>
        </w:rPr>
        <w:t>第五条</w:t>
      </w:r>
      <w:r>
        <w:rPr>
          <w:rFonts w:hint="eastAsia" w:ascii="宋体" w:hAnsi="宋体" w:cs="仿宋_GB2312"/>
          <w:sz w:val="32"/>
          <w:szCs w:val="32"/>
        </w:rPr>
        <w:t xml:space="preserve">  各级公安机关负责租赁房屋的治安管理服务工作，履行下列职责：</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（一）建立租赁房屋信息管理网络系统，采集、查核租赁房屋信息；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（二）建立健全租赁房屋信息登记制度等管理制度；</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（三）建立治安状况通报制度和租赁房屋治安违法行为举报制度；</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（四）指导出租人和承租人做好安全防范措施，督促其依法报送租赁房屋信息；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（五）指导乡镇、街道负责租赁房屋服务管理的机构开展租赁房屋治安管理服务工作，培训机构工作人员；</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（六）其他租赁房屋治安管理服务工作。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住房管理、卫生健康、税务、市场监督管理等部门按照各自职责，做好租赁房屋治安管理服务工作。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 xml:space="preserve">第六条  </w:t>
      </w:r>
      <w:r>
        <w:rPr>
          <w:rFonts w:hint="eastAsia" w:ascii="宋体" w:hAnsi="宋体" w:eastAsia="仿宋_GB2312" w:cs="仿宋_GB2312"/>
          <w:sz w:val="32"/>
          <w:szCs w:val="32"/>
        </w:rPr>
        <w:t>乡镇、街道负责租赁房屋服务管理的机构受公安机关委托，开展租</w:t>
      </w:r>
      <w:r>
        <w:rPr>
          <w:rFonts w:hint="eastAsia" w:ascii="宋体" w:hAnsi="宋体" w:cs="仿宋_GB2312"/>
          <w:sz w:val="32"/>
          <w:szCs w:val="32"/>
        </w:rPr>
        <w:t>赁房屋信息采集、登记等治安管理服务的日常工作。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居民委员会、村民委员会应当协助做好租赁房屋治安管理服务工作。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第七条</w:t>
      </w:r>
      <w:r>
        <w:rPr>
          <w:rFonts w:hint="eastAsia" w:ascii="宋体" w:hAnsi="宋体" w:cs="仿宋_GB2312"/>
          <w:sz w:val="32"/>
          <w:szCs w:val="32"/>
        </w:rPr>
        <w:t xml:space="preserve">  任何单位和个人对违反租赁房屋治安管理法律、法规和本规定的行为，有权向公安机关等管理部门举报或者投诉。</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i/>
          <w:iCs/>
          <w:sz w:val="32"/>
          <w:szCs w:val="32"/>
          <w:u w:val="single"/>
        </w:rPr>
      </w:pPr>
      <w:r>
        <w:rPr>
          <w:rFonts w:hint="eastAsia" w:ascii="宋体" w:hAnsi="宋体" w:cs="仿宋_GB2312"/>
          <w:sz w:val="32"/>
          <w:szCs w:val="32"/>
        </w:rPr>
        <w:t>对在租赁房屋治安管理服务工作中做出突出贡献的单位和个人，可以给予表彰、奖励。</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第八条</w:t>
      </w:r>
      <w:r>
        <w:rPr>
          <w:rFonts w:hint="eastAsia" w:ascii="宋体" w:hAnsi="宋体" w:cs="仿宋_GB2312"/>
          <w:sz w:val="32"/>
          <w:szCs w:val="32"/>
        </w:rPr>
        <w:t xml:space="preserve">  租赁房屋的，应当向房屋所在地公安派出所或者乡镇、街道负责租赁房屋服务管理的机构报送租赁房屋信息。</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出租人应当自签订房屋租赁合同之日起三个工作日内报送；未签订合同的，出租人应当自承租人入住之日起三个工作日内报送。承租人变更或者房屋停止租赁的，出租人应当自承租人变更之日起或者自停止租赁之日起三个工作日内报送。转租房屋给他人的，承租人应当自房屋转租之日起三个工作日内报送。</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通过房地产中介服务机构租赁房屋的，由房地产中介服务机构在签订房屋租赁合同之日起三个工作日内报送。</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出租人委托代理人管理租赁房屋的，应当书面明确租赁房屋信息报送人；未明确的，由代理人报送。</w:t>
      </w:r>
    </w:p>
    <w:p>
      <w:pPr>
        <w:widowControl w:val="0"/>
        <w:wordWrap/>
        <w:overflowPunct w:val="0"/>
        <w:adjustRightInd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第九条</w:t>
      </w:r>
      <w:r>
        <w:rPr>
          <w:rFonts w:hint="eastAsia" w:ascii="宋体" w:hAnsi="宋体" w:cs="仿宋_GB2312"/>
          <w:sz w:val="32"/>
          <w:szCs w:val="32"/>
        </w:rPr>
        <w:t xml:space="preserve">  租赁房屋的，应当报送出租人、承租人的下列租赁房屋信息：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（一）姓名；</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（二）身份证件的种类和号码；</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（三）联系方式；</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（四）租赁房屋地址。</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报送租赁房屋信息的，可以到房屋所在地公安派出所或者乡镇、街道负责租赁房屋服务管理的机构报送，也可以通过电话、传真、网络、短信等方式报送。</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第十条</w:t>
      </w:r>
      <w:r>
        <w:rPr>
          <w:rFonts w:hint="eastAsia" w:ascii="宋体" w:hAnsi="宋体" w:cs="仿宋_GB2312"/>
          <w:sz w:val="32"/>
          <w:szCs w:val="32"/>
        </w:rPr>
        <w:t xml:space="preserve">  房屋所在地公安派出所或者乡镇、街道负责租赁房屋服务管理的机构对收到的租赁房屋信息，应当及时登记、录入租赁房屋信息管理网络系统。</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公安派出所或者乡镇、街道负责租赁房屋服务管理的机构应当为出租人或者其代理人、承租人和房地产中介服务机构报送租赁房屋信息提供便利，简化办事程序，在租赁房屋集中地区、办事窗口、网站等公布报送租赁房屋信息的流程、方式、材料目录。</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公安派出所或者乡镇、街道负责租赁房屋服务管理的机构办理租赁房屋信息登记不得收取费用。</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第十一条</w:t>
      </w:r>
      <w:r>
        <w:rPr>
          <w:rFonts w:hint="eastAsia" w:ascii="宋体" w:hAnsi="宋体" w:cs="仿宋_GB2312"/>
          <w:sz w:val="32"/>
          <w:szCs w:val="32"/>
        </w:rPr>
        <w:t xml:space="preserve">   公安机关、有关管理部门和乡镇、街道负责租赁房屋服务管理的机构及其工作人员，对租赁房屋治安管理服务工作中获悉的信息应当予以保密，不得用于法定职责以外的用途。</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房地产中介等服务机构及其工作人员对获悉的租赁房屋信息应当予以保密，不得出售或者非法提供给他人。</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第十二条</w:t>
      </w:r>
      <w:r>
        <w:rPr>
          <w:rFonts w:hint="eastAsia" w:ascii="宋体" w:hAnsi="宋体" w:cs="仿宋_GB2312"/>
          <w:sz w:val="32"/>
          <w:szCs w:val="32"/>
        </w:rPr>
        <w:t xml:space="preserve">  公安机关、有关管理部门和乡镇、街道负责租赁房屋服务管理的机构应当对租赁房屋集中地区进行日常巡查，定期走访并进行治安安全检查，及时通告周边治安状况，指导做好治安防范措施。</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第十三条</w:t>
      </w:r>
      <w:r>
        <w:rPr>
          <w:rFonts w:hint="eastAsia" w:ascii="宋体" w:hAnsi="宋体" w:cs="仿宋_GB2312"/>
          <w:sz w:val="32"/>
          <w:szCs w:val="32"/>
        </w:rPr>
        <w:t xml:space="preserve">  出租人发现治安安全隐患和出租的房屋内有涉嫌违法犯罪活动或者犯罪嫌疑人的，应当及时报告公安机关，并配合公安机关查处。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出租的房屋居住人数达到三十人以上的，出租人应当采取措施，配合相关租赁房屋服务管理机构做好治安管理工作。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第十四条</w:t>
      </w:r>
      <w:r>
        <w:rPr>
          <w:rFonts w:hint="eastAsia" w:ascii="宋体" w:hAnsi="宋体" w:cs="仿宋_GB2312"/>
          <w:sz w:val="32"/>
          <w:szCs w:val="32"/>
        </w:rPr>
        <w:t xml:space="preserve">  出租人以小时、天数为租期出租房屋的，应当遵守下列规定：</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（一）安装租住人员信息采集系统；</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（二）即时采集和报送租住人员基本信息；</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（三）配备专职管理人员，制定管理制度。</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第十五条</w:t>
      </w:r>
      <w:r>
        <w:rPr>
          <w:rFonts w:hint="eastAsia" w:ascii="宋体" w:hAnsi="宋体" w:cs="仿宋_GB2312"/>
          <w:sz w:val="32"/>
          <w:szCs w:val="32"/>
        </w:rPr>
        <w:t xml:space="preserve">  承租人应当接受公安派出所或者乡镇、街道负责租赁房屋服务管理的机构的监督、检查，不得提供虚假身份证件、留宿无身份证件的人员；不得利用承租的房屋生产、储存、经营爆炸性、毒害性、放射性、腐蚀性等危险品或者假冒伪劣商品以及进行其他违法犯罪活动。</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承租人发现同住人员有违法犯罪嫌疑的，应当及时向有关部门举报，配合有关部门进行查处。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第十六条</w:t>
      </w:r>
      <w:r>
        <w:rPr>
          <w:rFonts w:hint="eastAsia" w:ascii="宋体" w:hAnsi="宋体" w:cs="仿宋_GB2312"/>
          <w:sz w:val="32"/>
          <w:szCs w:val="32"/>
        </w:rPr>
        <w:t xml:space="preserve">  物业服务企业应当配合公安派出所或者乡镇、街道负责租赁房屋服务管理的机构，做好租赁房屋治安管理服务工作。</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第十七条</w:t>
      </w:r>
      <w:r>
        <w:rPr>
          <w:rFonts w:hint="eastAsia" w:ascii="宋体" w:hAnsi="宋体" w:cs="仿宋_GB2312"/>
          <w:sz w:val="32"/>
          <w:szCs w:val="32"/>
        </w:rPr>
        <w:t xml:space="preserve">  公安机关、有关管理部门和乡镇、街道负责租赁房屋服务管理的机构及其工作人员违反本规定，有下列情形之一的，对直接负责的主管人员和其他直接责任人员依法给予处分；构成犯罪的，依法追究刑事责任：</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（一）违反规定收取费用的；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（二）对举报的违法犯罪活动，不依法及时处理的；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（三）未规范管理公共安全视频图像信息系统及其信息资料的；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（四）将租赁房屋治安管理工作中获悉的信息用于法定职责以外用途的；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（五）有其他滥用职权、玩忽职守、徇私舞弊行为的。</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eastAsia="黑体" w:cs="黑体"/>
          <w:sz w:val="32"/>
          <w:szCs w:val="32"/>
        </w:rPr>
        <w:t>第十八条</w:t>
      </w:r>
      <w:r>
        <w:rPr>
          <w:rFonts w:hint="eastAsia" w:ascii="宋体" w:hAnsi="宋体" w:cs="仿宋_GB2312"/>
          <w:sz w:val="32"/>
          <w:szCs w:val="32"/>
        </w:rPr>
        <w:t xml:space="preserve">  出租人或者其代理人、承租人、房地产中介服务机构未按照本规定报送租赁房屋信息的，由公安机关责令限期改正；逾期未改正的，处二百元以上五百元以下罚款。</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出租人以小时、天数为租期出租房屋，未安装租住人员信息采集系统的，由公安机关责令限期改正；未按照本规定采集或者报送租住人员信息的，责令限期改正，逾期未改正的，处五百元以上一千元以下罚款。</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z w:val="32"/>
          <w:szCs w:val="32"/>
        </w:rPr>
      </w:pPr>
      <w:r>
        <w:rPr>
          <w:rFonts w:hint="eastAsia" w:ascii="宋体" w:hAnsi="宋体" w:cs="仿宋_GB2312"/>
          <w:sz w:val="32"/>
          <w:szCs w:val="32"/>
        </w:rPr>
        <w:t>房地产中介等服务机构及其工作人员将获悉的租赁房屋信息出售或者非法提供给他人的，由公安机关没收违法所得，处五千元以上一万元以下罚款；构成犯罪的，依法追究刑事责任。</w:t>
      </w:r>
    </w:p>
    <w:p>
      <w:pPr>
        <w:widowControl w:val="0"/>
        <w:wordWrap/>
        <w:overflowPunct w:val="0"/>
        <w:adjustRightInd w:val="0"/>
        <w:snapToGrid w:val="0"/>
        <w:spacing w:beforeAutospacing="0" w:afterAutospacing="0" w:line="560" w:lineRule="exact"/>
        <w:ind w:firstLine="630"/>
        <w:textAlignment w:val="auto"/>
        <w:rPr>
          <w:rFonts w:hint="eastAsia" w:ascii="宋体" w:hAnsi="宋体" w:cs="仿宋_GB2312"/>
          <w:spacing w:val="-7"/>
          <w:sz w:val="32"/>
          <w:szCs w:val="32"/>
        </w:rPr>
      </w:pPr>
      <w:r>
        <w:rPr>
          <w:rFonts w:hint="eastAsia" w:ascii="宋体" w:hAnsi="宋体" w:eastAsia="黑体" w:cs="黑体"/>
          <w:sz w:val="32"/>
          <w:szCs w:val="32"/>
        </w:rPr>
        <w:t>第十九条</w:t>
      </w:r>
      <w:r>
        <w:rPr>
          <w:rFonts w:hint="eastAsia" w:ascii="宋体" w:hAnsi="宋体" w:cs="仿宋_GB2312"/>
          <w:sz w:val="32"/>
          <w:szCs w:val="32"/>
        </w:rPr>
        <w:t xml:space="preserve">  本规定自</w:t>
      </w:r>
      <w:r>
        <w:rPr>
          <w:rFonts w:hint="eastAsia" w:ascii="宋体" w:hAnsi="宋体" w:eastAsia="宋体" w:cs="宋体"/>
          <w:sz w:val="32"/>
          <w:szCs w:val="32"/>
        </w:rPr>
        <w:t>2012</w:t>
      </w:r>
      <w:r>
        <w:rPr>
          <w:rFonts w:hint="eastAsia" w:ascii="宋体" w:hAnsi="宋体" w:cs="仿宋_GB2312"/>
          <w:sz w:val="32"/>
          <w:szCs w:val="32"/>
        </w:rPr>
        <w:t>年</w:t>
      </w:r>
      <w:r>
        <w:rPr>
          <w:rFonts w:hint="eastAsia" w:ascii="宋体" w:hAnsi="宋体" w:eastAsia="宋体" w:cs="宋体"/>
          <w:sz w:val="32"/>
          <w:szCs w:val="32"/>
        </w:rPr>
        <w:t>10</w:t>
      </w:r>
      <w:r>
        <w:rPr>
          <w:rFonts w:hint="eastAsia" w:ascii="宋体" w:hAnsi="宋体" w:cs="仿宋_GB2312"/>
          <w:sz w:val="32"/>
          <w:szCs w:val="32"/>
        </w:rPr>
        <w:t>月</w:t>
      </w:r>
      <w:r>
        <w:rPr>
          <w:rFonts w:hint="eastAsia" w:ascii="宋体" w:hAnsi="宋体" w:eastAsia="宋体" w:cs="宋体"/>
          <w:sz w:val="32"/>
          <w:szCs w:val="32"/>
        </w:rPr>
        <w:t>1</w:t>
      </w:r>
      <w:r>
        <w:rPr>
          <w:rFonts w:hint="eastAsia" w:ascii="宋体" w:hAnsi="宋体" w:cs="仿宋_GB2312"/>
          <w:sz w:val="32"/>
          <w:szCs w:val="32"/>
        </w:rPr>
        <w:t>日起施行。</w:t>
      </w:r>
      <w:r>
        <w:rPr>
          <w:rFonts w:hint="eastAsia" w:ascii="宋体" w:hAnsi="宋体" w:eastAsia="宋体" w:cs="宋体"/>
          <w:sz w:val="32"/>
          <w:szCs w:val="32"/>
        </w:rPr>
        <w:t>1994</w:t>
      </w:r>
      <w:r>
        <w:rPr>
          <w:rFonts w:hint="eastAsia" w:ascii="宋体" w:hAnsi="宋体" w:cs="仿宋_GB2312"/>
          <w:sz w:val="32"/>
          <w:szCs w:val="32"/>
        </w:rPr>
        <w:t>年</w:t>
      </w:r>
      <w:r>
        <w:rPr>
          <w:rFonts w:hint="eastAsia" w:ascii="宋体" w:hAnsi="宋体" w:eastAsia="宋体" w:cs="宋体"/>
          <w:sz w:val="32"/>
          <w:szCs w:val="32"/>
        </w:rPr>
        <w:t>9</w:t>
      </w:r>
      <w:r>
        <w:rPr>
          <w:rFonts w:hint="eastAsia" w:ascii="宋体" w:hAnsi="宋体" w:cs="仿宋_GB2312"/>
          <w:sz w:val="32"/>
          <w:szCs w:val="32"/>
        </w:rPr>
        <w:t>月</w:t>
      </w:r>
      <w:r>
        <w:rPr>
          <w:rFonts w:hint="eastAsia" w:ascii="宋体" w:hAnsi="宋体" w:eastAsia="宋体" w:cs="宋体"/>
          <w:sz w:val="32"/>
          <w:szCs w:val="32"/>
        </w:rPr>
        <w:t>15</w:t>
      </w:r>
      <w:r>
        <w:rPr>
          <w:rFonts w:hint="eastAsia" w:ascii="宋体" w:hAnsi="宋体" w:cs="仿宋_GB2312"/>
          <w:sz w:val="32"/>
          <w:szCs w:val="32"/>
        </w:rPr>
        <w:t>日广东省第八届人民代表大会常务委员会第十次会议通过、</w:t>
      </w:r>
      <w:r>
        <w:rPr>
          <w:rFonts w:hint="eastAsia" w:ascii="宋体" w:hAnsi="宋体" w:eastAsia="宋体" w:cs="宋体"/>
          <w:sz w:val="32"/>
          <w:szCs w:val="32"/>
        </w:rPr>
        <w:t>2000</w:t>
      </w:r>
      <w:r>
        <w:rPr>
          <w:rFonts w:hint="eastAsia" w:ascii="宋体" w:hAnsi="宋体" w:cs="仿宋_GB2312"/>
          <w:sz w:val="32"/>
          <w:szCs w:val="32"/>
        </w:rPr>
        <w:t>年</w:t>
      </w:r>
      <w:r>
        <w:rPr>
          <w:rFonts w:hint="eastAsia" w:ascii="宋体" w:hAnsi="宋体" w:eastAsia="宋体" w:cs="宋体"/>
          <w:sz w:val="32"/>
          <w:szCs w:val="32"/>
        </w:rPr>
        <w:t>7</w:t>
      </w:r>
      <w:r>
        <w:rPr>
          <w:rFonts w:hint="eastAsia" w:ascii="宋体" w:hAnsi="宋体" w:cs="仿宋_GB2312"/>
          <w:sz w:val="32"/>
          <w:szCs w:val="32"/>
        </w:rPr>
        <w:t>月</w:t>
      </w:r>
      <w:r>
        <w:rPr>
          <w:rFonts w:hint="eastAsia" w:ascii="宋体" w:hAnsi="宋体" w:eastAsia="宋体" w:cs="宋体"/>
          <w:sz w:val="32"/>
          <w:szCs w:val="32"/>
        </w:rPr>
        <w:t>28</w:t>
      </w:r>
      <w:r>
        <w:rPr>
          <w:rFonts w:hint="eastAsia" w:ascii="宋体" w:hAnsi="宋体" w:cs="仿宋_GB2312"/>
          <w:sz w:val="32"/>
          <w:szCs w:val="32"/>
        </w:rPr>
        <w:t>日广东省第九届人民代表大会常务委员会第十九</w:t>
      </w:r>
      <w:r>
        <w:rPr>
          <w:rFonts w:hint="eastAsia" w:ascii="宋体" w:hAnsi="宋体" w:cs="仿宋_GB2312"/>
          <w:spacing w:val="-7"/>
          <w:sz w:val="32"/>
          <w:szCs w:val="32"/>
        </w:rPr>
        <w:t>次会议修订的《广东省流动人员租赁房屋治安管理规定》同时废止。</w:t>
      </w:r>
    </w:p>
    <w:p>
      <w:pPr>
        <w:widowControl w:val="0"/>
        <w:wordWrap/>
        <w:overflowPunct w:val="0"/>
        <w:spacing w:beforeAutospacing="0" w:afterAutospacing="0" w:line="560" w:lineRule="exact"/>
        <w:textAlignment w:val="auto"/>
        <w:rPr>
          <w:rFonts w:ascii="宋体" w:hAnsi="宋体"/>
          <w:sz w:val="32"/>
          <w:szCs w:val="32"/>
        </w:rPr>
      </w:pPr>
    </w:p>
    <w:p>
      <w:pPr>
        <w:widowControl w:val="0"/>
        <w:wordWrap/>
        <w:overflowPunct w:val="0"/>
        <w:snapToGrid w:val="0"/>
        <w:spacing w:beforeAutospacing="0" w:afterAutospacing="0" w:line="560" w:lineRule="exact"/>
        <w:jc w:val="center"/>
        <w:textAlignment w:val="auto"/>
        <w:rPr>
          <w:rFonts w:hint="eastAsia" w:ascii="宋体" w:hAnsi="宋体" w:eastAsia="方正小标宋简体" w:cs="方正小标宋简体"/>
          <w:sz w:val="32"/>
          <w:szCs w:val="32"/>
        </w:rPr>
      </w:pPr>
    </w:p>
    <w:p>
      <w:pPr>
        <w:widowControl w:val="0"/>
        <w:wordWrap/>
        <w:overflowPunct w:val="0"/>
        <w:snapToGrid w:val="0"/>
        <w:spacing w:beforeAutospacing="0" w:afterAutospacing="0" w:line="560" w:lineRule="exact"/>
        <w:jc w:val="center"/>
        <w:textAlignment w:val="auto"/>
        <w:rPr>
          <w:rFonts w:hint="eastAsia" w:ascii="宋体" w:hAnsi="宋体" w:eastAsia="方正小标宋简体" w:cs="方正小标宋简体"/>
          <w:sz w:val="32"/>
          <w:szCs w:val="32"/>
        </w:rPr>
      </w:pPr>
      <w:r>
        <w:rPr>
          <w:rFonts w:hint="eastAsia" w:ascii="宋体" w:hAnsi="宋体" w:eastAsia="方正小标宋简体" w:cs="方正小标宋简体"/>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7" w:name="_Toc11130"/>
      <w:r>
        <w:rPr>
          <w:rFonts w:hint="eastAsia" w:ascii="宋体" w:hAnsi="宋体" w:eastAsia="宋体" w:cs="宋体"/>
          <w:color w:val="000000"/>
          <w:sz w:val="44"/>
          <w:szCs w:val="44"/>
        </w:rPr>
        <w:t>广东省流动人口服务管理条例</w:t>
      </w:r>
      <w:bookmarkEnd w:id="447"/>
    </w:p>
    <w:p>
      <w:pPr>
        <w:pStyle w:val="33"/>
        <w:widowControl w:val="0"/>
        <w:wordWrap/>
        <w:overflowPunct w:val="0"/>
        <w:spacing w:beforeAutospacing="0" w:afterAutospacing="0" w:line="560" w:lineRule="exact"/>
        <w:textAlignment w:val="auto"/>
        <w:rPr>
          <w:rFonts w:hint="eastAsia" w:ascii="宋体" w:hAnsi="宋体"/>
          <w:sz w:val="32"/>
          <w:szCs w:val="32"/>
        </w:rPr>
      </w:pPr>
    </w:p>
    <w:p>
      <w:pPr>
        <w:widowControl w:val="0"/>
        <w:wordWrap/>
        <w:overflowPunct w:val="0"/>
        <w:adjustRightInd w:val="0"/>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 xml:space="preserve"> （1998年12月31日广东省第九届人民代表大会常务委员会第七次会议通过《广东省流动人员管理条例》　根据2003年7月25日广东省第十届人民代表大会常务委员会第五次会议《关于修改〈广东省流动人员管理条例〉的决定》第一次修正　2009年7月30日广东省第十一届人民代表大会常务委员会第十二次会议修订为《广东省流动人口服务管理条例》  2017年7月27日广东省第十二届人民代表大会常务委员会第三十四次会议第二次修订  </w:t>
      </w:r>
      <w:r>
        <w:rPr>
          <w:rFonts w:hint="eastAsia" w:ascii="宋体" w:hAnsi="宋体" w:eastAsia="楷体_GB2312" w:cs="楷体_GB2312"/>
          <w:sz w:val="32"/>
          <w:szCs w:val="32"/>
          <w:lang w:val="en-US" w:eastAsia="zh-CN"/>
        </w:rPr>
        <w:t>根据2019年11月29日广东省第十三届人民代表大会常务委员会第十五次会议《</w:t>
      </w:r>
      <w:r>
        <w:rPr>
          <w:rFonts w:hint="eastAsia" w:ascii="宋体" w:hAnsi="宋体" w:eastAsia="楷体_GB2312" w:cs="楷体_GB2312"/>
          <w:b w:val="0"/>
          <w:bCs w:val="0"/>
          <w:spacing w:val="0"/>
          <w:sz w:val="32"/>
          <w:szCs w:val="32"/>
          <w:lang w:eastAsia="zh-CN"/>
        </w:rPr>
        <w:t>关于修改〈广东省水利工程管理条例〉</w:t>
      </w:r>
      <w:r>
        <w:rPr>
          <w:rFonts w:hint="eastAsia" w:ascii="宋体" w:hAnsi="宋体" w:eastAsia="楷体_GB2312" w:cs="楷体_GB2312"/>
          <w:spacing w:val="0"/>
          <w:sz w:val="32"/>
          <w:szCs w:val="32"/>
          <w:lang w:eastAsia="zh-CN"/>
        </w:rPr>
        <w:t>等十六项地方性法规的决定</w:t>
      </w:r>
      <w:r>
        <w:rPr>
          <w:rFonts w:hint="eastAsia" w:ascii="宋体" w:hAnsi="宋体" w:eastAsia="楷体_GB2312" w:cs="楷体_GB2312"/>
          <w:sz w:val="32"/>
          <w:szCs w:val="32"/>
          <w:lang w:val="en-US" w:eastAsia="zh-CN"/>
        </w:rPr>
        <w:t>》第二次修正</w:t>
      </w:r>
      <w:r>
        <w:rPr>
          <w:rFonts w:hint="eastAsia" w:ascii="宋体" w:hAnsi="宋体" w:eastAsia="楷体_GB2312"/>
          <w:kern w:val="2"/>
          <w:sz w:val="32"/>
          <w:szCs w:val="32"/>
          <w:lang w:val="en-US" w:eastAsia="zh-CN" w:bidi="ar-SA"/>
        </w:rPr>
        <w:t>）</w:t>
      </w:r>
    </w:p>
    <w:p>
      <w:pPr>
        <w:widowControl w:val="0"/>
        <w:wordWrap/>
        <w:overflowPunct w:val="0"/>
        <w:spacing w:beforeAutospacing="0" w:afterAutospacing="0" w:line="560" w:lineRule="exact"/>
        <w:ind w:firstLine="640" w:firstLineChars="200"/>
        <w:jc w:val="center"/>
        <w:textAlignment w:val="auto"/>
        <w:rPr>
          <w:rFonts w:hint="eastAsia" w:ascii="宋体" w:hAnsi="宋体" w:eastAsia="楷体_GB2312" w:cs="楷体_GB2312"/>
          <w:sz w:val="32"/>
          <w:szCs w:val="32"/>
        </w:rPr>
      </w:pPr>
    </w:p>
    <w:p>
      <w:pPr>
        <w:widowControl w:val="0"/>
        <w:wordWrap/>
        <w:overflowPunct w:val="0"/>
        <w:spacing w:beforeAutospacing="0" w:afterAutospacing="0" w:line="560" w:lineRule="exact"/>
        <w:ind w:firstLine="640" w:firstLineChars="200"/>
        <w:jc w:val="center"/>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目    录</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第二章  </w:t>
      </w:r>
      <w:r>
        <w:rPr>
          <w:rFonts w:hint="eastAsia" w:ascii="宋体" w:hAnsi="宋体" w:eastAsia="楷体_GB2312" w:cs="楷体_GB2312"/>
          <w:sz w:val="32"/>
          <w:szCs w:val="32"/>
          <w:lang w:eastAsia="zh-CN"/>
        </w:rPr>
        <w:t>居住登记</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第三章  </w:t>
      </w:r>
      <w:r>
        <w:rPr>
          <w:rFonts w:hint="eastAsia" w:ascii="宋体" w:hAnsi="宋体" w:eastAsia="楷体_GB2312" w:cs="楷体_GB2312"/>
          <w:sz w:val="32"/>
          <w:szCs w:val="32"/>
          <w:lang w:eastAsia="zh-CN"/>
        </w:rPr>
        <w:t>居住证申领</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第四章  </w:t>
      </w:r>
      <w:r>
        <w:rPr>
          <w:rFonts w:hint="eastAsia" w:ascii="宋体" w:hAnsi="宋体" w:eastAsia="楷体_GB2312" w:cs="楷体_GB2312"/>
          <w:sz w:val="32"/>
          <w:szCs w:val="32"/>
          <w:lang w:eastAsia="zh-CN"/>
        </w:rPr>
        <w:t>权益保障和公共服务</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五</w:t>
      </w:r>
      <w:r>
        <w:rPr>
          <w:rFonts w:hint="eastAsia" w:ascii="宋体" w:hAnsi="宋体" w:eastAsia="楷体_GB2312" w:cs="楷体_GB2312"/>
          <w:sz w:val="32"/>
          <w:szCs w:val="32"/>
        </w:rPr>
        <w:t>章  法律责任</w:t>
      </w:r>
    </w:p>
    <w:p>
      <w:pPr>
        <w:widowControl w:val="0"/>
        <w:wordWrap/>
        <w:overflowPunct w:val="0"/>
        <w:spacing w:beforeAutospacing="0" w:afterAutospacing="0" w:line="560" w:lineRule="exact"/>
        <w:ind w:firstLine="640" w:firstLineChars="200"/>
        <w:textAlignment w:val="auto"/>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六</w:t>
      </w:r>
      <w:r>
        <w:rPr>
          <w:rFonts w:hint="eastAsia" w:ascii="宋体" w:hAnsi="宋体" w:eastAsia="楷体_GB2312" w:cs="楷体_GB2312"/>
          <w:sz w:val="32"/>
          <w:szCs w:val="32"/>
        </w:rPr>
        <w:t>章  附则</w:t>
      </w:r>
    </w:p>
    <w:p>
      <w:pPr>
        <w:pStyle w:val="33"/>
        <w:widowControl w:val="0"/>
        <w:wordWrap/>
        <w:overflowPunct w:val="0"/>
        <w:spacing w:beforeAutospacing="0" w:afterAutospacing="0" w:line="560" w:lineRule="exact"/>
        <w:textAlignment w:val="auto"/>
        <w:rPr>
          <w:rFonts w:hint="eastAsia" w:ascii="宋体" w:hAnsi="宋体"/>
          <w:sz w:val="32"/>
          <w:szCs w:val="32"/>
        </w:rPr>
      </w:pPr>
    </w:p>
    <w:p>
      <w:pPr>
        <w:widowControl w:val="0"/>
        <w:wordWrap/>
        <w:overflowPunct w:val="0"/>
        <w:snapToGrid w:val="0"/>
        <w:spacing w:beforeAutospacing="0" w:afterAutospacing="0" w:line="560" w:lineRule="exact"/>
        <w:textAlignment w:val="auto"/>
        <w:rPr>
          <w:rFonts w:hint="eastAsia" w:ascii="宋体" w:hAnsi="宋体" w:cs="仿宋"/>
          <w:sz w:val="32"/>
          <w:szCs w:val="32"/>
        </w:rPr>
      </w:pPr>
    </w:p>
    <w:p>
      <w:pPr>
        <w:widowControl w:val="0"/>
        <w:wordWrap/>
        <w:overflowPunct w:val="0"/>
        <w:snapToGrid w:val="0"/>
        <w:spacing w:beforeAutospacing="0" w:afterAutospacing="0" w:line="560" w:lineRule="exact"/>
        <w:ind w:firstLine="3200" w:firstLineChars="1000"/>
        <w:textAlignment w:val="auto"/>
        <w:rPr>
          <w:rFonts w:hint="eastAsia" w:ascii="宋体" w:hAnsi="宋体" w:eastAsia="黑体" w:cs="黑体"/>
          <w:sz w:val="32"/>
          <w:szCs w:val="32"/>
        </w:rPr>
      </w:pPr>
      <w:r>
        <w:rPr>
          <w:rFonts w:hint="eastAsia" w:ascii="宋体" w:hAnsi="宋体" w:eastAsia="黑体" w:cs="黑体"/>
          <w:sz w:val="32"/>
          <w:szCs w:val="32"/>
        </w:rPr>
        <w:t>第一章  总  则</w:t>
      </w:r>
    </w:p>
    <w:p>
      <w:pPr>
        <w:pStyle w:val="33"/>
        <w:widowControl w:val="0"/>
        <w:wordWrap/>
        <w:overflowPunct w:val="0"/>
        <w:spacing w:beforeAutospacing="0" w:afterAutospacing="0" w:line="560" w:lineRule="exact"/>
        <w:ind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第一条</w:t>
      </w:r>
      <w:r>
        <w:rPr>
          <w:rFonts w:hint="eastAsia" w:ascii="宋体" w:hAnsi="宋体" w:cs="仿宋_GB2312"/>
          <w:sz w:val="32"/>
          <w:szCs w:val="32"/>
        </w:rPr>
        <w:t xml:space="preserve"> 为了保障流动人口的合法权益，加强流动人口服务管理，维护社会秩序，根据国务院《居住证暂行条例》和有关法律、法规，结合本省实际，制定本条例。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第二条</w:t>
      </w:r>
      <w:r>
        <w:rPr>
          <w:rFonts w:hint="eastAsia" w:ascii="宋体" w:hAnsi="宋体" w:cs="仿宋_GB2312"/>
          <w:sz w:val="32"/>
          <w:szCs w:val="32"/>
        </w:rPr>
        <w:t xml:space="preserve"> 本条例适用于本省行政区域内流动人口的居住管理、权益保障和公共服务。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本条例所称流动人口，是指离开常住户口所在地进入本省和在本省行政区域内跨地级以上市居住的人员。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第三条</w:t>
      </w:r>
      <w:r>
        <w:rPr>
          <w:rFonts w:hint="eastAsia" w:ascii="宋体" w:hAnsi="宋体" w:cs="仿宋_GB2312"/>
          <w:sz w:val="32"/>
          <w:szCs w:val="32"/>
        </w:rPr>
        <w:t xml:space="preserve"> 流动人口的服务管理工作，应当遵循以人为本、便民高效、规范有序和居住地属地管理的原则。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第四条</w:t>
      </w:r>
      <w:r>
        <w:rPr>
          <w:rFonts w:hint="eastAsia" w:ascii="宋体" w:hAnsi="宋体" w:cs="仿宋_GB2312"/>
          <w:sz w:val="32"/>
          <w:szCs w:val="32"/>
        </w:rPr>
        <w:t xml:space="preserve"> 流动人口服务管理实行居住登记和居住证制度。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广东省居住证是持证人在本省行政区域内居住地居住、作为常住人口享受基本公共服务和便利、申请登记常住户口的证明。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第五条</w:t>
      </w:r>
      <w:r>
        <w:rPr>
          <w:rFonts w:hint="eastAsia" w:ascii="宋体" w:hAnsi="宋体" w:cs="仿宋_GB2312"/>
          <w:sz w:val="32"/>
          <w:szCs w:val="32"/>
        </w:rPr>
        <w:t xml:space="preserve"> 各级人民政府负责本行政区域内流动人口的服务管理和权益保障工作。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各级人民政府应当将流动人口的服务管理工作纳入国民经济和社会发展规划，逐步实现基本公共服务均等化。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流动人口的服务管理工作所需经费纳入各级人民政府财政预算。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第六条</w:t>
      </w:r>
      <w:r>
        <w:rPr>
          <w:rFonts w:hint="eastAsia" w:ascii="宋体" w:hAnsi="宋体" w:cs="仿宋_GB2312"/>
          <w:sz w:val="32"/>
          <w:szCs w:val="32"/>
        </w:rPr>
        <w:t xml:space="preserve"> 县级以上人民政府可以根据实际需要指定或者成立负责流动人口服务管理统筹工作的机构，组织、协调、指导、督促各有关部门的流动人口服务管理工作。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
          <w:sz w:val="32"/>
          <w:szCs w:val="32"/>
        </w:rPr>
        <w:t>　　</w:t>
      </w:r>
      <w:r>
        <w:rPr>
          <w:rFonts w:hint="eastAsia" w:ascii="宋体" w:hAnsi="宋体" w:cs="仿宋_GB2312"/>
          <w:sz w:val="32"/>
          <w:szCs w:val="32"/>
        </w:rPr>
        <w:t>县级以上人民政府发</w:t>
      </w:r>
      <w:r>
        <w:rPr>
          <w:rFonts w:hint="eastAsia" w:ascii="宋体" w:hAnsi="宋体" w:eastAsia="仿宋_GB2312" w:cs="仿宋_GB2312"/>
          <w:sz w:val="32"/>
          <w:szCs w:val="32"/>
        </w:rPr>
        <w:t>展改革、教育、公安、民政、司法行政、财政、人力资源社会保障、住房城乡建设、卫生健康、市场监督管理等有关部门按照职责分工开展流动</w:t>
      </w:r>
      <w:r>
        <w:rPr>
          <w:rFonts w:hint="eastAsia" w:ascii="宋体" w:hAnsi="宋体" w:cs="仿宋_GB2312"/>
          <w:sz w:val="32"/>
          <w:szCs w:val="32"/>
        </w:rPr>
        <w:t xml:space="preserve">人口服务管理工作。 </w:t>
      </w:r>
    </w:p>
    <w:p>
      <w:pPr>
        <w:widowControl w:val="0"/>
        <w:wordWrap/>
        <w:overflowPunct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 xml:space="preserve">工会、共青团、妇联等人民团体和居民委员会、村民委员会等群众性自治组织以及用人单位、房屋出租人、就读学校应当协助做好流动人口服务管理工作。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
          <w:sz w:val="32"/>
          <w:szCs w:val="32"/>
        </w:rPr>
        <w:t>　　</w:t>
      </w:r>
      <w:r>
        <w:rPr>
          <w:rFonts w:hint="eastAsia" w:ascii="宋体" w:hAnsi="宋体" w:eastAsia="黑体" w:cs="黑体"/>
          <w:sz w:val="32"/>
          <w:szCs w:val="32"/>
        </w:rPr>
        <w:t>第七条</w:t>
      </w:r>
      <w:r>
        <w:rPr>
          <w:rFonts w:hint="eastAsia" w:ascii="宋体" w:hAnsi="宋体" w:cs="仿宋_GB2312"/>
          <w:sz w:val="32"/>
          <w:szCs w:val="32"/>
        </w:rPr>
        <w:t xml:space="preserve"> 公安机关负责流动人口的居住登记、居住变更登记和居住证管理工作。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乡镇、街道承担流动人口服务管理工作的机构受公安机关委托，开展居住登记、居住变更登记和居住证申领受理、发放、签注等具体工作，并受其他行政管理部门委托，开展流动人口服务管理的日常工作。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第八条</w:t>
      </w:r>
      <w:r>
        <w:rPr>
          <w:rFonts w:hint="eastAsia" w:ascii="宋体" w:hAnsi="宋体" w:cs="仿宋_GB2312"/>
          <w:sz w:val="32"/>
          <w:szCs w:val="32"/>
        </w:rPr>
        <w:t xml:space="preserve"> 县级以上人民政府可以根据需要决定聘用流动人口协管人员。流动人口协管人员的规模、聘用条件、聘用程序及其工作职责和管理办法由地级以上市人民政府制定。 </w:t>
      </w:r>
    </w:p>
    <w:p>
      <w:pPr>
        <w:widowControl w:val="0"/>
        <w:wordWrap/>
        <w:overflowPunct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eastAsia="黑体" w:cs="黑体"/>
          <w:sz w:val="32"/>
          <w:szCs w:val="32"/>
        </w:rPr>
        <w:t>第九条</w:t>
      </w:r>
      <w:r>
        <w:rPr>
          <w:rFonts w:hint="eastAsia" w:ascii="宋体" w:hAnsi="宋体" w:cs="仿宋_GB2312"/>
          <w:sz w:val="32"/>
          <w:szCs w:val="32"/>
        </w:rPr>
        <w:t xml:space="preserve"> 县级以上人民政府应当按照全省统一、资源整合、互联互通的原则，建立和完善流动人口综合服务管理信息系统和人口信息数据库，加强政府职能部门之间、地区之间的信息共享，为推进社会保险、住房公积金等转移接续制度，实现基本公共服务常住人口全覆盖提供信息支持，为流动人口办理有关事项和获取公共服务提供便利。 </w:t>
      </w:r>
    </w:p>
    <w:p>
      <w:pPr>
        <w:pStyle w:val="33"/>
        <w:widowControl w:val="0"/>
        <w:wordWrap/>
        <w:overflowPunct w:val="0"/>
        <w:spacing w:beforeAutospacing="0" w:afterAutospacing="0" w:line="560" w:lineRule="exact"/>
        <w:ind w:firstLine="640"/>
        <w:textAlignment w:val="auto"/>
        <w:rPr>
          <w:rFonts w:hint="eastAsia" w:ascii="宋体" w:hAnsi="宋体" w:eastAsia="仿宋_GB2312" w:cs="仿宋_GB2312"/>
          <w:sz w:val="32"/>
          <w:szCs w:val="32"/>
        </w:rPr>
      </w:pPr>
    </w:p>
    <w:p>
      <w:pPr>
        <w:widowControl w:val="0"/>
        <w:numPr>
          <w:ilvl w:val="0"/>
          <w:numId w:val="18"/>
        </w:numPr>
        <w:wordWrap/>
        <w:overflowPunct w:val="0"/>
        <w:snapToGrid w:val="0"/>
        <w:spacing w:beforeAutospacing="0" w:afterAutospacing="0" w:line="560" w:lineRule="exact"/>
        <w:ind w:firstLine="2880" w:firstLineChars="900"/>
        <w:textAlignment w:val="auto"/>
        <w:rPr>
          <w:rFonts w:hint="eastAsia" w:ascii="宋体" w:hAnsi="宋体" w:eastAsia="黑体" w:cs="黑体"/>
          <w:sz w:val="32"/>
          <w:szCs w:val="32"/>
        </w:rPr>
      </w:pPr>
      <w:r>
        <w:rPr>
          <w:rFonts w:hint="eastAsia" w:ascii="宋体" w:hAnsi="宋体" w:eastAsia="黑体" w:cs="黑体"/>
          <w:sz w:val="32"/>
          <w:szCs w:val="32"/>
        </w:rPr>
        <w:t>居住登记</w:t>
      </w:r>
    </w:p>
    <w:p>
      <w:pPr>
        <w:pStyle w:val="33"/>
        <w:widowControl w:val="0"/>
        <w:wordWrap/>
        <w:overflowPunct w:val="0"/>
        <w:spacing w:beforeAutospacing="0" w:afterAutospacing="0" w:line="560" w:lineRule="exact"/>
        <w:ind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第十条</w:t>
      </w:r>
      <w:r>
        <w:rPr>
          <w:rFonts w:hint="eastAsia" w:ascii="宋体" w:hAnsi="宋体" w:cs="仿宋_GB2312"/>
          <w:sz w:val="32"/>
          <w:szCs w:val="32"/>
        </w:rPr>
        <w:t xml:space="preserve"> 流动人口应当自到达居住地之日起三个工作日内持本人居民身份证或者户口簿、护照等其他有效身份证明、居住地住址证明向居住地公安派出所或者乡镇、街道承担流动人口服务管理工作的机构申报居住登记。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流动人口变更居住地址的，应当自变更之日起三个工作日内持本人居民身份证或者户口簿、护照等其他有效身份证明、居住地住址证明向居住地公安派出所或者乡镇、街道承担流动人口服务管理工作的机构申报居住变更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流动人口申报居住登记或者居住变更登记，公安派出所或者乡镇、街道承担流动人口服务管理工作的机构应当发给相应的登记凭证。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第十一条</w:t>
      </w:r>
      <w:r>
        <w:rPr>
          <w:rFonts w:hint="eastAsia" w:ascii="宋体" w:hAnsi="宋体" w:cs="仿宋_GB2312"/>
          <w:sz w:val="32"/>
          <w:szCs w:val="32"/>
        </w:rPr>
        <w:t xml:space="preserve"> 流动人口符合下列情形之一的，可以不申报居住登记：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（一）在居住地就医、探亲、旅游、出差的；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（二）在全日制小学、中学、中高等职业学校或者普通高等学校就读的；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（三）在宾馆、酒店、旅店、招待所以及其他可供住宿的经营性服务场所居住，且已按照有关规定办理旅馆业住宿登记的。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第十二条</w:t>
      </w:r>
      <w:r>
        <w:rPr>
          <w:rFonts w:hint="eastAsia" w:ascii="宋体" w:hAnsi="宋体" w:cs="仿宋_GB2312"/>
          <w:sz w:val="32"/>
          <w:szCs w:val="32"/>
        </w:rPr>
        <w:t xml:space="preserve"> 房屋出租人或者其委托代理人应当在流动人口入住后二十四小时内登记其姓名、身份证件种类和号码等基本情况，在三个工作日内报告当地公安派出所或者乡镇、街道承担流动人口服务管理工作的机构，并督促其按照规定申报居住登记或者居住变更登记。流动人口终止居住的，房屋出租人或者其委托代理人应当在流动人口离开后三个工作日内报告当地公安派出所或者乡镇、街道承担流动人口服务管理工作的机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第十三条</w:t>
      </w:r>
      <w:r>
        <w:rPr>
          <w:rFonts w:hint="eastAsia" w:ascii="宋体" w:hAnsi="宋体" w:cs="仿宋_GB2312"/>
          <w:sz w:val="32"/>
          <w:szCs w:val="32"/>
        </w:rPr>
        <w:t xml:space="preserve"> 用人单位招用流动人口的，应当督促其按照规定申报居住登记或者居住变更登记。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ind w:firstLine="2560" w:firstLineChars="800"/>
        <w:textAlignment w:val="auto"/>
        <w:rPr>
          <w:rFonts w:hint="eastAsia" w:ascii="宋体" w:hAnsi="宋体" w:eastAsia="黑体" w:cs="黑体"/>
          <w:sz w:val="32"/>
          <w:szCs w:val="32"/>
        </w:rPr>
      </w:pPr>
      <w:r>
        <w:rPr>
          <w:rFonts w:hint="eastAsia" w:ascii="宋体" w:hAnsi="宋体" w:eastAsia="黑体" w:cs="黑体"/>
          <w:sz w:val="32"/>
          <w:szCs w:val="32"/>
        </w:rPr>
        <w:t>第三章  居住证申领</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第十四条</w:t>
      </w:r>
      <w:r>
        <w:rPr>
          <w:rFonts w:hint="eastAsia" w:ascii="宋体" w:hAnsi="宋体" w:cs="仿宋_GB2312"/>
          <w:sz w:val="32"/>
          <w:szCs w:val="32"/>
        </w:rPr>
        <w:t xml:space="preserve"> 流动人口在居住地居住半年以上，符合有合法稳定就业、合法稳定住所、连续就读条件之一的，可以按照规定申领居住证。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前款规定的居住时间自申报居住登记之日起计算。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第十五条</w:t>
      </w:r>
      <w:r>
        <w:rPr>
          <w:rFonts w:hint="eastAsia" w:ascii="宋体" w:hAnsi="宋体" w:cs="仿宋_GB2312"/>
          <w:sz w:val="32"/>
          <w:szCs w:val="32"/>
        </w:rPr>
        <w:t xml:space="preserve"> 申领居住证，应当向居住地公安派出所或者乡镇、街道承担流动人口服务管理工作的机构提交本人居民身份证、本人相片以及居住地住址、就业、就读等证明材料。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公安派出所或者乡镇、街道承担流动人口服务管理工作的机构收到申领广东省居住证的相关材料后，对材料齐全的，应当受理，出具受理凭证；对申请材料不齐全的，应当一次性告知申领人需要补充的材料。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第十六条</w:t>
      </w:r>
      <w:r>
        <w:rPr>
          <w:rFonts w:hint="eastAsia" w:ascii="宋体" w:hAnsi="宋体" w:cs="仿宋_GB2312"/>
          <w:sz w:val="32"/>
          <w:szCs w:val="32"/>
        </w:rPr>
        <w:t xml:space="preserve"> 广东省居住证由省人民政府公安机关统一印制，县级人民政府公安机关签发。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居住证每年签注一次，居住证持有人在居住地连续居住的，应当在居住每满一年之日前一个月内，到居住地公安派出所或者乡镇、街道承担流动人口服务管理工作的机构办理签注手续。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逾期未办理签注手续的，居住证使用功能中止；补办签注手续的，居住证的使用功能恢复，居住证持有人在居住地的居住年限自补办签注手续之日起连续计算。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第十七条</w:t>
      </w:r>
      <w:r>
        <w:rPr>
          <w:rFonts w:hint="eastAsia" w:ascii="宋体" w:hAnsi="宋体" w:cs="仿宋_GB2312"/>
          <w:sz w:val="32"/>
          <w:szCs w:val="32"/>
        </w:rPr>
        <w:t xml:space="preserve"> 居住证遗失、损坏或者登载内容发生变更的，居住证持有人应当及时向居住地公安派出所或者乡镇、街道承担流动人口服务管理工作的机构申请补领、换领。换领新证时，应当交回原证。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居住证持有人申报居住地住址变更登记的，无需换领新证。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第十八条</w:t>
      </w:r>
      <w:r>
        <w:rPr>
          <w:rFonts w:hint="eastAsia" w:ascii="宋体" w:hAnsi="宋体" w:cs="仿宋_GB2312"/>
          <w:sz w:val="32"/>
          <w:szCs w:val="32"/>
        </w:rPr>
        <w:t xml:space="preserve"> 流动人口按照规定申领或者补领、换领居住证，公安派出所或者乡镇、街道承担流动人口服务管理工作的机构应当自受理之日起十个工作日内予以发放。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第十九条</w:t>
      </w:r>
      <w:r>
        <w:rPr>
          <w:rFonts w:hint="eastAsia" w:ascii="宋体" w:hAnsi="宋体" w:cs="仿宋_GB2312"/>
          <w:sz w:val="32"/>
          <w:szCs w:val="32"/>
        </w:rPr>
        <w:t xml:space="preserve"> 公安机关人民警察依法执行职务，需要查验居住证时，被查验者应当予以配合。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其他有关行政管理部门和乡镇、街道承担流动人口服务管理工作的机构在履行法定职责或者为流动人口提供服务时，可以要求居住证持有人出示居住证，居住证持有人应当予以配合。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除法律、行政法规规定的情形外，任何单位和个人不得扣押居住证。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第二十条</w:t>
      </w:r>
      <w:r>
        <w:rPr>
          <w:rFonts w:hint="eastAsia" w:ascii="宋体" w:hAnsi="宋体" w:cs="仿宋_GB2312"/>
          <w:sz w:val="32"/>
          <w:szCs w:val="32"/>
        </w:rPr>
        <w:t xml:space="preserve"> 流动人口办理居住登记、居住变更登记、首次领取居住证和办理居住证签注手续，办理单位不得收取费用。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补领、换领居住证的，应当按照有关规定缴纳证件工本费。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未经省人民政府批准，办理流动人口居住登记、居住变更登记、居住证时不得附加其他收费。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第二十一条</w:t>
      </w:r>
      <w:r>
        <w:rPr>
          <w:rFonts w:hint="eastAsia" w:ascii="宋体" w:hAnsi="宋体" w:cs="仿宋_GB2312"/>
          <w:sz w:val="32"/>
          <w:szCs w:val="32"/>
        </w:rPr>
        <w:t xml:space="preserve"> 行政管理部门、公安派出所和乡镇、街道承担流动人口服务管理工作的机构及其工作人员对工作过程中所获悉的有关流动人口信息应当予以保密，不得用于法定职责以外的用途。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ind w:firstLine="2240" w:firstLineChars="700"/>
        <w:textAlignment w:val="auto"/>
        <w:rPr>
          <w:rFonts w:hint="eastAsia" w:ascii="宋体" w:hAnsi="宋体" w:cs="仿宋_GB2312"/>
          <w:sz w:val="32"/>
          <w:szCs w:val="32"/>
        </w:rPr>
      </w:pPr>
      <w:r>
        <w:rPr>
          <w:rFonts w:hint="eastAsia" w:ascii="宋体" w:hAnsi="宋体" w:eastAsia="黑体" w:cs="黑体"/>
          <w:sz w:val="32"/>
          <w:szCs w:val="32"/>
        </w:rPr>
        <w:t>第四章  权益保障和公共服务</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第二十二条</w:t>
      </w:r>
      <w:r>
        <w:rPr>
          <w:rFonts w:hint="eastAsia" w:ascii="宋体" w:hAnsi="宋体" w:cs="仿宋_GB2312"/>
          <w:sz w:val="32"/>
          <w:szCs w:val="32"/>
        </w:rPr>
        <w:t xml:space="preserve"> 各级人民政府应当建立和完善流动人口的权益保障机制、社会保障体系和公共服务网络。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第二十三条</w:t>
      </w:r>
      <w:r>
        <w:rPr>
          <w:rFonts w:hint="eastAsia" w:ascii="宋体" w:hAnsi="宋体" w:cs="仿宋_GB2312"/>
          <w:sz w:val="32"/>
          <w:szCs w:val="32"/>
        </w:rPr>
        <w:t xml:space="preserve"> 县级以上人民政府应当逐步将流动人口权益保障、公共服务、居住管理等纳入居住登记和居住证制度，完善和扩大居住证件的使用功能。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公安机关和乡镇、街道承担流动人口服务管理工作的机构应当拓展流动人口信息的申报、采集、核对方式，运用移动终端、互联网等现代信息技术及其他便捷的手段，及时告知公共服务和便利以及签注时限等信息，逐步推行利用公共资源数据库有效信息替代流动人口提供有关证明材料，为流动人口办理居住登记、居住变更登记和居住证以及查询相关办理信息提供便利。有关公共服务机构和商业服务组织应当为居住证的使用提供便利。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第二十四条</w:t>
      </w:r>
      <w:r>
        <w:rPr>
          <w:rFonts w:hint="eastAsia" w:ascii="宋体" w:hAnsi="宋体" w:cs="仿宋_GB2312"/>
          <w:sz w:val="32"/>
          <w:szCs w:val="32"/>
        </w:rPr>
        <w:t xml:space="preserve"> 居住证持有人在居住地依法享受劳动就业，参加社会保险，缴存、提取和使用住房公积金的权利。县级以上人民政府及其有关部门应当为居住证持有人提供下列基本公共服务：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（一）义务教育；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（二）基本公共就业服务；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（三）基本公共卫生服务和计划生育服务；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（四）公共文化体育服务；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（五）法律援助和其他法律服务；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（六）国家和居住地人民政府规定的其他基本公共服务。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第二十五条</w:t>
      </w:r>
      <w:r>
        <w:rPr>
          <w:rFonts w:hint="eastAsia" w:ascii="宋体" w:hAnsi="宋体" w:cs="仿宋_GB2312"/>
          <w:sz w:val="32"/>
          <w:szCs w:val="32"/>
        </w:rPr>
        <w:t xml:space="preserve"> 居住证持有人在居住地享受下列便利：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（一）按照国家有关规定办理出入境证件；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（二）按照国家有关规定换领、补领居民身份证；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（三）机动车登记；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（四）申领机动车驾驶证；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（五）报名参加职业资格考试、申请授予职业资格；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（六）办理生育登记和其他计划生育证明材料；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（七）国家和居住地人民政府规定的其他便利。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居住地人民政府可以根据实际制定居住凭证持有人享受便利的具体办法。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第二十六条</w:t>
      </w:r>
      <w:r>
        <w:rPr>
          <w:rFonts w:hint="eastAsia" w:ascii="宋体" w:hAnsi="宋体" w:cs="仿宋_GB2312"/>
          <w:sz w:val="32"/>
          <w:szCs w:val="32"/>
        </w:rPr>
        <w:t xml:space="preserve"> 各级人民政府及其有关部门应当积极创造条件，逐步扩大为居住证持有人提供公共服务和便利的范围，不断提高服务标准，并及时向社会公布公共服务和便利的具体内容，加快推进基本公共服务均等化。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第二十七条</w:t>
      </w:r>
      <w:r>
        <w:rPr>
          <w:rFonts w:hint="eastAsia" w:ascii="宋体" w:hAnsi="宋体" w:cs="仿宋_GB2312"/>
          <w:sz w:val="32"/>
          <w:szCs w:val="32"/>
        </w:rPr>
        <w:t xml:space="preserve"> 居住证持有人符合居住地人民政府规定的落户条件的，可以根据本人意愿，将常住户口由原户口所在地迁入居住地。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居住地人民政府应当根据国家和省有关户籍制度改革的政策规定，放宽落户条件，具体办法由居住地地级以上市人民政府制定。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第二十八条</w:t>
      </w:r>
      <w:r>
        <w:rPr>
          <w:rFonts w:hint="eastAsia" w:ascii="宋体" w:hAnsi="宋体" w:cs="仿宋_GB2312"/>
          <w:sz w:val="32"/>
          <w:szCs w:val="32"/>
        </w:rPr>
        <w:t xml:space="preserve"> 流动人口合法权益受到侵害的，可以向有关行政管理部门投诉，有关行政管理部门应当及时受理，并依法处理。 </w:t>
      </w:r>
    </w:p>
    <w:p>
      <w:pPr>
        <w:widowControl w:val="0"/>
        <w:wordWrap/>
        <w:overflowPunct w:val="0"/>
        <w:snapToGrid w:val="0"/>
        <w:spacing w:beforeAutospacing="0" w:afterAutospacing="0" w:line="560" w:lineRule="exact"/>
        <w:ind w:firstLine="640" w:firstLineChars="200"/>
        <w:textAlignment w:val="auto"/>
        <w:rPr>
          <w:rFonts w:hint="eastAsia" w:ascii="宋体" w:hAnsi="宋体" w:cs="仿宋_GB2312"/>
          <w:sz w:val="32"/>
          <w:szCs w:val="32"/>
        </w:rPr>
      </w:pPr>
      <w:r>
        <w:rPr>
          <w:rFonts w:hint="eastAsia" w:ascii="宋体" w:hAnsi="宋体" w:cs="仿宋_GB2312"/>
          <w:sz w:val="32"/>
          <w:szCs w:val="32"/>
        </w:rPr>
        <w:t xml:space="preserve">公安派出所和乡镇、街道承担流动人口服务管理工作的机构应当公布流动人口办事指南，公开投诉方式、受理机构等事项。 </w:t>
      </w:r>
    </w:p>
    <w:p>
      <w:pPr>
        <w:pStyle w:val="33"/>
        <w:widowControl w:val="0"/>
        <w:wordWrap/>
        <w:overflowPunct w:val="0"/>
        <w:spacing w:beforeAutospacing="0" w:afterAutospacing="0" w:line="560" w:lineRule="exact"/>
        <w:ind w:firstLine="64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ind w:left="2560" w:leftChars="800" w:firstLine="960" w:firstLineChars="300"/>
        <w:textAlignment w:val="auto"/>
        <w:rPr>
          <w:rFonts w:hint="eastAsia" w:ascii="宋体" w:hAnsi="宋体" w:cs="仿宋_GB2312"/>
          <w:sz w:val="32"/>
          <w:szCs w:val="32"/>
        </w:rPr>
      </w:pPr>
      <w:r>
        <w:rPr>
          <w:rFonts w:hint="eastAsia" w:ascii="宋体" w:hAnsi="宋体" w:eastAsia="黑体" w:cs="黑体"/>
          <w:sz w:val="32"/>
          <w:szCs w:val="32"/>
        </w:rPr>
        <w:t>第五章  法律责任</w:t>
      </w:r>
    </w:p>
    <w:p>
      <w:pPr>
        <w:pStyle w:val="33"/>
        <w:widowControl w:val="0"/>
        <w:wordWrap/>
        <w:overflowPunct w:val="0"/>
        <w:spacing w:beforeAutospacing="0" w:afterAutospacing="0" w:line="560" w:lineRule="exact"/>
        <w:ind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第二十九条</w:t>
      </w:r>
      <w:r>
        <w:rPr>
          <w:rFonts w:hint="eastAsia" w:ascii="宋体" w:hAnsi="宋体" w:cs="仿宋_GB2312"/>
          <w:sz w:val="32"/>
          <w:szCs w:val="32"/>
        </w:rPr>
        <w:t xml:space="preserve"> 流动人口未按照本条例第十条第一款、第二款规定申报居住登记、居住变更登记的，由公安机关责令限期改正，并可以给予警告。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第三十条</w:t>
      </w:r>
      <w:r>
        <w:rPr>
          <w:rFonts w:hint="eastAsia" w:ascii="宋体" w:hAnsi="宋体" w:cs="仿宋_GB2312"/>
          <w:sz w:val="32"/>
          <w:szCs w:val="32"/>
        </w:rPr>
        <w:t xml:space="preserve"> 房屋出租人或者其委托代理人未按照本条例第十二条规定报告流动人口基本情况或者流动人口终止居住情况的，由公安机关依照有关规定处理。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第三十一条</w:t>
      </w:r>
      <w:r>
        <w:rPr>
          <w:rFonts w:hint="eastAsia" w:ascii="宋体" w:hAnsi="宋体" w:cs="仿宋_GB2312"/>
          <w:sz w:val="32"/>
          <w:szCs w:val="32"/>
        </w:rPr>
        <w:t xml:space="preserve"> 行政管理部门、公安派出所和乡镇、街道承担流动人口服务管理工作的机构及其工作人员有下列行为之一的，由其上级主管部门或者所在单位视情节轻重，对直接负责的主管人员和其他直接责任人员给予处分；构成犯罪的，依法追究刑事责任：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（一）对侵害流动人口合法权益的行为不依法及时处理的；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（二）对流动人口申报居住登记、居住变更登记或者申办居住证不依法办理的；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（三）违规向流动人口收取费用的；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（四）利用制作、发放居住证等职务上的便利，收受他人财物或者谋取其他利益的；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（五）超越职权或者违反法定情形、处罚种类、数额对流动人口或者相关单位、个人实施处罚的；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（六）篡改居住证信息的；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（七）将工作过程中所获悉的有关流动人口信息用于法定职责以外的用途的；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xml:space="preserve">　　（八）违反流动人口服务管理规定的其他行为。 </w:t>
      </w: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p>
    <w:p>
      <w:pPr>
        <w:widowControl w:val="0"/>
        <w:wordWrap/>
        <w:overflowPunct w:val="0"/>
        <w:snapToGrid w:val="0"/>
        <w:spacing w:beforeAutospacing="0" w:afterAutospacing="0" w:line="560" w:lineRule="exact"/>
        <w:jc w:val="center"/>
        <w:textAlignment w:val="auto"/>
        <w:rPr>
          <w:rFonts w:hint="eastAsia" w:ascii="宋体" w:hAnsi="宋体" w:cs="仿宋_GB2312"/>
          <w:sz w:val="32"/>
          <w:szCs w:val="32"/>
        </w:rPr>
      </w:pPr>
      <w:r>
        <w:rPr>
          <w:rFonts w:hint="eastAsia" w:ascii="宋体" w:hAnsi="宋体" w:eastAsia="黑体" w:cs="黑体"/>
          <w:sz w:val="32"/>
          <w:szCs w:val="32"/>
        </w:rPr>
        <w:t>第六章  附则</w:t>
      </w:r>
    </w:p>
    <w:p>
      <w:pPr>
        <w:pStyle w:val="33"/>
        <w:widowControl w:val="0"/>
        <w:wordWrap/>
        <w:overflowPunct w:val="0"/>
        <w:spacing w:beforeAutospacing="0" w:afterAutospacing="0" w:line="560" w:lineRule="exact"/>
        <w:ind w:left="2560" w:leftChars="800" w:firstLine="0" w:firstLineChars="0"/>
        <w:textAlignment w:val="auto"/>
        <w:rPr>
          <w:rFonts w:hint="eastAsia" w:ascii="宋体" w:hAnsi="宋体" w:eastAsia="仿宋_GB2312" w:cs="仿宋_GB2312"/>
          <w:sz w:val="32"/>
          <w:szCs w:val="32"/>
        </w:rPr>
      </w:pPr>
    </w:p>
    <w:p>
      <w:pPr>
        <w:widowControl w:val="0"/>
        <w:wordWrap/>
        <w:overflowPunct w:val="0"/>
        <w:snapToGrid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t>　　</w:t>
      </w:r>
      <w:r>
        <w:rPr>
          <w:rFonts w:hint="eastAsia" w:ascii="宋体" w:hAnsi="宋体" w:eastAsia="黑体" w:cs="黑体"/>
          <w:sz w:val="32"/>
          <w:szCs w:val="32"/>
        </w:rPr>
        <w:t>第三十二条</w:t>
      </w:r>
      <w:r>
        <w:rPr>
          <w:rFonts w:hint="eastAsia" w:ascii="宋体" w:hAnsi="宋体" w:cs="仿宋_GB2312"/>
          <w:sz w:val="32"/>
          <w:szCs w:val="32"/>
        </w:rPr>
        <w:t xml:space="preserve"> 符合本省引进人才专业需求的流动人口的居住登记和服务管理依照省人民政府的有关规定执行。 </w:t>
      </w:r>
    </w:p>
    <w:p>
      <w:pPr>
        <w:widowControl w:val="0"/>
        <w:wordWrap/>
        <w:overflowPunct w:val="0"/>
        <w:snapToGrid w:val="0"/>
        <w:spacing w:beforeAutospacing="0" w:afterAutospacing="0" w:line="560" w:lineRule="exact"/>
        <w:ind w:firstLine="640"/>
        <w:textAlignment w:val="auto"/>
        <w:rPr>
          <w:rFonts w:hint="eastAsia" w:ascii="宋体" w:hAnsi="宋体" w:cs="仿宋_GB2312"/>
          <w:sz w:val="32"/>
          <w:szCs w:val="32"/>
        </w:rPr>
      </w:pPr>
      <w:r>
        <w:rPr>
          <w:rFonts w:hint="eastAsia" w:ascii="宋体" w:hAnsi="宋体" w:eastAsia="黑体" w:cs="黑体"/>
          <w:sz w:val="32"/>
          <w:szCs w:val="32"/>
        </w:rPr>
        <w:t>第三十三条</w:t>
      </w:r>
      <w:r>
        <w:rPr>
          <w:rFonts w:hint="eastAsia" w:ascii="宋体" w:hAnsi="宋体" w:cs="仿宋_GB2312"/>
          <w:sz w:val="32"/>
          <w:szCs w:val="32"/>
        </w:rPr>
        <w:t xml:space="preserve"> 本条例自2017年9月1日起施行。本条例修订前已发放的居住证，在有效期内继续有效。</w:t>
      </w:r>
    </w:p>
    <w:p>
      <w:pPr>
        <w:pStyle w:val="33"/>
        <w:widowControl w:val="0"/>
        <w:wordWrap/>
        <w:overflowPunct w:val="0"/>
        <w:spacing w:beforeAutospacing="0" w:afterAutospacing="0" w:line="560" w:lineRule="exact"/>
        <w:textAlignment w:val="auto"/>
        <w:rPr>
          <w:rFonts w:hint="eastAsia" w:ascii="宋体" w:hAnsi="宋体" w:cs="仿宋_GB2312"/>
          <w:sz w:val="32"/>
          <w:szCs w:val="32"/>
        </w:rPr>
      </w:pPr>
      <w:r>
        <w:rPr>
          <w:rFonts w:hint="eastAsia" w:ascii="宋体" w:hAnsi="宋体" w:cs="仿宋_GB2312"/>
          <w:sz w:val="32"/>
          <w:szCs w:val="32"/>
        </w:rPr>
        <w:br w:type="page"/>
      </w:r>
    </w:p>
    <w:p>
      <w:pPr>
        <w:widowControl w:val="0"/>
        <w:wordWrap/>
        <w:adjustRightInd/>
        <w:spacing w:line="560" w:lineRule="exact"/>
        <w:jc w:val="center"/>
        <w:textAlignment w:val="auto"/>
        <w:outlineLvl w:val="0"/>
        <w:rPr>
          <w:rFonts w:hint="eastAsia" w:ascii="宋体" w:hAnsi="宋体" w:eastAsia="宋体" w:cs="宋体"/>
          <w:color w:val="000000"/>
          <w:kern w:val="2"/>
          <w:sz w:val="44"/>
          <w:szCs w:val="32"/>
          <w:lang w:val="en-US" w:eastAsia="zh-CN" w:bidi="ar-SA"/>
        </w:rPr>
      </w:pPr>
      <w:bookmarkStart w:id="448" w:name="_Toc9343"/>
      <w:r>
        <w:rPr>
          <w:rFonts w:hint="eastAsia" w:ascii="宋体" w:hAnsi="宋体" w:eastAsia="宋体" w:cs="宋体"/>
          <w:color w:val="000000"/>
          <w:kern w:val="2"/>
          <w:sz w:val="44"/>
          <w:szCs w:val="32"/>
          <w:lang w:val="en-US" w:eastAsia="zh-CN" w:bidi="ar-SA"/>
        </w:rPr>
        <w:t>广东省大气污染防治条例</w:t>
      </w:r>
      <w:bookmarkEnd w:id="448"/>
    </w:p>
    <w:p>
      <w:pPr>
        <w:widowControl w:val="0"/>
        <w:wordWrap/>
        <w:adjustRightInd/>
        <w:snapToGrid/>
        <w:spacing w:line="560" w:lineRule="exact"/>
        <w:ind w:right="0"/>
        <w:jc w:val="both"/>
        <w:textAlignment w:val="auto"/>
        <w:outlineLvl w:val="9"/>
        <w:rPr>
          <w:rFonts w:hint="default" w:ascii="宋体" w:hAnsi="宋体" w:eastAsia="楷体_GB2312" w:cs="Times New Roman"/>
          <w:kern w:val="2"/>
          <w:sz w:val="32"/>
          <w:szCs w:val="32"/>
          <w:lang w:val="en-US" w:eastAsia="zh-CN" w:bidi="ar-SA"/>
        </w:rPr>
      </w:pPr>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楷体_GB2312" w:cs="楷体_GB2312"/>
          <w:color w:val="000000"/>
          <w:sz w:val="32"/>
          <w:szCs w:val="32"/>
        </w:rPr>
      </w:pPr>
      <w:r>
        <w:rPr>
          <w:rFonts w:hint="eastAsia" w:ascii="宋体" w:hAnsi="宋体" w:eastAsia="楷体_GB2312" w:cs="楷体_GB2312"/>
          <w:color w:val="000000"/>
          <w:sz w:val="32"/>
          <w:szCs w:val="32"/>
        </w:rPr>
        <w:t>（20</w:t>
      </w:r>
      <w:r>
        <w:rPr>
          <w:rFonts w:hint="eastAsia" w:ascii="宋体" w:hAnsi="宋体" w:eastAsia="楷体_GB2312" w:cs="楷体_GB2312"/>
          <w:color w:val="000000"/>
          <w:sz w:val="32"/>
          <w:szCs w:val="32"/>
          <w:lang w:val="en-US" w:eastAsia="zh-CN"/>
        </w:rPr>
        <w:t>18</w:t>
      </w:r>
      <w:r>
        <w:rPr>
          <w:rFonts w:hint="eastAsia" w:ascii="宋体" w:hAnsi="宋体" w:eastAsia="楷体_GB2312" w:cs="楷体_GB2312"/>
          <w:color w:val="000000"/>
          <w:sz w:val="32"/>
          <w:szCs w:val="32"/>
        </w:rPr>
        <w:t>年</w:t>
      </w:r>
      <w:r>
        <w:rPr>
          <w:rFonts w:hint="eastAsia" w:ascii="宋体" w:hAnsi="宋体" w:eastAsia="楷体_GB2312" w:cs="楷体_GB2312"/>
          <w:color w:val="000000"/>
          <w:sz w:val="32"/>
          <w:szCs w:val="32"/>
          <w:lang w:val="en-US" w:eastAsia="zh-CN"/>
        </w:rPr>
        <w:t>11</w:t>
      </w:r>
      <w:r>
        <w:rPr>
          <w:rFonts w:hint="eastAsia" w:ascii="宋体" w:hAnsi="宋体" w:eastAsia="楷体_GB2312" w:cs="楷体_GB2312"/>
          <w:color w:val="000000"/>
          <w:sz w:val="32"/>
          <w:szCs w:val="32"/>
        </w:rPr>
        <w:t>月</w:t>
      </w:r>
      <w:r>
        <w:rPr>
          <w:rFonts w:hint="eastAsia" w:ascii="宋体" w:hAnsi="宋体" w:eastAsia="楷体_GB2312" w:cs="楷体_GB2312"/>
          <w:color w:val="000000"/>
          <w:sz w:val="32"/>
          <w:szCs w:val="32"/>
          <w:lang w:val="en-US" w:eastAsia="zh-CN"/>
        </w:rPr>
        <w:t>29</w:t>
      </w:r>
      <w:r>
        <w:rPr>
          <w:rFonts w:hint="eastAsia" w:ascii="宋体" w:hAnsi="宋体" w:eastAsia="楷体_GB2312" w:cs="楷体_GB2312"/>
          <w:color w:val="000000"/>
          <w:sz w:val="32"/>
          <w:szCs w:val="32"/>
        </w:rPr>
        <w:t>日广东省第十</w:t>
      </w:r>
      <w:r>
        <w:rPr>
          <w:rFonts w:hint="eastAsia" w:ascii="宋体" w:hAnsi="宋体" w:eastAsia="楷体_GB2312" w:cs="楷体_GB2312"/>
          <w:color w:val="000000"/>
          <w:sz w:val="32"/>
          <w:szCs w:val="32"/>
          <w:lang w:eastAsia="zh-CN"/>
        </w:rPr>
        <w:t>三</w:t>
      </w:r>
      <w:r>
        <w:rPr>
          <w:rFonts w:hint="eastAsia" w:ascii="宋体" w:hAnsi="宋体" w:eastAsia="楷体_GB2312" w:cs="楷体_GB2312"/>
          <w:color w:val="000000"/>
          <w:sz w:val="32"/>
          <w:szCs w:val="32"/>
        </w:rPr>
        <w:t>届人民代表大会常务委员会第</w:t>
      </w:r>
      <w:r>
        <w:rPr>
          <w:rFonts w:hint="eastAsia" w:ascii="宋体" w:hAnsi="宋体" w:eastAsia="楷体_GB2312" w:cs="楷体_GB2312"/>
          <w:color w:val="000000"/>
          <w:sz w:val="32"/>
          <w:szCs w:val="32"/>
          <w:lang w:eastAsia="zh-CN"/>
        </w:rPr>
        <w:t>七</w:t>
      </w:r>
      <w:r>
        <w:rPr>
          <w:rFonts w:hint="eastAsia" w:ascii="宋体" w:hAnsi="宋体" w:eastAsia="楷体_GB2312" w:cs="楷体_GB2312"/>
          <w:color w:val="000000"/>
          <w:sz w:val="32"/>
          <w:szCs w:val="32"/>
        </w:rPr>
        <w:t>次会议通过）</w:t>
      </w:r>
    </w:p>
    <w:p>
      <w:pPr>
        <w:widowControl w:val="0"/>
        <w:wordWrap/>
        <w:adjustRightInd/>
        <w:spacing w:line="560" w:lineRule="exact"/>
        <w:ind w:firstLine="640" w:firstLineChars="200"/>
        <w:textAlignment w:val="auto"/>
        <w:outlineLvl w:val="9"/>
        <w:rPr>
          <w:rFonts w:hint="eastAsia" w:ascii="宋体" w:hAnsi="宋体" w:eastAsia="楷体_GB2312" w:cs="楷体_GB2312"/>
          <w:color w:val="000000"/>
          <w:sz w:val="32"/>
          <w:szCs w:val="32"/>
        </w:rPr>
      </w:pPr>
    </w:p>
    <w:p>
      <w:pPr>
        <w:widowControl w:val="0"/>
        <w:wordWrap/>
        <w:adjustRightInd/>
        <w:spacing w:before="0" w:beforeLines="0" w:after="0" w:afterLines="0" w:line="560" w:lineRule="exact"/>
        <w:jc w:val="center"/>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目    录</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第一章  总则</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第二章  达标及提升规划</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第三章  监督管理</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shd w:val="clear" w:color="auto" w:fill="FFFFFF"/>
          <w:lang w:val="en-US" w:eastAsia="zh-CN" w:bidi="ar-SA"/>
        </w:rPr>
        <w:t>第四章  工业污染防治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shd w:val="clear" w:color="auto" w:fill="FFFFFF"/>
          <w:lang w:val="en-US" w:eastAsia="zh-CN" w:bidi="ar-SA"/>
        </w:rPr>
        <w:t>第五章  移动源污染防治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lang w:val="en-US" w:eastAsia="zh-CN" w:bidi="ar-SA"/>
        </w:rPr>
      </w:pPr>
      <w:r>
        <w:rPr>
          <w:rFonts w:hint="eastAsia" w:ascii="楷体_GB2312" w:hAnsi="宋体" w:eastAsia="楷体_GB2312" w:cs="Times New Roman"/>
          <w:kern w:val="2"/>
          <w:sz w:val="32"/>
          <w:szCs w:val="32"/>
          <w:lang w:val="en-US" w:eastAsia="zh-CN" w:bidi="ar-SA"/>
        </w:rPr>
        <w:t>第六章  扬尘污染和其他污染防治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shd w:val="clear" w:color="auto" w:fill="FFFFFF"/>
          <w:lang w:val="en-US" w:eastAsia="zh-CN" w:bidi="ar-SA"/>
        </w:rPr>
      </w:pPr>
      <w:r>
        <w:rPr>
          <w:rFonts w:hint="eastAsia" w:ascii="楷体_GB2312" w:hAnsi="宋体" w:eastAsia="楷体_GB2312" w:cs="Times New Roman"/>
          <w:kern w:val="2"/>
          <w:sz w:val="32"/>
          <w:szCs w:val="32"/>
          <w:shd w:val="clear" w:color="auto" w:fill="FFFFFF"/>
          <w:lang w:val="en-US" w:eastAsia="zh-CN" w:bidi="ar-SA"/>
        </w:rPr>
        <w:t>第七章  重污染天气应对和重点区域大气污染联合防治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shd w:val="clear" w:color="auto" w:fill="FFFFFF"/>
          <w:lang w:val="en-US" w:eastAsia="zh-CN" w:bidi="ar-SA"/>
        </w:rPr>
      </w:pPr>
      <w:r>
        <w:rPr>
          <w:rFonts w:hint="eastAsia" w:ascii="楷体_GB2312" w:hAnsi="宋体" w:eastAsia="楷体_GB2312" w:cs="Times New Roman"/>
          <w:kern w:val="2"/>
          <w:sz w:val="32"/>
          <w:szCs w:val="32"/>
          <w:shd w:val="clear" w:color="auto" w:fill="FFFFFF"/>
          <w:lang w:val="en-US" w:eastAsia="zh-CN" w:bidi="ar-SA"/>
        </w:rPr>
        <w:t>第八章  法律责任</w:t>
      </w:r>
    </w:p>
    <w:p>
      <w:pPr>
        <w:widowControl w:val="0"/>
        <w:wordWrap/>
        <w:adjustRightInd/>
        <w:spacing w:before="0" w:beforeLines="0" w:after="0" w:afterLines="0" w:line="560" w:lineRule="exact"/>
        <w:ind w:firstLine="640" w:firstLineChars="200"/>
        <w:jc w:val="both"/>
        <w:textAlignment w:val="auto"/>
        <w:outlineLvl w:val="9"/>
        <w:rPr>
          <w:rFonts w:hint="eastAsia" w:ascii="楷体_GB2312" w:hAnsi="宋体" w:eastAsia="楷体_GB2312" w:cs="Times New Roman"/>
          <w:kern w:val="2"/>
          <w:sz w:val="32"/>
          <w:szCs w:val="32"/>
          <w:shd w:val="clear" w:color="auto" w:fill="FFFFFF"/>
          <w:lang w:val="en-US" w:eastAsia="zh-CN" w:bidi="ar-SA"/>
        </w:rPr>
      </w:pPr>
      <w:r>
        <w:rPr>
          <w:rFonts w:hint="eastAsia" w:ascii="楷体_GB2312" w:hAnsi="宋体" w:eastAsia="楷体_GB2312" w:cs="Times New Roman"/>
          <w:kern w:val="2"/>
          <w:sz w:val="32"/>
          <w:szCs w:val="32"/>
          <w:shd w:val="clear" w:color="auto" w:fill="FFFFFF"/>
          <w:lang w:val="en-US" w:eastAsia="zh-CN" w:bidi="ar-SA"/>
        </w:rPr>
        <w:t>第九章  附  则</w:t>
      </w:r>
    </w:p>
    <w:p>
      <w:pPr>
        <w:widowControl w:val="0"/>
        <w:wordWrap/>
        <w:adjustRightInd/>
        <w:snapToGrid w:val="0"/>
        <w:spacing w:beforeAutospacing="0" w:afterAutospacing="0" w:line="560" w:lineRule="exact"/>
        <w:ind w:left="0" w:leftChars="0" w:right="0"/>
        <w:jc w:val="both"/>
        <w:textAlignment w:val="auto"/>
        <w:outlineLvl w:val="9"/>
        <w:rPr>
          <w:rFonts w:hint="eastAsia" w:ascii="黑体" w:hAnsi="黑体" w:eastAsia="黑体" w:cs="黑体"/>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第一章  总则</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第一条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为</w:t>
      </w:r>
      <w:r>
        <w:rPr>
          <w:rFonts w:hint="eastAsia" w:ascii="仿宋_GB2312" w:hAnsi="仿宋_GB2312" w:eastAsia="仿宋_GB2312" w:cs="仿宋_GB2312"/>
          <w:sz w:val="32"/>
          <w:szCs w:val="32"/>
          <w:highlight w:val="none"/>
          <w:lang w:eastAsia="zh-CN"/>
        </w:rPr>
        <w:t>保护和改善大气环境，</w:t>
      </w:r>
      <w:r>
        <w:rPr>
          <w:rFonts w:hint="eastAsia" w:ascii="仿宋_GB2312" w:hAnsi="仿宋_GB2312" w:eastAsia="仿宋_GB2312" w:cs="仿宋_GB2312"/>
          <w:sz w:val="32"/>
          <w:szCs w:val="32"/>
          <w:highlight w:val="none"/>
        </w:rPr>
        <w:t>防治大气污染，保障公众健康，推进生态文明建设，促进经济社会可持续发展，根据《中华人民共和国环境保护法》</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《中华人民共和国大气污染防治法》等法律法规，结合本省实际，制定本条例。</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第二条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本条例适用于本省行政区域内大气污染防治及其监督管理。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第三条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各级人民政府应当对本行政区域的大气环境质量负责。</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县级以上人民政府应当加强对大气污染防治工作的领导，优化产业结构</w:t>
      </w:r>
      <w:r>
        <w:rPr>
          <w:rFonts w:hint="eastAsia" w:ascii="仿宋_GB2312" w:hAnsi="仿宋_GB2312" w:eastAsia="仿宋_GB2312" w:cs="仿宋_GB2312"/>
          <w:sz w:val="32"/>
          <w:szCs w:val="32"/>
          <w:highlight w:val="none"/>
          <w:lang w:eastAsia="zh-CN"/>
        </w:rPr>
        <w:t>、能源结构和运输结构</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i w:val="0"/>
          <w:iCs w:val="0"/>
          <w:sz w:val="32"/>
          <w:szCs w:val="32"/>
          <w:highlight w:val="none"/>
          <w:u w:val="none"/>
        </w:rPr>
        <w:t>加大对大气污染防治的财政投入，</w:t>
      </w:r>
      <w:r>
        <w:rPr>
          <w:rFonts w:hint="eastAsia" w:ascii="仿宋_GB2312" w:hAnsi="仿宋_GB2312" w:eastAsia="仿宋_GB2312" w:cs="仿宋_GB2312"/>
          <w:sz w:val="32"/>
          <w:szCs w:val="32"/>
          <w:highlight w:val="none"/>
        </w:rPr>
        <w:t>建立健全大气污染防治协调机制，督促有关部门依法履行监督管理职责</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br w:type="textWrapping"/>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街道办事处应当</w:t>
      </w:r>
      <w:r>
        <w:rPr>
          <w:rFonts w:hint="eastAsia" w:ascii="仿宋_GB2312" w:hAnsi="仿宋_GB2312" w:eastAsia="仿宋_GB2312" w:cs="仿宋_GB2312"/>
          <w:kern w:val="0"/>
          <w:sz w:val="32"/>
          <w:szCs w:val="32"/>
          <w:highlight w:val="none"/>
        </w:rPr>
        <w:t>配合有关部门</w:t>
      </w:r>
      <w:r>
        <w:rPr>
          <w:rFonts w:hint="eastAsia" w:ascii="仿宋_GB2312" w:hAnsi="仿宋_GB2312" w:eastAsia="仿宋_GB2312" w:cs="仿宋_GB2312"/>
          <w:i w:val="0"/>
          <w:iCs w:val="0"/>
          <w:sz w:val="32"/>
          <w:szCs w:val="32"/>
          <w:highlight w:val="none"/>
          <w:u w:val="none"/>
        </w:rPr>
        <w:t>做好</w:t>
      </w:r>
      <w:r>
        <w:rPr>
          <w:rFonts w:hint="eastAsia" w:ascii="仿宋_GB2312" w:hAnsi="仿宋_GB2312" w:eastAsia="仿宋_GB2312" w:cs="仿宋_GB2312"/>
          <w:kern w:val="0"/>
          <w:sz w:val="32"/>
          <w:szCs w:val="32"/>
          <w:highlight w:val="none"/>
        </w:rPr>
        <w:t>本辖区内</w:t>
      </w:r>
      <w:r>
        <w:rPr>
          <w:rFonts w:hint="eastAsia" w:ascii="仿宋_GB2312" w:hAnsi="仿宋_GB2312" w:eastAsia="仿宋_GB2312" w:cs="仿宋_GB2312"/>
          <w:sz w:val="32"/>
          <w:szCs w:val="32"/>
          <w:highlight w:val="none"/>
        </w:rPr>
        <w:t>大气污染防治</w:t>
      </w:r>
      <w:r>
        <w:rPr>
          <w:rFonts w:hint="eastAsia" w:ascii="仿宋_GB2312" w:hAnsi="仿宋_GB2312" w:eastAsia="仿宋_GB2312" w:cs="仿宋_GB2312"/>
          <w:i w:val="0"/>
          <w:iCs w:val="0"/>
          <w:sz w:val="32"/>
          <w:szCs w:val="32"/>
          <w:highlight w:val="none"/>
          <w:u w:val="none"/>
        </w:rPr>
        <w:t>相关监督管理</w:t>
      </w:r>
      <w:r>
        <w:rPr>
          <w:rFonts w:hint="eastAsia" w:ascii="仿宋_GB2312" w:hAnsi="仿宋_GB2312" w:eastAsia="仿宋_GB2312" w:cs="仿宋_GB2312"/>
          <w:sz w:val="32"/>
          <w:szCs w:val="32"/>
          <w:highlight w:val="none"/>
        </w:rPr>
        <w:t>工作。</w:t>
      </w: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eastAsia="zh-CN"/>
        </w:rPr>
        <w:t>第四条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县级以上人民政府</w:t>
      </w:r>
      <w:r>
        <w:rPr>
          <w:rFonts w:hint="eastAsia" w:ascii="仿宋_GB2312" w:hAnsi="仿宋_GB2312" w:eastAsia="仿宋_GB2312" w:cs="仿宋_GB2312"/>
          <w:sz w:val="32"/>
          <w:szCs w:val="32"/>
          <w:highlight w:val="none"/>
        </w:rPr>
        <w:t>生态</w:t>
      </w:r>
      <w:r>
        <w:rPr>
          <w:rFonts w:hint="eastAsia" w:ascii="仿宋_GB2312" w:hAnsi="仿宋_GB2312" w:eastAsia="仿宋_GB2312" w:cs="仿宋_GB2312"/>
          <w:sz w:val="32"/>
          <w:szCs w:val="32"/>
          <w:highlight w:val="none"/>
          <w:lang w:eastAsia="zh-CN"/>
        </w:rPr>
        <w:t>环境主管部门对大气污染防治实施统一监督管理。</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县级以上人民政府有关部门依照有关法律、法规</w:t>
      </w:r>
      <w:r>
        <w:rPr>
          <w:rFonts w:hint="eastAsia" w:ascii="仿宋_GB2312" w:hAnsi="仿宋_GB2312" w:eastAsia="仿宋_GB2312" w:cs="仿宋_GB2312"/>
          <w:sz w:val="32"/>
          <w:szCs w:val="32"/>
          <w:highlight w:val="none"/>
          <w:lang w:eastAsia="zh-CN"/>
        </w:rPr>
        <w:t>规定</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本级人民</w:t>
      </w:r>
      <w:r>
        <w:rPr>
          <w:rFonts w:hint="eastAsia" w:ascii="仿宋_GB2312" w:hAnsi="仿宋_GB2312" w:eastAsia="仿宋_GB2312" w:cs="仿宋_GB2312"/>
          <w:sz w:val="32"/>
          <w:szCs w:val="32"/>
          <w:highlight w:val="none"/>
        </w:rPr>
        <w:t>政府关于</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环境保护工作的职责分工，按照下列规定，履行大气污染防治监督管理职责：</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黑体" w:hAnsi="黑体" w:eastAsia="黑体" w:cs="黑体"/>
          <w:sz w:val="32"/>
          <w:szCs w:val="32"/>
          <w:highlight w:val="none"/>
          <w:lang w:eastAsia="zh-CN"/>
        </w:rPr>
      </w:pPr>
      <w:r>
        <w:rPr>
          <w:rFonts w:hint="eastAsia" w:ascii="仿宋_GB2312" w:hAnsi="仿宋_GB2312" w:eastAsia="仿宋_GB2312" w:cs="仿宋_GB2312"/>
          <w:sz w:val="32"/>
          <w:szCs w:val="32"/>
          <w:highlight w:val="none"/>
        </w:rPr>
        <w:t>（一）工业污染防治的监督管理：生态</w:t>
      </w:r>
      <w:r>
        <w:rPr>
          <w:rFonts w:hint="eastAsia" w:ascii="仿宋_GB2312" w:hAnsi="仿宋_GB2312" w:eastAsia="仿宋_GB2312" w:cs="仿宋_GB2312"/>
          <w:i w:val="0"/>
          <w:iCs w:val="0"/>
          <w:sz w:val="32"/>
          <w:szCs w:val="32"/>
          <w:highlight w:val="none"/>
          <w:u w:val="none"/>
        </w:rPr>
        <w:t>环境</w:t>
      </w:r>
      <w:r>
        <w:rPr>
          <w:rFonts w:hint="eastAsia" w:ascii="仿宋_GB2312" w:hAnsi="仿宋_GB2312" w:eastAsia="仿宋_GB2312" w:cs="仿宋_GB2312"/>
          <w:sz w:val="32"/>
          <w:szCs w:val="32"/>
          <w:highlight w:val="none"/>
        </w:rPr>
        <w:t>主管部门负责工业大气污染防治的监督管理；</w:t>
      </w:r>
      <w:r>
        <w:rPr>
          <w:rFonts w:hint="eastAsia" w:ascii="仿宋_GB2312" w:hAnsi="仿宋_GB2312" w:eastAsia="仿宋_GB2312" w:cs="仿宋_GB2312"/>
          <w:i w:val="0"/>
          <w:iCs w:val="0"/>
          <w:sz w:val="32"/>
          <w:szCs w:val="32"/>
          <w:highlight w:val="none"/>
          <w:u w:val="none"/>
        </w:rPr>
        <w:t>发展改革</w:t>
      </w:r>
      <w:r>
        <w:rPr>
          <w:rFonts w:hint="eastAsia" w:ascii="仿宋_GB2312" w:hAnsi="仿宋_GB2312" w:eastAsia="仿宋_GB2312" w:cs="仿宋_GB2312"/>
          <w:sz w:val="32"/>
          <w:szCs w:val="32"/>
          <w:highlight w:val="none"/>
        </w:rPr>
        <w:t>主管部门负责产业结构调整</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优化布局及相关监督管理工作</w:t>
      </w:r>
      <w:r>
        <w:rPr>
          <w:rFonts w:hint="eastAsia" w:ascii="仿宋_GB2312" w:hAnsi="仿宋_GB2312" w:eastAsia="仿宋_GB2312" w:cs="仿宋_GB2312"/>
          <w:i w:val="0"/>
          <w:iCs w:val="0"/>
          <w:sz w:val="32"/>
          <w:szCs w:val="32"/>
          <w:highlight w:val="none"/>
          <w:u w:val="none"/>
        </w:rPr>
        <w:t>，负责煤炭消费总量控制、能源结构调整相关监督管理工作</w:t>
      </w:r>
      <w:r>
        <w:rPr>
          <w:rFonts w:hint="eastAsia" w:ascii="仿宋_GB2312" w:hAnsi="仿宋_GB2312" w:eastAsia="仿宋_GB2312" w:cs="仿宋_GB2312"/>
          <w:i w:val="0"/>
          <w:iCs w:val="0"/>
          <w:sz w:val="32"/>
          <w:szCs w:val="32"/>
          <w:highlight w:val="none"/>
          <w:u w:val="none"/>
          <w:lang w:eastAsia="zh-CN"/>
        </w:rPr>
        <w:t>，负责能源供应协调，推进发电领域煤炭清洁高效利用</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lang w:eastAsia="zh-CN"/>
        </w:rPr>
        <w:t>工业</w:t>
      </w:r>
      <w:r>
        <w:rPr>
          <w:rFonts w:hint="eastAsia" w:ascii="仿宋_GB2312" w:hAnsi="仿宋_GB2312" w:eastAsia="仿宋_GB2312" w:cs="仿宋_GB2312"/>
          <w:sz w:val="32"/>
          <w:szCs w:val="32"/>
          <w:highlight w:val="none"/>
        </w:rPr>
        <w:t>和信息化主管部门负责组织推动工业企业技术改造和升级、落后产能淘汰及相关监督管理工作；</w:t>
      </w:r>
      <w:r>
        <w:rPr>
          <w:rFonts w:hint="eastAsia" w:ascii="仿宋_GB2312" w:hAnsi="仿宋_GB2312" w:eastAsia="仿宋_GB2312" w:cs="仿宋_GB2312"/>
          <w:color w:val="000000"/>
          <w:kern w:val="2"/>
          <w:sz w:val="32"/>
          <w:szCs w:val="32"/>
          <w:highlight w:val="none"/>
          <w:lang w:val="en-US" w:eastAsia="zh-CN" w:bidi="ar-SA"/>
        </w:rPr>
        <w:t>市场监督管理主管部门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000000"/>
          <w:kern w:val="2"/>
          <w:sz w:val="32"/>
          <w:szCs w:val="32"/>
          <w:highlight w:val="none"/>
          <w:lang w:val="en-US" w:eastAsia="zh-CN" w:bidi="ar-SA"/>
        </w:rPr>
        <w:t>海关</w:t>
      </w:r>
      <w:r>
        <w:rPr>
          <w:rFonts w:hint="eastAsia" w:ascii="仿宋_GB2312" w:hAnsi="仿宋_GB2312" w:eastAsia="仿宋_GB2312" w:cs="仿宋_GB2312"/>
          <w:sz w:val="32"/>
          <w:szCs w:val="32"/>
          <w:highlight w:val="none"/>
        </w:rPr>
        <w:t>等部门在各自职责范围内对生产、销售、进口的煤炭、油品、生物质成型燃料等能源和机动车船、非道路移动机械的燃料、发动机油、氮氧化物还原剂以及其他添加剂的质量实施监督管理</w:t>
      </w:r>
      <w:r>
        <w:rPr>
          <w:rFonts w:hint="eastAsia" w:ascii="仿宋_GB2312" w:hAnsi="仿宋_GB2312" w:eastAsia="仿宋_GB2312" w:cs="仿宋_GB2312"/>
          <w:i w:val="0"/>
          <w:iCs w:val="0"/>
          <w:sz w:val="32"/>
          <w:szCs w:val="32"/>
          <w:highlight w:val="none"/>
          <w:u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（二）移动源污染防治的监督管理：发展改革、</w:t>
      </w:r>
      <w:r>
        <w:rPr>
          <w:rFonts w:hint="eastAsia" w:ascii="仿宋_GB2312" w:hAnsi="仿宋_GB2312" w:eastAsia="仿宋_GB2312" w:cs="仿宋_GB2312"/>
          <w:sz w:val="32"/>
          <w:szCs w:val="32"/>
          <w:highlight w:val="none"/>
          <w:lang w:eastAsia="zh-CN"/>
        </w:rPr>
        <w:t>工业</w:t>
      </w:r>
      <w:r>
        <w:rPr>
          <w:rFonts w:hint="eastAsia" w:ascii="仿宋_GB2312" w:hAnsi="仿宋_GB2312" w:eastAsia="仿宋_GB2312" w:cs="仿宋_GB2312"/>
          <w:sz w:val="32"/>
          <w:szCs w:val="32"/>
          <w:highlight w:val="none"/>
        </w:rPr>
        <w:t>和信息化、交通运输主管部门在各自职责范围内负责</w:t>
      </w:r>
      <w:r>
        <w:rPr>
          <w:rFonts w:hint="eastAsia" w:ascii="仿宋_GB2312" w:hAnsi="仿宋_GB2312" w:eastAsia="仿宋_GB2312" w:cs="仿宋_GB2312"/>
          <w:sz w:val="32"/>
          <w:szCs w:val="32"/>
          <w:highlight w:val="none"/>
          <w:lang w:eastAsia="zh-CN"/>
        </w:rPr>
        <w:t>新</w:t>
      </w:r>
      <w:r>
        <w:rPr>
          <w:rFonts w:hint="eastAsia" w:ascii="仿宋_GB2312" w:hAnsi="仿宋_GB2312" w:eastAsia="仿宋_GB2312" w:cs="仿宋_GB2312"/>
          <w:sz w:val="32"/>
          <w:szCs w:val="32"/>
          <w:highlight w:val="none"/>
        </w:rPr>
        <w:t>能源</w:t>
      </w:r>
      <w:r>
        <w:rPr>
          <w:rFonts w:hint="eastAsia" w:ascii="仿宋_GB2312" w:hAnsi="仿宋_GB2312" w:eastAsia="仿宋_GB2312" w:cs="仿宋_GB2312"/>
          <w:sz w:val="32"/>
          <w:szCs w:val="32"/>
          <w:highlight w:val="none"/>
          <w:lang w:eastAsia="zh-CN"/>
        </w:rPr>
        <w:t>汽</w:t>
      </w:r>
      <w:r>
        <w:rPr>
          <w:rFonts w:hint="eastAsia" w:ascii="仿宋_GB2312" w:hAnsi="仿宋_GB2312" w:eastAsia="仿宋_GB2312" w:cs="仿宋_GB2312"/>
          <w:sz w:val="32"/>
          <w:szCs w:val="32"/>
          <w:highlight w:val="none"/>
        </w:rPr>
        <w:t>车推广的监督管理工作；生态环境主管部门会同公安机关交通管理部门、交通运输主管部门对机动车大气污染防治实施监督管理；生态环境主管部门会同交通运输、住房城乡建设、农业农村、水行政、</w:t>
      </w:r>
      <w:r>
        <w:rPr>
          <w:rFonts w:hint="eastAsia" w:ascii="仿宋_GB2312" w:hAnsi="仿宋_GB2312" w:eastAsia="仿宋_GB2312" w:cs="仿宋_GB2312"/>
          <w:color w:val="000000"/>
          <w:kern w:val="2"/>
          <w:sz w:val="32"/>
          <w:szCs w:val="32"/>
          <w:highlight w:val="none"/>
          <w:lang w:val="en-US" w:eastAsia="zh-CN" w:bidi="ar-SA"/>
        </w:rPr>
        <w:t>市场监督管理</w:t>
      </w:r>
      <w:r>
        <w:rPr>
          <w:rFonts w:hint="eastAsia" w:ascii="仿宋_GB2312" w:hAnsi="仿宋_GB2312" w:eastAsia="仿宋_GB2312" w:cs="仿宋_GB2312"/>
          <w:sz w:val="32"/>
          <w:szCs w:val="32"/>
          <w:highlight w:val="none"/>
        </w:rPr>
        <w:t>等主管部门对非道路移动机械的大气污染防治实施监督管理；交通运输主管部门、海事管理机构在各自职责范围内负责运输船舶大气污染防治的监督管理，农业农村主管部门负责渔业船舶大气污染防治的监督管理</w:t>
      </w:r>
      <w:r>
        <w:rPr>
          <w:rFonts w:hint="eastAsia" w:ascii="仿宋_GB2312" w:hAnsi="仿宋_GB2312" w:eastAsia="仿宋_GB2312" w:cs="仿宋_GB2312"/>
          <w:i w:val="0"/>
          <w:iCs w:val="0"/>
          <w:sz w:val="32"/>
          <w:szCs w:val="32"/>
          <w:highlight w:val="none"/>
          <w:u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三）扬尘污染防治的监督管理：生态环境主管部门负责工业企业物料堆场扬尘污染防治的监督管理；住房城乡建设主管部门负责房屋和市政工程施工活动、预拌混凝土和预拌砂浆生产活动扬尘污染防治的监督管理工作；城市管理、市政环卫、园林绿化等主管部门在各自职责范围内负责市政公用设施、城市道路清扫保洁扬尘污染防治的监督管理工作；</w:t>
      </w:r>
      <w:r>
        <w:rPr>
          <w:rFonts w:hint="eastAsia" w:ascii="仿宋_GB2312" w:hAnsi="仿宋_GB2312" w:eastAsia="仿宋_GB2312" w:cs="仿宋_GB2312"/>
          <w:i w:val="0"/>
          <w:iCs w:val="0"/>
          <w:sz w:val="32"/>
          <w:szCs w:val="32"/>
          <w:highlight w:val="none"/>
          <w:u w:val="none"/>
          <w:lang w:eastAsia="zh-CN"/>
        </w:rPr>
        <w:t>自然资源</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i w:val="0"/>
          <w:iCs w:val="0"/>
          <w:sz w:val="32"/>
          <w:szCs w:val="32"/>
          <w:highlight w:val="none"/>
          <w:u w:val="none"/>
        </w:rPr>
        <w:t>负责</w:t>
      </w:r>
      <w:r>
        <w:rPr>
          <w:rFonts w:hint="eastAsia" w:ascii="仿宋_GB2312" w:hAnsi="仿宋_GB2312" w:eastAsia="仿宋_GB2312" w:cs="仿宋_GB2312"/>
          <w:sz w:val="32"/>
          <w:szCs w:val="32"/>
          <w:highlight w:val="none"/>
        </w:rPr>
        <w:t>违法用地建筑物、构筑物拆除工程、矿山开采和矿山地质环境治理项目等扬尘污染防治的监督管理工作；交通运输主管部门负责道路、港口码头等交通基础设施的建设、维修、拆除等施工活动和使用裸地停车场扬尘污染防治，以及公路的清扫保洁和绿化工程、绿化作业、港口码头工程贮存物料扬尘污染防治的监督管理；水行政主管部门负责水利工程施工活动以及河道管理范围内砂场扬尘污染防治的监督管理工作；农业</w:t>
      </w:r>
      <w:r>
        <w:rPr>
          <w:rFonts w:hint="eastAsia" w:ascii="仿宋_GB2312" w:hAnsi="仿宋_GB2312" w:eastAsia="仿宋_GB2312" w:cs="仿宋_GB2312"/>
          <w:sz w:val="32"/>
          <w:szCs w:val="32"/>
          <w:highlight w:val="none"/>
          <w:lang w:eastAsia="zh-CN"/>
        </w:rPr>
        <w:t>农村</w:t>
      </w:r>
      <w:r>
        <w:rPr>
          <w:rFonts w:hint="eastAsia" w:ascii="仿宋_GB2312" w:hAnsi="仿宋_GB2312" w:eastAsia="仿宋_GB2312" w:cs="仿宋_GB2312"/>
          <w:sz w:val="32"/>
          <w:szCs w:val="32"/>
          <w:highlight w:val="none"/>
        </w:rPr>
        <w:t>主管部门负责农业生产活动排放大气污染物和秸秆等农业废弃物综合利用的监督管理</w:t>
      </w:r>
      <w:r>
        <w:rPr>
          <w:rFonts w:hint="eastAsia" w:ascii="仿宋_GB2312" w:hAnsi="仿宋_GB2312" w:eastAsia="仿宋_GB2312" w:cs="仿宋_GB2312"/>
          <w:sz w:val="32"/>
          <w:szCs w:val="32"/>
          <w:highlight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lang w:eastAsia="zh-CN"/>
        </w:rPr>
        <w:t>（四）</w:t>
      </w:r>
      <w:r>
        <w:rPr>
          <w:rFonts w:hint="eastAsia" w:ascii="仿宋_GB2312" w:hAnsi="仿宋_GB2312" w:eastAsia="仿宋_GB2312" w:cs="仿宋_GB2312"/>
          <w:sz w:val="32"/>
          <w:szCs w:val="32"/>
          <w:highlight w:val="none"/>
        </w:rPr>
        <w:t>其他大气污染防治的监督管理由有关部门在各自职责范围内</w:t>
      </w:r>
      <w:r>
        <w:rPr>
          <w:rFonts w:hint="eastAsia" w:ascii="仿宋_GB2312" w:hAnsi="仿宋_GB2312" w:eastAsia="仿宋_GB2312" w:cs="仿宋_GB2312"/>
          <w:color w:val="000000"/>
          <w:kern w:val="2"/>
          <w:sz w:val="32"/>
          <w:szCs w:val="32"/>
          <w:highlight w:val="none"/>
          <w:lang w:val="en-US" w:eastAsia="zh-CN" w:bidi="ar-SA"/>
        </w:rPr>
        <w:t>组织</w:t>
      </w:r>
      <w:r>
        <w:rPr>
          <w:rFonts w:hint="eastAsia" w:ascii="仿宋_GB2312" w:hAnsi="仿宋_GB2312" w:eastAsia="仿宋_GB2312" w:cs="仿宋_GB2312"/>
          <w:sz w:val="32"/>
          <w:szCs w:val="32"/>
          <w:highlight w:val="none"/>
        </w:rPr>
        <w:t>实施。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黑体" w:hAnsi="黑体" w:eastAsia="黑体" w:cs="黑体"/>
          <w:sz w:val="32"/>
          <w:szCs w:val="32"/>
          <w:highlight w:val="none"/>
          <w:lang w:val="en-US" w:eastAsia="zh-CN"/>
        </w:rPr>
        <w:t xml:space="preserve">第五条  </w:t>
      </w:r>
      <w:r>
        <w:rPr>
          <w:rFonts w:hint="eastAsia" w:ascii="仿宋_GB2312" w:hAnsi="仿宋_GB2312" w:eastAsia="仿宋_GB2312" w:cs="仿宋_GB2312"/>
          <w:sz w:val="32"/>
          <w:szCs w:val="32"/>
          <w:highlight w:val="none"/>
          <w:lang w:val="en-US" w:eastAsia="zh-CN"/>
        </w:rPr>
        <w:t>公民、法人和其他组织依法享有获取大气环境信息、参与和监督大气环境保护的权利。</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县级以上人民政府生态环境主管部门及其他负有大气环境监督管理职责的部门应当依法公开大气环境质量状况信息，完善公众参与程序，为公众参与和监督大气环境保护提供便利。</w:t>
      </w: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第六条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企业事业单位和其他生产经营者应当执行国家和省规定的大气污染物排放标准</w:t>
      </w:r>
      <w:r>
        <w:rPr>
          <w:rFonts w:hint="eastAsia" w:ascii="仿宋_GB2312" w:hAnsi="仿宋_GB2312" w:eastAsia="仿宋_GB2312" w:cs="仿宋_GB2312"/>
          <w:i w:val="0"/>
          <w:iCs w:val="0"/>
          <w:sz w:val="32"/>
          <w:szCs w:val="32"/>
          <w:highlight w:val="none"/>
          <w:u w:val="none"/>
        </w:rPr>
        <w:t>和技术规范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i w:val="0"/>
          <w:iCs w:val="0"/>
          <w:sz w:val="32"/>
          <w:szCs w:val="32"/>
          <w:highlight w:val="none"/>
          <w:u w:val="none"/>
        </w:rPr>
        <w:t>从源头、生产过程及末端选用污染防治技</w:t>
      </w:r>
      <w:r>
        <w:rPr>
          <w:rFonts w:hint="eastAsia" w:ascii="仿宋_GB2312" w:hAnsi="仿宋_GB2312" w:eastAsia="仿宋_GB2312" w:cs="仿宋_GB2312"/>
          <w:i w:val="0"/>
          <w:iCs w:val="0"/>
          <w:sz w:val="32"/>
          <w:szCs w:val="32"/>
          <w:highlight w:val="none"/>
          <w:u w:val="none"/>
          <w:lang w:eastAsia="zh-CN"/>
        </w:rPr>
        <w:t>术</w:t>
      </w:r>
      <w:r>
        <w:rPr>
          <w:rFonts w:hint="eastAsia" w:ascii="仿宋_GB2312" w:hAnsi="仿宋_GB2312" w:eastAsia="仿宋_GB2312" w:cs="仿宋_GB2312"/>
          <w:sz w:val="32"/>
          <w:szCs w:val="32"/>
          <w:highlight w:val="none"/>
        </w:rPr>
        <w:t>，防止、减少大气污染，并对所造成的损害依法承担责任。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行业协会应当加强行业自律，开展大气污染防治法律、法规和相关知识的宣传，督促会员采取有效措施防止和减少大气污染。</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公民应当增强大气环境保护意识，采取</w:t>
      </w:r>
      <w:r>
        <w:rPr>
          <w:rFonts w:hint="eastAsia" w:ascii="仿宋_GB2312" w:hAnsi="仿宋_GB2312" w:eastAsia="仿宋_GB2312" w:cs="仿宋_GB2312"/>
          <w:sz w:val="32"/>
          <w:szCs w:val="32"/>
          <w:highlight w:val="none"/>
          <w:lang w:eastAsia="zh-CN"/>
        </w:rPr>
        <w:t>绿色、</w:t>
      </w:r>
      <w:r>
        <w:rPr>
          <w:rFonts w:hint="eastAsia" w:ascii="仿宋_GB2312" w:hAnsi="仿宋_GB2312" w:eastAsia="仿宋_GB2312" w:cs="仿宋_GB2312"/>
          <w:sz w:val="32"/>
          <w:szCs w:val="32"/>
          <w:highlight w:val="none"/>
        </w:rPr>
        <w:t>低碳、节俭的生活方式，自觉履行大气环境保护义务。</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第七条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各级</w:t>
      </w:r>
      <w:r>
        <w:rPr>
          <w:rFonts w:hint="eastAsia" w:ascii="仿宋_GB2312" w:hAnsi="仿宋_GB2312" w:eastAsia="仿宋_GB2312" w:cs="仿宋_GB2312"/>
          <w:sz w:val="32"/>
          <w:szCs w:val="32"/>
          <w:highlight w:val="none"/>
        </w:rPr>
        <w:t>人民政府及</w:t>
      </w:r>
      <w:r>
        <w:rPr>
          <w:rFonts w:hint="eastAsia" w:ascii="仿宋_GB2312" w:hAnsi="仿宋_GB2312" w:eastAsia="仿宋_GB2312" w:cs="仿宋_GB2312"/>
          <w:i w:val="0"/>
          <w:iCs w:val="0"/>
          <w:sz w:val="32"/>
          <w:szCs w:val="32"/>
          <w:highlight w:val="none"/>
          <w:u w:val="none"/>
        </w:rPr>
        <w:t>其有关部门</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社会团体、学校、新闻媒体、基层群众性自治组织等应当</w:t>
      </w:r>
      <w:r>
        <w:rPr>
          <w:rFonts w:hint="eastAsia" w:ascii="仿宋_GB2312" w:hAnsi="仿宋_GB2312" w:eastAsia="仿宋_GB2312" w:cs="仿宋_GB2312"/>
          <w:sz w:val="32"/>
          <w:szCs w:val="32"/>
          <w:highlight w:val="none"/>
          <w:lang w:eastAsia="zh-CN"/>
        </w:rPr>
        <w:t>开展</w:t>
      </w:r>
      <w:r>
        <w:rPr>
          <w:rFonts w:hint="eastAsia" w:ascii="仿宋_GB2312" w:hAnsi="仿宋_GB2312" w:eastAsia="仿宋_GB2312" w:cs="仿宋_GB2312"/>
          <w:sz w:val="32"/>
          <w:szCs w:val="32"/>
          <w:highlight w:val="none"/>
        </w:rPr>
        <w:t>大气污染防治法律法规</w:t>
      </w:r>
      <w:r>
        <w:rPr>
          <w:rFonts w:hint="eastAsia" w:ascii="仿宋_GB2312" w:hAnsi="仿宋_GB2312" w:eastAsia="仿宋_GB2312" w:cs="仿宋_GB2312"/>
          <w:sz w:val="32"/>
          <w:szCs w:val="32"/>
          <w:highlight w:val="none"/>
          <w:lang w:eastAsia="zh-CN"/>
        </w:rPr>
        <w:t>宣传教育</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普及</w:t>
      </w:r>
      <w:r>
        <w:rPr>
          <w:rFonts w:hint="eastAsia" w:ascii="仿宋_GB2312" w:hAnsi="仿宋_GB2312" w:eastAsia="仿宋_GB2312" w:cs="仿宋_GB2312"/>
          <w:sz w:val="32"/>
          <w:szCs w:val="32"/>
          <w:highlight w:val="none"/>
        </w:rPr>
        <w:t>大气污染防治科学知识</w:t>
      </w:r>
      <w:r>
        <w:rPr>
          <w:rFonts w:hint="eastAsia" w:ascii="仿宋_GB2312" w:hAnsi="仿宋_GB2312" w:eastAsia="仿宋_GB2312" w:cs="仿宋_GB2312"/>
          <w:sz w:val="32"/>
          <w:szCs w:val="32"/>
          <w:highlight w:val="none"/>
          <w:lang w:eastAsia="zh-CN"/>
        </w:rPr>
        <w:t>，倡导文明、节约、低碳、绿色消费习惯和生活方式</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p>
    <w:p>
      <w:pPr>
        <w:widowControl w:val="0"/>
        <w:numPr>
          <w:ilvl w:val="0"/>
          <w:numId w:val="0"/>
        </w:numPr>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第二章</w:t>
      </w:r>
      <w:r>
        <w:rPr>
          <w:rFonts w:hint="eastAsia" w:ascii="黑体" w:hAnsi="黑体" w:eastAsia="黑体" w:cs="黑体"/>
          <w:sz w:val="32"/>
          <w:szCs w:val="32"/>
          <w:highlight w:val="none"/>
        </w:rPr>
        <w:t xml:space="preserve"> 达标</w:t>
      </w:r>
      <w:r>
        <w:rPr>
          <w:rFonts w:hint="eastAsia" w:ascii="黑体" w:hAnsi="黑体" w:eastAsia="黑体" w:cs="黑体"/>
          <w:sz w:val="32"/>
          <w:szCs w:val="32"/>
          <w:highlight w:val="none"/>
          <w:lang w:eastAsia="zh-CN"/>
        </w:rPr>
        <w:t>及提升</w:t>
      </w:r>
      <w:r>
        <w:rPr>
          <w:rFonts w:hint="eastAsia" w:ascii="黑体" w:hAnsi="黑体" w:eastAsia="黑体" w:cs="黑体"/>
          <w:sz w:val="32"/>
          <w:szCs w:val="32"/>
          <w:highlight w:val="none"/>
        </w:rPr>
        <w:t>规划</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第八条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县级以上人民政府应当将大气污染防治工作纳入国民经济和社会发展规划</w:t>
      </w:r>
      <w:r>
        <w:rPr>
          <w:rFonts w:hint="eastAsia" w:ascii="仿宋_GB2312" w:hAnsi="仿宋_GB2312" w:eastAsia="仿宋_GB2312" w:cs="仿宋_GB2312"/>
          <w:i w:val="0"/>
          <w:iCs w:val="0"/>
          <w:sz w:val="32"/>
          <w:szCs w:val="32"/>
          <w:highlight w:val="none"/>
          <w:u w:val="none"/>
        </w:rPr>
        <w:t>，并将</w:t>
      </w:r>
      <w:r>
        <w:rPr>
          <w:rFonts w:hint="eastAsia" w:ascii="仿宋_GB2312" w:hAnsi="仿宋_GB2312" w:eastAsia="仿宋_GB2312" w:cs="仿宋_GB2312"/>
          <w:i w:val="0"/>
          <w:iCs w:val="0"/>
          <w:sz w:val="32"/>
          <w:szCs w:val="32"/>
          <w:highlight w:val="none"/>
          <w:u w:val="none"/>
          <w:lang w:eastAsia="zh-CN"/>
        </w:rPr>
        <w:t>大气污染防治工作</w:t>
      </w:r>
      <w:r>
        <w:rPr>
          <w:rFonts w:hint="eastAsia" w:ascii="仿宋_GB2312" w:hAnsi="仿宋_GB2312" w:eastAsia="仿宋_GB2312" w:cs="仿宋_GB2312"/>
          <w:i w:val="0"/>
          <w:iCs w:val="0"/>
          <w:sz w:val="32"/>
          <w:szCs w:val="32"/>
          <w:highlight w:val="none"/>
          <w:u w:val="none"/>
        </w:rPr>
        <w:t>与</w:t>
      </w:r>
      <w:r>
        <w:rPr>
          <w:rFonts w:hint="eastAsia" w:ascii="仿宋_GB2312" w:hAnsi="仿宋_GB2312" w:eastAsia="仿宋_GB2312" w:cs="仿宋_GB2312"/>
          <w:sz w:val="32"/>
          <w:szCs w:val="32"/>
          <w:highlight w:val="none"/>
        </w:rPr>
        <w:t>主体功能区规划、土地利用总体规划、城乡规划</w:t>
      </w:r>
      <w:r>
        <w:rPr>
          <w:rFonts w:hint="eastAsia" w:ascii="仿宋_GB2312" w:hAnsi="仿宋_GB2312" w:eastAsia="仿宋_GB2312" w:cs="仿宋_GB2312"/>
          <w:i w:val="0"/>
          <w:iCs w:val="0"/>
          <w:sz w:val="32"/>
          <w:szCs w:val="32"/>
          <w:highlight w:val="none"/>
          <w:u w:val="none"/>
        </w:rPr>
        <w:t>相衔接，与</w:t>
      </w:r>
      <w:r>
        <w:rPr>
          <w:rFonts w:hint="eastAsia" w:ascii="仿宋_GB2312" w:hAnsi="仿宋_GB2312" w:eastAsia="仿宋_GB2312" w:cs="仿宋_GB2312"/>
          <w:sz w:val="32"/>
          <w:szCs w:val="32"/>
          <w:highlight w:val="none"/>
        </w:rPr>
        <w:t>能源结构调整、产业结构调整和发展方式转变</w:t>
      </w:r>
      <w:r>
        <w:rPr>
          <w:rFonts w:hint="eastAsia" w:ascii="仿宋_GB2312" w:hAnsi="仿宋_GB2312" w:eastAsia="仿宋_GB2312" w:cs="仿宋_GB2312"/>
          <w:i w:val="0"/>
          <w:iCs w:val="0"/>
          <w:sz w:val="32"/>
          <w:szCs w:val="32"/>
          <w:highlight w:val="none"/>
          <w:u w:val="none"/>
          <w:lang w:eastAsia="zh-CN"/>
        </w:rPr>
        <w:t>等</w:t>
      </w:r>
      <w:r>
        <w:rPr>
          <w:rFonts w:hint="eastAsia" w:ascii="仿宋_GB2312" w:hAnsi="仿宋_GB2312" w:eastAsia="仿宋_GB2312" w:cs="仿宋_GB2312"/>
          <w:i w:val="0"/>
          <w:iCs w:val="0"/>
          <w:sz w:val="32"/>
          <w:szCs w:val="32"/>
          <w:highlight w:val="none"/>
          <w:u w:val="none"/>
        </w:rPr>
        <w:t>相结合</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i w:val="0"/>
          <w:caps w:val="0"/>
          <w:color w:val="444444"/>
          <w:spacing w:val="0"/>
          <w:sz w:val="32"/>
          <w:szCs w:val="32"/>
          <w:highlight w:val="none"/>
          <w:shd w:val="clear" w:color="auto" w:fill="FFFFFF"/>
        </w:rPr>
      </w:pPr>
      <w:r>
        <w:rPr>
          <w:rFonts w:hint="eastAsia" w:ascii="仿宋_GB2312" w:hAnsi="仿宋_GB2312" w:eastAsia="仿宋_GB2312" w:cs="仿宋_GB2312"/>
          <w:i w:val="0"/>
          <w:iCs w:val="0"/>
          <w:kern w:val="2"/>
          <w:sz w:val="32"/>
          <w:szCs w:val="32"/>
          <w:highlight w:val="none"/>
          <w:u w:val="none"/>
        </w:rPr>
        <w:t>城市</w:t>
      </w:r>
      <w:r>
        <w:rPr>
          <w:rFonts w:hint="eastAsia" w:ascii="仿宋_GB2312" w:hAnsi="仿宋_GB2312" w:eastAsia="仿宋_GB2312" w:cs="仿宋_GB2312"/>
          <w:kern w:val="2"/>
          <w:sz w:val="32"/>
          <w:szCs w:val="32"/>
          <w:highlight w:val="none"/>
        </w:rPr>
        <w:t>人民政府编制或者修改城市规划时，应当根据大气环境承载能力，按照有利于大气污染物</w:t>
      </w:r>
      <w:r>
        <w:rPr>
          <w:rFonts w:hint="eastAsia" w:ascii="仿宋_GB2312" w:hAnsi="仿宋_GB2312" w:eastAsia="仿宋_GB2312" w:cs="仿宋_GB2312"/>
          <w:i w:val="0"/>
          <w:iCs w:val="0"/>
          <w:sz w:val="32"/>
          <w:szCs w:val="32"/>
          <w:highlight w:val="none"/>
          <w:u w:val="none"/>
          <w:lang w:eastAsia="zh-CN"/>
        </w:rPr>
        <w:t>消</w:t>
      </w:r>
      <w:r>
        <w:rPr>
          <w:rFonts w:hint="eastAsia" w:ascii="仿宋_GB2312" w:hAnsi="仿宋_GB2312" w:eastAsia="仿宋_GB2312" w:cs="仿宋_GB2312"/>
          <w:kern w:val="2"/>
          <w:sz w:val="32"/>
          <w:szCs w:val="32"/>
          <w:highlight w:val="none"/>
        </w:rPr>
        <w:t>散的原则，合理规划城市建设空间布局，控制建筑物的密度、高度，预留城市通风廊道。</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在通风廊道上</w:t>
      </w:r>
      <w:r>
        <w:rPr>
          <w:rFonts w:hint="eastAsia" w:ascii="仿宋_GB2312" w:hAnsi="仿宋_GB2312" w:eastAsia="仿宋_GB2312" w:cs="仿宋_GB2312"/>
          <w:sz w:val="32"/>
          <w:szCs w:val="32"/>
          <w:highlight w:val="none"/>
          <w:lang w:eastAsia="zh-CN"/>
        </w:rPr>
        <w:t>不得</w:t>
      </w:r>
      <w:r>
        <w:rPr>
          <w:rFonts w:hint="eastAsia" w:ascii="仿宋_GB2312" w:hAnsi="仿宋_GB2312" w:eastAsia="仿宋_GB2312" w:cs="仿宋_GB2312"/>
          <w:sz w:val="32"/>
          <w:szCs w:val="32"/>
          <w:highlight w:val="none"/>
        </w:rPr>
        <w:t>建设高层建筑群及其他影响大气</w:t>
      </w:r>
      <w:r>
        <w:rPr>
          <w:rFonts w:hint="eastAsia" w:ascii="仿宋_GB2312" w:hAnsi="仿宋_GB2312" w:eastAsia="仿宋_GB2312" w:cs="仿宋_GB2312"/>
          <w:i w:val="0"/>
          <w:iCs w:val="0"/>
          <w:sz w:val="32"/>
          <w:szCs w:val="32"/>
          <w:highlight w:val="none"/>
          <w:u w:val="none"/>
        </w:rPr>
        <w:t>扩</w:t>
      </w:r>
      <w:r>
        <w:rPr>
          <w:rFonts w:hint="eastAsia" w:ascii="仿宋_GB2312" w:hAnsi="仿宋_GB2312" w:eastAsia="仿宋_GB2312" w:cs="仿宋_GB2312"/>
          <w:sz w:val="32"/>
          <w:szCs w:val="32"/>
          <w:highlight w:val="none"/>
        </w:rPr>
        <w:t>散条件的建设项目。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第九条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未达到国家大气环境质量标准</w:t>
      </w:r>
      <w:r>
        <w:rPr>
          <w:rFonts w:hint="eastAsia" w:ascii="仿宋_GB2312" w:hAnsi="仿宋_GB2312" w:eastAsia="仿宋_GB2312" w:cs="仿宋_GB2312"/>
          <w:i w:val="0"/>
          <w:iCs w:val="0"/>
          <w:sz w:val="32"/>
          <w:szCs w:val="32"/>
          <w:highlight w:val="none"/>
          <w:u w:val="none" w:color="auto"/>
        </w:rPr>
        <w:t>城市</w:t>
      </w:r>
      <w:r>
        <w:rPr>
          <w:rFonts w:hint="eastAsia" w:ascii="仿宋_GB2312" w:hAnsi="仿宋_GB2312" w:eastAsia="仿宋_GB2312" w:cs="仿宋_GB2312"/>
          <w:sz w:val="32"/>
          <w:szCs w:val="32"/>
          <w:highlight w:val="none"/>
        </w:rPr>
        <w:t>的人民政府应当及时编制大气环境质量限期达标规划</w:t>
      </w:r>
      <w:r>
        <w:rPr>
          <w:rFonts w:hint="eastAsia" w:ascii="仿宋_GB2312" w:hAnsi="仿宋_GB2312" w:eastAsia="仿宋_GB2312" w:cs="仿宋_GB2312"/>
          <w:sz w:val="32"/>
          <w:szCs w:val="32"/>
          <w:highlight w:val="none"/>
          <w:lang w:eastAsia="zh-CN"/>
        </w:rPr>
        <w:t>，采取措施，按照国务院或者省人民政府规定的期限达到大气环境质量标准</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rPr>
        <w:t>达</w:t>
      </w:r>
      <w:r>
        <w:rPr>
          <w:rFonts w:hint="eastAsia" w:ascii="仿宋_GB2312" w:hAnsi="仿宋_GB2312" w:eastAsia="仿宋_GB2312" w:cs="仿宋_GB2312"/>
          <w:sz w:val="32"/>
          <w:szCs w:val="32"/>
          <w:highlight w:val="none"/>
        </w:rPr>
        <w:t>到国家</w:t>
      </w:r>
      <w:r>
        <w:rPr>
          <w:rFonts w:hint="eastAsia" w:ascii="仿宋_GB2312" w:hAnsi="仿宋_GB2312" w:eastAsia="仿宋_GB2312" w:cs="仿宋_GB2312"/>
          <w:sz w:val="32"/>
          <w:szCs w:val="32"/>
          <w:highlight w:val="none"/>
          <w:lang w:eastAsia="zh-CN"/>
        </w:rPr>
        <w:t>大气环境</w:t>
      </w:r>
      <w:r>
        <w:rPr>
          <w:rFonts w:hint="eastAsia" w:ascii="仿宋_GB2312" w:hAnsi="仿宋_GB2312" w:eastAsia="仿宋_GB2312" w:cs="仿宋_GB2312"/>
          <w:sz w:val="32"/>
          <w:szCs w:val="32"/>
          <w:highlight w:val="none"/>
        </w:rPr>
        <w:t>质量标准的地级以上市人民政府应当编制大气环境质量持续达标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规划，采取措施，保持和提升大气环境质量。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编制大气环境质量</w:t>
      </w:r>
      <w:r>
        <w:rPr>
          <w:rFonts w:hint="eastAsia" w:ascii="仿宋_GB2312" w:hAnsi="仿宋_GB2312" w:eastAsia="仿宋_GB2312" w:cs="仿宋_GB2312"/>
          <w:sz w:val="32"/>
          <w:szCs w:val="32"/>
          <w:highlight w:val="none"/>
          <w:lang w:eastAsia="zh-CN"/>
        </w:rPr>
        <w:t>限期达标规划和</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规划，应当征求有关行业协会、企业事业单位、专家和公众等方面的意见。</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第十</w:t>
      </w:r>
      <w:r>
        <w:rPr>
          <w:rFonts w:hint="eastAsia" w:ascii="黑体" w:hAnsi="黑体" w:eastAsia="黑体" w:cs="黑体"/>
          <w:sz w:val="32"/>
          <w:szCs w:val="32"/>
          <w:highlight w:val="none"/>
          <w:lang w:val="en-US" w:eastAsia="zh-CN"/>
        </w:rPr>
        <w:t xml:space="preserve">条  </w:t>
      </w:r>
      <w:r>
        <w:rPr>
          <w:rFonts w:hint="eastAsia" w:ascii="仿宋_GB2312" w:hAnsi="仿宋_GB2312" w:eastAsia="仿宋_GB2312" w:cs="仿宋_GB2312"/>
          <w:sz w:val="32"/>
          <w:szCs w:val="32"/>
          <w:highlight w:val="none"/>
        </w:rPr>
        <w:t>大气环境质量</w:t>
      </w:r>
      <w:r>
        <w:rPr>
          <w:rFonts w:hint="eastAsia" w:ascii="仿宋_GB2312" w:hAnsi="仿宋_GB2312" w:eastAsia="仿宋_GB2312" w:cs="仿宋_GB2312"/>
          <w:sz w:val="32"/>
          <w:szCs w:val="32"/>
          <w:highlight w:val="none"/>
          <w:lang w:eastAsia="zh-CN"/>
        </w:rPr>
        <w:t>限期达标规划和</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规划应当向社会公开。地级以上市</w:t>
      </w:r>
      <w:r>
        <w:rPr>
          <w:rFonts w:hint="eastAsia" w:ascii="仿宋_GB2312" w:hAnsi="仿宋_GB2312" w:eastAsia="仿宋_GB2312" w:cs="仿宋_GB2312"/>
          <w:sz w:val="32"/>
          <w:szCs w:val="32"/>
          <w:highlight w:val="none"/>
          <w:lang w:eastAsia="zh-CN"/>
        </w:rPr>
        <w:t>人民政府</w:t>
      </w:r>
      <w:r>
        <w:rPr>
          <w:rFonts w:hint="eastAsia" w:ascii="仿宋_GB2312" w:hAnsi="仿宋_GB2312" w:eastAsia="仿宋_GB2312" w:cs="仿宋_GB2312"/>
          <w:sz w:val="32"/>
          <w:szCs w:val="32"/>
          <w:highlight w:val="none"/>
        </w:rPr>
        <w:t>的大气环境质量</w:t>
      </w:r>
      <w:r>
        <w:rPr>
          <w:rFonts w:hint="eastAsia" w:ascii="仿宋_GB2312" w:hAnsi="仿宋_GB2312" w:eastAsia="仿宋_GB2312" w:cs="仿宋_GB2312"/>
          <w:sz w:val="32"/>
          <w:szCs w:val="32"/>
          <w:highlight w:val="none"/>
          <w:lang w:eastAsia="zh-CN"/>
        </w:rPr>
        <w:t>限期达标规划应当报国务院生态环境主管部门备案，持续达标及提升规划应当报省人民政府生态环境主管部门备案</w:t>
      </w:r>
      <w:r>
        <w:rPr>
          <w:rFonts w:hint="eastAsia" w:ascii="仿宋_GB2312" w:hAnsi="仿宋_GB2312" w:eastAsia="仿宋_GB2312" w:cs="仿宋_GB2312"/>
          <w:i w:val="0"/>
          <w:iCs w:val="0"/>
          <w:color w:val="000000"/>
          <w:sz w:val="32"/>
          <w:szCs w:val="32"/>
          <w:highlight w:val="none"/>
          <w:u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lang w:eastAsia="zh-CN"/>
        </w:rPr>
        <w:t>城市</w:t>
      </w:r>
      <w:r>
        <w:rPr>
          <w:rFonts w:hint="eastAsia" w:ascii="仿宋_GB2312" w:hAnsi="仿宋_GB2312" w:eastAsia="仿宋_GB2312" w:cs="仿宋_GB2312"/>
          <w:sz w:val="32"/>
          <w:szCs w:val="32"/>
          <w:highlight w:val="none"/>
        </w:rPr>
        <w:t>人民政府每年在向本级人民代表大会或者人民代表大会常务委员会报告环境状况和环境保护目标完成情况时，应当报告大气环境质量</w:t>
      </w:r>
      <w:r>
        <w:rPr>
          <w:rFonts w:hint="eastAsia" w:ascii="仿宋_GB2312" w:hAnsi="仿宋_GB2312" w:eastAsia="仿宋_GB2312" w:cs="仿宋_GB2312"/>
          <w:sz w:val="32"/>
          <w:szCs w:val="32"/>
          <w:highlight w:val="none"/>
          <w:lang w:eastAsia="zh-CN"/>
        </w:rPr>
        <w:t>限期达标规划或者</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规划执行情况，并向社会公开。</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大气环境质量</w:t>
      </w:r>
      <w:r>
        <w:rPr>
          <w:rFonts w:hint="eastAsia" w:ascii="仿宋_GB2312" w:hAnsi="仿宋_GB2312" w:eastAsia="仿宋_GB2312" w:cs="仿宋_GB2312"/>
          <w:sz w:val="32"/>
          <w:szCs w:val="32"/>
          <w:highlight w:val="none"/>
          <w:lang w:eastAsia="zh-CN"/>
        </w:rPr>
        <w:t>限期达标规划和</w:t>
      </w:r>
      <w:r>
        <w:rPr>
          <w:rFonts w:hint="eastAsia" w:ascii="仿宋_GB2312" w:hAnsi="仿宋_GB2312" w:eastAsia="仿宋_GB2312" w:cs="仿宋_GB2312"/>
          <w:sz w:val="32"/>
          <w:szCs w:val="32"/>
          <w:highlight w:val="none"/>
        </w:rPr>
        <w:t>持续达标</w:t>
      </w:r>
      <w:r>
        <w:rPr>
          <w:rFonts w:hint="eastAsia" w:ascii="仿宋_GB2312" w:hAnsi="仿宋_GB2312" w:eastAsia="仿宋_GB2312" w:cs="仿宋_GB2312"/>
          <w:sz w:val="32"/>
          <w:szCs w:val="32"/>
          <w:highlight w:val="none"/>
          <w:lang w:eastAsia="zh-CN"/>
        </w:rPr>
        <w:t>及提升</w:t>
      </w:r>
      <w:r>
        <w:rPr>
          <w:rFonts w:hint="eastAsia" w:ascii="仿宋_GB2312" w:hAnsi="仿宋_GB2312" w:eastAsia="仿宋_GB2312" w:cs="仿宋_GB2312"/>
          <w:sz w:val="32"/>
          <w:szCs w:val="32"/>
          <w:highlight w:val="none"/>
        </w:rPr>
        <w:t>规划应当根据大气污染防治的要求和经济、技术条件适时进行评估、修订。</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第十一条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大气环境质量限期达标规划和持续达标</w:t>
      </w:r>
      <w:r>
        <w:rPr>
          <w:rFonts w:hint="eastAsia" w:ascii="仿宋_GB2312" w:hAnsi="仿宋_GB2312" w:eastAsia="仿宋_GB2312" w:cs="仿宋_GB2312"/>
          <w:b w:val="0"/>
          <w:bCs w:val="0"/>
          <w:sz w:val="32"/>
          <w:szCs w:val="32"/>
          <w:highlight w:val="none"/>
          <w:lang w:eastAsia="zh-CN"/>
        </w:rPr>
        <w:t>及提升</w:t>
      </w:r>
      <w:r>
        <w:rPr>
          <w:rFonts w:hint="eastAsia" w:ascii="仿宋_GB2312" w:hAnsi="仿宋_GB2312" w:eastAsia="仿宋_GB2312" w:cs="仿宋_GB2312"/>
          <w:sz w:val="32"/>
          <w:szCs w:val="32"/>
          <w:highlight w:val="none"/>
        </w:rPr>
        <w:t>规划应当对本行政区域环境质量及其影响因素进行分析，确定大气环境质量分阶段改善目标，明确相应责任主体、工作重点和保障措施。</w:t>
      </w:r>
    </w:p>
    <w:p>
      <w:pPr>
        <w:widowControl w:val="0"/>
        <w:numPr>
          <w:ilvl w:val="0"/>
          <w:numId w:val="0"/>
        </w:numPr>
        <w:wordWrap/>
        <w:adjustRightInd/>
        <w:snapToGrid w:val="0"/>
        <w:spacing w:beforeAutospacing="0" w:afterAutospacing="0" w:line="560" w:lineRule="exact"/>
        <w:ind w:left="640" w:leftChars="200" w:right="0" w:firstLine="0" w:firstLineChars="0"/>
        <w:jc w:val="both"/>
        <w:textAlignment w:val="auto"/>
        <w:outlineLvl w:val="9"/>
        <w:rPr>
          <w:rFonts w:hint="eastAsia" w:ascii="仿宋_GB2312" w:hAnsi="仿宋_GB2312" w:eastAsia="仿宋_GB2312" w:cs="仿宋_GB2312"/>
          <w:sz w:val="32"/>
          <w:szCs w:val="32"/>
          <w:highlight w:val="none"/>
        </w:rPr>
      </w:pPr>
    </w:p>
    <w:p>
      <w:pPr>
        <w:widowControl w:val="0"/>
        <w:numPr>
          <w:ilvl w:val="0"/>
          <w:numId w:val="1"/>
        </w:numPr>
        <w:wordWrap/>
        <w:adjustRightInd/>
        <w:snapToGrid w:val="0"/>
        <w:spacing w:beforeAutospacing="0" w:afterAutospacing="0" w:line="560" w:lineRule="exact"/>
        <w:ind w:left="425" w:leftChars="0" w:right="0" w:hanging="425" w:firstLineChars="0"/>
        <w:jc w:val="center"/>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 xml:space="preserve"> 监督管理</w:t>
      </w:r>
    </w:p>
    <w:p>
      <w:pPr>
        <w:widowControl w:val="0"/>
        <w:numPr>
          <w:ilvl w:val="0"/>
          <w:numId w:val="0"/>
        </w:numPr>
        <w:wordWrap/>
        <w:adjustRightInd/>
        <w:snapToGrid w:val="0"/>
        <w:spacing w:beforeAutospacing="0" w:afterAutospacing="0" w:line="560" w:lineRule="exact"/>
        <w:ind w:left="0" w:leftChars="0" w:right="0" w:firstLine="0" w:firstLineChars="0"/>
        <w:jc w:val="both"/>
        <w:textAlignment w:val="auto"/>
        <w:outlineLvl w:val="9"/>
        <w:rPr>
          <w:rFonts w:hint="eastAsia" w:ascii="仿宋_GB2312" w:hAnsi="仿宋_GB2312" w:eastAsia="仿宋_GB2312" w:cs="仿宋_GB2312"/>
          <w:sz w:val="32"/>
          <w:szCs w:val="32"/>
          <w:highlight w:val="none"/>
          <w:lang w:val="en-US" w:eastAsia="zh-CN"/>
        </w:rPr>
      </w:pPr>
    </w:p>
    <w:p>
      <w:pPr>
        <w:widowControl w:val="0"/>
        <w:numPr>
          <w:ilvl w:val="0"/>
          <w:numId w:val="0"/>
        </w:numPr>
        <w:pBdr>
          <w:top w:val="none" w:color="auto" w:sz="0" w:space="0"/>
          <w:left w:val="none" w:color="auto" w:sz="0" w:space="0"/>
          <w:bottom w:val="none" w:color="auto" w:sz="0" w:space="0"/>
          <w:right w:val="none" w:color="auto" w:sz="0" w:space="0"/>
        </w:pBdr>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黑体" w:hAnsi="黑体" w:eastAsia="黑体" w:cs="黑体"/>
          <w:kern w:val="2"/>
          <w:sz w:val="32"/>
          <w:szCs w:val="32"/>
          <w:highlight w:val="none"/>
          <w:lang w:val="en-US" w:eastAsia="zh-CN" w:bidi="ar-SA"/>
        </w:rPr>
        <w:t xml:space="preserve">第十二条  </w:t>
      </w:r>
      <w:r>
        <w:rPr>
          <w:rFonts w:hint="eastAsia" w:ascii="仿宋_GB2312" w:hAnsi="仿宋_GB2312" w:eastAsia="仿宋_GB2312" w:cs="仿宋_GB2312"/>
          <w:kern w:val="2"/>
          <w:sz w:val="32"/>
          <w:szCs w:val="32"/>
          <w:highlight w:val="none"/>
          <w:lang w:val="en-US" w:eastAsia="zh-CN" w:bidi="ar-SA"/>
        </w:rPr>
        <w:t>重点大气污染物排放实行总量控制制度。重点大气污染物包括国家确定的二氧化硫、氮氧化物等污染物和本省确定的挥发性有机物等污染物。</w:t>
      </w:r>
    </w:p>
    <w:p>
      <w:pPr>
        <w:widowControl w:val="0"/>
        <w:numPr>
          <w:ilvl w:val="0"/>
          <w:numId w:val="0"/>
        </w:numPr>
        <w:pBdr>
          <w:top w:val="none" w:color="auto" w:sz="0" w:space="0"/>
          <w:left w:val="none" w:color="auto" w:sz="0" w:space="0"/>
          <w:bottom w:val="none" w:color="auto" w:sz="0" w:space="0"/>
          <w:right w:val="none" w:color="auto" w:sz="0" w:space="0"/>
        </w:pBdr>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省人民政府按照国务院下达的总量控制目标和国务院生态环境主管部门规定的分解总量控制指标要求，综合考虑区域经济社会发展水平、产业结构、大气环境质量状况等因素，将重点大气污染物排放总量控制指标分解落实到地级以上市人民政府。</w:t>
      </w:r>
    </w:p>
    <w:p>
      <w:pPr>
        <w:widowControl w:val="0"/>
        <w:numPr>
          <w:ilvl w:val="0"/>
          <w:numId w:val="0"/>
        </w:numPr>
        <w:pBdr>
          <w:top w:val="none" w:color="auto" w:sz="0" w:space="0"/>
          <w:left w:val="none" w:color="auto" w:sz="0" w:space="0"/>
          <w:bottom w:val="none" w:color="auto" w:sz="0" w:space="0"/>
          <w:right w:val="none" w:color="auto" w:sz="0" w:space="0"/>
        </w:pBdr>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地级以上市人民政府应当根据本行政区域总量控制指标，控制或者削减重点大气污染物排放总量。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企业事业单位和其他生产经营者</w:t>
      </w:r>
      <w:r>
        <w:rPr>
          <w:rFonts w:hint="eastAsia" w:ascii="仿宋_GB2312" w:hAnsi="仿宋_GB2312" w:eastAsia="仿宋_GB2312" w:cs="仿宋_GB2312"/>
          <w:sz w:val="32"/>
          <w:szCs w:val="32"/>
          <w:highlight w:val="none"/>
          <w:lang w:eastAsia="zh-CN"/>
        </w:rPr>
        <w:t>在</w:t>
      </w:r>
      <w:r>
        <w:rPr>
          <w:rFonts w:hint="eastAsia" w:ascii="仿宋_GB2312" w:hAnsi="仿宋_GB2312" w:eastAsia="仿宋_GB2312" w:cs="仿宋_GB2312"/>
          <w:sz w:val="32"/>
          <w:szCs w:val="32"/>
          <w:highlight w:val="none"/>
        </w:rPr>
        <w:t>执行国家和地方污染物排放标准</w:t>
      </w:r>
      <w:r>
        <w:rPr>
          <w:rFonts w:hint="eastAsia" w:ascii="仿宋_GB2312" w:hAnsi="仿宋_GB2312" w:eastAsia="仿宋_GB2312" w:cs="仿宋_GB2312"/>
          <w:sz w:val="32"/>
          <w:szCs w:val="32"/>
          <w:highlight w:val="none"/>
          <w:lang w:eastAsia="zh-CN"/>
        </w:rPr>
        <w:t>的同时，</w:t>
      </w:r>
      <w:r>
        <w:rPr>
          <w:rFonts w:hint="eastAsia" w:ascii="仿宋_GB2312" w:hAnsi="仿宋_GB2312" w:eastAsia="仿宋_GB2312" w:cs="仿宋_GB2312"/>
          <w:sz w:val="32"/>
          <w:szCs w:val="32"/>
          <w:highlight w:val="none"/>
        </w:rPr>
        <w:t>应当</w:t>
      </w:r>
      <w:r>
        <w:rPr>
          <w:rFonts w:hint="eastAsia" w:ascii="仿宋_GB2312" w:hAnsi="仿宋_GB2312" w:eastAsia="仿宋_GB2312" w:cs="仿宋_GB2312"/>
          <w:sz w:val="32"/>
          <w:szCs w:val="32"/>
          <w:highlight w:val="none"/>
          <w:lang w:eastAsia="zh-CN"/>
        </w:rPr>
        <w:t>遵守</w:t>
      </w:r>
      <w:r>
        <w:rPr>
          <w:rFonts w:hint="eastAsia" w:ascii="仿宋_GB2312" w:hAnsi="仿宋_GB2312" w:eastAsia="仿宋_GB2312" w:cs="仿宋_GB2312"/>
          <w:sz w:val="32"/>
          <w:szCs w:val="32"/>
          <w:highlight w:val="none"/>
        </w:rPr>
        <w:t>分解落实到本单位的重点</w:t>
      </w:r>
      <w:r>
        <w:rPr>
          <w:rFonts w:hint="eastAsia" w:ascii="仿宋_GB2312" w:hAnsi="仿宋_GB2312" w:eastAsia="仿宋_GB2312" w:cs="仿宋_GB2312"/>
          <w:sz w:val="32"/>
          <w:szCs w:val="32"/>
          <w:highlight w:val="none"/>
          <w:lang w:eastAsia="zh-CN"/>
        </w:rPr>
        <w:t>大气</w:t>
      </w:r>
      <w:r>
        <w:rPr>
          <w:rFonts w:hint="eastAsia" w:ascii="仿宋_GB2312" w:hAnsi="仿宋_GB2312" w:eastAsia="仿宋_GB2312" w:cs="仿宋_GB2312"/>
          <w:sz w:val="32"/>
          <w:szCs w:val="32"/>
          <w:highlight w:val="none"/>
        </w:rPr>
        <w:t>污染物排放总量控制指标。</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第十三条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新建、改建、扩建</w:t>
      </w:r>
      <w:r>
        <w:rPr>
          <w:rFonts w:hint="eastAsia" w:ascii="仿宋_GB2312" w:hAnsi="仿宋_GB2312" w:eastAsia="仿宋_GB2312" w:cs="仿宋_GB2312"/>
          <w:i w:val="0"/>
          <w:iCs w:val="0"/>
          <w:sz w:val="32"/>
          <w:szCs w:val="32"/>
          <w:highlight w:val="none"/>
          <w:u w:val="none" w:color="auto"/>
        </w:rPr>
        <w:t>新增排放重点大气污染物的</w:t>
      </w:r>
      <w:r>
        <w:rPr>
          <w:rFonts w:hint="eastAsia" w:ascii="仿宋_GB2312" w:hAnsi="仿宋_GB2312" w:eastAsia="仿宋_GB2312" w:cs="仿宋_GB2312"/>
          <w:sz w:val="32"/>
          <w:szCs w:val="32"/>
          <w:highlight w:val="none"/>
        </w:rPr>
        <w:t>建设项目，建设单位应当在报批环境影响评价文件前按照规定向</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环境主管部门申请取得重点大气污染物排放总量</w:t>
      </w:r>
      <w:r>
        <w:rPr>
          <w:rFonts w:hint="eastAsia" w:ascii="仿宋_GB2312" w:hAnsi="仿宋_GB2312" w:eastAsia="仿宋_GB2312" w:cs="仿宋_GB2312"/>
          <w:sz w:val="32"/>
          <w:szCs w:val="32"/>
          <w:highlight w:val="none"/>
          <w:lang w:eastAsia="zh-CN"/>
        </w:rPr>
        <w:t>控制</w:t>
      </w:r>
      <w:r>
        <w:rPr>
          <w:rFonts w:hint="eastAsia" w:ascii="仿宋_GB2312" w:hAnsi="仿宋_GB2312" w:eastAsia="仿宋_GB2312" w:cs="仿宋_GB2312"/>
          <w:sz w:val="32"/>
          <w:szCs w:val="32"/>
          <w:highlight w:val="none"/>
        </w:rPr>
        <w:t>指标。</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环境主管部门按照等量或者减量替代的原则核定重点大气污染物排放总量</w:t>
      </w:r>
      <w:r>
        <w:rPr>
          <w:rFonts w:hint="eastAsia" w:ascii="仿宋_GB2312" w:hAnsi="仿宋_GB2312" w:eastAsia="仿宋_GB2312" w:cs="仿宋_GB2312"/>
          <w:sz w:val="32"/>
          <w:szCs w:val="32"/>
          <w:highlight w:val="none"/>
          <w:lang w:eastAsia="zh-CN"/>
        </w:rPr>
        <w:t>控制</w:t>
      </w:r>
      <w:r>
        <w:rPr>
          <w:rFonts w:hint="eastAsia" w:ascii="仿宋_GB2312" w:hAnsi="仿宋_GB2312" w:eastAsia="仿宋_GB2312" w:cs="仿宋_GB2312"/>
          <w:sz w:val="32"/>
          <w:szCs w:val="32"/>
          <w:highlight w:val="none"/>
        </w:rPr>
        <w:t>指标。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新增重点大气污染物排放总量</w:t>
      </w:r>
      <w:r>
        <w:rPr>
          <w:rFonts w:hint="eastAsia" w:ascii="仿宋_GB2312" w:hAnsi="仿宋_GB2312" w:eastAsia="仿宋_GB2312" w:cs="仿宋_GB2312"/>
          <w:sz w:val="32"/>
          <w:szCs w:val="32"/>
          <w:highlight w:val="none"/>
          <w:lang w:eastAsia="zh-CN"/>
        </w:rPr>
        <w:t>控制</w:t>
      </w:r>
      <w:r>
        <w:rPr>
          <w:rFonts w:hint="eastAsia" w:ascii="仿宋_GB2312" w:hAnsi="仿宋_GB2312" w:eastAsia="仿宋_GB2312" w:cs="仿宋_GB2312"/>
          <w:sz w:val="32"/>
          <w:szCs w:val="32"/>
          <w:highlight w:val="none"/>
        </w:rPr>
        <w:t>指标可以通过实施工程治理减排、结构调整减排项目或者排污权交易等方式取得。</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color="auto"/>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十四</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环境主管部门应当根据国家和省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有关规定，建立</w:t>
      </w:r>
      <w:r>
        <w:rPr>
          <w:rFonts w:hint="eastAsia" w:ascii="仿宋_GB2312" w:hAnsi="仿宋_GB2312" w:eastAsia="仿宋_GB2312" w:cs="仿宋_GB2312"/>
          <w:i w:val="0"/>
          <w:iCs w:val="0"/>
          <w:sz w:val="32"/>
          <w:szCs w:val="32"/>
          <w:highlight w:val="none"/>
          <w:u w:val="none" w:color="auto"/>
          <w:lang w:eastAsia="zh-CN"/>
        </w:rPr>
        <w:t>健全</w:t>
      </w:r>
      <w:r>
        <w:rPr>
          <w:rFonts w:hint="eastAsia" w:ascii="仿宋_GB2312" w:hAnsi="仿宋_GB2312" w:eastAsia="仿宋_GB2312" w:cs="仿宋_GB2312"/>
          <w:sz w:val="32"/>
          <w:szCs w:val="32"/>
          <w:highlight w:val="none"/>
        </w:rPr>
        <w:t>本行政区域大气环境质量监测网和大气污染源监控网</w:t>
      </w:r>
      <w:r>
        <w:rPr>
          <w:rFonts w:hint="eastAsia" w:ascii="仿宋_GB2312" w:hAnsi="仿宋_GB2312" w:eastAsia="仿宋_GB2312" w:cs="仿宋_GB2312"/>
          <w:i w:val="0"/>
          <w:iCs w:val="0"/>
          <w:sz w:val="32"/>
          <w:szCs w:val="32"/>
          <w:highlight w:val="none"/>
          <w:u w:val="none" w:color="auto"/>
        </w:rPr>
        <w:t>，并保证监测设施的正常运行。</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color="auto"/>
        </w:rPr>
        <w:t>工业园区、产业园区、开发区的管理机构和</w:t>
      </w:r>
      <w:r>
        <w:rPr>
          <w:rFonts w:hint="eastAsia" w:ascii="仿宋_GB2312" w:hAnsi="仿宋_GB2312" w:eastAsia="仿宋_GB2312" w:cs="仿宋_GB2312"/>
          <w:sz w:val="32"/>
          <w:szCs w:val="32"/>
          <w:highlight w:val="none"/>
        </w:rPr>
        <w:t>重点排污单位应当按照国家和省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i w:val="0"/>
          <w:iCs w:val="0"/>
          <w:sz w:val="32"/>
          <w:szCs w:val="32"/>
          <w:highlight w:val="none"/>
          <w:u w:val="none" w:color="auto"/>
        </w:rPr>
        <w:t>设置与</w:t>
      </w:r>
      <w:r>
        <w:rPr>
          <w:rFonts w:hint="eastAsia" w:ascii="仿宋_GB2312" w:hAnsi="仿宋_GB2312" w:eastAsia="仿宋_GB2312" w:cs="仿宋_GB2312"/>
          <w:i w:val="0"/>
          <w:iCs w:val="0"/>
          <w:sz w:val="32"/>
          <w:szCs w:val="32"/>
          <w:highlight w:val="none"/>
          <w:u w:val="none" w:color="auto"/>
          <w:lang w:eastAsia="zh-CN"/>
        </w:rPr>
        <w:t>生态</w:t>
      </w:r>
      <w:r>
        <w:rPr>
          <w:rFonts w:hint="eastAsia" w:ascii="仿宋_GB2312" w:hAnsi="仿宋_GB2312" w:eastAsia="仿宋_GB2312" w:cs="仿宋_GB2312"/>
          <w:i w:val="0"/>
          <w:iCs w:val="0"/>
          <w:sz w:val="32"/>
          <w:szCs w:val="32"/>
          <w:highlight w:val="none"/>
          <w:u w:val="none" w:color="auto"/>
        </w:rPr>
        <w:t>环境主管部门监测监控平台联网的大气特征污染物监测监控设施，保证监测监控设施正常运行</w:t>
      </w:r>
      <w:r>
        <w:rPr>
          <w:rFonts w:hint="eastAsia" w:ascii="仿宋_GB2312" w:hAnsi="仿宋_GB2312" w:eastAsia="仿宋_GB2312" w:cs="仿宋_GB2312"/>
          <w:i w:val="0"/>
          <w:iCs w:val="0"/>
          <w:sz w:val="32"/>
          <w:szCs w:val="32"/>
          <w:highlight w:val="none"/>
          <w:u w:val="none" w:color="auto"/>
          <w:lang w:eastAsia="zh-CN"/>
        </w:rPr>
        <w:t>并依法公开排放信息</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十五</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重点排污单位安装的自动监测设备列入强制检定计量器具目录的</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按照国家和省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有关规定进行计量检定；未列入强制检定计量器具目录的，由排污单位委托具有相应检定能力的计量检定机构进行计量检定。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经</w:t>
      </w:r>
      <w:r>
        <w:rPr>
          <w:rFonts w:hint="eastAsia" w:ascii="仿宋_GB2312" w:hAnsi="仿宋_GB2312" w:eastAsia="仿宋_GB2312" w:cs="仿宋_GB2312"/>
          <w:i w:val="0"/>
          <w:iCs w:val="0"/>
          <w:sz w:val="32"/>
          <w:szCs w:val="32"/>
          <w:highlight w:val="none"/>
          <w:u w:val="none" w:color="auto"/>
        </w:rPr>
        <w:t>计量检定并正常运行的自动监测设备的监测数据可以作为行政执法的依</w:t>
      </w:r>
      <w:r>
        <w:rPr>
          <w:rFonts w:hint="eastAsia" w:ascii="仿宋_GB2312" w:hAnsi="仿宋_GB2312" w:eastAsia="仿宋_GB2312" w:cs="仿宋_GB2312"/>
          <w:sz w:val="32"/>
          <w:szCs w:val="32"/>
          <w:highlight w:val="none"/>
        </w:rPr>
        <w:t>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自动监测设备的监测数据是否超过大气污染物排放标准，按</w:t>
      </w:r>
      <w:r>
        <w:rPr>
          <w:rFonts w:hint="eastAsia" w:ascii="仿宋_GB2312" w:hAnsi="仿宋_GB2312" w:eastAsia="仿宋_GB2312" w:cs="仿宋_GB2312"/>
          <w:i w:val="0"/>
          <w:iCs w:val="0"/>
          <w:sz w:val="32"/>
          <w:szCs w:val="32"/>
          <w:highlight w:val="none"/>
          <w:u w:val="none"/>
        </w:rPr>
        <w:t>照</w:t>
      </w:r>
      <w:r>
        <w:rPr>
          <w:rFonts w:hint="eastAsia" w:ascii="仿宋_GB2312" w:hAnsi="仿宋_GB2312" w:eastAsia="仿宋_GB2312" w:cs="仿宋_GB2312"/>
          <w:i w:val="0"/>
          <w:iCs w:val="0"/>
          <w:color w:val="auto"/>
          <w:sz w:val="32"/>
          <w:szCs w:val="32"/>
          <w:highlight w:val="none"/>
          <w:u w:val="none"/>
          <w:lang w:eastAsia="zh-CN"/>
        </w:rPr>
        <w:t>小</w:t>
      </w:r>
      <w:r>
        <w:rPr>
          <w:rFonts w:hint="eastAsia" w:ascii="仿宋_GB2312" w:hAnsi="仿宋_GB2312" w:eastAsia="仿宋_GB2312" w:cs="仿宋_GB2312"/>
          <w:color w:val="auto"/>
          <w:sz w:val="32"/>
          <w:szCs w:val="32"/>
          <w:highlight w:val="none"/>
        </w:rPr>
        <w:t>时均值确定。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任何单位和个人不得破坏、毁损或者擅自拆除大气污染物排放自动监测设备，不得篡改、伪造监测数据。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十六</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省人民政府应当制定</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定期修订禁止新建、扩建的高污染工业项目名录和高污染工艺设备淘汰名录，并向社会公布。禁止新建、扩建列入名录的高污染工业项目。禁止使用列入淘汰名录的高污染工艺设备。淘汰的高污染工艺设备，不得转让给他人使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地级以上市、县</w:t>
      </w:r>
      <w:r>
        <w:rPr>
          <w:rFonts w:hint="eastAsia" w:ascii="仿宋_GB2312" w:hAnsi="仿宋_GB2312" w:eastAsia="仿宋_GB2312" w:cs="仿宋_GB2312"/>
          <w:sz w:val="32"/>
          <w:szCs w:val="32"/>
          <w:highlight w:val="none"/>
          <w:lang w:eastAsia="zh-CN"/>
        </w:rPr>
        <w:t>级</w:t>
      </w:r>
      <w:r>
        <w:rPr>
          <w:rFonts w:hint="eastAsia" w:ascii="仿宋_GB2312" w:hAnsi="仿宋_GB2312" w:eastAsia="仿宋_GB2312" w:cs="仿宋_GB2312"/>
          <w:sz w:val="32"/>
          <w:szCs w:val="32"/>
          <w:highlight w:val="none"/>
        </w:rPr>
        <w:t>人民政府应当组织制定</w:t>
      </w:r>
      <w:r>
        <w:rPr>
          <w:rFonts w:hint="eastAsia" w:ascii="仿宋_GB2312" w:hAnsi="仿宋_GB2312" w:eastAsia="仿宋_GB2312" w:cs="仿宋_GB2312"/>
          <w:sz w:val="32"/>
          <w:szCs w:val="32"/>
          <w:highlight w:val="none"/>
          <w:lang w:eastAsia="zh-CN"/>
        </w:rPr>
        <w:t>本行政区域内</w:t>
      </w:r>
      <w:r>
        <w:rPr>
          <w:rFonts w:hint="eastAsia" w:ascii="仿宋_GB2312" w:hAnsi="仿宋_GB2312" w:eastAsia="仿宋_GB2312" w:cs="仿宋_GB2312"/>
          <w:sz w:val="32"/>
          <w:szCs w:val="32"/>
          <w:highlight w:val="none"/>
        </w:rPr>
        <w:t>现有高污染工业项目调整退出计划</w:t>
      </w:r>
      <w:r>
        <w:rPr>
          <w:rFonts w:hint="eastAsia" w:ascii="仿宋_GB2312" w:hAnsi="仿宋_GB2312" w:eastAsia="仿宋_GB2312" w:cs="仿宋_GB2312"/>
          <w:i w:val="0"/>
          <w:iCs w:val="0"/>
          <w:sz w:val="32"/>
          <w:szCs w:val="32"/>
          <w:highlight w:val="none"/>
          <w:u w:val="none" w:color="auto"/>
        </w:rPr>
        <w:t>，并组织实施</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第四章  工业污染防治</w:t>
      </w: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sz w:val="32"/>
          <w:szCs w:val="32"/>
          <w:highlight w:val="none"/>
          <w:lang w:eastAsia="zh-CN"/>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r>
        <w:rPr>
          <w:rFonts w:hint="eastAsia" w:ascii="黑体" w:hAnsi="黑体" w:eastAsia="黑体" w:cs="黑体"/>
          <w:sz w:val="32"/>
          <w:szCs w:val="32"/>
          <w:highlight w:val="none"/>
        </w:rPr>
        <w:t>第一节  能源消耗污染防治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 xml:space="preserve">第十七条  </w:t>
      </w:r>
      <w:r>
        <w:rPr>
          <w:rFonts w:hint="eastAsia" w:ascii="仿宋_GB2312" w:hAnsi="仿宋_GB2312" w:eastAsia="仿宋_GB2312" w:cs="仿宋_GB2312"/>
          <w:sz w:val="32"/>
          <w:szCs w:val="32"/>
          <w:highlight w:val="none"/>
        </w:rPr>
        <w:t>珠江三角洲区域禁止新建、扩建燃煤燃油火电机组或者企业燃煤燃油自备电站。</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珠江三角洲区域禁止新建、扩建国家规划外的钢铁、原油加工、乙烯生产、</w:t>
      </w:r>
      <w:r>
        <w:rPr>
          <w:rFonts w:hint="eastAsia" w:ascii="仿宋_GB2312" w:hAnsi="仿宋_GB2312" w:eastAsia="仿宋_GB2312" w:cs="仿宋_GB2312"/>
          <w:sz w:val="32"/>
          <w:szCs w:val="32"/>
          <w:highlight w:val="none"/>
          <w:lang w:eastAsia="zh-CN"/>
        </w:rPr>
        <w:t>造纸、</w:t>
      </w:r>
      <w:r>
        <w:rPr>
          <w:rFonts w:hint="eastAsia" w:ascii="仿宋_GB2312" w:hAnsi="仿宋_GB2312" w:eastAsia="仿宋_GB2312" w:cs="仿宋_GB2312"/>
          <w:sz w:val="32"/>
          <w:szCs w:val="32"/>
          <w:highlight w:val="none"/>
        </w:rPr>
        <w:t>水泥、平板玻璃、除特种陶瓷以外的陶瓷、有色金属冶炼等大气重污染项目。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本省行政区域内服役到期的燃煤发电机组应当按期关停退役</w:t>
      </w:r>
      <w:r>
        <w:rPr>
          <w:rFonts w:hint="eastAsia" w:ascii="仿宋_GB2312" w:hAnsi="仿宋_GB2312" w:eastAsia="仿宋_GB2312" w:cs="仿宋_GB2312"/>
          <w:sz w:val="32"/>
          <w:szCs w:val="32"/>
          <w:highlight w:val="none"/>
          <w:lang w:eastAsia="zh-CN"/>
        </w:rPr>
        <w:t>。县级以上人民政府</w:t>
      </w:r>
      <w:r>
        <w:rPr>
          <w:rFonts w:hint="eastAsia" w:ascii="仿宋_GB2312" w:hAnsi="仿宋_GB2312" w:eastAsia="仿宋_GB2312" w:cs="仿宋_GB2312"/>
          <w:sz w:val="32"/>
          <w:szCs w:val="32"/>
          <w:highlight w:val="none"/>
        </w:rPr>
        <w:t>推动服役时间较长的燃煤发电机组提前退役。</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第十八条  </w:t>
      </w:r>
      <w:r>
        <w:rPr>
          <w:rFonts w:hint="eastAsia" w:ascii="仿宋_GB2312" w:hAnsi="仿宋_GB2312" w:eastAsia="仿宋_GB2312" w:cs="仿宋_GB2312"/>
          <w:sz w:val="32"/>
          <w:szCs w:val="32"/>
          <w:highlight w:val="none"/>
        </w:rPr>
        <w:t>本省实施煤炭消费总量控制。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rPr>
        <w:t>省人民政府发展改革</w:t>
      </w:r>
      <w:r>
        <w:rPr>
          <w:rFonts w:hint="eastAsia" w:ascii="仿宋_GB2312" w:hAnsi="仿宋_GB2312" w:eastAsia="仿宋_GB2312" w:cs="仿宋_GB2312"/>
          <w:sz w:val="32"/>
          <w:szCs w:val="32"/>
          <w:highlight w:val="none"/>
        </w:rPr>
        <w:t>主管部门应当会同有关部门确定煤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总量控制目标，明确实施途径。</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地级以上市人民政府应当按照煤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总量控制目标，制定削减煤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和清洁能源改造计划，并组织实施。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县级以上人民政府应当采取有利于煤</w:t>
      </w:r>
      <w:r>
        <w:rPr>
          <w:rFonts w:hint="eastAsia" w:ascii="仿宋_GB2312" w:hAnsi="仿宋_GB2312" w:eastAsia="仿宋_GB2312" w:cs="仿宋_GB2312"/>
          <w:sz w:val="32"/>
          <w:szCs w:val="32"/>
          <w:highlight w:val="none"/>
          <w:lang w:eastAsia="zh-CN"/>
        </w:rPr>
        <w:t>炭</w:t>
      </w:r>
      <w:r>
        <w:rPr>
          <w:rFonts w:hint="eastAsia" w:ascii="仿宋_GB2312" w:hAnsi="仿宋_GB2312" w:eastAsia="仿宋_GB2312" w:cs="仿宋_GB2312"/>
          <w:sz w:val="32"/>
          <w:szCs w:val="32"/>
          <w:highlight w:val="none"/>
        </w:rPr>
        <w:t>总量削减的经济、技术政策和措施，</w:t>
      </w:r>
      <w:r>
        <w:rPr>
          <w:rFonts w:hint="eastAsia" w:ascii="仿宋_GB2312" w:hAnsi="仿宋_GB2312" w:eastAsia="仿宋_GB2312" w:cs="仿宋_GB2312"/>
          <w:i w:val="0"/>
          <w:iCs w:val="0"/>
          <w:sz w:val="32"/>
          <w:szCs w:val="32"/>
          <w:highlight w:val="none"/>
          <w:u w:val="none"/>
          <w:lang w:eastAsia="zh-CN"/>
        </w:rPr>
        <w:t>调整</w:t>
      </w:r>
      <w:r>
        <w:rPr>
          <w:rFonts w:hint="eastAsia" w:ascii="仿宋_GB2312" w:hAnsi="仿宋_GB2312" w:eastAsia="仿宋_GB2312" w:cs="仿宋_GB2312"/>
          <w:sz w:val="32"/>
          <w:szCs w:val="32"/>
          <w:highlight w:val="none"/>
        </w:rPr>
        <w:t>能源结构，</w:t>
      </w:r>
      <w:r>
        <w:rPr>
          <w:rFonts w:hint="eastAsia" w:ascii="仿宋_GB2312" w:hAnsi="仿宋_GB2312" w:eastAsia="仿宋_GB2312" w:cs="仿宋_GB2312"/>
          <w:i w:val="0"/>
          <w:iCs w:val="0"/>
          <w:sz w:val="32"/>
          <w:szCs w:val="32"/>
          <w:highlight w:val="none"/>
          <w:u w:val="none"/>
          <w:lang w:eastAsia="zh-CN"/>
        </w:rPr>
        <w:t>推广</w:t>
      </w:r>
      <w:r>
        <w:rPr>
          <w:rFonts w:hint="eastAsia" w:ascii="仿宋_GB2312" w:hAnsi="仿宋_GB2312" w:eastAsia="仿宋_GB2312" w:cs="仿宋_GB2312"/>
          <w:sz w:val="32"/>
          <w:szCs w:val="32"/>
          <w:highlight w:val="none"/>
        </w:rPr>
        <w:t>清洁能源</w:t>
      </w:r>
      <w:r>
        <w:rPr>
          <w:rFonts w:hint="eastAsia" w:ascii="仿宋_GB2312" w:hAnsi="仿宋_GB2312" w:eastAsia="仿宋_GB2312" w:cs="仿宋_GB2312"/>
          <w:i w:val="0"/>
          <w:iCs w:val="0"/>
          <w:sz w:val="32"/>
          <w:szCs w:val="32"/>
          <w:highlight w:val="none"/>
          <w:u w:val="none"/>
        </w:rPr>
        <w:t>的开发利用</w:t>
      </w:r>
      <w:r>
        <w:rPr>
          <w:rFonts w:hint="eastAsia" w:ascii="仿宋_GB2312" w:hAnsi="仿宋_GB2312" w:eastAsia="仿宋_GB2312" w:cs="仿宋_GB2312"/>
          <w:sz w:val="32"/>
          <w:szCs w:val="32"/>
          <w:highlight w:val="none"/>
        </w:rPr>
        <w:t>，引导企业</w:t>
      </w:r>
      <w:r>
        <w:rPr>
          <w:rFonts w:hint="eastAsia" w:ascii="仿宋_GB2312" w:hAnsi="仿宋_GB2312" w:eastAsia="仿宋_GB2312" w:cs="仿宋_GB2312"/>
          <w:i w:val="0"/>
          <w:iCs w:val="0"/>
          <w:sz w:val="32"/>
          <w:szCs w:val="32"/>
          <w:highlight w:val="none"/>
          <w:u w:val="none"/>
          <w:lang w:eastAsia="zh-CN"/>
        </w:rPr>
        <w:t>落实</w:t>
      </w:r>
      <w:r>
        <w:rPr>
          <w:rFonts w:hint="eastAsia" w:ascii="仿宋_GB2312" w:hAnsi="仿宋_GB2312" w:eastAsia="仿宋_GB2312" w:cs="仿宋_GB2312"/>
          <w:sz w:val="32"/>
          <w:szCs w:val="32"/>
          <w:highlight w:val="none"/>
        </w:rPr>
        <w:t>清洁能源替代</w:t>
      </w:r>
      <w:r>
        <w:rPr>
          <w:rFonts w:hint="eastAsia" w:ascii="仿宋_GB2312" w:hAnsi="仿宋_GB2312" w:eastAsia="仿宋_GB2312" w:cs="仿宋_GB2312"/>
          <w:i w:val="0"/>
          <w:iCs w:val="0"/>
          <w:sz w:val="32"/>
          <w:szCs w:val="32"/>
          <w:highlight w:val="none"/>
          <w:u w:val="none"/>
          <w:lang w:eastAsia="zh-CN"/>
        </w:rPr>
        <w:t>措施</w:t>
      </w:r>
      <w:r>
        <w:rPr>
          <w:rFonts w:hint="eastAsia" w:ascii="仿宋_GB2312" w:hAnsi="仿宋_GB2312" w:eastAsia="仿宋_GB2312" w:cs="仿宋_GB2312"/>
          <w:sz w:val="32"/>
          <w:szCs w:val="32"/>
          <w:highlight w:val="none"/>
        </w:rPr>
        <w:t>。</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第十九条  </w:t>
      </w:r>
      <w:r>
        <w:rPr>
          <w:rFonts w:hint="eastAsia" w:ascii="仿宋_GB2312" w:hAnsi="仿宋_GB2312" w:eastAsia="仿宋_GB2312" w:cs="仿宋_GB2312"/>
          <w:sz w:val="32"/>
          <w:szCs w:val="32"/>
          <w:highlight w:val="none"/>
        </w:rPr>
        <w:t>火电、钢铁、石油、化工、平板玻璃、水泥、陶瓷等大气污染重点行业企业及锅炉项目，应当采用污染防治</w:t>
      </w:r>
      <w:r>
        <w:rPr>
          <w:rFonts w:hint="eastAsia" w:ascii="仿宋_GB2312" w:hAnsi="仿宋_GB2312" w:eastAsia="仿宋_GB2312" w:cs="仿宋_GB2312"/>
          <w:i w:val="0"/>
          <w:iCs w:val="0"/>
          <w:sz w:val="32"/>
          <w:szCs w:val="32"/>
          <w:highlight w:val="none"/>
          <w:u w:val="none"/>
        </w:rPr>
        <w:t>先进可行</w:t>
      </w:r>
      <w:r>
        <w:rPr>
          <w:rFonts w:hint="eastAsia" w:ascii="仿宋_GB2312" w:hAnsi="仿宋_GB2312" w:eastAsia="仿宋_GB2312" w:cs="仿宋_GB2312"/>
          <w:sz w:val="32"/>
          <w:szCs w:val="32"/>
          <w:highlight w:val="none"/>
        </w:rPr>
        <w:t>技术，使重点大气污染物排放浓度达到国家</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省的</w:t>
      </w:r>
      <w:r>
        <w:rPr>
          <w:rFonts w:hint="eastAsia" w:ascii="仿宋_GB2312" w:hAnsi="仿宋_GB2312" w:eastAsia="仿宋_GB2312" w:cs="仿宋_GB2312"/>
          <w:i w:val="0"/>
          <w:iCs w:val="0"/>
          <w:sz w:val="32"/>
          <w:szCs w:val="32"/>
          <w:highlight w:val="none"/>
          <w:u w:val="none"/>
        </w:rPr>
        <w:t>超低</w:t>
      </w:r>
      <w:r>
        <w:rPr>
          <w:rFonts w:hint="eastAsia" w:ascii="仿宋_GB2312" w:hAnsi="仿宋_GB2312" w:eastAsia="仿宋_GB2312" w:cs="仿宋_GB2312"/>
          <w:sz w:val="32"/>
          <w:szCs w:val="32"/>
          <w:highlight w:val="none"/>
        </w:rPr>
        <w:t>排放</w:t>
      </w:r>
      <w:r>
        <w:rPr>
          <w:rFonts w:hint="eastAsia" w:ascii="仿宋_GB2312" w:hAnsi="仿宋_GB2312" w:eastAsia="仿宋_GB2312" w:cs="仿宋_GB2312"/>
          <w:i w:val="0"/>
          <w:iCs w:val="0"/>
          <w:sz w:val="32"/>
          <w:szCs w:val="32"/>
          <w:highlight w:val="none"/>
          <w:u w:val="none"/>
          <w:lang w:eastAsia="zh-CN"/>
        </w:rPr>
        <w:t>要求</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黑体" w:hAnsi="黑体" w:eastAsia="黑体" w:cs="黑体"/>
          <w:color w:val="000000"/>
          <w:kern w:val="2"/>
          <w:sz w:val="32"/>
          <w:szCs w:val="32"/>
          <w:highlight w:val="none"/>
          <w:lang w:val="en-US" w:eastAsia="zh-CN"/>
        </w:rPr>
        <w:t xml:space="preserve">第二十条  </w:t>
      </w:r>
      <w:r>
        <w:rPr>
          <w:rFonts w:hint="eastAsia" w:ascii="仿宋_GB2312" w:hAnsi="仿宋_GB2312" w:eastAsia="仿宋_GB2312" w:cs="仿宋_GB2312"/>
          <w:sz w:val="32"/>
          <w:szCs w:val="32"/>
          <w:highlight w:val="none"/>
        </w:rPr>
        <w:t>地级以上市人民政府应当组织</w:t>
      </w:r>
      <w:r>
        <w:rPr>
          <w:rFonts w:hint="eastAsia" w:ascii="仿宋_GB2312" w:hAnsi="仿宋_GB2312" w:eastAsia="仿宋_GB2312" w:cs="仿宋_GB2312"/>
          <w:i w:val="0"/>
          <w:iCs w:val="0"/>
          <w:sz w:val="32"/>
          <w:szCs w:val="32"/>
          <w:highlight w:val="none"/>
          <w:u w:val="none"/>
          <w:lang w:eastAsia="zh-CN"/>
        </w:rPr>
        <w:t>编制</w:t>
      </w:r>
      <w:r>
        <w:rPr>
          <w:rFonts w:hint="eastAsia" w:ascii="仿宋_GB2312" w:hAnsi="仿宋_GB2312" w:eastAsia="仿宋_GB2312" w:cs="仿宋_GB2312"/>
          <w:sz w:val="32"/>
          <w:szCs w:val="32"/>
          <w:highlight w:val="none"/>
        </w:rPr>
        <w:t>区域供热规划，建设和完善供热系统，对</w:t>
      </w:r>
      <w:r>
        <w:rPr>
          <w:rFonts w:hint="eastAsia" w:ascii="仿宋_GB2312" w:hAnsi="仿宋_GB2312" w:eastAsia="仿宋_GB2312" w:cs="仿宋_GB2312"/>
          <w:sz w:val="32"/>
          <w:szCs w:val="32"/>
          <w:highlight w:val="none"/>
          <w:lang w:eastAsia="zh-CN"/>
        </w:rPr>
        <w:t>具备条件的</w:t>
      </w:r>
      <w:r>
        <w:rPr>
          <w:rFonts w:hint="eastAsia" w:ascii="仿宋_GB2312" w:hAnsi="仿宋_GB2312" w:eastAsia="仿宋_GB2312" w:cs="仿宋_GB2312"/>
          <w:sz w:val="32"/>
          <w:szCs w:val="32"/>
          <w:highlight w:val="none"/>
        </w:rPr>
        <w:t>工业园区、产业园区</w:t>
      </w:r>
      <w:r>
        <w:rPr>
          <w:rFonts w:hint="eastAsia" w:ascii="仿宋_GB2312" w:hAnsi="仿宋_GB2312" w:eastAsia="仿宋_GB2312" w:cs="仿宋_GB2312"/>
          <w:sz w:val="32"/>
          <w:szCs w:val="32"/>
          <w:highlight w:val="none"/>
          <w:lang w:eastAsia="zh-CN"/>
        </w:rPr>
        <w:t>、开发区</w:t>
      </w:r>
      <w:r>
        <w:rPr>
          <w:rFonts w:hint="eastAsia" w:ascii="仿宋_GB2312" w:hAnsi="仿宋_GB2312" w:eastAsia="仿宋_GB2312" w:cs="仿宋_GB2312"/>
          <w:sz w:val="32"/>
          <w:szCs w:val="32"/>
          <w:highlight w:val="none"/>
        </w:rPr>
        <w:t>的用热单位实行集中供热，并逐步扩大供</w:t>
      </w:r>
      <w:r>
        <w:rPr>
          <w:rFonts w:hint="eastAsia" w:ascii="仿宋_GB2312" w:hAnsi="仿宋_GB2312" w:eastAsia="仿宋_GB2312" w:cs="仿宋_GB2312"/>
          <w:i w:val="0"/>
          <w:iCs w:val="0"/>
          <w:sz w:val="32"/>
          <w:szCs w:val="32"/>
          <w:highlight w:val="none"/>
          <w:u w:val="none"/>
        </w:rPr>
        <w:t>热管网覆盖范围。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i w:val="0"/>
          <w:iCs w:val="0"/>
          <w:sz w:val="32"/>
          <w:szCs w:val="32"/>
          <w:highlight w:val="none"/>
          <w:u w:val="none"/>
        </w:rPr>
        <w:t>在集中供热管网覆盖范围内，禁止新建、扩建燃用煤炭、重油、渣油、生物质等</w:t>
      </w:r>
      <w:r>
        <w:rPr>
          <w:rFonts w:hint="eastAsia" w:ascii="仿宋_GB2312" w:hAnsi="仿宋_GB2312" w:eastAsia="仿宋_GB2312" w:cs="仿宋_GB2312"/>
          <w:i w:val="0"/>
          <w:iCs w:val="0"/>
          <w:sz w:val="32"/>
          <w:szCs w:val="32"/>
          <w:highlight w:val="none"/>
          <w:u w:val="none"/>
          <w:lang w:eastAsia="zh-CN"/>
        </w:rPr>
        <w:t>分散供热锅炉</w:t>
      </w:r>
      <w:r>
        <w:rPr>
          <w:rFonts w:hint="eastAsia" w:ascii="仿宋_GB2312" w:hAnsi="仿宋_GB2312" w:eastAsia="仿宋_GB2312" w:cs="仿宋_GB2312"/>
          <w:i w:val="0"/>
          <w:iCs w:val="0"/>
          <w:sz w:val="32"/>
          <w:szCs w:val="32"/>
          <w:highlight w:val="none"/>
          <w:u w:val="none"/>
        </w:rPr>
        <w:t>；已建成</w:t>
      </w:r>
      <w:r>
        <w:rPr>
          <w:rFonts w:hint="eastAsia" w:ascii="仿宋_GB2312" w:hAnsi="仿宋_GB2312" w:eastAsia="仿宋_GB2312" w:cs="仿宋_GB2312"/>
          <w:sz w:val="32"/>
          <w:szCs w:val="32"/>
          <w:highlight w:val="none"/>
        </w:rPr>
        <w:t>的不能达标排放的供热</w:t>
      </w:r>
      <w:r>
        <w:rPr>
          <w:rFonts w:hint="eastAsia" w:ascii="仿宋_GB2312" w:hAnsi="仿宋_GB2312" w:eastAsia="仿宋_GB2312" w:cs="仿宋_GB2312"/>
          <w:sz w:val="32"/>
          <w:szCs w:val="32"/>
          <w:highlight w:val="none"/>
          <w:lang w:eastAsia="zh-CN"/>
        </w:rPr>
        <w:t>锅炉</w:t>
      </w:r>
      <w:r>
        <w:rPr>
          <w:rFonts w:hint="eastAsia" w:ascii="仿宋_GB2312" w:hAnsi="仿宋_GB2312" w:eastAsia="仿宋_GB2312" w:cs="仿宋_GB2312"/>
          <w:sz w:val="32"/>
          <w:szCs w:val="32"/>
          <w:highlight w:val="none"/>
        </w:rPr>
        <w:t>应当在县级以上人民政府规定的期限内拆除。</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0000FF"/>
          <w:sz w:val="32"/>
          <w:szCs w:val="32"/>
          <w:highlight w:val="none"/>
        </w:rPr>
      </w:pPr>
      <w:r>
        <w:rPr>
          <w:rFonts w:hint="eastAsia" w:ascii="黑体" w:hAnsi="黑体" w:eastAsia="黑体" w:cs="黑体"/>
          <w:color w:val="000000"/>
          <w:kern w:val="2"/>
          <w:sz w:val="32"/>
          <w:szCs w:val="32"/>
          <w:highlight w:val="none"/>
          <w:lang w:val="en-US" w:eastAsia="zh-CN"/>
        </w:rPr>
        <w:t xml:space="preserve">第二十一条  </w:t>
      </w:r>
      <w:r>
        <w:rPr>
          <w:rFonts w:hint="eastAsia" w:ascii="仿宋_GB2312" w:hAnsi="仿宋_GB2312" w:eastAsia="仿宋_GB2312" w:cs="仿宋_GB2312"/>
          <w:sz w:val="32"/>
          <w:szCs w:val="32"/>
          <w:highlight w:val="none"/>
        </w:rPr>
        <w:t>禁止安装国家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省明令淘汰、强制报废、禁止制造和使用的锅炉等燃烧设备。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仿宋_GB2312" w:hAnsi="仿宋_GB2312" w:eastAsia="仿宋_GB2312" w:cs="仿宋_GB2312"/>
          <w:i w:val="0"/>
          <w:iCs w:val="0"/>
          <w:sz w:val="32"/>
          <w:szCs w:val="32"/>
          <w:highlight w:val="none"/>
          <w:u w:val="none"/>
          <w:lang w:eastAsia="zh-CN"/>
        </w:rPr>
        <w:t>地级以上市</w:t>
      </w:r>
      <w:r>
        <w:rPr>
          <w:rFonts w:hint="eastAsia" w:ascii="仿宋_GB2312" w:hAnsi="仿宋_GB2312" w:eastAsia="仿宋_GB2312" w:cs="仿宋_GB2312"/>
          <w:i w:val="0"/>
          <w:iCs w:val="0"/>
          <w:sz w:val="32"/>
          <w:szCs w:val="32"/>
          <w:highlight w:val="none"/>
          <w:u w:val="none"/>
          <w:lang w:val="en-US" w:eastAsia="zh-CN"/>
        </w:rPr>
        <w:t>人民政府根据大气污染防治需要，限制高污染</w:t>
      </w:r>
      <w:r>
        <w:rPr>
          <w:rFonts w:hint="eastAsia" w:ascii="仿宋_GB2312" w:hAnsi="仿宋_GB2312" w:eastAsia="仿宋_GB2312" w:cs="仿宋_GB2312"/>
          <w:i w:val="0"/>
          <w:iCs w:val="0"/>
          <w:sz w:val="32"/>
          <w:szCs w:val="32"/>
          <w:highlight w:val="none"/>
          <w:u w:val="none"/>
          <w:lang w:eastAsia="zh-CN"/>
        </w:rPr>
        <w:t>锅炉、</w:t>
      </w:r>
      <w:r>
        <w:rPr>
          <w:rFonts w:hint="eastAsia" w:ascii="仿宋_GB2312" w:hAnsi="仿宋_GB2312" w:eastAsia="仿宋_GB2312" w:cs="仿宋_GB2312"/>
          <w:i w:val="0"/>
          <w:iCs w:val="0"/>
          <w:sz w:val="32"/>
          <w:szCs w:val="32"/>
          <w:highlight w:val="none"/>
          <w:u w:val="none"/>
          <w:lang w:val="en-US" w:eastAsia="zh-CN"/>
        </w:rPr>
        <w:t>炉窑的</w:t>
      </w:r>
      <w:r>
        <w:rPr>
          <w:rFonts w:hint="eastAsia" w:ascii="仿宋_GB2312" w:hAnsi="仿宋_GB2312" w:eastAsia="仿宋_GB2312" w:cs="仿宋_GB2312"/>
          <w:i w:val="0"/>
          <w:iCs w:val="0"/>
          <w:sz w:val="32"/>
          <w:szCs w:val="32"/>
          <w:highlight w:val="none"/>
          <w:u w:val="none"/>
          <w:lang w:eastAsia="zh-CN"/>
        </w:rPr>
        <w:t>使用。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第二十二条  </w:t>
      </w:r>
      <w:r>
        <w:rPr>
          <w:rFonts w:hint="eastAsia" w:ascii="仿宋_GB2312" w:hAnsi="仿宋_GB2312" w:eastAsia="仿宋_GB2312" w:cs="仿宋_GB2312"/>
          <w:sz w:val="32"/>
          <w:szCs w:val="32"/>
          <w:highlight w:val="none"/>
        </w:rPr>
        <w:t>禁止安装、使用</w:t>
      </w:r>
      <w:r>
        <w:rPr>
          <w:rFonts w:hint="eastAsia" w:ascii="仿宋_GB2312" w:hAnsi="仿宋_GB2312" w:eastAsia="仿宋_GB2312" w:cs="仿宋_GB2312"/>
          <w:i w:val="0"/>
          <w:iCs w:val="0"/>
          <w:sz w:val="32"/>
          <w:szCs w:val="32"/>
          <w:highlight w:val="none"/>
          <w:u w:val="none"/>
          <w:lang w:eastAsia="zh-CN"/>
        </w:rPr>
        <w:t>非专用</w:t>
      </w:r>
      <w:r>
        <w:rPr>
          <w:rFonts w:hint="eastAsia" w:ascii="仿宋_GB2312" w:hAnsi="仿宋_GB2312" w:eastAsia="仿宋_GB2312" w:cs="仿宋_GB2312"/>
          <w:sz w:val="32"/>
          <w:szCs w:val="32"/>
          <w:highlight w:val="none"/>
        </w:rPr>
        <w:t>生物质锅炉</w:t>
      </w:r>
      <w:r>
        <w:rPr>
          <w:rFonts w:hint="eastAsia" w:ascii="仿宋_GB2312" w:hAnsi="仿宋_GB2312" w:eastAsia="仿宋_GB2312" w:cs="仿宋_GB2312"/>
          <w:i w:val="0"/>
          <w:iCs w:val="0"/>
          <w:sz w:val="32"/>
          <w:szCs w:val="32"/>
          <w:highlight w:val="none"/>
          <w:u w:val="none"/>
          <w:lang w:eastAsia="zh-CN"/>
        </w:rPr>
        <w:t>。</w:t>
      </w:r>
      <w:r>
        <w:rPr>
          <w:rFonts w:hint="eastAsia" w:ascii="仿宋_GB2312" w:hAnsi="仿宋_GB2312" w:eastAsia="仿宋_GB2312" w:cs="仿宋_GB2312"/>
          <w:sz w:val="32"/>
          <w:szCs w:val="32"/>
          <w:highlight w:val="none"/>
        </w:rPr>
        <w:t>禁止安装、使用可以燃用煤及其制品的双燃料或者多燃料生物质锅炉。</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生物质锅炉应当</w:t>
      </w:r>
      <w:r>
        <w:rPr>
          <w:rFonts w:hint="eastAsia" w:ascii="仿宋_GB2312" w:hAnsi="仿宋_GB2312" w:eastAsia="仿宋_GB2312" w:cs="仿宋_GB2312"/>
          <w:sz w:val="32"/>
          <w:szCs w:val="32"/>
          <w:highlight w:val="none"/>
          <w:lang w:eastAsia="zh-CN"/>
        </w:rPr>
        <w:t>以经过加工的木本植物或者草本植物为燃料，禁止掺杂添加燃烧后产生有毒有害烟尘和恶臭气体的其他物质，并配备高效除尘设施，</w:t>
      </w:r>
      <w:r>
        <w:rPr>
          <w:rFonts w:hint="eastAsia" w:ascii="仿宋_GB2312" w:hAnsi="仿宋_GB2312" w:eastAsia="仿宋_GB2312" w:cs="仿宋_GB2312"/>
          <w:sz w:val="32"/>
          <w:szCs w:val="32"/>
          <w:highlight w:val="none"/>
        </w:rPr>
        <w:t>按照</w:t>
      </w:r>
      <w:r>
        <w:rPr>
          <w:rFonts w:hint="eastAsia" w:ascii="仿宋_GB2312" w:hAnsi="仿宋_GB2312" w:eastAsia="仿宋_GB2312" w:cs="仿宋_GB2312"/>
          <w:i w:val="0"/>
          <w:iCs w:val="0"/>
          <w:sz w:val="32"/>
          <w:szCs w:val="32"/>
          <w:highlight w:val="none"/>
          <w:u w:val="none"/>
          <w:lang w:val="en-US" w:eastAsia="zh-CN"/>
        </w:rPr>
        <w:t>国家和省的有关</w:t>
      </w:r>
      <w:r>
        <w:rPr>
          <w:rFonts w:hint="eastAsia" w:ascii="仿宋_GB2312" w:hAnsi="仿宋_GB2312" w:eastAsia="仿宋_GB2312" w:cs="仿宋_GB2312"/>
          <w:sz w:val="32"/>
          <w:szCs w:val="32"/>
          <w:highlight w:val="none"/>
          <w:lang w:eastAsia="zh-CN"/>
        </w:rPr>
        <w:t>规定</w:t>
      </w:r>
      <w:r>
        <w:rPr>
          <w:rFonts w:hint="eastAsia" w:ascii="仿宋_GB2312" w:hAnsi="仿宋_GB2312" w:eastAsia="仿宋_GB2312" w:cs="仿宋_GB2312"/>
          <w:sz w:val="32"/>
          <w:szCs w:val="32"/>
          <w:highlight w:val="none"/>
        </w:rPr>
        <w:t>安装自动监控或者监测设备。</w:t>
      </w: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r>
        <w:rPr>
          <w:rFonts w:hint="eastAsia" w:ascii="黑体" w:hAnsi="黑体" w:eastAsia="黑体" w:cs="黑体"/>
          <w:color w:val="000000"/>
          <w:kern w:val="2"/>
          <w:sz w:val="32"/>
          <w:szCs w:val="32"/>
          <w:highlight w:val="none"/>
          <w:lang w:val="en-US" w:eastAsia="zh-CN"/>
        </w:rPr>
        <w:t>第二节  挥发性有机物污染防治</w:t>
      </w:r>
    </w:p>
    <w:p>
      <w:pPr>
        <w:widowControl w:val="0"/>
        <w:wordWrap/>
        <w:adjustRightInd/>
        <w:snapToGrid w:val="0"/>
        <w:spacing w:beforeAutospacing="0" w:afterAutospacing="0" w:line="560" w:lineRule="exact"/>
        <w:ind w:left="0" w:leftChars="0" w:right="0" w:firstLine="643" w:firstLineChars="20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第二十三条  </w:t>
      </w: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负责</w:t>
      </w:r>
      <w:r>
        <w:rPr>
          <w:rFonts w:hint="eastAsia" w:ascii="仿宋_GB2312" w:hAnsi="仿宋_GB2312" w:eastAsia="仿宋_GB2312" w:cs="仿宋_GB2312"/>
          <w:sz w:val="32"/>
          <w:szCs w:val="32"/>
          <w:highlight w:val="none"/>
        </w:rPr>
        <w:t>林业</w:t>
      </w:r>
      <w:r>
        <w:rPr>
          <w:rFonts w:hint="eastAsia" w:ascii="仿宋_GB2312" w:hAnsi="仿宋_GB2312" w:eastAsia="仿宋_GB2312" w:cs="仿宋_GB2312"/>
          <w:i w:val="0"/>
          <w:iCs w:val="0"/>
          <w:sz w:val="32"/>
          <w:szCs w:val="32"/>
          <w:highlight w:val="none"/>
          <w:u w:val="none"/>
        </w:rPr>
        <w:t>和</w:t>
      </w:r>
      <w:r>
        <w:rPr>
          <w:rFonts w:hint="eastAsia" w:ascii="仿宋_GB2312" w:hAnsi="仿宋_GB2312" w:eastAsia="仿宋_GB2312" w:cs="仿宋_GB2312"/>
          <w:sz w:val="32"/>
          <w:szCs w:val="32"/>
          <w:highlight w:val="none"/>
        </w:rPr>
        <w:t>园林</w:t>
      </w:r>
      <w:r>
        <w:rPr>
          <w:rFonts w:hint="eastAsia" w:ascii="仿宋_GB2312" w:hAnsi="仿宋_GB2312" w:eastAsia="仿宋_GB2312" w:cs="仿宋_GB2312"/>
          <w:sz w:val="32"/>
          <w:szCs w:val="32"/>
          <w:highlight w:val="none"/>
          <w:lang w:eastAsia="zh-CN"/>
        </w:rPr>
        <w:t>工作的</w:t>
      </w:r>
      <w:r>
        <w:rPr>
          <w:rFonts w:hint="eastAsia" w:ascii="仿宋_GB2312" w:hAnsi="仿宋_GB2312" w:eastAsia="仿宋_GB2312" w:cs="仿宋_GB2312"/>
          <w:sz w:val="32"/>
          <w:szCs w:val="32"/>
          <w:highlight w:val="none"/>
        </w:rPr>
        <w:t>主管部门应当根据大气污染防治、物种多样性、植物生长动态、生态系统功能、地理条件等需要，选择适当的绿化树种，减少植物源挥发性有机物排放。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负责</w:t>
      </w:r>
      <w:r>
        <w:rPr>
          <w:rFonts w:hint="eastAsia" w:ascii="仿宋_GB2312" w:hAnsi="仿宋_GB2312" w:eastAsia="仿宋_GB2312" w:cs="仿宋_GB2312"/>
          <w:sz w:val="32"/>
          <w:szCs w:val="32"/>
          <w:highlight w:val="none"/>
        </w:rPr>
        <w:t>林业</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园林</w:t>
      </w:r>
      <w:r>
        <w:rPr>
          <w:rFonts w:hint="eastAsia" w:ascii="仿宋_GB2312" w:hAnsi="仿宋_GB2312" w:eastAsia="仿宋_GB2312" w:cs="仿宋_GB2312"/>
          <w:i w:val="0"/>
          <w:iCs w:val="0"/>
          <w:sz w:val="32"/>
          <w:szCs w:val="32"/>
          <w:highlight w:val="none"/>
          <w:u w:val="none"/>
          <w:lang w:eastAsia="zh-CN"/>
        </w:rPr>
        <w:t>工作的</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sz w:val="32"/>
          <w:szCs w:val="32"/>
          <w:highlight w:val="none"/>
          <w:lang w:eastAsia="zh-CN"/>
        </w:rPr>
        <w:t>和农业农村主管部门</w:t>
      </w:r>
      <w:r>
        <w:rPr>
          <w:rFonts w:hint="eastAsia" w:ascii="仿宋_GB2312" w:hAnsi="仿宋_GB2312" w:eastAsia="仿宋_GB2312" w:cs="仿宋_GB2312"/>
          <w:sz w:val="32"/>
          <w:szCs w:val="32"/>
          <w:highlight w:val="none"/>
        </w:rPr>
        <w:t>应当采取措施鼓励推广应用绿色农药剂型。</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第二十四条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环境主管部门应当会同</w:t>
      </w:r>
      <w:r>
        <w:rPr>
          <w:rFonts w:hint="eastAsia" w:ascii="仿宋_GB2312" w:hAnsi="仿宋_GB2312" w:eastAsia="仿宋_GB2312" w:cs="仿宋_GB2312"/>
          <w:i w:val="0"/>
          <w:iCs w:val="0"/>
          <w:sz w:val="32"/>
          <w:szCs w:val="32"/>
          <w:highlight w:val="none"/>
          <w:u w:val="none"/>
          <w:lang w:eastAsia="zh-CN"/>
        </w:rPr>
        <w:t>标准化</w:t>
      </w:r>
      <w:r>
        <w:rPr>
          <w:rFonts w:hint="eastAsia" w:ascii="仿宋_GB2312" w:hAnsi="仿宋_GB2312" w:eastAsia="仿宋_GB2312" w:cs="仿宋_GB2312"/>
          <w:sz w:val="32"/>
          <w:szCs w:val="32"/>
          <w:highlight w:val="none"/>
        </w:rPr>
        <w:t>主管部门制定产品挥发性有机物含量限值标准，明确挥发性有机物含量，并向社会公布。</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在本省生产、销售、使用含挥发性有机物的原材料和产品的，其挥发性有机物含量应当符合本省规定的限值标准。高挥发性有机物含量的产品，应当在包装或者说明中标注挥发性有机物含量。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i w:val="0"/>
          <w:iCs w:val="0"/>
          <w:sz w:val="32"/>
          <w:szCs w:val="32"/>
          <w:highlight w:val="none"/>
          <w:u w:val="none"/>
          <w:lang w:val="en-US" w:eastAsia="zh-CN"/>
        </w:rPr>
        <w:t xml:space="preserve">第二十五条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环境主管部门应当会同</w:t>
      </w:r>
      <w:r>
        <w:rPr>
          <w:rFonts w:hint="eastAsia" w:ascii="仿宋_GB2312" w:hAnsi="仿宋_GB2312" w:eastAsia="仿宋_GB2312" w:cs="仿宋_GB2312"/>
          <w:sz w:val="32"/>
          <w:szCs w:val="32"/>
          <w:highlight w:val="none"/>
          <w:lang w:eastAsia="zh-CN"/>
        </w:rPr>
        <w:t>标准化</w:t>
      </w:r>
      <w:r>
        <w:rPr>
          <w:rFonts w:hint="eastAsia" w:ascii="仿宋_GB2312" w:hAnsi="仿宋_GB2312" w:eastAsia="仿宋_GB2312" w:cs="仿宋_GB2312"/>
          <w:sz w:val="32"/>
          <w:szCs w:val="32"/>
          <w:highlight w:val="none"/>
        </w:rPr>
        <w:t>等主管部门，制定本省重点行业挥发性有机物排放标准、技术规范。</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企业事业单位和其他生产经营者应当按照挥发性有机物排放标准、技术规范的规定，制定操作规程，组织生产管理。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single"/>
        </w:rPr>
      </w:pPr>
      <w:r>
        <w:rPr>
          <w:rFonts w:hint="eastAsia" w:ascii="黑体" w:hAnsi="黑体" w:eastAsia="黑体" w:cs="黑体"/>
          <w:color w:val="000000"/>
          <w:kern w:val="2"/>
          <w:sz w:val="32"/>
          <w:szCs w:val="32"/>
          <w:highlight w:val="none"/>
          <w:lang w:val="en-US" w:eastAsia="zh-CN"/>
        </w:rPr>
        <w:t xml:space="preserve">第二十六条  </w:t>
      </w:r>
      <w:r>
        <w:rPr>
          <w:rFonts w:hint="eastAsia" w:ascii="仿宋_GB2312" w:hAnsi="仿宋_GB2312" w:eastAsia="仿宋_GB2312" w:cs="仿宋_GB2312"/>
          <w:i w:val="0"/>
          <w:iCs w:val="0"/>
          <w:sz w:val="32"/>
          <w:szCs w:val="32"/>
          <w:highlight w:val="none"/>
          <w:u w:val="none"/>
        </w:rPr>
        <w:t>新建、改建、扩建排放挥发性有机物的建设项目，应当使用污染防治</w:t>
      </w:r>
      <w:r>
        <w:rPr>
          <w:rFonts w:hint="eastAsia" w:ascii="仿宋_GB2312" w:hAnsi="仿宋_GB2312" w:eastAsia="仿宋_GB2312" w:cs="仿宋_GB2312"/>
          <w:i w:val="0"/>
          <w:iCs w:val="0"/>
          <w:sz w:val="32"/>
          <w:szCs w:val="32"/>
          <w:highlight w:val="none"/>
          <w:u w:val="none"/>
          <w:lang w:eastAsia="zh-CN"/>
        </w:rPr>
        <w:t>先进</w:t>
      </w:r>
      <w:r>
        <w:rPr>
          <w:rFonts w:hint="eastAsia" w:ascii="仿宋_GB2312" w:hAnsi="仿宋_GB2312" w:eastAsia="仿宋_GB2312" w:cs="仿宋_GB2312"/>
          <w:i w:val="0"/>
          <w:iCs w:val="0"/>
          <w:sz w:val="32"/>
          <w:szCs w:val="32"/>
          <w:highlight w:val="none"/>
          <w:u w:val="none"/>
        </w:rPr>
        <w:t>可行技术。</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下列产生含挥发性有机物废气的生产和服务活动，应当优先使用低挥发性有机物含量的原材料和低排放环保工艺，在确保安全条件下，按照规定在密闭空间或者设备中进行，安装、使用满足防爆、防静电要求的</w:t>
      </w:r>
      <w:r>
        <w:rPr>
          <w:rFonts w:hint="eastAsia" w:ascii="仿宋_GB2312" w:hAnsi="仿宋_GB2312" w:eastAsia="仿宋_GB2312" w:cs="仿宋_GB2312"/>
          <w:i w:val="0"/>
          <w:iCs w:val="0"/>
          <w:sz w:val="32"/>
          <w:szCs w:val="32"/>
          <w:highlight w:val="none"/>
          <w:u w:val="none"/>
        </w:rPr>
        <w:t>治理效率高的</w:t>
      </w:r>
      <w:r>
        <w:rPr>
          <w:rFonts w:hint="eastAsia" w:ascii="仿宋_GB2312" w:hAnsi="仿宋_GB2312" w:eastAsia="仿宋_GB2312" w:cs="仿宋_GB2312"/>
          <w:sz w:val="32"/>
          <w:szCs w:val="32"/>
          <w:highlight w:val="none"/>
        </w:rPr>
        <w:t>污染防治设施；无法密闭或者不适宜密闭的，应当采取有效措施减少废气排放：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（一）石油、化工、煤炭加工与转化等含挥发性有机物原料的生产；</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（二）燃油、溶剂的储存、运输和销售；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（三）涂料、油墨、胶粘剂、农药等以挥发性有机物为原料的生产；</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（四）涂装、印刷、粘合、工业清洗等</w:t>
      </w:r>
      <w:r>
        <w:rPr>
          <w:rFonts w:hint="eastAsia" w:ascii="仿宋_GB2312" w:hAnsi="仿宋_GB2312" w:eastAsia="仿宋_GB2312" w:cs="仿宋_GB2312"/>
          <w:sz w:val="32"/>
          <w:szCs w:val="32"/>
          <w:highlight w:val="none"/>
          <w:lang w:eastAsia="zh-CN"/>
        </w:rPr>
        <w:t>使用</w:t>
      </w:r>
      <w:r>
        <w:rPr>
          <w:rFonts w:hint="eastAsia" w:ascii="仿宋_GB2312" w:hAnsi="仿宋_GB2312" w:eastAsia="仿宋_GB2312" w:cs="仿宋_GB2312"/>
          <w:sz w:val="32"/>
          <w:szCs w:val="32"/>
          <w:highlight w:val="none"/>
        </w:rPr>
        <w:t>含挥发性有机物产品</w:t>
      </w:r>
      <w:r>
        <w:rPr>
          <w:rFonts w:hint="eastAsia" w:ascii="仿宋_GB2312" w:hAnsi="仿宋_GB2312" w:eastAsia="仿宋_GB2312" w:cs="仿宋_GB2312"/>
          <w:sz w:val="32"/>
          <w:szCs w:val="32"/>
          <w:highlight w:val="none"/>
          <w:lang w:eastAsia="zh-CN"/>
        </w:rPr>
        <w:t>的生产活动</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（五）其他产生挥发性有机物的生产和服务活动。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二十七</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工业涂装企业应当使用低挥发性有机物含量的涂料，并建立台账，如实记录生产原料、辅料的使用量、废弃量、去向以及挥发性有机物含量并向县级以上人民政府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i w:val="0"/>
          <w:iCs w:val="0"/>
          <w:sz w:val="32"/>
          <w:szCs w:val="32"/>
          <w:highlight w:val="none"/>
          <w:u w:val="none"/>
        </w:rPr>
        <w:t>申报</w:t>
      </w:r>
      <w:r>
        <w:rPr>
          <w:rFonts w:hint="eastAsia" w:ascii="仿宋_GB2312" w:hAnsi="仿宋_GB2312" w:eastAsia="仿宋_GB2312" w:cs="仿宋_GB2312"/>
          <w:sz w:val="32"/>
          <w:szCs w:val="32"/>
          <w:highlight w:val="none"/>
        </w:rPr>
        <w:t>。台账保存期限不少于三年。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其他产生挥发性有机物的工业企业应当按照国家和省的有关规定，建立台账并向县级以上人民政府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环境主管部门如实申报原辅材料使用等情况。台账保存期限不少于三年。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 xml:space="preserve">第二十八条  </w:t>
      </w:r>
      <w:r>
        <w:rPr>
          <w:rFonts w:hint="eastAsia" w:ascii="仿宋_GB2312" w:hAnsi="仿宋_GB2312" w:eastAsia="仿宋_GB2312" w:cs="仿宋_GB2312"/>
          <w:sz w:val="32"/>
          <w:szCs w:val="32"/>
          <w:highlight w:val="none"/>
        </w:rPr>
        <w:t>石油、化工、有机医药及其他生产和使用有机溶剂的企业，应当根据国家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省的标准、技术规范建立泄漏检测与修复制度，对管道、设备进行日常维护、维修，减少物料泄漏</w:t>
      </w:r>
      <w:r>
        <w:rPr>
          <w:rFonts w:hint="eastAsia" w:ascii="仿宋_GB2312" w:hAnsi="仿宋_GB2312" w:eastAsia="仿宋_GB2312" w:cs="仿宋_GB2312"/>
          <w:sz w:val="32"/>
          <w:szCs w:val="32"/>
          <w:highlight w:val="none"/>
          <w:lang w:val="en-US" w:eastAsia="zh-CN"/>
        </w:rPr>
        <w:t>，对泄漏的物料应当及时收集处理</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石油、化工等排放挥发性有机物的企业事业单位和其他生产经营者在维修、检修时，应当按照技术规范，对生产装置系统的停运、倒空、清洗等环节</w:t>
      </w:r>
      <w:r>
        <w:rPr>
          <w:rFonts w:hint="eastAsia" w:ascii="仿宋_GB2312" w:hAnsi="仿宋_GB2312" w:eastAsia="仿宋_GB2312" w:cs="仿宋_GB2312"/>
          <w:i w:val="0"/>
          <w:iCs w:val="0"/>
          <w:sz w:val="32"/>
          <w:szCs w:val="32"/>
          <w:highlight w:val="none"/>
          <w:u w:val="none"/>
          <w:lang w:eastAsia="zh-CN"/>
        </w:rPr>
        <w:t>进行</w:t>
      </w:r>
      <w:r>
        <w:rPr>
          <w:rFonts w:hint="eastAsia" w:ascii="仿宋_GB2312" w:hAnsi="仿宋_GB2312" w:eastAsia="仿宋_GB2312" w:cs="仿宋_GB2312"/>
          <w:sz w:val="32"/>
          <w:szCs w:val="32"/>
          <w:highlight w:val="none"/>
        </w:rPr>
        <w:t>挥发性有机物排放控制。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val="en-US" w:eastAsia="zh-CN"/>
        </w:rPr>
        <w:t xml:space="preserve">第二十九条  </w:t>
      </w:r>
      <w:r>
        <w:rPr>
          <w:rFonts w:hint="eastAsia" w:ascii="仿宋_GB2312" w:hAnsi="仿宋_GB2312" w:eastAsia="仿宋_GB2312" w:cs="仿宋_GB2312"/>
          <w:sz w:val="32"/>
          <w:szCs w:val="32"/>
          <w:highlight w:val="none"/>
        </w:rPr>
        <w:t>储油储气库、加油加气站、原油成品油码头、原油成品油运输船舶和油罐车、气罐车等，应当按照国家和省</w:t>
      </w:r>
      <w:r>
        <w:rPr>
          <w:rFonts w:hint="eastAsia" w:ascii="仿宋_GB2312" w:hAnsi="仿宋_GB2312" w:eastAsia="仿宋_GB2312" w:cs="仿宋_GB2312"/>
          <w:sz w:val="32"/>
          <w:szCs w:val="32"/>
          <w:highlight w:val="none"/>
          <w:lang w:eastAsia="zh-CN"/>
        </w:rPr>
        <w:t>的有关</w:t>
      </w:r>
      <w:r>
        <w:rPr>
          <w:rFonts w:hint="eastAsia" w:ascii="仿宋_GB2312" w:hAnsi="仿宋_GB2312" w:eastAsia="仿宋_GB2312" w:cs="仿宋_GB2312"/>
          <w:sz w:val="32"/>
          <w:szCs w:val="32"/>
          <w:highlight w:val="none"/>
        </w:rPr>
        <w:t>规定安装油气回收装置和自动监测装置并保持正常使用，每年向</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环境主管部门报送</w:t>
      </w:r>
      <w:r>
        <w:rPr>
          <w:rFonts w:hint="eastAsia" w:ascii="仿宋_GB2312" w:hAnsi="仿宋_GB2312" w:eastAsia="仿宋_GB2312" w:cs="仿宋_GB2312"/>
          <w:i w:val="0"/>
          <w:iCs w:val="0"/>
          <w:sz w:val="32"/>
          <w:szCs w:val="32"/>
          <w:highlight w:val="none"/>
          <w:u w:val="none"/>
        </w:rPr>
        <w:t>有</w:t>
      </w:r>
      <w:r>
        <w:rPr>
          <w:rFonts w:hint="eastAsia" w:ascii="仿宋_GB2312" w:hAnsi="仿宋_GB2312" w:eastAsia="仿宋_GB2312" w:cs="仿宋_GB2312"/>
          <w:sz w:val="32"/>
          <w:szCs w:val="32"/>
          <w:highlight w:val="none"/>
        </w:rPr>
        <w:t>检测资质的机构出具的油气排放检测报告，油气排放检测报告标准文书由</w:t>
      </w:r>
      <w:r>
        <w:rPr>
          <w:rFonts w:hint="eastAsia" w:ascii="仿宋_GB2312" w:hAnsi="仿宋_GB2312" w:eastAsia="仿宋_GB2312" w:cs="仿宋_GB2312"/>
          <w:sz w:val="32"/>
          <w:szCs w:val="32"/>
          <w:highlight w:val="none"/>
          <w:lang w:eastAsia="zh-CN"/>
        </w:rPr>
        <w:t>省生态</w:t>
      </w:r>
      <w:r>
        <w:rPr>
          <w:rFonts w:hint="eastAsia" w:ascii="仿宋_GB2312" w:hAnsi="仿宋_GB2312" w:eastAsia="仿宋_GB2312" w:cs="仿宋_GB2312"/>
          <w:sz w:val="32"/>
          <w:szCs w:val="32"/>
          <w:highlight w:val="none"/>
        </w:rPr>
        <w:t>环境主管部门制定。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严格控制新建、扩建排放恶臭污染物的工业类建设项目。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产生</w:t>
      </w:r>
      <w:r>
        <w:rPr>
          <w:rFonts w:hint="eastAsia" w:ascii="仿宋_GB2312" w:hAnsi="仿宋_GB2312" w:eastAsia="仿宋_GB2312" w:cs="仿宋_GB2312"/>
          <w:sz w:val="32"/>
          <w:szCs w:val="32"/>
          <w:highlight w:val="none"/>
        </w:rPr>
        <w:t>恶臭污染物的化工、石化、制药、制革、骨胶炼制、生物发酵、饲料加工、家具制造等行业应当科学选址，设置合理的防护距离，并安装净化装置或者采取其他措施，防止排放恶臭污染物。</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鼓励</w:t>
      </w:r>
      <w:r>
        <w:rPr>
          <w:rFonts w:hint="eastAsia" w:ascii="仿宋_GB2312" w:hAnsi="仿宋_GB2312" w:eastAsia="仿宋_GB2312" w:cs="仿宋_GB2312"/>
          <w:sz w:val="32"/>
          <w:szCs w:val="32"/>
          <w:highlight w:val="none"/>
        </w:rPr>
        <w:t>企业采用先进的技术、工艺和设备，减少恶臭污染物排放。</w:t>
      </w:r>
    </w:p>
    <w:p>
      <w:pPr>
        <w:widowControl w:val="0"/>
        <w:wordWrap/>
        <w:adjustRightInd/>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color w:val="000000"/>
          <w:kern w:val="0"/>
          <w:sz w:val="32"/>
          <w:szCs w:val="32"/>
          <w:highlight w:val="none"/>
          <w:lang w:eastAsia="zh-CN"/>
        </w:rPr>
        <w:t>第三十一</w:t>
      </w:r>
      <w:r>
        <w:rPr>
          <w:rFonts w:hint="eastAsia" w:ascii="黑体" w:hAnsi="黑体" w:eastAsia="黑体" w:cs="黑体"/>
          <w:color w:val="000000"/>
          <w:kern w:val="0"/>
          <w:sz w:val="32"/>
          <w:szCs w:val="32"/>
          <w:highlight w:val="none"/>
          <w:lang w:val="en-US" w:eastAsia="zh-CN"/>
        </w:rPr>
        <w:t xml:space="preserve">条  </w:t>
      </w:r>
      <w:r>
        <w:rPr>
          <w:rFonts w:hint="eastAsia" w:ascii="仿宋_GB2312" w:hAnsi="仿宋_GB2312" w:eastAsia="仿宋_GB2312" w:cs="仿宋_GB2312"/>
          <w:b w:val="0"/>
          <w:i w:val="0"/>
          <w:color w:val="000000"/>
          <w:spacing w:val="0"/>
          <w:kern w:val="0"/>
          <w:sz w:val="32"/>
          <w:szCs w:val="32"/>
          <w:highlight w:val="none"/>
          <w:lang w:val="en-US" w:eastAsia="zh-CN"/>
        </w:rPr>
        <w:t>科学教育、医疗保健、餐饮住宿、娱乐购物、文化体育、交通运输等公共场所建筑物以及办公楼、居民住宅的室内装修</w:t>
      </w:r>
      <w:r>
        <w:rPr>
          <w:rFonts w:hint="eastAsia" w:ascii="仿宋_GB2312" w:hAnsi="仿宋_GB2312" w:eastAsia="仿宋_GB2312" w:cs="仿宋_GB2312"/>
          <w:color w:val="000000"/>
          <w:kern w:val="0"/>
          <w:sz w:val="32"/>
          <w:szCs w:val="32"/>
          <w:highlight w:val="none"/>
          <w:lang w:eastAsia="zh-CN"/>
        </w:rPr>
        <w:t>应当选用符合国家有关规范和标准的建筑和装饰材料，鼓励选用</w:t>
      </w:r>
      <w:r>
        <w:rPr>
          <w:rFonts w:hint="eastAsia" w:ascii="仿宋_GB2312" w:hAnsi="仿宋_GB2312" w:eastAsia="仿宋_GB2312" w:cs="仿宋_GB2312"/>
          <w:b w:val="0"/>
          <w:i w:val="0"/>
          <w:color w:val="000000"/>
          <w:spacing w:val="0"/>
          <w:kern w:val="0"/>
          <w:sz w:val="32"/>
          <w:szCs w:val="32"/>
          <w:highlight w:val="none"/>
          <w:lang w:val="en-US" w:eastAsia="zh-CN"/>
        </w:rPr>
        <w:t>绿色环保材料，</w:t>
      </w:r>
      <w:r>
        <w:rPr>
          <w:rFonts w:hint="eastAsia" w:ascii="仿宋_GB2312" w:hAnsi="仿宋_GB2312" w:eastAsia="仿宋_GB2312" w:cs="仿宋_GB2312"/>
          <w:color w:val="000000"/>
          <w:kern w:val="0"/>
          <w:sz w:val="32"/>
          <w:szCs w:val="32"/>
          <w:highlight w:val="none"/>
          <w:lang w:eastAsia="zh-CN"/>
        </w:rPr>
        <w:t>预防和控制室内环境污染。</w:t>
      </w:r>
    </w:p>
    <w:p>
      <w:pPr>
        <w:widowControl w:val="0"/>
        <w:numPr>
          <w:ilvl w:val="0"/>
          <w:numId w:val="0"/>
        </w:numPr>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lang w:eastAsia="zh-CN"/>
        </w:rPr>
      </w:pPr>
    </w:p>
    <w:p>
      <w:pPr>
        <w:widowControl w:val="0"/>
        <w:numPr>
          <w:ilvl w:val="0"/>
          <w:numId w:val="0"/>
        </w:numPr>
        <w:wordWrap/>
        <w:adjustRightInd/>
        <w:snapToGrid w:val="0"/>
        <w:spacing w:beforeAutospacing="0" w:afterAutospacing="0" w:line="560" w:lineRule="exact"/>
        <w:ind w:right="0"/>
        <w:jc w:val="center"/>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第五章</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移动源污染防治</w:t>
      </w:r>
    </w:p>
    <w:p>
      <w:pPr>
        <w:widowControl w:val="0"/>
        <w:numPr>
          <w:ilvl w:val="0"/>
          <w:numId w:val="0"/>
        </w:numPr>
        <w:wordWrap/>
        <w:adjustRightInd/>
        <w:snapToGrid w:val="0"/>
        <w:spacing w:beforeAutospacing="0" w:afterAutospacing="0" w:line="560" w:lineRule="exact"/>
        <w:ind w:right="0"/>
        <w:jc w:val="center"/>
        <w:textAlignment w:val="auto"/>
        <w:outlineLvl w:val="9"/>
        <w:rPr>
          <w:rFonts w:hint="eastAsia" w:ascii="黑体" w:hAnsi="黑体" w:eastAsia="黑体" w:cs="黑体"/>
          <w:sz w:val="32"/>
          <w:szCs w:val="32"/>
          <w:highlight w:val="none"/>
        </w:rPr>
      </w:pPr>
    </w:p>
    <w:p>
      <w:pPr>
        <w:widowControl w:val="0"/>
        <w:numPr>
          <w:ilvl w:val="0"/>
          <w:numId w:val="0"/>
        </w:numPr>
        <w:wordWrap/>
        <w:adjustRightInd/>
        <w:snapToGrid w:val="0"/>
        <w:spacing w:beforeAutospacing="0" w:afterAutospacing="0" w:line="560" w:lineRule="exact"/>
        <w:ind w:right="0" w:firstLine="2880" w:firstLineChars="900"/>
        <w:jc w:val="both"/>
        <w:textAlignment w:val="auto"/>
        <w:outlineLvl w:val="9"/>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rPr>
        <w:t>第一节  机动车污染防治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黑体" w:hAnsi="黑体" w:eastAsia="黑体" w:cs="黑体"/>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第三十二条  </w:t>
      </w:r>
      <w:r>
        <w:rPr>
          <w:rFonts w:hint="eastAsia" w:ascii="仿宋_GB2312" w:hAnsi="仿宋_GB2312" w:eastAsia="仿宋_GB2312" w:cs="仿宋_GB2312"/>
          <w:sz w:val="32"/>
          <w:szCs w:val="32"/>
          <w:highlight w:val="none"/>
        </w:rPr>
        <w:t>地级以上市人民政府应当加快</w:t>
      </w:r>
      <w:r>
        <w:rPr>
          <w:rFonts w:hint="eastAsia" w:ascii="仿宋_GB2312" w:hAnsi="仿宋_GB2312" w:eastAsia="仿宋_GB2312" w:cs="仿宋_GB2312"/>
          <w:color w:val="000000"/>
          <w:kern w:val="0"/>
          <w:sz w:val="32"/>
          <w:szCs w:val="32"/>
          <w:highlight w:val="none"/>
          <w:lang w:val="en-US" w:eastAsia="zh-CN"/>
        </w:rPr>
        <w:t>淘汰高排放</w:t>
      </w:r>
      <w:r>
        <w:rPr>
          <w:rFonts w:hint="eastAsia" w:ascii="仿宋_GB2312" w:hAnsi="仿宋_GB2312" w:eastAsia="仿宋_GB2312" w:cs="仿宋_GB2312"/>
          <w:sz w:val="32"/>
          <w:szCs w:val="32"/>
          <w:highlight w:val="none"/>
        </w:rPr>
        <w:t>公交、邮政、环卫、出租等车辆，</w:t>
      </w:r>
      <w:r>
        <w:rPr>
          <w:rFonts w:hint="eastAsia" w:ascii="仿宋_GB2312" w:hAnsi="仿宋_GB2312" w:cs="仿宋_GB2312"/>
          <w:sz w:val="32"/>
          <w:szCs w:val="32"/>
          <w:highlight w:val="none"/>
          <w:lang w:eastAsia="zh-CN"/>
        </w:rPr>
        <w:t>制定更新淘汰计划，</w:t>
      </w:r>
      <w:r>
        <w:rPr>
          <w:rFonts w:hint="eastAsia" w:ascii="仿宋_GB2312" w:hAnsi="仿宋_GB2312" w:eastAsia="仿宋_GB2312" w:cs="仿宋_GB2312"/>
          <w:sz w:val="32"/>
          <w:szCs w:val="32"/>
          <w:highlight w:val="none"/>
        </w:rPr>
        <w:t>鼓励推广</w:t>
      </w:r>
      <w:r>
        <w:rPr>
          <w:rFonts w:hint="eastAsia" w:ascii="仿宋_GB2312" w:hAnsi="仿宋_GB2312" w:eastAsia="仿宋_GB2312" w:cs="仿宋_GB2312"/>
          <w:i w:val="0"/>
          <w:iCs w:val="0"/>
          <w:sz w:val="32"/>
          <w:szCs w:val="32"/>
          <w:highlight w:val="none"/>
          <w:u w:val="none"/>
        </w:rPr>
        <w:t>应用</w:t>
      </w:r>
      <w:r>
        <w:rPr>
          <w:rFonts w:hint="eastAsia" w:ascii="仿宋_GB2312" w:hAnsi="仿宋_GB2312" w:eastAsia="仿宋_GB2312" w:cs="仿宋_GB2312"/>
          <w:sz w:val="32"/>
          <w:szCs w:val="32"/>
          <w:highlight w:val="none"/>
        </w:rPr>
        <w:t>纯电、氢能源等</w:t>
      </w:r>
      <w:r>
        <w:rPr>
          <w:rFonts w:hint="eastAsia" w:ascii="仿宋_GB2312" w:hAnsi="仿宋_GB2312" w:eastAsia="仿宋_GB2312" w:cs="仿宋_GB2312"/>
          <w:color w:val="000000"/>
          <w:kern w:val="2"/>
          <w:sz w:val="32"/>
          <w:szCs w:val="32"/>
          <w:highlight w:val="none"/>
          <w:lang w:val="en-US" w:eastAsia="zh-CN"/>
        </w:rPr>
        <w:t>新</w:t>
      </w:r>
      <w:r>
        <w:rPr>
          <w:rFonts w:hint="eastAsia" w:ascii="仿宋_GB2312" w:hAnsi="仿宋_GB2312" w:eastAsia="仿宋_GB2312" w:cs="仿宋_GB2312"/>
          <w:sz w:val="32"/>
          <w:szCs w:val="32"/>
          <w:highlight w:val="none"/>
        </w:rPr>
        <w:t>能源</w:t>
      </w:r>
      <w:r>
        <w:rPr>
          <w:rFonts w:hint="eastAsia" w:ascii="仿宋_GB2312" w:hAnsi="仿宋_GB2312" w:eastAsia="仿宋_GB2312" w:cs="仿宋_GB2312"/>
          <w:color w:val="000000"/>
          <w:kern w:val="2"/>
          <w:sz w:val="32"/>
          <w:szCs w:val="32"/>
          <w:highlight w:val="none"/>
          <w:lang w:val="en-US" w:eastAsia="zh-CN"/>
        </w:rPr>
        <w:t>汽</w:t>
      </w:r>
      <w:r>
        <w:rPr>
          <w:rFonts w:hint="eastAsia" w:ascii="仿宋_GB2312" w:hAnsi="仿宋_GB2312" w:eastAsia="仿宋_GB2312" w:cs="仿宋_GB2312"/>
          <w:sz w:val="32"/>
          <w:szCs w:val="32"/>
          <w:highlight w:val="none"/>
        </w:rPr>
        <w:t>车，加快其配套</w:t>
      </w:r>
      <w:r>
        <w:rPr>
          <w:rFonts w:hint="eastAsia" w:ascii="仿宋_GB2312" w:hAnsi="仿宋_GB2312" w:eastAsia="仿宋_GB2312" w:cs="仿宋_GB2312"/>
          <w:sz w:val="32"/>
          <w:szCs w:val="32"/>
          <w:highlight w:val="none"/>
          <w:lang w:eastAsia="zh-CN"/>
        </w:rPr>
        <w:t>设</w:t>
      </w:r>
      <w:r>
        <w:rPr>
          <w:rFonts w:hint="eastAsia" w:ascii="仿宋_GB2312" w:hAnsi="仿宋_GB2312" w:eastAsia="仿宋_GB2312" w:cs="仿宋_GB2312"/>
          <w:sz w:val="32"/>
          <w:szCs w:val="32"/>
          <w:highlight w:val="none"/>
        </w:rPr>
        <w:t>施建设，限制高油耗、高排放车</w:t>
      </w:r>
      <w:r>
        <w:rPr>
          <w:rFonts w:hint="eastAsia" w:ascii="仿宋_GB2312" w:hAnsi="仿宋_GB2312" w:eastAsia="仿宋_GB2312" w:cs="仿宋_GB2312"/>
          <w:sz w:val="32"/>
          <w:szCs w:val="32"/>
          <w:highlight w:val="none"/>
          <w:lang w:eastAsia="zh-CN"/>
        </w:rPr>
        <w:t>辆</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i w:val="0"/>
          <w:iCs w:val="0"/>
          <w:sz w:val="32"/>
          <w:szCs w:val="32"/>
          <w:highlight w:val="none"/>
          <w:u w:val="none"/>
        </w:rPr>
        <w:t>使用</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color w:val="000000"/>
          <w:kern w:val="0"/>
          <w:sz w:val="32"/>
          <w:szCs w:val="32"/>
          <w:highlight w:val="none"/>
          <w:lang w:val="en-US" w:eastAsia="zh-CN"/>
        </w:rPr>
        <w:t>三十三</w:t>
      </w:r>
      <w:r>
        <w:rPr>
          <w:rFonts w:hint="eastAsia" w:ascii="黑体" w:hAnsi="黑体" w:eastAsia="黑体" w:cs="黑体"/>
          <w:color w:val="000000"/>
          <w:kern w:val="2"/>
          <w:sz w:val="32"/>
          <w:szCs w:val="32"/>
          <w:highlight w:val="none"/>
          <w:lang w:val="en-US" w:eastAsia="zh-CN"/>
        </w:rPr>
        <w:t>条</w:t>
      </w:r>
      <w:r>
        <w:rPr>
          <w:rFonts w:hint="eastAsia" w:ascii="仿宋_GB2312" w:hAnsi="仿宋_GB2312" w:cs="仿宋_GB2312"/>
          <w:color w:val="000000"/>
          <w:kern w:val="2"/>
          <w:sz w:val="32"/>
          <w:szCs w:val="32"/>
          <w:highlight w:val="none"/>
          <w:lang w:val="en-US" w:eastAsia="zh-CN"/>
        </w:rPr>
        <w:t xml:space="preserve">  </w:t>
      </w:r>
      <w:r>
        <w:rPr>
          <w:rFonts w:hint="eastAsia" w:ascii="仿宋_GB2312" w:hAnsi="仿宋_GB2312" w:eastAsia="仿宋_GB2312" w:cs="仿宋_GB2312"/>
          <w:i w:val="0"/>
          <w:iCs w:val="0"/>
          <w:sz w:val="32"/>
          <w:szCs w:val="32"/>
          <w:highlight w:val="none"/>
          <w:u w:val="none" w:color="auto"/>
        </w:rPr>
        <w:t>地级以上市</w:t>
      </w:r>
      <w:r>
        <w:rPr>
          <w:rFonts w:hint="eastAsia" w:ascii="仿宋_GB2312" w:hAnsi="仿宋_GB2312" w:eastAsia="仿宋_GB2312" w:cs="仿宋_GB2312"/>
          <w:sz w:val="32"/>
          <w:szCs w:val="32"/>
          <w:highlight w:val="none"/>
        </w:rPr>
        <w:t>人民政府可以根据大气污染防治需要，</w:t>
      </w:r>
      <w:r>
        <w:rPr>
          <w:rFonts w:hint="eastAsia" w:ascii="仿宋_GB2312" w:hAnsi="仿宋_GB2312" w:eastAsia="仿宋_GB2312" w:cs="仿宋_GB2312"/>
          <w:sz w:val="32"/>
          <w:szCs w:val="32"/>
          <w:highlight w:val="none"/>
          <w:lang w:eastAsia="zh-CN"/>
        </w:rPr>
        <w:t>采取限制通行、经济补偿等措施逐步淘汰高排放车辆。限制通行、经济补偿等具体办法由地级以上市人民政府制定。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仿宋_GB2312" w:hAnsi="仿宋_GB2312" w:eastAsia="仿宋_GB2312" w:cs="仿宋_GB2312"/>
          <w:i w:val="0"/>
          <w:iCs w:val="0"/>
          <w:sz w:val="32"/>
          <w:szCs w:val="32"/>
          <w:highlight w:val="none"/>
          <w:u w:val="none"/>
        </w:rPr>
        <w:t>地级以上市人民政府采取前款规定措施的，应当公开征求公众意见，在正式实施三十日以前向社会公告，并报省人民政府备案。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三十四</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省人民政府可以在条件具备的地区，提前执行国家机动车大气污染物排放标准</w:t>
      </w:r>
      <w:r>
        <w:rPr>
          <w:rFonts w:hint="eastAsia" w:ascii="仿宋_GB2312" w:hAnsi="仿宋_GB2312" w:eastAsia="仿宋_GB2312" w:cs="仿宋_GB2312"/>
          <w:i w:val="0"/>
          <w:iCs w:val="0"/>
          <w:sz w:val="32"/>
          <w:szCs w:val="32"/>
          <w:highlight w:val="none"/>
          <w:u w:val="none"/>
        </w:rPr>
        <w:t>中</w:t>
      </w:r>
      <w:r>
        <w:rPr>
          <w:rFonts w:hint="eastAsia" w:ascii="仿宋_GB2312" w:hAnsi="仿宋_GB2312" w:eastAsia="仿宋_GB2312" w:cs="仿宋_GB2312"/>
          <w:sz w:val="32"/>
          <w:szCs w:val="32"/>
          <w:highlight w:val="none"/>
        </w:rPr>
        <w:t>相应阶段排放限值，并报国务院</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环境主管部门备案。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在本省销售的</w:t>
      </w:r>
      <w:r>
        <w:rPr>
          <w:rFonts w:hint="eastAsia" w:ascii="仿宋_GB2312" w:hAnsi="仿宋_GB2312" w:eastAsia="仿宋_GB2312" w:cs="仿宋_GB2312"/>
          <w:sz w:val="32"/>
          <w:szCs w:val="32"/>
          <w:highlight w:val="none"/>
          <w:lang w:eastAsia="zh-CN"/>
        </w:rPr>
        <w:t>新</w:t>
      </w:r>
      <w:r>
        <w:rPr>
          <w:rFonts w:hint="eastAsia" w:ascii="仿宋_GB2312" w:hAnsi="仿宋_GB2312" w:eastAsia="仿宋_GB2312" w:cs="仿宋_GB2312"/>
          <w:sz w:val="32"/>
          <w:szCs w:val="32"/>
          <w:highlight w:val="none"/>
        </w:rPr>
        <w:t>车，应当符合</w:t>
      </w:r>
      <w:r>
        <w:rPr>
          <w:rFonts w:hint="eastAsia" w:ascii="仿宋_GB2312" w:hAnsi="仿宋_GB2312" w:eastAsia="仿宋_GB2312" w:cs="仿宋_GB2312"/>
          <w:sz w:val="32"/>
          <w:szCs w:val="32"/>
          <w:highlight w:val="none"/>
          <w:lang w:val="en-US" w:eastAsia="zh-CN"/>
        </w:rPr>
        <w:t>注册登记地</w:t>
      </w:r>
      <w:r>
        <w:rPr>
          <w:rFonts w:hint="eastAsia" w:ascii="仿宋_GB2312" w:hAnsi="仿宋_GB2312" w:eastAsia="仿宋_GB2312" w:cs="仿宋_GB2312"/>
          <w:sz w:val="32"/>
          <w:szCs w:val="32"/>
          <w:highlight w:val="none"/>
          <w:lang w:eastAsia="zh-CN"/>
        </w:rPr>
        <w:t>现行执行的</w:t>
      </w:r>
      <w:r>
        <w:rPr>
          <w:rFonts w:hint="eastAsia" w:ascii="仿宋_GB2312" w:hAnsi="仿宋_GB2312" w:eastAsia="仿宋_GB2312" w:cs="仿宋_GB2312"/>
          <w:sz w:val="32"/>
          <w:szCs w:val="32"/>
          <w:highlight w:val="none"/>
        </w:rPr>
        <w:t>国家</w:t>
      </w:r>
      <w:r>
        <w:rPr>
          <w:rFonts w:hint="eastAsia" w:ascii="仿宋_GB2312" w:hAnsi="仿宋_GB2312" w:eastAsia="仿宋_GB2312" w:cs="仿宋_GB2312"/>
          <w:sz w:val="32"/>
          <w:szCs w:val="32"/>
          <w:highlight w:val="none"/>
          <w:lang w:eastAsia="zh-CN"/>
        </w:rPr>
        <w:t>机动车大气污染物</w:t>
      </w:r>
      <w:r>
        <w:rPr>
          <w:rFonts w:hint="eastAsia" w:ascii="仿宋_GB2312" w:hAnsi="仿宋_GB2312" w:eastAsia="仿宋_GB2312" w:cs="仿宋_GB2312"/>
          <w:sz w:val="32"/>
          <w:szCs w:val="32"/>
          <w:highlight w:val="none"/>
        </w:rPr>
        <w:t>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sz w:val="32"/>
          <w:szCs w:val="32"/>
          <w:highlight w:val="none"/>
        </w:rPr>
        <w:t>并在耐久性期限内稳定达标。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i w:val="0"/>
          <w:iCs w:val="0"/>
          <w:sz w:val="32"/>
          <w:szCs w:val="32"/>
          <w:highlight w:val="none"/>
          <w:u w:val="none" w:color="auto"/>
          <w:lang w:val="en-US" w:eastAsia="zh-CN"/>
        </w:rPr>
        <w:t>三十五</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i w:val="0"/>
          <w:iCs w:val="0"/>
          <w:sz w:val="32"/>
          <w:szCs w:val="32"/>
          <w:highlight w:val="none"/>
          <w:u w:val="none" w:color="auto"/>
          <w:lang w:eastAsia="zh-CN"/>
        </w:rPr>
        <w:t>省</w:t>
      </w:r>
      <w:r>
        <w:rPr>
          <w:rFonts w:hint="eastAsia" w:ascii="仿宋_GB2312" w:hAnsi="仿宋_GB2312" w:eastAsia="仿宋_GB2312" w:cs="仿宋_GB2312"/>
          <w:sz w:val="32"/>
          <w:szCs w:val="32"/>
          <w:highlight w:val="none"/>
        </w:rPr>
        <w:t>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sz w:val="32"/>
          <w:szCs w:val="32"/>
          <w:highlight w:val="none"/>
          <w:lang w:eastAsia="zh-CN"/>
        </w:rPr>
        <w:t>及其委托的地级以上市人民政府生态环境主管部门</w:t>
      </w:r>
      <w:r>
        <w:rPr>
          <w:rFonts w:hint="eastAsia" w:ascii="仿宋_GB2312" w:hAnsi="仿宋_GB2312" w:eastAsia="仿宋_GB2312" w:cs="仿宋_GB2312"/>
          <w:sz w:val="32"/>
          <w:szCs w:val="32"/>
          <w:highlight w:val="none"/>
        </w:rPr>
        <w:t>应当加强对销售机动车</w:t>
      </w:r>
      <w:r>
        <w:rPr>
          <w:rFonts w:hint="eastAsia" w:ascii="仿宋_GB2312" w:hAnsi="仿宋_GB2312" w:eastAsia="仿宋_GB2312" w:cs="仿宋_GB2312"/>
          <w:i w:val="0"/>
          <w:iCs w:val="0"/>
          <w:sz w:val="32"/>
          <w:szCs w:val="32"/>
          <w:highlight w:val="none"/>
          <w:u w:val="none"/>
          <w:lang w:eastAsia="zh-CN"/>
        </w:rPr>
        <w:t>大气污染物</w:t>
      </w:r>
      <w:r>
        <w:rPr>
          <w:rFonts w:hint="eastAsia" w:ascii="仿宋_GB2312" w:hAnsi="仿宋_GB2312" w:eastAsia="仿宋_GB2312" w:cs="仿宋_GB2312"/>
          <w:sz w:val="32"/>
          <w:szCs w:val="32"/>
          <w:highlight w:val="none"/>
        </w:rPr>
        <w:t>排放</w:t>
      </w:r>
      <w:r>
        <w:rPr>
          <w:rFonts w:hint="eastAsia" w:ascii="仿宋_GB2312" w:hAnsi="仿宋_GB2312" w:eastAsia="仿宋_GB2312" w:cs="仿宋_GB2312"/>
          <w:sz w:val="32"/>
          <w:szCs w:val="32"/>
          <w:highlight w:val="none"/>
          <w:lang w:eastAsia="zh-CN"/>
        </w:rPr>
        <w:t>状况</w:t>
      </w:r>
      <w:r>
        <w:rPr>
          <w:rFonts w:hint="eastAsia" w:ascii="仿宋_GB2312" w:hAnsi="仿宋_GB2312" w:eastAsia="仿宋_GB2312" w:cs="仿宋_GB2312"/>
          <w:sz w:val="32"/>
          <w:szCs w:val="32"/>
          <w:highlight w:val="none"/>
        </w:rPr>
        <w:t>、污染控制技术等环境保护信息公开情况</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监督检查。</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2"/>
          <w:sz w:val="32"/>
          <w:szCs w:val="32"/>
          <w:highlight w:val="none"/>
          <w:lang w:val="en-US" w:eastAsia="zh-CN"/>
        </w:rPr>
        <w:t xml:space="preserve">    </w:t>
      </w: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三十六</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公安机关交通管理部门在机动车注册登记时应当通过国务院</w:t>
      </w:r>
      <w:r>
        <w:rPr>
          <w:rFonts w:hint="eastAsia" w:ascii="仿宋_GB2312" w:hAnsi="仿宋_GB2312" w:eastAsia="仿宋_GB2312" w:cs="仿宋_GB2312"/>
          <w:sz w:val="32"/>
          <w:szCs w:val="32"/>
          <w:highlight w:val="none"/>
          <w:lang w:val="en-US" w:eastAsia="zh-CN"/>
        </w:rPr>
        <w:t>生态</w:t>
      </w:r>
      <w:r>
        <w:rPr>
          <w:rFonts w:hint="eastAsia" w:ascii="仿宋_GB2312" w:hAnsi="仿宋_GB2312" w:eastAsia="仿宋_GB2312" w:cs="仿宋_GB2312"/>
          <w:sz w:val="32"/>
          <w:szCs w:val="32"/>
          <w:highlight w:val="none"/>
        </w:rPr>
        <w:t>环境主管部门认可的机动车环保信息公开系统，确定车辆的排放检验信息，</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现场</w:t>
      </w:r>
      <w:r>
        <w:rPr>
          <w:rFonts w:hint="eastAsia" w:ascii="仿宋_GB2312" w:hAnsi="仿宋_GB2312" w:eastAsia="仿宋_GB2312" w:cs="仿宋_GB2312"/>
          <w:sz w:val="32"/>
          <w:szCs w:val="32"/>
          <w:highlight w:val="none"/>
          <w:lang w:eastAsia="zh-CN"/>
        </w:rPr>
        <w:t>抽查</w:t>
      </w:r>
      <w:r>
        <w:rPr>
          <w:rFonts w:hint="eastAsia" w:ascii="仿宋_GB2312" w:hAnsi="仿宋_GB2312" w:eastAsia="仿宋_GB2312" w:cs="仿宋_GB2312"/>
          <w:sz w:val="32"/>
          <w:szCs w:val="32"/>
          <w:highlight w:val="none"/>
        </w:rPr>
        <w:t>车辆有无排放控制装置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对</w:t>
      </w:r>
      <w:r>
        <w:rPr>
          <w:rFonts w:hint="eastAsia" w:ascii="仿宋_GB2312" w:hAnsi="仿宋_GB2312" w:eastAsia="仿宋_GB2312" w:cs="仿宋_GB2312"/>
          <w:sz w:val="32"/>
          <w:szCs w:val="32"/>
          <w:highlight w:val="none"/>
        </w:rPr>
        <w:t>未达到本行政区域现行执行的国家机动车</w:t>
      </w:r>
      <w:r>
        <w:rPr>
          <w:rFonts w:hint="eastAsia" w:ascii="仿宋_GB2312" w:hAnsi="仿宋_GB2312" w:eastAsia="仿宋_GB2312" w:cs="仿宋_GB2312"/>
          <w:sz w:val="32"/>
          <w:szCs w:val="32"/>
          <w:highlight w:val="none"/>
          <w:lang w:val="en-US" w:eastAsia="zh-CN"/>
        </w:rPr>
        <w:t>大气</w:t>
      </w:r>
      <w:r>
        <w:rPr>
          <w:rFonts w:hint="eastAsia" w:ascii="仿宋_GB2312" w:hAnsi="仿宋_GB2312" w:eastAsia="仿宋_GB2312" w:cs="仿宋_GB2312"/>
          <w:sz w:val="32"/>
          <w:szCs w:val="32"/>
          <w:highlight w:val="none"/>
        </w:rPr>
        <w:t>污染物排放标准</w:t>
      </w:r>
      <w:r>
        <w:rPr>
          <w:rFonts w:hint="eastAsia" w:ascii="仿宋_GB2312" w:hAnsi="仿宋_GB2312" w:eastAsia="仿宋_GB2312" w:cs="仿宋_GB2312"/>
          <w:sz w:val="32"/>
          <w:szCs w:val="32"/>
          <w:highlight w:val="none"/>
          <w:lang w:val="en-US" w:eastAsia="zh-CN"/>
        </w:rPr>
        <w:t>中相应阶段排放限值</w:t>
      </w:r>
      <w:r>
        <w:rPr>
          <w:rFonts w:hint="eastAsia" w:ascii="仿宋_GB2312" w:hAnsi="仿宋_GB2312" w:eastAsia="仿宋_GB2312" w:cs="仿宋_GB2312"/>
          <w:i w:val="0"/>
          <w:iCs w:val="0"/>
          <w:sz w:val="32"/>
          <w:szCs w:val="32"/>
          <w:highlight w:val="none"/>
          <w:u w:val="none"/>
        </w:rPr>
        <w:t>的机动车</w:t>
      </w:r>
      <w:r>
        <w:rPr>
          <w:rFonts w:hint="eastAsia" w:ascii="仿宋_GB2312" w:hAnsi="仿宋_GB2312" w:eastAsia="仿宋_GB2312" w:cs="仿宋_GB2312"/>
          <w:sz w:val="32"/>
          <w:szCs w:val="32"/>
          <w:highlight w:val="none"/>
        </w:rPr>
        <w:t>，不予办理注册登记。</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机动车所有人</w:t>
      </w:r>
      <w:r>
        <w:rPr>
          <w:rFonts w:hint="eastAsia" w:ascii="仿宋_GB2312" w:hAnsi="仿宋_GB2312" w:eastAsia="仿宋_GB2312" w:cs="仿宋_GB2312"/>
          <w:sz w:val="32"/>
          <w:szCs w:val="32"/>
          <w:highlight w:val="none"/>
        </w:rPr>
        <w:t>自带</w:t>
      </w:r>
      <w:r>
        <w:rPr>
          <w:rFonts w:hint="eastAsia" w:ascii="仿宋_GB2312" w:hAnsi="仿宋_GB2312" w:eastAsia="仿宋_GB2312" w:cs="仿宋_GB2312"/>
          <w:sz w:val="32"/>
          <w:szCs w:val="32"/>
          <w:highlight w:val="none"/>
          <w:lang w:eastAsia="zh-CN"/>
        </w:rPr>
        <w:t>入</w:t>
      </w:r>
      <w:r>
        <w:rPr>
          <w:rFonts w:hint="eastAsia" w:ascii="仿宋_GB2312" w:hAnsi="仿宋_GB2312" w:eastAsia="仿宋_GB2312" w:cs="仿宋_GB2312"/>
          <w:sz w:val="32"/>
          <w:szCs w:val="32"/>
          <w:highlight w:val="none"/>
        </w:rPr>
        <w:t>境的机动车在</w:t>
      </w:r>
      <w:r>
        <w:rPr>
          <w:rFonts w:hint="eastAsia" w:ascii="仿宋_GB2312" w:hAnsi="仿宋_GB2312" w:eastAsia="仿宋_GB2312" w:cs="仿宋_GB2312"/>
          <w:sz w:val="32"/>
          <w:szCs w:val="32"/>
          <w:highlight w:val="none"/>
          <w:lang w:val="en-US" w:eastAsia="zh-CN"/>
        </w:rPr>
        <w:t>国务院</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环境主管部门认可的机动车环保信息公开系统无法查询车辆排放检验等技术信息的，申请注册登记时，应当提交有资质的机动车排放检验机构出具的达到本行政区域现行执行的国家机动车</w:t>
      </w:r>
      <w:r>
        <w:rPr>
          <w:rFonts w:hint="eastAsia" w:ascii="仿宋_GB2312" w:hAnsi="仿宋_GB2312" w:eastAsia="仿宋_GB2312" w:cs="仿宋_GB2312"/>
          <w:sz w:val="32"/>
          <w:szCs w:val="32"/>
          <w:highlight w:val="none"/>
          <w:lang w:eastAsia="zh-CN"/>
        </w:rPr>
        <w:t>大气</w:t>
      </w:r>
      <w:r>
        <w:rPr>
          <w:rFonts w:hint="eastAsia" w:ascii="仿宋_GB2312" w:hAnsi="仿宋_GB2312" w:eastAsia="仿宋_GB2312" w:cs="仿宋_GB2312"/>
          <w:sz w:val="32"/>
          <w:szCs w:val="32"/>
          <w:highlight w:val="none"/>
        </w:rPr>
        <w:t>污染物排放标准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sz w:val="32"/>
          <w:szCs w:val="32"/>
          <w:highlight w:val="none"/>
        </w:rPr>
        <w:t>的检验合格报告。未提交检验合格报告的，公安机关交通管理部门不予办理注册登记。</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三十七</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跨地级以上市迁入的在用车，</w:t>
      </w:r>
      <w:r>
        <w:rPr>
          <w:rFonts w:hint="eastAsia" w:ascii="仿宋_GB2312" w:hAnsi="仿宋_GB2312" w:eastAsia="仿宋_GB2312" w:cs="仿宋_GB2312"/>
          <w:i w:val="0"/>
          <w:iCs w:val="0"/>
          <w:sz w:val="32"/>
          <w:szCs w:val="32"/>
          <w:highlight w:val="none"/>
          <w:u w:val="none"/>
          <w:lang w:eastAsia="zh-CN"/>
        </w:rPr>
        <w:t>迁入粤东粤西粤北地区的，</w:t>
      </w:r>
      <w:r>
        <w:rPr>
          <w:rFonts w:hint="eastAsia" w:ascii="仿宋_GB2312" w:hAnsi="仿宋_GB2312" w:eastAsia="仿宋_GB2312" w:cs="仿宋_GB2312"/>
          <w:i w:val="0"/>
          <w:iCs w:val="0"/>
          <w:sz w:val="32"/>
          <w:szCs w:val="32"/>
          <w:highlight w:val="none"/>
          <w:u w:val="none"/>
        </w:rPr>
        <w:t>经迁入地排放检验，符合迁入地在用车排放标准要求</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公安机关交通管理部门</w:t>
      </w:r>
      <w:r>
        <w:rPr>
          <w:rFonts w:hint="eastAsia" w:ascii="仿宋_GB2312" w:hAnsi="仿宋_GB2312" w:eastAsia="仿宋_GB2312" w:cs="仿宋_GB2312"/>
          <w:sz w:val="32"/>
          <w:szCs w:val="32"/>
          <w:highlight w:val="none"/>
          <w:lang w:eastAsia="zh-CN"/>
        </w:rPr>
        <w:t>应当</w:t>
      </w:r>
      <w:r>
        <w:rPr>
          <w:rFonts w:hint="eastAsia" w:ascii="仿宋_GB2312" w:hAnsi="仿宋_GB2312" w:eastAsia="仿宋_GB2312" w:cs="仿宋_GB2312"/>
          <w:sz w:val="32"/>
          <w:szCs w:val="32"/>
          <w:highlight w:val="none"/>
        </w:rPr>
        <w:t>办理登记</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迁入珠江三角洲区域</w:t>
      </w:r>
      <w:r>
        <w:rPr>
          <w:rFonts w:hint="eastAsia" w:ascii="仿宋_GB2312" w:hAnsi="仿宋_GB2312" w:eastAsia="仿宋_GB2312" w:cs="仿宋_GB2312"/>
          <w:sz w:val="32"/>
          <w:szCs w:val="32"/>
          <w:highlight w:val="none"/>
          <w:lang w:eastAsia="zh-CN"/>
        </w:rPr>
        <w:t>各地级以上市</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应当</w:t>
      </w:r>
      <w:r>
        <w:rPr>
          <w:rFonts w:hint="eastAsia" w:ascii="仿宋_GB2312" w:hAnsi="仿宋_GB2312" w:eastAsia="仿宋_GB2312" w:cs="仿宋_GB2312"/>
          <w:sz w:val="32"/>
          <w:szCs w:val="32"/>
          <w:highlight w:val="none"/>
        </w:rPr>
        <w:t>符合迁入地现行执行的国家机动车大气污染物排放标准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i w:val="0"/>
          <w:iCs w:val="0"/>
          <w:sz w:val="32"/>
          <w:szCs w:val="32"/>
          <w:highlight w:val="none"/>
          <w:u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国家鼓励淘汰和要求淘汰的相关车辆</w:t>
      </w:r>
      <w:r>
        <w:rPr>
          <w:rFonts w:hint="eastAsia" w:ascii="仿宋_GB2312" w:hAnsi="仿宋_GB2312" w:eastAsia="仿宋_GB2312" w:cs="仿宋_GB2312"/>
          <w:i w:val="0"/>
          <w:iCs w:val="0"/>
          <w:sz w:val="32"/>
          <w:szCs w:val="32"/>
          <w:highlight w:val="none"/>
          <w:u w:val="none"/>
        </w:rPr>
        <w:t>不得跨省或者跨地</w:t>
      </w:r>
      <w:r>
        <w:rPr>
          <w:rFonts w:hint="eastAsia" w:ascii="仿宋_GB2312" w:hAnsi="仿宋_GB2312" w:eastAsia="仿宋_GB2312" w:cs="仿宋_GB2312"/>
          <w:i w:val="0"/>
          <w:iCs w:val="0"/>
          <w:sz w:val="32"/>
          <w:szCs w:val="32"/>
          <w:highlight w:val="none"/>
          <w:u w:val="none"/>
          <w:lang w:eastAsia="zh-CN"/>
        </w:rPr>
        <w:t>级以上</w:t>
      </w:r>
      <w:r>
        <w:rPr>
          <w:rFonts w:hint="eastAsia" w:ascii="仿宋_GB2312" w:hAnsi="仿宋_GB2312" w:eastAsia="仿宋_GB2312" w:cs="仿宋_GB2312"/>
          <w:i w:val="0"/>
          <w:iCs w:val="0"/>
          <w:sz w:val="32"/>
          <w:szCs w:val="32"/>
          <w:highlight w:val="none"/>
          <w:u w:val="none"/>
        </w:rPr>
        <w:t>市迁入</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三十八</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机动车排放检验机构应当遵守下列规定：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（一）配备符合国家规定要求的检测技术人员；</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i w:val="0"/>
          <w:iCs w:val="0"/>
          <w:sz w:val="32"/>
          <w:szCs w:val="32"/>
          <w:highlight w:val="none"/>
          <w:u w:val="none"/>
          <w:lang w:eastAsia="zh-CN"/>
        </w:rPr>
        <w:t>二</w:t>
      </w:r>
      <w:r>
        <w:rPr>
          <w:rFonts w:hint="eastAsia" w:ascii="仿宋_GB2312" w:hAnsi="仿宋_GB2312" w:eastAsia="仿宋_GB2312" w:cs="仿宋_GB2312"/>
          <w:sz w:val="32"/>
          <w:szCs w:val="32"/>
          <w:highlight w:val="none"/>
        </w:rPr>
        <w:t>）依法获得计量认证证书；</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）机动车排放检验使用的仪器、设备经</w:t>
      </w:r>
      <w:r>
        <w:rPr>
          <w:rFonts w:hint="eastAsia" w:ascii="仿宋_GB2312" w:hAnsi="仿宋_GB2312" w:eastAsia="仿宋_GB2312" w:cs="仿宋_GB2312"/>
          <w:color w:val="000000"/>
          <w:kern w:val="2"/>
          <w:sz w:val="32"/>
          <w:szCs w:val="32"/>
          <w:highlight w:val="none"/>
          <w:lang w:val="en-US" w:eastAsia="zh-CN"/>
        </w:rPr>
        <w:t>依法</w:t>
      </w:r>
      <w:r>
        <w:rPr>
          <w:rFonts w:hint="eastAsia" w:ascii="仿宋_GB2312" w:hAnsi="仿宋_GB2312" w:eastAsia="仿宋_GB2312" w:cs="仿宋_GB2312"/>
          <w:sz w:val="32"/>
          <w:szCs w:val="32"/>
          <w:highlight w:val="none"/>
        </w:rPr>
        <w:t>检定合格；</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）依据法定的检测方法、检测标准实施机动车排放检验；</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）出具真实、准确的机动车排放检验结果；</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rPr>
        <w:t>）根据国家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省机动车环保信息联网规范要求向所在地地级以上市人民政府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环境主管部门传输检验数据；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）建立机动车排放检验档案；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八</w:t>
      </w:r>
      <w:r>
        <w:rPr>
          <w:rFonts w:hint="eastAsia" w:ascii="仿宋_GB2312" w:hAnsi="仿宋_GB2312" w:eastAsia="仿宋_GB2312" w:cs="仿宋_GB2312"/>
          <w:sz w:val="32"/>
          <w:szCs w:val="32"/>
          <w:highlight w:val="none"/>
        </w:rPr>
        <w:t>）不得以任何方式经营或者参与经营机动车维修业务；</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九</w:t>
      </w:r>
      <w:r>
        <w:rPr>
          <w:rFonts w:hint="eastAsia" w:ascii="仿宋_GB2312" w:hAnsi="仿宋_GB2312" w:eastAsia="仿宋_GB2312" w:cs="仿宋_GB2312"/>
          <w:sz w:val="32"/>
          <w:szCs w:val="32"/>
          <w:highlight w:val="none"/>
        </w:rPr>
        <w:t>）符合国家和省有关技术规范的其他要求。</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机动车</w:t>
      </w:r>
      <w:r>
        <w:rPr>
          <w:rFonts w:hint="eastAsia" w:ascii="仿宋_GB2312" w:hAnsi="仿宋_GB2312" w:eastAsia="仿宋_GB2312" w:cs="仿宋_GB2312"/>
          <w:sz w:val="32"/>
          <w:szCs w:val="32"/>
          <w:highlight w:val="none"/>
          <w:lang w:eastAsia="zh-CN"/>
        </w:rPr>
        <w:t>排放</w:t>
      </w:r>
      <w:r>
        <w:rPr>
          <w:rFonts w:hint="eastAsia" w:ascii="仿宋_GB2312" w:hAnsi="仿宋_GB2312" w:eastAsia="仿宋_GB2312" w:cs="仿宋_GB2312"/>
          <w:sz w:val="32"/>
          <w:szCs w:val="32"/>
          <w:highlight w:val="none"/>
        </w:rPr>
        <w:t>检验机构应当将</w:t>
      </w:r>
      <w:r>
        <w:rPr>
          <w:rFonts w:hint="eastAsia" w:ascii="仿宋_GB2312" w:hAnsi="仿宋_GB2312" w:eastAsia="仿宋_GB2312" w:cs="仿宋_GB2312"/>
          <w:sz w:val="32"/>
          <w:szCs w:val="32"/>
          <w:highlight w:val="none"/>
          <w:lang w:eastAsia="zh-CN"/>
        </w:rPr>
        <w:t>机动车排放</w:t>
      </w:r>
      <w:r>
        <w:rPr>
          <w:rFonts w:hint="eastAsia" w:ascii="仿宋_GB2312" w:hAnsi="仿宋_GB2312" w:eastAsia="仿宋_GB2312" w:cs="仿宋_GB2312"/>
          <w:sz w:val="32"/>
          <w:szCs w:val="32"/>
          <w:highlight w:val="none"/>
        </w:rPr>
        <w:t>检验结果上传到公安</w:t>
      </w:r>
      <w:r>
        <w:rPr>
          <w:rFonts w:hint="eastAsia" w:ascii="仿宋_GB2312" w:hAnsi="仿宋_GB2312" w:eastAsia="仿宋_GB2312" w:cs="仿宋_GB2312"/>
          <w:sz w:val="32"/>
          <w:szCs w:val="32"/>
          <w:highlight w:val="none"/>
          <w:lang w:eastAsia="zh-CN"/>
        </w:rPr>
        <w:t>机关</w:t>
      </w:r>
      <w:r>
        <w:rPr>
          <w:rFonts w:hint="eastAsia" w:ascii="仿宋_GB2312" w:hAnsi="仿宋_GB2312" w:eastAsia="仿宋_GB2312" w:cs="仿宋_GB2312"/>
          <w:sz w:val="32"/>
          <w:szCs w:val="32"/>
          <w:highlight w:val="none"/>
        </w:rPr>
        <w:t>交通管理部门的检验监管系统。未上传</w:t>
      </w:r>
      <w:r>
        <w:rPr>
          <w:rFonts w:hint="eastAsia" w:ascii="仿宋_GB2312" w:hAnsi="仿宋_GB2312" w:eastAsia="仿宋_GB2312" w:cs="仿宋_GB2312"/>
          <w:sz w:val="32"/>
          <w:szCs w:val="32"/>
          <w:highlight w:val="none"/>
          <w:lang w:eastAsia="zh-CN"/>
        </w:rPr>
        <w:t>排放</w:t>
      </w:r>
      <w:r>
        <w:rPr>
          <w:rFonts w:hint="eastAsia" w:ascii="仿宋_GB2312" w:hAnsi="仿宋_GB2312" w:eastAsia="仿宋_GB2312" w:cs="仿宋_GB2312"/>
          <w:sz w:val="32"/>
          <w:szCs w:val="32"/>
          <w:highlight w:val="none"/>
        </w:rPr>
        <w:t>检验结果或者上传的</w:t>
      </w:r>
      <w:r>
        <w:rPr>
          <w:rFonts w:hint="eastAsia" w:ascii="仿宋_GB2312" w:hAnsi="仿宋_GB2312" w:eastAsia="仿宋_GB2312" w:cs="仿宋_GB2312"/>
          <w:sz w:val="32"/>
          <w:szCs w:val="32"/>
          <w:highlight w:val="none"/>
          <w:lang w:eastAsia="zh-CN"/>
        </w:rPr>
        <w:t>排放</w:t>
      </w:r>
      <w:r>
        <w:rPr>
          <w:rFonts w:hint="eastAsia" w:ascii="仿宋_GB2312" w:hAnsi="仿宋_GB2312" w:eastAsia="仿宋_GB2312" w:cs="仿宋_GB2312"/>
          <w:sz w:val="32"/>
          <w:szCs w:val="32"/>
          <w:highlight w:val="none"/>
        </w:rPr>
        <w:t>检验结果不合格的机动车，公安机关交通管理部门不</w:t>
      </w:r>
      <w:r>
        <w:rPr>
          <w:rFonts w:hint="eastAsia" w:ascii="仿宋_GB2312" w:hAnsi="仿宋_GB2312" w:eastAsia="仿宋_GB2312" w:cs="仿宋_GB2312"/>
          <w:sz w:val="32"/>
          <w:szCs w:val="32"/>
          <w:highlight w:val="none"/>
          <w:lang w:eastAsia="zh-CN"/>
        </w:rPr>
        <w:t>得</w:t>
      </w:r>
      <w:r>
        <w:rPr>
          <w:rFonts w:hint="eastAsia" w:ascii="仿宋_GB2312" w:hAnsi="仿宋_GB2312" w:eastAsia="仿宋_GB2312" w:cs="仿宋_GB2312"/>
          <w:sz w:val="32"/>
          <w:szCs w:val="32"/>
          <w:highlight w:val="none"/>
        </w:rPr>
        <w:t>核发安全技术检验合格标志。</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机动车定期排放检验应当与机动车安全技术检验同步进行。</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三十九</w:t>
      </w:r>
      <w:r>
        <w:rPr>
          <w:rFonts w:hint="eastAsia" w:ascii="黑体" w:hAnsi="黑体" w:eastAsia="黑体" w:cs="黑体"/>
          <w:color w:val="000000"/>
          <w:kern w:val="2"/>
          <w:sz w:val="32"/>
          <w:szCs w:val="32"/>
          <w:highlight w:val="none"/>
          <w:lang w:val="en-US" w:eastAsia="zh-CN"/>
        </w:rPr>
        <w:t>条</w:t>
      </w:r>
      <w:r>
        <w:rPr>
          <w:rFonts w:hint="eastAsia" w:ascii="仿宋_GB2312" w:hAnsi="仿宋_GB2312" w:cs="仿宋_GB2312"/>
          <w:color w:val="000000"/>
          <w:kern w:val="2"/>
          <w:sz w:val="32"/>
          <w:szCs w:val="32"/>
          <w:highlight w:val="none"/>
          <w:lang w:val="en-US" w:eastAsia="zh-CN"/>
        </w:rPr>
        <w:t xml:space="preserve">  </w:t>
      </w: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w:t>
      </w:r>
      <w:r>
        <w:rPr>
          <w:rFonts w:hint="eastAsia" w:ascii="仿宋_GB2312" w:hAnsi="仿宋_GB2312" w:eastAsia="仿宋_GB2312" w:cs="仿宋_GB2312"/>
          <w:i w:val="0"/>
          <w:iCs w:val="0"/>
          <w:sz w:val="32"/>
          <w:szCs w:val="32"/>
          <w:highlight w:val="none"/>
          <w:u w:val="none"/>
        </w:rPr>
        <w:t>主管</w:t>
      </w:r>
      <w:r>
        <w:rPr>
          <w:rFonts w:hint="eastAsia" w:ascii="仿宋_GB2312" w:hAnsi="仿宋_GB2312" w:eastAsia="仿宋_GB2312" w:cs="仿宋_GB2312"/>
          <w:sz w:val="32"/>
          <w:szCs w:val="32"/>
          <w:highlight w:val="none"/>
        </w:rPr>
        <w:t>部门</w:t>
      </w:r>
      <w:r>
        <w:rPr>
          <w:rFonts w:hint="eastAsia" w:ascii="仿宋_GB2312" w:hAnsi="仿宋_GB2312" w:eastAsia="仿宋_GB2312" w:cs="仿宋_GB2312"/>
          <w:sz w:val="32"/>
          <w:szCs w:val="32"/>
          <w:highlight w:val="none"/>
          <w:lang w:eastAsia="zh-CN"/>
        </w:rPr>
        <w:t>和市场监督管理主管部门</w:t>
      </w:r>
      <w:r>
        <w:rPr>
          <w:rFonts w:hint="eastAsia" w:ascii="仿宋_GB2312" w:hAnsi="仿宋_GB2312" w:eastAsia="仿宋_GB2312" w:cs="仿宋_GB2312"/>
          <w:sz w:val="32"/>
          <w:szCs w:val="32"/>
          <w:highlight w:val="none"/>
        </w:rPr>
        <w:t>可以通过现场检查排放检验过程、审查原始检验记录或者报告、组织检验能力比对试验以及数据联网核查等方式对机动车排放检验机构进行监督检查</w:t>
      </w:r>
      <w:r>
        <w:rPr>
          <w:rFonts w:hint="eastAsia" w:ascii="仿宋_GB2312" w:hAnsi="仿宋_GB2312" w:eastAsia="仿宋_GB2312" w:cs="仿宋_GB2312"/>
          <w:sz w:val="32"/>
          <w:szCs w:val="32"/>
          <w:highlight w:val="none"/>
          <w:lang w:eastAsia="zh-CN"/>
        </w:rPr>
        <w:t>。市场监督管理主管部门应当建立</w:t>
      </w:r>
      <w:r>
        <w:rPr>
          <w:rFonts w:hint="eastAsia" w:ascii="仿宋_GB2312" w:hAnsi="仿宋_GB2312" w:eastAsia="仿宋_GB2312" w:cs="仿宋_GB2312"/>
          <w:sz w:val="32"/>
          <w:szCs w:val="32"/>
          <w:highlight w:val="none"/>
        </w:rPr>
        <w:t>机动车排放检验机构</w:t>
      </w:r>
      <w:r>
        <w:rPr>
          <w:rFonts w:hint="eastAsia" w:ascii="仿宋_GB2312" w:hAnsi="仿宋_GB2312" w:eastAsia="仿宋_GB2312" w:cs="仿宋_GB2312"/>
          <w:sz w:val="32"/>
          <w:szCs w:val="32"/>
          <w:highlight w:val="none"/>
          <w:lang w:eastAsia="zh-CN"/>
        </w:rPr>
        <w:t>信用记录，并依法向社会公开</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i w:val="0"/>
          <w:caps w:val="0"/>
          <w:color w:val="333333"/>
          <w:spacing w:val="0"/>
          <w:sz w:val="32"/>
          <w:szCs w:val="32"/>
          <w:highlight w:val="none"/>
          <w:shd w:val="clear" w:color="auto" w:fill="FFFFFF"/>
        </w:rPr>
      </w:pPr>
      <w:r>
        <w:rPr>
          <w:rFonts w:hint="eastAsia" w:ascii="黑体" w:hAnsi="黑体" w:eastAsia="黑体" w:cs="黑体"/>
          <w:sz w:val="32"/>
          <w:szCs w:val="32"/>
          <w:highlight w:val="none"/>
          <w:lang w:val="en-US" w:eastAsia="zh-CN"/>
        </w:rPr>
        <w:t xml:space="preserve">第四十条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w:t>
      </w:r>
      <w:r>
        <w:rPr>
          <w:rFonts w:hint="eastAsia" w:ascii="仿宋_GB2312" w:hAnsi="仿宋_GB2312" w:eastAsia="仿宋_GB2312" w:cs="仿宋_GB2312"/>
          <w:i w:val="0"/>
          <w:iCs w:val="0"/>
          <w:sz w:val="32"/>
          <w:szCs w:val="32"/>
          <w:highlight w:val="none"/>
          <w:u w:val="none"/>
        </w:rPr>
        <w:t>主管</w:t>
      </w:r>
      <w:r>
        <w:rPr>
          <w:rFonts w:hint="eastAsia" w:ascii="仿宋_GB2312" w:hAnsi="仿宋_GB2312" w:eastAsia="仿宋_GB2312" w:cs="仿宋_GB2312"/>
          <w:sz w:val="32"/>
          <w:szCs w:val="32"/>
          <w:highlight w:val="none"/>
        </w:rPr>
        <w:t>部门和</w:t>
      </w:r>
      <w:r>
        <w:rPr>
          <w:rFonts w:hint="eastAsia" w:ascii="仿宋_GB2312" w:hAnsi="仿宋_GB2312" w:eastAsia="仿宋_GB2312" w:cs="仿宋_GB2312"/>
          <w:color w:val="000000"/>
          <w:kern w:val="2"/>
          <w:sz w:val="32"/>
          <w:szCs w:val="32"/>
          <w:highlight w:val="none"/>
          <w:lang w:val="en-US" w:eastAsia="zh-CN" w:bidi="ar-SA"/>
        </w:rPr>
        <w:t>市场监督管理主管</w:t>
      </w:r>
      <w:r>
        <w:rPr>
          <w:rFonts w:hint="eastAsia" w:ascii="仿宋_GB2312" w:hAnsi="仿宋_GB2312" w:eastAsia="仿宋_GB2312" w:cs="仿宋_GB2312"/>
          <w:sz w:val="32"/>
          <w:szCs w:val="32"/>
          <w:highlight w:val="none"/>
        </w:rPr>
        <w:t>部门应当根据国家有关规定，选择适合本省实际的在用车排气污染检测方法和排放限值，报省人民政府批准后公布实施。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第四十一条  </w:t>
      </w:r>
      <w:r>
        <w:rPr>
          <w:rFonts w:hint="eastAsia" w:ascii="仿宋_GB2312" w:hAnsi="仿宋_GB2312" w:eastAsia="仿宋_GB2312" w:cs="仿宋_GB2312"/>
          <w:i w:val="0"/>
          <w:iCs w:val="0"/>
          <w:sz w:val="32"/>
          <w:szCs w:val="32"/>
          <w:highlight w:val="none"/>
          <w:u w:val="none"/>
        </w:rPr>
        <w:t>禁止</w:t>
      </w:r>
      <w:r>
        <w:rPr>
          <w:rFonts w:hint="eastAsia" w:ascii="仿宋_GB2312" w:hAnsi="仿宋_GB2312" w:eastAsia="仿宋_GB2312" w:cs="仿宋_GB2312"/>
          <w:color w:val="auto"/>
          <w:sz w:val="32"/>
          <w:szCs w:val="32"/>
          <w:highlight w:val="none"/>
          <w:lang w:eastAsia="zh-CN"/>
        </w:rPr>
        <w:t>排放检验不合格的机动车</w:t>
      </w:r>
      <w:r>
        <w:rPr>
          <w:rFonts w:hint="eastAsia" w:ascii="仿宋_GB2312" w:hAnsi="仿宋_GB2312" w:eastAsia="仿宋_GB2312" w:cs="仿宋_GB2312"/>
          <w:i w:val="0"/>
          <w:iCs w:val="0"/>
          <w:sz w:val="32"/>
          <w:szCs w:val="32"/>
          <w:highlight w:val="none"/>
          <w:u w:val="none"/>
        </w:rPr>
        <w:t>上</w:t>
      </w:r>
      <w:r>
        <w:rPr>
          <w:rFonts w:hint="eastAsia" w:ascii="仿宋_GB2312" w:hAnsi="仿宋_GB2312" w:eastAsia="仿宋_GB2312" w:cs="仿宋_GB2312"/>
          <w:i w:val="0"/>
          <w:iCs w:val="0"/>
          <w:sz w:val="32"/>
          <w:szCs w:val="32"/>
          <w:highlight w:val="none"/>
          <w:u w:val="none"/>
          <w:lang w:eastAsia="zh-CN"/>
        </w:rPr>
        <w:t>道</w:t>
      </w:r>
      <w:r>
        <w:rPr>
          <w:rFonts w:hint="eastAsia" w:ascii="仿宋_GB2312" w:hAnsi="仿宋_GB2312" w:eastAsia="仿宋_GB2312" w:cs="仿宋_GB2312"/>
          <w:i w:val="0"/>
          <w:iCs w:val="0"/>
          <w:sz w:val="32"/>
          <w:szCs w:val="32"/>
          <w:highlight w:val="none"/>
          <w:u w:val="none"/>
        </w:rPr>
        <w:t>路行驶。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在不影响正常通行的情况下，</w:t>
      </w:r>
      <w:r>
        <w:rPr>
          <w:rFonts w:hint="eastAsia" w:ascii="仿宋_GB2312" w:hAnsi="仿宋_GB2312" w:eastAsia="仿宋_GB2312" w:cs="仿宋_GB2312"/>
          <w:color w:val="auto"/>
          <w:sz w:val="32"/>
          <w:szCs w:val="32"/>
          <w:highlight w:val="none"/>
        </w:rPr>
        <w:t>县级以上人民政府</w:t>
      </w:r>
      <w:r>
        <w:rPr>
          <w:rFonts w:hint="eastAsia" w:ascii="仿宋_GB2312" w:hAnsi="仿宋_GB2312" w:eastAsia="仿宋_GB2312" w:cs="仿宋_GB2312"/>
          <w:color w:val="auto"/>
          <w:sz w:val="32"/>
          <w:szCs w:val="32"/>
          <w:highlight w:val="none"/>
          <w:lang w:eastAsia="zh-CN"/>
        </w:rPr>
        <w:t>生态</w:t>
      </w:r>
      <w:r>
        <w:rPr>
          <w:rFonts w:hint="eastAsia" w:ascii="仿宋_GB2312" w:hAnsi="仿宋_GB2312" w:eastAsia="仿宋_GB2312" w:cs="仿宋_GB2312"/>
          <w:color w:val="auto"/>
          <w:sz w:val="32"/>
          <w:szCs w:val="32"/>
          <w:highlight w:val="none"/>
        </w:rPr>
        <w:t>环境主管部门</w:t>
      </w:r>
      <w:r>
        <w:rPr>
          <w:rFonts w:hint="eastAsia" w:ascii="仿宋_GB2312" w:hAnsi="仿宋_GB2312" w:eastAsia="仿宋_GB2312" w:cs="仿宋_GB2312"/>
          <w:color w:val="000000"/>
          <w:kern w:val="2"/>
          <w:sz w:val="32"/>
          <w:szCs w:val="32"/>
          <w:highlight w:val="none"/>
          <w:lang w:val="en-US" w:eastAsia="zh-CN"/>
        </w:rPr>
        <w:t>及其环境执法机构</w:t>
      </w:r>
      <w:r>
        <w:rPr>
          <w:rFonts w:hint="eastAsia" w:ascii="仿宋_GB2312" w:hAnsi="仿宋_GB2312" w:eastAsia="仿宋_GB2312" w:cs="仿宋_GB2312"/>
          <w:color w:val="auto"/>
          <w:sz w:val="32"/>
          <w:szCs w:val="32"/>
          <w:highlight w:val="none"/>
        </w:rPr>
        <w:t>会同公安机关交通管理部门可以采取现场检查监测、</w:t>
      </w:r>
      <w:r>
        <w:rPr>
          <w:rFonts w:hint="eastAsia" w:ascii="仿宋_GB2312" w:hAnsi="仿宋_GB2312" w:eastAsia="仿宋_GB2312" w:cs="仿宋_GB2312"/>
          <w:sz w:val="32"/>
          <w:szCs w:val="32"/>
          <w:highlight w:val="none"/>
        </w:rPr>
        <w:t>电子监控、摄像拍照、自动监测、遥感监测、远红外摄像等方式，对在道路上行驶的机动车大气污染物排放状况进行监督检查。</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县级以上人民政府</w:t>
      </w:r>
      <w:r>
        <w:rPr>
          <w:rFonts w:hint="eastAsia" w:ascii="仿宋_GB2312" w:hAnsi="仿宋_GB2312" w:eastAsia="仿宋_GB2312" w:cs="仿宋_GB2312"/>
          <w:color w:val="auto"/>
          <w:sz w:val="32"/>
          <w:szCs w:val="32"/>
          <w:highlight w:val="none"/>
          <w:lang w:eastAsia="zh-CN"/>
        </w:rPr>
        <w:t>生态</w:t>
      </w:r>
      <w:r>
        <w:rPr>
          <w:rFonts w:hint="eastAsia" w:ascii="仿宋_GB2312" w:hAnsi="仿宋_GB2312" w:eastAsia="仿宋_GB2312" w:cs="仿宋_GB2312"/>
          <w:sz w:val="32"/>
          <w:szCs w:val="32"/>
          <w:highlight w:val="none"/>
        </w:rPr>
        <w:t>环境主管部门可以在机动车集中停放地、维修地对在用机动车的大气污染物排放状况进行监督抽测。</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第四十二条  </w:t>
      </w:r>
      <w:r>
        <w:rPr>
          <w:rFonts w:hint="eastAsia" w:ascii="仿宋_GB2312" w:hAnsi="仿宋_GB2312" w:eastAsia="仿宋_GB2312" w:cs="仿宋_GB2312"/>
          <w:sz w:val="32"/>
          <w:szCs w:val="32"/>
          <w:highlight w:val="none"/>
        </w:rPr>
        <w:t>在用机动车所有</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或者使用</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应当保持</w:t>
      </w:r>
      <w:r>
        <w:rPr>
          <w:rFonts w:hint="eastAsia" w:ascii="仿宋_GB2312" w:hAnsi="仿宋_GB2312" w:eastAsia="仿宋_GB2312" w:cs="仿宋_GB2312"/>
          <w:sz w:val="32"/>
          <w:szCs w:val="32"/>
          <w:highlight w:val="none"/>
          <w:lang w:eastAsia="zh-CN"/>
        </w:rPr>
        <w:t>污染控制</w:t>
      </w:r>
      <w:r>
        <w:rPr>
          <w:rFonts w:hint="eastAsia" w:ascii="仿宋_GB2312" w:hAnsi="仿宋_GB2312" w:eastAsia="仿宋_GB2312" w:cs="仿宋_GB2312"/>
          <w:sz w:val="32"/>
          <w:szCs w:val="32"/>
          <w:highlight w:val="none"/>
        </w:rPr>
        <w:t>装置正常使用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不得擅自拆除、闲置或者更改</w:t>
      </w:r>
      <w:r>
        <w:rPr>
          <w:rFonts w:hint="eastAsia" w:ascii="仿宋_GB2312" w:hAnsi="仿宋_GB2312" w:eastAsia="仿宋_GB2312" w:cs="仿宋_GB2312"/>
          <w:sz w:val="32"/>
          <w:szCs w:val="32"/>
          <w:highlight w:val="none"/>
          <w:lang w:eastAsia="zh-CN"/>
        </w:rPr>
        <w:t>污染</w:t>
      </w:r>
      <w:r>
        <w:rPr>
          <w:rFonts w:hint="eastAsia" w:ascii="仿宋_GB2312" w:hAnsi="仿宋_GB2312" w:eastAsia="仿宋_GB2312" w:cs="仿宋_GB2312"/>
          <w:sz w:val="32"/>
          <w:szCs w:val="32"/>
          <w:highlight w:val="none"/>
        </w:rPr>
        <w:t>控制装置。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车载排放诊断系统报警的，机动车所有</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或者使用</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应当及时</w:t>
      </w:r>
      <w:r>
        <w:rPr>
          <w:rFonts w:hint="eastAsia" w:ascii="仿宋_GB2312" w:hAnsi="仿宋_GB2312" w:eastAsia="仿宋_GB2312" w:cs="仿宋_GB2312"/>
          <w:sz w:val="32"/>
          <w:szCs w:val="32"/>
          <w:highlight w:val="none"/>
          <w:lang w:eastAsia="zh-CN"/>
        </w:rPr>
        <w:t>送检；经检验不合格的，应当及时维</w:t>
      </w:r>
      <w:r>
        <w:rPr>
          <w:rFonts w:hint="eastAsia" w:ascii="仿宋_GB2312" w:hAnsi="仿宋_GB2312" w:eastAsia="仿宋_GB2312" w:cs="仿宋_GB2312"/>
          <w:sz w:val="32"/>
          <w:szCs w:val="32"/>
          <w:highlight w:val="none"/>
        </w:rPr>
        <w:t>修、更换，确保车辆达到排放标准。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需要添加车用尿素等氮氧化物还原剂的在用柴油车，其所有</w:t>
      </w:r>
      <w:r>
        <w:rPr>
          <w:rFonts w:hint="eastAsia" w:ascii="仿宋_GB2312" w:hAnsi="仿宋_GB2312" w:eastAsia="仿宋_GB2312" w:cs="仿宋_GB2312"/>
          <w:sz w:val="32"/>
          <w:szCs w:val="32"/>
          <w:highlight w:val="none"/>
          <w:lang w:eastAsia="zh-CN"/>
        </w:rPr>
        <w:t>人或者</w:t>
      </w:r>
      <w:r>
        <w:rPr>
          <w:rFonts w:hint="eastAsia" w:ascii="仿宋_GB2312" w:hAnsi="仿宋_GB2312" w:eastAsia="仿宋_GB2312" w:cs="仿宋_GB2312"/>
          <w:sz w:val="32"/>
          <w:szCs w:val="32"/>
          <w:highlight w:val="none"/>
        </w:rPr>
        <w:t>使用</w:t>
      </w:r>
      <w:r>
        <w:rPr>
          <w:rFonts w:hint="eastAsia" w:ascii="仿宋_GB2312" w:hAnsi="仿宋_GB2312" w:eastAsia="仿宋_GB2312" w:cs="仿宋_GB2312"/>
          <w:sz w:val="32"/>
          <w:szCs w:val="32"/>
          <w:highlight w:val="none"/>
          <w:lang w:eastAsia="zh-CN"/>
        </w:rPr>
        <w:t>人</w:t>
      </w:r>
      <w:r>
        <w:rPr>
          <w:rFonts w:hint="eastAsia" w:ascii="仿宋_GB2312" w:hAnsi="仿宋_GB2312" w:eastAsia="仿宋_GB2312" w:cs="仿宋_GB2312"/>
          <w:sz w:val="32"/>
          <w:szCs w:val="32"/>
          <w:highlight w:val="none"/>
        </w:rPr>
        <w:t>应当按照规范要求添加。</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color="auto"/>
        </w:rPr>
      </w:pPr>
      <w:r>
        <w:rPr>
          <w:rFonts w:hint="eastAsia" w:ascii="黑体" w:hAnsi="黑体" w:eastAsia="黑体" w:cs="黑体"/>
          <w:color w:val="000000"/>
          <w:kern w:val="2"/>
          <w:sz w:val="32"/>
          <w:szCs w:val="32"/>
          <w:highlight w:val="none"/>
          <w:lang w:val="en-US" w:eastAsia="zh-CN"/>
        </w:rPr>
        <w:t xml:space="preserve">第四十三条  </w:t>
      </w:r>
      <w:r>
        <w:rPr>
          <w:rFonts w:hint="eastAsia" w:ascii="仿宋_GB2312" w:hAnsi="仿宋_GB2312" w:eastAsia="仿宋_GB2312" w:cs="仿宋_GB2312"/>
          <w:color w:val="000000"/>
          <w:kern w:val="2"/>
          <w:sz w:val="32"/>
          <w:szCs w:val="32"/>
          <w:highlight w:val="none"/>
          <w:lang w:val="en-US" w:eastAsia="zh-CN"/>
        </w:rPr>
        <w:t>县级以上人民政府</w:t>
      </w:r>
      <w:r>
        <w:rPr>
          <w:rFonts w:hint="eastAsia" w:ascii="仿宋_GB2312" w:hAnsi="仿宋_GB2312" w:eastAsia="仿宋_GB2312" w:cs="仿宋_GB2312"/>
          <w:sz w:val="32"/>
          <w:szCs w:val="32"/>
          <w:highlight w:val="none"/>
        </w:rPr>
        <w:t>交通运输主管部门应当将机动车排放检验纳入机动车维修</w:t>
      </w:r>
      <w:r>
        <w:rPr>
          <w:rFonts w:hint="eastAsia" w:ascii="仿宋_GB2312" w:hAnsi="仿宋_GB2312" w:eastAsia="仿宋_GB2312" w:cs="仿宋_GB2312"/>
          <w:i w:val="0"/>
          <w:iCs w:val="0"/>
          <w:sz w:val="32"/>
          <w:szCs w:val="32"/>
          <w:highlight w:val="none"/>
          <w:u w:val="none" w:color="auto"/>
        </w:rPr>
        <w:t>、车辆营运的监督管理内容。</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机动车维修机构对机动车实施</w:t>
      </w:r>
      <w:r>
        <w:rPr>
          <w:rFonts w:hint="eastAsia" w:ascii="仿宋_GB2312" w:hAnsi="仿宋_GB2312" w:eastAsia="仿宋_GB2312" w:cs="仿宋_GB2312"/>
          <w:i w:val="0"/>
          <w:iCs w:val="0"/>
          <w:sz w:val="32"/>
          <w:szCs w:val="32"/>
          <w:highlight w:val="none"/>
          <w:u w:val="none"/>
        </w:rPr>
        <w:t>与</w:t>
      </w:r>
      <w:r>
        <w:rPr>
          <w:rFonts w:hint="eastAsia" w:ascii="仿宋_GB2312" w:hAnsi="仿宋_GB2312" w:eastAsia="仿宋_GB2312" w:cs="仿宋_GB2312"/>
          <w:sz w:val="32"/>
          <w:szCs w:val="32"/>
          <w:highlight w:val="none"/>
        </w:rPr>
        <w:t>排气有关的维修后，应当进行出厂自检或者委托检测，符合规定排放标准后方可出厂，并保存相关的维修档案。</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县级以上</w:t>
      </w:r>
      <w:r>
        <w:rPr>
          <w:rFonts w:hint="eastAsia" w:ascii="仿宋_GB2312" w:hAnsi="仿宋_GB2312" w:eastAsia="仿宋_GB2312" w:cs="仿宋_GB2312"/>
          <w:color w:val="000000"/>
          <w:kern w:val="2"/>
          <w:sz w:val="32"/>
          <w:szCs w:val="32"/>
          <w:highlight w:val="none"/>
          <w:lang w:val="en-US" w:eastAsia="zh-CN"/>
        </w:rPr>
        <w:t>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i w:val="0"/>
          <w:iCs w:val="0"/>
          <w:sz w:val="32"/>
          <w:szCs w:val="32"/>
          <w:highlight w:val="none"/>
          <w:u w:val="none"/>
        </w:rPr>
        <w:t>可以</w:t>
      </w:r>
      <w:r>
        <w:rPr>
          <w:rFonts w:hint="eastAsia" w:ascii="仿宋_GB2312" w:hAnsi="仿宋_GB2312" w:eastAsia="仿宋_GB2312" w:cs="仿宋_GB2312"/>
          <w:sz w:val="32"/>
          <w:szCs w:val="32"/>
          <w:highlight w:val="none"/>
        </w:rPr>
        <w:t>对依照前款规定进行维修后待出厂的机动车进行排气污染抽检。</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第四十四条  </w:t>
      </w:r>
      <w:r>
        <w:rPr>
          <w:rFonts w:hint="eastAsia" w:ascii="仿宋_GB2312" w:hAnsi="仿宋_GB2312" w:eastAsia="仿宋_GB2312" w:cs="仿宋_GB2312"/>
          <w:sz w:val="32"/>
          <w:szCs w:val="32"/>
          <w:highlight w:val="none"/>
        </w:rPr>
        <w:t>地级以上市人民政府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环境主管部门、公安机关交通管理部门、交通运输主管部门应当共享机动车相关的监管数据。</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楷体_GB2312" w:hAnsi="楷体_GB2312" w:eastAsia="楷体_GB2312" w:cs="楷体_GB2312"/>
          <w:b w:val="0"/>
          <w:bCs w:val="0"/>
          <w:sz w:val="32"/>
          <w:szCs w:val="32"/>
          <w:highlight w:val="none"/>
          <w:lang w:eastAsia="zh-CN"/>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第二节</w:t>
      </w:r>
      <w:r>
        <w:rPr>
          <w:rFonts w:hint="eastAsia" w:ascii="黑体" w:hAnsi="黑体" w:eastAsia="黑体" w:cs="黑体"/>
          <w:b w:val="0"/>
          <w:bCs w:val="0"/>
          <w:sz w:val="32"/>
          <w:szCs w:val="32"/>
          <w:highlight w:val="none"/>
          <w:lang w:val="en-US" w:eastAsia="zh-CN"/>
        </w:rPr>
        <w:t xml:space="preserve">  </w:t>
      </w:r>
      <w:r>
        <w:rPr>
          <w:rFonts w:hint="eastAsia" w:ascii="黑体" w:hAnsi="黑体" w:eastAsia="黑体" w:cs="黑体"/>
          <w:b w:val="0"/>
          <w:bCs w:val="0"/>
          <w:sz w:val="32"/>
          <w:szCs w:val="32"/>
          <w:highlight w:val="none"/>
        </w:rPr>
        <w:t>非道路移动机械</w:t>
      </w:r>
      <w:r>
        <w:rPr>
          <w:rFonts w:hint="eastAsia" w:ascii="黑体" w:hAnsi="黑体" w:eastAsia="黑体" w:cs="黑体"/>
          <w:b w:val="0"/>
          <w:bCs w:val="0"/>
          <w:sz w:val="32"/>
          <w:szCs w:val="32"/>
          <w:highlight w:val="none"/>
          <w:lang w:eastAsia="zh-CN"/>
        </w:rPr>
        <w:t>污染</w:t>
      </w:r>
      <w:r>
        <w:rPr>
          <w:rFonts w:hint="eastAsia" w:ascii="黑体" w:hAnsi="黑体" w:eastAsia="黑体" w:cs="黑体"/>
          <w:b w:val="0"/>
          <w:bCs w:val="0"/>
          <w:sz w:val="32"/>
          <w:szCs w:val="32"/>
          <w:highlight w:val="none"/>
        </w:rPr>
        <w:t>和船舶污染防治</w:t>
      </w: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b w:val="0"/>
          <w:bCs w:val="0"/>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第四十五条  </w:t>
      </w:r>
      <w:r>
        <w:rPr>
          <w:rFonts w:hint="eastAsia" w:ascii="仿宋_GB2312" w:hAnsi="仿宋_GB2312" w:eastAsia="仿宋_GB2312" w:cs="仿宋_GB2312"/>
          <w:sz w:val="32"/>
          <w:szCs w:val="32"/>
          <w:highlight w:val="none"/>
        </w:rPr>
        <w:t>本省销售的非道路移动机械应当符合现行执行的国家非道路移动机械大气污染物排放标准</w:t>
      </w:r>
      <w:r>
        <w:rPr>
          <w:rFonts w:hint="eastAsia" w:ascii="仿宋_GB2312" w:hAnsi="仿宋_GB2312" w:eastAsia="仿宋_GB2312" w:cs="仿宋_GB2312"/>
          <w:sz w:val="32"/>
          <w:szCs w:val="32"/>
          <w:highlight w:val="none"/>
          <w:lang w:eastAsia="zh-CN"/>
        </w:rPr>
        <w:t>中相应阶段排放限值</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在本省使用的非道路移动机械不得超过标准排放大气污染物，不得排放黑烟等可视污染物。</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城市</w:t>
      </w:r>
      <w:r>
        <w:rPr>
          <w:rFonts w:hint="eastAsia" w:ascii="仿宋_GB2312" w:hAnsi="仿宋_GB2312" w:eastAsia="仿宋_GB2312" w:cs="仿宋_GB2312"/>
          <w:sz w:val="32"/>
          <w:szCs w:val="32"/>
          <w:highlight w:val="none"/>
        </w:rPr>
        <w:t>人民政府可以根据</w:t>
      </w:r>
      <w:r>
        <w:rPr>
          <w:rFonts w:hint="eastAsia" w:ascii="仿宋_GB2312" w:hAnsi="仿宋_GB2312" w:eastAsia="仿宋_GB2312" w:cs="仿宋_GB2312"/>
          <w:i w:val="0"/>
          <w:iCs w:val="0"/>
          <w:sz w:val="32"/>
          <w:szCs w:val="32"/>
          <w:highlight w:val="none"/>
          <w:u w:val="none"/>
        </w:rPr>
        <w:t>大气</w:t>
      </w:r>
      <w:r>
        <w:rPr>
          <w:rFonts w:hint="eastAsia" w:ascii="仿宋_GB2312" w:hAnsi="仿宋_GB2312" w:eastAsia="仿宋_GB2312" w:cs="仿宋_GB2312"/>
          <w:sz w:val="32"/>
          <w:szCs w:val="32"/>
          <w:highlight w:val="none"/>
          <w:lang w:val="en-US" w:eastAsia="zh-CN"/>
        </w:rPr>
        <w:t>污染防治需要，</w:t>
      </w:r>
      <w:r>
        <w:rPr>
          <w:rFonts w:hint="eastAsia" w:ascii="仿宋_GB2312" w:hAnsi="仿宋_GB2312" w:eastAsia="仿宋_GB2312" w:cs="仿宋_GB2312"/>
          <w:sz w:val="32"/>
          <w:szCs w:val="32"/>
          <w:highlight w:val="none"/>
        </w:rPr>
        <w:t>划定</w:t>
      </w:r>
      <w:r>
        <w:rPr>
          <w:rFonts w:hint="eastAsia" w:ascii="仿宋_GB2312" w:hAnsi="仿宋_GB2312" w:eastAsia="仿宋_GB2312" w:cs="仿宋_GB2312"/>
          <w:sz w:val="32"/>
          <w:szCs w:val="32"/>
          <w:highlight w:val="none"/>
          <w:lang w:val="en-US" w:eastAsia="zh-CN"/>
        </w:rPr>
        <w:t>并公布</w:t>
      </w:r>
      <w:r>
        <w:rPr>
          <w:rFonts w:hint="eastAsia" w:ascii="仿宋_GB2312" w:hAnsi="仿宋_GB2312" w:eastAsia="仿宋_GB2312" w:cs="仿宋_GB2312"/>
          <w:sz w:val="32"/>
          <w:szCs w:val="32"/>
          <w:highlight w:val="none"/>
        </w:rPr>
        <w:t>禁止使用高排放非道路移动机械区</w:t>
      </w:r>
      <w:r>
        <w:rPr>
          <w:rFonts w:hint="eastAsia" w:ascii="仿宋_GB2312" w:hAnsi="仿宋_GB2312" w:eastAsia="仿宋_GB2312" w:cs="仿宋_GB2312"/>
          <w:sz w:val="32"/>
          <w:szCs w:val="32"/>
          <w:highlight w:val="none"/>
          <w:lang w:val="en-US" w:eastAsia="zh-CN"/>
        </w:rPr>
        <w:t>域</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高排放</w:t>
      </w:r>
      <w:r>
        <w:rPr>
          <w:rFonts w:hint="eastAsia" w:ascii="仿宋_GB2312" w:hAnsi="仿宋_GB2312" w:eastAsia="仿宋_GB2312" w:cs="仿宋_GB2312"/>
          <w:sz w:val="32"/>
          <w:szCs w:val="32"/>
          <w:highlight w:val="none"/>
          <w:lang w:eastAsia="zh-CN"/>
        </w:rPr>
        <w:t>非道路</w:t>
      </w:r>
      <w:r>
        <w:rPr>
          <w:rFonts w:hint="eastAsia" w:ascii="仿宋_GB2312" w:hAnsi="仿宋_GB2312" w:eastAsia="仿宋_GB2312" w:cs="仿宋_GB2312"/>
          <w:sz w:val="32"/>
          <w:szCs w:val="32"/>
          <w:highlight w:val="none"/>
        </w:rPr>
        <w:t>移动机械</w:t>
      </w:r>
      <w:r>
        <w:rPr>
          <w:rFonts w:hint="eastAsia" w:ascii="仿宋_GB2312" w:hAnsi="仿宋_GB2312" w:eastAsia="仿宋_GB2312" w:cs="仿宋_GB2312"/>
          <w:sz w:val="32"/>
          <w:szCs w:val="32"/>
          <w:highlight w:val="none"/>
          <w:lang w:val="en-US" w:eastAsia="zh-CN"/>
        </w:rPr>
        <w:t>的认定标准</w:t>
      </w:r>
      <w:r>
        <w:rPr>
          <w:rFonts w:hint="eastAsia" w:ascii="仿宋_GB2312" w:hAnsi="仿宋_GB2312" w:eastAsia="仿宋_GB2312" w:cs="仿宋_GB2312"/>
          <w:sz w:val="32"/>
          <w:szCs w:val="32"/>
          <w:highlight w:val="none"/>
        </w:rPr>
        <w:t>由省人民政府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sz w:val="32"/>
          <w:szCs w:val="32"/>
          <w:highlight w:val="none"/>
          <w:lang w:val="en-US" w:eastAsia="zh-CN"/>
        </w:rPr>
        <w:t>制定</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color w:val="000000"/>
          <w:kern w:val="2"/>
          <w:sz w:val="32"/>
          <w:szCs w:val="32"/>
          <w:highlight w:val="none"/>
          <w:lang w:val="en-US" w:eastAsia="zh-CN"/>
        </w:rPr>
      </w:pPr>
      <w:r>
        <w:rPr>
          <w:rFonts w:hint="eastAsia" w:ascii="黑体" w:hAnsi="黑体" w:eastAsia="黑体" w:cs="黑体"/>
          <w:color w:val="000000"/>
          <w:kern w:val="2"/>
          <w:sz w:val="32"/>
          <w:szCs w:val="32"/>
          <w:highlight w:val="none"/>
          <w:lang w:val="en-US" w:eastAsia="zh-CN"/>
        </w:rPr>
        <w:t xml:space="preserve">第四十六条  </w:t>
      </w:r>
      <w:r>
        <w:rPr>
          <w:rFonts w:hint="eastAsia" w:ascii="仿宋_GB2312" w:hAnsi="仿宋_GB2312" w:eastAsia="仿宋_GB2312" w:cs="仿宋_GB2312"/>
          <w:color w:val="000000"/>
          <w:kern w:val="2"/>
          <w:sz w:val="32"/>
          <w:szCs w:val="32"/>
          <w:highlight w:val="none"/>
          <w:lang w:val="en-US" w:eastAsia="zh-CN"/>
        </w:rPr>
        <w:t>非道路移动机械所有人或者使用人应当按照规范对在用非道路移动机械进行维护检修</w:t>
      </w:r>
      <w:r>
        <w:rPr>
          <w:rFonts w:hint="eastAsia" w:ascii="仿宋_GB2312" w:hAnsi="仿宋_GB2312" w:eastAsia="仿宋_GB2312" w:cs="仿宋_GB2312"/>
          <w:i w:val="0"/>
          <w:iCs w:val="0"/>
          <w:color w:val="000000"/>
          <w:kern w:val="2"/>
          <w:sz w:val="32"/>
          <w:szCs w:val="32"/>
          <w:highlight w:val="none"/>
          <w:u w:val="none"/>
          <w:lang w:val="en-US" w:eastAsia="zh-CN"/>
        </w:rPr>
        <w:t>。</w:t>
      </w:r>
      <w:r>
        <w:rPr>
          <w:rFonts w:hint="eastAsia" w:ascii="仿宋_GB2312" w:hAnsi="仿宋_GB2312" w:eastAsia="仿宋_GB2312" w:cs="仿宋_GB2312"/>
          <w:color w:val="000000"/>
          <w:kern w:val="2"/>
          <w:sz w:val="32"/>
          <w:szCs w:val="32"/>
          <w:highlight w:val="none"/>
          <w:lang w:val="en-US" w:eastAsia="zh-CN"/>
        </w:rPr>
        <w:t>对超过标准排放大气污染物的，应当维修、加装或者更换符合要求的</w:t>
      </w:r>
      <w:r>
        <w:rPr>
          <w:rFonts w:hint="eastAsia" w:ascii="仿宋_GB2312" w:hAnsi="仿宋_GB2312" w:eastAsia="仿宋_GB2312" w:cs="仿宋_GB2312"/>
          <w:i w:val="0"/>
          <w:iCs w:val="0"/>
          <w:color w:val="000000"/>
          <w:kern w:val="2"/>
          <w:sz w:val="32"/>
          <w:szCs w:val="32"/>
          <w:highlight w:val="none"/>
          <w:u w:val="none"/>
          <w:lang w:val="en-US" w:eastAsia="zh-CN"/>
        </w:rPr>
        <w:t>污染</w:t>
      </w:r>
      <w:r>
        <w:rPr>
          <w:rFonts w:hint="eastAsia" w:ascii="仿宋_GB2312" w:hAnsi="仿宋_GB2312" w:eastAsia="仿宋_GB2312" w:cs="仿宋_GB2312"/>
          <w:color w:val="000000"/>
          <w:kern w:val="2"/>
          <w:sz w:val="32"/>
          <w:szCs w:val="32"/>
          <w:highlight w:val="none"/>
          <w:lang w:val="en-US" w:eastAsia="zh-CN"/>
        </w:rPr>
        <w:t>控制装置，使其达到规定的排放标准。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在用非道路移动机械经维修或者采用</w:t>
      </w:r>
      <w:r>
        <w:rPr>
          <w:rFonts w:hint="eastAsia" w:ascii="仿宋_GB2312" w:hAnsi="仿宋_GB2312" w:eastAsia="仿宋_GB2312" w:cs="仿宋_GB2312"/>
          <w:i w:val="0"/>
          <w:iCs w:val="0"/>
          <w:sz w:val="32"/>
          <w:szCs w:val="32"/>
          <w:highlight w:val="none"/>
          <w:u w:val="none"/>
        </w:rPr>
        <w:t>污染</w:t>
      </w:r>
      <w:r>
        <w:rPr>
          <w:rFonts w:hint="eastAsia" w:ascii="仿宋_GB2312" w:hAnsi="仿宋_GB2312" w:eastAsia="仿宋_GB2312" w:cs="仿宋_GB2312"/>
          <w:sz w:val="32"/>
          <w:szCs w:val="32"/>
          <w:highlight w:val="none"/>
        </w:rPr>
        <w:t>控制技术后，大气污染物排放仍不符合国家排放标准的，不得使用。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四十七</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非道路移动机械所有</w:t>
      </w:r>
      <w:r>
        <w:rPr>
          <w:rFonts w:hint="eastAsia" w:ascii="仿宋_GB2312" w:hAnsi="仿宋_GB2312" w:eastAsia="仿宋_GB2312" w:cs="仿宋_GB2312"/>
          <w:color w:val="000000"/>
          <w:kern w:val="2"/>
          <w:sz w:val="32"/>
          <w:szCs w:val="32"/>
          <w:highlight w:val="none"/>
          <w:lang w:val="en-US" w:eastAsia="zh-CN"/>
        </w:rPr>
        <w:t>人</w:t>
      </w:r>
      <w:r>
        <w:rPr>
          <w:rFonts w:hint="eastAsia" w:ascii="仿宋_GB2312" w:hAnsi="仿宋_GB2312" w:eastAsia="仿宋_GB2312" w:cs="仿宋_GB2312"/>
          <w:sz w:val="32"/>
          <w:szCs w:val="32"/>
          <w:highlight w:val="none"/>
        </w:rPr>
        <w:t>或者使用</w:t>
      </w:r>
      <w:r>
        <w:rPr>
          <w:rFonts w:hint="eastAsia" w:ascii="仿宋_GB2312" w:hAnsi="仿宋_GB2312" w:eastAsia="仿宋_GB2312" w:cs="仿宋_GB2312"/>
          <w:color w:val="000000"/>
          <w:kern w:val="2"/>
          <w:sz w:val="32"/>
          <w:szCs w:val="32"/>
          <w:highlight w:val="none"/>
          <w:lang w:val="en-US" w:eastAsia="zh-CN"/>
        </w:rPr>
        <w:t>人</w:t>
      </w:r>
      <w:r>
        <w:rPr>
          <w:rFonts w:hint="eastAsia" w:ascii="仿宋_GB2312" w:hAnsi="仿宋_GB2312" w:eastAsia="仿宋_GB2312" w:cs="仿宋_GB2312"/>
          <w:sz w:val="32"/>
          <w:szCs w:val="32"/>
          <w:highlight w:val="none"/>
        </w:rPr>
        <w:t>在进场施工时，应当建立非道路移动机械使用台账。</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住房城乡建设、交通运输、农业</w:t>
      </w:r>
      <w:r>
        <w:rPr>
          <w:rFonts w:hint="eastAsia" w:ascii="仿宋_GB2312" w:hAnsi="仿宋_GB2312" w:eastAsia="仿宋_GB2312" w:cs="仿宋_GB2312"/>
          <w:sz w:val="32"/>
          <w:szCs w:val="32"/>
          <w:highlight w:val="none"/>
          <w:lang w:eastAsia="zh-CN"/>
        </w:rPr>
        <w:t>农村</w:t>
      </w:r>
      <w:r>
        <w:rPr>
          <w:rFonts w:hint="eastAsia" w:ascii="仿宋_GB2312" w:hAnsi="仿宋_GB2312" w:eastAsia="仿宋_GB2312" w:cs="仿宋_GB2312"/>
          <w:sz w:val="32"/>
          <w:szCs w:val="32"/>
          <w:highlight w:val="none"/>
        </w:rPr>
        <w:t>、水行政等有关部门</w:t>
      </w:r>
      <w:r>
        <w:rPr>
          <w:rFonts w:hint="eastAsia" w:ascii="仿宋_GB2312" w:hAnsi="仿宋_GB2312" w:eastAsia="仿宋_GB2312" w:cs="仿宋_GB2312"/>
          <w:i w:val="0"/>
          <w:iCs w:val="0"/>
          <w:sz w:val="32"/>
          <w:szCs w:val="32"/>
          <w:highlight w:val="none"/>
          <w:u w:val="none" w:color="auto"/>
        </w:rPr>
        <w:t>应当</w:t>
      </w:r>
      <w:r>
        <w:rPr>
          <w:rFonts w:hint="eastAsia" w:ascii="仿宋_GB2312" w:hAnsi="仿宋_GB2312" w:eastAsia="仿宋_GB2312" w:cs="仿宋_GB2312"/>
          <w:i w:val="0"/>
          <w:iCs w:val="0"/>
          <w:sz w:val="32"/>
          <w:szCs w:val="32"/>
          <w:highlight w:val="none"/>
          <w:u w:val="none"/>
        </w:rPr>
        <w:t>督促</w:t>
      </w:r>
      <w:r>
        <w:rPr>
          <w:rFonts w:hint="eastAsia" w:ascii="仿宋_GB2312" w:hAnsi="仿宋_GB2312" w:eastAsia="仿宋_GB2312" w:cs="仿宋_GB2312"/>
          <w:sz w:val="32"/>
          <w:szCs w:val="32"/>
          <w:highlight w:val="none"/>
        </w:rPr>
        <w:t>建设单位使用符合排放标准的非道路移动机械。</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 xml:space="preserve">    </w:t>
      </w: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四十八</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禁止船舶在内河水域使用焚烧炉或者焚烧船舶垃圾。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禁止载运危险货物船舶在城市市区航道、通航密集区、渡区、船闸、大型桥梁、水下通道等内河水域进行舱室驱气或者熏舱作业。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rPr>
      </w:pPr>
      <w:r>
        <w:rPr>
          <w:rFonts w:hint="eastAsia" w:ascii="仿宋_GB2312" w:hAnsi="仿宋_GB2312" w:eastAsia="仿宋_GB2312" w:cs="仿宋_GB2312"/>
          <w:i w:val="0"/>
          <w:iCs w:val="0"/>
          <w:sz w:val="32"/>
          <w:szCs w:val="32"/>
          <w:highlight w:val="none"/>
          <w:u w:val="none"/>
        </w:rPr>
        <w:t>船舶在海港港区内使用焚烧炉、进行驱气等作业应当按照国家有关规定</w:t>
      </w:r>
      <w:r>
        <w:rPr>
          <w:rFonts w:hint="eastAsia" w:ascii="仿宋_GB2312" w:hAnsi="仿宋_GB2312" w:eastAsia="仿宋_GB2312" w:cs="仿宋_GB2312"/>
          <w:i w:val="0"/>
          <w:iCs w:val="0"/>
          <w:sz w:val="32"/>
          <w:szCs w:val="32"/>
          <w:highlight w:val="none"/>
          <w:u w:val="none"/>
          <w:lang w:eastAsia="zh-CN"/>
        </w:rPr>
        <w:t>向</w:t>
      </w:r>
      <w:r>
        <w:rPr>
          <w:rFonts w:hint="eastAsia" w:ascii="仿宋_GB2312" w:hAnsi="仿宋_GB2312" w:eastAsia="仿宋_GB2312" w:cs="仿宋_GB2312"/>
          <w:i w:val="0"/>
          <w:iCs w:val="0"/>
          <w:sz w:val="32"/>
          <w:szCs w:val="32"/>
          <w:highlight w:val="none"/>
          <w:u w:val="none"/>
          <w:lang w:val="en-US" w:eastAsia="zh-CN"/>
        </w:rPr>
        <w:t>海事管理机构报告</w:t>
      </w:r>
      <w:r>
        <w:rPr>
          <w:rFonts w:hint="eastAsia" w:ascii="仿宋_GB2312" w:hAnsi="仿宋_GB2312" w:eastAsia="仿宋_GB2312" w:cs="仿宋_GB2312"/>
          <w:i w:val="0"/>
          <w:iCs w:val="0"/>
          <w:sz w:val="32"/>
          <w:szCs w:val="32"/>
          <w:highlight w:val="none"/>
          <w:u w:val="none"/>
        </w:rPr>
        <w:t>并如实记录。</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船舶在发现海上大气污染事故或者违反本</w:t>
      </w:r>
      <w:r>
        <w:rPr>
          <w:rFonts w:hint="eastAsia" w:ascii="仿宋_GB2312" w:hAnsi="仿宋_GB2312" w:eastAsia="仿宋_GB2312" w:cs="仿宋_GB2312"/>
          <w:i w:val="0"/>
          <w:iCs w:val="0"/>
          <w:sz w:val="32"/>
          <w:szCs w:val="32"/>
          <w:highlight w:val="none"/>
          <w:u w:val="none"/>
          <w:lang w:val="en-US" w:eastAsia="zh-CN"/>
        </w:rPr>
        <w:t>条例</w:t>
      </w:r>
      <w:r>
        <w:rPr>
          <w:rFonts w:hint="eastAsia" w:ascii="仿宋_GB2312" w:hAnsi="仿宋_GB2312" w:eastAsia="仿宋_GB2312" w:cs="仿宋_GB2312"/>
          <w:sz w:val="32"/>
          <w:szCs w:val="32"/>
          <w:highlight w:val="none"/>
        </w:rPr>
        <w:t>规定的行为时，应当向就近的行使海洋环境监督管理权的部门报告。</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第四十九条  </w:t>
      </w:r>
      <w:r>
        <w:rPr>
          <w:rFonts w:hint="eastAsia" w:ascii="仿宋_GB2312" w:hAnsi="仿宋_GB2312" w:eastAsia="仿宋_GB2312" w:cs="仿宋_GB2312"/>
          <w:color w:val="000000"/>
          <w:kern w:val="2"/>
          <w:sz w:val="32"/>
          <w:szCs w:val="32"/>
          <w:highlight w:val="none"/>
          <w:lang w:val="en-US" w:eastAsia="zh-CN"/>
        </w:rPr>
        <w:t>进入</w:t>
      </w:r>
      <w:r>
        <w:rPr>
          <w:rFonts w:hint="eastAsia" w:ascii="仿宋_GB2312" w:hAnsi="仿宋_GB2312" w:eastAsia="仿宋_GB2312" w:cs="仿宋_GB2312"/>
          <w:sz w:val="32"/>
          <w:szCs w:val="32"/>
          <w:highlight w:val="none"/>
        </w:rPr>
        <w:t>国家划定的船舶大气污染物排放控制区内的船舶，应当按照国家和省</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有关规定使用低硫燃油或者采取使用清洁能源、尾气后处理等与使用低硫燃油等效的替代措施。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海事管理机构应当对进出船舶</w:t>
      </w:r>
      <w:r>
        <w:rPr>
          <w:rFonts w:hint="eastAsia" w:ascii="仿宋_GB2312" w:hAnsi="仿宋_GB2312" w:eastAsia="仿宋_GB2312" w:cs="仿宋_GB2312"/>
          <w:color w:val="000000"/>
          <w:kern w:val="2"/>
          <w:sz w:val="32"/>
          <w:szCs w:val="32"/>
          <w:highlight w:val="none"/>
          <w:lang w:val="en-US" w:eastAsia="zh-CN"/>
        </w:rPr>
        <w:t>大气污染物</w:t>
      </w:r>
      <w:r>
        <w:rPr>
          <w:rFonts w:hint="eastAsia" w:ascii="仿宋_GB2312" w:hAnsi="仿宋_GB2312" w:eastAsia="仿宋_GB2312" w:cs="仿宋_GB2312"/>
          <w:sz w:val="32"/>
          <w:szCs w:val="32"/>
          <w:highlight w:val="none"/>
        </w:rPr>
        <w:t>排放控制区的船舶燃油使用情况进行监督管理。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none"/>
          <w:lang w:eastAsia="zh-CN"/>
        </w:rPr>
      </w:pPr>
      <w:r>
        <w:rPr>
          <w:rFonts w:hint="eastAsia" w:ascii="黑体" w:hAnsi="黑体" w:eastAsia="黑体" w:cs="黑体"/>
          <w:color w:val="000000"/>
          <w:kern w:val="2"/>
          <w:sz w:val="32"/>
          <w:szCs w:val="32"/>
          <w:highlight w:val="none"/>
          <w:lang w:val="en-US" w:eastAsia="zh-CN"/>
        </w:rPr>
        <w:t xml:space="preserve">第五十条  </w:t>
      </w:r>
      <w:r>
        <w:rPr>
          <w:rFonts w:hint="eastAsia" w:ascii="仿宋_GB2312" w:hAnsi="仿宋_GB2312" w:eastAsia="仿宋_GB2312" w:cs="仿宋_GB2312"/>
          <w:sz w:val="32"/>
          <w:szCs w:val="32"/>
          <w:highlight w:val="none"/>
        </w:rPr>
        <w:t>省、地级以上市人民政府</w:t>
      </w:r>
      <w:r>
        <w:rPr>
          <w:rFonts w:hint="eastAsia" w:ascii="仿宋_GB2312" w:hAnsi="仿宋_GB2312" w:eastAsia="仿宋_GB2312" w:cs="仿宋_GB2312"/>
          <w:i w:val="0"/>
          <w:iCs w:val="0"/>
          <w:sz w:val="32"/>
          <w:szCs w:val="32"/>
          <w:highlight w:val="none"/>
          <w:u w:val="none"/>
        </w:rPr>
        <w:t>发展改革</w:t>
      </w:r>
      <w:r>
        <w:rPr>
          <w:rFonts w:hint="eastAsia" w:ascii="仿宋_GB2312" w:hAnsi="仿宋_GB2312" w:eastAsia="仿宋_GB2312" w:cs="仿宋_GB2312"/>
          <w:sz w:val="32"/>
          <w:szCs w:val="32"/>
          <w:highlight w:val="none"/>
        </w:rPr>
        <w:t>主管部门应当将岸基供电设施建设纳入能源发展规划</w:t>
      </w:r>
      <w:r>
        <w:rPr>
          <w:rFonts w:hint="eastAsia" w:ascii="仿宋_GB2312" w:hAnsi="仿宋_GB2312" w:eastAsia="仿宋_GB2312" w:cs="仿宋_GB2312"/>
          <w:i/>
          <w:iCs/>
          <w:sz w:val="32"/>
          <w:szCs w:val="32"/>
          <w:highlight w:val="none"/>
          <w:u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发展改革、工业和信息化、生态环境和</w:t>
      </w:r>
      <w:r>
        <w:rPr>
          <w:rFonts w:hint="eastAsia" w:ascii="仿宋_GB2312" w:hAnsi="仿宋_GB2312" w:eastAsia="仿宋_GB2312" w:cs="仿宋_GB2312"/>
          <w:sz w:val="32"/>
          <w:szCs w:val="32"/>
          <w:highlight w:val="none"/>
        </w:rPr>
        <w:t>交通运输</w:t>
      </w:r>
      <w:r>
        <w:rPr>
          <w:rFonts w:hint="eastAsia" w:ascii="仿宋_GB2312" w:hAnsi="仿宋_GB2312" w:eastAsia="仿宋_GB2312" w:cs="仿宋_GB2312"/>
          <w:sz w:val="32"/>
          <w:szCs w:val="32"/>
          <w:highlight w:val="none"/>
          <w:lang w:eastAsia="zh-CN"/>
        </w:rPr>
        <w:t>等</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sz w:val="32"/>
          <w:szCs w:val="32"/>
          <w:highlight w:val="none"/>
          <w:lang w:val="en-US" w:eastAsia="zh-CN"/>
        </w:rPr>
        <w:t>应当按照职责</w:t>
      </w:r>
      <w:r>
        <w:rPr>
          <w:rFonts w:hint="eastAsia" w:ascii="仿宋_GB2312" w:hAnsi="仿宋_GB2312" w:eastAsia="仿宋_GB2312" w:cs="仿宋_GB2312"/>
          <w:sz w:val="32"/>
          <w:szCs w:val="32"/>
          <w:highlight w:val="none"/>
        </w:rPr>
        <w:t>推进岸</w:t>
      </w:r>
      <w:r>
        <w:rPr>
          <w:rFonts w:hint="eastAsia" w:ascii="仿宋_GB2312" w:hAnsi="仿宋_GB2312" w:eastAsia="仿宋_GB2312" w:cs="仿宋_GB2312"/>
          <w:sz w:val="32"/>
          <w:szCs w:val="32"/>
          <w:highlight w:val="none"/>
          <w:lang w:eastAsia="zh-CN"/>
        </w:rPr>
        <w:t>基供</w:t>
      </w:r>
      <w:r>
        <w:rPr>
          <w:rFonts w:hint="eastAsia" w:ascii="仿宋_GB2312" w:hAnsi="仿宋_GB2312" w:eastAsia="仿宋_GB2312" w:cs="仿宋_GB2312"/>
          <w:sz w:val="32"/>
          <w:szCs w:val="32"/>
          <w:highlight w:val="none"/>
        </w:rPr>
        <w:t>电系统的改造使用以及低硫燃油供应设施的建设和改造。</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现有码头应当逐步实施岸基供电设施改造。新建码头应当规划、设计和建设岸基供电设施。船舶靠泊内河港口</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沿海港口船舶靠港</w:t>
      </w:r>
      <w:r>
        <w:rPr>
          <w:rFonts w:hint="eastAsia" w:ascii="仿宋_GB2312" w:hAnsi="仿宋_GB2312" w:eastAsia="仿宋_GB2312" w:cs="仿宋_GB2312"/>
          <w:sz w:val="32"/>
          <w:szCs w:val="32"/>
          <w:highlight w:val="none"/>
          <w:lang w:eastAsia="zh-CN"/>
        </w:rPr>
        <w:t>应当</w:t>
      </w:r>
      <w:r>
        <w:rPr>
          <w:rFonts w:hint="eastAsia" w:ascii="仿宋_GB2312" w:hAnsi="仿宋_GB2312" w:eastAsia="仿宋_GB2312" w:cs="仿宋_GB2312"/>
          <w:sz w:val="32"/>
          <w:szCs w:val="32"/>
          <w:highlight w:val="none"/>
        </w:rPr>
        <w:t>优先使用岸</w:t>
      </w:r>
      <w:r>
        <w:rPr>
          <w:rFonts w:hint="eastAsia" w:ascii="仿宋_GB2312" w:hAnsi="仿宋_GB2312" w:eastAsia="仿宋_GB2312" w:cs="仿宋_GB2312"/>
          <w:sz w:val="32"/>
          <w:szCs w:val="32"/>
          <w:highlight w:val="none"/>
          <w:lang w:eastAsia="zh-CN"/>
        </w:rPr>
        <w:t>基供</w:t>
      </w:r>
      <w:r>
        <w:rPr>
          <w:rFonts w:hint="eastAsia" w:ascii="仿宋_GB2312" w:hAnsi="仿宋_GB2312" w:eastAsia="仿宋_GB2312" w:cs="仿宋_GB2312"/>
          <w:sz w:val="32"/>
          <w:szCs w:val="32"/>
          <w:highlight w:val="none"/>
        </w:rPr>
        <w:t>电。</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黑体" w:hAnsi="黑体" w:eastAsia="黑体" w:cs="黑体"/>
          <w:sz w:val="32"/>
          <w:szCs w:val="32"/>
          <w:highlight w:val="none"/>
        </w:rPr>
      </w:pPr>
      <w:r>
        <w:rPr>
          <w:rFonts w:hint="eastAsia" w:ascii="黑体" w:hAnsi="黑体" w:eastAsia="黑体" w:cs="黑体"/>
          <w:sz w:val="32"/>
          <w:szCs w:val="32"/>
          <w:highlight w:val="none"/>
        </w:rPr>
        <w:t>第六章  扬尘污染和其他污染防治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黑体" w:hAnsi="黑体" w:eastAsia="黑体" w:cs="黑体"/>
          <w:sz w:val="32"/>
          <w:szCs w:val="32"/>
          <w:highlight w:val="none"/>
        </w:rPr>
      </w:pPr>
    </w:p>
    <w:p>
      <w:pPr>
        <w:widowControl w:val="0"/>
        <w:wordWrap/>
        <w:adjustRightInd/>
        <w:snapToGrid w:val="0"/>
        <w:spacing w:beforeAutospacing="0" w:afterAutospacing="0" w:line="560" w:lineRule="exact"/>
        <w:ind w:left="0" w:leftChars="0" w:right="0" w:firstLine="640" w:firstLineChars="200"/>
        <w:jc w:val="center"/>
        <w:textAlignment w:val="auto"/>
        <w:outlineLvl w:val="9"/>
        <w:rPr>
          <w:rFonts w:hint="eastAsia" w:ascii="仿宋_GB2312" w:hAnsi="仿宋_GB2312" w:eastAsia="仿宋_GB2312" w:cs="仿宋_GB2312"/>
          <w:b w:val="0"/>
          <w:bCs w:val="0"/>
          <w:sz w:val="32"/>
          <w:szCs w:val="32"/>
          <w:highlight w:val="none"/>
        </w:rPr>
      </w:pPr>
      <w:r>
        <w:rPr>
          <w:rFonts w:hint="eastAsia" w:ascii="黑体" w:hAnsi="黑体" w:eastAsia="黑体" w:cs="黑体"/>
          <w:b w:val="0"/>
          <w:bCs w:val="0"/>
          <w:sz w:val="32"/>
          <w:szCs w:val="32"/>
          <w:highlight w:val="none"/>
        </w:rPr>
        <w:t>第一节  扬尘污染防治</w:t>
      </w:r>
    </w:p>
    <w:p>
      <w:pPr>
        <w:widowControl w:val="0"/>
        <w:wordWrap/>
        <w:adjustRightInd/>
        <w:snapToGrid w:val="0"/>
        <w:spacing w:beforeAutospacing="0" w:afterAutospacing="0" w:line="560" w:lineRule="exact"/>
        <w:ind w:left="0" w:leftChars="0" w:right="0" w:firstLine="643" w:firstLineChars="20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第五十一条  </w:t>
      </w:r>
      <w:r>
        <w:rPr>
          <w:rFonts w:hint="eastAsia" w:ascii="仿宋_GB2312" w:hAnsi="仿宋_GB2312" w:eastAsia="仿宋_GB2312" w:cs="仿宋_GB2312"/>
          <w:sz w:val="32"/>
          <w:szCs w:val="32"/>
          <w:highlight w:val="none"/>
        </w:rPr>
        <w:t>省人民政府</w:t>
      </w:r>
      <w:r>
        <w:rPr>
          <w:rFonts w:hint="eastAsia" w:ascii="仿宋_GB2312" w:hAnsi="仿宋_GB2312" w:eastAsia="仿宋_GB2312" w:cs="仿宋_GB2312"/>
          <w:sz w:val="32"/>
          <w:szCs w:val="32"/>
          <w:highlight w:val="none"/>
          <w:lang w:eastAsia="zh-CN"/>
        </w:rPr>
        <w:t>生态环境、住房城乡建设、城市管理、市政环卫、园林绿化、</w:t>
      </w:r>
      <w:r>
        <w:rPr>
          <w:rFonts w:hint="eastAsia" w:ascii="仿宋_GB2312" w:hAnsi="仿宋_GB2312" w:eastAsia="仿宋_GB2312" w:cs="仿宋_GB2312"/>
          <w:sz w:val="32"/>
          <w:szCs w:val="32"/>
          <w:highlight w:val="none"/>
          <w:lang w:val="en-US" w:eastAsia="zh-CN"/>
        </w:rPr>
        <w:t>自然</w:t>
      </w:r>
      <w:r>
        <w:rPr>
          <w:rFonts w:hint="eastAsia" w:ascii="仿宋_GB2312" w:hAnsi="仿宋_GB2312" w:eastAsia="仿宋_GB2312" w:cs="仿宋_GB2312"/>
          <w:sz w:val="32"/>
          <w:szCs w:val="32"/>
          <w:highlight w:val="none"/>
          <w:lang w:eastAsia="zh-CN"/>
        </w:rPr>
        <w:t>资源、交通运输、水行政等主管</w:t>
      </w:r>
      <w:r>
        <w:rPr>
          <w:rFonts w:hint="eastAsia" w:ascii="仿宋_GB2312" w:hAnsi="仿宋_GB2312" w:eastAsia="仿宋_GB2312" w:cs="仿宋_GB2312"/>
          <w:sz w:val="32"/>
          <w:szCs w:val="32"/>
          <w:highlight w:val="none"/>
        </w:rPr>
        <w:t>部门应当按照本条例规定的职责分工制定</w:t>
      </w:r>
      <w:r>
        <w:rPr>
          <w:rFonts w:hint="eastAsia" w:ascii="仿宋_GB2312" w:hAnsi="仿宋_GB2312" w:eastAsia="仿宋_GB2312" w:cs="仿宋_GB2312"/>
          <w:sz w:val="32"/>
          <w:szCs w:val="32"/>
          <w:highlight w:val="none"/>
          <w:lang w:eastAsia="zh-CN"/>
        </w:rPr>
        <w:t>完善</w:t>
      </w:r>
      <w:r>
        <w:rPr>
          <w:rFonts w:hint="eastAsia" w:ascii="仿宋_GB2312" w:hAnsi="仿宋_GB2312" w:eastAsia="仿宋_GB2312" w:cs="仿宋_GB2312"/>
          <w:sz w:val="32"/>
          <w:szCs w:val="32"/>
          <w:highlight w:val="none"/>
        </w:rPr>
        <w:t>扬尘污染防治技术</w:t>
      </w:r>
      <w:r>
        <w:rPr>
          <w:rFonts w:hint="eastAsia" w:ascii="仿宋_GB2312" w:hAnsi="仿宋_GB2312" w:eastAsia="仿宋_GB2312" w:cs="仿宋_GB2312"/>
          <w:i w:val="0"/>
          <w:iCs w:val="0"/>
          <w:sz w:val="32"/>
          <w:szCs w:val="32"/>
          <w:highlight w:val="none"/>
          <w:u w:val="none" w:color="auto"/>
        </w:rPr>
        <w:t>要求</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地级以上市人民政府有关部门应当</w:t>
      </w:r>
      <w:r>
        <w:rPr>
          <w:rFonts w:hint="eastAsia" w:ascii="仿宋_GB2312" w:hAnsi="仿宋_GB2312" w:eastAsia="仿宋_GB2312" w:cs="仿宋_GB2312"/>
          <w:i w:val="0"/>
          <w:iCs w:val="0"/>
          <w:sz w:val="32"/>
          <w:szCs w:val="32"/>
          <w:highlight w:val="none"/>
          <w:u w:val="none" w:color="auto"/>
          <w:lang w:eastAsia="zh-CN"/>
        </w:rPr>
        <w:t>建立完善</w:t>
      </w:r>
      <w:r>
        <w:rPr>
          <w:rFonts w:hint="eastAsia" w:ascii="仿宋_GB2312" w:hAnsi="仿宋_GB2312" w:eastAsia="仿宋_GB2312" w:cs="仿宋_GB2312"/>
          <w:sz w:val="32"/>
          <w:szCs w:val="32"/>
          <w:highlight w:val="none"/>
        </w:rPr>
        <w:t>扬尘污染防治信息共享</w:t>
      </w:r>
      <w:r>
        <w:rPr>
          <w:rFonts w:hint="eastAsia" w:ascii="仿宋_GB2312" w:hAnsi="仿宋_GB2312" w:eastAsia="仿宋_GB2312" w:cs="仿宋_GB2312"/>
          <w:sz w:val="32"/>
          <w:szCs w:val="32"/>
          <w:highlight w:val="none"/>
          <w:lang w:eastAsia="zh-CN"/>
        </w:rPr>
        <w:t>机制</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第五十二条  </w:t>
      </w:r>
      <w:r>
        <w:rPr>
          <w:rFonts w:hint="eastAsia" w:ascii="仿宋_GB2312" w:hAnsi="仿宋_GB2312" w:eastAsia="仿宋_GB2312" w:cs="仿宋_GB2312"/>
          <w:sz w:val="32"/>
          <w:szCs w:val="32"/>
          <w:highlight w:val="none"/>
        </w:rPr>
        <w:t>建设单位应当履行下列职责：</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single"/>
          <w:lang w:eastAsia="zh-CN"/>
        </w:rPr>
      </w:pPr>
      <w:r>
        <w:rPr>
          <w:rFonts w:hint="eastAsia" w:ascii="仿宋_GB2312" w:hAnsi="仿宋_GB2312" w:eastAsia="仿宋_GB2312" w:cs="仿宋_GB2312"/>
          <w:sz w:val="32"/>
          <w:szCs w:val="32"/>
          <w:highlight w:val="none"/>
        </w:rPr>
        <w:t>（一）将扬尘污染防治费用列入工程造价，实行单列支付。在招标文件中要求投标人制定施工现场扬尘污染防治措施。在施工承包合同中明确施工单位的扬尘污染防治责任</w:t>
      </w:r>
      <w:r>
        <w:rPr>
          <w:rFonts w:hint="eastAsia" w:ascii="仿宋_GB2312" w:hAnsi="仿宋_GB2312" w:eastAsia="仿宋_GB2312" w:cs="仿宋_GB2312"/>
          <w:sz w:val="32"/>
          <w:szCs w:val="32"/>
          <w:highlight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（二）将扬尘污染防治内容纳入工程监理合同</w:t>
      </w:r>
      <w:r>
        <w:rPr>
          <w:rFonts w:hint="eastAsia" w:ascii="仿宋_GB2312" w:hAnsi="仿宋_GB2312" w:eastAsia="仿宋_GB2312" w:cs="仿宋_GB2312"/>
          <w:sz w:val="32"/>
          <w:szCs w:val="32"/>
          <w:highlight w:val="none"/>
          <w:lang w:eastAsia="zh-CN"/>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（三）监督施工单位按照合同落实扬尘污染防治措施，监督监理单位按照合同落实扬尘污染防治监理责任。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第五十三条  </w:t>
      </w:r>
      <w:r>
        <w:rPr>
          <w:rFonts w:hint="eastAsia" w:ascii="仿宋_GB2312" w:hAnsi="仿宋_GB2312" w:eastAsia="仿宋_GB2312" w:cs="仿宋_GB2312"/>
          <w:sz w:val="32"/>
          <w:szCs w:val="32"/>
          <w:highlight w:val="none"/>
        </w:rPr>
        <w:t>施工单位应当制定具体的施工扬尘污染防治实施方案，建立扬尘污染防治工作台账，落实扬尘污染防治措施。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扬尘污染防治费用应当专款专用，不得挪用。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第五十四条  </w:t>
      </w:r>
      <w:r>
        <w:rPr>
          <w:rFonts w:hint="eastAsia" w:ascii="仿宋_GB2312" w:hAnsi="仿宋_GB2312" w:eastAsia="仿宋_GB2312" w:cs="仿宋_GB2312"/>
          <w:sz w:val="32"/>
          <w:szCs w:val="32"/>
          <w:highlight w:val="none"/>
        </w:rPr>
        <w:t>监理单位应当做好扬尘污染防治监理工作；对未按照扬尘污染防治措施施工的，应当要求施工单位立即改正，并及时报告建设单位。</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第五十五条  </w:t>
      </w:r>
      <w:r>
        <w:rPr>
          <w:rFonts w:hint="eastAsia" w:ascii="仿宋_GB2312" w:hAnsi="仿宋_GB2312" w:eastAsia="仿宋_GB2312" w:cs="仿宋_GB2312"/>
          <w:sz w:val="32"/>
          <w:szCs w:val="32"/>
          <w:highlight w:val="none"/>
        </w:rPr>
        <w:t>城市建成区建设项目的施工现场出入口应当安装监控车辆出场冲洗情况及车辆车牌号码视频监控设备；建筑面积在五万平方米以上</w:t>
      </w:r>
      <w:r>
        <w:rPr>
          <w:rFonts w:hint="eastAsia" w:ascii="仿宋_GB2312" w:hAnsi="仿宋_GB2312" w:eastAsia="仿宋_GB2312" w:cs="仿宋_GB2312"/>
          <w:i w:val="0"/>
          <w:iCs w:val="0"/>
          <w:sz w:val="32"/>
          <w:szCs w:val="32"/>
          <w:highlight w:val="none"/>
          <w:u w:val="none"/>
        </w:rPr>
        <w:t>的，还</w:t>
      </w:r>
      <w:r>
        <w:rPr>
          <w:rFonts w:hint="eastAsia" w:ascii="仿宋_GB2312" w:hAnsi="仿宋_GB2312" w:eastAsia="仿宋_GB2312" w:cs="仿宋_GB2312"/>
          <w:sz w:val="32"/>
          <w:szCs w:val="32"/>
          <w:highlight w:val="none"/>
        </w:rPr>
        <w:t>应当安装颗粒物在线监测系统。</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在县级以上人民政府划定的</w:t>
      </w:r>
      <w:r>
        <w:rPr>
          <w:rFonts w:hint="eastAsia" w:ascii="仿宋_GB2312" w:hAnsi="仿宋_GB2312" w:eastAsia="仿宋_GB2312" w:cs="仿宋_GB2312"/>
          <w:sz w:val="32"/>
          <w:szCs w:val="32"/>
          <w:highlight w:val="none"/>
        </w:rPr>
        <w:t>禁止搅拌混凝土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搅拌砂浆</w:t>
      </w:r>
      <w:r>
        <w:rPr>
          <w:rFonts w:hint="eastAsia" w:ascii="仿宋_GB2312" w:hAnsi="仿宋_GB2312" w:eastAsia="仿宋_GB2312" w:cs="仿宋_GB2312"/>
          <w:sz w:val="32"/>
          <w:szCs w:val="32"/>
          <w:highlight w:val="none"/>
          <w:lang w:eastAsia="zh-CN"/>
        </w:rPr>
        <w:t>范围内的建设工程项目</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不得现场搅拌混凝土、现场搅拌砂浆，</w:t>
      </w:r>
      <w:r>
        <w:rPr>
          <w:rFonts w:hint="eastAsia" w:ascii="仿宋_GB2312" w:hAnsi="仿宋_GB2312" w:eastAsia="仿宋_GB2312" w:cs="仿宋_GB2312"/>
          <w:sz w:val="32"/>
          <w:szCs w:val="32"/>
          <w:highlight w:val="none"/>
        </w:rPr>
        <w:t>散装预拌干粉砂浆加水搅拌除外；施工现场铺贴各类瓷砖、石板材等装饰块件</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禁止采用干式方法进行切割。</w:t>
      </w:r>
    </w:p>
    <w:p>
      <w:pPr>
        <w:widowControl w:val="0"/>
        <w:wordWrap/>
        <w:adjustRightInd/>
        <w:snapToGrid w:val="0"/>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b w:val="0"/>
          <w:bCs w:val="0"/>
          <w:sz w:val="32"/>
          <w:szCs w:val="32"/>
          <w:highlight w:val="none"/>
          <w:lang w:val="en-US" w:eastAsia="zh-CN"/>
        </w:rPr>
        <w:t xml:space="preserve">第五十六条  </w:t>
      </w:r>
      <w:r>
        <w:rPr>
          <w:rFonts w:hint="eastAsia" w:ascii="仿宋_GB2312" w:hAnsi="仿宋_GB2312" w:eastAsia="仿宋_GB2312" w:cs="仿宋_GB2312"/>
          <w:sz w:val="32"/>
          <w:szCs w:val="32"/>
          <w:highlight w:val="none"/>
        </w:rPr>
        <w:t>道路保洁应当采用低尘作业道路机械化清扫、市政道路机械化高压冲洗、洒水</w:t>
      </w:r>
      <w:r>
        <w:rPr>
          <w:rFonts w:hint="eastAsia" w:ascii="仿宋_GB2312" w:hAnsi="仿宋_GB2312" w:eastAsia="仿宋_GB2312" w:cs="仿宋_GB2312"/>
          <w:sz w:val="32"/>
          <w:szCs w:val="32"/>
          <w:highlight w:val="none"/>
          <w:lang w:eastAsia="zh-CN"/>
        </w:rPr>
        <w:t>、喷雾</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i w:val="0"/>
          <w:iCs w:val="0"/>
          <w:sz w:val="32"/>
          <w:szCs w:val="32"/>
          <w:highlight w:val="none"/>
          <w:u w:val="none"/>
        </w:rPr>
        <w:t>措施</w:t>
      </w:r>
      <w:r>
        <w:rPr>
          <w:rFonts w:hint="eastAsia" w:ascii="仿宋_GB2312" w:hAnsi="仿宋_GB2312" w:eastAsia="仿宋_GB2312" w:cs="仿宋_GB2312"/>
          <w:i w:val="0"/>
          <w:iCs w:val="0"/>
          <w:sz w:val="32"/>
          <w:szCs w:val="32"/>
          <w:highlight w:val="none"/>
          <w:u w:val="none"/>
          <w:lang w:eastAsia="zh-CN"/>
        </w:rPr>
        <w:t>，</w:t>
      </w:r>
      <w:r>
        <w:rPr>
          <w:rFonts w:hint="eastAsia" w:ascii="仿宋_GB2312" w:hAnsi="仿宋_GB2312" w:eastAsia="仿宋_GB2312" w:cs="仿宋_GB2312"/>
          <w:color w:val="000000"/>
          <w:kern w:val="2"/>
          <w:sz w:val="32"/>
          <w:szCs w:val="32"/>
          <w:highlight w:val="none"/>
          <w:lang w:val="en-US" w:eastAsia="zh-CN"/>
        </w:rPr>
        <w:t>并根据道路扬尘控制实际情况，合理安排作业时间，适时增加作业频次，提高作业质量，</w:t>
      </w:r>
      <w:r>
        <w:rPr>
          <w:rFonts w:hint="eastAsia" w:ascii="仿宋_GB2312" w:hAnsi="仿宋_GB2312" w:eastAsia="仿宋_GB2312" w:cs="仿宋_GB2312"/>
          <w:i w:val="0"/>
          <w:iCs w:val="0"/>
          <w:sz w:val="32"/>
          <w:szCs w:val="32"/>
          <w:highlight w:val="none"/>
          <w:u w:val="none"/>
        </w:rPr>
        <w:t>降低道路扬尘污染</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2"/>
          <w:sz w:val="32"/>
          <w:szCs w:val="32"/>
          <w:highlight w:val="none"/>
          <w:lang w:val="en-US" w:eastAsia="zh-CN"/>
        </w:rPr>
        <w:t xml:space="preserve">    </w:t>
      </w:r>
      <w:r>
        <w:rPr>
          <w:rFonts w:hint="eastAsia" w:ascii="黑体" w:hAnsi="黑体" w:eastAsia="黑体" w:cs="黑体"/>
          <w:b w:val="0"/>
          <w:bCs w:val="0"/>
          <w:sz w:val="32"/>
          <w:szCs w:val="32"/>
          <w:highlight w:val="none"/>
          <w:lang w:val="en-US" w:eastAsia="zh-CN"/>
        </w:rPr>
        <w:t xml:space="preserve">第五十七条  </w:t>
      </w:r>
      <w:r>
        <w:rPr>
          <w:rFonts w:hint="eastAsia" w:ascii="仿宋_GB2312" w:hAnsi="仿宋_GB2312" w:eastAsia="仿宋_GB2312" w:cs="仿宋_GB2312"/>
          <w:sz w:val="32"/>
          <w:szCs w:val="32"/>
          <w:highlight w:val="none"/>
        </w:rPr>
        <w:t>运输</w:t>
      </w:r>
      <w:r>
        <w:rPr>
          <w:rFonts w:hint="eastAsia" w:ascii="仿宋_GB2312" w:hAnsi="仿宋_GB2312" w:eastAsia="仿宋_GB2312" w:cs="仿宋_GB2312"/>
          <w:sz w:val="32"/>
          <w:szCs w:val="32"/>
          <w:highlight w:val="none"/>
          <w:lang w:eastAsia="zh-CN"/>
        </w:rPr>
        <w:t>煤炭、</w:t>
      </w:r>
      <w:r>
        <w:rPr>
          <w:rFonts w:hint="eastAsia" w:ascii="仿宋_GB2312" w:hAnsi="仿宋_GB2312" w:eastAsia="仿宋_GB2312" w:cs="仿宋_GB2312"/>
          <w:sz w:val="32"/>
          <w:szCs w:val="32"/>
          <w:highlight w:val="none"/>
        </w:rPr>
        <w:t>垃圾、</w:t>
      </w:r>
      <w:r>
        <w:rPr>
          <w:rFonts w:hint="eastAsia" w:ascii="仿宋_GB2312" w:hAnsi="仿宋_GB2312" w:eastAsia="仿宋_GB2312" w:cs="仿宋_GB2312"/>
          <w:sz w:val="32"/>
          <w:szCs w:val="32"/>
          <w:highlight w:val="none"/>
          <w:lang w:eastAsia="zh-CN"/>
        </w:rPr>
        <w:t>渣土、土方</w:t>
      </w:r>
      <w:r>
        <w:rPr>
          <w:rFonts w:hint="eastAsia" w:ascii="仿宋_GB2312" w:hAnsi="仿宋_GB2312" w:eastAsia="仿宋_GB2312" w:cs="仿宋_GB2312"/>
          <w:sz w:val="32"/>
          <w:szCs w:val="32"/>
          <w:highlight w:val="none"/>
        </w:rPr>
        <w:t>、砂石和灰浆等散装</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流体物料的车辆应当</w:t>
      </w:r>
      <w:r>
        <w:rPr>
          <w:rFonts w:hint="eastAsia" w:ascii="仿宋_GB2312" w:hAnsi="仿宋_GB2312" w:eastAsia="仿宋_GB2312" w:cs="仿宋_GB2312"/>
          <w:sz w:val="32"/>
          <w:szCs w:val="32"/>
          <w:highlight w:val="none"/>
          <w:lang w:eastAsia="zh-CN"/>
        </w:rPr>
        <w:t>密闭</w:t>
      </w:r>
      <w:r>
        <w:rPr>
          <w:rFonts w:hint="eastAsia" w:ascii="仿宋_GB2312" w:hAnsi="仿宋_GB2312" w:eastAsia="仿宋_GB2312" w:cs="仿宋_GB2312"/>
          <w:sz w:val="32"/>
          <w:szCs w:val="32"/>
          <w:highlight w:val="none"/>
        </w:rPr>
        <w:t>运输，配备卫星定位装置，并按照规定的时间、路线行驶。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olor w:val="auto"/>
          <w:sz w:val="32"/>
          <w:szCs w:val="32"/>
          <w:highlight w:val="none"/>
          <w:u w:val="none"/>
        </w:rPr>
      </w:pPr>
      <w:r>
        <w:rPr>
          <w:rFonts w:hint="eastAsia" w:ascii="仿宋_GB2312" w:hAnsi="仿宋_GB2312" w:eastAsia="仿宋_GB2312" w:cs="仿宋_GB2312"/>
          <w:i w:val="0"/>
          <w:iCs w:val="0"/>
          <w:color w:val="auto"/>
          <w:sz w:val="32"/>
          <w:szCs w:val="32"/>
          <w:highlight w:val="none"/>
          <w:u w:val="none"/>
        </w:rPr>
        <w:t>对未实现密闭运输或者未配备卫星定位装置的车辆，县级以上人民政府相关主管部门不</w:t>
      </w:r>
      <w:r>
        <w:rPr>
          <w:rFonts w:hint="eastAsia" w:ascii="仿宋_GB2312" w:hAnsi="仿宋_GB2312" w:eastAsia="仿宋_GB2312" w:cs="仿宋_GB2312"/>
          <w:sz w:val="32"/>
          <w:szCs w:val="32"/>
          <w:highlight w:val="none"/>
          <w:lang w:eastAsia="zh-CN"/>
        </w:rPr>
        <w:t>予</w:t>
      </w:r>
      <w:r>
        <w:rPr>
          <w:rFonts w:hint="eastAsia" w:ascii="仿宋_GB2312" w:hAnsi="仿宋_GB2312" w:eastAsia="仿宋_GB2312" w:cs="仿宋_GB2312"/>
          <w:i w:val="0"/>
          <w:iCs w:val="0"/>
          <w:color w:val="auto"/>
          <w:sz w:val="32"/>
          <w:szCs w:val="32"/>
          <w:highlight w:val="none"/>
          <w:u w:val="none"/>
        </w:rPr>
        <w:t>运输</w:t>
      </w:r>
      <w:r>
        <w:rPr>
          <w:rFonts w:hint="eastAsia" w:ascii="仿宋_GB2312" w:hAnsi="仿宋_GB2312" w:eastAsia="仿宋_GB2312" w:cs="仿宋_GB2312"/>
          <w:sz w:val="32"/>
          <w:szCs w:val="32"/>
          <w:highlight w:val="none"/>
          <w:lang w:eastAsia="zh-CN"/>
        </w:rPr>
        <w:t>及</w:t>
      </w:r>
      <w:r>
        <w:rPr>
          <w:rFonts w:hint="eastAsia" w:ascii="仿宋_GB2312" w:hAnsi="仿宋_GB2312" w:eastAsia="仿宋_GB2312" w:cs="仿宋_GB2312"/>
          <w:i w:val="0"/>
          <w:iCs w:val="0"/>
          <w:color w:val="auto"/>
          <w:sz w:val="32"/>
          <w:szCs w:val="32"/>
          <w:highlight w:val="none"/>
          <w:u w:val="none"/>
        </w:rPr>
        <w:t>处置核准。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第五十八条  </w:t>
      </w:r>
      <w:r>
        <w:rPr>
          <w:rFonts w:hint="eastAsia" w:ascii="仿宋_GB2312" w:hAnsi="仿宋_GB2312" w:eastAsia="仿宋_GB2312" w:cs="仿宋_GB2312"/>
          <w:sz w:val="32"/>
          <w:szCs w:val="32"/>
          <w:highlight w:val="none"/>
        </w:rPr>
        <w:t>禁止生产、销售、使用含石棉物质</w:t>
      </w:r>
      <w:r>
        <w:rPr>
          <w:rFonts w:hint="eastAsia" w:ascii="仿宋_GB2312" w:hAnsi="仿宋_GB2312" w:eastAsia="仿宋_GB2312" w:cs="仿宋_GB2312"/>
          <w:i w:val="0"/>
          <w:iCs w:val="0"/>
          <w:sz w:val="32"/>
          <w:szCs w:val="32"/>
          <w:highlight w:val="none"/>
          <w:u w:val="none"/>
          <w:lang w:eastAsia="zh-CN"/>
        </w:rPr>
        <w:t>的</w:t>
      </w:r>
      <w:r>
        <w:rPr>
          <w:rFonts w:hint="eastAsia" w:ascii="仿宋_GB2312" w:hAnsi="仿宋_GB2312" w:eastAsia="仿宋_GB2312" w:cs="仿宋_GB2312"/>
          <w:sz w:val="32"/>
          <w:szCs w:val="32"/>
          <w:highlight w:val="none"/>
        </w:rPr>
        <w:t>建筑材料。</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对</w:t>
      </w:r>
      <w:r>
        <w:rPr>
          <w:rFonts w:hint="eastAsia" w:ascii="仿宋_GB2312" w:hAnsi="仿宋_GB2312" w:eastAsia="仿宋_GB2312" w:cs="仿宋_GB2312"/>
          <w:sz w:val="32"/>
          <w:szCs w:val="32"/>
          <w:highlight w:val="none"/>
          <w:lang w:eastAsia="zh-CN"/>
        </w:rPr>
        <w:t>已</w:t>
      </w:r>
      <w:r>
        <w:rPr>
          <w:rFonts w:hint="eastAsia" w:ascii="仿宋_GB2312" w:hAnsi="仿宋_GB2312" w:eastAsia="仿宋_GB2312" w:cs="仿宋_GB2312"/>
          <w:sz w:val="32"/>
          <w:szCs w:val="32"/>
          <w:highlight w:val="none"/>
        </w:rPr>
        <w:t>使用石棉及含石棉物质的建筑物进行保养、翻新、拆卸</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，应当按照国家</w:t>
      </w:r>
      <w:r>
        <w:rPr>
          <w:rFonts w:hint="eastAsia" w:ascii="仿宋_GB2312" w:hAnsi="仿宋_GB2312" w:eastAsia="仿宋_GB2312" w:cs="仿宋_GB2312"/>
          <w:i w:val="0"/>
          <w:iCs w:val="0"/>
          <w:sz w:val="32"/>
          <w:szCs w:val="32"/>
          <w:highlight w:val="none"/>
          <w:u w:val="none"/>
          <w:lang w:eastAsia="zh-CN"/>
        </w:rPr>
        <w:t>和</w:t>
      </w:r>
      <w:r>
        <w:rPr>
          <w:rFonts w:hint="eastAsia" w:ascii="仿宋_GB2312" w:hAnsi="仿宋_GB2312" w:eastAsia="仿宋_GB2312" w:cs="仿宋_GB2312"/>
          <w:sz w:val="32"/>
          <w:szCs w:val="32"/>
          <w:highlight w:val="none"/>
        </w:rPr>
        <w:t>省的</w:t>
      </w:r>
      <w:r>
        <w:rPr>
          <w:rFonts w:hint="eastAsia" w:ascii="仿宋_GB2312" w:hAnsi="仿宋_GB2312" w:eastAsia="仿宋_GB2312" w:cs="仿宋_GB2312"/>
          <w:i w:val="0"/>
          <w:iCs w:val="0"/>
          <w:sz w:val="32"/>
          <w:szCs w:val="32"/>
          <w:highlight w:val="none"/>
          <w:u w:val="none"/>
          <w:lang w:eastAsia="zh-CN"/>
        </w:rPr>
        <w:t>有关规定</w:t>
      </w:r>
      <w:r>
        <w:rPr>
          <w:rFonts w:hint="eastAsia" w:ascii="仿宋_GB2312" w:hAnsi="仿宋_GB2312" w:eastAsia="仿宋_GB2312" w:cs="仿宋_GB2312"/>
          <w:sz w:val="32"/>
          <w:szCs w:val="32"/>
          <w:highlight w:val="none"/>
        </w:rPr>
        <w:t>，在建筑物拆除或者整修前拆除石棉及含石棉物质。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第五十九条  </w:t>
      </w:r>
      <w:r>
        <w:rPr>
          <w:rFonts w:hint="eastAsia" w:ascii="仿宋_GB2312" w:hAnsi="仿宋_GB2312" w:eastAsia="仿宋_GB2312" w:cs="仿宋_GB2312"/>
          <w:sz w:val="32"/>
          <w:szCs w:val="32"/>
          <w:highlight w:val="none"/>
        </w:rPr>
        <w:t>干散货码头应当采取干雾抑尘、喷淋除尘、防风抑尘</w:t>
      </w:r>
      <w:r>
        <w:rPr>
          <w:rFonts w:hint="eastAsia" w:ascii="仿宋_GB2312" w:hAnsi="仿宋_GB2312" w:eastAsia="仿宋_GB2312" w:cs="仿宋_GB2312"/>
          <w:sz w:val="32"/>
          <w:szCs w:val="32"/>
          <w:highlight w:val="none"/>
          <w:lang w:eastAsia="zh-CN"/>
        </w:rPr>
        <w:t>网</w:t>
      </w:r>
      <w:r>
        <w:rPr>
          <w:rFonts w:hint="eastAsia" w:ascii="仿宋_GB2312" w:hAnsi="仿宋_GB2312" w:eastAsia="仿宋_GB2312" w:cs="仿宋_GB2312"/>
          <w:sz w:val="32"/>
          <w:szCs w:val="32"/>
          <w:highlight w:val="none"/>
        </w:rPr>
        <w:t>或者密闭运输系统等措施降低扬尘污染。</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highlight w:val="none"/>
        </w:rPr>
      </w:pPr>
    </w:p>
    <w:p>
      <w:pPr>
        <w:widowControl w:val="0"/>
        <w:wordWrap/>
        <w:adjustRightInd/>
        <w:snapToGrid w:val="0"/>
        <w:spacing w:beforeAutospacing="0" w:afterAutospacing="0" w:line="560" w:lineRule="exact"/>
        <w:ind w:left="0" w:leftChars="0" w:right="0" w:firstLine="640" w:firstLineChars="200"/>
        <w:jc w:val="center"/>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第二节  餐饮污染及其他污染防治</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b/>
          <w:bCs/>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val="en-US" w:eastAsia="zh-CN"/>
        </w:rPr>
        <w:t xml:space="preserve">第六十条  </w:t>
      </w:r>
      <w:r>
        <w:rPr>
          <w:rFonts w:hint="eastAsia" w:ascii="仿宋_GB2312" w:hAnsi="仿宋_GB2312" w:eastAsia="仿宋_GB2312" w:cs="仿宋_GB2312"/>
          <w:sz w:val="32"/>
          <w:szCs w:val="32"/>
          <w:highlight w:val="none"/>
        </w:rPr>
        <w:t>排放油烟的餐饮</w:t>
      </w:r>
      <w:r>
        <w:rPr>
          <w:rFonts w:hint="eastAsia" w:ascii="仿宋_GB2312" w:hAnsi="仿宋_GB2312" w:eastAsia="仿宋_GB2312" w:cs="仿宋_GB2312"/>
          <w:i w:val="0"/>
          <w:iCs w:val="0"/>
          <w:sz w:val="32"/>
          <w:szCs w:val="32"/>
          <w:highlight w:val="none"/>
          <w:u w:val="none" w:color="auto"/>
        </w:rPr>
        <w:t>场所</w:t>
      </w:r>
      <w:r>
        <w:rPr>
          <w:rFonts w:hint="eastAsia" w:ascii="仿宋_GB2312" w:hAnsi="仿宋_GB2312" w:eastAsia="仿宋_GB2312" w:cs="仿宋_GB2312"/>
          <w:sz w:val="32"/>
          <w:szCs w:val="32"/>
          <w:highlight w:val="none"/>
        </w:rPr>
        <w:t>应当安装油烟净化设施并保持正常使用，或者采取其他油烟净化措施，</w:t>
      </w:r>
      <w:r>
        <w:rPr>
          <w:rFonts w:hint="eastAsia" w:ascii="仿宋_GB2312" w:hAnsi="仿宋_GB2312" w:eastAsia="仿宋_GB2312" w:cs="仿宋_GB2312"/>
          <w:sz w:val="32"/>
          <w:szCs w:val="32"/>
          <w:highlight w:val="none"/>
          <w:lang w:eastAsia="zh-CN"/>
        </w:rPr>
        <w:t>使油烟达标</w:t>
      </w:r>
      <w:r>
        <w:rPr>
          <w:rFonts w:hint="eastAsia" w:ascii="仿宋_GB2312" w:hAnsi="仿宋_GB2312" w:eastAsia="仿宋_GB2312" w:cs="仿宋_GB2312"/>
          <w:sz w:val="32"/>
          <w:szCs w:val="32"/>
          <w:highlight w:val="none"/>
        </w:rPr>
        <w:t>排放；产生异味的餐饮场所还应当安装异味处理设施；大中型餐饮场所</w:t>
      </w:r>
      <w:r>
        <w:rPr>
          <w:rFonts w:hint="eastAsia" w:ascii="仿宋_GB2312" w:hAnsi="仿宋_GB2312" w:eastAsia="仿宋_GB2312" w:cs="仿宋_GB2312"/>
          <w:i w:val="0"/>
          <w:iCs w:val="0"/>
          <w:sz w:val="32"/>
          <w:szCs w:val="32"/>
          <w:highlight w:val="none"/>
          <w:u w:val="none" w:color="auto"/>
        </w:rPr>
        <w:t>还</w:t>
      </w:r>
      <w:r>
        <w:rPr>
          <w:rFonts w:hint="eastAsia" w:ascii="仿宋_GB2312" w:hAnsi="仿宋_GB2312" w:eastAsia="仿宋_GB2312" w:cs="仿宋_GB2312"/>
          <w:sz w:val="32"/>
          <w:szCs w:val="32"/>
          <w:highlight w:val="none"/>
        </w:rPr>
        <w:t>应当安装在线监控监测设备。</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楷体_GB2312" w:hAnsi="楷体_GB2312" w:eastAsia="楷体_GB2312" w:cs="楷体_GB2312"/>
          <w:sz w:val="32"/>
          <w:szCs w:val="32"/>
          <w:highlight w:val="none"/>
          <w:lang w:eastAsia="zh-CN"/>
        </w:rPr>
      </w:pPr>
      <w:r>
        <w:rPr>
          <w:rFonts w:hint="eastAsia" w:ascii="仿宋_GB2312" w:hAnsi="仿宋_GB2312" w:eastAsia="仿宋_GB2312" w:cs="仿宋_GB2312"/>
          <w:sz w:val="32"/>
          <w:szCs w:val="32"/>
          <w:highlight w:val="none"/>
        </w:rPr>
        <w:t>排放油烟的餐饮服务经营者至少每季度对油烟净化和异味处理</w:t>
      </w:r>
      <w:r>
        <w:rPr>
          <w:rFonts w:hint="eastAsia" w:ascii="仿宋_GB2312" w:hAnsi="仿宋_GB2312" w:eastAsia="仿宋_GB2312" w:cs="仿宋_GB2312"/>
          <w:sz w:val="32"/>
          <w:szCs w:val="32"/>
          <w:highlight w:val="none"/>
          <w:lang w:eastAsia="zh-CN"/>
        </w:rPr>
        <w:t>设施</w:t>
      </w:r>
      <w:r>
        <w:rPr>
          <w:rFonts w:hint="eastAsia" w:ascii="仿宋_GB2312" w:hAnsi="仿宋_GB2312" w:eastAsia="仿宋_GB2312" w:cs="仿宋_GB2312"/>
          <w:sz w:val="32"/>
          <w:szCs w:val="32"/>
          <w:highlight w:val="none"/>
        </w:rPr>
        <w:t>进行</w:t>
      </w:r>
      <w:r>
        <w:rPr>
          <w:rFonts w:hint="eastAsia" w:ascii="仿宋_GB2312" w:hAnsi="仿宋_GB2312" w:eastAsia="仿宋_GB2312" w:cs="仿宋_GB2312"/>
          <w:sz w:val="32"/>
          <w:szCs w:val="32"/>
          <w:highlight w:val="none"/>
          <w:lang w:eastAsia="zh-CN"/>
        </w:rPr>
        <w:t>一次</w:t>
      </w:r>
      <w:r>
        <w:rPr>
          <w:rFonts w:hint="eastAsia" w:ascii="仿宋_GB2312" w:hAnsi="仿宋_GB2312" w:eastAsia="仿宋_GB2312" w:cs="仿宋_GB2312"/>
          <w:sz w:val="32"/>
          <w:szCs w:val="32"/>
          <w:highlight w:val="none"/>
        </w:rPr>
        <w:t>清洗维护并记录。记录材料保存期限不少于一年。</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第</w:t>
      </w:r>
      <w:r>
        <w:rPr>
          <w:rFonts w:hint="eastAsia" w:ascii="黑体" w:hAnsi="黑体" w:eastAsia="黑体" w:cs="黑体"/>
          <w:sz w:val="32"/>
          <w:szCs w:val="32"/>
          <w:highlight w:val="none"/>
          <w:lang w:val="en-US" w:eastAsia="zh-CN"/>
        </w:rPr>
        <w:t>六十一</w:t>
      </w:r>
      <w:r>
        <w:rPr>
          <w:rFonts w:hint="eastAsia" w:ascii="黑体" w:hAnsi="黑体" w:eastAsia="黑体" w:cs="黑体"/>
          <w:color w:val="000000"/>
          <w:kern w:val="2"/>
          <w:sz w:val="32"/>
          <w:szCs w:val="32"/>
          <w:highlight w:val="none"/>
          <w:lang w:val="en-US" w:eastAsia="zh-CN"/>
        </w:rPr>
        <w:t xml:space="preserve">条  </w:t>
      </w:r>
      <w:r>
        <w:rPr>
          <w:rFonts w:hint="eastAsia" w:ascii="仿宋_GB2312" w:hAnsi="仿宋_GB2312" w:eastAsia="仿宋_GB2312" w:cs="仿宋_GB2312"/>
          <w:sz w:val="32"/>
          <w:szCs w:val="32"/>
          <w:highlight w:val="none"/>
        </w:rPr>
        <w:t>新建商住综合楼</w:t>
      </w:r>
      <w:r>
        <w:rPr>
          <w:rFonts w:hint="eastAsia" w:ascii="仿宋_GB2312" w:hAnsi="仿宋_GB2312" w:eastAsia="仿宋_GB2312" w:cs="仿宋_GB2312"/>
          <w:sz w:val="32"/>
          <w:szCs w:val="32"/>
          <w:highlight w:val="none"/>
          <w:lang w:eastAsia="zh-CN"/>
        </w:rPr>
        <w:t>、居民住宅楼以及</w:t>
      </w:r>
      <w:r>
        <w:rPr>
          <w:rFonts w:hint="eastAsia" w:ascii="仿宋_GB2312" w:hAnsi="仿宋_GB2312" w:eastAsia="仿宋_GB2312" w:cs="仿宋_GB2312"/>
          <w:sz w:val="32"/>
          <w:szCs w:val="32"/>
          <w:highlight w:val="none"/>
        </w:rPr>
        <w:t>用于餐饮服务的建筑物应当配套设立专用烟道，通过专用烟道排放油烟。</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已建居民住宅楼未配套设立专用烟道的，鼓励居民家庭安装油烟净化</w:t>
      </w:r>
      <w:r>
        <w:rPr>
          <w:rFonts w:hint="eastAsia" w:ascii="仿宋_GB2312" w:hAnsi="仿宋_GB2312" w:eastAsia="仿宋_GB2312" w:cs="仿宋_GB2312"/>
          <w:sz w:val="32"/>
          <w:szCs w:val="32"/>
          <w:highlight w:val="none"/>
          <w:lang w:eastAsia="zh-CN"/>
        </w:rPr>
        <w:t>设施</w:t>
      </w:r>
      <w:r>
        <w:rPr>
          <w:rFonts w:hint="eastAsia" w:ascii="仿宋_GB2312" w:hAnsi="仿宋_GB2312" w:eastAsia="仿宋_GB2312" w:cs="仿宋_GB2312"/>
          <w:sz w:val="32"/>
          <w:szCs w:val="32"/>
          <w:highlight w:val="none"/>
        </w:rPr>
        <w:t>或者采取其他油烟净化措施，减少油烟排放。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已</w:t>
      </w:r>
      <w:r>
        <w:rPr>
          <w:rFonts w:hint="eastAsia" w:ascii="仿宋_GB2312" w:hAnsi="仿宋_GB2312" w:eastAsia="仿宋_GB2312" w:cs="仿宋_GB2312"/>
          <w:i w:val="0"/>
          <w:iCs w:val="0"/>
          <w:sz w:val="32"/>
          <w:szCs w:val="32"/>
          <w:highlight w:val="none"/>
          <w:u w:val="none" w:color="auto"/>
          <w:lang w:eastAsia="zh-CN"/>
        </w:rPr>
        <w:t>设立</w:t>
      </w:r>
      <w:r>
        <w:rPr>
          <w:rFonts w:hint="eastAsia" w:ascii="仿宋_GB2312" w:hAnsi="仿宋_GB2312" w:eastAsia="仿宋_GB2312" w:cs="仿宋_GB2312"/>
          <w:sz w:val="32"/>
          <w:szCs w:val="32"/>
          <w:highlight w:val="none"/>
        </w:rPr>
        <w:t>餐饮场所的商住综合楼和用于餐饮服务的建筑物未配套设立专用烟道的，应当加装专用烟道；无法加装专用烟道</w:t>
      </w:r>
      <w:r>
        <w:rPr>
          <w:rFonts w:hint="eastAsia" w:ascii="仿宋_GB2312" w:hAnsi="仿宋_GB2312" w:eastAsia="仿宋_GB2312" w:cs="仿宋_GB2312"/>
          <w:sz w:val="32"/>
          <w:szCs w:val="32"/>
          <w:highlight w:val="none"/>
          <w:lang w:eastAsia="zh-CN"/>
        </w:rPr>
        <w:t>或者采取其他油烟净化措施，使油烟达标排放</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县级以上人民政府确定的监督管理部门应当责令</w:t>
      </w:r>
      <w:r>
        <w:rPr>
          <w:rFonts w:hint="eastAsia" w:ascii="仿宋_GB2312" w:hAnsi="仿宋_GB2312" w:eastAsia="仿宋_GB2312" w:cs="仿宋_GB2312"/>
          <w:sz w:val="32"/>
          <w:szCs w:val="32"/>
          <w:highlight w:val="none"/>
        </w:rPr>
        <w:t>餐饮服务场所限期搬迁。地级以上市人民政府</w:t>
      </w:r>
      <w:r>
        <w:rPr>
          <w:rFonts w:hint="eastAsia" w:ascii="仿宋_GB2312" w:hAnsi="仿宋_GB2312" w:eastAsia="仿宋_GB2312" w:cs="仿宋_GB2312"/>
          <w:i w:val="0"/>
          <w:iCs w:val="0"/>
          <w:sz w:val="32"/>
          <w:szCs w:val="32"/>
          <w:highlight w:val="none"/>
          <w:u w:val="none"/>
          <w:lang w:eastAsia="zh-CN"/>
        </w:rPr>
        <w:t>住房城乡</w:t>
      </w:r>
      <w:r>
        <w:rPr>
          <w:rFonts w:hint="eastAsia" w:ascii="仿宋_GB2312" w:hAnsi="仿宋_GB2312" w:eastAsia="仿宋_GB2312" w:cs="仿宋_GB2312"/>
          <w:sz w:val="32"/>
          <w:szCs w:val="32"/>
          <w:highlight w:val="none"/>
        </w:rPr>
        <w:t>建设</w:t>
      </w:r>
      <w:r>
        <w:rPr>
          <w:rFonts w:hint="eastAsia" w:ascii="仿宋_GB2312" w:hAnsi="仿宋_GB2312" w:eastAsia="仿宋_GB2312" w:cs="仿宋_GB2312"/>
          <w:sz w:val="32"/>
          <w:szCs w:val="32"/>
          <w:highlight w:val="none"/>
          <w:lang w:eastAsia="zh-CN"/>
        </w:rPr>
        <w:t>主管</w:t>
      </w:r>
      <w:r>
        <w:rPr>
          <w:rFonts w:hint="eastAsia" w:ascii="仿宋_GB2312" w:hAnsi="仿宋_GB2312" w:eastAsia="仿宋_GB2312" w:cs="仿宋_GB2312"/>
          <w:sz w:val="32"/>
          <w:szCs w:val="32"/>
          <w:highlight w:val="none"/>
        </w:rPr>
        <w:t>部门应当制定加装专用烟道的具体标准、程序。</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专用烟道油烟排放口设置高度及与周围居民住宅楼等建筑物距离控制应当符合要求。</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严禁封堵、改变专用烟道和向城市地下排水管道排放油烟。</w:t>
      </w:r>
    </w:p>
    <w:p>
      <w:pPr>
        <w:widowControl w:val="0"/>
        <w:shd w:val="clear" w:color="auto" w:fill="FFFFFF"/>
        <w:wordWrap/>
        <w:adjustRightInd/>
        <w:spacing w:afterAutospacing="0" w:line="560" w:lineRule="exact"/>
        <w:ind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第六十二条  </w:t>
      </w:r>
      <w:r>
        <w:rPr>
          <w:rFonts w:hint="eastAsia" w:ascii="仿宋_GB2312" w:hAnsi="仿宋_GB2312" w:eastAsia="仿宋_GB2312" w:cs="仿宋_GB2312"/>
          <w:color w:val="000000"/>
          <w:kern w:val="2"/>
          <w:sz w:val="32"/>
          <w:szCs w:val="32"/>
          <w:highlight w:val="none"/>
          <w:lang w:val="en-US" w:eastAsia="zh-CN"/>
        </w:rPr>
        <w:t>从事畜禽养殖、屠宰生产经营活动的单位和个人，应当及时对</w:t>
      </w:r>
      <w:r>
        <w:rPr>
          <w:rFonts w:hint="eastAsia" w:ascii="仿宋_GB2312" w:hAnsi="仿宋_GB2312" w:eastAsia="仿宋_GB2312" w:cs="仿宋_GB2312"/>
          <w:sz w:val="32"/>
          <w:szCs w:val="32"/>
          <w:highlight w:val="none"/>
        </w:rPr>
        <w:t>畜禽养殖场、养殖小区、屠宰场</w:t>
      </w:r>
      <w:r>
        <w:rPr>
          <w:rFonts w:hint="eastAsia" w:ascii="仿宋_GB2312" w:hAnsi="仿宋_GB2312" w:eastAsia="仿宋_GB2312" w:cs="仿宋_GB2312"/>
          <w:i w:val="0"/>
          <w:iCs w:val="0"/>
          <w:sz w:val="32"/>
          <w:szCs w:val="32"/>
          <w:highlight w:val="none"/>
          <w:u w:val="none" w:color="auto"/>
          <w:lang w:eastAsia="zh-CN"/>
        </w:rPr>
        <w:t>产生的</w:t>
      </w:r>
      <w:r>
        <w:rPr>
          <w:rFonts w:hint="eastAsia" w:ascii="仿宋_GB2312" w:hAnsi="仿宋_GB2312" w:eastAsia="仿宋_GB2312" w:cs="仿宋_GB2312"/>
          <w:i w:val="0"/>
          <w:iCs w:val="0"/>
          <w:sz w:val="32"/>
          <w:szCs w:val="32"/>
          <w:highlight w:val="none"/>
          <w:u w:val="none" w:color="auto"/>
        </w:rPr>
        <w:t>污水、畜禽粪便等</w:t>
      </w:r>
      <w:r>
        <w:rPr>
          <w:rFonts w:hint="eastAsia" w:ascii="仿宋_GB2312" w:hAnsi="仿宋_GB2312" w:eastAsia="仿宋_GB2312" w:cs="仿宋_GB2312"/>
          <w:sz w:val="32"/>
          <w:szCs w:val="32"/>
          <w:highlight w:val="none"/>
        </w:rPr>
        <w:t>进行收集、贮存、清运和无害化处理，防止</w:t>
      </w:r>
      <w:r>
        <w:rPr>
          <w:rFonts w:hint="eastAsia" w:ascii="仿宋_GB2312" w:hAnsi="仿宋_GB2312" w:eastAsia="仿宋_GB2312" w:cs="仿宋_GB2312"/>
          <w:i w:val="0"/>
          <w:iCs w:val="0"/>
          <w:sz w:val="32"/>
          <w:szCs w:val="32"/>
          <w:highlight w:val="none"/>
          <w:u w:val="none" w:color="auto"/>
        </w:rPr>
        <w:t>排放</w:t>
      </w:r>
      <w:r>
        <w:rPr>
          <w:rFonts w:hint="eastAsia" w:ascii="仿宋_GB2312" w:hAnsi="仿宋_GB2312" w:eastAsia="仿宋_GB2312" w:cs="仿宋_GB2312"/>
          <w:sz w:val="32"/>
          <w:szCs w:val="32"/>
          <w:highlight w:val="none"/>
        </w:rPr>
        <w:t>恶臭</w:t>
      </w:r>
      <w:r>
        <w:rPr>
          <w:rFonts w:hint="eastAsia" w:ascii="仿宋_GB2312" w:hAnsi="仿宋_GB2312" w:eastAsia="仿宋_GB2312" w:cs="仿宋_GB2312"/>
          <w:i w:val="0"/>
          <w:iCs w:val="0"/>
          <w:sz w:val="32"/>
          <w:szCs w:val="32"/>
          <w:highlight w:val="none"/>
          <w:u w:val="none" w:color="auto"/>
        </w:rPr>
        <w:t>气体</w:t>
      </w:r>
      <w:r>
        <w:rPr>
          <w:rFonts w:hint="eastAsia" w:ascii="仿宋_GB2312" w:hAnsi="仿宋_GB2312" w:eastAsia="仿宋_GB2312" w:cs="仿宋_GB2312"/>
          <w:sz w:val="32"/>
          <w:szCs w:val="32"/>
          <w:highlight w:val="none"/>
        </w:rPr>
        <w:t>。</w:t>
      </w:r>
    </w:p>
    <w:p>
      <w:pPr>
        <w:widowControl w:val="0"/>
        <w:shd w:val="clear" w:color="auto" w:fill="FFFFFF"/>
        <w:wordWrap/>
        <w:adjustRightInd/>
        <w:spacing w:afterAutospacing="0" w:line="560" w:lineRule="exact"/>
        <w:ind w:left="0" w:firstLine="739" w:firstLineChars="231"/>
        <w:jc w:val="left"/>
        <w:textAlignment w:val="auto"/>
        <w:outlineLvl w:val="9"/>
        <w:rPr>
          <w:rFonts w:hint="eastAsia" w:ascii="仿宋_GB2312" w:hAnsi="仿宋_GB2312" w:eastAsia="仿宋_GB2312" w:cs="仿宋_GB2312"/>
          <w:kern w:val="2"/>
          <w:sz w:val="32"/>
          <w:szCs w:val="32"/>
          <w:highlight w:val="none"/>
          <w:lang w:val="en-US" w:eastAsia="zh-CN" w:bidi="ar-SA"/>
        </w:rPr>
      </w:pPr>
      <w:r>
        <w:rPr>
          <w:rFonts w:hint="eastAsia" w:ascii="黑体" w:hAnsi="黑体" w:eastAsia="黑体" w:cs="黑体"/>
          <w:color w:val="000000"/>
          <w:kern w:val="2"/>
          <w:sz w:val="32"/>
          <w:szCs w:val="32"/>
          <w:highlight w:val="none"/>
          <w:lang w:val="en-US" w:eastAsia="zh-CN"/>
        </w:rPr>
        <w:t xml:space="preserve">第六十三条  </w:t>
      </w:r>
      <w:r>
        <w:rPr>
          <w:rFonts w:hint="eastAsia" w:ascii="仿宋_GB2312" w:hAnsi="仿宋_GB2312" w:eastAsia="仿宋_GB2312" w:cs="仿宋_GB2312"/>
          <w:kern w:val="2"/>
          <w:sz w:val="32"/>
          <w:szCs w:val="32"/>
          <w:highlight w:val="none"/>
          <w:lang w:val="en-US" w:eastAsia="zh-CN" w:bidi="ar-SA"/>
        </w:rPr>
        <w:t>地级以上市应当制定餐饮服务业的油烟、露天焚烧生物质、垃圾等产生烟尘和有毒有害气体的污染防治管理办法。</w:t>
      </w:r>
    </w:p>
    <w:p>
      <w:pPr>
        <w:widowControl w:val="0"/>
        <w:shd w:val="clear" w:color="auto" w:fill="FFFFFF"/>
        <w:wordWrap/>
        <w:adjustRightInd/>
        <w:spacing w:afterAutospacing="0" w:line="560" w:lineRule="exact"/>
        <w:ind w:left="0" w:firstLine="739" w:firstLineChars="231"/>
        <w:jc w:val="left"/>
        <w:textAlignment w:val="auto"/>
        <w:outlineLvl w:val="9"/>
        <w:rPr>
          <w:rFonts w:hint="eastAsia" w:ascii="仿宋_GB2312" w:hAnsi="仿宋_GB2312" w:eastAsia="仿宋_GB2312" w:cs="仿宋_GB2312"/>
          <w:kern w:val="2"/>
          <w:sz w:val="32"/>
          <w:szCs w:val="32"/>
          <w:highlight w:val="none"/>
          <w:lang w:val="en-US" w:eastAsia="zh-CN" w:bidi="ar-SA"/>
        </w:rPr>
      </w:pPr>
    </w:p>
    <w:p>
      <w:pPr>
        <w:widowControl w:val="0"/>
        <w:shd w:val="clear" w:color="auto" w:fill="FFFFFF"/>
        <w:wordWrap/>
        <w:adjustRightInd/>
        <w:spacing w:afterAutospacing="0" w:line="560" w:lineRule="exact"/>
        <w:ind w:left="0" w:firstLine="739" w:firstLineChars="231"/>
        <w:jc w:val="left"/>
        <w:textAlignment w:val="auto"/>
        <w:outlineLvl w:val="9"/>
        <w:rPr>
          <w:rFonts w:hint="eastAsia" w:ascii="黑体" w:hAnsi="黑体" w:eastAsia="黑体" w:cs="黑体"/>
          <w:color w:val="000000"/>
          <w:kern w:val="2"/>
          <w:sz w:val="32"/>
          <w:szCs w:val="32"/>
          <w:highlight w:val="none"/>
          <w:lang w:val="en-US" w:eastAsia="zh-CN"/>
        </w:rPr>
      </w:pPr>
      <w:r>
        <w:rPr>
          <w:rFonts w:hint="eastAsia" w:ascii="黑体" w:hAnsi="黑体" w:eastAsia="黑体" w:cs="黑体"/>
          <w:color w:val="000000"/>
          <w:kern w:val="2"/>
          <w:sz w:val="32"/>
          <w:szCs w:val="32"/>
          <w:highlight w:val="none"/>
          <w:lang w:val="en-US" w:eastAsia="zh-CN"/>
        </w:rPr>
        <w:t>第七章  重污染天气应对和重点区域大气污染联合防治</w:t>
      </w:r>
    </w:p>
    <w:p>
      <w:pPr>
        <w:widowControl w:val="0"/>
        <w:numPr>
          <w:ilvl w:val="0"/>
          <w:numId w:val="0"/>
        </w:numPr>
        <w:wordWrap/>
        <w:adjustRightInd/>
        <w:snapToGrid w:val="0"/>
        <w:spacing w:beforeAutospacing="0" w:afterAutospacing="0" w:line="560" w:lineRule="exact"/>
        <w:ind w:right="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color w:val="000000"/>
          <w:kern w:val="2"/>
          <w:sz w:val="32"/>
          <w:szCs w:val="32"/>
          <w:highlight w:val="none"/>
          <w:lang w:val="en-US" w:eastAsia="zh-CN"/>
        </w:rPr>
        <w:t xml:space="preserve">第六十四条  </w:t>
      </w:r>
      <w:r>
        <w:rPr>
          <w:rFonts w:hint="eastAsia" w:ascii="仿宋_GB2312" w:hAnsi="仿宋_GB2312" w:eastAsia="仿宋_GB2312" w:cs="仿宋_GB2312"/>
          <w:sz w:val="32"/>
          <w:szCs w:val="32"/>
          <w:highlight w:val="none"/>
          <w:lang w:eastAsia="zh-CN"/>
        </w:rPr>
        <w:t>省和</w:t>
      </w:r>
      <w:r>
        <w:rPr>
          <w:rFonts w:hint="eastAsia" w:ascii="仿宋_GB2312" w:hAnsi="仿宋_GB2312" w:eastAsia="仿宋_GB2312" w:cs="仿宋_GB2312"/>
          <w:sz w:val="32"/>
          <w:szCs w:val="32"/>
          <w:highlight w:val="none"/>
          <w:lang w:val="en-US" w:eastAsia="zh-CN"/>
        </w:rPr>
        <w:t>地级以上市</w:t>
      </w:r>
      <w:r>
        <w:rPr>
          <w:rFonts w:hint="eastAsia" w:ascii="仿宋_GB2312" w:hAnsi="仿宋_GB2312" w:eastAsia="仿宋_GB2312" w:cs="仿宋_GB2312"/>
          <w:sz w:val="32"/>
          <w:szCs w:val="32"/>
          <w:highlight w:val="none"/>
        </w:rPr>
        <w:t>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sz w:val="32"/>
          <w:szCs w:val="32"/>
          <w:highlight w:val="none"/>
          <w:lang w:eastAsia="zh-CN"/>
        </w:rPr>
        <w:t>应当会同</w:t>
      </w:r>
      <w:r>
        <w:rPr>
          <w:rFonts w:hint="eastAsia" w:ascii="仿宋_GB2312" w:hAnsi="仿宋_GB2312" w:eastAsia="仿宋_GB2312" w:cs="仿宋_GB2312"/>
          <w:sz w:val="32"/>
          <w:szCs w:val="32"/>
          <w:highlight w:val="none"/>
        </w:rPr>
        <w:t>气象</w:t>
      </w:r>
      <w:r>
        <w:rPr>
          <w:rFonts w:hint="eastAsia" w:ascii="仿宋_GB2312" w:hAnsi="仿宋_GB2312" w:eastAsia="仿宋_GB2312" w:cs="仿宋_GB2312"/>
          <w:sz w:val="32"/>
          <w:szCs w:val="32"/>
          <w:highlight w:val="none"/>
          <w:lang w:eastAsia="zh-CN"/>
        </w:rPr>
        <w:t>等有关部门</w:t>
      </w:r>
      <w:r>
        <w:rPr>
          <w:rFonts w:hint="eastAsia" w:ascii="仿宋_GB2312" w:hAnsi="仿宋_GB2312" w:eastAsia="仿宋_GB2312" w:cs="仿宋_GB2312"/>
          <w:sz w:val="32"/>
          <w:szCs w:val="32"/>
          <w:highlight w:val="none"/>
        </w:rPr>
        <w:t>建立重污染天气</w:t>
      </w:r>
      <w:r>
        <w:rPr>
          <w:rFonts w:hint="eastAsia" w:ascii="仿宋_GB2312" w:hAnsi="仿宋_GB2312" w:eastAsia="仿宋_GB2312" w:cs="仿宋_GB2312"/>
          <w:sz w:val="32"/>
          <w:szCs w:val="32"/>
          <w:highlight w:val="none"/>
          <w:lang w:eastAsia="zh-CN"/>
        </w:rPr>
        <w:t>监测</w:t>
      </w:r>
      <w:r>
        <w:rPr>
          <w:rFonts w:hint="eastAsia" w:ascii="仿宋_GB2312" w:hAnsi="仿宋_GB2312" w:eastAsia="仿宋_GB2312" w:cs="仿宋_GB2312"/>
          <w:sz w:val="32"/>
          <w:szCs w:val="32"/>
          <w:highlight w:val="none"/>
        </w:rPr>
        <w:t>预警</w:t>
      </w:r>
      <w:r>
        <w:rPr>
          <w:rFonts w:hint="eastAsia" w:ascii="仿宋_GB2312" w:hAnsi="仿宋_GB2312" w:eastAsia="仿宋_GB2312" w:cs="仿宋_GB2312"/>
          <w:sz w:val="32"/>
          <w:szCs w:val="32"/>
          <w:highlight w:val="none"/>
          <w:lang w:val="en-US" w:eastAsia="zh-CN"/>
        </w:rPr>
        <w:t>机制</w:t>
      </w:r>
      <w:r>
        <w:rPr>
          <w:rFonts w:hint="eastAsia" w:ascii="仿宋_GB2312" w:hAnsi="仿宋_GB2312" w:eastAsia="仿宋_GB2312" w:cs="仿宋_GB2312"/>
          <w:sz w:val="32"/>
          <w:szCs w:val="32"/>
          <w:highlight w:val="none"/>
        </w:rPr>
        <w:t>，对大气环境质量和重污染天气进行</w:t>
      </w:r>
      <w:r>
        <w:rPr>
          <w:rFonts w:hint="eastAsia" w:ascii="仿宋_GB2312" w:hAnsi="仿宋_GB2312" w:eastAsia="仿宋_GB2312" w:cs="仿宋_GB2312"/>
          <w:sz w:val="32"/>
          <w:szCs w:val="32"/>
          <w:highlight w:val="none"/>
          <w:lang w:eastAsia="zh-CN"/>
        </w:rPr>
        <w:t>监测和</w:t>
      </w:r>
      <w:r>
        <w:rPr>
          <w:rFonts w:hint="eastAsia" w:ascii="仿宋_GB2312" w:hAnsi="仿宋_GB2312" w:eastAsia="仿宋_GB2312" w:cs="仿宋_GB2312"/>
          <w:sz w:val="32"/>
          <w:szCs w:val="32"/>
          <w:highlight w:val="none"/>
        </w:rPr>
        <w:t>预报。</w:t>
      </w:r>
    </w:p>
    <w:p>
      <w:pPr>
        <w:widowControl w:val="0"/>
        <w:numPr>
          <w:ilvl w:val="0"/>
          <w:numId w:val="0"/>
        </w:numPr>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省人民政府、地级以上市人民政府和可能发生重污染天气的县级人民政府应当制定重污染天气应急预案，建立排污单位管控清单，采取相应应急减排措施。重污染天气应急预案应当向上一级人民政府生态环境主管部门备案，并向社会公布。制定重污染天气应急预案应当充分听取社会各方面意见。</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color w:val="auto"/>
          <w:sz w:val="32"/>
          <w:szCs w:val="32"/>
          <w:highlight w:val="none"/>
          <w:u w:val="none" w:color="auto"/>
        </w:rPr>
      </w:pPr>
      <w:r>
        <w:rPr>
          <w:rFonts w:hint="eastAsia" w:ascii="黑体" w:hAnsi="黑体" w:eastAsia="黑体" w:cs="黑体"/>
          <w:color w:val="000000"/>
          <w:kern w:val="2"/>
          <w:sz w:val="32"/>
          <w:szCs w:val="32"/>
          <w:highlight w:val="none"/>
          <w:lang w:val="en-US" w:eastAsia="zh-CN"/>
        </w:rPr>
        <w:t xml:space="preserve">第六十五条  </w:t>
      </w:r>
      <w:r>
        <w:rPr>
          <w:rFonts w:hint="eastAsia" w:ascii="仿宋_GB2312" w:hAnsi="仿宋_GB2312" w:eastAsia="仿宋_GB2312" w:cs="仿宋_GB2312"/>
          <w:sz w:val="32"/>
          <w:szCs w:val="32"/>
          <w:highlight w:val="none"/>
        </w:rPr>
        <w:t>县级以上人民政府应当根据重污染天气预警等级，及时启动应急预案，根据应急需要</w:t>
      </w:r>
      <w:r>
        <w:rPr>
          <w:rFonts w:hint="eastAsia" w:ascii="仿宋_GB2312" w:hAnsi="仿宋_GB2312" w:eastAsia="仿宋_GB2312" w:cs="仿宋_GB2312"/>
          <w:sz w:val="32"/>
          <w:szCs w:val="32"/>
          <w:highlight w:val="none"/>
          <w:lang w:eastAsia="zh-CN"/>
        </w:rPr>
        <w:t>采取相应响应措施：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责令有关企业停产或者限产；</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限制部分机动车行驶</w:t>
      </w:r>
      <w:r>
        <w:rPr>
          <w:rFonts w:hint="eastAsia" w:ascii="仿宋_GB2312" w:hAnsi="仿宋_GB2312" w:eastAsia="仿宋_GB2312" w:cs="仿宋_GB2312"/>
          <w:sz w:val="32"/>
          <w:szCs w:val="32"/>
          <w:highlight w:val="none"/>
          <w:lang w:eastAsia="zh-CN"/>
        </w:rPr>
        <w:t>、限制非道路移动机械使用</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停止工地土石方作业和建筑物拆除施工</w:t>
      </w:r>
      <w:r>
        <w:rPr>
          <w:rFonts w:hint="eastAsia" w:ascii="仿宋_GB2312" w:hAnsi="仿宋_GB2312" w:eastAsia="仿宋_GB2312" w:cs="仿宋_GB2312"/>
          <w:sz w:val="32"/>
          <w:szCs w:val="32"/>
          <w:highlight w:val="none"/>
          <w:lang w:eastAsia="zh-CN"/>
        </w:rPr>
        <w:t>，以及</w:t>
      </w:r>
      <w:r>
        <w:rPr>
          <w:rFonts w:hint="eastAsia" w:ascii="仿宋_GB2312" w:hAnsi="仿宋_GB2312" w:eastAsia="仿宋_GB2312" w:cs="仿宋_GB2312"/>
          <w:sz w:val="32"/>
          <w:szCs w:val="32"/>
          <w:highlight w:val="none"/>
        </w:rPr>
        <w:t>停止或者限制其他产生扬尘的施工作业；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禁止燃放烟花爆竹</w:t>
      </w:r>
      <w:r>
        <w:rPr>
          <w:rFonts w:hint="eastAsia" w:ascii="仿宋_GB2312" w:hAnsi="仿宋_GB2312" w:eastAsia="仿宋_GB2312" w:cs="仿宋_GB2312"/>
          <w:sz w:val="32"/>
          <w:szCs w:val="32"/>
          <w:highlight w:val="none"/>
          <w:lang w:eastAsia="zh-CN"/>
        </w:rPr>
        <w:t>、禁止生物质、垃圾露天焚烧</w:t>
      </w:r>
      <w:r>
        <w:rPr>
          <w:rFonts w:hint="eastAsia" w:ascii="仿宋_GB2312" w:hAnsi="仿宋_GB2312" w:eastAsia="仿宋_GB2312" w:cs="仿宋_GB2312"/>
          <w:sz w:val="32"/>
          <w:szCs w:val="32"/>
          <w:highlight w:val="none"/>
        </w:rPr>
        <w:t>和露天烧烤；</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停止学校和幼儿园组织的户外活动或者教学活动；</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rPr>
        <w:t>增加洒水频次；</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组织开展人工影响天气作业；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（八）县</w:t>
      </w:r>
      <w:r>
        <w:rPr>
          <w:rFonts w:hint="eastAsia" w:ascii="仿宋_GB2312" w:hAnsi="仿宋_GB2312" w:eastAsia="仿宋_GB2312" w:cs="仿宋_GB2312"/>
          <w:sz w:val="32"/>
          <w:szCs w:val="32"/>
          <w:highlight w:val="none"/>
        </w:rPr>
        <w:t>级以上人民政府规定的其他应急响应措施。</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企业事业单位</w:t>
      </w:r>
      <w:r>
        <w:rPr>
          <w:rFonts w:hint="eastAsia" w:ascii="仿宋_GB2312" w:hAnsi="仿宋_GB2312" w:eastAsia="仿宋_GB2312" w:cs="仿宋_GB2312"/>
          <w:sz w:val="32"/>
          <w:szCs w:val="32"/>
          <w:highlight w:val="none"/>
          <w:lang w:eastAsia="zh-CN"/>
        </w:rPr>
        <w:t>和其他生产经营者</w:t>
      </w:r>
      <w:r>
        <w:rPr>
          <w:rFonts w:hint="eastAsia" w:ascii="仿宋_GB2312" w:hAnsi="仿宋_GB2312" w:eastAsia="仿宋_GB2312" w:cs="仿宋_GB2312"/>
          <w:sz w:val="32"/>
          <w:szCs w:val="32"/>
          <w:highlight w:val="none"/>
        </w:rPr>
        <w:t>、公民应当配合县级以上人民政府及其有关部门采取的重污染天气应急响应措施。</w:t>
      </w:r>
    </w:p>
    <w:p>
      <w:pPr>
        <w:widowControl w:val="0"/>
        <w:numPr>
          <w:ilvl w:val="0"/>
          <w:numId w:val="0"/>
        </w:numPr>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rPr>
        <w:t>第</w:t>
      </w:r>
      <w:r>
        <w:rPr>
          <w:rFonts w:hint="eastAsia" w:ascii="黑体" w:hAnsi="黑体" w:eastAsia="黑体" w:cs="黑体"/>
          <w:sz w:val="32"/>
          <w:szCs w:val="32"/>
          <w:highlight w:val="none"/>
          <w:lang w:eastAsia="zh-CN"/>
        </w:rPr>
        <w:t>六十六</w:t>
      </w:r>
      <w:r>
        <w:rPr>
          <w:rFonts w:hint="eastAsia" w:ascii="黑体" w:hAnsi="黑体" w:eastAsia="黑体" w:cs="黑体"/>
          <w:b w:val="0"/>
          <w:bCs w:val="0"/>
          <w:sz w:val="32"/>
          <w:szCs w:val="32"/>
          <w:highlight w:val="none"/>
        </w:rPr>
        <w:t>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rPr>
        <w:t>省人民政府应当与周边地区建立大气污染防治协调合作机制，定期协商区域内大气污染防治重大事项。</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第六十七条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省人民政府应当根据主体功能区划、区域大气环境质量状况和大气污染传输扩散规律，划定本省大气污染防治重点区域，</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建立区域大气污染防治联防联控监督协作机制，统筹协调区域内的大气污染防治工作。</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重点区域内地级以上市人民政府应当加强沟通协调，共享大气环境质量信息，协商解决跨界大气污染纠纷，</w:t>
      </w:r>
      <w:r>
        <w:rPr>
          <w:rFonts w:hint="eastAsia" w:ascii="仿宋_GB2312" w:hAnsi="仿宋_GB2312" w:eastAsia="仿宋_GB2312" w:cs="仿宋_GB2312"/>
          <w:sz w:val="32"/>
          <w:szCs w:val="32"/>
          <w:highlight w:val="none"/>
          <w:lang w:eastAsia="zh-CN"/>
        </w:rPr>
        <w:t>依法</w:t>
      </w:r>
      <w:r>
        <w:rPr>
          <w:rFonts w:hint="eastAsia" w:ascii="仿宋_GB2312" w:hAnsi="仿宋_GB2312" w:eastAsia="仿宋_GB2312" w:cs="仿宋_GB2312"/>
          <w:sz w:val="32"/>
          <w:szCs w:val="32"/>
          <w:highlight w:val="none"/>
        </w:rPr>
        <w:t>开展联合执法行动，查处区域内大气污染违法行为，共同做好区域内大气污染防治工作。</w:t>
      </w:r>
    </w:p>
    <w:p>
      <w:pPr>
        <w:widowControl w:val="0"/>
        <w:wordWrap/>
        <w:adjustRightInd/>
        <w:spacing w:line="560" w:lineRule="exact"/>
        <w:ind w:firstLine="640" w:firstLineChars="200"/>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b w:val="0"/>
          <w:bCs w:val="0"/>
          <w:sz w:val="32"/>
          <w:szCs w:val="32"/>
          <w:highlight w:val="none"/>
        </w:rPr>
        <w:t>第</w:t>
      </w:r>
      <w:r>
        <w:rPr>
          <w:rFonts w:hint="eastAsia" w:ascii="黑体" w:hAnsi="黑体" w:eastAsia="黑体" w:cs="黑体"/>
          <w:b w:val="0"/>
          <w:bCs w:val="0"/>
          <w:sz w:val="32"/>
          <w:szCs w:val="32"/>
          <w:highlight w:val="none"/>
          <w:lang w:eastAsia="zh-CN"/>
        </w:rPr>
        <w:t>六十八</w:t>
      </w:r>
      <w:r>
        <w:rPr>
          <w:rFonts w:hint="eastAsia" w:ascii="黑体" w:hAnsi="黑体" w:eastAsia="黑体" w:cs="黑体"/>
          <w:b w:val="0"/>
          <w:bCs w:val="0"/>
          <w:sz w:val="32"/>
          <w:szCs w:val="32"/>
          <w:highlight w:val="none"/>
        </w:rPr>
        <w:t>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编制可能对本省大气污染防治重点区域的大气环境造成严重污染的有关工业园区、产业园区、开发区、区域产业和发展等规划，应当依法进行环境影响评价。规划编制机关应当与重点区域内有关地级以上市人民政府或者有关部门会商。</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地级以上市建设可能对相邻行政区域大气环境质量产生重大影响的项目，应当及时通报有关信息，进行会商。</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会商意见及其采纳情况作为环境影响评价文件审查或者审批的重要依据。</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第八章  法律责任</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六十九</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十六</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b w:val="0"/>
          <w:bCs w:val="0"/>
          <w:sz w:val="32"/>
          <w:szCs w:val="32"/>
          <w:highlight w:val="none"/>
          <w:lang w:eastAsia="zh-CN"/>
        </w:rPr>
        <w:t>一</w:t>
      </w:r>
      <w:r>
        <w:rPr>
          <w:rFonts w:hint="eastAsia" w:ascii="仿宋_GB2312" w:hAnsi="仿宋_GB2312" w:eastAsia="仿宋_GB2312" w:cs="仿宋_GB2312"/>
          <w:sz w:val="32"/>
          <w:szCs w:val="32"/>
          <w:highlight w:val="none"/>
        </w:rPr>
        <w:t>款规定，新建、扩建列入名录的高污染工业项目</w:t>
      </w:r>
      <w:r>
        <w:rPr>
          <w:rFonts w:hint="eastAsia" w:ascii="仿宋_GB2312" w:hAnsi="仿宋_GB2312" w:eastAsia="仿宋_GB2312" w:cs="仿宋_GB2312"/>
          <w:i/>
          <w:iCs/>
          <w:sz w:val="32"/>
          <w:szCs w:val="32"/>
          <w:highlight w:val="none"/>
          <w:u w:val="none"/>
          <w:lang w:eastAsia="zh-CN"/>
        </w:rPr>
        <w:t>、</w:t>
      </w:r>
      <w:r>
        <w:rPr>
          <w:rFonts w:hint="eastAsia" w:ascii="仿宋_GB2312" w:hAnsi="仿宋_GB2312" w:eastAsia="仿宋_GB2312" w:cs="仿宋_GB2312"/>
          <w:sz w:val="32"/>
          <w:szCs w:val="32"/>
          <w:highlight w:val="none"/>
        </w:rPr>
        <w:t>使用列入淘汰名录的高污染工艺设备</w:t>
      </w:r>
      <w:r>
        <w:rPr>
          <w:rFonts w:hint="eastAsia" w:ascii="仿宋_GB2312" w:hAnsi="仿宋_GB2312" w:eastAsia="仿宋_GB2312" w:cs="仿宋_GB2312"/>
          <w:i w:val="0"/>
          <w:iCs w:val="0"/>
          <w:sz w:val="32"/>
          <w:szCs w:val="32"/>
          <w:highlight w:val="none"/>
          <w:u w:val="none"/>
          <w:lang w:eastAsia="zh-CN"/>
        </w:rPr>
        <w:t>、或者</w:t>
      </w:r>
      <w:r>
        <w:rPr>
          <w:rFonts w:hint="eastAsia" w:ascii="仿宋_GB2312" w:hAnsi="仿宋_GB2312" w:eastAsia="仿宋_GB2312" w:cs="仿宋_GB2312"/>
          <w:sz w:val="32"/>
          <w:szCs w:val="32"/>
          <w:highlight w:val="none"/>
        </w:rPr>
        <w:t>将淘汰的高污染工艺设备转让给他人使用的，由县级以上人民政府</w:t>
      </w:r>
      <w:r>
        <w:rPr>
          <w:rFonts w:hint="eastAsia" w:ascii="仿宋_GB2312" w:hAnsi="仿宋_GB2312" w:eastAsia="仿宋_GB2312" w:cs="仿宋_GB2312"/>
          <w:sz w:val="32"/>
          <w:szCs w:val="32"/>
          <w:highlight w:val="none"/>
          <w:lang w:eastAsia="zh-CN"/>
        </w:rPr>
        <w:t>发展改革主管部门、工业</w:t>
      </w:r>
      <w:r>
        <w:rPr>
          <w:rFonts w:hint="eastAsia" w:ascii="仿宋_GB2312" w:hAnsi="仿宋_GB2312" w:eastAsia="仿宋_GB2312" w:cs="仿宋_GB2312"/>
          <w:sz w:val="32"/>
          <w:szCs w:val="32"/>
          <w:highlight w:val="none"/>
        </w:rPr>
        <w:t>和信息化主管部门</w:t>
      </w:r>
      <w:r>
        <w:rPr>
          <w:rFonts w:hint="eastAsia" w:ascii="仿宋_GB2312" w:hAnsi="仿宋_GB2312" w:eastAsia="仿宋_GB2312" w:cs="仿宋_GB2312"/>
          <w:sz w:val="32"/>
          <w:szCs w:val="32"/>
          <w:highlight w:val="none"/>
          <w:lang w:eastAsia="zh-CN"/>
        </w:rPr>
        <w:t>依照职权分工</w:t>
      </w:r>
      <w:r>
        <w:rPr>
          <w:rFonts w:hint="eastAsia" w:ascii="仿宋_GB2312" w:hAnsi="仿宋_GB2312" w:eastAsia="仿宋_GB2312" w:cs="仿宋_GB2312"/>
          <w:sz w:val="32"/>
          <w:szCs w:val="32"/>
          <w:highlight w:val="none"/>
        </w:rPr>
        <w:t>责令改正，没收违法所得，并处货值金额一倍以上三倍以下的罚款；拒不改正的，报经有批准权的人民政府批准，责令停业、关闭。</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十九</w:t>
      </w:r>
      <w:r>
        <w:rPr>
          <w:rFonts w:hint="eastAsia" w:ascii="仿宋_GB2312" w:hAnsi="仿宋_GB2312" w:eastAsia="仿宋_GB2312" w:cs="仿宋_GB2312"/>
          <w:sz w:val="32"/>
          <w:szCs w:val="32"/>
          <w:highlight w:val="none"/>
        </w:rPr>
        <w:t>条规定，</w:t>
      </w:r>
      <w:r>
        <w:rPr>
          <w:rFonts w:hint="eastAsia" w:ascii="仿宋_GB2312" w:hAnsi="仿宋_GB2312" w:eastAsia="仿宋_GB2312" w:cs="仿宋_GB2312"/>
          <w:sz w:val="32"/>
          <w:szCs w:val="32"/>
          <w:highlight w:val="none"/>
          <w:lang w:eastAsia="zh-CN"/>
        </w:rPr>
        <w:t>重点大气污染物排放浓度</w:t>
      </w:r>
      <w:r>
        <w:rPr>
          <w:rFonts w:hint="eastAsia" w:ascii="仿宋_GB2312" w:hAnsi="仿宋_GB2312" w:eastAsia="仿宋_GB2312" w:cs="仿宋_GB2312"/>
          <w:sz w:val="32"/>
          <w:szCs w:val="32"/>
          <w:highlight w:val="none"/>
        </w:rPr>
        <w:t>未按照要求达到超低排放</w:t>
      </w:r>
      <w:r>
        <w:rPr>
          <w:rFonts w:hint="eastAsia" w:ascii="仿宋_GB2312" w:hAnsi="仿宋_GB2312" w:eastAsia="仿宋_GB2312" w:cs="仿宋_GB2312"/>
          <w:sz w:val="32"/>
          <w:szCs w:val="32"/>
          <w:highlight w:val="none"/>
          <w:lang w:eastAsia="zh-CN"/>
        </w:rPr>
        <w:t>要求</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环境主管部门责令改正或者限制生产、停产整治，并处十万元以上一百万元以下的罚款；情节严重的，报经有批准权的人民政府批准，责令停业。</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第七十一条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w:t>
      </w:r>
      <w:r>
        <w:rPr>
          <w:rFonts w:hint="eastAsia" w:ascii="仿宋_GB2312" w:hAnsi="仿宋_GB2312" w:eastAsia="仿宋_GB2312" w:cs="仿宋_GB2312"/>
          <w:sz w:val="32"/>
          <w:szCs w:val="32"/>
          <w:highlight w:val="none"/>
        </w:rPr>
        <w:t>条第二款规定</w:t>
      </w:r>
      <w:r>
        <w:rPr>
          <w:rFonts w:hint="eastAsia" w:ascii="黑体" w:hAnsi="黑体" w:eastAsia="黑体" w:cs="黑体"/>
          <w:sz w:val="32"/>
          <w:szCs w:val="32"/>
          <w:highlight w:val="none"/>
          <w:lang w:eastAsia="zh-CN"/>
        </w:rPr>
        <w:t>，</w:t>
      </w:r>
      <w:r>
        <w:rPr>
          <w:rFonts w:hint="eastAsia" w:ascii="仿宋_GB2312" w:hAnsi="仿宋_GB2312" w:eastAsia="仿宋_GB2312" w:cs="仿宋_GB2312"/>
          <w:b w:val="0"/>
          <w:bCs w:val="0"/>
          <w:sz w:val="32"/>
          <w:szCs w:val="32"/>
          <w:highlight w:val="none"/>
          <w:lang w:eastAsia="zh-CN"/>
        </w:rPr>
        <w:t>在集中供热管网覆盖范围内，</w:t>
      </w:r>
      <w:r>
        <w:rPr>
          <w:rFonts w:hint="eastAsia" w:ascii="仿宋_GB2312" w:hAnsi="仿宋_GB2312" w:eastAsia="仿宋_GB2312" w:cs="仿宋_GB2312"/>
          <w:sz w:val="32"/>
          <w:szCs w:val="32"/>
          <w:highlight w:val="none"/>
        </w:rPr>
        <w:t>新建、扩建燃用煤炭、重油、渣油、生物质等</w:t>
      </w:r>
      <w:r>
        <w:rPr>
          <w:rFonts w:hint="eastAsia" w:ascii="仿宋_GB2312" w:hAnsi="仿宋_GB2312" w:eastAsia="仿宋_GB2312" w:cs="仿宋_GB2312"/>
          <w:i w:val="0"/>
          <w:iCs w:val="0"/>
          <w:sz w:val="32"/>
          <w:szCs w:val="32"/>
          <w:highlight w:val="none"/>
          <w:u w:val="none"/>
          <w:lang w:eastAsia="zh-CN"/>
        </w:rPr>
        <w:t>分散供热锅炉</w:t>
      </w:r>
      <w:r>
        <w:rPr>
          <w:rFonts w:hint="eastAsia" w:ascii="仿宋_GB2312" w:hAnsi="仿宋_GB2312" w:eastAsia="仿宋_GB2312" w:cs="仿宋_GB2312"/>
          <w:sz w:val="32"/>
          <w:szCs w:val="32"/>
          <w:highlight w:val="none"/>
        </w:rPr>
        <w:t>，或者未按照规定拆除已建成的不能达标排放的供热</w:t>
      </w:r>
      <w:r>
        <w:rPr>
          <w:rFonts w:hint="eastAsia" w:ascii="仿宋_GB2312" w:hAnsi="仿宋_GB2312" w:eastAsia="仿宋_GB2312" w:cs="仿宋_GB2312"/>
          <w:i w:val="0"/>
          <w:iCs w:val="0"/>
          <w:sz w:val="32"/>
          <w:szCs w:val="32"/>
          <w:highlight w:val="none"/>
          <w:u w:val="none"/>
          <w:lang w:eastAsia="zh-CN"/>
        </w:rPr>
        <w:t>锅炉</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w:t>
      </w:r>
      <w:r>
        <w:rPr>
          <w:rFonts w:hint="eastAsia" w:ascii="仿宋_GB2312" w:hAnsi="仿宋_GB2312" w:eastAsia="仿宋_GB2312" w:cs="仿宋_GB2312"/>
          <w:b w:val="0"/>
          <w:bCs w:val="0"/>
          <w:sz w:val="32"/>
          <w:szCs w:val="32"/>
          <w:highlight w:val="none"/>
          <w:lang w:val="en-US" w:eastAsia="zh-CN"/>
        </w:rPr>
        <w:t>组织拆除供热锅炉</w:t>
      </w:r>
      <w:r>
        <w:rPr>
          <w:rFonts w:hint="eastAsia" w:ascii="仿宋_GB2312" w:hAnsi="仿宋_GB2312" w:eastAsia="仿宋_GB2312" w:cs="仿宋_GB2312"/>
          <w:sz w:val="32"/>
          <w:szCs w:val="32"/>
          <w:highlight w:val="none"/>
        </w:rPr>
        <w:t>，并处十万元以上二十万元以下的罚款。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第七十二条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二十一</w:t>
      </w:r>
      <w:r>
        <w:rPr>
          <w:rFonts w:hint="eastAsia" w:ascii="仿宋_GB2312" w:hAnsi="仿宋_GB2312" w:eastAsia="仿宋_GB2312" w:cs="仿宋_GB2312"/>
          <w:sz w:val="32"/>
          <w:szCs w:val="32"/>
          <w:highlight w:val="none"/>
        </w:rPr>
        <w:t>条规定，安装国家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省明令淘汰、强制报废、禁止制造和使用的锅炉等燃烧设备</w:t>
      </w:r>
      <w:r>
        <w:rPr>
          <w:rFonts w:hint="eastAsia" w:ascii="仿宋_GB2312" w:hAnsi="仿宋_GB2312" w:eastAsia="仿宋_GB2312" w:cs="仿宋_GB2312"/>
          <w:sz w:val="32"/>
          <w:szCs w:val="32"/>
          <w:highlight w:val="none"/>
          <w:lang w:eastAsia="zh-CN"/>
        </w:rPr>
        <w:t>，或者安装地级以上市人民政府限制使用的高污染锅炉、炉窑</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市场</w:t>
      </w:r>
      <w:r>
        <w:rPr>
          <w:rFonts w:hint="eastAsia" w:ascii="仿宋_GB2312" w:hAnsi="仿宋_GB2312" w:eastAsia="仿宋_GB2312" w:cs="仿宋_GB2312"/>
          <w:sz w:val="32"/>
          <w:szCs w:val="32"/>
          <w:highlight w:val="none"/>
        </w:rPr>
        <w:t>监督</w:t>
      </w:r>
      <w:r>
        <w:rPr>
          <w:rFonts w:hint="eastAsia" w:ascii="仿宋_GB2312" w:hAnsi="仿宋_GB2312" w:eastAsia="仿宋_GB2312" w:cs="仿宋_GB2312"/>
          <w:sz w:val="32"/>
          <w:szCs w:val="32"/>
          <w:highlight w:val="none"/>
          <w:lang w:eastAsia="zh-CN"/>
        </w:rPr>
        <w:t>管理</w:t>
      </w:r>
      <w:r>
        <w:rPr>
          <w:rFonts w:hint="eastAsia" w:ascii="仿宋_GB2312" w:hAnsi="仿宋_GB2312" w:eastAsia="仿宋_GB2312" w:cs="仿宋_GB2312"/>
          <w:sz w:val="32"/>
          <w:szCs w:val="32"/>
          <w:highlight w:val="none"/>
        </w:rPr>
        <w:t>主管部门、</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环境主管部门责令改正，没收违法所得，并处二万元以上二十万元以下的罚款。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黑体" w:hAnsi="黑体" w:eastAsia="黑体" w:cs="黑体"/>
          <w:sz w:val="32"/>
          <w:szCs w:val="32"/>
          <w:highlight w:val="none"/>
          <w:lang w:eastAsia="zh-CN"/>
        </w:rPr>
        <w:t>第七十三条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i w:val="0"/>
          <w:iCs w:val="0"/>
          <w:sz w:val="32"/>
          <w:szCs w:val="32"/>
          <w:highlight w:val="none"/>
          <w:u w:val="none"/>
          <w:lang w:eastAsia="zh-CN"/>
        </w:rPr>
        <w:t>违反本条例第二十二条第一款规定，安装、使用非专用生物质锅炉或者安装、使用可以燃用煤及其制品的双燃料或者多燃料生物质锅炉的，由县级以上人民政府市场监督管理主管部门、生态环境主管部门责令改正，没收违法所得，并处二万元以上二十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仿宋_GB2312" w:hAnsi="仿宋_GB2312" w:eastAsia="仿宋_GB2312" w:cs="仿宋_GB2312"/>
          <w:i w:val="0"/>
          <w:iCs w:val="0"/>
          <w:sz w:val="32"/>
          <w:szCs w:val="32"/>
          <w:highlight w:val="none"/>
          <w:u w:val="none"/>
          <w:lang w:eastAsia="zh-CN"/>
        </w:rPr>
        <w:t>违反本条例第二十二条第二款规定，使用未经过加工的木本植物或者草本植物为燃料，或者在生物质燃料中掺杂添加燃烧后产生有毒有害烟尘和恶臭气体的其他物质的，由县级以上人民政府市场监督管理主管部门责令改正，处一万元以上二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val="0"/>
          <w:iCs w:val="0"/>
          <w:sz w:val="32"/>
          <w:szCs w:val="32"/>
          <w:highlight w:val="none"/>
          <w:u w:val="none"/>
          <w:lang w:eastAsia="zh-CN"/>
        </w:rPr>
      </w:pPr>
      <w:r>
        <w:rPr>
          <w:rFonts w:hint="eastAsia" w:ascii="仿宋_GB2312" w:hAnsi="仿宋_GB2312" w:eastAsia="仿宋_GB2312" w:cs="仿宋_GB2312"/>
          <w:i w:val="0"/>
          <w:iCs w:val="0"/>
          <w:sz w:val="32"/>
          <w:szCs w:val="32"/>
          <w:highlight w:val="none"/>
          <w:u w:val="none"/>
          <w:lang w:eastAsia="zh-CN"/>
        </w:rPr>
        <w:t>违反本条例第二十二条第二款规定，生物质锅炉未配备高效除尘设施，未按照</w:t>
      </w:r>
      <w:r>
        <w:rPr>
          <w:rFonts w:hint="eastAsia" w:ascii="仿宋_GB2312" w:hAnsi="仿宋_GB2312" w:eastAsia="仿宋_GB2312" w:cs="仿宋_GB2312"/>
          <w:i w:val="0"/>
          <w:iCs w:val="0"/>
          <w:sz w:val="32"/>
          <w:szCs w:val="32"/>
          <w:highlight w:val="none"/>
          <w:u w:val="none"/>
          <w:lang w:val="en-US" w:eastAsia="zh-CN"/>
        </w:rPr>
        <w:t>国家和省的有关</w:t>
      </w:r>
      <w:r>
        <w:rPr>
          <w:rFonts w:hint="eastAsia" w:ascii="仿宋_GB2312" w:hAnsi="仿宋_GB2312" w:eastAsia="仿宋_GB2312" w:cs="仿宋_GB2312"/>
          <w:i w:val="0"/>
          <w:iCs w:val="0"/>
          <w:sz w:val="32"/>
          <w:szCs w:val="32"/>
          <w:highlight w:val="none"/>
          <w:u w:val="none"/>
          <w:lang w:eastAsia="zh-CN"/>
        </w:rPr>
        <w:t>规定安装自动监控或者监测设备的，由县级以上人民政府生态环境主管部门责令改正，处二万元以上二十万元以下的罚款；拒不改正的，责令停产整治。</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第七十四条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二十四</w:t>
      </w:r>
      <w:r>
        <w:rPr>
          <w:rFonts w:hint="eastAsia" w:ascii="仿宋_GB2312" w:hAnsi="仿宋_GB2312" w:eastAsia="仿宋_GB2312" w:cs="仿宋_GB2312"/>
          <w:sz w:val="32"/>
          <w:szCs w:val="32"/>
          <w:highlight w:val="none"/>
        </w:rPr>
        <w:t>条第二款规定，在本省生产、销售超过挥发性有机物</w:t>
      </w:r>
      <w:r>
        <w:rPr>
          <w:rFonts w:hint="eastAsia" w:ascii="仿宋_GB2312" w:hAnsi="仿宋_GB2312" w:eastAsia="仿宋_GB2312" w:cs="仿宋_GB2312"/>
          <w:sz w:val="32"/>
          <w:szCs w:val="32"/>
          <w:highlight w:val="none"/>
          <w:lang w:eastAsia="zh-CN"/>
        </w:rPr>
        <w:t>含量</w:t>
      </w:r>
      <w:r>
        <w:rPr>
          <w:rFonts w:hint="eastAsia" w:ascii="仿宋_GB2312" w:hAnsi="仿宋_GB2312" w:eastAsia="仿宋_GB2312" w:cs="仿宋_GB2312"/>
          <w:sz w:val="32"/>
          <w:szCs w:val="32"/>
          <w:highlight w:val="none"/>
        </w:rPr>
        <w:t>限值标准的原材料和产品的，由县级以上人民政府</w:t>
      </w:r>
      <w:r>
        <w:rPr>
          <w:rFonts w:hint="eastAsia" w:ascii="仿宋_GB2312" w:hAnsi="仿宋_GB2312" w:eastAsia="仿宋_GB2312" w:cs="仿宋_GB2312"/>
          <w:sz w:val="32"/>
          <w:szCs w:val="32"/>
          <w:highlight w:val="none"/>
          <w:lang w:eastAsia="zh-CN"/>
        </w:rPr>
        <w:t>市场</w:t>
      </w:r>
      <w:r>
        <w:rPr>
          <w:rFonts w:hint="eastAsia" w:ascii="仿宋_GB2312" w:hAnsi="仿宋_GB2312" w:eastAsia="仿宋_GB2312" w:cs="仿宋_GB2312"/>
          <w:sz w:val="32"/>
          <w:szCs w:val="32"/>
          <w:highlight w:val="none"/>
        </w:rPr>
        <w:t>监督</w:t>
      </w:r>
      <w:r>
        <w:rPr>
          <w:rFonts w:hint="eastAsia" w:ascii="仿宋_GB2312" w:hAnsi="仿宋_GB2312" w:eastAsia="仿宋_GB2312" w:cs="仿宋_GB2312"/>
          <w:sz w:val="32"/>
          <w:szCs w:val="32"/>
          <w:highlight w:val="none"/>
          <w:lang w:eastAsia="zh-CN"/>
        </w:rPr>
        <w:t>管理</w:t>
      </w:r>
      <w:r>
        <w:rPr>
          <w:rFonts w:hint="eastAsia" w:ascii="仿宋_GB2312" w:hAnsi="仿宋_GB2312" w:eastAsia="仿宋_GB2312" w:cs="仿宋_GB2312"/>
          <w:i w:val="0"/>
          <w:iCs w:val="0"/>
          <w:sz w:val="32"/>
          <w:szCs w:val="32"/>
          <w:highlight w:val="none"/>
          <w:u w:val="none"/>
        </w:rPr>
        <w:t>主管部门</w:t>
      </w:r>
      <w:r>
        <w:rPr>
          <w:rFonts w:hint="eastAsia" w:ascii="仿宋_GB2312" w:hAnsi="仿宋_GB2312" w:eastAsia="仿宋_GB2312" w:cs="仿宋_GB2312"/>
          <w:sz w:val="32"/>
          <w:szCs w:val="32"/>
          <w:highlight w:val="none"/>
        </w:rPr>
        <w:t>责令改正，没收原材料、产品和违法所得，并处货值金额一倍以上三倍以下的罚款。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二十四</w:t>
      </w:r>
      <w:r>
        <w:rPr>
          <w:rFonts w:hint="eastAsia" w:ascii="仿宋_GB2312" w:hAnsi="仿宋_GB2312" w:eastAsia="仿宋_GB2312" w:cs="仿宋_GB2312"/>
          <w:sz w:val="32"/>
          <w:szCs w:val="32"/>
          <w:highlight w:val="none"/>
        </w:rPr>
        <w:t>条第二款规定，未在</w:t>
      </w:r>
      <w:r>
        <w:rPr>
          <w:rFonts w:hint="eastAsia" w:ascii="仿宋_GB2312" w:hAnsi="仿宋_GB2312" w:eastAsia="仿宋_GB2312" w:cs="仿宋_GB2312"/>
          <w:sz w:val="32"/>
          <w:szCs w:val="32"/>
          <w:highlight w:val="none"/>
          <w:lang w:eastAsia="zh-CN"/>
        </w:rPr>
        <w:t>高挥发性有机物含量产品的</w:t>
      </w:r>
      <w:r>
        <w:rPr>
          <w:rFonts w:hint="eastAsia" w:ascii="仿宋_GB2312" w:hAnsi="仿宋_GB2312" w:eastAsia="仿宋_GB2312" w:cs="仿宋_GB2312"/>
          <w:sz w:val="32"/>
          <w:szCs w:val="32"/>
          <w:highlight w:val="none"/>
        </w:rPr>
        <w:t>包装或者说明中标注挥发性有机物含量的，由县级以上人民政府</w:t>
      </w:r>
      <w:r>
        <w:rPr>
          <w:rFonts w:hint="eastAsia" w:ascii="仿宋_GB2312" w:hAnsi="仿宋_GB2312" w:eastAsia="仿宋_GB2312" w:cs="仿宋_GB2312"/>
          <w:i w:val="0"/>
          <w:iCs w:val="0"/>
          <w:sz w:val="32"/>
          <w:szCs w:val="32"/>
          <w:highlight w:val="none"/>
          <w:u w:val="none"/>
          <w:lang w:eastAsia="zh-CN"/>
        </w:rPr>
        <w:t>市场</w:t>
      </w:r>
      <w:r>
        <w:rPr>
          <w:rFonts w:hint="eastAsia" w:ascii="仿宋_GB2312" w:hAnsi="仿宋_GB2312" w:eastAsia="仿宋_GB2312" w:cs="仿宋_GB2312"/>
          <w:sz w:val="32"/>
          <w:szCs w:val="32"/>
          <w:highlight w:val="none"/>
        </w:rPr>
        <w:t>监督主管部门责令改正。</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第七十</w:t>
      </w:r>
      <w:r>
        <w:rPr>
          <w:rFonts w:hint="eastAsia" w:ascii="黑体" w:hAnsi="黑体" w:eastAsia="黑体" w:cs="黑体"/>
          <w:sz w:val="32"/>
          <w:szCs w:val="32"/>
          <w:highlight w:val="none"/>
          <w:lang w:eastAsia="zh-CN"/>
        </w:rPr>
        <w:t>五</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二十五</w:t>
      </w:r>
      <w:r>
        <w:rPr>
          <w:rFonts w:hint="eastAsia" w:ascii="仿宋_GB2312" w:hAnsi="仿宋_GB2312" w:eastAsia="仿宋_GB2312" w:cs="仿宋_GB2312"/>
          <w:sz w:val="32"/>
          <w:szCs w:val="32"/>
          <w:highlight w:val="none"/>
        </w:rPr>
        <w:t>条第二款规定，</w:t>
      </w:r>
      <w:r>
        <w:rPr>
          <w:rFonts w:hint="eastAsia" w:ascii="仿宋_GB2312" w:hAnsi="仿宋_GB2312" w:eastAsia="仿宋_GB2312" w:cs="仿宋_GB2312"/>
          <w:sz w:val="32"/>
          <w:szCs w:val="32"/>
          <w:highlight w:val="none"/>
          <w:lang w:eastAsia="zh-CN"/>
        </w:rPr>
        <w:t>企业事业单位和其他生产经营者未按照</w:t>
      </w:r>
      <w:r>
        <w:rPr>
          <w:rFonts w:hint="eastAsia" w:ascii="仿宋_GB2312" w:hAnsi="仿宋_GB2312" w:eastAsia="仿宋_GB2312" w:cs="仿宋_GB2312"/>
          <w:sz w:val="32"/>
          <w:szCs w:val="32"/>
          <w:highlight w:val="none"/>
        </w:rPr>
        <w:t>挥发性有机物排放标准、技术规范</w:t>
      </w:r>
      <w:r>
        <w:rPr>
          <w:rFonts w:hint="eastAsia" w:ascii="仿宋_GB2312" w:hAnsi="仿宋_GB2312" w:eastAsia="仿宋_GB2312" w:cs="仿宋_GB2312"/>
          <w:sz w:val="32"/>
          <w:szCs w:val="32"/>
          <w:highlight w:val="none"/>
          <w:lang w:eastAsia="zh-CN"/>
        </w:rPr>
        <w:t>规定，</w:t>
      </w:r>
      <w:r>
        <w:rPr>
          <w:rFonts w:hint="eastAsia" w:ascii="仿宋_GB2312" w:hAnsi="仿宋_GB2312" w:eastAsia="仿宋_GB2312" w:cs="仿宋_GB2312"/>
          <w:sz w:val="32"/>
          <w:szCs w:val="32"/>
          <w:highlight w:val="none"/>
        </w:rPr>
        <w:t>制定操作规</w:t>
      </w:r>
      <w:r>
        <w:rPr>
          <w:rFonts w:hint="eastAsia" w:ascii="仿宋_GB2312" w:hAnsi="仿宋_GB2312" w:eastAsia="仿宋_GB2312" w:cs="仿宋_GB2312"/>
          <w:i w:val="0"/>
          <w:iCs w:val="0"/>
          <w:sz w:val="32"/>
          <w:szCs w:val="32"/>
          <w:highlight w:val="none"/>
          <w:u w:val="none"/>
        </w:rPr>
        <w:t>程的</w:t>
      </w:r>
      <w:r>
        <w:rPr>
          <w:rFonts w:hint="eastAsia" w:ascii="仿宋_GB2312" w:hAnsi="仿宋_GB2312" w:eastAsia="仿宋_GB2312" w:cs="仿宋_GB2312"/>
          <w:sz w:val="32"/>
          <w:szCs w:val="32"/>
          <w:highlight w:val="none"/>
        </w:rPr>
        <w:t>，由县级以上人民政府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环境主管部门责令改正，处五千元以上五万元以下的罚款。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违反本条例第二十五条第二款规定，企业事业单位和其他生产经营者未按照挥发性有机物排放标准、技术规范规定，组织生产管理的，由县级以上人民政府生态环境主管部门责令改正，处二万元以上二十万元以下的罚款；拒不改正的，责令停产停业</w:t>
      </w:r>
      <w:r>
        <w:rPr>
          <w:rFonts w:hint="eastAsia" w:ascii="仿宋_GB2312" w:hAnsi="仿宋_GB2312" w:eastAsia="仿宋_GB2312" w:cs="仿宋_GB2312"/>
          <w:sz w:val="32"/>
          <w:szCs w:val="32"/>
          <w:highlight w:val="none"/>
        </w:rPr>
        <w:t>。</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i/>
          <w:iCs/>
          <w:sz w:val="32"/>
          <w:szCs w:val="32"/>
          <w:highlight w:val="none"/>
          <w:u w:val="single"/>
        </w:rPr>
      </w:pPr>
      <w:r>
        <w:rPr>
          <w:rFonts w:hint="eastAsia" w:ascii="黑体" w:hAnsi="黑体" w:eastAsia="黑体" w:cs="黑体"/>
          <w:i w:val="0"/>
          <w:iCs w:val="0"/>
          <w:sz w:val="32"/>
          <w:szCs w:val="32"/>
          <w:highlight w:val="none"/>
          <w:u w:val="none"/>
        </w:rPr>
        <w:t>第</w:t>
      </w:r>
      <w:r>
        <w:rPr>
          <w:rFonts w:hint="eastAsia" w:ascii="黑体" w:hAnsi="黑体" w:eastAsia="黑体" w:cs="黑体"/>
          <w:i w:val="0"/>
          <w:iCs w:val="0"/>
          <w:sz w:val="32"/>
          <w:szCs w:val="32"/>
          <w:highlight w:val="none"/>
          <w:u w:val="none"/>
          <w:lang w:eastAsia="zh-CN"/>
        </w:rPr>
        <w:t>七十六</w:t>
      </w:r>
      <w:r>
        <w:rPr>
          <w:rFonts w:hint="eastAsia" w:ascii="黑体" w:hAnsi="黑体" w:eastAsia="黑体" w:cs="黑体"/>
          <w:i w:val="0"/>
          <w:iCs w:val="0"/>
          <w:sz w:val="32"/>
          <w:szCs w:val="32"/>
          <w:highlight w:val="none"/>
          <w:u w:val="none"/>
        </w:rPr>
        <w:t>条</w:t>
      </w:r>
      <w:r>
        <w:rPr>
          <w:rFonts w:hint="eastAsia" w:ascii="黑体" w:hAnsi="黑体" w:eastAsia="黑体" w:cs="黑体"/>
          <w:i w:val="0"/>
          <w:iCs w:val="0"/>
          <w:sz w:val="32"/>
          <w:szCs w:val="32"/>
          <w:highlight w:val="none"/>
          <w:u w:val="none"/>
          <w:lang w:val="en-US" w:eastAsia="zh-CN"/>
        </w:rPr>
        <w:t xml:space="preserve">  </w:t>
      </w:r>
      <w:r>
        <w:rPr>
          <w:rFonts w:hint="eastAsia" w:ascii="仿宋_GB2312" w:hAnsi="仿宋_GB2312" w:eastAsia="仿宋_GB2312" w:cs="仿宋_GB2312"/>
          <w:i w:val="0"/>
          <w:iCs w:val="0"/>
          <w:sz w:val="32"/>
          <w:szCs w:val="32"/>
          <w:highlight w:val="none"/>
          <w:u w:val="none"/>
        </w:rPr>
        <w:t>违反本条例第</w:t>
      </w:r>
      <w:r>
        <w:rPr>
          <w:rFonts w:hint="eastAsia" w:ascii="仿宋_GB2312" w:hAnsi="仿宋_GB2312" w:eastAsia="仿宋_GB2312" w:cs="仿宋_GB2312"/>
          <w:i w:val="0"/>
          <w:iCs w:val="0"/>
          <w:sz w:val="32"/>
          <w:szCs w:val="32"/>
          <w:highlight w:val="none"/>
          <w:u w:val="none"/>
          <w:lang w:eastAsia="zh-CN"/>
        </w:rPr>
        <w:t>二十七</w:t>
      </w:r>
      <w:r>
        <w:rPr>
          <w:rFonts w:hint="eastAsia" w:ascii="仿宋_GB2312" w:hAnsi="仿宋_GB2312" w:eastAsia="仿宋_GB2312" w:cs="仿宋_GB2312"/>
          <w:i w:val="0"/>
          <w:iCs w:val="0"/>
          <w:sz w:val="32"/>
          <w:szCs w:val="32"/>
          <w:highlight w:val="none"/>
          <w:u w:val="none"/>
        </w:rPr>
        <w:t>条</w:t>
      </w:r>
      <w:r>
        <w:rPr>
          <w:rFonts w:hint="eastAsia" w:ascii="仿宋_GB2312" w:hAnsi="仿宋_GB2312" w:eastAsia="仿宋_GB2312" w:cs="仿宋_GB2312"/>
          <w:i w:val="0"/>
          <w:iCs w:val="0"/>
          <w:sz w:val="32"/>
          <w:szCs w:val="32"/>
          <w:highlight w:val="none"/>
          <w:u w:val="none"/>
          <w:lang w:eastAsia="zh-CN"/>
        </w:rPr>
        <w:t>第二款</w:t>
      </w:r>
      <w:r>
        <w:rPr>
          <w:rFonts w:hint="eastAsia" w:ascii="仿宋_GB2312" w:hAnsi="仿宋_GB2312" w:eastAsia="仿宋_GB2312" w:cs="仿宋_GB2312"/>
          <w:i w:val="0"/>
          <w:iCs w:val="0"/>
          <w:sz w:val="32"/>
          <w:szCs w:val="32"/>
          <w:highlight w:val="none"/>
          <w:u w:val="none"/>
        </w:rPr>
        <w:t>规定，</w:t>
      </w:r>
      <w:r>
        <w:rPr>
          <w:rFonts w:hint="eastAsia" w:ascii="仿宋_GB2312" w:hAnsi="仿宋_GB2312" w:eastAsia="仿宋_GB2312" w:cs="仿宋_GB2312"/>
          <w:i w:val="0"/>
          <w:iCs w:val="0"/>
          <w:sz w:val="32"/>
          <w:szCs w:val="32"/>
          <w:highlight w:val="none"/>
          <w:u w:val="none"/>
          <w:lang w:eastAsia="zh-CN"/>
        </w:rPr>
        <w:t>除工业涂装企业以外的其他产生挥发性有机物的工业企业未按照国家和省的有关规定</w:t>
      </w:r>
      <w:r>
        <w:rPr>
          <w:rFonts w:hint="eastAsia" w:ascii="仿宋_GB2312" w:hAnsi="仿宋_GB2312" w:eastAsia="仿宋_GB2312" w:cs="仿宋_GB2312"/>
          <w:i w:val="0"/>
          <w:iCs w:val="0"/>
          <w:sz w:val="32"/>
          <w:szCs w:val="32"/>
          <w:highlight w:val="none"/>
          <w:u w:val="none"/>
        </w:rPr>
        <w:t>建立、保存台账的，由县级以上人民政府</w:t>
      </w:r>
      <w:r>
        <w:rPr>
          <w:rFonts w:hint="eastAsia" w:ascii="仿宋_GB2312" w:hAnsi="仿宋_GB2312" w:eastAsia="仿宋_GB2312" w:cs="仿宋_GB2312"/>
          <w:i w:val="0"/>
          <w:iCs w:val="0"/>
          <w:sz w:val="32"/>
          <w:szCs w:val="32"/>
          <w:highlight w:val="none"/>
          <w:u w:val="none"/>
          <w:lang w:eastAsia="zh-CN"/>
        </w:rPr>
        <w:t>生态</w:t>
      </w:r>
      <w:r>
        <w:rPr>
          <w:rFonts w:hint="eastAsia" w:ascii="仿宋_GB2312" w:hAnsi="仿宋_GB2312" w:eastAsia="仿宋_GB2312" w:cs="仿宋_GB2312"/>
          <w:i w:val="0"/>
          <w:iCs w:val="0"/>
          <w:sz w:val="32"/>
          <w:szCs w:val="32"/>
          <w:highlight w:val="none"/>
          <w:u w:val="none"/>
        </w:rPr>
        <w:t>环境主管部门责令改正，处二万元以上二十万元以下的罚款；拒不改正的，责令停产整治。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val="en-US" w:eastAsia="zh-CN"/>
        </w:rPr>
        <w:t>七十七</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val="en-US" w:eastAsia="zh-CN"/>
        </w:rPr>
        <w:t>二十八第一款</w:t>
      </w:r>
      <w:r>
        <w:rPr>
          <w:rFonts w:hint="eastAsia" w:ascii="仿宋_GB2312" w:hAnsi="仿宋_GB2312" w:eastAsia="仿宋_GB2312" w:cs="仿宋_GB2312"/>
          <w:sz w:val="32"/>
          <w:szCs w:val="32"/>
          <w:highlight w:val="none"/>
        </w:rPr>
        <w:t>规定</w:t>
      </w:r>
      <w:r>
        <w:rPr>
          <w:rFonts w:hint="eastAsia" w:ascii="仿宋_GB2312" w:hAnsi="仿宋_GB2312" w:eastAsia="仿宋_GB2312" w:cs="仿宋_GB2312"/>
          <w:sz w:val="32"/>
          <w:szCs w:val="32"/>
          <w:highlight w:val="none"/>
          <w:lang w:val="en-US" w:eastAsia="zh-CN"/>
        </w:rPr>
        <w:t>，石油、化工、有机医药及其他生产和使用有机溶剂的企业未根据国</w:t>
      </w:r>
      <w:r>
        <w:rPr>
          <w:rFonts w:hint="eastAsia" w:ascii="仿宋_GB2312" w:hAnsi="仿宋_GB2312" w:eastAsia="仿宋_GB2312" w:cs="仿宋_GB2312"/>
          <w:sz w:val="32"/>
          <w:szCs w:val="32"/>
          <w:highlight w:val="none"/>
        </w:rPr>
        <w:t>家</w:t>
      </w:r>
      <w:r>
        <w:rPr>
          <w:rFonts w:hint="eastAsia" w:ascii="仿宋_GB2312" w:hAnsi="仿宋_GB2312" w:eastAsia="仿宋_GB2312" w:cs="仿宋_GB2312"/>
          <w:sz w:val="32"/>
          <w:szCs w:val="32"/>
          <w:highlight w:val="none"/>
          <w:lang w:eastAsia="zh-CN"/>
        </w:rPr>
        <w:t>和</w:t>
      </w:r>
      <w:r>
        <w:rPr>
          <w:rFonts w:hint="eastAsia" w:ascii="仿宋_GB2312" w:hAnsi="仿宋_GB2312" w:eastAsia="仿宋_GB2312" w:cs="仿宋_GB2312"/>
          <w:sz w:val="32"/>
          <w:szCs w:val="32"/>
          <w:highlight w:val="none"/>
        </w:rPr>
        <w:t>省的标准、技术规范建立泄漏检测与修复制度</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对管道、设备进行日常维护、维修</w:t>
      </w:r>
      <w:r>
        <w:rPr>
          <w:rFonts w:hint="eastAsia" w:ascii="仿宋_GB2312" w:hAnsi="仿宋_GB2312" w:eastAsia="仿宋_GB2312" w:cs="仿宋_GB2312"/>
          <w:sz w:val="32"/>
          <w:szCs w:val="32"/>
          <w:highlight w:val="none"/>
          <w:lang w:val="en-US" w:eastAsia="zh-CN"/>
        </w:rPr>
        <w:t>，减少物料泄漏或者对泄漏的物料未及时收集处理</w:t>
      </w:r>
      <w:r>
        <w:rPr>
          <w:rFonts w:hint="eastAsia" w:ascii="仿宋_GB2312" w:hAnsi="仿宋_GB2312" w:eastAsia="仿宋_GB2312" w:cs="仿宋_GB2312"/>
          <w:sz w:val="32"/>
          <w:szCs w:val="32"/>
          <w:highlight w:val="none"/>
        </w:rPr>
        <w:t>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环境主管部门责令改正，处二万元以上二十万元以下的罚款；拒不改正的，责令停产整治。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i w:val="0"/>
          <w:iCs w:val="0"/>
          <w:sz w:val="32"/>
          <w:szCs w:val="32"/>
          <w:highlight w:val="none"/>
          <w:u w:val="none"/>
          <w:lang w:eastAsia="zh-CN"/>
        </w:rPr>
        <w:t>七十八</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机动车排放检验机构违反本条例第</w:t>
      </w:r>
      <w:r>
        <w:rPr>
          <w:rFonts w:hint="eastAsia" w:ascii="仿宋_GB2312" w:hAnsi="仿宋_GB2312" w:eastAsia="仿宋_GB2312" w:cs="仿宋_GB2312"/>
          <w:sz w:val="32"/>
          <w:szCs w:val="32"/>
          <w:highlight w:val="none"/>
          <w:lang w:eastAsia="zh-CN"/>
        </w:rPr>
        <w:t>三十八</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i w:val="0"/>
          <w:iCs w:val="0"/>
          <w:sz w:val="32"/>
          <w:szCs w:val="32"/>
          <w:highlight w:val="none"/>
          <w:u w:val="none"/>
        </w:rPr>
        <w:t>六</w:t>
      </w:r>
      <w:r>
        <w:rPr>
          <w:rFonts w:hint="eastAsia" w:ascii="仿宋_GB2312" w:hAnsi="仿宋_GB2312" w:eastAsia="仿宋_GB2312" w:cs="仿宋_GB2312"/>
          <w:sz w:val="32"/>
          <w:szCs w:val="32"/>
          <w:highlight w:val="none"/>
        </w:rPr>
        <w:t>项、第</w:t>
      </w:r>
      <w:r>
        <w:rPr>
          <w:rFonts w:hint="eastAsia" w:ascii="仿宋_GB2312" w:hAnsi="仿宋_GB2312" w:eastAsia="仿宋_GB2312" w:cs="仿宋_GB2312"/>
          <w:i w:val="0"/>
          <w:iCs w:val="0"/>
          <w:sz w:val="32"/>
          <w:szCs w:val="32"/>
          <w:highlight w:val="none"/>
          <w:u w:val="none"/>
        </w:rPr>
        <w:t>七</w:t>
      </w:r>
      <w:r>
        <w:rPr>
          <w:rFonts w:hint="eastAsia" w:ascii="仿宋_GB2312" w:hAnsi="仿宋_GB2312" w:eastAsia="仿宋_GB2312" w:cs="仿宋_GB2312"/>
          <w:sz w:val="32"/>
          <w:szCs w:val="32"/>
          <w:highlight w:val="none"/>
        </w:rPr>
        <w:t>项</w:t>
      </w:r>
      <w:r>
        <w:rPr>
          <w:rFonts w:hint="eastAsia" w:ascii="仿宋_GB2312" w:hAnsi="仿宋_GB2312" w:eastAsia="仿宋_GB2312" w:cs="仿宋_GB2312"/>
          <w:i w:val="0"/>
          <w:iCs w:val="0"/>
          <w:sz w:val="32"/>
          <w:szCs w:val="32"/>
          <w:highlight w:val="none"/>
          <w:u w:val="none"/>
        </w:rPr>
        <w:t>、第八项</w:t>
      </w:r>
      <w:r>
        <w:rPr>
          <w:rFonts w:hint="eastAsia" w:ascii="仿宋_GB2312" w:hAnsi="仿宋_GB2312" w:eastAsia="仿宋_GB2312" w:cs="仿宋_GB2312"/>
          <w:sz w:val="32"/>
          <w:szCs w:val="32"/>
          <w:highlight w:val="none"/>
        </w:rPr>
        <w:t>规定</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环境主管部门责令其停止违法行为，限期改正，</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处一万元以上五万元以下</w:t>
      </w:r>
      <w:r>
        <w:rPr>
          <w:rFonts w:hint="eastAsia" w:ascii="仿宋_GB2312" w:hAnsi="仿宋_GB2312" w:eastAsia="仿宋_GB2312" w:cs="仿宋_GB2312"/>
          <w:i w:val="0"/>
          <w:iCs w:val="0"/>
          <w:sz w:val="32"/>
          <w:szCs w:val="32"/>
          <w:highlight w:val="none"/>
          <w:u w:val="none"/>
        </w:rPr>
        <w:t>的</w:t>
      </w:r>
      <w:r>
        <w:rPr>
          <w:rFonts w:hint="eastAsia" w:ascii="仿宋_GB2312" w:hAnsi="仿宋_GB2312" w:eastAsia="仿宋_GB2312" w:cs="仿宋_GB2312"/>
          <w:sz w:val="32"/>
          <w:szCs w:val="32"/>
          <w:highlight w:val="none"/>
        </w:rPr>
        <w:t>罚款。</w:t>
      </w:r>
    </w:p>
    <w:p>
      <w:pPr>
        <w:widowControl w:val="0"/>
        <w:wordWrap/>
        <w:adjustRightInd/>
        <w:snapToGrid w:val="0"/>
        <w:spacing w:beforeAutospacing="0" w:afterAutospacing="0" w:line="560" w:lineRule="exact"/>
        <w:ind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i w:val="0"/>
          <w:iCs w:val="0"/>
          <w:sz w:val="32"/>
          <w:szCs w:val="32"/>
          <w:highlight w:val="none"/>
          <w:u w:val="none"/>
          <w:lang w:eastAsia="zh-CN"/>
        </w:rPr>
        <w:t>七十九</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i w:val="0"/>
          <w:iCs w:val="0"/>
          <w:sz w:val="32"/>
          <w:szCs w:val="32"/>
          <w:highlight w:val="none"/>
          <w:u w:val="none"/>
          <w:lang w:eastAsia="zh-CN"/>
        </w:rPr>
        <w:t>四十一</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i w:val="0"/>
          <w:iCs w:val="0"/>
          <w:sz w:val="32"/>
          <w:szCs w:val="32"/>
          <w:highlight w:val="none"/>
          <w:u w:val="none"/>
          <w:lang w:eastAsia="zh-CN"/>
        </w:rPr>
        <w:t>一</w:t>
      </w:r>
      <w:r>
        <w:rPr>
          <w:rFonts w:hint="eastAsia" w:ascii="仿宋_GB2312" w:hAnsi="仿宋_GB2312" w:eastAsia="仿宋_GB2312" w:cs="仿宋_GB2312"/>
          <w:sz w:val="32"/>
          <w:szCs w:val="32"/>
          <w:highlight w:val="none"/>
        </w:rPr>
        <w:t>款规定，机动车驾驶人驾驶排放检验不合格的机动车上</w:t>
      </w:r>
      <w:r>
        <w:rPr>
          <w:rFonts w:hint="eastAsia" w:ascii="仿宋_GB2312" w:hAnsi="仿宋_GB2312" w:eastAsia="仿宋_GB2312" w:cs="仿宋_GB2312"/>
          <w:i w:val="0"/>
          <w:iCs w:val="0"/>
          <w:sz w:val="32"/>
          <w:szCs w:val="32"/>
          <w:highlight w:val="none"/>
          <w:u w:val="none"/>
        </w:rPr>
        <w:t>道</w:t>
      </w:r>
      <w:r>
        <w:rPr>
          <w:rFonts w:hint="eastAsia" w:ascii="仿宋_GB2312" w:hAnsi="仿宋_GB2312" w:eastAsia="仿宋_GB2312" w:cs="仿宋_GB2312"/>
          <w:sz w:val="32"/>
          <w:szCs w:val="32"/>
          <w:highlight w:val="none"/>
        </w:rPr>
        <w:t>路行驶的，由县级以上人民政府公安机关交通管理部门处二百元罚款。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eastAsia="zh-CN"/>
        </w:rPr>
        <w:t>第八十条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违反本条例第四十二条第三款规定，在用柴油车所有人或者使用人未按照规范要求添加车用尿素等氮氧化物还原剂的，由县级以上人民政府生态环境主管部门责令改正，</w:t>
      </w:r>
      <w:r>
        <w:rPr>
          <w:rFonts w:hint="eastAsia" w:ascii="仿宋_GB2312" w:hAnsi="仿宋_GB2312" w:cs="仿宋_GB2312"/>
          <w:sz w:val="32"/>
          <w:szCs w:val="32"/>
          <w:highlight w:val="none"/>
          <w:lang w:eastAsia="zh-CN"/>
        </w:rPr>
        <w:t>并</w:t>
      </w:r>
      <w:r>
        <w:rPr>
          <w:rFonts w:hint="eastAsia" w:ascii="仿宋_GB2312" w:hAnsi="仿宋_GB2312" w:eastAsia="仿宋_GB2312" w:cs="仿宋_GB2312"/>
          <w:sz w:val="32"/>
          <w:szCs w:val="32"/>
          <w:highlight w:val="none"/>
          <w:lang w:eastAsia="zh-CN"/>
        </w:rPr>
        <w:t>处五</w:t>
      </w:r>
      <w:r>
        <w:rPr>
          <w:rFonts w:hint="eastAsia" w:ascii="仿宋_GB2312" w:hAnsi="仿宋_GB2312" w:cs="仿宋_GB2312"/>
          <w:sz w:val="32"/>
          <w:szCs w:val="32"/>
          <w:highlight w:val="none"/>
          <w:lang w:eastAsia="zh-CN"/>
        </w:rPr>
        <w:t>百</w:t>
      </w:r>
      <w:r>
        <w:rPr>
          <w:rFonts w:hint="eastAsia" w:ascii="仿宋_GB2312" w:hAnsi="仿宋_GB2312" w:eastAsia="仿宋_GB2312" w:cs="仿宋_GB2312"/>
          <w:sz w:val="32"/>
          <w:szCs w:val="32"/>
          <w:highlight w:val="none"/>
          <w:lang w:eastAsia="zh-CN"/>
        </w:rPr>
        <w:t>元</w:t>
      </w:r>
      <w:r>
        <w:rPr>
          <w:rFonts w:hint="eastAsia" w:ascii="仿宋_GB2312" w:hAnsi="仿宋_GB2312" w:cs="仿宋_GB2312"/>
          <w:sz w:val="32"/>
          <w:szCs w:val="32"/>
          <w:highlight w:val="none"/>
          <w:lang w:eastAsia="zh-CN"/>
        </w:rPr>
        <w:t>以上一千元以下的</w:t>
      </w:r>
      <w:r>
        <w:rPr>
          <w:rFonts w:hint="eastAsia" w:ascii="仿宋_GB2312" w:hAnsi="仿宋_GB2312" w:eastAsia="仿宋_GB2312" w:cs="仿宋_GB2312"/>
          <w:sz w:val="32"/>
          <w:szCs w:val="32"/>
          <w:highlight w:val="none"/>
          <w:lang w:eastAsia="zh-CN"/>
        </w:rPr>
        <w:t>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八十一</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四十五</w:t>
      </w:r>
      <w:r>
        <w:rPr>
          <w:rFonts w:hint="eastAsia" w:ascii="仿宋_GB2312" w:hAnsi="仿宋_GB2312" w:eastAsia="仿宋_GB2312" w:cs="仿宋_GB2312"/>
          <w:sz w:val="32"/>
          <w:szCs w:val="32"/>
          <w:highlight w:val="none"/>
        </w:rPr>
        <w:t>条第三款规定，</w:t>
      </w:r>
      <w:r>
        <w:rPr>
          <w:rFonts w:hint="eastAsia" w:ascii="仿宋_GB2312" w:hAnsi="仿宋_GB2312" w:eastAsia="仿宋_GB2312" w:cs="仿宋_GB2312"/>
          <w:sz w:val="32"/>
          <w:szCs w:val="32"/>
          <w:highlight w:val="none"/>
          <w:lang w:eastAsia="zh-CN"/>
        </w:rPr>
        <w:t>在禁止使用</w:t>
      </w:r>
      <w:r>
        <w:rPr>
          <w:rFonts w:hint="eastAsia" w:ascii="仿宋_GB2312" w:hAnsi="仿宋_GB2312" w:eastAsia="仿宋_GB2312" w:cs="仿宋_GB2312"/>
          <w:sz w:val="32"/>
          <w:szCs w:val="32"/>
          <w:highlight w:val="none"/>
        </w:rPr>
        <w:t>高排放非道路移动机械区</w:t>
      </w:r>
      <w:r>
        <w:rPr>
          <w:rFonts w:hint="eastAsia" w:ascii="仿宋_GB2312" w:hAnsi="仿宋_GB2312" w:eastAsia="仿宋_GB2312" w:cs="仿宋_GB2312"/>
          <w:sz w:val="32"/>
          <w:szCs w:val="32"/>
          <w:highlight w:val="none"/>
          <w:lang w:eastAsia="zh-CN"/>
        </w:rPr>
        <w:t>域</w:t>
      </w:r>
      <w:r>
        <w:rPr>
          <w:rFonts w:hint="eastAsia" w:ascii="仿宋_GB2312" w:hAnsi="仿宋_GB2312" w:eastAsia="仿宋_GB2312" w:cs="仿宋_GB2312"/>
          <w:sz w:val="32"/>
          <w:szCs w:val="32"/>
          <w:highlight w:val="none"/>
        </w:rPr>
        <w:t>使用高排放非道路移动机械的，由县级以上人民政府</w:t>
      </w:r>
      <w:r>
        <w:rPr>
          <w:rFonts w:hint="eastAsia" w:ascii="仿宋_GB2312" w:hAnsi="仿宋_GB2312" w:eastAsia="仿宋_GB2312" w:cs="仿宋_GB2312"/>
          <w:sz w:val="32"/>
          <w:szCs w:val="32"/>
          <w:highlight w:val="none"/>
          <w:lang w:eastAsia="zh-CN"/>
        </w:rPr>
        <w:t>生态</w:t>
      </w:r>
      <w:r>
        <w:rPr>
          <w:rFonts w:hint="eastAsia" w:ascii="仿宋_GB2312" w:hAnsi="仿宋_GB2312" w:eastAsia="仿宋_GB2312" w:cs="仿宋_GB2312"/>
          <w:sz w:val="32"/>
          <w:szCs w:val="32"/>
          <w:highlight w:val="none"/>
        </w:rPr>
        <w:t>环境等主管部门</w:t>
      </w:r>
      <w:r>
        <w:rPr>
          <w:rFonts w:hint="eastAsia" w:ascii="仿宋_GB2312" w:hAnsi="仿宋_GB2312" w:eastAsia="仿宋_GB2312" w:cs="仿宋_GB2312"/>
          <w:i w:val="0"/>
          <w:iCs w:val="0"/>
          <w:sz w:val="32"/>
          <w:szCs w:val="32"/>
          <w:highlight w:val="none"/>
          <w:u w:val="none"/>
        </w:rPr>
        <w:t>按照职责</w:t>
      </w:r>
      <w:r>
        <w:rPr>
          <w:rFonts w:hint="eastAsia" w:ascii="仿宋_GB2312" w:hAnsi="仿宋_GB2312" w:eastAsia="仿宋_GB2312" w:cs="仿宋_GB2312"/>
          <w:sz w:val="32"/>
          <w:szCs w:val="32"/>
          <w:highlight w:val="none"/>
        </w:rPr>
        <w:t>责令改正，处</w:t>
      </w:r>
      <w:r>
        <w:rPr>
          <w:rFonts w:hint="eastAsia" w:ascii="仿宋_GB2312" w:hAnsi="仿宋_GB2312" w:eastAsia="仿宋_GB2312" w:cs="仿宋_GB2312"/>
          <w:sz w:val="32"/>
          <w:szCs w:val="32"/>
          <w:highlight w:val="none"/>
          <w:lang w:eastAsia="zh-CN"/>
        </w:rPr>
        <w:t>两万</w:t>
      </w:r>
      <w:r>
        <w:rPr>
          <w:rFonts w:hint="eastAsia" w:ascii="仿宋_GB2312" w:hAnsi="仿宋_GB2312" w:eastAsia="仿宋_GB2312" w:cs="仿宋_GB2312"/>
          <w:sz w:val="32"/>
          <w:szCs w:val="32"/>
          <w:highlight w:val="none"/>
        </w:rPr>
        <w:t>元的罚款；情节严重的，责令停工整治。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lang w:eastAsia="zh-CN"/>
        </w:rPr>
        <w:t>第八十二条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sz w:val="32"/>
          <w:szCs w:val="32"/>
          <w:highlight w:val="none"/>
          <w:lang w:eastAsia="zh-CN"/>
        </w:rPr>
        <w:t>五十三</w:t>
      </w:r>
      <w:r>
        <w:rPr>
          <w:rFonts w:hint="eastAsia" w:ascii="仿宋_GB2312" w:hAnsi="仿宋_GB2312" w:eastAsia="仿宋_GB2312" w:cs="仿宋_GB2312"/>
          <w:sz w:val="32"/>
          <w:szCs w:val="32"/>
          <w:highlight w:val="none"/>
        </w:rPr>
        <w:t>条</w:t>
      </w:r>
      <w:r>
        <w:rPr>
          <w:rFonts w:hint="eastAsia" w:ascii="仿宋_GB2312" w:hAnsi="仿宋_GB2312" w:eastAsia="仿宋_GB2312" w:cs="仿宋_GB2312"/>
          <w:sz w:val="32"/>
          <w:szCs w:val="32"/>
          <w:highlight w:val="none"/>
          <w:lang w:eastAsia="zh-CN"/>
        </w:rPr>
        <w:t>第一款</w:t>
      </w:r>
      <w:r>
        <w:rPr>
          <w:rFonts w:hint="eastAsia" w:ascii="仿宋_GB2312" w:hAnsi="仿宋_GB2312" w:eastAsia="仿宋_GB2312" w:cs="仿宋_GB2312"/>
          <w:sz w:val="32"/>
          <w:szCs w:val="32"/>
          <w:highlight w:val="none"/>
        </w:rPr>
        <w:t>规定，</w:t>
      </w:r>
      <w:r>
        <w:rPr>
          <w:rFonts w:hint="eastAsia" w:ascii="仿宋_GB2312" w:hAnsi="仿宋_GB2312" w:eastAsia="仿宋_GB2312" w:cs="仿宋_GB2312"/>
          <w:sz w:val="32"/>
          <w:szCs w:val="32"/>
          <w:highlight w:val="none"/>
          <w:lang w:eastAsia="zh-CN"/>
        </w:rPr>
        <w:t>施工单位</w:t>
      </w:r>
      <w:r>
        <w:rPr>
          <w:rFonts w:hint="eastAsia" w:ascii="仿宋_GB2312" w:hAnsi="仿宋_GB2312" w:eastAsia="仿宋_GB2312" w:cs="仿宋_GB2312"/>
          <w:sz w:val="32"/>
          <w:szCs w:val="32"/>
          <w:highlight w:val="none"/>
        </w:rPr>
        <w:t>未建立扬尘污染防治工作台账的，由县级以上人民政府住房城乡建设等主管部门按照职责责令改正，处五千元以上二万元以下的罚款；拒不改正的，责令停工整治。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w:t>
      </w:r>
      <w:r>
        <w:rPr>
          <w:rFonts w:hint="eastAsia" w:ascii="黑体" w:hAnsi="黑体" w:eastAsia="黑体" w:cs="黑体"/>
          <w:sz w:val="32"/>
          <w:szCs w:val="32"/>
          <w:highlight w:val="none"/>
          <w:lang w:eastAsia="zh-CN"/>
        </w:rPr>
        <w:t>八十三</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施工单位违反本条例第五十</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条、第</w:t>
      </w:r>
      <w:r>
        <w:rPr>
          <w:rFonts w:hint="eastAsia" w:ascii="仿宋_GB2312" w:hAnsi="仿宋_GB2312" w:eastAsia="仿宋_GB2312" w:cs="仿宋_GB2312"/>
          <w:sz w:val="32"/>
          <w:szCs w:val="32"/>
          <w:highlight w:val="none"/>
          <w:lang w:eastAsia="zh-CN"/>
        </w:rPr>
        <w:t>五十八</w:t>
      </w:r>
      <w:r>
        <w:rPr>
          <w:rFonts w:hint="eastAsia" w:ascii="仿宋_GB2312" w:hAnsi="仿宋_GB2312" w:eastAsia="仿宋_GB2312" w:cs="仿宋_GB2312"/>
          <w:sz w:val="32"/>
          <w:szCs w:val="32"/>
          <w:highlight w:val="none"/>
        </w:rPr>
        <w:t>条规定，</w:t>
      </w:r>
      <w:r>
        <w:rPr>
          <w:rFonts w:hint="eastAsia" w:ascii="仿宋_GB2312" w:hAnsi="仿宋_GB2312" w:eastAsia="仿宋_GB2312" w:cs="仿宋_GB2312"/>
          <w:sz w:val="32"/>
          <w:szCs w:val="32"/>
          <w:highlight w:val="none"/>
          <w:lang w:eastAsia="zh-CN"/>
        </w:rPr>
        <w:t>未</w:t>
      </w:r>
      <w:r>
        <w:rPr>
          <w:rFonts w:hint="eastAsia" w:ascii="仿宋_GB2312" w:hAnsi="仿宋_GB2312" w:eastAsia="仿宋_GB2312" w:cs="仿宋_GB2312"/>
          <w:sz w:val="32"/>
          <w:szCs w:val="32"/>
          <w:highlight w:val="none"/>
        </w:rPr>
        <w:t>安装视频监控设备</w:t>
      </w:r>
      <w:r>
        <w:rPr>
          <w:rFonts w:hint="eastAsia" w:ascii="仿宋_GB2312" w:hAnsi="仿宋_GB2312" w:eastAsia="仿宋_GB2312" w:cs="仿宋_GB2312"/>
          <w:sz w:val="32"/>
          <w:szCs w:val="32"/>
          <w:highlight w:val="none"/>
          <w:lang w:eastAsia="zh-CN"/>
        </w:rPr>
        <w:t>、颗粒物在线监测系统，在</w:t>
      </w:r>
      <w:r>
        <w:rPr>
          <w:rFonts w:hint="eastAsia" w:ascii="仿宋_GB2312" w:hAnsi="仿宋_GB2312" w:eastAsia="仿宋_GB2312" w:cs="仿宋_GB2312"/>
          <w:sz w:val="32"/>
          <w:szCs w:val="32"/>
          <w:highlight w:val="none"/>
        </w:rPr>
        <w:t>禁止搅拌混凝土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搅拌砂浆</w:t>
      </w:r>
      <w:r>
        <w:rPr>
          <w:rFonts w:hint="eastAsia" w:ascii="仿宋_GB2312" w:hAnsi="仿宋_GB2312" w:eastAsia="仿宋_GB2312" w:cs="仿宋_GB2312"/>
          <w:sz w:val="32"/>
          <w:szCs w:val="32"/>
          <w:highlight w:val="none"/>
          <w:lang w:eastAsia="zh-CN"/>
        </w:rPr>
        <w:t>范围内现场搅拌混凝土、现场搅拌砂浆，在施工现场铺贴各类瓷砖、石板材等装饰块件采用干式方法进行切割</w:t>
      </w:r>
      <w:r>
        <w:rPr>
          <w:rFonts w:hint="eastAsia" w:ascii="仿宋_GB2312" w:hAnsi="仿宋_GB2312" w:eastAsia="仿宋_GB2312" w:cs="仿宋_GB2312"/>
          <w:sz w:val="32"/>
          <w:szCs w:val="32"/>
          <w:highlight w:val="none"/>
        </w:rPr>
        <w:t>，使用含石棉物质作为建筑材料</w:t>
      </w:r>
      <w:r>
        <w:rPr>
          <w:rFonts w:hint="eastAsia" w:ascii="仿宋_GB2312" w:hAnsi="仿宋_GB2312" w:eastAsia="仿宋_GB2312" w:cs="仿宋_GB2312"/>
          <w:i w:val="0"/>
          <w:iCs w:val="0"/>
          <w:sz w:val="32"/>
          <w:szCs w:val="32"/>
          <w:highlight w:val="none"/>
          <w:u w:val="none"/>
        </w:rPr>
        <w:t>，</w:t>
      </w:r>
      <w:r>
        <w:rPr>
          <w:rFonts w:hint="eastAsia" w:ascii="仿宋_GB2312" w:hAnsi="仿宋_GB2312" w:eastAsia="仿宋_GB2312" w:cs="仿宋_GB2312"/>
          <w:sz w:val="32"/>
          <w:szCs w:val="32"/>
          <w:highlight w:val="none"/>
        </w:rPr>
        <w:t>在建筑物拆除或者整修前</w:t>
      </w:r>
      <w:r>
        <w:rPr>
          <w:rFonts w:hint="eastAsia" w:ascii="仿宋_GB2312" w:hAnsi="仿宋_GB2312" w:eastAsia="仿宋_GB2312" w:cs="仿宋_GB2312"/>
          <w:sz w:val="32"/>
          <w:szCs w:val="32"/>
          <w:highlight w:val="none"/>
          <w:lang w:eastAsia="zh-CN"/>
        </w:rPr>
        <w:t>未按照国家和省的有关规定</w:t>
      </w:r>
      <w:r>
        <w:rPr>
          <w:rFonts w:hint="eastAsia" w:ascii="仿宋_GB2312" w:hAnsi="仿宋_GB2312" w:eastAsia="仿宋_GB2312" w:cs="仿宋_GB2312"/>
          <w:sz w:val="32"/>
          <w:szCs w:val="32"/>
          <w:highlight w:val="none"/>
        </w:rPr>
        <w:t>拆除石棉及含石棉物质的，由县级以上人民政府住房城乡建设等</w:t>
      </w:r>
      <w:r>
        <w:rPr>
          <w:rFonts w:hint="eastAsia" w:ascii="仿宋_GB2312" w:hAnsi="仿宋_GB2312" w:eastAsia="仿宋_GB2312" w:cs="仿宋_GB2312"/>
          <w:sz w:val="32"/>
          <w:szCs w:val="32"/>
          <w:highlight w:val="none"/>
          <w:lang w:eastAsia="zh-CN"/>
        </w:rPr>
        <w:t>主管</w:t>
      </w:r>
      <w:r>
        <w:rPr>
          <w:rFonts w:hint="eastAsia" w:ascii="仿宋_GB2312" w:hAnsi="仿宋_GB2312" w:eastAsia="仿宋_GB2312" w:cs="仿宋_GB2312"/>
          <w:sz w:val="32"/>
          <w:szCs w:val="32"/>
          <w:highlight w:val="none"/>
        </w:rPr>
        <w:t>部门</w:t>
      </w:r>
      <w:r>
        <w:rPr>
          <w:rFonts w:hint="eastAsia" w:ascii="仿宋_GB2312" w:hAnsi="仿宋_GB2312" w:eastAsia="仿宋_GB2312" w:cs="仿宋_GB2312"/>
          <w:i w:val="0"/>
          <w:iCs w:val="0"/>
          <w:sz w:val="32"/>
          <w:szCs w:val="32"/>
          <w:highlight w:val="none"/>
          <w:u w:val="none"/>
        </w:rPr>
        <w:t>按照职责</w:t>
      </w:r>
      <w:r>
        <w:rPr>
          <w:rFonts w:hint="eastAsia" w:ascii="仿宋_GB2312" w:hAnsi="仿宋_GB2312" w:eastAsia="仿宋_GB2312" w:cs="仿宋_GB2312"/>
          <w:sz w:val="32"/>
          <w:szCs w:val="32"/>
          <w:highlight w:val="none"/>
        </w:rPr>
        <w:t>责令改正，处五万元以上十万元以下的罚款；拒不改正的，责令停工整治。</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sz w:val="32"/>
          <w:szCs w:val="32"/>
          <w:highlight w:val="none"/>
        </w:rPr>
        <w:t>第八十</w:t>
      </w:r>
      <w:r>
        <w:rPr>
          <w:rFonts w:hint="eastAsia" w:ascii="黑体" w:hAnsi="黑体" w:eastAsia="黑体" w:cs="黑体"/>
          <w:sz w:val="32"/>
          <w:szCs w:val="32"/>
          <w:highlight w:val="none"/>
          <w:lang w:eastAsia="zh-CN"/>
        </w:rPr>
        <w:t>四</w:t>
      </w:r>
      <w:r>
        <w:rPr>
          <w:rFonts w:hint="eastAsia" w:ascii="黑体" w:hAnsi="黑体" w:eastAsia="黑体" w:cs="黑体"/>
          <w:sz w:val="32"/>
          <w:szCs w:val="32"/>
          <w:highlight w:val="none"/>
        </w:rPr>
        <w:t>条</w:t>
      </w:r>
      <w:r>
        <w:rPr>
          <w:rFonts w:hint="eastAsia" w:ascii="黑体"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违反本条例第五十</w:t>
      </w: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条第一款规定，</w:t>
      </w:r>
      <w:r>
        <w:rPr>
          <w:rFonts w:hint="eastAsia" w:ascii="仿宋_GB2312" w:hAnsi="仿宋_GB2312" w:eastAsia="仿宋_GB2312" w:cs="仿宋_GB2312"/>
          <w:sz w:val="32"/>
          <w:szCs w:val="32"/>
          <w:highlight w:val="none"/>
          <w:lang w:eastAsia="zh-CN"/>
        </w:rPr>
        <w:t>运输煤炭、垃圾、渣土、土方、砂石和灰浆等散装、流体物料的车辆</w:t>
      </w:r>
      <w:r>
        <w:rPr>
          <w:rFonts w:hint="eastAsia" w:ascii="仿宋_GB2312" w:hAnsi="仿宋_GB2312" w:eastAsia="仿宋_GB2312" w:cs="仿宋_GB2312"/>
          <w:sz w:val="32"/>
          <w:szCs w:val="32"/>
          <w:highlight w:val="none"/>
        </w:rPr>
        <w:t>未采取密闭运输</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未配备卫星定位装置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i w:val="0"/>
          <w:iCs w:val="0"/>
          <w:sz w:val="32"/>
          <w:szCs w:val="32"/>
          <w:highlight w:val="none"/>
          <w:u w:val="none"/>
        </w:rPr>
        <w:t>或者</w:t>
      </w:r>
      <w:r>
        <w:rPr>
          <w:rFonts w:hint="eastAsia" w:ascii="仿宋_GB2312" w:hAnsi="仿宋_GB2312" w:eastAsia="仿宋_GB2312" w:cs="仿宋_GB2312"/>
          <w:sz w:val="32"/>
          <w:szCs w:val="32"/>
          <w:highlight w:val="none"/>
        </w:rPr>
        <w:t>未按照规定的时间、路线要求行驶的，由县级以上人民政府确定的监督管理部门责令改正，处五千元以上二万元以下的罚款；拒不改正的，车辆不得上道路行驶。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黑体" w:hAnsi="黑体" w:eastAsia="黑体" w:cs="黑体"/>
          <w:b w:val="0"/>
          <w:bCs w:val="0"/>
          <w:sz w:val="32"/>
          <w:szCs w:val="32"/>
          <w:highlight w:val="none"/>
        </w:rPr>
        <w:t>第八十</w:t>
      </w:r>
      <w:r>
        <w:rPr>
          <w:rFonts w:hint="eastAsia" w:ascii="黑体" w:hAnsi="黑体" w:eastAsia="黑体" w:cs="黑体"/>
          <w:b w:val="0"/>
          <w:bCs w:val="0"/>
          <w:sz w:val="32"/>
          <w:szCs w:val="32"/>
          <w:highlight w:val="none"/>
          <w:lang w:eastAsia="zh-CN"/>
        </w:rPr>
        <w:t>五</w:t>
      </w:r>
      <w:r>
        <w:rPr>
          <w:rFonts w:hint="eastAsia" w:ascii="黑体" w:hAnsi="黑体" w:eastAsia="黑体" w:cs="黑体"/>
          <w:b w:val="0"/>
          <w:bCs w:val="0"/>
          <w:sz w:val="32"/>
          <w:szCs w:val="32"/>
          <w:highlight w:val="none"/>
        </w:rPr>
        <w:t>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rPr>
        <w:t>违反本条例第</w:t>
      </w:r>
      <w:r>
        <w:rPr>
          <w:rFonts w:hint="eastAsia" w:ascii="仿宋_GB2312" w:hAnsi="仿宋_GB2312" w:eastAsia="仿宋_GB2312" w:cs="仿宋_GB2312"/>
          <w:b w:val="0"/>
          <w:bCs w:val="0"/>
          <w:sz w:val="32"/>
          <w:szCs w:val="32"/>
          <w:highlight w:val="none"/>
          <w:lang w:eastAsia="zh-CN"/>
        </w:rPr>
        <w:t>六十一</w:t>
      </w:r>
      <w:r>
        <w:rPr>
          <w:rFonts w:hint="eastAsia" w:ascii="仿宋_GB2312" w:hAnsi="仿宋_GB2312" w:eastAsia="仿宋_GB2312" w:cs="仿宋_GB2312"/>
          <w:sz w:val="32"/>
          <w:szCs w:val="32"/>
          <w:highlight w:val="none"/>
        </w:rPr>
        <w:t>条第四款规定，封堵、改变专用烟道</w:t>
      </w:r>
      <w:r>
        <w:rPr>
          <w:rFonts w:hint="eastAsia" w:ascii="仿宋_GB2312" w:hAnsi="仿宋_GB2312" w:eastAsia="仿宋_GB2312" w:cs="仿宋_GB2312"/>
          <w:i w:val="0"/>
          <w:iCs w:val="0"/>
          <w:sz w:val="32"/>
          <w:szCs w:val="32"/>
          <w:highlight w:val="none"/>
          <w:u w:val="none"/>
        </w:rPr>
        <w:t>或者</w:t>
      </w:r>
      <w:r>
        <w:rPr>
          <w:rFonts w:hint="eastAsia" w:ascii="仿宋_GB2312" w:hAnsi="仿宋_GB2312" w:eastAsia="仿宋_GB2312" w:cs="仿宋_GB2312"/>
          <w:sz w:val="32"/>
          <w:szCs w:val="32"/>
          <w:highlight w:val="none"/>
        </w:rPr>
        <w:t>向城市地下排水管道排</w:t>
      </w:r>
      <w:r>
        <w:rPr>
          <w:rFonts w:hint="eastAsia" w:ascii="仿宋_GB2312" w:hAnsi="仿宋_GB2312" w:eastAsia="仿宋_GB2312" w:cs="仿宋_GB2312"/>
          <w:sz w:val="32"/>
          <w:szCs w:val="32"/>
          <w:highlight w:val="none"/>
          <w:lang w:eastAsia="zh-CN"/>
        </w:rPr>
        <w:t>放油烟</w:t>
      </w:r>
      <w:r>
        <w:rPr>
          <w:rFonts w:hint="eastAsia" w:ascii="仿宋_GB2312" w:hAnsi="仿宋_GB2312" w:eastAsia="仿宋_GB2312" w:cs="仿宋_GB2312"/>
          <w:sz w:val="32"/>
          <w:szCs w:val="32"/>
          <w:highlight w:val="none"/>
        </w:rPr>
        <w:t>的，由县级以上人民政府确定的监督管理部门责令限期改正；逾期不改正的，处五千元以上二万元以下的罚款。</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p>
    <w:p>
      <w:pPr>
        <w:widowControl w:val="0"/>
        <w:numPr>
          <w:ilvl w:val="0"/>
          <w:numId w:val="0"/>
        </w:numPr>
        <w:tabs>
          <w:tab w:val="left" w:pos="0"/>
        </w:tabs>
        <w:wordWrap/>
        <w:adjustRightInd/>
        <w:snapToGrid w:val="0"/>
        <w:spacing w:beforeAutospacing="0" w:afterAutospacing="0" w:line="560" w:lineRule="exact"/>
        <w:ind w:leftChars="0" w:right="0"/>
        <w:jc w:val="center"/>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eastAsia="zh-CN"/>
        </w:rPr>
        <w:t>第九章</w:t>
      </w:r>
      <w:r>
        <w:rPr>
          <w:rFonts w:hint="eastAsia" w:ascii="黑体" w:hAnsi="黑体" w:eastAsia="黑体" w:cs="黑体"/>
          <w:b w:val="0"/>
          <w:bCs w:val="0"/>
          <w:sz w:val="32"/>
          <w:szCs w:val="32"/>
          <w:highlight w:val="none"/>
          <w:lang w:val="en-US" w:eastAsia="zh-CN"/>
        </w:rPr>
        <w:t xml:space="preserve">  </w:t>
      </w:r>
      <w:r>
        <w:rPr>
          <w:rFonts w:hint="eastAsia" w:ascii="黑体" w:hAnsi="黑体" w:eastAsia="黑体" w:cs="黑体"/>
          <w:b w:val="0"/>
          <w:bCs w:val="0"/>
          <w:sz w:val="32"/>
          <w:szCs w:val="32"/>
          <w:highlight w:val="none"/>
        </w:rPr>
        <w:t>附则</w:t>
      </w:r>
    </w:p>
    <w:p>
      <w:pPr>
        <w:widowControl w:val="0"/>
        <w:wordWrap/>
        <w:adjustRightInd/>
        <w:snapToGrid w:val="0"/>
        <w:spacing w:beforeAutospacing="0" w:afterAutospacing="0" w:line="560" w:lineRule="exact"/>
        <w:ind w:left="0" w:leftChars="0" w:right="0"/>
        <w:jc w:val="both"/>
        <w:textAlignment w:val="auto"/>
        <w:outlineLvl w:val="9"/>
        <w:rPr>
          <w:rFonts w:hint="eastAsia" w:ascii="仿宋_GB2312" w:hAnsi="仿宋_GB2312" w:eastAsia="仿宋_GB2312" w:cs="仿宋_GB2312"/>
          <w:sz w:val="32"/>
          <w:szCs w:val="32"/>
          <w:highlight w:val="none"/>
        </w:rPr>
      </w:pP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黑体" w:hAnsi="黑体" w:eastAsia="黑体" w:cs="黑体"/>
          <w:b w:val="0"/>
          <w:bCs w:val="0"/>
          <w:sz w:val="32"/>
          <w:szCs w:val="32"/>
          <w:highlight w:val="none"/>
          <w:lang w:eastAsia="zh-CN"/>
        </w:rPr>
        <w:t>第八十六条</w:t>
      </w:r>
      <w:r>
        <w:rPr>
          <w:rFonts w:hint="eastAsia" w:ascii="黑体" w:hAnsi="黑体" w:eastAsia="黑体" w:cs="黑体"/>
          <w:b w:val="0"/>
          <w:bCs w:val="0"/>
          <w:sz w:val="32"/>
          <w:szCs w:val="32"/>
          <w:highlight w:val="none"/>
          <w:lang w:val="en-US" w:eastAsia="zh-CN"/>
        </w:rPr>
        <w:t xml:space="preserve">  </w:t>
      </w:r>
      <w:r>
        <w:rPr>
          <w:rFonts w:hint="eastAsia" w:ascii="仿宋_GB2312" w:hAnsi="仿宋_GB2312" w:eastAsia="仿宋_GB2312" w:cs="仿宋_GB2312"/>
          <w:sz w:val="32"/>
          <w:szCs w:val="32"/>
          <w:highlight w:val="none"/>
        </w:rPr>
        <w:t>本条例所称移动源，是指由内燃机为驱动或者牵引的机动车、非道路移动机械、船舶。</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本条例所称新车，是指新生产尚未办理注册登记的汽车。</w:t>
      </w:r>
    </w:p>
    <w:p>
      <w:pPr>
        <w:widowControl w:val="0"/>
        <w:wordWrap/>
        <w:adjustRightInd/>
        <w:snapToGrid w:val="0"/>
        <w:spacing w:beforeAutospacing="0" w:afterAutospacing="0" w:line="560" w:lineRule="exact"/>
        <w:ind w:left="0" w:leftChars="0" w:right="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本条例所称在用车，是指已经登记注册并取得号牌的汽车。</w:t>
      </w:r>
    </w:p>
    <w:p>
      <w:pPr>
        <w:widowControl w:val="0"/>
        <w:wordWrap/>
        <w:adjustRightInd/>
        <w:snapToGrid w:val="0"/>
        <w:spacing w:before="0" w:beforeLines="0" w:beforeAutospacing="0" w:after="0" w:afterLines="0" w:afterAutospacing="0" w:line="560" w:lineRule="exact"/>
        <w:ind w:left="0" w:leftChars="0" w:right="0" w:firstLine="640" w:firstLineChars="200"/>
        <w:jc w:val="both"/>
        <w:textAlignment w:val="auto"/>
        <w:outlineLvl w:val="9"/>
        <w:rPr>
          <w:rFonts w:hint="eastAsia" w:ascii="宋体" w:hAnsi="宋体" w:eastAsia="黑体" w:cs="Times New Roman"/>
          <w:kern w:val="0"/>
          <w:sz w:val="24"/>
          <w:szCs w:val="32"/>
          <w:lang w:val="en-US" w:eastAsia="zh-CN"/>
        </w:rPr>
      </w:pPr>
      <w:r>
        <w:rPr>
          <w:rFonts w:hint="eastAsia" w:ascii="黑体" w:hAnsi="黑体" w:eastAsia="黑体" w:cs="黑体"/>
          <w:b w:val="0"/>
          <w:bCs w:val="0"/>
          <w:kern w:val="2"/>
          <w:sz w:val="32"/>
          <w:szCs w:val="32"/>
          <w:highlight w:val="none"/>
          <w:lang w:val="en-US" w:eastAsia="zh-CN" w:bidi="ar-SA"/>
        </w:rPr>
        <w:t xml:space="preserve">第八十七条  </w:t>
      </w:r>
      <w:r>
        <w:rPr>
          <w:rFonts w:hint="eastAsia" w:ascii="仿宋_GB2312" w:hAnsi="仿宋_GB2312" w:eastAsia="仿宋_GB2312" w:cs="仿宋_GB2312"/>
          <w:kern w:val="0"/>
          <w:sz w:val="32"/>
          <w:szCs w:val="32"/>
          <w:highlight w:val="none"/>
          <w:lang w:val="en-US" w:eastAsia="zh-CN"/>
        </w:rPr>
        <w:t>本条例自</w:t>
      </w:r>
      <w:r>
        <w:rPr>
          <w:rFonts w:hint="eastAsia" w:ascii="宋体" w:hAnsi="宋体" w:eastAsia="宋体" w:cs="宋体"/>
          <w:kern w:val="2"/>
          <w:sz w:val="32"/>
          <w:szCs w:val="32"/>
          <w:highlight w:val="none"/>
          <w:lang w:val="en-US" w:eastAsia="zh-CN" w:bidi="ar-SA"/>
        </w:rPr>
        <w:t>2019</w:t>
      </w:r>
      <w:r>
        <w:rPr>
          <w:rFonts w:hint="eastAsia" w:ascii="仿宋_GB2312" w:hAnsi="仿宋_GB2312" w:eastAsia="仿宋_GB2312" w:cs="仿宋_GB2312"/>
          <w:kern w:val="2"/>
          <w:sz w:val="32"/>
          <w:szCs w:val="32"/>
          <w:highlight w:val="none"/>
          <w:lang w:val="en-US" w:eastAsia="zh-CN" w:bidi="ar-SA"/>
        </w:rPr>
        <w:t>年</w:t>
      </w:r>
      <w:r>
        <w:rPr>
          <w:rFonts w:hint="eastAsia" w:ascii="宋体" w:hAnsi="宋体" w:eastAsia="宋体" w:cs="宋体"/>
          <w:kern w:val="2"/>
          <w:sz w:val="32"/>
          <w:szCs w:val="32"/>
          <w:highlight w:val="none"/>
          <w:lang w:val="en-US" w:eastAsia="zh-CN" w:bidi="ar-SA"/>
        </w:rPr>
        <w:t>3</w:t>
      </w:r>
      <w:r>
        <w:rPr>
          <w:rFonts w:hint="eastAsia" w:ascii="仿宋_GB2312" w:hAnsi="仿宋_GB2312" w:eastAsia="仿宋_GB2312" w:cs="仿宋_GB2312"/>
          <w:kern w:val="2"/>
          <w:sz w:val="32"/>
          <w:szCs w:val="32"/>
          <w:highlight w:val="none"/>
          <w:lang w:val="en-US" w:eastAsia="zh-CN" w:bidi="ar-SA"/>
        </w:rPr>
        <w:t>月</w:t>
      </w:r>
      <w:r>
        <w:rPr>
          <w:rFonts w:hint="eastAsia" w:ascii="宋体" w:hAnsi="宋体" w:eastAsia="宋体" w:cs="宋体"/>
          <w:kern w:val="2"/>
          <w:sz w:val="32"/>
          <w:szCs w:val="32"/>
          <w:highlight w:val="none"/>
          <w:lang w:val="en-US" w:eastAsia="zh-CN" w:bidi="ar-SA"/>
        </w:rPr>
        <w:t>1</w:t>
      </w:r>
      <w:r>
        <w:rPr>
          <w:rFonts w:hint="eastAsia" w:ascii="仿宋_GB2312" w:hAnsi="仿宋_GB2312" w:eastAsia="仿宋_GB2312" w:cs="仿宋_GB2312"/>
          <w:kern w:val="2"/>
          <w:sz w:val="32"/>
          <w:szCs w:val="32"/>
          <w:highlight w:val="none"/>
          <w:lang w:val="en-US" w:eastAsia="zh-CN" w:bidi="ar-SA"/>
        </w:rPr>
        <w:t>日</w:t>
      </w:r>
      <w:r>
        <w:rPr>
          <w:rFonts w:hint="eastAsia" w:ascii="仿宋_GB2312" w:hAnsi="仿宋_GB2312" w:eastAsia="仿宋_GB2312" w:cs="仿宋_GB2312"/>
          <w:kern w:val="0"/>
          <w:sz w:val="32"/>
          <w:szCs w:val="32"/>
          <w:highlight w:val="none"/>
          <w:lang w:val="en-US" w:eastAsia="zh-CN"/>
        </w:rPr>
        <w:t>起施行。</w:t>
      </w:r>
    </w:p>
    <w:p>
      <w:pPr>
        <w:widowControl w:val="0"/>
        <w:ind w:firstLine="640" w:firstLineChars="200"/>
        <w:jc w:val="both"/>
        <w:rPr>
          <w:rFonts w:hint="eastAsia" w:ascii="Calibri" w:hAnsi="Calibri" w:eastAsia="宋体" w:cs="Times New Roman"/>
          <w:kern w:val="2"/>
          <w:sz w:val="32"/>
          <w:szCs w:val="24"/>
          <w:lang w:val="en-US" w:eastAsia="zh-CN" w:bidi="ar-SA"/>
        </w:rPr>
      </w:pPr>
    </w:p>
    <w:p>
      <w:pPr>
        <w:widowControl w:val="0"/>
        <w:ind w:firstLine="640" w:firstLineChars="200"/>
        <w:jc w:val="both"/>
        <w:rPr>
          <w:rFonts w:hint="eastAsia" w:ascii="Calibri" w:hAnsi="Calibri" w:eastAsia="宋体" w:cs="Times New Roman"/>
          <w:kern w:val="2"/>
          <w:sz w:val="32"/>
          <w:szCs w:val="24"/>
          <w:lang w:val="en-US" w:eastAsia="zh-CN" w:bidi="ar-SA"/>
        </w:rPr>
      </w:pPr>
    </w:p>
    <w:p>
      <w:pPr>
        <w:widowControl w:val="0"/>
        <w:ind w:firstLine="640" w:firstLineChars="200"/>
        <w:jc w:val="both"/>
        <w:rPr>
          <w:rFonts w:hint="eastAsia" w:ascii="Calibri" w:hAnsi="Calibri" w:eastAsia="宋体" w:cs="Times New Roman"/>
          <w:kern w:val="2"/>
          <w:sz w:val="32"/>
          <w:szCs w:val="24"/>
          <w:lang w:val="en-US" w:eastAsia="zh-CN" w:bidi="ar-SA"/>
        </w:rPr>
      </w:pPr>
    </w:p>
    <w:p>
      <w:pPr>
        <w:widowControl w:val="0"/>
        <w:wordWrap/>
        <w:adjustRightInd/>
        <w:snapToGrid/>
        <w:spacing w:before="238" w:beforeLines="40" w:line="580" w:lineRule="exact"/>
        <w:ind w:left="0" w:leftChars="0" w:right="0" w:firstLine="0" w:firstLineChars="0"/>
        <w:jc w:val="both"/>
        <w:textAlignment w:val="auto"/>
        <w:outlineLvl w:val="9"/>
        <w:rPr>
          <w:rFonts w:hint="eastAsia" w:ascii="宋体" w:hAnsi="宋体" w:eastAsia="仿宋_GB2312" w:cs="Times New Roman"/>
          <w:color w:val="000000"/>
          <w:szCs w:val="32"/>
          <w:lang w:eastAsia="zh-CN"/>
        </w:rPr>
      </w:pPr>
    </w:p>
    <w:p>
      <w:pPr>
        <w:rPr>
          <w:rFonts w:ascii="Times New Roman" w:hAnsi="Times New Roman" w:cs="Times New Roman"/>
        </w:rPr>
      </w:pPr>
    </w:p>
    <w:p>
      <w:pPr>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49" w:name="_Toc17061"/>
      <w:r>
        <w:rPr>
          <w:rFonts w:hint="eastAsia" w:ascii="宋体" w:hAnsi="宋体" w:eastAsia="宋体" w:cs="宋体"/>
          <w:color w:val="000000"/>
          <w:sz w:val="44"/>
          <w:szCs w:val="44"/>
        </w:rPr>
        <w:t>广东省</w:t>
      </w:r>
      <w:r>
        <w:rPr>
          <w:rFonts w:hint="eastAsia" w:ascii="宋体" w:hAnsi="宋体" w:eastAsia="宋体" w:cs="宋体"/>
          <w:color w:val="000000"/>
          <w:sz w:val="44"/>
          <w:szCs w:val="44"/>
          <w:lang w:eastAsia="zh-CN"/>
        </w:rPr>
        <w:t>固体废物污染环境防治</w:t>
      </w:r>
      <w:r>
        <w:rPr>
          <w:rFonts w:hint="eastAsia" w:ascii="宋体" w:hAnsi="宋体" w:eastAsia="宋体" w:cs="宋体"/>
          <w:color w:val="000000"/>
          <w:sz w:val="44"/>
          <w:szCs w:val="44"/>
        </w:rPr>
        <w:t>条例</w:t>
      </w:r>
      <w:bookmarkEnd w:id="449"/>
    </w:p>
    <w:p>
      <w:pPr>
        <w:widowControl w:val="0"/>
        <w:wordWrap/>
        <w:overflowPunct w:val="0"/>
        <w:adjustRightInd/>
        <w:snapToGrid/>
        <w:spacing w:beforeAutospacing="0" w:afterAutospacing="0" w:line="560" w:lineRule="exact"/>
        <w:ind w:right="0" w:firstLine="631"/>
        <w:jc w:val="both"/>
        <w:textAlignment w:val="auto"/>
        <w:rPr>
          <w:rFonts w:hint="eastAsia" w:ascii="宋体" w:hAnsi="宋体" w:eastAsia="楷体_GB2312"/>
          <w:kern w:val="2"/>
          <w:sz w:val="32"/>
          <w:szCs w:val="32"/>
          <w:lang w:val="en-US" w:eastAsia="zh-CN" w:bidi="ar-SA"/>
        </w:rPr>
      </w:pP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（2004年1月14日广东省第十届人民代表大会常务委员会第八次会议通过　根据2012年1月9日广东省第十一届人民代表大会常务委员会第三十一次会议《</w:t>
      </w:r>
      <w:r>
        <w:rPr>
          <w:rFonts w:hint="eastAsia" w:ascii="宋体" w:hAnsi="宋体" w:eastAsia="楷体_GB2312"/>
          <w:kern w:val="2"/>
          <w:sz w:val="32"/>
          <w:szCs w:val="32"/>
          <w:lang w:val="en-US" w:eastAsia="zh-CN" w:bidi="ar-SA"/>
        </w:rPr>
        <w:fldChar w:fldCharType="begin"/>
      </w:r>
      <w:r>
        <w:rPr>
          <w:rFonts w:hint="eastAsia" w:ascii="宋体" w:hAnsi="宋体" w:eastAsia="楷体_GB2312"/>
          <w:kern w:val="2"/>
          <w:sz w:val="32"/>
          <w:szCs w:val="32"/>
          <w:lang w:val="en-US" w:eastAsia="zh-CN" w:bidi="ar-SA"/>
        </w:rPr>
        <w:instrText xml:space="preserve"> HYPERLINK "http://172.17.252.5/FullText/fulltext_form.aspx?db=lar&amp;gid=17424780&amp;ix=0&amp;w=H4sIAAAAAAAEAABDAbz+AAEAAAD/////AQAAAAAAAAAMAgAAADxDbGlWNSwgVmVyc2lvbj0xLjAuMC4wLCBDdWx0dXJlPW5ldXRyYWwsIFB1YmxpY0tleVRva2VuPW51bGwFAQAAACtDbGlWNS5Db21tb25DbGFzcy5TZXJpYWxQYXJhbStTZWFyY2hfU3RydWN0BgAAAAhEYXRhYmFzZQVXaGVyZQRTb3J0B0tleXdvcmQHSXNHcm91cAlJc1N1bW1hcnkBAQEBAAABAQIAAAAGAwAAAANsYXIGBAAAAEHmlYjlipvnuqfliKs9WE0wNyUgYW5kICAo5rOV6KeE5qCH6aKYPScl5bm/5Lic55yB5Zu65L2T5bqf54mpJScpIAYFAAAADS3lj5HluIPml6XmnJ8GBgAAABXlub/kuJznnIHlm7rkvZPlup/niakAAAsBAAD//javascript:SLC(17341358,0)" </w:instrText>
      </w:r>
      <w:r>
        <w:rPr>
          <w:rFonts w:hint="eastAsia" w:ascii="宋体" w:hAnsi="宋体" w:eastAsia="楷体_GB2312"/>
          <w:kern w:val="2"/>
          <w:sz w:val="32"/>
          <w:szCs w:val="32"/>
          <w:lang w:val="en-US" w:eastAsia="zh-CN" w:bidi="ar-SA"/>
        </w:rPr>
        <w:fldChar w:fldCharType="separate"/>
      </w:r>
      <w:r>
        <w:rPr>
          <w:rFonts w:hint="eastAsia" w:ascii="宋体" w:hAnsi="宋体" w:eastAsia="楷体_GB2312"/>
          <w:kern w:val="2"/>
          <w:sz w:val="32"/>
          <w:szCs w:val="32"/>
          <w:lang w:val="en-US" w:eastAsia="zh-CN" w:bidi="ar-SA"/>
        </w:rPr>
        <w:t>广东省人民代表大会常务委员会关于修改〈广东省固体废物污染环境防治条例〉等七项法规中有关行政强制条款的决定</w:t>
      </w:r>
      <w:r>
        <w:rPr>
          <w:rFonts w:hint="eastAsia" w:ascii="宋体" w:hAnsi="宋体" w:eastAsia="楷体_GB2312"/>
          <w:kern w:val="2"/>
          <w:sz w:val="32"/>
          <w:szCs w:val="32"/>
          <w:lang w:val="en-US" w:eastAsia="zh-CN" w:bidi="ar-SA"/>
        </w:rPr>
        <w:fldChar w:fldCharType="end"/>
      </w:r>
      <w:r>
        <w:rPr>
          <w:rFonts w:hint="eastAsia" w:ascii="宋体" w:hAnsi="宋体" w:eastAsia="楷体_GB2312"/>
          <w:kern w:val="2"/>
          <w:sz w:val="32"/>
          <w:szCs w:val="32"/>
          <w:lang w:val="en-US" w:eastAsia="zh-CN" w:bidi="ar-SA"/>
        </w:rPr>
        <w:t>》第一次修正　根据2012年7月26日广东省第十一届人民代表大会常务委员会第三十五次会议《广东省人民代表大会常务委员会关于修改〈广东省民营科技企业管理条例〉等二十三项法规的决定》第二次修正  2018年11月29日广东省第十三届人民代表大会常务委员会第七次会议修订）</w:t>
      </w: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kern w:val="2"/>
          <w:sz w:val="32"/>
          <w:szCs w:val="32"/>
          <w:lang w:val="en-US" w:eastAsia="zh-CN" w:bidi="ar-SA"/>
        </w:rPr>
      </w:pPr>
    </w:p>
    <w:p>
      <w:pPr>
        <w:widowControl w:val="0"/>
        <w:wordWrap/>
        <w:overflowPunct w:val="0"/>
        <w:adjustRightInd/>
        <w:snapToGrid/>
        <w:spacing w:beforeAutospacing="0" w:afterAutospacing="0" w:line="560" w:lineRule="exact"/>
        <w:ind w:left="0" w:leftChars="0" w:right="0" w:firstLine="0" w:firstLineChars="0"/>
        <w:jc w:val="center"/>
        <w:textAlignment w:val="auto"/>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目    录</w:t>
      </w:r>
    </w:p>
    <w:p>
      <w:pPr>
        <w:widowControl w:val="0"/>
        <w:wordWrap/>
        <w:overflowPunct w:val="0"/>
        <w:adjustRightInd/>
        <w:snapToGrid/>
        <w:spacing w:beforeAutospacing="0" w:afterAutospacing="0" w:line="560" w:lineRule="exact"/>
        <w:ind w:right="0" w:firstLine="3520" w:firstLineChars="1100"/>
        <w:jc w:val="both"/>
        <w:textAlignment w:val="auto"/>
        <w:rPr>
          <w:rFonts w:hint="eastAsia" w:ascii="宋体" w:hAnsi="宋体" w:eastAsia="楷体_GB2312"/>
          <w:kern w:val="2"/>
          <w:sz w:val="32"/>
          <w:szCs w:val="32"/>
          <w:lang w:val="en-US" w:eastAsia="zh-CN" w:bidi="ar-SA"/>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第一章  总则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第二章  固体废物污染环境防治的监督管理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第三章  固体废物污染环境的防治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第四章  危险废物污染环境防治的特别规定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第五章  法律责任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kern w:val="2"/>
          <w:sz w:val="32"/>
          <w:szCs w:val="32"/>
          <w:lang w:val="en-US" w:eastAsia="zh-CN" w:bidi="ar-SA"/>
        </w:rPr>
      </w:pPr>
      <w:r>
        <w:rPr>
          <w:rFonts w:hint="eastAsia" w:ascii="宋体" w:hAnsi="宋体" w:eastAsia="楷体_GB2312"/>
          <w:kern w:val="2"/>
          <w:sz w:val="32"/>
          <w:szCs w:val="32"/>
          <w:lang w:val="en-US" w:eastAsia="zh-CN" w:bidi="ar-SA"/>
        </w:rPr>
        <w:t>第六章  附则</w:t>
      </w:r>
    </w:p>
    <w:p>
      <w:pPr>
        <w:widowControl w:val="0"/>
        <w:wordWrap/>
        <w:overflowPunct w:val="0"/>
        <w:adjustRightInd/>
        <w:snapToGrid/>
        <w:spacing w:beforeAutospacing="0" w:afterAutospacing="0" w:line="560" w:lineRule="exact"/>
        <w:ind w:right="0"/>
        <w:jc w:val="both"/>
        <w:textAlignment w:val="auto"/>
        <w:rPr>
          <w:rFonts w:hint="eastAsia" w:ascii="宋体" w:hAnsi="宋体" w:eastAsia="楷体_GB2312"/>
          <w:kern w:val="2"/>
          <w:sz w:val="32"/>
          <w:szCs w:val="32"/>
          <w:lang w:val="en-US" w:eastAsia="zh-CN" w:bidi="ar-SA"/>
        </w:rPr>
      </w:pPr>
    </w:p>
    <w:p>
      <w:pPr>
        <w:widowControl w:val="0"/>
        <w:wordWrap/>
        <w:overflowPunct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r>
        <w:rPr>
          <w:rFonts w:hint="eastAsia" w:ascii="宋体" w:hAnsi="宋体" w:eastAsia="黑体" w:cs="黑体"/>
          <w:spacing w:val="0"/>
          <w:w w:val="100"/>
          <w:sz w:val="32"/>
          <w:szCs w:val="32"/>
        </w:rPr>
        <w:t>第一章  总则</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0" w:name="_Toc16053"/>
      <w:r>
        <w:rPr>
          <w:rFonts w:hint="eastAsia" w:ascii="宋体" w:hAnsi="宋体" w:eastAsia="黑体" w:cs="黑体"/>
          <w:spacing w:val="0"/>
          <w:w w:val="100"/>
          <w:sz w:val="32"/>
          <w:szCs w:val="32"/>
        </w:rPr>
        <w:t>第一条</w:t>
      </w:r>
      <w:bookmarkEnd w:id="450"/>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 xml:space="preserve"> 为了防治固体废物污染环境，保障公众健康，推进生态文明建设，促进经济社会可持续发展，根据《中华人民共和国环境保护法》《中华人民共和国固体废物污染环境防治法》等法律</w:t>
      </w:r>
      <w:r>
        <w:rPr>
          <w:rFonts w:hint="eastAsia" w:ascii="宋体" w:hAnsi="宋体" w:cs="仿宋_GB2312"/>
          <w:spacing w:val="0"/>
          <w:w w:val="100"/>
          <w:sz w:val="32"/>
          <w:szCs w:val="32"/>
          <w:lang w:eastAsia="zh-CN"/>
        </w:rPr>
        <w:t>、</w:t>
      </w:r>
      <w:r>
        <w:rPr>
          <w:rFonts w:hint="eastAsia" w:ascii="宋体" w:hAnsi="宋体" w:eastAsia="仿宋_GB2312" w:cs="仿宋_GB2312"/>
          <w:spacing w:val="0"/>
          <w:w w:val="100"/>
          <w:sz w:val="32"/>
          <w:szCs w:val="32"/>
        </w:rPr>
        <w:t>法规，结合本省实际，制定本条例。</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1" w:name="_Toc11547"/>
      <w:r>
        <w:rPr>
          <w:rFonts w:hint="eastAsia" w:ascii="宋体" w:hAnsi="宋体" w:eastAsia="黑体" w:cs="黑体"/>
          <w:spacing w:val="0"/>
          <w:w w:val="100"/>
          <w:sz w:val="32"/>
          <w:szCs w:val="32"/>
        </w:rPr>
        <w:t>第二条</w:t>
      </w:r>
      <w:bookmarkEnd w:id="451"/>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 xml:space="preserve"> 本条例适用于本省行政区域内固体废物污染环境的防治及其监督管理。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固体废物污染海洋环境的防治和放射性固体废物污染环境的防治不适用本条例。</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2" w:name="_Toc3958"/>
      <w:r>
        <w:rPr>
          <w:rFonts w:hint="eastAsia" w:ascii="宋体" w:hAnsi="宋体" w:eastAsia="黑体" w:cs="黑体"/>
          <w:spacing w:val="0"/>
          <w:w w:val="100"/>
          <w:sz w:val="32"/>
          <w:szCs w:val="32"/>
        </w:rPr>
        <w:t>第三条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 xml:space="preserve"> 固体废物污染环境的防治</w:t>
      </w:r>
      <w:r>
        <w:rPr>
          <w:rFonts w:hint="eastAsia" w:ascii="宋体" w:hAnsi="宋体" w:eastAsia="仿宋_GB2312" w:cs="仿宋_GB2312"/>
          <w:spacing w:val="0"/>
          <w:w w:val="100"/>
          <w:sz w:val="32"/>
          <w:szCs w:val="32"/>
          <w:lang w:eastAsia="zh-CN"/>
        </w:rPr>
        <w:t>，</w:t>
      </w:r>
      <w:r>
        <w:rPr>
          <w:rFonts w:hint="eastAsia" w:ascii="宋体" w:hAnsi="宋体" w:eastAsia="仿宋_GB2312" w:cs="仿宋_GB2312"/>
          <w:spacing w:val="0"/>
          <w:w w:val="100"/>
          <w:sz w:val="32"/>
          <w:szCs w:val="32"/>
        </w:rPr>
        <w:t>坚持</w:t>
      </w:r>
      <w:r>
        <w:rPr>
          <w:rFonts w:hint="eastAsia" w:ascii="宋体" w:hAnsi="宋体" w:eastAsia="仿宋_GB2312" w:cs="仿宋_GB2312"/>
          <w:spacing w:val="0"/>
          <w:w w:val="100"/>
          <w:sz w:val="32"/>
          <w:szCs w:val="32"/>
          <w:lang w:eastAsia="zh-CN"/>
        </w:rPr>
        <w:t>保护优先，实行</w:t>
      </w:r>
      <w:r>
        <w:rPr>
          <w:rFonts w:hint="eastAsia" w:ascii="宋体" w:hAnsi="宋体" w:eastAsia="仿宋_GB2312" w:cs="仿宋_GB2312"/>
          <w:spacing w:val="0"/>
          <w:w w:val="100"/>
          <w:sz w:val="32"/>
          <w:szCs w:val="32"/>
        </w:rPr>
        <w:t>减量化、资源化、无害化的原则，减少固体废物的产生量和危害性</w:t>
      </w:r>
      <w:r>
        <w:rPr>
          <w:rFonts w:hint="eastAsia" w:ascii="宋体" w:hAnsi="宋体" w:eastAsia="仿宋_GB2312" w:cs="仿宋_GB2312"/>
          <w:i w:val="0"/>
          <w:iCs w:val="0"/>
          <w:spacing w:val="0"/>
          <w:w w:val="100"/>
          <w:sz w:val="32"/>
          <w:szCs w:val="32"/>
          <w:u w:val="none"/>
          <w:lang w:eastAsia="zh-CN"/>
        </w:rPr>
        <w:t>、</w:t>
      </w:r>
      <w:r>
        <w:rPr>
          <w:rFonts w:hint="eastAsia" w:ascii="宋体" w:hAnsi="宋体" w:eastAsia="仿宋_GB2312" w:cs="仿宋_GB2312"/>
          <w:spacing w:val="0"/>
          <w:w w:val="100"/>
          <w:sz w:val="32"/>
          <w:szCs w:val="32"/>
        </w:rPr>
        <w:t>充分合理利用固体废物和无害化处置固体废物，促进清洁生产和循环经济发展。</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bookmarkStart w:id="453" w:name="_Toc15409"/>
      <w:r>
        <w:rPr>
          <w:rFonts w:hint="eastAsia" w:ascii="宋体" w:hAnsi="宋体" w:eastAsia="黑体" w:cs="黑体"/>
          <w:spacing w:val="0"/>
          <w:w w:val="100"/>
          <w:sz w:val="32"/>
          <w:szCs w:val="32"/>
          <w:lang w:eastAsia="zh-CN"/>
        </w:rPr>
        <w:t>第四条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县级以上人民政府应当将固体废物污染环境防治工作纳入国民经济和社会发展规划。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t>县级以上人民政府生态环境主管部门应当会同有关部门，依法编制本行政区域的固体废物污染防治专项规划或者将固体废物污染防治规划纳入本行政区域的环境保护规划。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t>固体废物污染防治规划应当与区域环境保护规划、土地利用总体规划、城市总体规划等相协调。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五</w:t>
      </w:r>
      <w:r>
        <w:rPr>
          <w:rFonts w:hint="eastAsia" w:ascii="宋体" w:hAnsi="宋体" w:eastAsia="黑体" w:cs="黑体"/>
          <w:spacing w:val="0"/>
          <w:w w:val="100"/>
          <w:sz w:val="32"/>
          <w:szCs w:val="32"/>
        </w:rPr>
        <w:t>条</w:t>
      </w:r>
      <w:bookmarkEnd w:id="453"/>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w:t>
      </w:r>
      <w:r>
        <w:rPr>
          <w:rFonts w:hint="eastAsia" w:ascii="宋体" w:hAnsi="宋体" w:eastAsia="仿宋_GB2312" w:cs="仿宋_GB2312"/>
          <w:spacing w:val="0"/>
          <w:w w:val="100"/>
          <w:sz w:val="32"/>
          <w:szCs w:val="32"/>
        </w:rPr>
        <w:t>收集、贮存、运输、利用、处置固体废物的企业事业单位和其他生产经营者，应当采取措施，防止或者减少固体废物污染环境，并</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i w:val="0"/>
          <w:iCs w:val="0"/>
          <w:spacing w:val="0"/>
          <w:w w:val="100"/>
          <w:sz w:val="32"/>
          <w:szCs w:val="32"/>
          <w:u w:val="none"/>
        </w:rPr>
        <w:t>承担固体废物污染环境防治</w:t>
      </w:r>
      <w:r>
        <w:rPr>
          <w:rFonts w:hint="eastAsia" w:ascii="宋体" w:hAnsi="宋体" w:eastAsia="仿宋_GB2312" w:cs="仿宋_GB2312"/>
          <w:spacing w:val="0"/>
          <w:w w:val="100"/>
          <w:sz w:val="32"/>
          <w:szCs w:val="32"/>
        </w:rPr>
        <w:t>责任。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六</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县</w:t>
      </w:r>
      <w:r>
        <w:rPr>
          <w:rFonts w:hint="eastAsia" w:ascii="宋体" w:hAnsi="宋体" w:eastAsia="仿宋_GB2312" w:cs="仿宋_GB2312"/>
          <w:spacing w:val="0"/>
          <w:w w:val="100"/>
          <w:sz w:val="32"/>
          <w:szCs w:val="32"/>
        </w:rPr>
        <w:t>级以上人民政府应当统筹协调固体废物污染环境防治工作，并对固体废物污染环境防治给予必要的财政</w:t>
      </w:r>
      <w:r>
        <w:rPr>
          <w:rFonts w:hint="eastAsia" w:ascii="宋体" w:hAnsi="宋体" w:eastAsia="仿宋_GB2312" w:cs="仿宋_GB2312"/>
          <w:i w:val="0"/>
          <w:iCs w:val="0"/>
          <w:spacing w:val="0"/>
          <w:w w:val="100"/>
          <w:sz w:val="32"/>
          <w:szCs w:val="32"/>
          <w:u w:val="none"/>
        </w:rPr>
        <w:t>支持</w:t>
      </w:r>
      <w:r>
        <w:rPr>
          <w:rFonts w:hint="eastAsia" w:ascii="宋体" w:hAnsi="宋体" w:eastAsia="仿宋_GB2312" w:cs="仿宋_GB2312"/>
          <w:spacing w:val="0"/>
          <w:w w:val="100"/>
          <w:sz w:val="32"/>
          <w:szCs w:val="32"/>
        </w:rPr>
        <w:t>，对固体废物突发环境事件安排应急处置资金。</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乡镇人民政府、街道办事处</w:t>
      </w:r>
      <w:r>
        <w:rPr>
          <w:rFonts w:hint="eastAsia" w:ascii="宋体" w:hAnsi="宋体" w:eastAsia="仿宋_GB2312" w:cs="仿宋_GB2312"/>
          <w:kern w:val="0"/>
          <w:sz w:val="32"/>
          <w:szCs w:val="32"/>
        </w:rPr>
        <w:t>和基层群众性自治组织</w:t>
      </w:r>
      <w:r>
        <w:rPr>
          <w:rFonts w:hint="eastAsia" w:ascii="宋体" w:hAnsi="宋体" w:eastAsia="仿宋_GB2312" w:cs="仿宋_GB2312"/>
          <w:spacing w:val="0"/>
          <w:w w:val="100"/>
          <w:sz w:val="32"/>
          <w:szCs w:val="32"/>
        </w:rPr>
        <w:t>应当协助做好本</w:t>
      </w:r>
      <w:r>
        <w:rPr>
          <w:rFonts w:hint="eastAsia" w:ascii="宋体" w:hAnsi="宋体" w:eastAsia="仿宋_GB2312" w:cs="仿宋_GB2312"/>
          <w:kern w:val="0"/>
          <w:sz w:val="32"/>
          <w:szCs w:val="32"/>
          <w:lang w:eastAsia="zh-CN"/>
        </w:rPr>
        <w:t>区域</w:t>
      </w:r>
      <w:r>
        <w:rPr>
          <w:rFonts w:hint="eastAsia" w:ascii="宋体" w:hAnsi="宋体" w:eastAsia="仿宋_GB2312" w:cs="仿宋_GB2312"/>
          <w:spacing w:val="0"/>
          <w:w w:val="100"/>
          <w:sz w:val="32"/>
          <w:szCs w:val="32"/>
        </w:rPr>
        <w:t>的固体废物污染环境防治工作。</w:t>
      </w:r>
      <w:bookmarkStart w:id="454" w:name="_Toc7157"/>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七</w:t>
      </w:r>
      <w:r>
        <w:rPr>
          <w:rFonts w:hint="eastAsia" w:ascii="宋体" w:hAnsi="宋体" w:eastAsia="黑体" w:cs="黑体"/>
          <w:spacing w:val="0"/>
          <w:w w:val="100"/>
          <w:sz w:val="32"/>
          <w:szCs w:val="32"/>
        </w:rPr>
        <w:t>条</w:t>
      </w:r>
      <w:bookmarkEnd w:id="454"/>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w:t>
      </w:r>
      <w:r>
        <w:rPr>
          <w:rFonts w:hint="eastAsia" w:ascii="宋体" w:hAnsi="宋体" w:eastAsia="仿宋_GB2312" w:cs="仿宋_GB2312"/>
          <w:spacing w:val="0"/>
          <w:w w:val="100"/>
          <w:sz w:val="32"/>
          <w:szCs w:val="32"/>
        </w:rPr>
        <w:t>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主管部门对本行政区域内固体废物污染环境的防治工作实施统一监督管理。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县</w:t>
      </w:r>
      <w:r>
        <w:rPr>
          <w:rFonts w:hint="eastAsia" w:ascii="宋体" w:hAnsi="宋体" w:eastAsia="仿宋_GB2312" w:cs="仿宋_GB2312"/>
          <w:spacing w:val="0"/>
          <w:w w:val="100"/>
          <w:sz w:val="32"/>
          <w:szCs w:val="32"/>
          <w:lang w:eastAsia="zh-CN"/>
        </w:rPr>
        <w:t>级</w:t>
      </w:r>
      <w:r>
        <w:rPr>
          <w:rFonts w:hint="eastAsia" w:ascii="宋体" w:hAnsi="宋体" w:eastAsia="仿宋_GB2312" w:cs="仿宋_GB2312"/>
          <w:spacing w:val="0"/>
          <w:w w:val="100"/>
          <w:sz w:val="32"/>
          <w:szCs w:val="32"/>
        </w:rPr>
        <w:t>以上人民政府发展改革、</w:t>
      </w:r>
      <w:r>
        <w:rPr>
          <w:rFonts w:hint="eastAsia" w:ascii="宋体" w:hAnsi="宋体" w:eastAsia="仿宋_GB2312" w:cs="仿宋_GB2312"/>
          <w:spacing w:val="0"/>
          <w:w w:val="100"/>
          <w:sz w:val="32"/>
          <w:szCs w:val="32"/>
          <w:lang w:eastAsia="zh-CN"/>
        </w:rPr>
        <w:t>工业</w:t>
      </w:r>
      <w:r>
        <w:rPr>
          <w:rFonts w:hint="eastAsia" w:ascii="宋体" w:hAnsi="宋体" w:eastAsia="仿宋_GB2312" w:cs="仿宋_GB2312"/>
          <w:spacing w:val="0"/>
          <w:w w:val="100"/>
          <w:sz w:val="32"/>
          <w:szCs w:val="32"/>
        </w:rPr>
        <w:t>和信息化、公安、</w:t>
      </w:r>
      <w:r>
        <w:rPr>
          <w:rFonts w:hint="eastAsia" w:ascii="宋体" w:hAnsi="宋体" w:eastAsia="仿宋_GB2312" w:cs="仿宋_GB2312"/>
          <w:spacing w:val="0"/>
          <w:w w:val="100"/>
          <w:sz w:val="32"/>
          <w:szCs w:val="32"/>
          <w:lang w:eastAsia="zh-CN"/>
        </w:rPr>
        <w:t>自然</w:t>
      </w:r>
      <w:r>
        <w:rPr>
          <w:rFonts w:hint="eastAsia" w:ascii="宋体" w:hAnsi="宋体" w:eastAsia="仿宋_GB2312" w:cs="仿宋_GB2312"/>
          <w:spacing w:val="0"/>
          <w:w w:val="100"/>
          <w:sz w:val="32"/>
          <w:szCs w:val="32"/>
        </w:rPr>
        <w:t>资源、城市管理、</w:t>
      </w:r>
      <w:r>
        <w:rPr>
          <w:rFonts w:hint="eastAsia" w:ascii="宋体" w:hAnsi="宋体" w:eastAsia="仿宋_GB2312" w:cs="仿宋_GB2312"/>
          <w:spacing w:val="0"/>
          <w:w w:val="100"/>
          <w:sz w:val="32"/>
          <w:szCs w:val="32"/>
          <w:lang w:eastAsia="zh-CN"/>
        </w:rPr>
        <w:t>住房城乡建设、</w:t>
      </w:r>
      <w:r>
        <w:rPr>
          <w:rFonts w:hint="eastAsia" w:ascii="宋体" w:hAnsi="宋体" w:eastAsia="仿宋_GB2312" w:cs="仿宋_GB2312"/>
          <w:spacing w:val="0"/>
          <w:w w:val="100"/>
          <w:sz w:val="32"/>
          <w:szCs w:val="32"/>
        </w:rPr>
        <w:t>交通运输、农业</w:t>
      </w:r>
      <w:r>
        <w:rPr>
          <w:rFonts w:hint="eastAsia" w:ascii="宋体" w:hAnsi="宋体" w:eastAsia="仿宋_GB2312" w:cs="仿宋_GB2312"/>
          <w:spacing w:val="0"/>
          <w:w w:val="100"/>
          <w:sz w:val="32"/>
          <w:szCs w:val="32"/>
          <w:lang w:eastAsia="zh-CN"/>
        </w:rPr>
        <w:t>农村</w:t>
      </w:r>
      <w:r>
        <w:rPr>
          <w:rFonts w:hint="eastAsia" w:ascii="宋体" w:hAnsi="宋体" w:eastAsia="仿宋_GB2312" w:cs="仿宋_GB2312"/>
          <w:spacing w:val="0"/>
          <w:w w:val="100"/>
          <w:sz w:val="32"/>
          <w:szCs w:val="32"/>
        </w:rPr>
        <w:t>、商务、卫生</w:t>
      </w:r>
      <w:r>
        <w:rPr>
          <w:rFonts w:hint="eastAsia" w:ascii="宋体" w:hAnsi="宋体" w:eastAsia="仿宋_GB2312" w:cs="仿宋_GB2312"/>
          <w:spacing w:val="0"/>
          <w:w w:val="100"/>
          <w:sz w:val="32"/>
          <w:szCs w:val="32"/>
          <w:lang w:eastAsia="zh-CN"/>
        </w:rPr>
        <w:t>健康</w:t>
      </w:r>
      <w:r>
        <w:rPr>
          <w:rFonts w:hint="eastAsia" w:ascii="宋体" w:hAnsi="宋体" w:eastAsia="仿宋_GB2312" w:cs="仿宋_GB2312"/>
          <w:spacing w:val="0"/>
          <w:w w:val="100"/>
          <w:sz w:val="32"/>
          <w:szCs w:val="32"/>
        </w:rPr>
        <w:t>等主管部门在各自职责范围内负责固体废物污染环境防治的监督管理工作。</w:t>
      </w:r>
      <w:bookmarkEnd w:id="452"/>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w:t>
      </w:r>
      <w:r>
        <w:rPr>
          <w:rFonts w:hint="eastAsia" w:ascii="宋体" w:hAnsi="宋体" w:eastAsia="仿宋_GB2312" w:cs="仿宋_GB2312"/>
          <w:spacing w:val="0"/>
          <w:w w:val="100"/>
          <w:sz w:val="32"/>
          <w:szCs w:val="32"/>
        </w:rPr>
        <w:t>以上人民政</w:t>
      </w:r>
      <w:r>
        <w:rPr>
          <w:rFonts w:hint="eastAsia" w:ascii="宋体" w:hAnsi="宋体" w:eastAsia="仿宋_GB2312" w:cs="仿宋_GB2312"/>
          <w:i w:val="0"/>
          <w:iCs w:val="0"/>
          <w:spacing w:val="0"/>
          <w:w w:val="100"/>
          <w:sz w:val="32"/>
          <w:szCs w:val="32"/>
          <w:u w:val="none"/>
        </w:rPr>
        <w:t>府</w:t>
      </w:r>
      <w:r>
        <w:rPr>
          <w:rFonts w:hint="eastAsia" w:ascii="宋体" w:hAnsi="宋体" w:eastAsia="仿宋_GB2312" w:cs="仿宋_GB2312"/>
          <w:i w:val="0"/>
          <w:iCs w:val="0"/>
          <w:spacing w:val="0"/>
          <w:w w:val="100"/>
          <w:sz w:val="32"/>
          <w:szCs w:val="32"/>
          <w:u w:val="none"/>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w:t>
      </w:r>
      <w:r>
        <w:rPr>
          <w:rFonts w:hint="eastAsia" w:ascii="宋体" w:hAnsi="宋体" w:eastAsia="仿宋_GB2312" w:cs="仿宋_GB2312"/>
          <w:spacing w:val="0"/>
          <w:w w:val="100"/>
          <w:sz w:val="32"/>
          <w:szCs w:val="32"/>
          <w:lang w:eastAsia="zh-CN"/>
        </w:rPr>
        <w:t>和其他有关部门应当建立固体废物污染环境群众监督举报制度，对举报的问题及时调查处理，并将处理结果告知举报人；对举报属实，为查处固体废物污染环境重大违法行为提供主要线索或者证据的举报人，按照有关规定予以奖励。</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楷体_GB2312" w:cs="仿宋_GB2312"/>
          <w:bCs/>
          <w:sz w:val="32"/>
          <w:szCs w:val="32"/>
          <w:lang w:eastAsia="zh-CN"/>
        </w:rPr>
      </w:pPr>
      <w:r>
        <w:rPr>
          <w:rFonts w:hint="eastAsia" w:ascii="宋体" w:hAnsi="宋体" w:eastAsia="仿宋_GB2312" w:cs="仿宋_GB2312"/>
          <w:spacing w:val="0"/>
          <w:w w:val="100"/>
          <w:sz w:val="32"/>
          <w:szCs w:val="32"/>
          <w:lang w:eastAsia="zh-CN"/>
        </w:rPr>
        <w:t>新闻媒体应当加强防治固体废物污染环境的公益宣传和舆论监督。</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楷体_GB2312" w:cs="仿宋_GB2312"/>
          <w:bCs/>
          <w:sz w:val="32"/>
          <w:szCs w:val="32"/>
          <w:lang w:eastAsia="zh-CN"/>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bookmarkStart w:id="455" w:name="_Toc4947"/>
      <w:r>
        <w:rPr>
          <w:rFonts w:hint="eastAsia" w:ascii="宋体" w:hAnsi="宋体" w:eastAsia="黑体" w:cs="黑体"/>
          <w:spacing w:val="0"/>
          <w:w w:val="100"/>
          <w:sz w:val="32"/>
          <w:szCs w:val="32"/>
        </w:rPr>
        <w:t>第二章  固体废物污染环境防治的监督管理</w:t>
      </w:r>
      <w:bookmarkEnd w:id="455"/>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6" w:name="_Toc25936"/>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九</w:t>
      </w:r>
      <w:r>
        <w:rPr>
          <w:rFonts w:hint="eastAsia" w:ascii="宋体" w:hAnsi="宋体" w:eastAsia="黑体" w:cs="黑体"/>
          <w:spacing w:val="0"/>
          <w:w w:val="100"/>
          <w:sz w:val="32"/>
          <w:szCs w:val="32"/>
        </w:rPr>
        <w:t>条</w:t>
      </w:r>
      <w:bookmarkEnd w:id="456"/>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县级以上人民政府应当将固体废物污染环境防治目标完成情况纳入对本级人</w:t>
      </w:r>
      <w:r>
        <w:rPr>
          <w:rFonts w:hint="eastAsia" w:ascii="宋体" w:hAnsi="宋体" w:eastAsia="仿宋_GB2312" w:cs="仿宋_GB2312"/>
          <w:spacing w:val="0"/>
          <w:w w:val="100"/>
          <w:sz w:val="32"/>
          <w:szCs w:val="32"/>
        </w:rPr>
        <w:t>民政府负有环境保护监督管理职责的部门及其负责人和下级人民政府及其负责人的考核内容，作为对其考核评价的重要依据。考核结果应当向社会公开。</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7" w:name="_Toc12965"/>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w:t>
      </w:r>
      <w:r>
        <w:rPr>
          <w:rFonts w:hint="eastAsia" w:ascii="宋体" w:hAnsi="宋体" w:eastAsia="黑体" w:cs="黑体"/>
          <w:spacing w:val="0"/>
          <w:w w:val="100"/>
          <w:sz w:val="32"/>
          <w:szCs w:val="32"/>
        </w:rPr>
        <w:t>条</w:t>
      </w:r>
      <w:bookmarkEnd w:id="457"/>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主管部门应当会同公安、住房城乡建设、交通运输、农业</w:t>
      </w:r>
      <w:r>
        <w:rPr>
          <w:rFonts w:hint="eastAsia" w:ascii="宋体" w:hAnsi="宋体" w:eastAsia="仿宋_GB2312" w:cs="仿宋_GB2312"/>
          <w:spacing w:val="0"/>
          <w:w w:val="100"/>
          <w:sz w:val="32"/>
          <w:szCs w:val="32"/>
          <w:lang w:eastAsia="zh-CN"/>
        </w:rPr>
        <w:t>农村</w:t>
      </w:r>
      <w:r>
        <w:rPr>
          <w:rFonts w:hint="eastAsia" w:ascii="宋体" w:hAnsi="宋体" w:eastAsia="仿宋_GB2312" w:cs="仿宋_GB2312"/>
          <w:spacing w:val="0"/>
          <w:w w:val="100"/>
          <w:sz w:val="32"/>
          <w:szCs w:val="32"/>
        </w:rPr>
        <w:t>、商务等主管部门建立全省固体废物环境信息化管理平台，纳入省数字政府建设，加强信息共享</w:t>
      </w:r>
      <w:r>
        <w:rPr>
          <w:rFonts w:hint="eastAsia" w:ascii="宋体" w:hAnsi="宋体" w:eastAsia="仿宋_GB2312" w:cs="仿宋_GB2312"/>
          <w:spacing w:val="0"/>
          <w:w w:val="100"/>
          <w:sz w:val="32"/>
          <w:szCs w:val="32"/>
          <w:lang w:eastAsia="zh-CN"/>
        </w:rPr>
        <w:t>和协作</w:t>
      </w:r>
      <w:r>
        <w:rPr>
          <w:rFonts w:hint="eastAsia" w:ascii="宋体" w:hAnsi="宋体" w:eastAsia="仿宋_GB2312" w:cs="仿宋_GB2312"/>
          <w:spacing w:val="0"/>
          <w:w w:val="100"/>
          <w:sz w:val="32"/>
          <w:szCs w:val="32"/>
        </w:rPr>
        <w:t>，提高固体废物环境管理</w:t>
      </w:r>
      <w:r>
        <w:rPr>
          <w:rFonts w:hint="eastAsia" w:ascii="宋体" w:hAnsi="宋体" w:eastAsia="仿宋_GB2312" w:cs="仿宋_GB2312"/>
          <w:spacing w:val="0"/>
          <w:w w:val="100"/>
          <w:sz w:val="32"/>
          <w:szCs w:val="32"/>
          <w:lang w:eastAsia="zh-CN"/>
        </w:rPr>
        <w:t>信息化水平</w:t>
      </w:r>
      <w:r>
        <w:rPr>
          <w:rFonts w:hint="eastAsia" w:ascii="宋体" w:hAnsi="宋体" w:eastAsia="仿宋_GB2312" w:cs="仿宋_GB2312"/>
          <w:spacing w:val="0"/>
          <w:w w:val="100"/>
          <w:sz w:val="32"/>
          <w:szCs w:val="32"/>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58" w:name="_Toc850"/>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十一</w:t>
      </w:r>
      <w:r>
        <w:rPr>
          <w:rFonts w:hint="eastAsia" w:ascii="宋体" w:hAnsi="宋体" w:eastAsia="黑体" w:cs="黑体"/>
          <w:spacing w:val="0"/>
          <w:w w:val="100"/>
          <w:sz w:val="32"/>
          <w:szCs w:val="32"/>
        </w:rPr>
        <w:t>条</w:t>
      </w:r>
      <w:bookmarkEnd w:id="458"/>
      <w:bookmarkStart w:id="459" w:name="_Toc6904"/>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w:t>
      </w:r>
      <w:r>
        <w:rPr>
          <w:rFonts w:hint="eastAsia" w:ascii="宋体" w:hAnsi="宋体" w:eastAsia="仿宋_GB2312" w:cs="仿宋_GB2312"/>
          <w:spacing w:val="0"/>
          <w:w w:val="100"/>
          <w:sz w:val="32"/>
          <w:szCs w:val="32"/>
        </w:rPr>
        <w:t>固体废物的重点企业事业单位和其他生产经营者应当</w:t>
      </w:r>
      <w:r>
        <w:rPr>
          <w:rFonts w:hint="eastAsia" w:ascii="宋体" w:hAnsi="宋体" w:eastAsia="仿宋_GB2312" w:cs="仿宋_GB2312"/>
          <w:spacing w:val="0"/>
          <w:w w:val="100"/>
          <w:sz w:val="32"/>
          <w:szCs w:val="32"/>
          <w:lang w:eastAsia="zh-CN"/>
        </w:rPr>
        <w:t>定期</w:t>
      </w:r>
      <w:r>
        <w:rPr>
          <w:rFonts w:hint="eastAsia" w:ascii="宋体" w:hAnsi="宋体" w:eastAsia="仿宋_GB2312" w:cs="仿宋_GB2312"/>
          <w:spacing w:val="0"/>
          <w:w w:val="100"/>
          <w:sz w:val="32"/>
          <w:szCs w:val="32"/>
        </w:rPr>
        <w:t>如实向社会公开其产生的固体废物种类、数量、流向、贮存、利用、处置情况</w:t>
      </w:r>
      <w:r>
        <w:rPr>
          <w:rFonts w:hint="eastAsia" w:ascii="宋体" w:hAnsi="宋体" w:eastAsia="仿宋_GB2312" w:cs="仿宋_GB2312"/>
          <w:spacing w:val="0"/>
          <w:w w:val="100"/>
          <w:sz w:val="32"/>
          <w:szCs w:val="32"/>
          <w:lang w:eastAsia="zh-CN"/>
        </w:rPr>
        <w:t>以</w:t>
      </w:r>
      <w:r>
        <w:rPr>
          <w:rFonts w:hint="eastAsia" w:ascii="宋体" w:hAnsi="宋体" w:eastAsia="仿宋_GB2312" w:cs="仿宋_GB2312"/>
          <w:spacing w:val="0"/>
          <w:w w:val="100"/>
          <w:sz w:val="32"/>
          <w:szCs w:val="32"/>
        </w:rPr>
        <w:t>及固体废物污染防治设施的建设和运行情况等信息。</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鼓励和支持其他产生固体废物的企业事业单位和其他生产经营者自愿向社会公开其产生的固体废物种类、数量、流向、贮存、利用、处置情况</w:t>
      </w:r>
      <w:r>
        <w:rPr>
          <w:rFonts w:hint="eastAsia" w:ascii="宋体" w:hAnsi="宋体" w:eastAsia="仿宋_GB2312" w:cs="仿宋_GB2312"/>
          <w:spacing w:val="0"/>
          <w:w w:val="100"/>
          <w:sz w:val="32"/>
          <w:szCs w:val="32"/>
          <w:lang w:eastAsia="zh-CN"/>
        </w:rPr>
        <w:t>以</w:t>
      </w:r>
      <w:r>
        <w:rPr>
          <w:rFonts w:hint="eastAsia" w:ascii="宋体" w:hAnsi="宋体" w:eastAsia="仿宋_GB2312" w:cs="仿宋_GB2312"/>
          <w:spacing w:val="0"/>
          <w:w w:val="100"/>
          <w:sz w:val="32"/>
          <w:szCs w:val="32"/>
        </w:rPr>
        <w:t>及固体废物污染防治设施的建设和运行情况等信息。</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产生固体废物的重点企业事业单位和其他生产经营者名录由省人民政府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主管部门定期</w:t>
      </w:r>
      <w:r>
        <w:rPr>
          <w:rFonts w:hint="eastAsia" w:ascii="宋体" w:hAnsi="宋体" w:eastAsia="仿宋_GB2312" w:cs="仿宋_GB2312"/>
          <w:spacing w:val="0"/>
          <w:w w:val="100"/>
          <w:sz w:val="32"/>
          <w:szCs w:val="32"/>
          <w:lang w:eastAsia="zh-CN"/>
        </w:rPr>
        <w:t>通过政府网站、报刊、电视、广播等便于公众知晓的方式</w:t>
      </w:r>
      <w:r>
        <w:rPr>
          <w:rFonts w:hint="eastAsia" w:ascii="宋体" w:hAnsi="宋体" w:eastAsia="仿宋_GB2312" w:cs="仿宋_GB2312"/>
          <w:spacing w:val="0"/>
          <w:w w:val="100"/>
          <w:sz w:val="32"/>
          <w:szCs w:val="32"/>
        </w:rPr>
        <w:t>公布。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bookmarkStart w:id="460" w:name="_Toc22549"/>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十二</w:t>
      </w:r>
      <w:r>
        <w:rPr>
          <w:rFonts w:hint="eastAsia" w:ascii="宋体" w:hAnsi="宋体" w:eastAsia="黑体" w:cs="黑体"/>
          <w:spacing w:val="0"/>
          <w:w w:val="100"/>
          <w:sz w:val="32"/>
          <w:szCs w:val="32"/>
        </w:rPr>
        <w:t>条</w:t>
      </w:r>
      <w:bookmarkEnd w:id="460"/>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建设</w:t>
      </w:r>
      <w:r>
        <w:rPr>
          <w:rFonts w:hint="eastAsia" w:ascii="宋体" w:hAnsi="宋体" w:eastAsia="仿宋_GB2312" w:cs="仿宋_GB2312"/>
          <w:spacing w:val="0"/>
          <w:w w:val="100"/>
          <w:sz w:val="32"/>
          <w:szCs w:val="32"/>
        </w:rPr>
        <w:t>产生固体废物的项目以及建设贮存、利用、处置固体废物的项目，应当依法进行环境影响评价</w:t>
      </w:r>
      <w:r>
        <w:rPr>
          <w:rFonts w:hint="eastAsia" w:ascii="宋体" w:hAnsi="宋体" w:eastAsia="仿宋_GB2312" w:cs="仿宋_GB2312"/>
          <w:spacing w:val="0"/>
          <w:w w:val="100"/>
          <w:sz w:val="32"/>
          <w:szCs w:val="32"/>
          <w:lang w:eastAsia="zh-CN"/>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产生危险废物的建设项目，其环境影响评价文件应当包括与危险废物管理相关的工程分析、环境影响分析、污染防治措施技术经济论证、环境风险评价、环境管理要求等内容。</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十三</w:t>
      </w:r>
      <w:r>
        <w:rPr>
          <w:rFonts w:hint="eastAsia" w:ascii="宋体" w:hAnsi="宋体" w:eastAsia="黑体" w:cs="黑体"/>
          <w:spacing w:val="0"/>
          <w:w w:val="100"/>
          <w:sz w:val="32"/>
          <w:szCs w:val="32"/>
        </w:rPr>
        <w:t>条</w:t>
      </w:r>
      <w:bookmarkEnd w:id="459"/>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建设项目中固体废物污染防治设施应当与主体工程同时设计、同时施工、同时投入使用。固体废物污染防治设施应当符合经批准的环境影响评价文件要求，不得擅自拆除或者闲置。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1" w:name="_Toc4029"/>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十四</w:t>
      </w:r>
      <w:r>
        <w:rPr>
          <w:rFonts w:hint="eastAsia" w:ascii="宋体" w:hAnsi="宋体" w:eastAsia="黑体" w:cs="黑体"/>
          <w:spacing w:val="0"/>
          <w:w w:val="100"/>
          <w:sz w:val="32"/>
          <w:szCs w:val="32"/>
        </w:rPr>
        <w:t>条</w:t>
      </w:r>
      <w:bookmarkEnd w:id="461"/>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产生工</w:t>
      </w:r>
      <w:r>
        <w:rPr>
          <w:rFonts w:hint="eastAsia" w:ascii="宋体" w:hAnsi="宋体" w:eastAsia="仿宋_GB2312" w:cs="仿宋_GB2312"/>
          <w:spacing w:val="0"/>
          <w:w w:val="100"/>
          <w:sz w:val="32"/>
          <w:szCs w:val="32"/>
        </w:rPr>
        <w:t>业固体废物的企业事业单位和其他生产经营者，应当</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spacing w:val="0"/>
          <w:w w:val="100"/>
          <w:sz w:val="32"/>
          <w:szCs w:val="32"/>
        </w:rPr>
        <w:t>将工业固体废物</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种类、数量、流向、贮存、利用、处置等有关情况，向所在地县级以上人民政府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主管部门申报登记。</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申报登记信息发生重大改变的，产生工业固体废物的企业事业单位和其他生产经营者应当自改变之日起十五</w:t>
      </w:r>
      <w:r>
        <w:rPr>
          <w:rFonts w:hint="eastAsia" w:ascii="宋体" w:hAnsi="宋体" w:eastAsia="仿宋_GB2312" w:cs="仿宋_GB2312"/>
          <w:spacing w:val="0"/>
          <w:w w:val="100"/>
          <w:sz w:val="32"/>
          <w:szCs w:val="32"/>
          <w:lang w:eastAsia="zh-CN"/>
        </w:rPr>
        <w:t>个工作日</w:t>
      </w:r>
      <w:r>
        <w:rPr>
          <w:rFonts w:hint="eastAsia" w:ascii="宋体" w:hAnsi="宋体" w:eastAsia="仿宋_GB2312" w:cs="仿宋_GB2312"/>
          <w:spacing w:val="0"/>
          <w:w w:val="100"/>
          <w:sz w:val="32"/>
          <w:szCs w:val="32"/>
        </w:rPr>
        <w:t>内向所在地县级以上人民政府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spacing w:val="0"/>
          <w:w w:val="100"/>
          <w:sz w:val="32"/>
          <w:szCs w:val="32"/>
        </w:rPr>
        <w:t>环境保护主管部门办理变更申报手续；因不可控制因素发生紧急重大改变的，应当立即向所在地县级以上人民政府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2" w:name="_Toc15437"/>
      <w:bookmarkStart w:id="463" w:name="_Toc25570"/>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十五</w:t>
      </w:r>
      <w:r>
        <w:rPr>
          <w:rFonts w:hint="eastAsia" w:ascii="宋体" w:hAnsi="宋体" w:eastAsia="黑体" w:cs="黑体"/>
          <w:spacing w:val="0"/>
          <w:w w:val="100"/>
          <w:sz w:val="32"/>
          <w:szCs w:val="32"/>
        </w:rPr>
        <w:t>条</w:t>
      </w:r>
      <w:bookmarkEnd w:id="462"/>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w:t>
      </w:r>
      <w:r>
        <w:rPr>
          <w:rFonts w:hint="eastAsia" w:ascii="宋体" w:hAnsi="宋体" w:eastAsia="仿宋_GB2312" w:cs="仿宋_GB2312"/>
          <w:spacing w:val="0"/>
          <w:w w:val="100"/>
          <w:sz w:val="32"/>
          <w:szCs w:val="32"/>
        </w:rPr>
        <w:t>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主管部门应当加强固体废物突发环境事件应急管理能力建设，开展突发环境事件应急演练</w:t>
      </w:r>
      <w:r>
        <w:rPr>
          <w:rFonts w:hint="eastAsia" w:ascii="宋体" w:hAnsi="宋体" w:eastAsia="仿宋_GB2312" w:cs="仿宋_GB2312"/>
          <w:spacing w:val="0"/>
          <w:w w:val="100"/>
          <w:sz w:val="32"/>
          <w:szCs w:val="32"/>
          <w:lang w:eastAsia="zh-CN"/>
        </w:rPr>
        <w:t>，</w:t>
      </w:r>
      <w:r>
        <w:rPr>
          <w:rFonts w:hint="eastAsia" w:ascii="宋体" w:hAnsi="宋体" w:eastAsia="仿宋_GB2312" w:cs="仿宋_GB2312"/>
          <w:spacing w:val="0"/>
          <w:w w:val="100"/>
          <w:sz w:val="32"/>
          <w:szCs w:val="32"/>
        </w:rPr>
        <w:t>做好突发环境事件应急处置工作。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主管部门应当将固体废物突发环境事件纳入突发环境事件专项应急预案，报本级人民政府和上级</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主管部门备案。</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十六</w:t>
      </w:r>
      <w:r>
        <w:rPr>
          <w:rFonts w:hint="eastAsia" w:ascii="宋体" w:hAnsi="宋体" w:eastAsia="黑体" w:cs="黑体"/>
          <w:spacing w:val="0"/>
          <w:w w:val="100"/>
          <w:sz w:val="32"/>
          <w:szCs w:val="32"/>
        </w:rPr>
        <w:t>条</w:t>
      </w:r>
      <w:bookmarkEnd w:id="463"/>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产生、收集、贮存、运输、利用、处置危险废物的企业事业单位和其他生产经营者应当将危险废物污染环境防治纳入突发环境事件防范措施和应急预案，报所在地县级以上人民政府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主管部门备案，并定期进行应急演练。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发生危险废物突发环境事件，产生污染的企业事业单位和其他生产经营者应当立即启动突发环境事件应急预案，采取切断或者控制污染源以及其他防止危害扩大的必要措施，及时通报可能受到危害的单位和居民，并向事发地</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主管部门和有关部门报告，接受调查处理。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4" w:name="_Toc3211"/>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十七</w:t>
      </w:r>
      <w:r>
        <w:rPr>
          <w:rFonts w:hint="eastAsia" w:ascii="宋体" w:hAnsi="宋体" w:eastAsia="黑体" w:cs="黑体"/>
          <w:spacing w:val="0"/>
          <w:w w:val="100"/>
          <w:sz w:val="32"/>
          <w:szCs w:val="32"/>
        </w:rPr>
        <w:t>条</w:t>
      </w:r>
      <w:bookmarkEnd w:id="464"/>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鼓励和支持保险企业开展与固体废物污染环境防治相关的责任保险工作。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产生、收集、贮存、运输、利用、处置固体废物的企业事业单位和其他生产经营者</w:t>
      </w:r>
      <w:r>
        <w:rPr>
          <w:rFonts w:hint="eastAsia" w:ascii="宋体" w:hAnsi="宋体" w:cs="仿宋_GB2312"/>
          <w:spacing w:val="0"/>
          <w:w w:val="100"/>
          <w:sz w:val="32"/>
          <w:szCs w:val="32"/>
          <w:lang w:eastAsia="zh-CN"/>
        </w:rPr>
        <w:t>应当</w:t>
      </w:r>
      <w:r>
        <w:rPr>
          <w:rFonts w:hint="eastAsia" w:ascii="宋体" w:hAnsi="宋体" w:eastAsia="仿宋_GB2312" w:cs="仿宋_GB2312"/>
          <w:spacing w:val="0"/>
          <w:w w:val="100"/>
          <w:sz w:val="32"/>
          <w:szCs w:val="32"/>
        </w:rPr>
        <w:t>按照国家和省有关规定投保环境污染责任保险。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r>
        <w:rPr>
          <w:rFonts w:hint="eastAsia" w:ascii="宋体" w:hAnsi="宋体" w:eastAsia="黑体" w:cs="黑体"/>
          <w:spacing w:val="0"/>
          <w:w w:val="100"/>
          <w:sz w:val="32"/>
          <w:szCs w:val="32"/>
        </w:rPr>
        <w:t>第三章</w:t>
      </w:r>
      <w:r>
        <w:rPr>
          <w:rFonts w:hint="eastAsia" w:ascii="宋体" w:hAnsi="宋体" w:eastAsia="黑体" w:cs="黑体"/>
          <w:spacing w:val="0"/>
          <w:w w:val="100"/>
          <w:sz w:val="32"/>
          <w:szCs w:val="32"/>
          <w:lang w:val="en-US" w:eastAsia="zh-CN"/>
        </w:rPr>
        <w:t xml:space="preserve"> </w:t>
      </w:r>
      <w:r>
        <w:rPr>
          <w:rFonts w:hint="eastAsia" w:ascii="宋体" w:hAnsi="宋体" w:eastAsia="黑体" w:cs="黑体"/>
          <w:spacing w:val="0"/>
          <w:w w:val="100"/>
          <w:sz w:val="32"/>
          <w:szCs w:val="32"/>
        </w:rPr>
        <w:t xml:space="preserve"> 固体废物污染环境的防治</w:t>
      </w:r>
    </w:p>
    <w:p>
      <w:pPr>
        <w:widowControl w:val="0"/>
        <w:wordWrap/>
        <w:overflowPunct w:val="0"/>
        <w:adjustRightInd w:val="0"/>
        <w:snapToGrid w:val="0"/>
        <w:spacing w:beforeAutospacing="0" w:afterAutospacing="0" w:line="560" w:lineRule="exact"/>
        <w:ind w:left="640" w:leftChars="200" w:right="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w:t>
      </w:r>
      <w:r>
        <w:rPr>
          <w:rFonts w:hint="eastAsia" w:ascii="宋体" w:hAnsi="宋体" w:eastAsia="仿宋_GB2312" w:cs="仿宋_GB2312"/>
          <w:spacing w:val="0"/>
          <w:w w:val="100"/>
          <w:sz w:val="32"/>
          <w:szCs w:val="32"/>
        </w:rPr>
        <w:t>级以上人民政府应当统一规划固体废物处置设施，优化固体废物处置设施的区域布局，并将固体废物处置设施的建设用地、建设计划纳入土地利用年度计划、城乡规划年度实施计划。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十九</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省人</w:t>
      </w:r>
      <w:r>
        <w:rPr>
          <w:rFonts w:hint="eastAsia" w:ascii="宋体" w:hAnsi="宋体" w:eastAsia="仿宋_GB2312" w:cs="仿宋_GB2312"/>
          <w:spacing w:val="0"/>
          <w:w w:val="100"/>
          <w:sz w:val="32"/>
          <w:szCs w:val="32"/>
        </w:rPr>
        <w:t>民政府应当统筹推进固体废物处置设施建设</w:t>
      </w:r>
      <w:r>
        <w:rPr>
          <w:rFonts w:hint="eastAsia" w:ascii="宋体" w:hAnsi="宋体" w:eastAsia="仿宋_GB2312" w:cs="仿宋_GB2312"/>
          <w:i w:val="0"/>
          <w:iCs w:val="0"/>
          <w:spacing w:val="0"/>
          <w:w w:val="100"/>
          <w:sz w:val="32"/>
          <w:szCs w:val="32"/>
        </w:rPr>
        <w:t>。</w:t>
      </w:r>
      <w:r>
        <w:rPr>
          <w:rFonts w:hint="eastAsia" w:ascii="宋体" w:hAnsi="宋体" w:eastAsia="仿宋_GB2312" w:cs="仿宋_GB2312"/>
          <w:spacing w:val="0"/>
          <w:w w:val="100"/>
          <w:sz w:val="32"/>
          <w:szCs w:val="32"/>
        </w:rPr>
        <w:t>省</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spacing w:val="0"/>
          <w:w w:val="100"/>
          <w:sz w:val="32"/>
          <w:szCs w:val="32"/>
        </w:rPr>
        <w:t>环境主管部门负责督促危险废物、一般工业固体废物</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处置设施</w:t>
      </w:r>
      <w:r>
        <w:rPr>
          <w:rFonts w:hint="eastAsia" w:ascii="宋体" w:hAnsi="宋体" w:eastAsia="仿宋_GB2312" w:cs="仿宋_GB2312"/>
          <w:spacing w:val="0"/>
          <w:w w:val="100"/>
          <w:sz w:val="32"/>
          <w:szCs w:val="32"/>
          <w:lang w:eastAsia="zh-CN"/>
        </w:rPr>
        <w:t>建设</w:t>
      </w:r>
      <w:r>
        <w:rPr>
          <w:rFonts w:hint="eastAsia" w:ascii="宋体" w:hAnsi="宋体" w:eastAsia="仿宋_GB2312" w:cs="仿宋_GB2312"/>
          <w:spacing w:val="0"/>
          <w:w w:val="100"/>
          <w:sz w:val="32"/>
          <w:szCs w:val="32"/>
        </w:rPr>
        <w:t>；省住房城乡建设主管部门负责督促生活垃圾、建筑垃圾、</w:t>
      </w:r>
      <w:r>
        <w:rPr>
          <w:rFonts w:hint="eastAsia" w:ascii="宋体" w:hAnsi="宋体" w:eastAsia="仿宋_GB2312" w:cs="仿宋_GB2312"/>
          <w:spacing w:val="0"/>
          <w:w w:val="100"/>
          <w:sz w:val="32"/>
          <w:szCs w:val="32"/>
          <w:lang w:eastAsia="zh-CN"/>
        </w:rPr>
        <w:t>生活污水处理厂</w:t>
      </w:r>
      <w:r>
        <w:rPr>
          <w:rFonts w:hint="eastAsia" w:ascii="宋体" w:hAnsi="宋体" w:eastAsia="仿宋_GB2312" w:cs="仿宋_GB2312"/>
          <w:spacing w:val="0"/>
          <w:w w:val="100"/>
          <w:sz w:val="32"/>
          <w:szCs w:val="32"/>
        </w:rPr>
        <w:t>污泥</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处置设施</w:t>
      </w:r>
      <w:r>
        <w:rPr>
          <w:rFonts w:hint="eastAsia" w:ascii="宋体" w:hAnsi="宋体" w:eastAsia="仿宋_GB2312" w:cs="仿宋_GB2312"/>
          <w:spacing w:val="0"/>
          <w:w w:val="100"/>
          <w:sz w:val="32"/>
          <w:szCs w:val="32"/>
          <w:lang w:eastAsia="zh-CN"/>
        </w:rPr>
        <w:t>建设</w:t>
      </w:r>
      <w:r>
        <w:rPr>
          <w:rFonts w:hint="eastAsia" w:ascii="宋体" w:hAnsi="宋体" w:eastAsia="仿宋_GB2312" w:cs="仿宋_GB2312"/>
          <w:spacing w:val="0"/>
          <w:w w:val="100"/>
          <w:sz w:val="32"/>
          <w:szCs w:val="32"/>
        </w:rPr>
        <w:t>；省农业</w:t>
      </w:r>
      <w:r>
        <w:rPr>
          <w:rFonts w:hint="eastAsia" w:ascii="宋体" w:hAnsi="宋体" w:eastAsia="仿宋_GB2312" w:cs="仿宋_GB2312"/>
          <w:spacing w:val="0"/>
          <w:w w:val="100"/>
          <w:sz w:val="32"/>
          <w:szCs w:val="32"/>
          <w:lang w:eastAsia="zh-CN"/>
        </w:rPr>
        <w:t>农村</w:t>
      </w:r>
      <w:r>
        <w:rPr>
          <w:rFonts w:hint="eastAsia" w:ascii="宋体" w:hAnsi="宋体" w:eastAsia="仿宋_GB2312" w:cs="仿宋_GB2312"/>
          <w:spacing w:val="0"/>
          <w:w w:val="100"/>
          <w:sz w:val="32"/>
          <w:szCs w:val="32"/>
        </w:rPr>
        <w:t>主管部门负责督</w:t>
      </w:r>
      <w:r>
        <w:rPr>
          <w:rFonts w:hint="eastAsia" w:ascii="宋体" w:hAnsi="宋体" w:eastAsia="仿宋_GB2312" w:cs="仿宋_GB2312"/>
          <w:spacing w:val="0"/>
          <w:w w:val="100"/>
          <w:sz w:val="32"/>
          <w:szCs w:val="32"/>
          <w:lang w:eastAsia="zh-CN"/>
        </w:rPr>
        <w:t>促农业废弃物</w:t>
      </w:r>
      <w:r>
        <w:rPr>
          <w:rFonts w:hint="eastAsia" w:ascii="宋体" w:hAnsi="宋体" w:cs="仿宋_GB2312"/>
          <w:spacing w:val="0"/>
          <w:w w:val="100"/>
          <w:sz w:val="32"/>
          <w:szCs w:val="32"/>
          <w:lang w:eastAsia="zh-CN"/>
        </w:rPr>
        <w:t>的</w:t>
      </w:r>
      <w:r>
        <w:rPr>
          <w:rFonts w:hint="eastAsia" w:ascii="宋体" w:hAnsi="宋体" w:eastAsia="仿宋_GB2312" w:cs="仿宋_GB2312"/>
          <w:spacing w:val="0"/>
          <w:w w:val="100"/>
          <w:sz w:val="32"/>
          <w:szCs w:val="32"/>
          <w:lang w:eastAsia="zh-CN"/>
        </w:rPr>
        <w:t>处置设施建设。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lang w:eastAsia="zh-CN"/>
        </w:rPr>
        <w:t>地级以上市及县级人民政府应当落实固体废物基础设施建设规划，解决设施建设的</w:t>
      </w:r>
      <w:r>
        <w:rPr>
          <w:rFonts w:hint="eastAsia" w:ascii="宋体" w:hAnsi="宋体" w:eastAsia="仿宋_GB2312" w:cs="仿宋_GB2312"/>
          <w:spacing w:val="0"/>
          <w:w w:val="100"/>
          <w:sz w:val="32"/>
          <w:szCs w:val="32"/>
        </w:rPr>
        <w:t>立项、用地、资金等问题。</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color w:val="auto"/>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二十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鼓励社</w:t>
      </w:r>
      <w:r>
        <w:rPr>
          <w:rFonts w:hint="eastAsia" w:ascii="宋体" w:hAnsi="宋体" w:eastAsia="仿宋_GB2312" w:cs="仿宋_GB2312"/>
          <w:spacing w:val="0"/>
          <w:w w:val="100"/>
          <w:sz w:val="32"/>
          <w:szCs w:val="32"/>
        </w:rPr>
        <w:t>会</w:t>
      </w:r>
      <w:r>
        <w:rPr>
          <w:rFonts w:hint="eastAsia" w:ascii="宋体" w:hAnsi="宋体" w:eastAsia="仿宋_GB2312" w:cs="仿宋_GB2312"/>
          <w:color w:val="auto"/>
          <w:spacing w:val="0"/>
          <w:w w:val="100"/>
          <w:sz w:val="32"/>
          <w:szCs w:val="32"/>
          <w:lang w:eastAsia="zh-CN"/>
        </w:rPr>
        <w:t>力量</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color w:val="auto"/>
          <w:spacing w:val="0"/>
          <w:w w:val="100"/>
          <w:sz w:val="32"/>
          <w:szCs w:val="32"/>
        </w:rPr>
        <w:t>投资、建设和运营固体废物处置设施。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color w:val="auto"/>
          <w:spacing w:val="0"/>
          <w:w w:val="100"/>
          <w:sz w:val="32"/>
          <w:szCs w:val="32"/>
        </w:rPr>
        <w:t>鼓励</w:t>
      </w:r>
      <w:r>
        <w:rPr>
          <w:rFonts w:hint="eastAsia" w:ascii="宋体" w:hAnsi="宋体" w:eastAsia="仿宋_GB2312" w:cs="仿宋_GB2312"/>
          <w:spacing w:val="0"/>
          <w:w w:val="100"/>
          <w:sz w:val="32"/>
          <w:szCs w:val="32"/>
          <w:lang w:eastAsia="zh-CN"/>
        </w:rPr>
        <w:t>和</w:t>
      </w:r>
      <w:r>
        <w:rPr>
          <w:rFonts w:hint="eastAsia" w:ascii="宋体" w:hAnsi="宋体" w:eastAsia="仿宋_GB2312" w:cs="仿宋_GB2312"/>
          <w:color w:val="auto"/>
          <w:spacing w:val="0"/>
          <w:w w:val="100"/>
          <w:sz w:val="32"/>
          <w:szCs w:val="32"/>
        </w:rPr>
        <w:t>支持固体废物污染防治科学技术研究</w:t>
      </w:r>
      <w:r>
        <w:rPr>
          <w:rFonts w:hint="eastAsia" w:ascii="宋体" w:hAnsi="宋体" w:eastAsia="仿宋_GB2312" w:cs="仿宋_GB2312"/>
          <w:color w:val="auto"/>
          <w:spacing w:val="0"/>
          <w:w w:val="100"/>
          <w:sz w:val="32"/>
          <w:szCs w:val="32"/>
          <w:lang w:eastAsia="zh-CN"/>
        </w:rPr>
        <w:t>开发</w:t>
      </w:r>
      <w:r>
        <w:rPr>
          <w:rFonts w:hint="eastAsia" w:ascii="宋体" w:hAnsi="宋体" w:eastAsia="仿宋_GB2312" w:cs="仿宋_GB2312"/>
          <w:color w:val="auto"/>
          <w:spacing w:val="0"/>
          <w:w w:val="100"/>
          <w:sz w:val="32"/>
          <w:szCs w:val="32"/>
        </w:rPr>
        <w:t>，推广应用先进适用的技术、工艺、设备和材料，促进固体废物综合利用和无害化处置，提高固体废物利用处置能力。</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b w:val="0"/>
          <w:bCs w:val="0"/>
          <w:i w:val="0"/>
          <w:iCs w:val="0"/>
          <w:spacing w:val="0"/>
          <w:w w:val="100"/>
          <w:sz w:val="32"/>
          <w:szCs w:val="32"/>
          <w:u w:val="none"/>
          <w:lang w:eastAsia="zh-CN"/>
        </w:rPr>
        <w:t>二十一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建设</w:t>
      </w:r>
      <w:r>
        <w:rPr>
          <w:rFonts w:hint="eastAsia" w:ascii="宋体" w:hAnsi="宋体" w:cs="仿宋_GB2312"/>
          <w:spacing w:val="0"/>
          <w:w w:val="100"/>
          <w:sz w:val="32"/>
          <w:szCs w:val="32"/>
          <w:lang w:eastAsia="zh-CN"/>
        </w:rPr>
        <w:t>工业</w:t>
      </w:r>
      <w:r>
        <w:rPr>
          <w:rFonts w:hint="eastAsia" w:ascii="宋体" w:hAnsi="宋体" w:eastAsia="仿宋_GB2312" w:cs="仿宋_GB2312"/>
          <w:spacing w:val="0"/>
          <w:w w:val="100"/>
          <w:sz w:val="32"/>
          <w:szCs w:val="32"/>
        </w:rPr>
        <w:t>固体废物集中贮存、处置以及生活垃圾卫生填埋、焚烧等设施、场所，应当遵守国家和省相关环境保护标准，其选址不得位于自然保护区、风景名胜区、饮用水</w:t>
      </w:r>
      <w:r>
        <w:rPr>
          <w:rFonts w:hint="eastAsia" w:ascii="宋体" w:hAnsi="宋体" w:eastAsia="仿宋_GB2312" w:cs="仿宋_GB2312"/>
          <w:spacing w:val="0"/>
          <w:w w:val="100"/>
          <w:sz w:val="32"/>
          <w:szCs w:val="32"/>
          <w:lang w:eastAsia="zh-CN"/>
        </w:rPr>
        <w:t>水</w:t>
      </w:r>
      <w:r>
        <w:rPr>
          <w:rFonts w:hint="eastAsia" w:ascii="宋体" w:hAnsi="宋体" w:eastAsia="仿宋_GB2312" w:cs="仿宋_GB2312"/>
          <w:spacing w:val="0"/>
          <w:w w:val="100"/>
          <w:sz w:val="32"/>
          <w:szCs w:val="32"/>
        </w:rPr>
        <w:t>源保护区、基本农田保护区和其他需要特别保护的区域，与学校、医院、集中居住区等环境敏感目标应当保持防护距离。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防护距离应当符合经批准的环境影响评价文件要求。已建固体废物集中收集、贮存、利用、处置设施的防护距离内，不得新建学校、医院、集中居住区等环境敏感目标。</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城乡生活垃圾的清扫、分类、收集、运输、处置等活动按照国家和省相关规定管理。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地级以上市人民政府应当根据国家和省相关规定以及本地实际情况，制定本行政区域城乡生活垃圾分类具体办法，实施城乡居民分类投放</w:t>
      </w:r>
      <w:r>
        <w:rPr>
          <w:rFonts w:hint="eastAsia" w:ascii="宋体" w:hAnsi="宋体" w:eastAsia="仿宋_GB2312" w:cs="仿宋_GB2312"/>
          <w:spacing w:val="0"/>
          <w:w w:val="100"/>
          <w:sz w:val="32"/>
          <w:szCs w:val="32"/>
          <w:lang w:eastAsia="zh-CN"/>
        </w:rPr>
        <w:t>生活</w:t>
      </w:r>
      <w:r>
        <w:rPr>
          <w:rFonts w:hint="eastAsia" w:ascii="宋体" w:hAnsi="宋体" w:eastAsia="仿宋_GB2312" w:cs="仿宋_GB2312"/>
          <w:spacing w:val="0"/>
          <w:w w:val="100"/>
          <w:sz w:val="32"/>
          <w:szCs w:val="32"/>
        </w:rPr>
        <w:t>垃圾。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收集运输生活垃圾的单位应当将已分类收集的有害垃圾交由具有经营许可证的专业企业处理。</w:t>
      </w:r>
      <w:r>
        <w:rPr>
          <w:rFonts w:hint="eastAsia" w:ascii="宋体" w:hAnsi="宋体" w:eastAsia="仿宋_GB2312" w:cs="仿宋_GB2312"/>
          <w:spacing w:val="0"/>
          <w:w w:val="100"/>
          <w:sz w:val="32"/>
          <w:szCs w:val="32"/>
          <w:lang w:eastAsia="zh-CN"/>
        </w:rPr>
        <w:t>地级以上</w:t>
      </w:r>
      <w:r>
        <w:rPr>
          <w:rFonts w:hint="eastAsia" w:ascii="宋体" w:hAnsi="宋体" w:eastAsia="仿宋_GB2312" w:cs="仿宋_GB2312"/>
          <w:spacing w:val="0"/>
          <w:w w:val="100"/>
          <w:sz w:val="32"/>
          <w:szCs w:val="32"/>
        </w:rPr>
        <w:t>市</w:t>
      </w:r>
      <w:r>
        <w:rPr>
          <w:rFonts w:hint="eastAsia" w:ascii="宋体" w:hAnsi="宋体" w:eastAsia="仿宋_GB2312" w:cs="仿宋_GB2312"/>
          <w:spacing w:val="0"/>
          <w:w w:val="100"/>
          <w:sz w:val="32"/>
          <w:szCs w:val="32"/>
          <w:lang w:eastAsia="zh-CN"/>
        </w:rPr>
        <w:t>及</w:t>
      </w:r>
      <w:r>
        <w:rPr>
          <w:rFonts w:hint="eastAsia" w:ascii="宋体" w:hAnsi="宋体" w:eastAsia="仿宋_GB2312" w:cs="仿宋_GB2312"/>
          <w:spacing w:val="0"/>
          <w:w w:val="100"/>
          <w:sz w:val="32"/>
          <w:szCs w:val="32"/>
        </w:rPr>
        <w:t>县</w:t>
      </w:r>
      <w:r>
        <w:rPr>
          <w:rFonts w:hint="eastAsia" w:ascii="宋体" w:hAnsi="宋体" w:eastAsia="仿宋_GB2312" w:cs="仿宋_GB2312"/>
          <w:spacing w:val="0"/>
          <w:w w:val="100"/>
          <w:sz w:val="32"/>
          <w:szCs w:val="32"/>
          <w:lang w:eastAsia="zh-CN"/>
        </w:rPr>
        <w:t>级</w:t>
      </w:r>
      <w:r>
        <w:rPr>
          <w:rFonts w:hint="eastAsia" w:ascii="宋体" w:hAnsi="宋体" w:eastAsia="仿宋_GB2312" w:cs="仿宋_GB2312"/>
          <w:spacing w:val="0"/>
          <w:w w:val="100"/>
          <w:sz w:val="32"/>
          <w:szCs w:val="32"/>
        </w:rPr>
        <w:t>人民政府环境卫生主管部门和</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主管部门应当加强监督管理。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5" w:name="_Toc13871"/>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二十三</w:t>
      </w:r>
      <w:r>
        <w:rPr>
          <w:rFonts w:hint="eastAsia" w:ascii="宋体" w:hAnsi="宋体" w:eastAsia="黑体" w:cs="黑体"/>
          <w:spacing w:val="0"/>
          <w:w w:val="100"/>
          <w:sz w:val="32"/>
          <w:szCs w:val="32"/>
        </w:rPr>
        <w:t>条</w:t>
      </w:r>
      <w:bookmarkEnd w:id="465"/>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产生固体废</w:t>
      </w:r>
      <w:r>
        <w:rPr>
          <w:rFonts w:hint="eastAsia" w:ascii="宋体" w:hAnsi="宋体" w:eastAsia="仿宋_GB2312" w:cs="仿宋_GB2312"/>
          <w:spacing w:val="0"/>
          <w:w w:val="100"/>
          <w:sz w:val="32"/>
          <w:szCs w:val="32"/>
        </w:rPr>
        <w:t>物的企业事业单位和其他生产经营者应当按照有关法律、法规、污染控制标准和技术规范</w:t>
      </w:r>
      <w:r>
        <w:rPr>
          <w:rFonts w:hint="eastAsia" w:ascii="宋体" w:hAnsi="宋体" w:eastAsia="仿宋_GB2312" w:cs="仿宋_GB2312"/>
          <w:spacing w:val="0"/>
          <w:w w:val="100"/>
          <w:sz w:val="32"/>
          <w:szCs w:val="32"/>
          <w:lang w:eastAsia="zh-CN"/>
        </w:rPr>
        <w:t>等</w:t>
      </w:r>
      <w:r>
        <w:rPr>
          <w:rFonts w:hint="eastAsia" w:ascii="宋体" w:hAnsi="宋体" w:eastAsia="仿宋_GB2312" w:cs="仿宋_GB2312"/>
          <w:spacing w:val="0"/>
          <w:w w:val="100"/>
          <w:sz w:val="32"/>
          <w:szCs w:val="32"/>
        </w:rPr>
        <w:t>对固体废物</w:t>
      </w:r>
      <w:r>
        <w:rPr>
          <w:rFonts w:hint="eastAsia" w:ascii="宋体" w:hAnsi="宋体" w:eastAsia="仿宋_GB2312" w:cs="仿宋_GB2312"/>
          <w:spacing w:val="0"/>
          <w:w w:val="100"/>
          <w:sz w:val="32"/>
          <w:szCs w:val="32"/>
          <w:lang w:eastAsia="zh-CN"/>
        </w:rPr>
        <w:t>进行</w:t>
      </w:r>
      <w:r>
        <w:rPr>
          <w:rFonts w:hint="eastAsia" w:ascii="宋体" w:hAnsi="宋体" w:eastAsia="仿宋_GB2312" w:cs="仿宋_GB2312"/>
          <w:spacing w:val="0"/>
          <w:w w:val="100"/>
          <w:sz w:val="32"/>
          <w:szCs w:val="32"/>
        </w:rPr>
        <w:t>分类、贮存、利用或者处置；不能自行利用或者处置的，应当</w:t>
      </w:r>
      <w:r>
        <w:rPr>
          <w:rFonts w:hint="eastAsia" w:ascii="宋体" w:hAnsi="宋体" w:eastAsia="仿宋_GB2312" w:cs="仿宋_GB2312"/>
          <w:spacing w:val="0"/>
          <w:w w:val="100"/>
          <w:sz w:val="32"/>
          <w:szCs w:val="32"/>
          <w:lang w:eastAsia="zh-CN"/>
        </w:rPr>
        <w:t>交由</w:t>
      </w:r>
      <w:r>
        <w:rPr>
          <w:rFonts w:hint="eastAsia" w:ascii="宋体" w:hAnsi="宋体" w:eastAsia="仿宋_GB2312" w:cs="仿宋_GB2312"/>
          <w:spacing w:val="0"/>
          <w:w w:val="100"/>
          <w:sz w:val="32"/>
          <w:szCs w:val="32"/>
        </w:rPr>
        <w:t>符合环境保护要求的企业利用或者处置。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二十四</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县级以上</w:t>
      </w:r>
      <w:r>
        <w:rPr>
          <w:rFonts w:hint="eastAsia" w:ascii="宋体" w:hAnsi="宋体" w:eastAsia="仿宋_GB2312" w:cs="仿宋_GB2312"/>
          <w:spacing w:val="0"/>
          <w:w w:val="100"/>
          <w:sz w:val="32"/>
          <w:szCs w:val="32"/>
        </w:rPr>
        <w:t>人民政府城镇排水与污水处理主管部门（以下</w:t>
      </w:r>
      <w:r>
        <w:rPr>
          <w:rFonts w:hint="eastAsia" w:ascii="宋体" w:hAnsi="宋体" w:cs="仿宋_GB2312"/>
          <w:spacing w:val="0"/>
          <w:w w:val="100"/>
          <w:sz w:val="32"/>
          <w:szCs w:val="32"/>
          <w:lang w:eastAsia="zh-CN"/>
        </w:rPr>
        <w:t>简</w:t>
      </w:r>
      <w:r>
        <w:rPr>
          <w:rFonts w:hint="eastAsia" w:ascii="宋体" w:hAnsi="宋体" w:eastAsia="仿宋_GB2312" w:cs="仿宋_GB2312"/>
          <w:spacing w:val="0"/>
          <w:w w:val="100"/>
          <w:sz w:val="32"/>
          <w:szCs w:val="32"/>
        </w:rPr>
        <w:t>称城镇排水主管部门）负责本行政区域内城镇污水处理设施维护运营单位污泥利用或者处置的监督管理，并将污泥利用处置设施的建设规模、布局、建设用地以及保障措施等纳入本行政区域的城镇排水与污水处理规划。</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城镇污水处理设施维护运营单位应当按照国家和省有关规定对其产生的污泥进行利用</w:t>
      </w:r>
      <w:r>
        <w:rPr>
          <w:rFonts w:hint="eastAsia" w:ascii="宋体" w:hAnsi="宋体" w:cs="仿宋_GB2312"/>
          <w:spacing w:val="0"/>
          <w:w w:val="100"/>
          <w:sz w:val="32"/>
          <w:szCs w:val="32"/>
          <w:lang w:eastAsia="zh-CN"/>
        </w:rPr>
        <w:t>或者</w:t>
      </w:r>
      <w:r>
        <w:rPr>
          <w:rFonts w:hint="eastAsia" w:ascii="宋体" w:hAnsi="宋体" w:eastAsia="仿宋_GB2312" w:cs="仿宋_GB2312"/>
          <w:spacing w:val="0"/>
          <w:w w:val="100"/>
          <w:sz w:val="32"/>
          <w:szCs w:val="32"/>
        </w:rPr>
        <w:t>处置；不</w:t>
      </w:r>
      <w:r>
        <w:rPr>
          <w:rFonts w:hint="eastAsia" w:ascii="宋体" w:hAnsi="宋体" w:eastAsia="仿宋_GB2312" w:cs="仿宋_GB2312"/>
          <w:spacing w:val="0"/>
          <w:w w:val="100"/>
          <w:sz w:val="32"/>
          <w:szCs w:val="32"/>
          <w:lang w:eastAsia="zh-CN"/>
        </w:rPr>
        <w:t>能</w:t>
      </w:r>
      <w:r>
        <w:rPr>
          <w:rFonts w:hint="eastAsia" w:ascii="宋体" w:hAnsi="宋体" w:eastAsia="仿宋_GB2312" w:cs="仿宋_GB2312"/>
          <w:spacing w:val="0"/>
          <w:w w:val="100"/>
          <w:sz w:val="32"/>
          <w:szCs w:val="32"/>
        </w:rPr>
        <w:t>自行利用或者处置的，应当委托具备相应能力的企业事业单位</w:t>
      </w:r>
      <w:r>
        <w:rPr>
          <w:rFonts w:hint="eastAsia" w:ascii="宋体" w:hAnsi="宋体" w:cs="仿宋_GB2312"/>
          <w:spacing w:val="0"/>
          <w:w w:val="100"/>
          <w:sz w:val="32"/>
          <w:szCs w:val="32"/>
          <w:lang w:eastAsia="zh-CN"/>
        </w:rPr>
        <w:t>或者</w:t>
      </w:r>
      <w:r>
        <w:rPr>
          <w:rFonts w:hint="eastAsia" w:ascii="宋体" w:hAnsi="宋体" w:eastAsia="仿宋_GB2312" w:cs="仿宋_GB2312"/>
          <w:spacing w:val="0"/>
          <w:w w:val="100"/>
          <w:sz w:val="32"/>
          <w:szCs w:val="32"/>
        </w:rPr>
        <w:t>其他生产经营者进行利用或者处置。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二十五</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城</w:t>
      </w:r>
      <w:r>
        <w:rPr>
          <w:rFonts w:hint="eastAsia" w:ascii="宋体" w:hAnsi="宋体" w:eastAsia="仿宋_GB2312" w:cs="仿宋_GB2312"/>
          <w:spacing w:val="0"/>
          <w:w w:val="100"/>
          <w:sz w:val="32"/>
          <w:szCs w:val="32"/>
        </w:rPr>
        <w:t>镇污水处理设施维护运营单位</w:t>
      </w:r>
      <w:r>
        <w:rPr>
          <w:rFonts w:hint="eastAsia" w:ascii="宋体" w:hAnsi="宋体" w:cs="仿宋_GB2312"/>
          <w:spacing w:val="0"/>
          <w:w w:val="100"/>
          <w:sz w:val="32"/>
          <w:szCs w:val="32"/>
          <w:lang w:eastAsia="zh-CN"/>
        </w:rPr>
        <w:t>或者</w:t>
      </w:r>
      <w:r>
        <w:rPr>
          <w:rFonts w:hint="eastAsia" w:ascii="宋体" w:hAnsi="宋体" w:eastAsia="仿宋_GB2312" w:cs="仿宋_GB2312"/>
          <w:spacing w:val="0"/>
          <w:w w:val="100"/>
          <w:sz w:val="32"/>
          <w:szCs w:val="32"/>
        </w:rPr>
        <w:t>污泥处理处置单位应当建立污泥管理台账，对产生的污泥以及利用或者处置后的污泥去向、用途、用量等进行跟踪、记录，并向县级以上人民政府城镇排水主管部门、</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w:t>
      </w:r>
      <w:bookmarkStart w:id="466" w:name="_Toc18221"/>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二十六</w:t>
      </w:r>
      <w:r>
        <w:rPr>
          <w:rFonts w:hint="eastAsia" w:ascii="宋体" w:hAnsi="宋体" w:eastAsia="黑体" w:cs="黑体"/>
          <w:spacing w:val="0"/>
          <w:w w:val="100"/>
          <w:sz w:val="32"/>
          <w:szCs w:val="32"/>
        </w:rPr>
        <w:t>条</w:t>
      </w:r>
      <w:bookmarkEnd w:id="466"/>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城镇</w:t>
      </w:r>
      <w:r>
        <w:rPr>
          <w:rFonts w:hint="eastAsia" w:ascii="宋体" w:hAnsi="宋体" w:eastAsia="仿宋_GB2312" w:cs="仿宋_GB2312"/>
          <w:spacing w:val="0"/>
          <w:w w:val="100"/>
          <w:sz w:val="32"/>
          <w:szCs w:val="32"/>
        </w:rPr>
        <w:t>污水处理设施维护运营单位</w:t>
      </w:r>
      <w:r>
        <w:rPr>
          <w:rFonts w:hint="eastAsia" w:ascii="宋体" w:hAnsi="宋体" w:eastAsia="仿宋_GB2312" w:cs="仿宋_GB2312"/>
          <w:spacing w:val="0"/>
          <w:w w:val="100"/>
          <w:sz w:val="32"/>
          <w:szCs w:val="32"/>
          <w:lang w:eastAsia="zh-CN"/>
        </w:rPr>
        <w:t>和</w:t>
      </w:r>
      <w:r>
        <w:rPr>
          <w:rFonts w:hint="eastAsia" w:ascii="宋体" w:hAnsi="宋体" w:eastAsia="仿宋_GB2312" w:cs="仿宋_GB2312"/>
          <w:spacing w:val="0"/>
          <w:w w:val="100"/>
          <w:sz w:val="32"/>
          <w:szCs w:val="32"/>
        </w:rPr>
        <w:t>污泥处理处置单位应当执行污泥转移联单制度，将转移联单报县级以上人民政府城镇排水主管部门和</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主管部门备案。</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转移污泥的运输者应当采取措施，防止扬散、流失、渗漏或者造成其他环境污染，不得在运输过程中丢弃、倾倒、遗撒污泥。</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val="en-US" w:eastAsia="zh-CN"/>
        </w:rPr>
        <w:t>二十七</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w:t>
      </w:r>
      <w:r>
        <w:rPr>
          <w:rFonts w:hint="eastAsia" w:ascii="宋体" w:hAnsi="宋体" w:eastAsia="仿宋_GB2312" w:cs="仿宋_GB2312"/>
          <w:spacing w:val="0"/>
          <w:w w:val="100"/>
          <w:sz w:val="32"/>
          <w:szCs w:val="32"/>
        </w:rPr>
        <w:t>政府应当</w:t>
      </w:r>
      <w:r>
        <w:rPr>
          <w:rFonts w:hint="eastAsia" w:ascii="宋体" w:hAnsi="宋体" w:eastAsia="仿宋_GB2312" w:cs="仿宋_GB2312"/>
          <w:spacing w:val="0"/>
          <w:w w:val="100"/>
          <w:sz w:val="32"/>
          <w:szCs w:val="32"/>
          <w:lang w:eastAsia="zh-CN"/>
        </w:rPr>
        <w:t>根据本地实际情况，结合城乡生活垃圾分类，</w:t>
      </w:r>
      <w:r>
        <w:rPr>
          <w:rFonts w:hint="eastAsia" w:ascii="宋体" w:hAnsi="宋体" w:eastAsia="仿宋_GB2312" w:cs="仿宋_GB2312"/>
          <w:spacing w:val="0"/>
          <w:w w:val="100"/>
          <w:sz w:val="32"/>
          <w:szCs w:val="32"/>
        </w:rPr>
        <w:t>建立</w:t>
      </w:r>
      <w:r>
        <w:rPr>
          <w:rFonts w:hint="eastAsia" w:ascii="宋体" w:hAnsi="宋体" w:eastAsia="仿宋_GB2312" w:cs="仿宋_GB2312"/>
          <w:spacing w:val="0"/>
          <w:w w:val="100"/>
          <w:sz w:val="32"/>
          <w:szCs w:val="32"/>
          <w:lang w:eastAsia="zh-CN"/>
        </w:rPr>
        <w:t>布局合理、交售方便、收购有序的废弃电器电子产品回收网络。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t>鼓励电器电子产品生产者自行或者委托销售者、维修机构、售后服务机构、再生资源回收经营者回收废弃电器电子产品。</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i w:val="0"/>
          <w:iCs w:val="0"/>
          <w:spacing w:val="0"/>
          <w:w w:val="100"/>
          <w:sz w:val="32"/>
          <w:szCs w:val="32"/>
          <w:u w:val="none"/>
          <w:lang w:eastAsia="zh-CN"/>
        </w:rPr>
        <w:t>第二十八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w:t>
      </w:r>
      <w:r>
        <w:rPr>
          <w:rFonts w:hint="eastAsia" w:ascii="宋体" w:hAnsi="宋体" w:eastAsia="仿宋_GB2312" w:cs="仿宋_GB2312"/>
          <w:spacing w:val="0"/>
          <w:w w:val="100"/>
          <w:sz w:val="32"/>
          <w:szCs w:val="32"/>
        </w:rPr>
        <w:t>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主管部门应当对废弃电器电子产品拆解、利用和处置中的污染防治实施监督管理。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废弃电器电子产品处理企业资格由地级以上市人民政府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主管部门依法审批。未取得资格的，不得从事废弃电器电子产品拆解、利用、处置经营活动。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从事废弃电器电子产品拆解、利用、处置经营活动的企业事业单位和其他经营者应当按照国家有关规定和技术规范要求，对废弃电器电子产品进行拆解、利用和处置，防止污染环境。</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7" w:name="_Toc28358"/>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二十九</w:t>
      </w:r>
      <w:r>
        <w:rPr>
          <w:rFonts w:hint="eastAsia" w:ascii="宋体" w:hAnsi="宋体" w:eastAsia="黑体" w:cs="黑体"/>
          <w:spacing w:val="0"/>
          <w:w w:val="100"/>
          <w:sz w:val="32"/>
          <w:szCs w:val="32"/>
        </w:rPr>
        <w:t>条</w:t>
      </w:r>
      <w:bookmarkEnd w:id="467"/>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省人民政府商务主管部门应当将报废机动车回收拆解活动中产生的固</w:t>
      </w:r>
      <w:r>
        <w:rPr>
          <w:rFonts w:hint="eastAsia" w:ascii="宋体" w:hAnsi="宋体" w:eastAsia="仿宋_GB2312" w:cs="仿宋_GB2312"/>
          <w:spacing w:val="0"/>
          <w:w w:val="100"/>
          <w:sz w:val="32"/>
          <w:szCs w:val="32"/>
        </w:rPr>
        <w:t>体废物</w:t>
      </w:r>
      <w:r>
        <w:rPr>
          <w:rFonts w:hint="eastAsia" w:ascii="宋体" w:hAnsi="宋体" w:cs="仿宋_GB2312"/>
          <w:spacing w:val="0"/>
          <w:w w:val="100"/>
          <w:sz w:val="32"/>
          <w:szCs w:val="32"/>
          <w:lang w:eastAsia="zh-CN"/>
        </w:rPr>
        <w:t>的</w:t>
      </w:r>
      <w:r>
        <w:rPr>
          <w:rFonts w:hint="eastAsia" w:ascii="宋体" w:hAnsi="宋体" w:eastAsia="仿宋_GB2312" w:cs="仿宋_GB2312"/>
          <w:spacing w:val="0"/>
          <w:w w:val="100"/>
          <w:sz w:val="32"/>
          <w:szCs w:val="32"/>
        </w:rPr>
        <w:t>污染防治措施及其实施情况纳入报废机动车回收拆解企业的资格许可</w:t>
      </w:r>
      <w:r>
        <w:rPr>
          <w:rFonts w:hint="eastAsia" w:ascii="宋体" w:hAnsi="宋体" w:eastAsia="仿宋_GB2312" w:cs="仿宋_GB2312"/>
          <w:spacing w:val="0"/>
          <w:w w:val="100"/>
          <w:sz w:val="32"/>
          <w:szCs w:val="32"/>
          <w:lang w:eastAsia="zh-CN"/>
        </w:rPr>
        <w:t>和</w:t>
      </w:r>
      <w:r>
        <w:rPr>
          <w:rFonts w:hint="eastAsia" w:ascii="宋体" w:hAnsi="宋体" w:eastAsia="仿宋_GB2312" w:cs="仿宋_GB2312"/>
          <w:spacing w:val="0"/>
          <w:w w:val="100"/>
          <w:sz w:val="32"/>
          <w:szCs w:val="32"/>
        </w:rPr>
        <w:t>检查中。</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报废机动车回收拆解企业应当建设符合国家相关要求的存储场地、拆解场地以及拆解设备，对回收拆解活动产生的固体废物应当分类收集、贮存，对产生的危险废物应当交由</w:t>
      </w:r>
      <w:r>
        <w:rPr>
          <w:rFonts w:hint="eastAsia" w:ascii="宋体" w:hAnsi="宋体" w:eastAsia="仿宋_GB2312" w:cs="仿宋_GB2312"/>
          <w:spacing w:val="0"/>
          <w:w w:val="100"/>
          <w:sz w:val="32"/>
          <w:szCs w:val="32"/>
          <w:lang w:eastAsia="zh-CN"/>
        </w:rPr>
        <w:t>具</w:t>
      </w:r>
      <w:r>
        <w:rPr>
          <w:rFonts w:hint="eastAsia" w:ascii="宋体" w:hAnsi="宋体" w:eastAsia="仿宋_GB2312" w:cs="仿宋_GB2312"/>
          <w:spacing w:val="0"/>
          <w:w w:val="100"/>
          <w:sz w:val="32"/>
          <w:szCs w:val="32"/>
        </w:rPr>
        <w:t>有</w:t>
      </w:r>
      <w:r>
        <w:rPr>
          <w:rFonts w:hint="eastAsia" w:ascii="宋体" w:hAnsi="宋体" w:eastAsia="仿宋_GB2312" w:cs="仿宋_GB2312"/>
          <w:spacing w:val="0"/>
          <w:w w:val="100"/>
          <w:sz w:val="32"/>
          <w:szCs w:val="32"/>
          <w:lang w:eastAsia="zh-CN"/>
        </w:rPr>
        <w:t>相应</w:t>
      </w:r>
      <w:r>
        <w:rPr>
          <w:rFonts w:hint="eastAsia" w:ascii="宋体" w:hAnsi="宋体" w:eastAsia="仿宋_GB2312" w:cs="仿宋_GB2312"/>
          <w:spacing w:val="0"/>
          <w:w w:val="100"/>
          <w:sz w:val="32"/>
          <w:szCs w:val="32"/>
        </w:rPr>
        <w:t>资质的单位利用或者处置。</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三十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转移</w:t>
      </w:r>
      <w:r>
        <w:rPr>
          <w:rFonts w:hint="eastAsia" w:ascii="宋体" w:hAnsi="宋体" w:eastAsia="仿宋_GB2312" w:cs="仿宋_GB2312"/>
          <w:spacing w:val="0"/>
          <w:w w:val="100"/>
          <w:sz w:val="32"/>
          <w:szCs w:val="32"/>
        </w:rPr>
        <w:t>固体废物出本省行政区域贮存、处置的，应当向省人民政府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主管部门提出申请。省人民政府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主管部门应当商经接受地的省</w:t>
      </w:r>
      <w:r>
        <w:rPr>
          <w:rFonts w:hint="eastAsia" w:ascii="宋体" w:hAnsi="宋体" w:eastAsia="仿宋_GB2312" w:cs="仿宋_GB2312"/>
          <w:kern w:val="0"/>
          <w:sz w:val="32"/>
          <w:szCs w:val="32"/>
          <w:lang w:eastAsia="zh-CN"/>
        </w:rPr>
        <w:t>、自治区、直辖市</w:t>
      </w:r>
      <w:r>
        <w:rPr>
          <w:rFonts w:hint="eastAsia" w:ascii="宋体" w:hAnsi="宋体" w:eastAsia="仿宋_GB2312" w:cs="仿宋_GB2312"/>
          <w:spacing w:val="0"/>
          <w:w w:val="100"/>
          <w:sz w:val="32"/>
          <w:szCs w:val="32"/>
        </w:rPr>
        <w:t>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主管部门同意后，方可批准转移该固体废物出本省行政区域。未经批准的，不得转移。</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spacing w:val="0"/>
          <w:w w:val="100"/>
          <w:sz w:val="32"/>
          <w:szCs w:val="32"/>
          <w:lang w:eastAsia="zh-CN"/>
        </w:rPr>
        <w:t>三十一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乡镇</w:t>
      </w:r>
      <w:r>
        <w:rPr>
          <w:rFonts w:hint="eastAsia" w:ascii="宋体" w:hAnsi="宋体" w:eastAsia="仿宋_GB2312" w:cs="仿宋_GB2312"/>
          <w:spacing w:val="0"/>
          <w:w w:val="100"/>
          <w:sz w:val="32"/>
          <w:szCs w:val="32"/>
        </w:rPr>
        <w:t>人民政府、街道办事处应当加强本辖区</w:t>
      </w:r>
      <w:r>
        <w:rPr>
          <w:rFonts w:hint="eastAsia" w:ascii="宋体" w:hAnsi="宋体" w:eastAsia="仿宋_GB2312" w:cs="仿宋_GB2312"/>
          <w:spacing w:val="0"/>
          <w:w w:val="100"/>
          <w:sz w:val="32"/>
          <w:szCs w:val="32"/>
          <w:lang w:eastAsia="zh-CN"/>
        </w:rPr>
        <w:t>固体废物污染环境防治的</w:t>
      </w:r>
      <w:r>
        <w:rPr>
          <w:rFonts w:hint="eastAsia" w:ascii="宋体" w:hAnsi="宋体" w:eastAsia="仿宋_GB2312" w:cs="仿宋_GB2312"/>
          <w:spacing w:val="0"/>
          <w:w w:val="100"/>
          <w:sz w:val="32"/>
          <w:szCs w:val="32"/>
        </w:rPr>
        <w:t>日常巡查和隐患排查。</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lang w:eastAsia="zh-CN"/>
        </w:rPr>
        <w:t>乡镇</w:t>
      </w:r>
      <w:r>
        <w:rPr>
          <w:rFonts w:hint="eastAsia" w:ascii="宋体" w:hAnsi="宋体" w:eastAsia="仿宋_GB2312" w:cs="仿宋_GB2312"/>
          <w:spacing w:val="0"/>
          <w:w w:val="100"/>
          <w:sz w:val="32"/>
          <w:szCs w:val="32"/>
        </w:rPr>
        <w:t>人民政府、街道办事处和基层群众性自治组织发现擅自倾倒、违法转移、非法处置固体废物的行为</w:t>
      </w:r>
      <w:r>
        <w:rPr>
          <w:rFonts w:hint="eastAsia" w:ascii="宋体" w:hAnsi="宋体" w:eastAsia="仿宋_GB2312" w:cs="仿宋_GB2312"/>
          <w:spacing w:val="0"/>
          <w:w w:val="100"/>
          <w:sz w:val="32"/>
          <w:szCs w:val="32"/>
          <w:lang w:eastAsia="zh-CN"/>
        </w:rPr>
        <w:t>，应当</w:t>
      </w:r>
      <w:r>
        <w:rPr>
          <w:rFonts w:hint="eastAsia" w:ascii="宋体" w:hAnsi="宋体" w:eastAsia="仿宋_GB2312" w:cs="仿宋_GB2312"/>
          <w:spacing w:val="0"/>
          <w:w w:val="100"/>
          <w:sz w:val="32"/>
          <w:szCs w:val="32"/>
        </w:rPr>
        <w:t>及时向上级人民政府和有关部门报告，并配合查处固体废物污染环境违法行为。</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禁止下列污染环境的行为：</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lang w:eastAsia="zh-CN"/>
        </w:rPr>
        <w:t>（一）露天焚烧生活垃圾、沥青</w:t>
      </w:r>
      <w:r>
        <w:rPr>
          <w:rFonts w:hint="eastAsia" w:ascii="宋体" w:hAnsi="宋体" w:eastAsia="仿宋_GB2312" w:cs="仿宋_GB2312"/>
          <w:spacing w:val="0"/>
          <w:w w:val="100"/>
          <w:sz w:val="32"/>
          <w:szCs w:val="32"/>
        </w:rPr>
        <w:t>、油毡、橡胶、轮胎、塑料、皮革、电线电缆、电子废物以及其他产生有毒有害烟尘和恶臭气体的物质；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（二）使用未经</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主管部门批准的设施焚烧处理固体废物；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（三）使用不符合国家和地方相关技术规范的场所堆放、贮存、处置固体废物；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（四）未按相关规定填埋或者在江河、湖泊、运河、渠道、水库及其最高水位线以下的滩地和岸坡等法律、法规规定禁止倾倒、堆放废弃物的地点倾倒、堆放固体废物；</w:t>
      </w:r>
    </w:p>
    <w:p>
      <w:pPr>
        <w:widowControl w:val="0"/>
        <w:wordWrap/>
        <w:overflowPunct w:val="0"/>
        <w:adjustRightInd w:val="0"/>
        <w:snapToGrid w:val="0"/>
        <w:spacing w:beforeAutospacing="0" w:afterAutospacing="0" w:line="560" w:lineRule="exact"/>
        <w:ind w:left="659" w:leftChars="206" w:right="0" w:firstLine="0" w:firstLineChars="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（五）将危险废物混入生活垃圾，国家规定豁免管理的除外；（</w:t>
      </w:r>
      <w:r>
        <w:rPr>
          <w:rFonts w:hint="eastAsia" w:ascii="宋体" w:hAnsi="宋体" w:eastAsia="仿宋_GB2312" w:cs="仿宋_GB2312"/>
          <w:spacing w:val="0"/>
          <w:w w:val="100"/>
          <w:sz w:val="32"/>
          <w:szCs w:val="32"/>
          <w:lang w:eastAsia="zh-CN"/>
        </w:rPr>
        <w:t>六</w:t>
      </w:r>
      <w:r>
        <w:rPr>
          <w:rFonts w:hint="eastAsia" w:ascii="宋体" w:hAnsi="宋体" w:eastAsia="仿宋_GB2312" w:cs="仿宋_GB2312"/>
          <w:spacing w:val="0"/>
          <w:w w:val="100"/>
          <w:sz w:val="32"/>
          <w:szCs w:val="32"/>
        </w:rPr>
        <w:t>）</w:t>
      </w:r>
      <w:r>
        <w:rPr>
          <w:rFonts w:hint="eastAsia" w:ascii="宋体" w:hAnsi="宋体" w:eastAsia="仿宋_GB2312" w:cs="仿宋_GB2312"/>
          <w:spacing w:val="0"/>
          <w:w w:val="100"/>
          <w:sz w:val="32"/>
          <w:szCs w:val="32"/>
          <w:lang w:eastAsia="zh-CN"/>
        </w:rPr>
        <w:t>法律、法规规定禁止的其他行为</w:t>
      </w:r>
      <w:r>
        <w:rPr>
          <w:rFonts w:hint="eastAsia" w:ascii="宋体" w:hAnsi="宋体" w:eastAsia="仿宋_GB2312" w:cs="仿宋_GB2312"/>
          <w:spacing w:val="0"/>
          <w:w w:val="100"/>
          <w:sz w:val="32"/>
          <w:szCs w:val="32"/>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bookmarkStart w:id="468" w:name="_Toc18013"/>
      <w:r>
        <w:rPr>
          <w:rFonts w:hint="eastAsia" w:ascii="宋体" w:hAnsi="宋体" w:eastAsia="黑体" w:cs="黑体"/>
          <w:spacing w:val="0"/>
          <w:w w:val="100"/>
          <w:sz w:val="32"/>
          <w:szCs w:val="32"/>
        </w:rPr>
        <w:t>第四章  危险废物污染环境防治的特别规定</w:t>
      </w:r>
      <w:bookmarkEnd w:id="468"/>
    </w:p>
    <w:p>
      <w:pPr>
        <w:widowControl w:val="0"/>
        <w:wordWrap/>
        <w:overflowPunct w:val="0"/>
        <w:adjustRightInd w:val="0"/>
        <w:snapToGrid w:val="0"/>
        <w:spacing w:beforeAutospacing="0" w:afterAutospacing="0" w:line="560" w:lineRule="exact"/>
        <w:ind w:right="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69" w:name="_Toc10150"/>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三十三</w:t>
      </w:r>
      <w:r>
        <w:rPr>
          <w:rFonts w:hint="eastAsia" w:ascii="宋体" w:hAnsi="宋体" w:eastAsia="黑体" w:cs="黑体"/>
          <w:spacing w:val="0"/>
          <w:w w:val="100"/>
          <w:sz w:val="32"/>
          <w:szCs w:val="32"/>
        </w:rPr>
        <w:t>条</w:t>
      </w:r>
      <w:bookmarkEnd w:id="469"/>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从事危险废物收集、贮存、利用、处置的企业事业单位和其他生产经营者（以下</w:t>
      </w:r>
      <w:r>
        <w:rPr>
          <w:rFonts w:hint="eastAsia" w:ascii="宋体" w:hAnsi="宋体" w:eastAsia="仿宋_GB2312" w:cs="仿宋_GB2312"/>
          <w:spacing w:val="0"/>
          <w:w w:val="100"/>
          <w:sz w:val="32"/>
          <w:szCs w:val="32"/>
        </w:rPr>
        <w:t>简称危险废物经营单位），应当取得危险废物经营许可证。危险废物经营单位应当按照危险废物经营许可证规定从事危险废物的经营活动。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主管部门可以委托地级以上市</w:t>
      </w:r>
      <w:r>
        <w:rPr>
          <w:rFonts w:hint="eastAsia" w:ascii="宋体" w:hAnsi="宋体" w:eastAsia="仿宋_GB2312" w:cs="仿宋_GB2312"/>
          <w:spacing w:val="0"/>
          <w:w w:val="100"/>
          <w:sz w:val="32"/>
          <w:szCs w:val="32"/>
          <w:lang w:eastAsia="zh-CN"/>
        </w:rPr>
        <w:t>人民政府生态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主管部门核发危险废物经营许可证。</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禁止无危险废物经营许可证或者不按照经营许可规定从事危险废物收集、贮存、利用、处置</w:t>
      </w:r>
      <w:r>
        <w:rPr>
          <w:rFonts w:hint="eastAsia" w:ascii="宋体" w:hAnsi="宋体" w:eastAsia="仿宋_GB2312" w:cs="仿宋_GB2312"/>
          <w:spacing w:val="0"/>
          <w:w w:val="100"/>
          <w:sz w:val="32"/>
          <w:szCs w:val="32"/>
          <w:lang w:eastAsia="zh-CN"/>
        </w:rPr>
        <w:t>等</w:t>
      </w:r>
      <w:r>
        <w:rPr>
          <w:rFonts w:hint="eastAsia" w:ascii="宋体" w:hAnsi="宋体" w:eastAsia="仿宋_GB2312" w:cs="仿宋_GB2312"/>
          <w:spacing w:val="0"/>
          <w:w w:val="100"/>
          <w:sz w:val="32"/>
          <w:szCs w:val="32"/>
        </w:rPr>
        <w:t>经营活动。</w:t>
      </w:r>
    </w:p>
    <w:p>
      <w:pPr>
        <w:widowControl w:val="0"/>
        <w:wordWrap/>
        <w:overflowPunct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bookmarkStart w:id="470" w:name="_Toc12701"/>
      <w:r>
        <w:rPr>
          <w:rFonts w:hint="eastAsia" w:ascii="宋体" w:hAnsi="宋体" w:eastAsia="仿宋_GB2312" w:cs="仿宋_GB2312"/>
          <w:spacing w:val="0"/>
          <w:w w:val="100"/>
          <w:sz w:val="32"/>
          <w:szCs w:val="32"/>
        </w:rPr>
        <w:t>禁止伪造、变造、出借、出租、违规转让危险废物经营许可证。</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三十四</w:t>
      </w:r>
      <w:r>
        <w:rPr>
          <w:rFonts w:hint="eastAsia" w:ascii="宋体" w:hAnsi="宋体" w:eastAsia="黑体" w:cs="黑体"/>
          <w:spacing w:val="0"/>
          <w:w w:val="100"/>
          <w:sz w:val="32"/>
          <w:szCs w:val="32"/>
        </w:rPr>
        <w:t>条</w:t>
      </w:r>
      <w:bookmarkEnd w:id="470"/>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产生危险废物的企业事业单位和其他生产经营者（以下简称危险废物产生单位）以及危险废物经营单位应当按照规定在固体废物环境信息化管</w:t>
      </w:r>
      <w:r>
        <w:rPr>
          <w:rFonts w:hint="eastAsia" w:ascii="宋体" w:hAnsi="宋体" w:eastAsia="仿宋_GB2312" w:cs="仿宋_GB2312"/>
          <w:spacing w:val="0"/>
          <w:w w:val="100"/>
          <w:sz w:val="32"/>
          <w:szCs w:val="32"/>
        </w:rPr>
        <w:t>理平台申报登记。</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申报登记信息发生重大改变的，企业事业单位和其他生产经营者</w:t>
      </w:r>
      <w:r>
        <w:rPr>
          <w:rFonts w:hint="eastAsia" w:ascii="宋体" w:hAnsi="宋体" w:eastAsia="仿宋_GB2312" w:cs="仿宋_GB2312"/>
          <w:spacing w:val="0"/>
          <w:w w:val="100"/>
          <w:sz w:val="32"/>
          <w:szCs w:val="32"/>
          <w:lang w:eastAsia="zh-CN"/>
        </w:rPr>
        <w:t>应当</w:t>
      </w:r>
      <w:r>
        <w:rPr>
          <w:rFonts w:hint="eastAsia" w:ascii="宋体" w:hAnsi="宋体" w:eastAsia="仿宋_GB2312" w:cs="仿宋_GB2312"/>
          <w:spacing w:val="0"/>
          <w:w w:val="100"/>
          <w:sz w:val="32"/>
          <w:szCs w:val="32"/>
        </w:rPr>
        <w:t>自改变之日起十五</w:t>
      </w:r>
      <w:r>
        <w:rPr>
          <w:rFonts w:hint="eastAsia" w:ascii="宋体" w:hAnsi="宋体" w:eastAsia="仿宋_GB2312" w:cs="仿宋_GB2312"/>
          <w:spacing w:val="0"/>
          <w:w w:val="100"/>
          <w:sz w:val="32"/>
          <w:szCs w:val="32"/>
          <w:lang w:eastAsia="zh-CN"/>
        </w:rPr>
        <w:t>个工作日</w:t>
      </w:r>
      <w:r>
        <w:rPr>
          <w:rFonts w:hint="eastAsia" w:ascii="宋体" w:hAnsi="宋体" w:eastAsia="仿宋_GB2312" w:cs="仿宋_GB2312"/>
          <w:spacing w:val="0"/>
          <w:w w:val="100"/>
          <w:sz w:val="32"/>
          <w:szCs w:val="32"/>
        </w:rPr>
        <w:t>内在固体废物环境信息化管理平台办理变更；因不可控制因素发生紧急重大改变的，应当立即向所在地县级以上人民政府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三十五</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危险废物产生单位应当按照规定制定危险废物管理计划，建立危险</w:t>
      </w:r>
      <w:r>
        <w:rPr>
          <w:rFonts w:hint="eastAsia" w:ascii="宋体" w:hAnsi="宋体" w:eastAsia="仿宋_GB2312" w:cs="仿宋_GB2312"/>
          <w:spacing w:val="0"/>
          <w:w w:val="100"/>
          <w:sz w:val="32"/>
          <w:szCs w:val="32"/>
        </w:rPr>
        <w:t>废物台账，如实记载产生的危险废物种类、数量、流向、贮存、利用、处置等信息。危险废物台账应当保存十年以上。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三十六</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危险废物</w:t>
      </w:r>
      <w:r>
        <w:rPr>
          <w:rFonts w:hint="eastAsia" w:ascii="宋体" w:hAnsi="宋体" w:eastAsia="仿宋_GB2312" w:cs="仿宋_GB2312"/>
          <w:spacing w:val="0"/>
          <w:w w:val="100"/>
          <w:sz w:val="32"/>
          <w:szCs w:val="32"/>
        </w:rPr>
        <w:t>经营单位应当建立危险废物经营情况档案，</w:t>
      </w:r>
      <w:r>
        <w:rPr>
          <w:rFonts w:hint="eastAsia" w:ascii="宋体" w:hAnsi="宋体" w:eastAsia="仿宋_GB2312" w:cs="仿宋_GB2312"/>
          <w:spacing w:val="0"/>
          <w:w w:val="100"/>
          <w:sz w:val="32"/>
          <w:szCs w:val="32"/>
          <w:lang w:eastAsia="zh-CN"/>
        </w:rPr>
        <w:t>详细记录</w:t>
      </w:r>
      <w:r>
        <w:rPr>
          <w:rFonts w:hint="eastAsia" w:ascii="宋体" w:hAnsi="宋体" w:eastAsia="仿宋_GB2312" w:cs="仿宋_GB2312"/>
          <w:spacing w:val="0"/>
          <w:w w:val="100"/>
          <w:sz w:val="32"/>
          <w:szCs w:val="32"/>
        </w:rPr>
        <w:t>收集、贮存、利用、处置危险废物的种类、来源、去向、成分和有无发生突发环境事件等事项。危险废物经营情况档案应当保存十年以上。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以填埋方式处置危险废物的危险废物经营单位，应当永久保存危险废物经营情况档案，并在填埋场地建立危险废物填埋的永久识别标志，所在地县级以上人民政府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主管部门应当定期对危险废物填埋场地进行监测。</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以填埋方式处置危险废物的危险废物经营单位终止经营活动的，应当将危险废物经营情况档案移交所在地县级以上人民政府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主管部门存档。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val="en-US" w:eastAsia="zh-CN"/>
        </w:rPr>
        <w:t>三十七</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重点危</w:t>
      </w:r>
      <w:r>
        <w:rPr>
          <w:rFonts w:hint="eastAsia" w:ascii="宋体" w:hAnsi="宋体" w:eastAsia="仿宋_GB2312" w:cs="仿宋_GB2312"/>
          <w:sz w:val="32"/>
          <w:szCs w:val="32"/>
        </w:rPr>
        <w:t>险废物集中处置设施、场所的退役费用应当</w:t>
      </w:r>
      <w:r>
        <w:rPr>
          <w:rFonts w:hint="eastAsia" w:ascii="宋体" w:hAnsi="宋体" w:eastAsia="仿宋_GB2312" w:cs="仿宋_GB2312"/>
          <w:sz w:val="32"/>
          <w:szCs w:val="32"/>
          <w:lang w:eastAsia="zh-CN"/>
        </w:rPr>
        <w:t>依法</w:t>
      </w:r>
      <w:r>
        <w:rPr>
          <w:rFonts w:hint="eastAsia" w:ascii="宋体" w:hAnsi="宋体" w:eastAsia="仿宋_GB2312" w:cs="仿宋_GB2312"/>
          <w:sz w:val="32"/>
          <w:szCs w:val="32"/>
        </w:rPr>
        <w:t>预提，列入投资概算或者经营成本。退役费用应当用于设施和场所退役后的维护和监测等工作，不得挪作他用。</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危险废物的收集、贮存、转移、利用、处置实行集中就近原则。</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三十九</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省人民政府生态环境主管部门应当会同省人</w:t>
      </w:r>
      <w:r>
        <w:rPr>
          <w:rFonts w:hint="eastAsia" w:ascii="宋体" w:hAnsi="宋体" w:eastAsia="仿宋_GB2312" w:cs="仿宋_GB2312"/>
          <w:spacing w:val="0"/>
          <w:w w:val="100"/>
          <w:sz w:val="32"/>
          <w:szCs w:val="32"/>
        </w:rPr>
        <w:t>民政府交通运输主管部门建立危险废物运输管理会商制度，</w:t>
      </w:r>
      <w:r>
        <w:rPr>
          <w:rFonts w:hint="eastAsia" w:ascii="宋体" w:hAnsi="宋体" w:eastAsia="仿宋_GB2312" w:cs="仿宋_GB2312"/>
          <w:spacing w:val="0"/>
          <w:w w:val="100"/>
          <w:sz w:val="32"/>
          <w:szCs w:val="32"/>
          <w:lang w:eastAsia="zh-CN"/>
        </w:rPr>
        <w:t>加强</w:t>
      </w:r>
      <w:r>
        <w:rPr>
          <w:rFonts w:hint="eastAsia" w:ascii="宋体" w:hAnsi="宋体" w:eastAsia="仿宋_GB2312" w:cs="仿宋_GB2312"/>
          <w:spacing w:val="0"/>
          <w:w w:val="100"/>
          <w:sz w:val="32"/>
          <w:szCs w:val="32"/>
        </w:rPr>
        <w:t>危险废物</w:t>
      </w:r>
      <w:r>
        <w:rPr>
          <w:rFonts w:hint="eastAsia" w:ascii="宋体" w:hAnsi="宋体" w:eastAsia="仿宋_GB2312" w:cs="仿宋_GB2312"/>
          <w:spacing w:val="0"/>
          <w:w w:val="100"/>
          <w:sz w:val="32"/>
          <w:szCs w:val="32"/>
          <w:lang w:eastAsia="zh-CN"/>
        </w:rPr>
        <w:t>管理名录</w:t>
      </w:r>
      <w:r>
        <w:rPr>
          <w:rFonts w:hint="eastAsia" w:ascii="宋体" w:hAnsi="宋体" w:eastAsia="仿宋_GB2312" w:cs="仿宋_GB2312"/>
          <w:spacing w:val="0"/>
          <w:w w:val="100"/>
          <w:sz w:val="32"/>
          <w:szCs w:val="32"/>
        </w:rPr>
        <w:t>与危险货物运输品名</w:t>
      </w:r>
      <w:r>
        <w:rPr>
          <w:rFonts w:hint="eastAsia" w:ascii="宋体" w:hAnsi="宋体" w:eastAsia="仿宋_GB2312" w:cs="仿宋_GB2312"/>
          <w:spacing w:val="0"/>
          <w:w w:val="100"/>
          <w:sz w:val="32"/>
          <w:szCs w:val="32"/>
          <w:lang w:eastAsia="zh-CN"/>
        </w:rPr>
        <w:t>的对接管理</w:t>
      </w:r>
      <w:r>
        <w:rPr>
          <w:rFonts w:hint="eastAsia" w:ascii="宋体" w:hAnsi="宋体" w:eastAsia="仿宋_GB2312" w:cs="仿宋_GB2312"/>
          <w:spacing w:val="0"/>
          <w:w w:val="100"/>
          <w:sz w:val="32"/>
          <w:szCs w:val="32"/>
        </w:rPr>
        <w:t>，协同推进本省危险废物运输</w:t>
      </w:r>
      <w:r>
        <w:rPr>
          <w:rFonts w:hint="eastAsia" w:ascii="宋体" w:hAnsi="宋体" w:eastAsia="仿宋_GB2312" w:cs="仿宋_GB2312"/>
          <w:spacing w:val="0"/>
          <w:w w:val="100"/>
          <w:sz w:val="32"/>
          <w:szCs w:val="32"/>
          <w:lang w:eastAsia="zh-CN"/>
        </w:rPr>
        <w:t>管理</w:t>
      </w:r>
      <w:r>
        <w:rPr>
          <w:rFonts w:hint="eastAsia" w:ascii="宋体" w:hAnsi="宋体" w:eastAsia="仿宋_GB2312" w:cs="仿宋_GB2312"/>
          <w:spacing w:val="0"/>
          <w:w w:val="100"/>
          <w:sz w:val="32"/>
          <w:szCs w:val="32"/>
        </w:rPr>
        <w:t>工作。</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县级以上人民政府交通运输主管部门</w:t>
      </w:r>
      <w:r>
        <w:rPr>
          <w:rFonts w:hint="eastAsia" w:ascii="宋体" w:hAnsi="宋体" w:eastAsia="仿宋_GB2312" w:cs="仿宋_GB2312"/>
          <w:spacing w:val="0"/>
          <w:w w:val="100"/>
          <w:sz w:val="32"/>
          <w:szCs w:val="32"/>
          <w:lang w:eastAsia="zh-CN"/>
        </w:rPr>
        <w:t>在职责范围内</w:t>
      </w:r>
      <w:r>
        <w:rPr>
          <w:rFonts w:hint="eastAsia" w:ascii="宋体" w:hAnsi="宋体" w:eastAsia="仿宋_GB2312" w:cs="仿宋_GB2312"/>
          <w:spacing w:val="0"/>
          <w:w w:val="100"/>
          <w:sz w:val="32"/>
          <w:szCs w:val="32"/>
        </w:rPr>
        <w:t>负责道路危险废物运输管理工作，建立电子监管系统对危险废物运输企业、车辆、从业人员</w:t>
      </w:r>
      <w:r>
        <w:rPr>
          <w:rFonts w:hint="eastAsia" w:ascii="宋体" w:hAnsi="宋体" w:cs="仿宋_GB2312"/>
          <w:spacing w:val="0"/>
          <w:w w:val="100"/>
          <w:sz w:val="32"/>
          <w:szCs w:val="32"/>
          <w:lang w:eastAsia="zh-CN"/>
        </w:rPr>
        <w:t>等</w:t>
      </w:r>
      <w:r>
        <w:rPr>
          <w:rFonts w:hint="eastAsia" w:ascii="宋体" w:hAnsi="宋体" w:eastAsia="仿宋_GB2312" w:cs="仿宋_GB2312"/>
          <w:spacing w:val="0"/>
          <w:w w:val="100"/>
          <w:sz w:val="32"/>
          <w:szCs w:val="32"/>
        </w:rPr>
        <w:t>进行重点督查。</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危险废物产生单位和经营单位应当将危险废物交由有资质</w:t>
      </w:r>
      <w:r>
        <w:rPr>
          <w:rFonts w:hint="eastAsia" w:ascii="宋体" w:hAnsi="宋体" w:eastAsia="仿宋_GB2312" w:cs="仿宋_GB2312"/>
          <w:sz w:val="32"/>
          <w:szCs w:val="32"/>
          <w:lang w:eastAsia="zh-CN"/>
        </w:rPr>
        <w:t>从事</w:t>
      </w:r>
      <w:r>
        <w:rPr>
          <w:rFonts w:hint="eastAsia" w:ascii="宋体" w:hAnsi="宋体" w:eastAsia="仿宋_GB2312" w:cs="仿宋_GB2312"/>
          <w:spacing w:val="0"/>
          <w:w w:val="100"/>
          <w:sz w:val="32"/>
          <w:szCs w:val="32"/>
        </w:rPr>
        <w:t>危险废物运输的企业事业单位和其他生产经营者（以下简称危险废物运输单位）运输。危险废物运输单位应当</w:t>
      </w:r>
      <w:r>
        <w:rPr>
          <w:rFonts w:hint="eastAsia" w:ascii="宋体" w:hAnsi="宋体" w:eastAsia="仿宋_GB2312" w:cs="仿宋_GB2312"/>
          <w:sz w:val="32"/>
          <w:szCs w:val="32"/>
          <w:lang w:eastAsia="zh-CN"/>
        </w:rPr>
        <w:t>按</w:t>
      </w:r>
      <w:r>
        <w:rPr>
          <w:rFonts w:hint="eastAsia" w:ascii="宋体" w:hAnsi="宋体" w:eastAsia="仿宋_GB2312" w:cs="仿宋_GB2312"/>
          <w:spacing w:val="0"/>
          <w:w w:val="100"/>
          <w:sz w:val="32"/>
          <w:szCs w:val="32"/>
        </w:rPr>
        <w:t>照有关法律、法规的规定取得道路危险货物运输许可，并使用专用车辆运输危险废物，采取措施防止危险废物脱落、扬撒以及燃烧、爆炸、泄漏等可能造成的环境污染，不得在运输过程中丢弃、倾倒、遗撒危险废物。</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严格控制本省行政区域以外的危险废物转移至本省行政区域内焚烧或填埋</w:t>
      </w:r>
      <w:r>
        <w:rPr>
          <w:rFonts w:hint="eastAsia" w:ascii="宋体" w:hAnsi="宋体" w:eastAsia="仿宋_GB2312" w:cs="仿宋_GB2312"/>
          <w:spacing w:val="0"/>
          <w:w w:val="100"/>
          <w:sz w:val="32"/>
          <w:szCs w:val="32"/>
        </w:rPr>
        <w:t>处置。禁止易燃易爆、剧毒、传染性的危险废物转入本省行政区域内。</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省人民政府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主管部门应当根据国家和省相关规定，对转移至本省行政区域内的危险废物种类和利用处置方式等进行审查。</w:t>
      </w:r>
    </w:p>
    <w:p>
      <w:pPr>
        <w:widowControl w:val="0"/>
        <w:wordWrap/>
        <w:overflowPunct w:val="0"/>
        <w:adjustRightInd w:val="0"/>
        <w:snapToGrid w:val="0"/>
        <w:spacing w:beforeAutospacing="0" w:afterAutospacing="0" w:line="560" w:lineRule="exact"/>
        <w:ind w:right="0" w:firstLine="640" w:firstLineChars="200"/>
        <w:jc w:val="left"/>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危险废物产生单位、运输单位、接受单位应当依法执行危险废物转移</w:t>
      </w:r>
      <w:r>
        <w:rPr>
          <w:rFonts w:hint="eastAsia" w:ascii="宋体" w:hAnsi="宋体" w:eastAsia="仿宋_GB2312" w:cs="仿宋_GB2312"/>
          <w:spacing w:val="0"/>
          <w:w w:val="100"/>
          <w:sz w:val="32"/>
          <w:szCs w:val="32"/>
        </w:rPr>
        <w:t>联单制度，如实填写和核对转移联单。实际转移危险废物的种类、重量或者数量、时间等信息与转移联单记载不符的，危险废物运输单位、接受单位不得运输或者接受。</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危险废物产生单位应当在固体废物环境信息化管理平台填写电子联单。不具备条件填写电子联单的，可以按照国家和省相关规定填写纸质联单。</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鼓励和</w:t>
      </w:r>
      <w:r>
        <w:rPr>
          <w:rFonts w:hint="eastAsia" w:ascii="宋体" w:hAnsi="宋体" w:eastAsia="仿宋_GB2312" w:cs="仿宋_GB2312"/>
          <w:spacing w:val="0"/>
          <w:w w:val="100"/>
          <w:sz w:val="32"/>
          <w:szCs w:val="32"/>
        </w:rPr>
        <w:t>支持持有危险废物经营许可证的单位建设区域性危险废物收集、贮存设施，</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spacing w:val="0"/>
          <w:w w:val="100"/>
          <w:sz w:val="32"/>
          <w:szCs w:val="32"/>
        </w:rPr>
        <w:t xml:space="preserve">收集、贮存机动车维修和报废机动车回收拆解行业危险废物、废铅酸蓄电池、废含汞荧光灯管等。 </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鼓励和支持在工业园区内</w:t>
      </w:r>
      <w:r>
        <w:rPr>
          <w:rFonts w:hint="eastAsia" w:ascii="宋体" w:hAnsi="宋体" w:eastAsia="仿宋_GB2312" w:cs="仿宋_GB2312"/>
          <w:spacing w:val="0"/>
          <w:w w:val="100"/>
          <w:sz w:val="32"/>
          <w:szCs w:val="32"/>
          <w:lang w:eastAsia="zh-CN"/>
        </w:rPr>
        <w:t>依法</w:t>
      </w:r>
      <w:r>
        <w:rPr>
          <w:rFonts w:hint="eastAsia" w:ascii="宋体" w:hAnsi="宋体" w:eastAsia="仿宋_GB2312" w:cs="仿宋_GB2312"/>
          <w:spacing w:val="0"/>
          <w:w w:val="100"/>
          <w:sz w:val="32"/>
          <w:szCs w:val="32"/>
        </w:rPr>
        <w:t>建设危险废物贮存设施，为工业园区内企业事业单位和其他生产经营者提供危险废物收集、贮存服务。</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四十三</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县级以上人民政府应当落实环境保护规划要求，组织建设危险废物焚</w:t>
      </w:r>
      <w:r>
        <w:rPr>
          <w:rFonts w:hint="eastAsia" w:ascii="宋体" w:hAnsi="宋体" w:eastAsia="仿宋_GB2312" w:cs="仿宋_GB2312"/>
          <w:spacing w:val="0"/>
          <w:w w:val="100"/>
          <w:sz w:val="32"/>
          <w:szCs w:val="32"/>
        </w:rPr>
        <w:t>烧和填埋处置设施。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鼓励石油化工、有色金属冶炼、电镀等危险废物产生量大的企业事业单位和其他生产经营者自行配套建设危险废物利用处置设施。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四十四</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设立实验室的教育、科研机构和其他企业事业单位应当建立实验室危险废物分类、登记管理制度，加强对所属实验室产生的废药剂</w:t>
      </w:r>
      <w:r>
        <w:rPr>
          <w:rFonts w:hint="eastAsia" w:ascii="宋体" w:hAnsi="宋体" w:eastAsia="仿宋_GB2312" w:cs="仿宋_GB2312"/>
          <w:spacing w:val="0"/>
          <w:w w:val="100"/>
          <w:sz w:val="32"/>
          <w:szCs w:val="32"/>
        </w:rPr>
        <w:t>、废试剂</w:t>
      </w:r>
      <w:r>
        <w:rPr>
          <w:rFonts w:hint="eastAsia" w:ascii="宋体" w:hAnsi="宋体" w:eastAsia="仿宋_GB2312" w:cs="仿宋_GB2312"/>
          <w:spacing w:val="0"/>
          <w:w w:val="100"/>
          <w:sz w:val="32"/>
          <w:szCs w:val="32"/>
          <w:lang w:eastAsia="zh-CN"/>
        </w:rPr>
        <w:t>以</w:t>
      </w:r>
      <w:r>
        <w:rPr>
          <w:rFonts w:hint="eastAsia" w:ascii="宋体" w:hAnsi="宋体" w:eastAsia="仿宋_GB2312" w:cs="仿宋_GB2312"/>
          <w:spacing w:val="0"/>
          <w:w w:val="100"/>
          <w:sz w:val="32"/>
          <w:szCs w:val="32"/>
        </w:rPr>
        <w:t>及其他危险废物的管理，将产生的危险废物交由持有危险废物经营许可证的单位处置。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四十五</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 xml:space="preserve"> 县级以上人民政府交通运输主管部门应当对机动车维修行业危险废物的分类、收集、贮存、利用、处置等实施监督管理，将机动车维修</w:t>
      </w:r>
      <w:r>
        <w:rPr>
          <w:rFonts w:hint="eastAsia" w:ascii="宋体" w:hAnsi="宋体" w:eastAsia="仿宋_GB2312" w:cs="仿宋_GB2312"/>
          <w:spacing w:val="0"/>
          <w:w w:val="100"/>
          <w:sz w:val="32"/>
          <w:szCs w:val="32"/>
        </w:rPr>
        <w:t>企业事业单位和其他生产经营者收集、贮存、利用、处置危险废物的情况，纳入机动车维修经营</w:t>
      </w:r>
      <w:r>
        <w:rPr>
          <w:rFonts w:hint="eastAsia" w:ascii="宋体" w:hAnsi="宋体" w:eastAsia="仿宋_GB2312" w:cs="仿宋_GB2312"/>
          <w:spacing w:val="0"/>
          <w:w w:val="100"/>
          <w:sz w:val="32"/>
          <w:szCs w:val="32"/>
          <w:lang w:eastAsia="zh-CN"/>
        </w:rPr>
        <w:t>备案</w:t>
      </w:r>
      <w:r>
        <w:rPr>
          <w:rFonts w:hint="eastAsia" w:ascii="宋体" w:hAnsi="宋体" w:eastAsia="仿宋_GB2312" w:cs="仿宋_GB2312"/>
          <w:spacing w:val="0"/>
          <w:w w:val="100"/>
          <w:sz w:val="32"/>
          <w:szCs w:val="32"/>
        </w:rPr>
        <w:t>、检查和考核中。</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从事机动车维修</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企业事业单位和其他生产经营者应当执行危险废物管理制度，按照有关规定建设危险废物收集、贮存设施并采取有效防治</w:t>
      </w:r>
      <w:r>
        <w:rPr>
          <w:rFonts w:hint="eastAsia" w:ascii="宋体" w:hAnsi="宋体" w:eastAsia="仿宋_GB2312" w:cs="仿宋_GB2312"/>
          <w:spacing w:val="0"/>
          <w:w w:val="100"/>
          <w:sz w:val="32"/>
          <w:szCs w:val="32"/>
          <w:lang w:eastAsia="zh-CN"/>
        </w:rPr>
        <w:t>污染</w:t>
      </w:r>
      <w:r>
        <w:rPr>
          <w:rFonts w:hint="eastAsia" w:ascii="宋体" w:hAnsi="宋体" w:eastAsia="仿宋_GB2312" w:cs="仿宋_GB2312"/>
          <w:spacing w:val="0"/>
          <w:w w:val="100"/>
          <w:sz w:val="32"/>
          <w:szCs w:val="32"/>
        </w:rPr>
        <w:t>措施。</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四十六</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危险废</w:t>
      </w:r>
      <w:r>
        <w:rPr>
          <w:rFonts w:hint="eastAsia" w:ascii="宋体" w:hAnsi="宋体" w:eastAsia="仿宋_GB2312" w:cs="仿宋_GB2312"/>
          <w:spacing w:val="0"/>
          <w:w w:val="100"/>
          <w:sz w:val="32"/>
          <w:szCs w:val="32"/>
        </w:rPr>
        <w:t>物产生单位必须按照国家规定处置危险废物，不得擅自倾倒、堆放。确需临时贮存的，必须采取符合国家环境保护标准的防护措施，且贮存期限不得超过一年，并向所在地县级以上人民政府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主管部门报告临时贮存的时间、地点以及采取的防护措施；超期贮存危险废物的，由其所在地县级以上人民政府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主管部门责令限期处置。</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危险废物产生单位不处置危险废物的，由所在地县级以上人民政府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主管部门责令限期改正；逾期不处置或者处置不符合国家规定的，由所在地县级以上人民政府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主管部门指定单位代为处置。代为处置费用由危险废物产生单位承担。</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四十七</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地级以上市人民政府价格主管部门应当会同生态环境、住房城乡建设、卫</w:t>
      </w:r>
      <w:r>
        <w:rPr>
          <w:rFonts w:hint="eastAsia" w:ascii="宋体" w:hAnsi="宋体" w:eastAsia="仿宋_GB2312" w:cs="仿宋_GB2312"/>
          <w:spacing w:val="0"/>
          <w:w w:val="100"/>
          <w:sz w:val="32"/>
          <w:szCs w:val="32"/>
        </w:rPr>
        <w:t>生</w:t>
      </w:r>
      <w:r>
        <w:rPr>
          <w:rFonts w:hint="eastAsia" w:ascii="宋体" w:hAnsi="宋体" w:eastAsia="仿宋_GB2312" w:cs="仿宋_GB2312"/>
          <w:spacing w:val="0"/>
          <w:w w:val="100"/>
          <w:sz w:val="32"/>
          <w:szCs w:val="32"/>
          <w:lang w:eastAsia="zh-CN"/>
        </w:rPr>
        <w:t>健康</w:t>
      </w:r>
      <w:r>
        <w:rPr>
          <w:rFonts w:hint="eastAsia" w:ascii="宋体" w:hAnsi="宋体" w:eastAsia="仿宋_GB2312" w:cs="仿宋_GB2312"/>
          <w:spacing w:val="0"/>
          <w:w w:val="100"/>
          <w:sz w:val="32"/>
          <w:szCs w:val="32"/>
        </w:rPr>
        <w:t>等主管部门加强</w:t>
      </w:r>
      <w:r>
        <w:rPr>
          <w:rFonts w:hint="eastAsia" w:ascii="宋体" w:hAnsi="宋体" w:eastAsia="仿宋_GB2312" w:cs="仿宋_GB2312"/>
          <w:spacing w:val="0"/>
          <w:w w:val="100"/>
          <w:sz w:val="32"/>
          <w:szCs w:val="32"/>
          <w:lang w:eastAsia="zh-CN"/>
        </w:rPr>
        <w:t>监控</w:t>
      </w:r>
      <w:r>
        <w:rPr>
          <w:rFonts w:hint="eastAsia" w:ascii="宋体" w:hAnsi="宋体" w:eastAsia="仿宋_GB2312" w:cs="仿宋_GB2312"/>
          <w:spacing w:val="0"/>
          <w:w w:val="100"/>
          <w:sz w:val="32"/>
          <w:szCs w:val="32"/>
        </w:rPr>
        <w:t>危险废物处置成本，制定和调整危险废物处置收费标准，实行危险废物处置收费动态管理。</w:t>
      </w: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第五章  法律责任</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bCs/>
          <w:spacing w:val="0"/>
          <w:w w:val="100"/>
          <w:sz w:val="32"/>
          <w:szCs w:val="32"/>
          <w:shd w:val="clear" w:color="auto" w:fill="FFFFFF"/>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四十八</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rPr>
        <w:t>各级人民政府、县级以上人民政府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主管部门和其他负有固体废物污染环境监督管理职责的部门违反本条例规定，未依法履行监管职责，造成环境污染的，</w:t>
      </w:r>
      <w:r>
        <w:rPr>
          <w:rFonts w:hint="eastAsia" w:ascii="宋体" w:hAnsi="宋体" w:eastAsia="仿宋_GB2312" w:cs="仿宋_GB2312"/>
          <w:bCs/>
          <w:spacing w:val="0"/>
          <w:w w:val="100"/>
          <w:sz w:val="32"/>
          <w:szCs w:val="32"/>
          <w:shd w:val="clear" w:color="auto" w:fill="FFFFFF"/>
        </w:rPr>
        <w:t>由</w:t>
      </w:r>
      <w:r>
        <w:rPr>
          <w:rFonts w:hint="eastAsia" w:ascii="宋体" w:hAnsi="宋体" w:eastAsia="仿宋_GB2312" w:cs="仿宋_GB2312"/>
          <w:spacing w:val="0"/>
          <w:w w:val="100"/>
          <w:sz w:val="32"/>
          <w:szCs w:val="32"/>
          <w:lang w:eastAsia="zh-CN"/>
        </w:rPr>
        <w:t>有关</w:t>
      </w:r>
      <w:r>
        <w:rPr>
          <w:rFonts w:hint="eastAsia" w:ascii="宋体" w:hAnsi="宋体" w:eastAsia="仿宋_GB2312" w:cs="仿宋_GB2312"/>
          <w:bCs/>
          <w:spacing w:val="0"/>
          <w:w w:val="100"/>
          <w:sz w:val="32"/>
          <w:szCs w:val="32"/>
          <w:shd w:val="clear" w:color="auto" w:fill="FFFFFF"/>
        </w:rPr>
        <w:t>机关</w:t>
      </w:r>
      <w:r>
        <w:rPr>
          <w:rFonts w:hint="eastAsia" w:ascii="宋体" w:hAnsi="宋体" w:eastAsia="仿宋_GB2312" w:cs="仿宋_GB2312"/>
          <w:bCs/>
          <w:i w:val="0"/>
          <w:iCs w:val="0"/>
          <w:spacing w:val="0"/>
          <w:w w:val="100"/>
          <w:sz w:val="32"/>
          <w:szCs w:val="32"/>
          <w:u w:val="none"/>
          <w:shd w:val="clear" w:color="auto" w:fill="FFFFFF"/>
        </w:rPr>
        <w:t>依法</w:t>
      </w:r>
      <w:r>
        <w:rPr>
          <w:rFonts w:hint="eastAsia" w:ascii="宋体" w:hAnsi="宋体" w:eastAsia="仿宋_GB2312" w:cs="仿宋_GB2312"/>
          <w:bCs/>
          <w:spacing w:val="0"/>
          <w:w w:val="100"/>
          <w:sz w:val="32"/>
          <w:szCs w:val="32"/>
          <w:shd w:val="clear" w:color="auto" w:fill="FFFFFF"/>
        </w:rPr>
        <w:t>对</w:t>
      </w:r>
      <w:r>
        <w:rPr>
          <w:rFonts w:hint="eastAsia" w:ascii="宋体" w:hAnsi="宋体" w:eastAsia="仿宋_GB2312" w:cs="仿宋_GB2312"/>
          <w:spacing w:val="0"/>
          <w:w w:val="100"/>
          <w:sz w:val="32"/>
          <w:szCs w:val="32"/>
          <w:lang w:eastAsia="zh-CN"/>
        </w:rPr>
        <w:t>负有责任</w:t>
      </w:r>
      <w:r>
        <w:rPr>
          <w:rFonts w:hint="eastAsia" w:ascii="宋体" w:hAnsi="宋体" w:eastAsia="仿宋_GB2312" w:cs="仿宋_GB2312"/>
          <w:bCs/>
          <w:spacing w:val="0"/>
          <w:w w:val="100"/>
          <w:sz w:val="32"/>
          <w:szCs w:val="32"/>
          <w:shd w:val="clear" w:color="auto" w:fill="FFFFFF"/>
        </w:rPr>
        <w:t>的主管人员和其他直接责任人员给予处分；涉嫌犯罪的，移送</w:t>
      </w:r>
      <w:r>
        <w:rPr>
          <w:rFonts w:hint="eastAsia" w:ascii="宋体" w:hAnsi="宋体" w:eastAsia="仿宋_GB2312" w:cs="仿宋_GB2312"/>
          <w:spacing w:val="0"/>
          <w:w w:val="100"/>
          <w:sz w:val="32"/>
          <w:szCs w:val="32"/>
          <w:lang w:eastAsia="zh-CN"/>
        </w:rPr>
        <w:t>有关</w:t>
      </w:r>
      <w:r>
        <w:rPr>
          <w:rFonts w:hint="eastAsia" w:ascii="宋体" w:hAnsi="宋体" w:eastAsia="仿宋_GB2312" w:cs="仿宋_GB2312"/>
          <w:bCs/>
          <w:spacing w:val="0"/>
          <w:w w:val="100"/>
          <w:sz w:val="32"/>
          <w:szCs w:val="32"/>
          <w:shd w:val="clear" w:color="auto" w:fill="FFFFFF"/>
        </w:rPr>
        <w:t>机关依法处理。</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四十九</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违反本条例第十一条第一款规定，产生固体废物的重点企</w:t>
      </w:r>
      <w:r>
        <w:rPr>
          <w:rFonts w:hint="eastAsia" w:ascii="宋体" w:hAnsi="宋体" w:eastAsia="仿宋_GB2312" w:cs="仿宋_GB2312"/>
          <w:spacing w:val="0"/>
          <w:w w:val="100"/>
          <w:sz w:val="32"/>
          <w:szCs w:val="32"/>
        </w:rPr>
        <w:t>业事业单位和其他生产经营者未公开或者未如实公开固体废物污染环境防治信息的，由县级以上人民政府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主管部门责令改正，处十万元以上二十万元以下的罚款，并予以公告。</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违反本条例规定，企业事业单位和其他生产</w:t>
      </w:r>
      <w:r>
        <w:rPr>
          <w:rFonts w:hint="eastAsia" w:ascii="宋体" w:hAnsi="宋体" w:eastAsia="仿宋_GB2312" w:cs="仿宋_GB2312"/>
          <w:spacing w:val="0"/>
          <w:w w:val="100"/>
          <w:sz w:val="32"/>
          <w:szCs w:val="32"/>
        </w:rPr>
        <w:t>经营者有下列行为之一的，由县级以上人民政府</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主管部门责令限期改正，处五千元以上五万元以下罚款：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（一）违反本条例第</w:t>
      </w:r>
      <w:r>
        <w:rPr>
          <w:rFonts w:hint="eastAsia" w:ascii="宋体" w:hAnsi="宋体" w:eastAsia="仿宋_GB2312" w:cs="仿宋_GB2312"/>
          <w:i w:val="0"/>
          <w:iCs w:val="0"/>
          <w:spacing w:val="0"/>
          <w:w w:val="100"/>
          <w:sz w:val="32"/>
          <w:szCs w:val="32"/>
          <w:u w:val="none"/>
          <w:lang w:eastAsia="zh-CN"/>
        </w:rPr>
        <w:t>十四</w:t>
      </w:r>
      <w:r>
        <w:rPr>
          <w:rFonts w:hint="eastAsia" w:ascii="宋体" w:hAnsi="宋体" w:eastAsia="仿宋_GB2312" w:cs="仿宋_GB2312"/>
          <w:spacing w:val="0"/>
          <w:w w:val="100"/>
          <w:sz w:val="32"/>
          <w:szCs w:val="32"/>
        </w:rPr>
        <w:t xml:space="preserve">条第一款规定，未将工业固体废物种类、数量、流向、贮存、利用、处置等有关情况依法申报登记的； </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（二）违反本条例第</w:t>
      </w:r>
      <w:r>
        <w:rPr>
          <w:rFonts w:hint="eastAsia" w:ascii="宋体" w:hAnsi="宋体" w:eastAsia="仿宋_GB2312" w:cs="仿宋_GB2312"/>
          <w:i w:val="0"/>
          <w:iCs w:val="0"/>
          <w:spacing w:val="0"/>
          <w:w w:val="100"/>
          <w:sz w:val="32"/>
          <w:szCs w:val="32"/>
          <w:u w:val="none"/>
          <w:lang w:eastAsia="zh-CN"/>
        </w:rPr>
        <w:t>十四</w:t>
      </w:r>
      <w:r>
        <w:rPr>
          <w:rFonts w:hint="eastAsia" w:ascii="宋体" w:hAnsi="宋体" w:eastAsia="仿宋_GB2312" w:cs="仿宋_GB2312"/>
          <w:spacing w:val="0"/>
          <w:w w:val="100"/>
          <w:sz w:val="32"/>
          <w:szCs w:val="32"/>
        </w:rPr>
        <w:t>条第二款</w:t>
      </w:r>
      <w:r>
        <w:rPr>
          <w:rFonts w:hint="eastAsia" w:ascii="宋体" w:hAnsi="宋体" w:eastAsia="仿宋_GB2312" w:cs="仿宋_GB2312"/>
          <w:i w:val="0"/>
          <w:iCs/>
          <w:spacing w:val="0"/>
          <w:w w:val="100"/>
          <w:sz w:val="32"/>
          <w:szCs w:val="32"/>
          <w:u w:val="none"/>
        </w:rPr>
        <w:t>规定，</w:t>
      </w:r>
      <w:r>
        <w:rPr>
          <w:rFonts w:hint="eastAsia" w:ascii="宋体" w:hAnsi="宋体" w:eastAsia="仿宋_GB2312" w:cs="仿宋_GB2312"/>
          <w:spacing w:val="0"/>
          <w:w w:val="100"/>
          <w:sz w:val="32"/>
          <w:szCs w:val="32"/>
        </w:rPr>
        <w:t>申报登记信息发生重大改变未及时办理变更申报手续的，</w:t>
      </w:r>
      <w:r>
        <w:rPr>
          <w:rFonts w:hint="eastAsia" w:ascii="宋体" w:hAnsi="宋体" w:eastAsia="仿宋_GB2312" w:cs="仿宋_GB2312"/>
          <w:spacing w:val="0"/>
          <w:w w:val="100"/>
          <w:sz w:val="32"/>
          <w:szCs w:val="32"/>
          <w:lang w:eastAsia="zh-CN"/>
        </w:rPr>
        <w:t>或者</w:t>
      </w:r>
      <w:r>
        <w:rPr>
          <w:rFonts w:hint="eastAsia" w:ascii="宋体" w:hAnsi="宋体" w:eastAsia="仿宋_GB2312" w:cs="仿宋_GB2312"/>
          <w:spacing w:val="0"/>
          <w:w w:val="100"/>
          <w:sz w:val="32"/>
          <w:szCs w:val="32"/>
        </w:rPr>
        <w:t>因不可控制因素发生紧急重大改变未及时报告的；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w:t>
      </w:r>
      <w:r>
        <w:rPr>
          <w:rFonts w:hint="eastAsia" w:ascii="宋体" w:hAnsi="宋体" w:eastAsia="仿宋_GB2312" w:cs="仿宋_GB2312"/>
          <w:i w:val="0"/>
          <w:iCs w:val="0"/>
          <w:spacing w:val="0"/>
          <w:w w:val="100"/>
          <w:sz w:val="32"/>
          <w:szCs w:val="32"/>
          <w:u w:val="none"/>
          <w:lang w:eastAsia="zh-CN"/>
        </w:rPr>
        <w:t>三</w:t>
      </w: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三十五</w:t>
      </w:r>
      <w:r>
        <w:rPr>
          <w:rFonts w:hint="eastAsia" w:ascii="宋体" w:hAnsi="宋体" w:eastAsia="仿宋_GB2312" w:cs="仿宋_GB2312"/>
          <w:spacing w:val="0"/>
          <w:w w:val="100"/>
          <w:sz w:val="32"/>
          <w:szCs w:val="32"/>
        </w:rPr>
        <w:t>条规定，未按照规定建立和保存危险废物台账的；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w:t>
      </w:r>
      <w:r>
        <w:rPr>
          <w:rFonts w:hint="eastAsia" w:ascii="宋体" w:hAnsi="宋体" w:eastAsia="仿宋_GB2312" w:cs="仿宋_GB2312"/>
          <w:i w:val="0"/>
          <w:iCs w:val="0"/>
          <w:spacing w:val="0"/>
          <w:w w:val="100"/>
          <w:sz w:val="32"/>
          <w:szCs w:val="32"/>
          <w:u w:val="none"/>
          <w:lang w:eastAsia="zh-CN"/>
        </w:rPr>
        <w:t>四</w:t>
      </w: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三十六</w:t>
      </w:r>
      <w:r>
        <w:rPr>
          <w:rFonts w:hint="eastAsia" w:ascii="宋体" w:hAnsi="宋体" w:eastAsia="仿宋_GB2312" w:cs="仿宋_GB2312"/>
          <w:spacing w:val="0"/>
          <w:w w:val="100"/>
          <w:sz w:val="32"/>
          <w:szCs w:val="32"/>
        </w:rPr>
        <w:t>条规定，未按照规定建立和保存危险废物经营情况档案的。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五十一</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违反本条例第二十六条规定，城镇污水处理设施维护运营单位或者污泥处理处置单位未按照规定执行污泥转移联单</w:t>
      </w:r>
      <w:r>
        <w:rPr>
          <w:rFonts w:hint="eastAsia" w:ascii="宋体" w:hAnsi="宋体" w:eastAsia="仿宋_GB2312" w:cs="仿宋_GB2312"/>
          <w:spacing w:val="0"/>
          <w:w w:val="100"/>
          <w:sz w:val="32"/>
          <w:szCs w:val="32"/>
        </w:rPr>
        <w:t>制度的，由城镇排水主管部门责令停止违法行为，限期改正，处二万</w:t>
      </w:r>
      <w:r>
        <w:rPr>
          <w:rFonts w:hint="eastAsia" w:ascii="宋体" w:hAnsi="宋体" w:cs="仿宋_GB2312"/>
          <w:spacing w:val="0"/>
          <w:w w:val="100"/>
          <w:sz w:val="32"/>
          <w:szCs w:val="32"/>
          <w:lang w:eastAsia="zh-CN"/>
        </w:rPr>
        <w:t>元</w:t>
      </w:r>
      <w:r>
        <w:rPr>
          <w:rFonts w:hint="eastAsia" w:ascii="宋体" w:hAnsi="宋体" w:eastAsia="仿宋_GB2312" w:cs="仿宋_GB2312"/>
          <w:spacing w:val="0"/>
          <w:w w:val="100"/>
          <w:sz w:val="32"/>
          <w:szCs w:val="32"/>
        </w:rPr>
        <w:t>以上二十万</w:t>
      </w:r>
      <w:r>
        <w:rPr>
          <w:rFonts w:hint="eastAsia" w:ascii="宋体" w:hAnsi="宋体" w:cs="仿宋_GB2312"/>
          <w:spacing w:val="0"/>
          <w:w w:val="100"/>
          <w:sz w:val="32"/>
          <w:szCs w:val="32"/>
          <w:lang w:eastAsia="zh-CN"/>
        </w:rPr>
        <w:t>元</w:t>
      </w:r>
      <w:r>
        <w:rPr>
          <w:rFonts w:hint="eastAsia" w:ascii="宋体" w:hAnsi="宋体" w:eastAsia="仿宋_GB2312" w:cs="仿宋_GB2312"/>
          <w:spacing w:val="0"/>
          <w:w w:val="100"/>
          <w:sz w:val="32"/>
          <w:szCs w:val="32"/>
        </w:rPr>
        <w:t>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五十二</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违反本条例第三十二条第一项规定，露天焚烧生活垃圾、沥青、油毡、橡胶、轮胎、塑料、皮革、电线电缆、电子废物以及其</w:t>
      </w:r>
      <w:r>
        <w:rPr>
          <w:rFonts w:hint="eastAsia" w:ascii="宋体" w:hAnsi="宋体" w:eastAsia="仿宋_GB2312" w:cs="仿宋_GB2312"/>
          <w:spacing w:val="0"/>
          <w:w w:val="100"/>
          <w:sz w:val="32"/>
          <w:szCs w:val="32"/>
        </w:rPr>
        <w:t>他产生有毒有害烟尘和恶臭气体的物质</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由县级以上人民政府确定的监督管理部门责令改正，对单位处一万元以上十万元以下的罚款，对个人处五百元以上二千元以下的罚款。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三十二</w:t>
      </w:r>
      <w:r>
        <w:rPr>
          <w:rFonts w:hint="eastAsia" w:ascii="宋体" w:hAnsi="宋体" w:eastAsia="仿宋_GB2312" w:cs="仿宋_GB2312"/>
          <w:spacing w:val="0"/>
          <w:w w:val="100"/>
          <w:sz w:val="32"/>
          <w:szCs w:val="32"/>
        </w:rPr>
        <w:t>条第二项规定，使用未经</w:t>
      </w:r>
      <w:r>
        <w:rPr>
          <w:rFonts w:hint="eastAsia" w:ascii="宋体" w:hAnsi="宋体" w:eastAsia="仿宋_GB2312" w:cs="仿宋_GB2312"/>
          <w:spacing w:val="0"/>
          <w:w w:val="100"/>
          <w:sz w:val="32"/>
          <w:szCs w:val="32"/>
          <w:lang w:eastAsia="zh-CN"/>
        </w:rPr>
        <w:t>生态</w:t>
      </w:r>
      <w:r>
        <w:rPr>
          <w:rFonts w:hint="eastAsia" w:ascii="宋体" w:hAnsi="宋体" w:eastAsia="仿宋_GB2312" w:cs="仿宋_GB2312"/>
          <w:i w:val="0"/>
          <w:iCs w:val="0"/>
          <w:spacing w:val="0"/>
          <w:w w:val="100"/>
          <w:sz w:val="32"/>
          <w:szCs w:val="32"/>
          <w:u w:val="none"/>
        </w:rPr>
        <w:t>环境</w:t>
      </w:r>
      <w:r>
        <w:rPr>
          <w:rFonts w:hint="eastAsia" w:ascii="宋体" w:hAnsi="宋体" w:eastAsia="仿宋_GB2312" w:cs="仿宋_GB2312"/>
          <w:spacing w:val="0"/>
          <w:w w:val="100"/>
          <w:sz w:val="32"/>
          <w:szCs w:val="32"/>
        </w:rPr>
        <w:t>主管部门批准的设施焚烧处理固体废物的，由所在地县级以上人民政</w:t>
      </w:r>
      <w:r>
        <w:rPr>
          <w:rFonts w:hint="eastAsia" w:ascii="宋体" w:hAnsi="宋体" w:eastAsia="仿宋_GB2312" w:cs="仿宋_GB2312"/>
          <w:spacing w:val="-9"/>
          <w:w w:val="100"/>
          <w:sz w:val="32"/>
          <w:szCs w:val="32"/>
        </w:rPr>
        <w:t>府</w:t>
      </w:r>
      <w:r>
        <w:rPr>
          <w:rFonts w:hint="eastAsia" w:ascii="宋体" w:hAnsi="宋体" w:eastAsia="仿宋_GB2312" w:cs="仿宋_GB2312"/>
          <w:spacing w:val="-9"/>
          <w:w w:val="100"/>
          <w:sz w:val="32"/>
          <w:szCs w:val="32"/>
          <w:lang w:eastAsia="zh-CN"/>
        </w:rPr>
        <w:t>生态</w:t>
      </w:r>
      <w:r>
        <w:rPr>
          <w:rFonts w:hint="eastAsia" w:ascii="宋体" w:hAnsi="宋体" w:eastAsia="仿宋_GB2312" w:cs="仿宋_GB2312"/>
          <w:i w:val="0"/>
          <w:iCs w:val="0"/>
          <w:spacing w:val="-9"/>
          <w:w w:val="100"/>
          <w:sz w:val="32"/>
          <w:szCs w:val="32"/>
          <w:u w:val="none"/>
        </w:rPr>
        <w:t>环境</w:t>
      </w:r>
      <w:r>
        <w:rPr>
          <w:rFonts w:hint="eastAsia" w:ascii="宋体" w:hAnsi="宋体" w:eastAsia="仿宋_GB2312" w:cs="仿宋_GB2312"/>
          <w:spacing w:val="-9"/>
          <w:w w:val="100"/>
          <w:sz w:val="32"/>
          <w:szCs w:val="32"/>
        </w:rPr>
        <w:t>主管部门责令停止违法行为，消除污染，对单位处一万元以上十万元以下的罚款，对个人处五百元以上二千元以下的罚款。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违反本条例第</w:t>
      </w:r>
      <w:r>
        <w:rPr>
          <w:rFonts w:hint="eastAsia" w:ascii="宋体" w:hAnsi="宋体" w:eastAsia="仿宋_GB2312" w:cs="仿宋_GB2312"/>
          <w:i w:val="0"/>
          <w:iCs w:val="0"/>
          <w:spacing w:val="0"/>
          <w:w w:val="100"/>
          <w:sz w:val="32"/>
          <w:szCs w:val="32"/>
          <w:u w:val="none"/>
          <w:lang w:eastAsia="zh-CN"/>
        </w:rPr>
        <w:t>三十二</w:t>
      </w:r>
      <w:r>
        <w:rPr>
          <w:rFonts w:hint="eastAsia" w:ascii="宋体" w:hAnsi="宋体" w:eastAsia="仿宋_GB2312" w:cs="仿宋_GB2312"/>
          <w:spacing w:val="0"/>
          <w:w w:val="100"/>
          <w:sz w:val="32"/>
          <w:szCs w:val="32"/>
        </w:rPr>
        <w:t>条第三项的规定，使用不符合国家和地方相关技术规范的场所堆放、贮存、处置固体废物</w:t>
      </w:r>
      <w:r>
        <w:rPr>
          <w:rFonts w:hint="eastAsia" w:ascii="宋体" w:hAnsi="宋体" w:eastAsia="仿宋_GB2312" w:cs="仿宋_GB2312"/>
          <w:spacing w:val="0"/>
          <w:w w:val="100"/>
          <w:sz w:val="32"/>
          <w:szCs w:val="32"/>
          <w:lang w:eastAsia="zh-CN"/>
        </w:rPr>
        <w:t>的</w:t>
      </w:r>
      <w:r>
        <w:rPr>
          <w:rFonts w:hint="eastAsia" w:ascii="宋体" w:hAnsi="宋体" w:eastAsia="仿宋_GB2312" w:cs="仿宋_GB2312"/>
          <w:spacing w:val="0"/>
          <w:w w:val="100"/>
          <w:sz w:val="32"/>
          <w:szCs w:val="32"/>
        </w:rPr>
        <w:t>，由所在地县级以上人民政府确定的监督管理部门责令限期改正，处一万元以上十万元以下罚款。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五十三</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违反本条例有关危险废物污染环境防</w:t>
      </w:r>
      <w:r>
        <w:rPr>
          <w:rFonts w:hint="eastAsia" w:ascii="宋体" w:hAnsi="宋体" w:eastAsia="仿宋_GB2312" w:cs="仿宋_GB2312"/>
          <w:spacing w:val="0"/>
          <w:w w:val="100"/>
          <w:sz w:val="32"/>
          <w:szCs w:val="32"/>
        </w:rPr>
        <w:t>治的规定，有下列行为之一的，由县级以上人民政府确定的监督管理部门责令停止违法行为，限期改正</w:t>
      </w:r>
      <w:r>
        <w:rPr>
          <w:rFonts w:hint="eastAsia" w:ascii="宋体" w:hAnsi="宋体" w:cs="仿宋_GB2312"/>
          <w:spacing w:val="0"/>
          <w:w w:val="100"/>
          <w:sz w:val="32"/>
          <w:szCs w:val="32"/>
          <w:lang w:eastAsia="zh-CN"/>
        </w:rPr>
        <w:t>；</w:t>
      </w:r>
      <w:r>
        <w:rPr>
          <w:rFonts w:hint="eastAsia" w:ascii="宋体" w:hAnsi="宋体" w:eastAsia="仿宋_GB2312" w:cs="仿宋_GB2312"/>
          <w:spacing w:val="0"/>
          <w:w w:val="100"/>
          <w:sz w:val="32"/>
          <w:szCs w:val="32"/>
          <w:lang w:eastAsia="zh-CN"/>
        </w:rPr>
        <w:t>拒不改正的，</w:t>
      </w:r>
      <w:r>
        <w:rPr>
          <w:rFonts w:hint="eastAsia" w:ascii="宋体" w:hAnsi="宋体" w:eastAsia="仿宋_GB2312" w:cs="仿宋_GB2312"/>
          <w:spacing w:val="0"/>
          <w:w w:val="100"/>
          <w:sz w:val="32"/>
          <w:szCs w:val="32"/>
        </w:rPr>
        <w:t>处以一万元以上十万元以下罚款：</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（一）违反本条例第</w:t>
      </w:r>
      <w:r>
        <w:rPr>
          <w:rFonts w:hint="eastAsia" w:ascii="宋体" w:hAnsi="宋体" w:eastAsia="仿宋_GB2312" w:cs="仿宋_GB2312"/>
          <w:i w:val="0"/>
          <w:iCs w:val="0"/>
          <w:spacing w:val="0"/>
          <w:w w:val="100"/>
          <w:sz w:val="32"/>
          <w:szCs w:val="32"/>
          <w:u w:val="none"/>
          <w:lang w:eastAsia="zh-CN"/>
        </w:rPr>
        <w:t>三十六</w:t>
      </w:r>
      <w:r>
        <w:rPr>
          <w:rFonts w:hint="eastAsia" w:ascii="宋体" w:hAnsi="宋体" w:eastAsia="仿宋_GB2312" w:cs="仿宋_GB2312"/>
          <w:spacing w:val="0"/>
          <w:w w:val="100"/>
          <w:sz w:val="32"/>
          <w:szCs w:val="32"/>
        </w:rPr>
        <w:t>条第三款规定，以填埋方式处置危险废物的经营单位终止经营活动后未依法</w:t>
      </w:r>
      <w:r>
        <w:rPr>
          <w:rFonts w:hint="eastAsia" w:ascii="宋体" w:hAnsi="宋体" w:eastAsia="仿宋_GB2312" w:cs="仿宋_GB2312"/>
          <w:spacing w:val="0"/>
          <w:w w:val="100"/>
          <w:sz w:val="32"/>
          <w:szCs w:val="32"/>
          <w:lang w:eastAsia="zh-CN"/>
        </w:rPr>
        <w:t>将危险废物经营情况档案</w:t>
      </w:r>
      <w:r>
        <w:rPr>
          <w:rFonts w:hint="eastAsia" w:ascii="宋体" w:hAnsi="宋体" w:eastAsia="仿宋_GB2312" w:cs="仿宋_GB2312"/>
          <w:spacing w:val="0"/>
          <w:w w:val="100"/>
          <w:sz w:val="32"/>
          <w:szCs w:val="32"/>
        </w:rPr>
        <w:t>移交存档的；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（二）违反本条例第</w:t>
      </w:r>
      <w:r>
        <w:rPr>
          <w:rFonts w:hint="eastAsia" w:ascii="宋体" w:hAnsi="宋体" w:eastAsia="仿宋_GB2312" w:cs="仿宋_GB2312"/>
          <w:i w:val="0"/>
          <w:iCs w:val="0"/>
          <w:spacing w:val="0"/>
          <w:w w:val="100"/>
          <w:sz w:val="32"/>
          <w:szCs w:val="32"/>
          <w:u w:val="none"/>
          <w:lang w:eastAsia="zh-CN"/>
        </w:rPr>
        <w:t>四十四</w:t>
      </w:r>
      <w:r>
        <w:rPr>
          <w:rFonts w:hint="eastAsia" w:ascii="宋体" w:hAnsi="宋体" w:eastAsia="仿宋_GB2312" w:cs="仿宋_GB2312"/>
          <w:spacing w:val="0"/>
          <w:w w:val="100"/>
          <w:sz w:val="32"/>
          <w:szCs w:val="32"/>
        </w:rPr>
        <w:t>条规定，未建立实验室危险废物分类、登记管理制度的；</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rPr>
      </w:pPr>
      <w:r>
        <w:rPr>
          <w:rFonts w:hint="eastAsia" w:ascii="宋体" w:hAnsi="宋体" w:eastAsia="仿宋_GB2312" w:cs="仿宋_GB2312"/>
          <w:spacing w:val="0"/>
          <w:w w:val="100"/>
          <w:sz w:val="32"/>
          <w:szCs w:val="32"/>
        </w:rPr>
        <w:t>（三）违反本条例第</w:t>
      </w:r>
      <w:r>
        <w:rPr>
          <w:rFonts w:hint="eastAsia" w:ascii="宋体" w:hAnsi="宋体" w:eastAsia="仿宋_GB2312" w:cs="仿宋_GB2312"/>
          <w:i w:val="0"/>
          <w:iCs w:val="0"/>
          <w:spacing w:val="0"/>
          <w:w w:val="100"/>
          <w:sz w:val="32"/>
          <w:szCs w:val="32"/>
          <w:u w:val="none"/>
          <w:lang w:eastAsia="zh-CN"/>
        </w:rPr>
        <w:t>四十五</w:t>
      </w:r>
      <w:r>
        <w:rPr>
          <w:rFonts w:hint="eastAsia" w:ascii="宋体" w:hAnsi="宋体" w:eastAsia="仿宋_GB2312" w:cs="仿宋_GB2312"/>
          <w:spacing w:val="0"/>
          <w:w w:val="100"/>
          <w:sz w:val="32"/>
          <w:szCs w:val="32"/>
        </w:rPr>
        <w:t>条第二款规定，未按照有关规定建设危险废物收集、贮存设施</w:t>
      </w:r>
      <w:r>
        <w:rPr>
          <w:rFonts w:hint="eastAsia" w:ascii="宋体" w:hAnsi="宋体" w:eastAsia="仿宋_GB2312" w:cs="仿宋_GB2312"/>
          <w:spacing w:val="0"/>
          <w:w w:val="100"/>
          <w:sz w:val="32"/>
          <w:szCs w:val="32"/>
          <w:lang w:eastAsia="zh-CN"/>
        </w:rPr>
        <w:t>并采取有效防治污染措施</w:t>
      </w:r>
      <w:r>
        <w:rPr>
          <w:rFonts w:hint="eastAsia" w:ascii="宋体" w:hAnsi="宋体" w:eastAsia="仿宋_GB2312" w:cs="仿宋_GB2312"/>
          <w:spacing w:val="0"/>
          <w:w w:val="100"/>
          <w:sz w:val="32"/>
          <w:szCs w:val="32"/>
        </w:rPr>
        <w:t>的。</w:t>
      </w:r>
    </w:p>
    <w:p>
      <w:pPr>
        <w:widowControl w:val="0"/>
        <w:wordWrap/>
        <w:overflowPunct w:val="0"/>
        <w:adjustRightInd w:val="0"/>
        <w:snapToGrid w:val="0"/>
        <w:spacing w:beforeAutospacing="0" w:afterAutospacing="0" w:line="560" w:lineRule="exact"/>
        <w:ind w:right="0" w:firstLine="640" w:firstLineChars="200"/>
        <w:jc w:val="center"/>
        <w:textAlignment w:val="auto"/>
        <w:outlineLvl w:val="9"/>
        <w:rPr>
          <w:rFonts w:hint="eastAsia" w:ascii="宋体" w:hAnsi="宋体" w:eastAsia="仿宋_GB2312" w:cs="仿宋_GB2312"/>
          <w:spacing w:val="0"/>
          <w:w w:val="100"/>
          <w:sz w:val="32"/>
          <w:szCs w:val="32"/>
          <w:lang w:val="en-US" w:eastAsia="zh-CN"/>
        </w:rPr>
      </w:pPr>
    </w:p>
    <w:p>
      <w:pPr>
        <w:widowControl w:val="0"/>
        <w:wordWrap/>
        <w:overflowPunct w:val="0"/>
        <w:adjustRightInd w:val="0"/>
        <w:snapToGrid w:val="0"/>
        <w:spacing w:beforeAutospacing="0" w:afterAutospacing="0" w:line="560" w:lineRule="exact"/>
        <w:ind w:right="0"/>
        <w:jc w:val="center"/>
        <w:textAlignment w:val="auto"/>
        <w:outlineLvl w:val="9"/>
        <w:rPr>
          <w:rFonts w:hint="eastAsia" w:ascii="宋体" w:hAnsi="宋体" w:eastAsia="黑体" w:cs="黑体"/>
          <w:spacing w:val="0"/>
          <w:w w:val="100"/>
          <w:sz w:val="32"/>
          <w:szCs w:val="32"/>
        </w:rPr>
      </w:pPr>
      <w:r>
        <w:rPr>
          <w:rFonts w:hint="eastAsia" w:ascii="宋体" w:hAnsi="宋体" w:eastAsia="黑体" w:cs="黑体"/>
          <w:spacing w:val="0"/>
          <w:w w:val="100"/>
          <w:sz w:val="32"/>
          <w:szCs w:val="32"/>
        </w:rPr>
        <w:t>第六章  附则</w:t>
      </w:r>
    </w:p>
    <w:p>
      <w:pPr>
        <w:widowControl w:val="0"/>
        <w:wordWrap/>
        <w:overflowPunct w:val="0"/>
        <w:adjustRightInd w:val="0"/>
        <w:snapToGrid w:val="0"/>
        <w:spacing w:beforeAutospacing="0" w:afterAutospacing="0" w:line="560" w:lineRule="exact"/>
        <w:ind w:right="0" w:firstLine="640" w:firstLineChars="200"/>
        <w:jc w:val="center"/>
        <w:textAlignment w:val="auto"/>
        <w:outlineLvl w:val="9"/>
        <w:rPr>
          <w:rFonts w:hint="eastAsia" w:ascii="宋体" w:hAnsi="宋体" w:eastAsia="仿宋_GB2312" w:cs="仿宋_GB2312"/>
          <w:spacing w:val="0"/>
          <w:w w:val="100"/>
          <w:sz w:val="32"/>
          <w:szCs w:val="32"/>
        </w:rPr>
      </w:pP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黑体" w:cs="黑体"/>
          <w:spacing w:val="0"/>
          <w:w w:val="100"/>
          <w:sz w:val="32"/>
          <w:szCs w:val="32"/>
        </w:rPr>
        <w:t>第</w:t>
      </w:r>
      <w:r>
        <w:rPr>
          <w:rFonts w:hint="eastAsia" w:ascii="宋体" w:hAnsi="宋体" w:eastAsia="黑体" w:cs="黑体"/>
          <w:i w:val="0"/>
          <w:iCs w:val="0"/>
          <w:spacing w:val="0"/>
          <w:w w:val="100"/>
          <w:sz w:val="32"/>
          <w:szCs w:val="32"/>
          <w:u w:val="none"/>
          <w:lang w:eastAsia="zh-CN"/>
        </w:rPr>
        <w:t>五十四</w:t>
      </w:r>
      <w:r>
        <w:rPr>
          <w:rFonts w:hint="eastAsia" w:ascii="宋体" w:hAnsi="宋体" w:eastAsia="黑体" w:cs="黑体"/>
          <w:spacing w:val="0"/>
          <w:w w:val="100"/>
          <w:sz w:val="32"/>
          <w:szCs w:val="32"/>
        </w:rPr>
        <w:t>条</w:t>
      </w:r>
      <w:r>
        <w:rPr>
          <w:rFonts w:hint="eastAsia" w:ascii="宋体" w:hAnsi="宋体" w:cs="仿宋_GB2312"/>
          <w:spacing w:val="0"/>
          <w:w w:val="100"/>
          <w:sz w:val="32"/>
          <w:szCs w:val="32"/>
          <w:lang w:val="en-US" w:eastAsia="zh-CN"/>
        </w:rPr>
        <w:t xml:space="preserve">  </w:t>
      </w:r>
      <w:r>
        <w:rPr>
          <w:rFonts w:hint="eastAsia" w:ascii="宋体" w:hAnsi="宋体" w:eastAsia="仿宋_GB2312" w:cs="仿宋_GB2312"/>
          <w:spacing w:val="0"/>
          <w:w w:val="100"/>
          <w:sz w:val="32"/>
          <w:szCs w:val="32"/>
          <w:lang w:eastAsia="zh-CN"/>
        </w:rPr>
        <w:t>本条</w:t>
      </w:r>
      <w:r>
        <w:rPr>
          <w:rFonts w:hint="eastAsia" w:ascii="宋体" w:hAnsi="宋体" w:eastAsia="仿宋_GB2312" w:cs="仿宋_GB2312"/>
          <w:spacing w:val="0"/>
          <w:w w:val="100"/>
          <w:sz w:val="32"/>
          <w:szCs w:val="32"/>
        </w:rPr>
        <w:t>例自</w:t>
      </w:r>
      <w:r>
        <w:rPr>
          <w:rFonts w:hint="eastAsia" w:ascii="宋体" w:hAnsi="宋体" w:eastAsia="仿宋_GB2312" w:cs="仿宋_GB2312"/>
          <w:spacing w:val="0"/>
          <w:w w:val="100"/>
          <w:sz w:val="32"/>
          <w:szCs w:val="32"/>
          <w:lang w:val="en-US" w:eastAsia="zh-CN"/>
        </w:rPr>
        <w:t>2019</w:t>
      </w:r>
      <w:r>
        <w:rPr>
          <w:rFonts w:hint="eastAsia" w:ascii="宋体" w:hAnsi="宋体" w:eastAsia="仿宋_GB2312" w:cs="仿宋_GB2312"/>
          <w:spacing w:val="0"/>
          <w:w w:val="100"/>
          <w:sz w:val="32"/>
          <w:szCs w:val="32"/>
        </w:rPr>
        <w:t>年</w:t>
      </w:r>
      <w:r>
        <w:rPr>
          <w:rFonts w:hint="eastAsia" w:ascii="宋体" w:hAnsi="宋体" w:eastAsia="仿宋_GB2312" w:cs="仿宋_GB2312"/>
          <w:spacing w:val="0"/>
          <w:w w:val="100"/>
          <w:sz w:val="32"/>
          <w:szCs w:val="32"/>
          <w:lang w:val="en-US" w:eastAsia="zh-CN"/>
        </w:rPr>
        <w:t>3</w:t>
      </w:r>
      <w:r>
        <w:rPr>
          <w:rFonts w:hint="eastAsia" w:ascii="宋体" w:hAnsi="宋体" w:eastAsia="仿宋_GB2312" w:cs="仿宋_GB2312"/>
          <w:spacing w:val="0"/>
          <w:w w:val="100"/>
          <w:sz w:val="32"/>
          <w:szCs w:val="32"/>
        </w:rPr>
        <w:t>月</w:t>
      </w:r>
      <w:r>
        <w:rPr>
          <w:rFonts w:hint="eastAsia" w:ascii="宋体" w:hAnsi="宋体" w:eastAsia="仿宋_GB2312" w:cs="仿宋_GB2312"/>
          <w:spacing w:val="0"/>
          <w:w w:val="100"/>
          <w:sz w:val="32"/>
          <w:szCs w:val="32"/>
          <w:lang w:val="en-US" w:eastAsia="zh-CN"/>
        </w:rPr>
        <w:t>1</w:t>
      </w:r>
      <w:r>
        <w:rPr>
          <w:rFonts w:hint="eastAsia" w:ascii="宋体" w:hAnsi="宋体" w:eastAsia="仿宋_GB2312" w:cs="仿宋_GB2312"/>
          <w:spacing w:val="0"/>
          <w:w w:val="100"/>
          <w:sz w:val="32"/>
          <w:szCs w:val="32"/>
        </w:rPr>
        <w:t>日起施行</w:t>
      </w:r>
      <w:r>
        <w:rPr>
          <w:rFonts w:hint="eastAsia" w:ascii="宋体" w:hAnsi="宋体" w:eastAsia="仿宋_GB2312" w:cs="仿宋_GB2312"/>
          <w:spacing w:val="0"/>
          <w:w w:val="100"/>
          <w:sz w:val="32"/>
          <w:szCs w:val="32"/>
          <w:lang w:eastAsia="zh-CN"/>
        </w:rPr>
        <w:t>。</w:t>
      </w:r>
    </w:p>
    <w:p>
      <w:pPr>
        <w:widowControl w:val="0"/>
        <w:wordWrap/>
        <w:overflowPunct w:val="0"/>
        <w:adjustRightInd w:val="0"/>
        <w:snapToGrid w:val="0"/>
        <w:spacing w:beforeAutospacing="0" w:afterAutospacing="0" w:line="560" w:lineRule="exact"/>
        <w:ind w:right="0" w:firstLine="640" w:firstLineChars="200"/>
        <w:textAlignment w:val="auto"/>
        <w:outlineLvl w:val="9"/>
        <w:rPr>
          <w:rFonts w:hint="eastAsia" w:ascii="宋体" w:hAnsi="宋体" w:eastAsia="仿宋_GB2312" w:cs="仿宋_GB2312"/>
          <w:spacing w:val="0"/>
          <w:w w:val="100"/>
          <w:sz w:val="32"/>
          <w:szCs w:val="32"/>
          <w:lang w:eastAsia="zh-CN"/>
        </w:rPr>
      </w:pPr>
      <w:r>
        <w:rPr>
          <w:rFonts w:hint="eastAsia" w:ascii="宋体" w:hAnsi="宋体" w:eastAsia="仿宋_GB2312" w:cs="仿宋_GB2312"/>
          <w:spacing w:val="0"/>
          <w:w w:val="100"/>
          <w:sz w:val="32"/>
          <w:szCs w:val="32"/>
          <w:lang w:eastAsia="zh-CN"/>
        </w:rPr>
        <w:br w:type="page"/>
      </w:r>
    </w:p>
    <w:p>
      <w:pPr>
        <w:pStyle w:val="44"/>
        <w:widowControl w:val="0"/>
        <w:wordWrap/>
        <w:overflowPunct w:val="0"/>
        <w:spacing w:before="0" w:beforeAutospacing="0" w:after="0" w:afterAutospacing="0" w:line="560" w:lineRule="exact"/>
        <w:jc w:val="center"/>
        <w:textAlignment w:val="auto"/>
        <w:outlineLvl w:val="9"/>
        <w:rPr>
          <w:rFonts w:hint="eastAsia" w:ascii="宋体" w:hAnsi="宋体" w:eastAsia="宋体" w:cs="宋体"/>
          <w:color w:val="000000"/>
          <w:sz w:val="44"/>
          <w:szCs w:val="44"/>
        </w:rPr>
      </w:pPr>
      <w:bookmarkStart w:id="471" w:name="_Toc11297"/>
      <w:r>
        <w:rPr>
          <w:rFonts w:hint="eastAsia" w:ascii="宋体" w:hAnsi="宋体" w:eastAsia="宋体" w:cs="宋体"/>
          <w:color w:val="000000"/>
          <w:sz w:val="44"/>
          <w:szCs w:val="44"/>
          <w:lang w:val="en-US" w:eastAsia="zh-CN"/>
        </w:rPr>
        <w:t>广东省食品安全条例</w:t>
      </w:r>
      <w:bookmarkEnd w:id="471"/>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楷体_GB2312"/>
          <w:bCs/>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宋体" w:hAnsi="宋体" w:eastAsia="楷体_GB2312" w:cs="楷体_GB2312"/>
          <w:bCs/>
          <w:sz w:val="32"/>
          <w:szCs w:val="32"/>
        </w:rPr>
      </w:pPr>
      <w:r>
        <w:rPr>
          <w:rFonts w:hint="eastAsia" w:ascii="宋体" w:hAnsi="宋体" w:eastAsia="楷体_GB2312"/>
          <w:bCs/>
          <w:sz w:val="32"/>
          <w:szCs w:val="32"/>
        </w:rPr>
        <w:t>（2007年11月30日广东省第十届人民代表大会常务委员会第三十五次会议通过  2016年5月25日广东省第十二届人民代表大会常务委员会第二十六次会议</w:t>
      </w:r>
      <w:r>
        <w:rPr>
          <w:rFonts w:hint="eastAsia" w:ascii="宋体" w:hAnsi="宋体" w:eastAsia="楷体_GB2312"/>
          <w:bCs/>
          <w:sz w:val="32"/>
          <w:szCs w:val="32"/>
          <w:lang w:eastAsia="zh-CN"/>
        </w:rPr>
        <w:t>修</w:t>
      </w:r>
      <w:r>
        <w:rPr>
          <w:rFonts w:hint="eastAsia" w:ascii="宋体" w:hAnsi="宋体" w:eastAsia="楷体_GB2312"/>
          <w:bCs/>
          <w:sz w:val="32"/>
          <w:szCs w:val="32"/>
        </w:rPr>
        <w:t>订</w:t>
      </w:r>
      <w:r>
        <w:rPr>
          <w:rFonts w:hint="eastAsia" w:ascii="宋体" w:hAnsi="宋体" w:eastAsia="楷体_GB2312"/>
          <w:bCs/>
          <w:sz w:val="32"/>
          <w:szCs w:val="32"/>
          <w:lang w:val="en-US" w:eastAsia="zh-CN"/>
        </w:rPr>
        <w:t xml:space="preserve">  </w:t>
      </w:r>
      <w:r>
        <w:rPr>
          <w:rFonts w:hint="eastAsia" w:ascii="宋体" w:hAnsi="宋体" w:eastAsia="楷体_GB2312" w:cs="楷体_GB2312"/>
          <w:bCs/>
          <w:sz w:val="32"/>
          <w:szCs w:val="32"/>
          <w:lang w:val="en-US" w:eastAsia="zh-CN"/>
        </w:rPr>
        <w:t>根据</w:t>
      </w:r>
      <w:r>
        <w:rPr>
          <w:rFonts w:hint="eastAsia" w:ascii="宋体" w:hAnsi="宋体" w:eastAsia="楷体_GB2312" w:cs="楷体_GB2312"/>
          <w:color w:val="auto"/>
          <w:sz w:val="32"/>
          <w:szCs w:val="32"/>
        </w:rPr>
        <w:t>201</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年</w:t>
      </w:r>
      <w:r>
        <w:rPr>
          <w:rFonts w:hint="eastAsia" w:ascii="宋体" w:hAnsi="宋体" w:eastAsia="楷体_GB2312" w:cs="楷体_GB2312"/>
          <w:color w:val="auto"/>
          <w:sz w:val="32"/>
          <w:szCs w:val="32"/>
          <w:lang w:val="en-US" w:eastAsia="zh-CN"/>
        </w:rPr>
        <w:t>9</w:t>
      </w:r>
      <w:r>
        <w:rPr>
          <w:rFonts w:hint="eastAsia" w:ascii="宋体" w:hAnsi="宋体" w:eastAsia="楷体_GB2312" w:cs="楷体_GB2312"/>
          <w:color w:val="auto"/>
          <w:sz w:val="32"/>
          <w:szCs w:val="32"/>
        </w:rPr>
        <w:t>月</w:t>
      </w:r>
      <w:r>
        <w:rPr>
          <w:rFonts w:hint="eastAsia" w:ascii="宋体" w:hAnsi="宋体" w:eastAsia="楷体_GB2312" w:cs="楷体_GB2312"/>
          <w:color w:val="auto"/>
          <w:sz w:val="32"/>
          <w:szCs w:val="32"/>
          <w:lang w:val="en-US" w:eastAsia="zh-CN"/>
        </w:rPr>
        <w:t>25</w:t>
      </w:r>
      <w:r>
        <w:rPr>
          <w:rFonts w:hint="eastAsia" w:ascii="宋体" w:hAnsi="宋体" w:eastAsia="楷体_GB2312" w:cs="楷体_GB2312"/>
          <w:color w:val="auto"/>
          <w:sz w:val="32"/>
          <w:szCs w:val="32"/>
        </w:rPr>
        <w:t>日广东省第十</w:t>
      </w:r>
      <w:r>
        <w:rPr>
          <w:rFonts w:hint="eastAsia" w:ascii="宋体" w:hAnsi="宋体" w:eastAsia="楷体_GB2312" w:cs="楷体_GB2312"/>
          <w:color w:val="auto"/>
          <w:sz w:val="32"/>
          <w:szCs w:val="32"/>
          <w:lang w:eastAsia="zh-CN"/>
        </w:rPr>
        <w:t>三</w:t>
      </w:r>
      <w:r>
        <w:rPr>
          <w:rFonts w:hint="eastAsia" w:ascii="宋体" w:hAnsi="宋体" w:eastAsia="楷体_GB2312" w:cs="楷体_GB2312"/>
          <w:color w:val="auto"/>
          <w:sz w:val="32"/>
          <w:szCs w:val="32"/>
        </w:rPr>
        <w:t>届人民代表大会常务委员会第</w:t>
      </w:r>
      <w:r>
        <w:rPr>
          <w:rFonts w:hint="eastAsia" w:ascii="宋体" w:hAnsi="宋体" w:eastAsia="楷体_GB2312" w:cs="楷体_GB2312"/>
          <w:color w:val="auto"/>
          <w:sz w:val="32"/>
          <w:szCs w:val="32"/>
          <w:lang w:val="en-US" w:eastAsia="zh-CN"/>
        </w:rPr>
        <w:t>十四</w:t>
      </w:r>
      <w:r>
        <w:rPr>
          <w:rFonts w:hint="eastAsia" w:ascii="宋体" w:hAnsi="宋体" w:eastAsia="楷体_GB2312" w:cs="楷体_GB2312"/>
          <w:color w:val="auto"/>
          <w:sz w:val="32"/>
          <w:szCs w:val="32"/>
        </w:rPr>
        <w:t>次会议《</w:t>
      </w:r>
      <w:r>
        <w:rPr>
          <w:rFonts w:hint="eastAsia" w:ascii="宋体" w:hAnsi="宋体" w:eastAsia="楷体_GB2312" w:cs="楷体_GB2312"/>
          <w:b w:val="0"/>
          <w:bCs w:val="0"/>
          <w:spacing w:val="0"/>
          <w:sz w:val="32"/>
          <w:szCs w:val="32"/>
          <w:lang w:eastAsia="zh-CN"/>
        </w:rPr>
        <w:t>关于修改〈广东省食品安全条例〉</w:t>
      </w:r>
      <w:r>
        <w:rPr>
          <w:rFonts w:hint="eastAsia" w:ascii="宋体" w:hAnsi="宋体" w:eastAsia="楷体_GB2312" w:cs="楷体_GB2312"/>
          <w:spacing w:val="0"/>
          <w:sz w:val="32"/>
          <w:szCs w:val="32"/>
          <w:lang w:eastAsia="zh-CN"/>
        </w:rPr>
        <w:t>等十项地方性法规的决定</w:t>
      </w:r>
      <w:r>
        <w:rPr>
          <w:rFonts w:hint="eastAsia" w:ascii="宋体" w:hAnsi="宋体" w:eastAsia="楷体_GB2312" w:cs="楷体_GB2312"/>
          <w:color w:val="auto"/>
          <w:sz w:val="32"/>
          <w:szCs w:val="32"/>
        </w:rPr>
        <w:t>》</w:t>
      </w:r>
      <w:r>
        <w:rPr>
          <w:rFonts w:hint="eastAsia" w:ascii="宋体" w:hAnsi="宋体" w:eastAsia="楷体_GB2312" w:cs="楷体_GB2312"/>
          <w:color w:val="auto"/>
          <w:sz w:val="32"/>
          <w:szCs w:val="32"/>
          <w:lang w:eastAsia="zh-CN"/>
        </w:rPr>
        <w:t>修正</w:t>
      </w:r>
      <w:r>
        <w:rPr>
          <w:rFonts w:hint="eastAsia" w:ascii="宋体" w:hAnsi="宋体" w:eastAsia="楷体_GB2312" w:cs="楷体_GB2312"/>
          <w:bCs/>
          <w:sz w:val="32"/>
          <w:szCs w:val="32"/>
        </w:rPr>
        <w:t>）</w:t>
      </w:r>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0"/>
        <w:jc w:val="center"/>
        <w:textAlignment w:val="auto"/>
        <w:outlineLvl w:val="9"/>
        <w:rPr>
          <w:rFonts w:hint="eastAsia" w:ascii="宋体" w:hAnsi="宋体" w:eastAsia="宋体" w:cs="宋体"/>
          <w:bCs/>
          <w:sz w:val="32"/>
          <w:szCs w:val="32"/>
        </w:rPr>
      </w:pPr>
      <w:r>
        <w:rPr>
          <w:rFonts w:hint="eastAsia" w:ascii="宋体" w:hAnsi="宋体" w:eastAsia="楷体_GB2312"/>
          <w:bCs/>
          <w:sz w:val="32"/>
          <w:szCs w:val="32"/>
        </w:rPr>
        <w:t>目    录</w:t>
      </w:r>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第二章  食品生产经营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第一节  生产经营规范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sz w:val="32"/>
          <w:szCs w:val="32"/>
        </w:rPr>
      </w:pPr>
      <w:r>
        <w:rPr>
          <w:rFonts w:hint="eastAsia" w:ascii="宋体" w:hAnsi="宋体" w:eastAsia="楷体_GB2312" w:cs="楷体_GB2312"/>
          <w:b w:val="0"/>
          <w:bCs/>
          <w:sz w:val="32"/>
          <w:szCs w:val="32"/>
          <w:lang w:val="en-US" w:eastAsia="zh-CN"/>
        </w:rPr>
        <w:t xml:space="preserve">    </w:t>
      </w:r>
      <w:r>
        <w:rPr>
          <w:rFonts w:hint="eastAsia" w:ascii="宋体" w:hAnsi="宋体" w:eastAsia="楷体_GB2312" w:cs="楷体_GB2312"/>
          <w:b w:val="0"/>
          <w:bCs/>
          <w:sz w:val="32"/>
          <w:szCs w:val="32"/>
        </w:rPr>
        <w:t>第二节  网络食品经营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Cs/>
          <w:sz w:val="32"/>
          <w:szCs w:val="32"/>
        </w:rPr>
      </w:pPr>
      <w:r>
        <w:rPr>
          <w:rFonts w:hint="eastAsia" w:ascii="宋体" w:hAnsi="宋体" w:eastAsia="楷体_GB2312" w:cs="楷体_GB2312"/>
          <w:b w:val="0"/>
          <w:bCs/>
          <w:sz w:val="32"/>
          <w:szCs w:val="32"/>
          <w:lang w:val="en-US" w:eastAsia="zh-CN"/>
        </w:rPr>
        <w:t xml:space="preserve">    </w:t>
      </w:r>
      <w:r>
        <w:rPr>
          <w:rFonts w:hint="eastAsia" w:ascii="宋体" w:hAnsi="宋体" w:eastAsia="楷体_GB2312" w:cs="楷体_GB2312"/>
          <w:b w:val="0"/>
          <w:bCs/>
          <w:sz w:val="32"/>
          <w:szCs w:val="32"/>
        </w:rPr>
        <w:t>第三节  餐饮服务</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第三章  食品安全保障</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第一节  食品安全风险监测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第二节  食品安全标准</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第三节  食品检验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楷体_GB2312" w:cs="楷体_GB2312"/>
          <w:b w:val="0"/>
          <w:bCs w:val="0"/>
          <w:sz w:val="32"/>
          <w:szCs w:val="32"/>
        </w:rPr>
      </w:pPr>
      <w:r>
        <w:rPr>
          <w:rFonts w:hint="eastAsia" w:ascii="宋体" w:hAnsi="宋体" w:eastAsia="楷体_GB2312" w:cs="楷体_GB2312"/>
          <w:b w:val="0"/>
          <w:bCs w:val="0"/>
          <w:sz w:val="32"/>
          <w:szCs w:val="32"/>
          <w:lang w:val="en-US" w:eastAsia="zh-CN"/>
        </w:rPr>
        <w:t xml:space="preserve">    </w:t>
      </w:r>
      <w:r>
        <w:rPr>
          <w:rFonts w:hint="eastAsia" w:ascii="宋体" w:hAnsi="宋体" w:eastAsia="楷体_GB2312" w:cs="楷体_GB2312"/>
          <w:b w:val="0"/>
          <w:bCs w:val="0"/>
          <w:sz w:val="32"/>
          <w:szCs w:val="32"/>
        </w:rPr>
        <w:t>第四节  食品追溯</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第四章  食品安全监督管理</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rPr>
      </w:pPr>
      <w:r>
        <w:rPr>
          <w:rFonts w:hint="eastAsia" w:ascii="宋体" w:hAnsi="宋体" w:eastAsia="楷体_GB2312" w:cs="楷体_GB2312"/>
          <w:bCs/>
          <w:sz w:val="32"/>
          <w:szCs w:val="32"/>
        </w:rPr>
        <w:t>第五章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cs="楷体_GB2312"/>
          <w:bCs/>
          <w:sz w:val="32"/>
          <w:szCs w:val="32"/>
          <w:lang w:val="en-US" w:eastAsia="zh-CN"/>
        </w:rPr>
      </w:pPr>
      <w:r>
        <w:rPr>
          <w:rFonts w:hint="eastAsia" w:ascii="宋体" w:hAnsi="宋体" w:eastAsia="楷体_GB2312" w:cs="楷体_GB2312"/>
          <w:bCs/>
          <w:sz w:val="32"/>
          <w:szCs w:val="32"/>
          <w:lang w:val="en-US" w:eastAsia="zh-CN"/>
        </w:rPr>
        <w:t>第六章  附则</w:t>
      </w:r>
    </w:p>
    <w:p>
      <w:pPr>
        <w:pStyle w:val="35"/>
        <w:widowControl w:val="0"/>
        <w:wordWrap/>
        <w:overflowPunct w:val="0"/>
        <w:adjustRightInd w:val="0"/>
        <w:snapToGrid w:val="0"/>
        <w:spacing w:beforeAutospacing="0" w:afterAutospacing="0" w:line="560" w:lineRule="exact"/>
        <w:ind w:left="0" w:leftChars="0" w:right="640" w:rightChars="200"/>
        <w:jc w:val="left"/>
        <w:textAlignment w:val="auto"/>
        <w:outlineLvl w:val="9"/>
        <w:rPr>
          <w:rFonts w:hint="eastAsia" w:ascii="宋体" w:hAnsi="宋体" w:eastAsia="宋体" w:cs="宋体"/>
          <w:bCs/>
          <w:sz w:val="32"/>
          <w:szCs w:val="32"/>
        </w:rPr>
      </w:pPr>
    </w:p>
    <w:p>
      <w:pPr>
        <w:widowControl w:val="0"/>
        <w:wordWrap/>
        <w:overflowPunct w:val="0"/>
        <w:spacing w:beforeAutospacing="0" w:afterAutospacing="0" w:line="560" w:lineRule="exact"/>
        <w:ind w:left="0" w:leftChars="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第一章  总则</w:t>
      </w:r>
    </w:p>
    <w:p>
      <w:pPr>
        <w:widowControl w:val="0"/>
        <w:wordWrap/>
        <w:overflowPunct w:val="0"/>
        <w:spacing w:beforeAutospacing="0" w:afterAutospacing="0" w:line="560" w:lineRule="exact"/>
        <w:ind w:left="0" w:leftChars="0"/>
        <w:jc w:val="center"/>
        <w:textAlignment w:val="auto"/>
        <w:outlineLvl w:val="9"/>
        <w:rPr>
          <w:rFonts w:hint="eastAsia" w:ascii="宋体" w:hAnsi="宋体" w:eastAsia="宋体" w:cs="宋体"/>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第一条</w:t>
      </w:r>
      <w:r>
        <w:rPr>
          <w:rFonts w:hint="eastAsia" w:ascii="宋体" w:hAnsi="宋体" w:eastAsia="仿宋_GB2312" w:cs="仿宋_GB2312"/>
          <w:b w:val="0"/>
          <w:bCs w:val="0"/>
          <w:sz w:val="32"/>
          <w:szCs w:val="32"/>
        </w:rPr>
        <w:t xml:space="preserve">  为了保证食品安全，保障公众身体健康和生命安全，根据《中华人民共和国食品安全法》、《中华人民共和国农产品质量安全法》和《中华人民共和国食品安全法实施条例》等有关法律、行政法规，结合本省实际，制定本条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第二条</w:t>
      </w:r>
      <w:r>
        <w:rPr>
          <w:rFonts w:hint="eastAsia" w:ascii="宋体" w:hAnsi="宋体" w:eastAsia="仿宋_GB2312" w:cs="仿宋_GB2312"/>
          <w:b w:val="0"/>
          <w:bCs w:val="0"/>
          <w:sz w:val="32"/>
          <w:szCs w:val="32"/>
        </w:rPr>
        <w:t xml:space="preserve">  本条例适用于在本省行政区域内的食品、食品添加剂和食品相关产品的生产经营和安全管理，食品添加剂、食品相关产品的使用，食品的贮存和运输，以及食用农产品的市场销售等活动。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第三条</w:t>
      </w:r>
      <w:r>
        <w:rPr>
          <w:rFonts w:hint="eastAsia" w:ascii="宋体" w:hAnsi="宋体" w:eastAsia="仿宋_GB2312" w:cs="仿宋_GB2312"/>
          <w:b w:val="0"/>
          <w:bCs w:val="0"/>
          <w:sz w:val="32"/>
          <w:szCs w:val="32"/>
        </w:rPr>
        <w:t xml:space="preserve">  食品生产经营者对其生产经营食品的安全负责。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食用农产品销售者对其销售食用农产品的质量安全负责。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第四条</w:t>
      </w:r>
      <w:r>
        <w:rPr>
          <w:rFonts w:hint="eastAsia" w:ascii="宋体" w:hAnsi="宋体" w:eastAsia="仿宋_GB2312" w:cs="仿宋_GB2312"/>
          <w:b w:val="0"/>
          <w:bCs w:val="0"/>
          <w:sz w:val="32"/>
          <w:szCs w:val="32"/>
        </w:rPr>
        <w:t xml:space="preserve">  县级以上人民政府对本行政区域的食品安全监督管理工作负责，统一领导、组织、协调本行政区域的食品安全监督管理工作以及食品安全突发事件应对工作，建立健全食品安全监督管理协调机制，落实食品安全监督管理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第五条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部门负责本行政区域内食品生产经营活动的监督管理。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县级以上人民政府卫生、农业、林业、城市管理、公安，以及海关等有关部门，应当在各自职责范围内负责本行政区域的食品安全监督管理工作。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县级或者不设区的地级市人民政府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部门可以在乡镇、街道或者特定区域设立派出机构。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第六条</w:t>
      </w:r>
      <w:r>
        <w:rPr>
          <w:rFonts w:hint="eastAsia" w:ascii="宋体" w:hAnsi="宋体" w:eastAsia="仿宋_GB2312" w:cs="仿宋_GB2312"/>
          <w:b w:val="0"/>
          <w:bCs w:val="0"/>
          <w:sz w:val="32"/>
          <w:szCs w:val="32"/>
        </w:rPr>
        <w:t xml:space="preserve">  乡镇人民政府和街道办事处负责本辖区的食品安全隐患排查、信息报告、协助执法、宣传引导等相关工作，确定食品安全协管员、信息员，协助</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部门做好食品安全工作。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第七条</w:t>
      </w:r>
      <w:r>
        <w:rPr>
          <w:rFonts w:hint="eastAsia" w:ascii="宋体" w:hAnsi="宋体" w:eastAsia="仿宋_GB2312" w:cs="仿宋_GB2312"/>
          <w:b w:val="0"/>
          <w:bCs w:val="0"/>
          <w:sz w:val="32"/>
          <w:szCs w:val="32"/>
        </w:rPr>
        <w:t xml:space="preserve">  各级人民政府及其有关行政管理部门应当加强食品安全法律、法规和食品安全知识的宣传教育。</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新闻媒体应当加强对食品安全法律、法规以及食品安全标准和知识的公益宣传，对食品安全进行舆论监督。有关食品安全的宣传报道应当客观、真实、公正。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第八条</w:t>
      </w:r>
      <w:r>
        <w:rPr>
          <w:rFonts w:hint="eastAsia" w:ascii="宋体" w:hAnsi="宋体" w:eastAsia="仿宋_GB2312" w:cs="仿宋_GB2312"/>
          <w:b w:val="0"/>
          <w:bCs w:val="0"/>
          <w:sz w:val="32"/>
          <w:szCs w:val="32"/>
        </w:rPr>
        <w:t xml:space="preserve">  消费者协会和其他消费者组织应当依法维护消费者在食品安全方面的合法权益。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食品行业协会应当建立行业规范，组织开展行业诚信建设，加强行业自律管理，指导、规范和督促会员依法进行生产经营。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鼓励志愿者组织协助或者参与食品安全宣传教育、社会监督等工作。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第九条</w:t>
      </w:r>
      <w:r>
        <w:rPr>
          <w:rFonts w:hint="eastAsia" w:ascii="宋体" w:hAnsi="宋体" w:eastAsia="仿宋_GB2312" w:cs="仿宋_GB2312"/>
          <w:b w:val="0"/>
          <w:bCs w:val="0"/>
          <w:sz w:val="32"/>
          <w:szCs w:val="32"/>
        </w:rPr>
        <w:t xml:space="preserve">  上级人民政府应当对下一级人民政府的食品安全监督管理工作进行评议、考核。县级以上人民政府应当对本级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部门和其他有关部门的食品安全监督管理工作进行评议、考核。</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建立组织专业机构、社会组织、公众参与食品安全监管评议、考核工作机制。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第十条</w:t>
      </w:r>
      <w:r>
        <w:rPr>
          <w:rFonts w:hint="eastAsia" w:ascii="宋体" w:hAnsi="宋体" w:eastAsia="仿宋_GB2312" w:cs="仿宋_GB2312"/>
          <w:b w:val="0"/>
          <w:bCs w:val="0"/>
          <w:sz w:val="32"/>
          <w:szCs w:val="32"/>
        </w:rPr>
        <w:t xml:space="preserve">  任何组织或者个人有权举报食品生产经营违法行为。对查证属实的举报，县级以上人民政府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部门和其他有关部门应当给予举报人奖励，并对举报人的身份信息予以保密；举报人举报所在单位的，应当给予特殊奖励。</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第十一条</w:t>
      </w:r>
      <w:r>
        <w:rPr>
          <w:rFonts w:hint="eastAsia" w:ascii="宋体" w:hAnsi="宋体" w:eastAsia="仿宋_GB2312" w:cs="仿宋_GB2312"/>
          <w:b w:val="0"/>
          <w:bCs w:val="0"/>
          <w:sz w:val="32"/>
          <w:szCs w:val="32"/>
        </w:rPr>
        <w:t xml:space="preserve">  县级以上人民政府应当对在食品安全风险监测评估、标准制定、监督检查、突发事件应对、案件查处以及科学研究、宣传教育、社会共治等工作中做出突出贡献的单位和个人，给予表彰、奖励。</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第二章  食品生产经营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第一节  生产经营规范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第十二条</w:t>
      </w:r>
      <w:r>
        <w:rPr>
          <w:rFonts w:hint="eastAsia" w:ascii="宋体" w:hAnsi="宋体" w:eastAsia="仿宋_GB2312" w:cs="仿宋_GB2312"/>
          <w:b w:val="0"/>
          <w:bCs w:val="0"/>
          <w:sz w:val="32"/>
          <w:szCs w:val="32"/>
        </w:rPr>
        <w:t xml:space="preserve">  从事食品生产经营应当依法取得许可，并按照许可范围依法生产经营。许可证明文件应当悬挂在其生产经营场所的显著位置。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设有网站的食品生产经营者应当在网站首页显著位置公开其许可证、产品注册或者备案凭证等信息。公开的信息应当真实、合法、及时、有效。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第十三条</w:t>
      </w:r>
      <w:r>
        <w:rPr>
          <w:rFonts w:hint="eastAsia" w:ascii="宋体" w:hAnsi="宋体" w:eastAsia="仿宋_GB2312" w:cs="仿宋_GB2312"/>
          <w:b w:val="0"/>
          <w:bCs w:val="0"/>
          <w:sz w:val="32"/>
          <w:szCs w:val="32"/>
        </w:rPr>
        <w:t xml:space="preserve">  食品生产经营企业应当建立健全食品安全管理制度，明确食品安全责任，配备与其生产经营规模相适应的食品安全专业技术人员、食品安全管理人员。食品安全专业技术人员和管理人员的配备要求由省人民政府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部门统一规定。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食品生产经营者应当对食品从业人员开展食品安全知识培训，建立培训档案。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第十四条</w:t>
      </w:r>
      <w:r>
        <w:rPr>
          <w:rFonts w:hint="eastAsia" w:ascii="宋体" w:hAnsi="宋体" w:eastAsia="仿宋_GB2312" w:cs="仿宋_GB2312"/>
          <w:b w:val="0"/>
          <w:bCs w:val="0"/>
          <w:sz w:val="32"/>
          <w:szCs w:val="32"/>
        </w:rPr>
        <w:t xml:space="preserve">  食品经营者不得销售未取得食品生产许可或者食品小作坊登记证的食品生产者生产的食品。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第十五条</w:t>
      </w:r>
      <w:r>
        <w:rPr>
          <w:rFonts w:hint="eastAsia" w:ascii="宋体" w:hAnsi="宋体" w:eastAsia="仿宋_GB2312" w:cs="仿宋_GB2312"/>
          <w:b w:val="0"/>
          <w:bCs w:val="0"/>
          <w:sz w:val="32"/>
          <w:szCs w:val="32"/>
        </w:rPr>
        <w:t xml:space="preserve">  食品经营企业应当建立食品进货查验记录制度。实行统一配送经营方式的食品经营企业，其各门店应当建立总部配送食品台账，并可以现场提供企业总部留存的食品供货商的资质证明、食品合格证明文件等资料。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第十六条</w:t>
      </w:r>
      <w:r>
        <w:rPr>
          <w:rFonts w:hint="eastAsia" w:ascii="宋体" w:hAnsi="宋体" w:eastAsia="仿宋_GB2312" w:cs="仿宋_GB2312"/>
          <w:b w:val="0"/>
          <w:bCs w:val="0"/>
          <w:sz w:val="32"/>
          <w:szCs w:val="32"/>
        </w:rPr>
        <w:t xml:space="preserve">  食品经营者运输、配送食品的容器、工具和设备应当符合卫生要求，配备与销售食品相适应的保温设施，符合保证食品安全所需要的温度、湿度和环境等特殊要求。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第十七条</w:t>
      </w:r>
      <w:r>
        <w:rPr>
          <w:rFonts w:hint="eastAsia" w:ascii="宋体" w:hAnsi="宋体" w:eastAsia="仿宋_GB2312" w:cs="仿宋_GB2312"/>
          <w:b w:val="0"/>
          <w:bCs w:val="0"/>
          <w:sz w:val="32"/>
          <w:szCs w:val="32"/>
        </w:rPr>
        <w:t xml:space="preserve">  食品经营者销售散装食品，应当在销售位置以及外包装或者容器上标注食品的名称、生产日期或者生产批号、保质期以及生产经营者的名称、地址、联系方式等内容。散装食品标注的生产日期应当与食品出厂时标注的生产日期相一致。</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食品经营者经营散装食品，应当设立专区或者专柜；经营直接入口的散装食品，应当采取防尘遮盖、设置隔离设施、提供专用取用工具等保证散装食品安全的措施。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第十八条</w:t>
      </w:r>
      <w:r>
        <w:rPr>
          <w:rFonts w:hint="eastAsia" w:ascii="宋体" w:hAnsi="宋体" w:eastAsia="仿宋_GB2312" w:cs="仿宋_GB2312"/>
          <w:b w:val="0"/>
          <w:bCs w:val="0"/>
          <w:sz w:val="32"/>
          <w:szCs w:val="32"/>
        </w:rPr>
        <w:t xml:space="preserve">  委托生产食品的，应当委托依法取得生产该类食品生产许可的企业，双方应当签订协议，明确委托生产食品的相关要求和双方的权利义务。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委托方对委托生产的食品安全承担法律责任，受托方应当查验委托方的营业执照等相关证明文件，并按照食品安全标准组织生产。</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委托生产的食品，其包装上应当标注委托方的名称、地址和受托方的名称、地址、生产许可证编号等内容。</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第十九条</w:t>
      </w:r>
      <w:r>
        <w:rPr>
          <w:rFonts w:hint="eastAsia" w:ascii="宋体" w:hAnsi="宋体" w:eastAsia="仿宋_GB2312" w:cs="仿宋_GB2312"/>
          <w:b w:val="0"/>
          <w:bCs w:val="0"/>
          <w:sz w:val="32"/>
          <w:szCs w:val="32"/>
        </w:rPr>
        <w:t xml:space="preserve">  食品生产者取得食品生产许可后，食品生产工艺设备布局和工艺流程、主要生产设备设施、食品类别等事项发生重大变化的，应当在变化之日起十个工作日内向原发证</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部门报告，需要变更食品生产许可证载明的许可事项的，应当同时提出相应的变更申请。</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第二十条</w:t>
      </w:r>
      <w:r>
        <w:rPr>
          <w:rFonts w:hint="eastAsia" w:ascii="宋体" w:hAnsi="宋体" w:eastAsia="仿宋_GB2312" w:cs="仿宋_GB2312"/>
          <w:b w:val="0"/>
          <w:bCs w:val="0"/>
          <w:sz w:val="32"/>
          <w:szCs w:val="32"/>
        </w:rPr>
        <w:t xml:space="preserve">  集中交易市场的开办者、柜台出租者和展销会举办者或者其服务管理机构应当具备相应的食品安全设备、设施，合理划定功能区域，保持场内环境整洁，并在场内的显著位置设立食品安全公示牌。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第二十一条</w:t>
      </w:r>
      <w:r>
        <w:rPr>
          <w:rFonts w:hint="eastAsia" w:ascii="宋体" w:hAnsi="宋体" w:eastAsia="仿宋_GB2312" w:cs="仿宋_GB2312"/>
          <w:b w:val="0"/>
          <w:bCs w:val="0"/>
          <w:sz w:val="32"/>
          <w:szCs w:val="32"/>
        </w:rPr>
        <w:t xml:space="preserve">  食用农产品批发市场应当配备检验设备和检验人员，设立检验机构或者委托具有法定资质的检验机构，对进入该批发市场销售的食用农产品进行抽样检验，也可以采用国家规定的快速检测方法进行抽查检测。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用农产品批发市场应当要求食用农产品销售者提供产地证明或者购货凭证、合格证明文件；食用农产品销售者无法提供的，应当向市场开办者或者管理者申请抽样检验或者快速检测，检验或者检测结果不合格的不得进入市场销售，市场开办者或者管理者应当及时处理，并报告所在地县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食用农产品批发市场应当在市场内显著位置设置信息公示栏，公开管理职责，公布食用农产品安全管理制度，及时公示抽样检验检测结果等安全信息，并将检验或者快速检测结果报送当地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鼓励其他市场建立与其交易规模相适应的食用农产品安全检测制度，开展食用农产品抽样检验。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第二十二条</w:t>
      </w:r>
      <w:r>
        <w:rPr>
          <w:rFonts w:hint="eastAsia" w:ascii="宋体" w:hAnsi="宋体" w:eastAsia="仿宋_GB2312" w:cs="仿宋_GB2312"/>
          <w:b w:val="0"/>
          <w:bCs w:val="0"/>
          <w:sz w:val="32"/>
          <w:szCs w:val="32"/>
        </w:rPr>
        <w:t xml:space="preserve">  生产保健食品、特殊医学用途配方食品、婴幼儿配方食品和其他专供特定人群的主辅食品等特殊食品的企业，应当按照良好生产规范的要求建立与所生产食品相适应的生产质量管理体系，每年对该体系的运行情况进行自查，保证其有效运行，并向所在地县级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部门提交自查报告。</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从事销售保健食品、特殊医学用途配方食品和婴幼儿配方食品的经营者，应当查验并核对所经营食品的注册证书或者备案凭证载明的内容与产品标签标注内容的一致性。</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从事销售保健食品、特殊医学用途配方食品和婴幼儿配方食品的经营者，应当在其销售场所设立专柜或者专区，设置相关食品的提示牌，并根据食品标签、说明书标注的贮藏方法存放相关食品。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第二十三条</w:t>
      </w:r>
      <w:r>
        <w:rPr>
          <w:rFonts w:hint="eastAsia" w:ascii="宋体" w:hAnsi="宋体" w:eastAsia="仿宋_GB2312" w:cs="仿宋_GB2312"/>
          <w:b w:val="0"/>
          <w:bCs w:val="0"/>
          <w:sz w:val="32"/>
          <w:szCs w:val="32"/>
        </w:rPr>
        <w:t xml:space="preserve">  从事销售进口食品、食品添加剂、食品相关产品的经营者应当查验所经营的进口食品、食品添加剂、食品相关产品的入境货物检验检疫证明，核对产品名称及生产批号、生产日期与入境货物检验检疫证明的一致性。</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第二节  网络食品经营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第二十四条</w:t>
      </w:r>
      <w:r>
        <w:rPr>
          <w:rFonts w:hint="eastAsia" w:ascii="宋体" w:hAnsi="宋体" w:eastAsia="仿宋_GB2312" w:cs="仿宋_GB2312"/>
          <w:b w:val="0"/>
          <w:bCs w:val="0"/>
          <w:sz w:val="32"/>
          <w:szCs w:val="32"/>
        </w:rPr>
        <w:t xml:space="preserve">  网络食品经营者应当依法取得食品经营许可或者备案凭证，并在其网站首页或者销售产品页面的显著位置公开其许可证或者备案信息。许可证、备案信息发生变更的，网络食品经营者应当及时更新。</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第二十五条</w:t>
      </w:r>
      <w:r>
        <w:rPr>
          <w:rFonts w:hint="eastAsia" w:ascii="宋体" w:hAnsi="宋体" w:eastAsia="仿宋_GB2312" w:cs="仿宋_GB2312"/>
          <w:b w:val="0"/>
          <w:bCs w:val="0"/>
          <w:sz w:val="32"/>
          <w:szCs w:val="32"/>
        </w:rPr>
        <w:t xml:space="preserve">  网络食品经营者、网络食用农产品销售者应当建立电子进货查验台账和销售记录，记录和凭证的保存应当符合法定期限。</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第二十六条</w:t>
      </w:r>
      <w:r>
        <w:rPr>
          <w:rFonts w:hint="eastAsia" w:ascii="宋体" w:hAnsi="宋体" w:eastAsia="仿宋_GB2312" w:cs="仿宋_GB2312"/>
          <w:b w:val="0"/>
          <w:bCs w:val="0"/>
          <w:sz w:val="32"/>
          <w:szCs w:val="32"/>
        </w:rPr>
        <w:t xml:space="preserve">  网络食品交易平台提供者应当对申请进入平台的食品生产经营者实行实名登记和资质审查，建立登记档案并及时核实更新，要求其在所从事经营活动的主页面显著位置公开营业执照与许可证、备案凭证登载的信息；平台提供者应当与网络食品经营者签订食品安全管理责任协议，明确各自的食品安全管理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网络食品交易平台不得向未取得许可证或者备案凭证的食品生产经营者提供服务。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第二十七条</w:t>
      </w:r>
      <w:r>
        <w:rPr>
          <w:rFonts w:hint="eastAsia" w:ascii="宋体" w:hAnsi="宋体" w:eastAsia="仿宋_GB2312" w:cs="仿宋_GB2312"/>
          <w:b w:val="0"/>
          <w:bCs w:val="0"/>
          <w:sz w:val="32"/>
          <w:szCs w:val="32"/>
        </w:rPr>
        <w:t xml:space="preserve">  餐饮服务提供者通过网络向消费者销售食品的，应当在容器或者包装上标注制作时间、保质期或者食用时间提示、经营者名称和联系方式等信息。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第三节  餐饮服务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第二十八条</w:t>
      </w:r>
      <w:r>
        <w:rPr>
          <w:rFonts w:hint="eastAsia" w:ascii="宋体" w:hAnsi="宋体" w:eastAsia="仿宋_GB2312" w:cs="仿宋_GB2312"/>
          <w:b w:val="0"/>
          <w:bCs w:val="0"/>
          <w:sz w:val="32"/>
          <w:szCs w:val="32"/>
        </w:rPr>
        <w:t xml:space="preserve">  餐饮服务企业采购食品、食品添加剂、食品相关产品的，应当查验、索取并留存供货者的许可证照、产品合格证明等文件和每笔供货清单，按照采购品种、进货时间先后顺序建立采购记录，并保存相关凭证。记录、票据的保存期限不得少于食品保质期满后六个月。其他餐饮服务提供者相关采购记录、凭证的保存期限不得少于三个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餐饮服务提供者购置、使用集中消毒服务单位供应的餐具、饮具的，应当索取并留存集中消毒服务单位的资质证明与餐具、饮具消毒合格证明、每笔采购清单。相关证明和采购清单的保存期限不得少于三个月。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第二十九条</w:t>
      </w:r>
      <w:r>
        <w:rPr>
          <w:rFonts w:hint="eastAsia" w:ascii="宋体" w:hAnsi="宋体" w:eastAsia="仿宋_GB2312" w:cs="仿宋_GB2312"/>
          <w:b w:val="0"/>
          <w:bCs w:val="0"/>
          <w:sz w:val="32"/>
          <w:szCs w:val="32"/>
        </w:rPr>
        <w:t xml:space="preserve">  餐饮服务提供者使用食品添加剂应当确保安全无害，遵循不用或者少用的原则，在技术上确有必要时方可使用，不得超范围、超限量使用食品添加剂，且不得使用防腐剂、乳化剂、稳定剂等食品添加剂。</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餐饮服务提供者应当将食品添加剂存放于专用橱柜等设施中，标示“食品添加剂”字样，妥善保管，并建立使用台账。</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餐饮服务中允许使用的食品添加剂的品种和用量由省人民政府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部门会同省人民政府卫生行政部门制定、公布并适时调整。</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第三十条</w:t>
      </w:r>
      <w:r>
        <w:rPr>
          <w:rFonts w:hint="eastAsia" w:ascii="宋体" w:hAnsi="宋体" w:eastAsia="仿宋_GB2312" w:cs="仿宋_GB2312"/>
          <w:b w:val="0"/>
          <w:bCs w:val="0"/>
          <w:sz w:val="32"/>
          <w:szCs w:val="32"/>
        </w:rPr>
        <w:t xml:space="preserve">  尊重传统饮食文化习惯，地方特色餐饮食品传统使用的中药材品种由省人民政府卫生行政部门会同省人民政府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部门收集、整理并公布。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sz w:val="32"/>
          <w:szCs w:val="32"/>
        </w:rPr>
        <w:t>第三十一条</w:t>
      </w:r>
      <w:r>
        <w:rPr>
          <w:rFonts w:hint="eastAsia" w:ascii="宋体" w:hAnsi="宋体" w:eastAsia="仿宋_GB2312" w:cs="仿宋_GB2312"/>
          <w:b w:val="0"/>
          <w:bCs w:val="0"/>
          <w:sz w:val="32"/>
          <w:szCs w:val="32"/>
        </w:rPr>
        <w:t xml:space="preserve">  建立餐饮服务食品安全等级评定制度。餐饮服务食品安全等级评定管理规定由省人民政府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部门制定。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餐饮服务提供者应当在经营场所显著位置公示等级评定结果，接受社会监督。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r>
        <w:rPr>
          <w:rFonts w:hint="eastAsia" w:ascii="宋体" w:hAnsi="宋体" w:eastAsia="黑体" w:cs="黑体"/>
          <w:b w:val="0"/>
          <w:bCs/>
          <w:sz w:val="32"/>
          <w:szCs w:val="32"/>
        </w:rPr>
        <w:t>第三十二条</w:t>
      </w:r>
      <w:r>
        <w:rPr>
          <w:rFonts w:hint="eastAsia" w:ascii="宋体" w:hAnsi="宋体" w:eastAsia="仿宋_GB2312" w:cs="仿宋_GB2312"/>
          <w:b w:val="0"/>
          <w:bCs w:val="0"/>
          <w:sz w:val="32"/>
          <w:szCs w:val="32"/>
        </w:rPr>
        <w:t xml:space="preserve">  餐饮服务提供者应当保障消费者对食品加工安全的知情权和监督权，通过设立透明式、开放式、视频监控式厨房或者参观通道等形式，向消费者展示食品加工制作关键过程，接受消费者监督。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第三章  食品安全保障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第一节  食品安全风险监测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第三十三条</w:t>
      </w:r>
      <w:r>
        <w:rPr>
          <w:rFonts w:hint="eastAsia" w:ascii="宋体" w:hAnsi="宋体" w:eastAsia="仿宋_GB2312" w:cs="仿宋_GB2312"/>
          <w:b w:val="0"/>
          <w:bCs w:val="0"/>
          <w:sz w:val="32"/>
          <w:szCs w:val="32"/>
        </w:rPr>
        <w:t xml:space="preserve">  省人民政府建立食品安全风险监测制度，对食源性疾病、食品污染以及食品中的有害因素进行监测。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省人民政府卫生行政部门会同</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等其他有关部门，根据国家食品安全风险监测计划，制定食品安全风险监测方案并组织实施。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各地级以上市人民政府应当根据省食品安全风险监测方案组织实施监测。</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 xml:space="preserve">第三十四条 </w:t>
      </w:r>
      <w:r>
        <w:rPr>
          <w:rFonts w:hint="eastAsia" w:ascii="宋体" w:hAnsi="宋体" w:eastAsia="仿宋_GB2312" w:cs="仿宋_GB2312"/>
          <w:b w:val="0"/>
          <w:bCs w:val="0"/>
          <w:sz w:val="32"/>
          <w:szCs w:val="32"/>
        </w:rPr>
        <w:t xml:space="preserve"> 承担食品安全风险监测工作的技术机构开展监测工作，当地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部门和其他有关部门应当给予必要的协助。采集的样品按照市场价格支付费用。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第三十五条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部门和其他有关部门应当及时相互通报食品及相关产品、食用农产品安全风险监测信息。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第三十六条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部门和其他有关部门应当根据食品安全风险监测、风险评估结果和食品安全监督管理信息，确定本行政区域的监督管理重点，依法制定相应的监督管理措施。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第二节  食品安全标准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第三十七条</w:t>
      </w:r>
      <w:r>
        <w:rPr>
          <w:rFonts w:hint="eastAsia" w:ascii="宋体" w:hAnsi="宋体" w:eastAsia="仿宋_GB2312" w:cs="仿宋_GB2312"/>
          <w:b w:val="0"/>
          <w:bCs w:val="0"/>
          <w:sz w:val="32"/>
          <w:szCs w:val="32"/>
        </w:rPr>
        <w:t xml:space="preserve">  省人民政府应当及时制定、完善食品安全地方标准。对没有食品安全国家标准的地方特色食品，省人民政府卫生行政部门应当及时制定食品安全地方标准并向社会公布。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第三十八条</w:t>
      </w:r>
      <w:r>
        <w:rPr>
          <w:rFonts w:hint="eastAsia" w:ascii="宋体" w:hAnsi="宋体" w:eastAsia="仿宋_GB2312" w:cs="仿宋_GB2312"/>
          <w:b w:val="0"/>
          <w:bCs w:val="0"/>
          <w:sz w:val="32"/>
          <w:szCs w:val="32"/>
        </w:rPr>
        <w:t xml:space="preserve">  省人民政府卫生行政部门应当公开征集食品安全地方标准制定、修订建议，组织开展地方标准制定、修订工作。任何组织或者个人可以向省人民政府卫生行政部门提出食品安全地方标准制定、修订的建议。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制定、修订食品安全地方标准应当以食品安全风险监测和评估结果为依据，并组织专家论证，公开征求意见，听取</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部门和其他有关部门、相关食品行业协会、企业、消费者组织及消费者意见。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第三节  食品检验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第三十九条</w:t>
      </w:r>
      <w:r>
        <w:rPr>
          <w:rFonts w:hint="eastAsia" w:ascii="宋体" w:hAnsi="宋体" w:eastAsia="仿宋_GB2312" w:cs="仿宋_GB2312"/>
          <w:b w:val="0"/>
          <w:bCs w:val="0"/>
          <w:sz w:val="32"/>
          <w:szCs w:val="32"/>
        </w:rPr>
        <w:t xml:space="preserve">  县级以上人民政府应当加强食品安全检验能力建设，整合食品检验资源，建立协调统一的适应区域性检验需求的食品安全检验体系，实现资源共享。</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鼓励取得资质认证的社会检验机构和高等学校、科研机构的检验机构提供食品检验服务。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部门可以委托具有法定资质的食品检验机构或者专业机构进行抽样工作。</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抽样工作人员应当严格按照操作规程抽取样品，并对抽样行为负责。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抽样过程中形成的文书、采集的影像资料以及检验结果可以作为监督管理依据。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第四十一条</w:t>
      </w:r>
      <w:r>
        <w:rPr>
          <w:rFonts w:hint="eastAsia" w:ascii="宋体" w:hAnsi="宋体" w:eastAsia="仿宋_GB2312" w:cs="仿宋_GB2312"/>
          <w:b w:val="0"/>
          <w:bCs w:val="0"/>
          <w:sz w:val="32"/>
          <w:szCs w:val="32"/>
        </w:rPr>
        <w:t xml:space="preserve">  食品安全检验机构应当加强对检验工作的人员的培训，保证检验工作的质量，对出具的食品检验报告负责。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第四十二条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部门可以对承担食品安全检验的机构进行监督评价，发现存在检验能力缺陷或者有重大检验质量问题的，应当及时通报授予其资质的主管部门或者机构依法处理。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val="0"/>
          <w:sz w:val="32"/>
          <w:szCs w:val="32"/>
          <w:lang w:val="en-US" w:eastAsia="zh-CN"/>
        </w:rPr>
      </w:pPr>
      <w:r>
        <w:rPr>
          <w:rFonts w:hint="eastAsia" w:ascii="宋体" w:hAnsi="宋体" w:eastAsia="黑体" w:cs="黑体"/>
          <w:b w:val="0"/>
          <w:bCs w:val="0"/>
          <w:sz w:val="32"/>
          <w:szCs w:val="32"/>
          <w:lang w:val="en-US" w:eastAsia="zh-CN"/>
        </w:rPr>
        <w:t>第四节  食品追溯</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第四十三条</w:t>
      </w:r>
      <w:r>
        <w:rPr>
          <w:rFonts w:hint="eastAsia" w:ascii="宋体" w:hAnsi="宋体" w:eastAsia="仿宋_GB2312" w:cs="仿宋_GB2312"/>
          <w:b w:val="0"/>
          <w:bCs w:val="0"/>
          <w:sz w:val="32"/>
          <w:szCs w:val="32"/>
        </w:rPr>
        <w:t xml:space="preserve">  食品生产经营企业应当保障食品可追溯，记录和保存进货、生产、加工、包装、运输、贮存、销售、检验、召回和停止经营等信息，记录信息应当真实、准确、完整。</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食品生产经营者可以采用电子台账方式建立食品安全追溯体系。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第四十四条</w:t>
      </w:r>
      <w:r>
        <w:rPr>
          <w:rFonts w:hint="eastAsia" w:ascii="宋体" w:hAnsi="宋体" w:eastAsia="仿宋_GB2312" w:cs="仿宋_GB2312"/>
          <w:b w:val="0"/>
          <w:bCs w:val="0"/>
          <w:sz w:val="32"/>
          <w:szCs w:val="32"/>
        </w:rPr>
        <w:t xml:space="preserve">  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其他有关部门建立食品和食用农产品全程追溯协作机制，建设统一的重点监管食品全过程电子追溯系统，制定食品电子追溯标准和规范，确定并逐步扩大纳入省重点监管食品电子追溯系统的具体品种，并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第四十五条</w:t>
      </w:r>
      <w:r>
        <w:rPr>
          <w:rFonts w:hint="eastAsia" w:ascii="宋体" w:hAnsi="宋体" w:eastAsia="仿宋_GB2312" w:cs="仿宋_GB2312"/>
          <w:b w:val="0"/>
          <w:bCs w:val="0"/>
          <w:sz w:val="32"/>
          <w:szCs w:val="32"/>
        </w:rPr>
        <w:t xml:space="preserve">  纳入省重点监管食品电子追溯系统的食品生产经营企业，应当按照食品电子追溯的标准和规范，建立完善企业内部电子追溯体系，并向省重点监管食品电子追溯系统报送数据。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第四十六条</w:t>
      </w:r>
      <w:r>
        <w:rPr>
          <w:rFonts w:hint="eastAsia" w:ascii="宋体" w:hAnsi="宋体" w:eastAsia="仿宋_GB2312" w:cs="仿宋_GB2312"/>
          <w:b w:val="0"/>
          <w:bCs w:val="0"/>
          <w:sz w:val="32"/>
          <w:szCs w:val="32"/>
        </w:rPr>
        <w:t xml:space="preserve">  上传至省重点监管食品电子追溯系统的相关电子凭证，可以作为食品生产经营者已经履行进货查验记录的凭证。食品生产经营者应当对上传电子凭证的真实性负责。</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第四章  食品安全监督管理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第四十七条</w:t>
      </w:r>
      <w:r>
        <w:rPr>
          <w:rFonts w:hint="eastAsia" w:ascii="宋体" w:hAnsi="宋体" w:eastAsia="仿宋_GB2312" w:cs="仿宋_GB2312"/>
          <w:b w:val="0"/>
          <w:bCs w:val="0"/>
          <w:sz w:val="32"/>
          <w:szCs w:val="32"/>
        </w:rPr>
        <w:t xml:space="preserve">  县级以上人民政府应当建立健全食品安全信息通报和发布制度，完善食品安全信息管理工作机制。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部门和其他有关部门按照各自职责依法公布抽样检验结果、行政处罚情况等食品安全日常监督管理信息。涉及两个以上部门职责的，由相关部门联合公布。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第四十八条</w:t>
      </w:r>
      <w:r>
        <w:rPr>
          <w:rFonts w:hint="eastAsia" w:ascii="宋体" w:hAnsi="宋体" w:eastAsia="仿宋_GB2312" w:cs="仿宋_GB2312"/>
          <w:b w:val="0"/>
          <w:bCs w:val="0"/>
          <w:sz w:val="32"/>
          <w:szCs w:val="32"/>
        </w:rPr>
        <w:t xml:space="preserve">  县级以上人民政府应当完善部门间信息通报、信息共享、执法协作、联合惩戒等机制，构建食品安全全程监管工作机制。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第四十九条</w:t>
      </w:r>
      <w:r>
        <w:rPr>
          <w:rFonts w:hint="eastAsia" w:ascii="宋体" w:hAnsi="宋体" w:eastAsia="仿宋_GB2312" w:cs="仿宋_GB2312"/>
          <w:b w:val="0"/>
          <w:bCs w:val="0"/>
          <w:sz w:val="32"/>
          <w:szCs w:val="32"/>
        </w:rPr>
        <w:t xml:space="preserve">  食品生产经营者、食用农产品销售者、市场、网络食品交易平台等经营者有下列情形之一的，县级以上人民政府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部门或者其他有关部门可以对其法定代表人或者主要负责人进行责任约谈：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（一）发生食品安全问题，造成社会关注的；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（二）生产经营过程存在食品安全隐患，未及时采取有效措施消除的；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（三）未及时处理投诉举报的食品安全问题，造成社会影响的；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部门或者其他有关部门认为需要采取责任约谈的其他情形。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被约谈者无正当理由拒不参加约谈或者未按照要求落实整改的，</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部门或者其他有关部门应当将其列为重点监督管理对象，增加监督检查频次。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第五十条</w:t>
      </w:r>
      <w:r>
        <w:rPr>
          <w:rFonts w:hint="eastAsia" w:ascii="宋体" w:hAnsi="宋体" w:eastAsia="仿宋_GB2312" w:cs="仿宋_GB2312"/>
          <w:b w:val="0"/>
          <w:bCs w:val="0"/>
          <w:sz w:val="32"/>
          <w:szCs w:val="32"/>
        </w:rPr>
        <w:t xml:space="preserve">  县级以上人民政府未履行食品安全职责，未及时消除区域性重大食品安全隐患的，上级人民政府可以对其主要负责人进行责任约谈。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部门或者其他有关部门未及时发现食品安全系统性风险，未及时消除监督管理区域内的食品安全隐患的，本级人民政府可以对其主要负责人进行责任约谈。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第五十一条</w:t>
      </w:r>
      <w:r>
        <w:rPr>
          <w:rFonts w:hint="eastAsia" w:ascii="宋体" w:hAnsi="宋体" w:eastAsia="仿宋_GB2312" w:cs="仿宋_GB2312"/>
          <w:b w:val="0"/>
          <w:bCs w:val="0"/>
          <w:sz w:val="32"/>
          <w:szCs w:val="32"/>
        </w:rPr>
        <w:t xml:space="preserve">  县级以上</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对发生影响重大的食品安全事故或者情况紧急、可能引发突发事件的，应当采取责令暂停生产、销售、购进相关食品及原料，发布消费警示，告知消费者停止购买或者食用相关食品等控制措施，同时向上一级部门报告。必要时，经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等部门批准，可以对相关企业、区域生产的同类食品采取相应的临时控制措施。食品安全风险消除后应当解除控制措施并向社会公布。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第五十二条</w:t>
      </w:r>
      <w:r>
        <w:rPr>
          <w:rFonts w:hint="eastAsia" w:ascii="宋体" w:hAnsi="宋体" w:eastAsia="仿宋_GB2312" w:cs="仿宋_GB2312"/>
          <w:b w:val="0"/>
          <w:bCs w:val="0"/>
          <w:sz w:val="32"/>
          <w:szCs w:val="32"/>
        </w:rPr>
        <w:t xml:space="preserve">  发生影响重大的食品安全事故涉及到两个以上辖区的，由上一级人民政府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部门会同有关部门依法组织事故责任调查。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第五十三条</w:t>
      </w:r>
      <w:r>
        <w:rPr>
          <w:rFonts w:hint="eastAsia" w:ascii="宋体" w:hAnsi="宋体" w:eastAsia="仿宋_GB2312" w:cs="仿宋_GB2312"/>
          <w:b w:val="0"/>
          <w:bCs w:val="0"/>
          <w:sz w:val="32"/>
          <w:szCs w:val="32"/>
        </w:rPr>
        <w:t xml:space="preserve">  省、地级以上市人民政府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部门和其他有关部门可以组织下级监督管理部门在本行政区域内开展跨地区监督检查。</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省、地级以上市人民政府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部门可以直接查处下列由下级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部门管辖的食品安全违法案件，也可以指定其他地区</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部门查处，案件发生地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部门应当给予配合：</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（一）本行政区域的重大食品安全违法案件；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（二）跨行政区域的食品安全违法案件；</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（三）下级</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部门对重大食品安全违法案件或者跨行政区域食品安全违法案件不处理或者处理不力的；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（四）其他情形。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第五十四条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应当根据食品生产经营者信用状况、食品的风险程度对食品生产经营者实行分级分类或者积分管理，对有不良信用记录的、发生食品安全事故风险较高的食品生产经营者重点加强管理，增加监督检查频次。</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第五十五条</w:t>
      </w:r>
      <w:r>
        <w:rPr>
          <w:rFonts w:hint="eastAsia" w:ascii="宋体" w:hAnsi="宋体" w:eastAsia="仿宋_GB2312" w:cs="仿宋_GB2312"/>
          <w:b w:val="0"/>
          <w:bCs w:val="0"/>
          <w:sz w:val="32"/>
          <w:szCs w:val="32"/>
        </w:rPr>
        <w:t xml:space="preserve">  县级人民政府卫生行政部门应当对餐具、饮具集中消毒单位开展监督检查，发现不符合食品安全法律法规和相关卫生规范要求的，应当及时调查处理，并将监督检查结果向社会公布。</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第五十六条</w:t>
      </w:r>
      <w:r>
        <w:rPr>
          <w:rFonts w:hint="eastAsia" w:ascii="宋体" w:hAnsi="宋体" w:eastAsia="仿宋_GB2312" w:cs="仿宋_GB2312"/>
          <w:b w:val="0"/>
          <w:bCs w:val="0"/>
          <w:sz w:val="32"/>
          <w:szCs w:val="32"/>
        </w:rPr>
        <w:t xml:space="preserve">  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部门和其他有关部门发现无公害农产品、绿色食品、有机农产品、农产品地理标志产品虚假标注认证标志或者已不符合认证标准的，应当及时通报认证部门或者相关监管部门依法查处。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第五十七条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部门及其他有关部门、公安机关和检察机关应当加强食品犯罪案件的移送和办理工作，具体办法由省人民政府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部门会同省公安机关和省检察机关制定。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第五十八条</w:t>
      </w:r>
      <w:r>
        <w:rPr>
          <w:rFonts w:hint="eastAsia" w:ascii="宋体" w:hAnsi="宋体" w:eastAsia="仿宋_GB2312" w:cs="仿宋_GB2312"/>
          <w:b w:val="0"/>
          <w:bCs w:val="0"/>
          <w:sz w:val="32"/>
          <w:szCs w:val="32"/>
        </w:rPr>
        <w:t xml:space="preserve">  食品生产经营者因涉嫌食品安全违法行为被立案调查尚未结案的，</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部门可以暂停办理其与食品安全违法行为相关的行政许可申请事项。</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第五十九条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部门和其他有关部门对网络食品交易活动的监测记录资料，可以作为对违法网络交易经营者实施行政处罚或者采取行政强制措施的依据。</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第五章  法律责任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第六十条</w:t>
      </w:r>
      <w:r>
        <w:rPr>
          <w:rFonts w:hint="eastAsia" w:ascii="宋体" w:hAnsi="宋体" w:eastAsia="仿宋_GB2312" w:cs="仿宋_GB2312"/>
          <w:b w:val="0"/>
          <w:bCs w:val="0"/>
          <w:sz w:val="32"/>
          <w:szCs w:val="32"/>
        </w:rPr>
        <w:t xml:space="preserve">  违反本条例规定，未按照许可范围从事食品、食品添加剂生产、经营的，或者食品生产许可证载明事项需要变更但未按时提出变更申请，而继续从事生产活动的，由县级以上人民政府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没收违法所得和违法生产经营的食品、食品添加剂，并可以没收用于违法生产经营的工具、设备、原料等物品；违法生产的食品、食品添加剂货值金额不足一万元的，并处五万元以上十万元以下罚款，货值金额一万元以上的，并处货值金额十倍以上二十倍以下罚款；违法经营的食品、食品添加剂货值金额不足一万元的，并处五千元以上五万元以下罚款，货值金额一万元以上的，并处货值金额五倍以上十倍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第六十一条</w:t>
      </w:r>
      <w:r>
        <w:rPr>
          <w:rFonts w:hint="eastAsia" w:ascii="宋体" w:hAnsi="宋体" w:eastAsia="仿宋_GB2312" w:cs="仿宋_GB2312"/>
          <w:b w:val="0"/>
          <w:bCs w:val="0"/>
          <w:sz w:val="32"/>
          <w:szCs w:val="32"/>
        </w:rPr>
        <w:t xml:space="preserve">  违反本条例规定，设有网站的食品生产经营企业、网络食品经营者未在网站首页显著位置公开相关信息的，由县级以上人民政府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第六十二条</w:t>
      </w:r>
      <w:r>
        <w:rPr>
          <w:rFonts w:hint="eastAsia" w:ascii="宋体" w:hAnsi="宋体" w:eastAsia="仿宋_GB2312" w:cs="仿宋_GB2312"/>
          <w:b w:val="0"/>
          <w:bCs w:val="0"/>
          <w:sz w:val="32"/>
          <w:szCs w:val="32"/>
        </w:rPr>
        <w:t xml:space="preserve">  违反本条例规定，食品生产经营企业未建立健全食品安全管理制度的，或者未建立并遵守进货查验制度的，由县级以上人民政府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部门责令改正，给予警告；拒不改正的，处一万元以上五万元以下罚款；情节严重的，责令停产停业，直至吊销许可证。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第六十三条</w:t>
      </w:r>
      <w:r>
        <w:rPr>
          <w:rFonts w:hint="eastAsia" w:ascii="宋体" w:hAnsi="宋体" w:eastAsia="仿宋_GB2312" w:cs="仿宋_GB2312"/>
          <w:b w:val="0"/>
          <w:bCs w:val="0"/>
          <w:sz w:val="32"/>
          <w:szCs w:val="32"/>
        </w:rPr>
        <w:t xml:space="preserve">  违反本条例规定，食品生产经营者未按照卫生要求运输、配送食品，或者未配备与销售食品相适应的保温设施的，由县级以上人民政府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等部门按照各自职责分工责令改正，给予警告；拒不改正的，责令停产停业，并处一万元以上五万元以下罚款；情节严重的，吊销许可证。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第六十四条</w:t>
      </w:r>
      <w:r>
        <w:rPr>
          <w:rFonts w:hint="eastAsia" w:ascii="宋体" w:hAnsi="宋体" w:eastAsia="仿宋_GB2312" w:cs="仿宋_GB2312"/>
          <w:b w:val="0"/>
          <w:bCs w:val="0"/>
          <w:sz w:val="32"/>
          <w:szCs w:val="32"/>
        </w:rPr>
        <w:t xml:space="preserve">  违反本条例规定，食品经营者销售未取得食品生产许可证或者食品小作坊登记证的食品的，由县级以上人民政府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没收违法所得和违法生产经营的食品，并可以没收用于违法生产经营的工具、设备、原料等物品；违法生产经营的食品货值金额不足一万元的，并处五千元以上五万元以下罚款；货值金额一万元以上的，并处货值金额五倍以上十倍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生产经营的食品的标签、标识存在瑕疵但不影响食品安全且不会对消费者造成误导的，由县级以上人民政府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部门责令改正；拒不改正的，处二千元以下罚款。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第六十五条</w:t>
      </w:r>
      <w:r>
        <w:rPr>
          <w:rFonts w:hint="eastAsia" w:ascii="宋体" w:hAnsi="宋体" w:eastAsia="仿宋_GB2312" w:cs="仿宋_GB2312"/>
          <w:b w:val="0"/>
          <w:bCs w:val="0"/>
          <w:sz w:val="32"/>
          <w:szCs w:val="32"/>
        </w:rPr>
        <w:t xml:space="preserve">  违反本条例规定，食用农产品批发市场未开展食用农产品抽样检验工作的，由县级以上人民政府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部门责令改正，没收违法所得，并处五万元以上二十万元以下罚款；造成严重后果的，责令停业。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违反本条例规定，食用农产品批发市场未按规定将食用农产品抽样检验或者快速检测结果报送当地</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部门的，或者未进行抽样检验或者快速检测，允许无法提供食用农产品产地证明或者购物凭证、合格证明文件的食用农产品销售者入场销售的，由县级以上</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部门责令改正，给予警告；拒不改正的，处五千元以上三万元以下罚款。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第六十六条</w:t>
      </w:r>
      <w:r>
        <w:rPr>
          <w:rFonts w:hint="eastAsia" w:ascii="宋体" w:hAnsi="宋体" w:eastAsia="仿宋_GB2312" w:cs="仿宋_GB2312"/>
          <w:b w:val="0"/>
          <w:bCs w:val="0"/>
          <w:sz w:val="32"/>
          <w:szCs w:val="32"/>
        </w:rPr>
        <w:t xml:space="preserve">  违反本条例规定，特殊食品生产企业未按规定建立生产质量管理体系并有效运行，或者未定期提交自查报告的，特殊食品经营者未履行查验义务的，由县级以上人民政府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部门责令改正，给予警告；拒不改正的，处一万元以上五万元以下罚款；情节严重的，责令停产停业，直至吊销许可证。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第六十七条</w:t>
      </w:r>
      <w:r>
        <w:rPr>
          <w:rFonts w:hint="eastAsia" w:ascii="宋体" w:hAnsi="宋体" w:eastAsia="仿宋_GB2312" w:cs="仿宋_GB2312"/>
          <w:b w:val="0"/>
          <w:bCs w:val="0"/>
          <w:sz w:val="32"/>
          <w:szCs w:val="32"/>
        </w:rPr>
        <w:t xml:space="preserve">  违反本条例规定，特殊食品经营者未按规定设立专柜或者专区并用提示牌标明的，或者未按规定存放特殊食品的，由县级以上人民政府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部门责令限期改正，给予警告；拒不改正的，责令停业，并处一万元以上五万元以下罚款；情节严重的，吊销许可证。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第六十八条</w:t>
      </w:r>
      <w:r>
        <w:rPr>
          <w:rFonts w:hint="eastAsia" w:ascii="宋体" w:hAnsi="宋体" w:eastAsia="仿宋_GB2312" w:cs="仿宋_GB2312"/>
          <w:b w:val="0"/>
          <w:bCs w:val="0"/>
          <w:sz w:val="32"/>
          <w:szCs w:val="32"/>
        </w:rPr>
        <w:t xml:space="preserve">  违反本条例规定，进口食品、食品添加剂、食品相关产品的经营者未履行查验义务的，由县级以上人民政府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部门责令改正，给予警告；拒不改正的，处五千元以上五万元以下罚款；情节严重的，责令停业，直至吊销许可证。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第六十九条</w:t>
      </w:r>
      <w:r>
        <w:rPr>
          <w:rFonts w:hint="eastAsia" w:ascii="宋体" w:hAnsi="宋体" w:eastAsia="仿宋_GB2312" w:cs="仿宋_GB2312"/>
          <w:b w:val="0"/>
          <w:bCs w:val="0"/>
          <w:sz w:val="32"/>
          <w:szCs w:val="32"/>
        </w:rPr>
        <w:t xml:space="preserve">  违反本条例规定，网络食品经营者未建立电子进货查验记录台账和销售记录的，或者网络餐饮服务提供者未按照规定标注产品信息的，由县级以上人民政府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部门责令改正，给予警告；拒不改正的，处五千元以上五万元以下罚款；情节严重的，责令停业，直至吊销许可证。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第七十条</w:t>
      </w:r>
      <w:r>
        <w:rPr>
          <w:rFonts w:hint="eastAsia" w:ascii="宋体" w:hAnsi="宋体" w:eastAsia="仿宋_GB2312" w:cs="仿宋_GB2312"/>
          <w:b w:val="0"/>
          <w:bCs w:val="0"/>
          <w:sz w:val="32"/>
          <w:szCs w:val="32"/>
        </w:rPr>
        <w:t xml:space="preserve">  违反本条例规定，网络食品交易平台未履行管理义务的，由县级以上人民政府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部门责令改正，没收违法所得，并处五万元以上二十万元以下罚款；造成严重后果的，责令停业，直至由原发证部门吊销许可证；使消费者的合法权益受到损害的，应当与食品经营者承担连带责任。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第七十一条</w:t>
      </w:r>
      <w:r>
        <w:rPr>
          <w:rFonts w:hint="eastAsia" w:ascii="宋体" w:hAnsi="宋体" w:eastAsia="仿宋_GB2312" w:cs="仿宋_GB2312"/>
          <w:b w:val="0"/>
          <w:bCs w:val="0"/>
          <w:sz w:val="32"/>
          <w:szCs w:val="32"/>
        </w:rPr>
        <w:t xml:space="preserve">  违反本条例规定，餐饮服务提供者未按规定索证索票，或者未按规定公示等级评定结果的，纳入省重点监管食品电子追溯系统的食品生产经营企业未按规定传送数据的，或者上传虚假电子凭证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部门责令改正，给予警告；拒不改正的，处五千元以上五万元以下罚款；情节严重的，责令停产停业，直至吊销许可证。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第七十二条</w:t>
      </w:r>
      <w:r>
        <w:rPr>
          <w:rFonts w:hint="eastAsia" w:ascii="宋体" w:hAnsi="宋体" w:eastAsia="仿宋_GB2312" w:cs="仿宋_GB2312"/>
          <w:b w:val="0"/>
          <w:bCs w:val="0"/>
          <w:sz w:val="32"/>
          <w:szCs w:val="32"/>
        </w:rPr>
        <w:t xml:space="preserve">  违反本条例规定，餐饮服务提供者未按规定存放食品添加剂的，由县级以上人民政府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部门责令改正，给予警告；拒不改正的，处五千元以上五万元以下罚款。</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第七十三条</w:t>
      </w:r>
      <w:r>
        <w:rPr>
          <w:rFonts w:hint="eastAsia" w:ascii="宋体" w:hAnsi="宋体" w:eastAsia="仿宋_GB2312" w:cs="仿宋_GB2312"/>
          <w:b w:val="0"/>
          <w:bCs w:val="0"/>
          <w:sz w:val="32"/>
          <w:szCs w:val="32"/>
        </w:rPr>
        <w:t xml:space="preserve">  违反本条例规定，餐饮服务提供者超范围、超限量使用食品添加剂，尚未构成犯罪的，由县级以上人民政府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没收违法所得和违法经营的食品、食品添加剂，并可以没收用于违法经营的工具、设备、原料等物品；违法经营的食品、食品添加剂货值金额不足一万元的，并处五万元以上十万元以下罚款；货值金额一万元以上的，并处货值金额十倍以上二十倍以下罚款；情节严重的，吊销许可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第七十四条</w:t>
      </w:r>
      <w:r>
        <w:rPr>
          <w:rFonts w:hint="eastAsia" w:ascii="宋体" w:hAnsi="宋体" w:eastAsia="仿宋_GB2312" w:cs="仿宋_GB2312"/>
          <w:b w:val="0"/>
          <w:bCs w:val="0"/>
          <w:sz w:val="32"/>
          <w:szCs w:val="32"/>
        </w:rPr>
        <w:t xml:space="preserve">  食品生产经营者有下列情形之一的，依照法律、法规的规定从重处罚：</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（一）一年内所生产经营食品出现两次以上食品安全监督抽检不合格且危害人体健康、生命安全的；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（二）一年内因违反本条例规定累计受到三次处罚的；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（三）隐匿、伪造或者毁灭有关证据材料的；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（四）法律、法规规定的其他从重处罚的情形。</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第七十五条</w:t>
      </w:r>
      <w:r>
        <w:rPr>
          <w:rFonts w:hint="eastAsia" w:ascii="宋体" w:hAnsi="宋体" w:eastAsia="仿宋_GB2312" w:cs="仿宋_GB2312"/>
          <w:b w:val="0"/>
          <w:bCs w:val="0"/>
          <w:sz w:val="32"/>
          <w:szCs w:val="32"/>
        </w:rPr>
        <w:t xml:space="preserve">  县级以上人民政府不履行食品安全监督管理的领导、组织、协调职责，导致本行政区域内出现重大食品安全事故、造成严重影响的，对政府的主要负责人和直接负责的主管人员依法给予处分。</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第七十六条</w:t>
      </w:r>
      <w:r>
        <w:rPr>
          <w:rFonts w:hint="eastAsia" w:ascii="宋体" w:hAnsi="宋体" w:eastAsia="仿宋_GB2312" w:cs="仿宋_GB2312"/>
          <w:b w:val="0"/>
          <w:bCs w:val="0"/>
          <w:sz w:val="32"/>
          <w:szCs w:val="32"/>
        </w:rPr>
        <w:t xml:space="preserve">  违反本条例规定，县级以上人民政府</w:t>
      </w:r>
      <w:r>
        <w:rPr>
          <w:rFonts w:hint="eastAsia" w:ascii="宋体" w:hAnsi="宋体" w:eastAsia="仿宋_GB2312" w:cs="仿宋_GB2312"/>
          <w:b w:val="0"/>
          <w:bCs w:val="0"/>
          <w:sz w:val="32"/>
          <w:szCs w:val="32"/>
          <w:lang w:eastAsia="zh-CN"/>
        </w:rPr>
        <w:t>食品安全监督管理</w:t>
      </w:r>
      <w:r>
        <w:rPr>
          <w:rFonts w:hint="eastAsia" w:ascii="宋体" w:hAnsi="宋体" w:eastAsia="仿宋_GB2312" w:cs="仿宋_GB2312"/>
          <w:b w:val="0"/>
          <w:bCs w:val="0"/>
          <w:sz w:val="32"/>
          <w:szCs w:val="32"/>
        </w:rPr>
        <w:t>部门和其他有关部门有下列行为之一的，对直接负责的主管人员和其他直接责任人员给予记大过处分；情节较重的，给予降级或者撤职处分；情节严重的，给予开除处分；造成严重后果的，其主要负责人还应当引咎辞职：</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（一）实施监督检查时违反规定的；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（二）对违法行为不及时处理或者推诿，对重大食品安全隐患有失察责任的；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（三）发现食品安全事故、重大食品安全事故隐患或者接到相关通报、举报后，不立即采取控制措施，或者不及时报告、查处的；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（四）不按照规定履行食品安全信息报告、通报、发布职责的；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（五）监督检查时向食品生产经营者或者餐饮服务提供者收取费用，索取、收受财物或者获取其他利益的；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（六）泄露举报人身份信息的；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仿宋_GB2312" w:cs="仿宋_GB2312"/>
          <w:b w:val="0"/>
          <w:bCs w:val="0"/>
          <w:sz w:val="32"/>
          <w:szCs w:val="32"/>
        </w:rPr>
        <w:t>（七）其他玩忽职守、滥用职权、徇私舞弊行为的。</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r>
        <w:rPr>
          <w:rFonts w:hint="eastAsia" w:ascii="宋体" w:hAnsi="宋体" w:eastAsia="黑体" w:cs="黑体"/>
          <w:b w:val="0"/>
          <w:bCs w:val="0"/>
          <w:sz w:val="32"/>
          <w:szCs w:val="32"/>
        </w:rPr>
        <w:t>第七十七条</w:t>
      </w:r>
      <w:r>
        <w:rPr>
          <w:rFonts w:hint="eastAsia" w:ascii="宋体" w:hAnsi="宋体" w:eastAsia="仿宋_GB2312" w:cs="仿宋_GB2312"/>
          <w:b w:val="0"/>
          <w:bCs w:val="0"/>
          <w:sz w:val="32"/>
          <w:szCs w:val="32"/>
        </w:rPr>
        <w:t xml:space="preserve">  生产、销售不符合食品安全标准的食品，足以造成严重食物中毒事故或者其他严重食源性疾病，或者在食品中掺入有毒、有害非食品原料，销售明知掺入有毒、有害非食品原料的食品，依法追究刑事责任。</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黑体" w:cs="黑体"/>
          <w:b w:val="0"/>
          <w:bCs w:val="0"/>
          <w:sz w:val="32"/>
          <w:szCs w:val="32"/>
        </w:rPr>
      </w:pPr>
      <w:r>
        <w:rPr>
          <w:rFonts w:hint="eastAsia" w:ascii="宋体" w:hAnsi="宋体" w:eastAsia="黑体" w:cs="黑体"/>
          <w:b w:val="0"/>
          <w:bCs w:val="0"/>
          <w:sz w:val="32"/>
          <w:szCs w:val="32"/>
        </w:rPr>
        <w:t>第六章  附则</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b w:val="0"/>
          <w:bCs w:val="0"/>
          <w:sz w:val="32"/>
          <w:szCs w:val="32"/>
        </w:rPr>
      </w:pP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第七十八条</w:t>
      </w:r>
      <w:r>
        <w:rPr>
          <w:rFonts w:hint="eastAsia" w:ascii="宋体" w:hAnsi="宋体" w:eastAsia="仿宋_GB2312" w:cs="仿宋_GB2312"/>
          <w:b w:val="0"/>
          <w:bCs w:val="0"/>
          <w:sz w:val="32"/>
          <w:szCs w:val="32"/>
        </w:rPr>
        <w:t xml:space="preserve">  本条例所称食用农产品，是指来源于农业活动的初级产品，即在农业活动中获得的、供人食用的植物、动物、微生物及其产品。</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第七十九条</w:t>
      </w:r>
      <w:r>
        <w:rPr>
          <w:rFonts w:hint="eastAsia" w:ascii="宋体" w:hAnsi="宋体" w:eastAsia="仿宋_GB2312" w:cs="仿宋_GB2312"/>
          <w:b w:val="0"/>
          <w:bCs w:val="0"/>
          <w:sz w:val="32"/>
          <w:szCs w:val="32"/>
        </w:rPr>
        <w:t xml:space="preserve">  食品生产加工小作坊和食品摊贩应当遵守《广东省食品生产加工小作坊和食品摊贩管理条例》。小餐饮、小食杂店等小型食品经营者的行政许可与监督管理参照《广东省食品生产加工小作坊和食品摊贩管理条例》实施。</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仿宋_GB2312" w:cs="仿宋_GB2312"/>
          <w:b w:val="0"/>
          <w:bCs w:val="0"/>
          <w:sz w:val="32"/>
          <w:szCs w:val="32"/>
        </w:rPr>
      </w:pPr>
      <w:r>
        <w:rPr>
          <w:rFonts w:hint="eastAsia" w:ascii="宋体" w:hAnsi="宋体" w:eastAsia="黑体" w:cs="黑体"/>
          <w:b w:val="0"/>
          <w:bCs w:val="0"/>
          <w:sz w:val="32"/>
          <w:szCs w:val="32"/>
        </w:rPr>
        <w:t>第八十条</w:t>
      </w:r>
      <w:r>
        <w:rPr>
          <w:rFonts w:hint="eastAsia" w:ascii="宋体" w:hAnsi="宋体" w:eastAsia="仿宋_GB2312" w:cs="仿宋_GB2312"/>
          <w:b w:val="0"/>
          <w:bCs w:val="0"/>
          <w:sz w:val="32"/>
          <w:szCs w:val="32"/>
        </w:rPr>
        <w:t xml:space="preserve">  本条例自2016年9月1日起施行。</w:t>
      </w:r>
    </w:p>
    <w:p>
      <w:pPr>
        <w:widowControl w:val="0"/>
        <w:wordWrap/>
        <w:overflowPunct w:val="0"/>
        <w:spacing w:beforeAutospacing="0" w:afterAutospacing="0" w:line="560" w:lineRule="exact"/>
        <w:textAlignment w:val="auto"/>
        <w:rPr>
          <w:rFonts w:hint="eastAsia" w:ascii="宋体" w:hAnsi="宋体" w:eastAsia="仿宋_GB2312" w:cs="仿宋_GB2312"/>
          <w:sz w:val="32"/>
          <w:szCs w:val="32"/>
        </w:rPr>
      </w:pPr>
      <w:r>
        <w:rPr>
          <w:rFonts w:hint="eastAsia" w:ascii="宋体" w:hAnsi="宋体" w:eastAsia="仿宋_GB2312" w:cs="仿宋_GB2312"/>
          <w:sz w:val="32"/>
          <w:szCs w:val="32"/>
        </w:rPr>
        <w:br w:type="page"/>
      </w:r>
    </w:p>
    <w:p>
      <w:pPr>
        <w:widowControl w:val="0"/>
        <w:wordWrap/>
        <w:snapToGrid/>
        <w:spacing w:line="560" w:lineRule="exact"/>
        <w:ind w:left="0" w:leftChars="0" w:right="0" w:firstLine="0" w:firstLineChars="0"/>
        <w:jc w:val="center"/>
        <w:textAlignment w:val="auto"/>
        <w:outlineLvl w:val="0"/>
        <w:rPr>
          <w:rFonts w:hint="eastAsia" w:ascii="宋体" w:hAnsi="宋体" w:eastAsia="宋体" w:cs="宋体"/>
          <w:color w:val="auto"/>
          <w:sz w:val="44"/>
          <w:szCs w:val="44"/>
          <w:shd w:val="clear" w:color="auto" w:fill="FFFFFF"/>
          <w:lang w:eastAsia="zh-CN"/>
        </w:rPr>
      </w:pPr>
      <w:bookmarkStart w:id="472" w:name="_Toc1415"/>
      <w:r>
        <w:rPr>
          <w:rFonts w:hint="eastAsia" w:ascii="宋体" w:hAnsi="宋体" w:eastAsia="宋体" w:cs="宋体"/>
          <w:color w:val="auto"/>
          <w:sz w:val="44"/>
          <w:szCs w:val="44"/>
          <w:shd w:val="clear" w:color="auto" w:fill="FFFFFF"/>
        </w:rPr>
        <w:t>广东省</w:t>
      </w:r>
      <w:r>
        <w:rPr>
          <w:rFonts w:hint="eastAsia" w:ascii="宋体" w:hAnsi="宋体" w:eastAsia="宋体" w:cs="宋体"/>
          <w:color w:val="auto"/>
          <w:sz w:val="44"/>
          <w:szCs w:val="44"/>
          <w:shd w:val="clear" w:color="auto" w:fill="FFFFFF"/>
          <w:lang w:eastAsia="zh-CN"/>
        </w:rPr>
        <w:t>红十字会条例</w:t>
      </w:r>
      <w:bookmarkEnd w:id="472"/>
    </w:p>
    <w:p>
      <w:pPr>
        <w:widowControl w:val="0"/>
        <w:wordWrap/>
        <w:snapToGrid/>
        <w:spacing w:line="560" w:lineRule="exact"/>
        <w:ind w:left="0" w:leftChars="0" w:right="0"/>
        <w:jc w:val="center"/>
        <w:textAlignment w:val="auto"/>
        <w:rPr>
          <w:rFonts w:ascii="宋体" w:hAnsi="宋体" w:cs="仿宋_GB2312"/>
          <w:color w:val="auto"/>
          <w:szCs w:val="32"/>
          <w:shd w:val="clear" w:color="auto" w:fill="FFFFFF"/>
        </w:rPr>
      </w:pPr>
    </w:p>
    <w:p>
      <w:pPr>
        <w:widowControl w:val="0"/>
        <w:wordWrap/>
        <w:adjustRightInd w:val="0"/>
        <w:snapToGrid/>
        <w:spacing w:line="560" w:lineRule="exact"/>
        <w:ind w:left="640" w:leftChars="200" w:right="640" w:rightChars="200" w:firstLine="0" w:firstLineChars="0"/>
        <w:jc w:val="both"/>
        <w:textAlignment w:val="auto"/>
        <w:outlineLvl w:val="9"/>
        <w:rPr>
          <w:rFonts w:hint="eastAsia" w:ascii="宋体" w:hAnsi="宋体" w:eastAsia="楷体_GB2312" w:cs="楷体_GB2312"/>
          <w:sz w:val="32"/>
          <w:lang w:val="en-US" w:eastAsia="zh-CN"/>
        </w:rPr>
      </w:pPr>
      <w:r>
        <w:rPr>
          <w:rFonts w:hint="eastAsia" w:ascii="宋体" w:hAnsi="宋体" w:eastAsia="楷体_GB2312" w:cs="楷体_GB2312"/>
          <w:sz w:val="32"/>
          <w:lang w:val="en-US" w:eastAsia="zh-CN"/>
        </w:rPr>
        <w:t>（</w:t>
      </w:r>
      <w:r>
        <w:rPr>
          <w:rFonts w:hint="eastAsia" w:ascii="宋体" w:hAnsi="宋体" w:eastAsia="楷体_GB2312" w:cs="楷体_GB2312"/>
          <w:sz w:val="32"/>
          <w:szCs w:val="32"/>
        </w:rPr>
        <w:t>2005年12月2日广东省第十届人民代表大会常务委员会第二十一次会议通过</w:t>
      </w:r>
      <w:r>
        <w:rPr>
          <w:rFonts w:hint="eastAsia" w:ascii="宋体" w:hAnsi="宋体" w:eastAsia="楷体_GB2312" w:cs="楷体_GB2312"/>
          <w:sz w:val="32"/>
          <w:szCs w:val="32"/>
          <w:lang w:val="en-US" w:eastAsia="zh-CN"/>
        </w:rPr>
        <w:t xml:space="preserve">  </w:t>
      </w:r>
      <w:r>
        <w:rPr>
          <w:rFonts w:hint="eastAsia" w:ascii="宋体" w:hAnsi="宋体" w:eastAsia="楷体_GB2312" w:cs="楷体_GB2312"/>
          <w:b w:val="0"/>
          <w:bCs w:val="0"/>
          <w:sz w:val="32"/>
          <w:lang w:val="en-US" w:eastAsia="zh-CN"/>
        </w:rPr>
        <w:t>2</w:t>
      </w:r>
      <w:r>
        <w:rPr>
          <w:rFonts w:hint="eastAsia" w:ascii="宋体" w:hAnsi="宋体" w:eastAsia="楷体_GB2312" w:cs="楷体_GB2312"/>
          <w:sz w:val="32"/>
          <w:lang w:val="en-US" w:eastAsia="zh-CN"/>
        </w:rPr>
        <w:t>019年3月28日广东省第十三届人民代表大会常务委员会第十一次会议修订）</w:t>
      </w:r>
    </w:p>
    <w:p>
      <w:pPr>
        <w:widowControl w:val="0"/>
        <w:wordWrap/>
        <w:snapToGrid/>
        <w:spacing w:line="560" w:lineRule="exact"/>
        <w:ind w:left="0" w:leftChars="0" w:right="0"/>
        <w:jc w:val="center"/>
        <w:textAlignment w:val="auto"/>
        <w:rPr>
          <w:rFonts w:ascii="宋体" w:hAnsi="宋体" w:cs="仿宋_GB2312"/>
          <w:color w:val="auto"/>
          <w:szCs w:val="32"/>
          <w:shd w:val="clear" w:color="auto" w:fill="FFFFFF"/>
        </w:rPr>
      </w:pPr>
    </w:p>
    <w:p>
      <w:pPr>
        <w:widowControl w:val="0"/>
        <w:wordWrap/>
        <w:snapToGrid/>
        <w:spacing w:line="560" w:lineRule="exact"/>
        <w:ind w:left="0" w:leftChars="0" w:right="0"/>
        <w:jc w:val="center"/>
        <w:textAlignment w:val="auto"/>
        <w:rPr>
          <w:rFonts w:hint="eastAsia" w:ascii="宋体" w:hAnsi="宋体" w:eastAsia="楷体_GB2312" w:cs="楷体_GB2312"/>
          <w:color w:val="auto"/>
          <w:szCs w:val="32"/>
          <w:shd w:val="clear" w:color="auto" w:fill="FFFFFF"/>
          <w:lang w:eastAsia="zh-CN"/>
        </w:rPr>
      </w:pPr>
      <w:r>
        <w:rPr>
          <w:rFonts w:hint="eastAsia" w:ascii="宋体" w:hAnsi="宋体" w:eastAsia="楷体_GB2312" w:cs="楷体_GB2312"/>
          <w:color w:val="auto"/>
          <w:szCs w:val="32"/>
          <w:shd w:val="clear" w:color="auto" w:fill="FFFFFF"/>
          <w:lang w:eastAsia="zh-CN"/>
        </w:rPr>
        <w:t>目</w:t>
      </w:r>
      <w:r>
        <w:rPr>
          <w:rFonts w:hint="eastAsia" w:ascii="宋体" w:hAnsi="宋体" w:eastAsia="楷体_GB2312" w:cs="楷体_GB2312"/>
          <w:color w:val="auto"/>
          <w:szCs w:val="32"/>
          <w:shd w:val="clear" w:color="auto" w:fill="FFFFFF"/>
          <w:lang w:val="en-US" w:eastAsia="zh-CN"/>
        </w:rPr>
        <w:t xml:space="preserve">    </w:t>
      </w:r>
      <w:r>
        <w:rPr>
          <w:rFonts w:hint="eastAsia" w:ascii="宋体" w:hAnsi="宋体" w:eastAsia="楷体_GB2312" w:cs="楷体_GB2312"/>
          <w:color w:val="auto"/>
          <w:szCs w:val="32"/>
          <w:shd w:val="clear" w:color="auto" w:fill="FFFFFF"/>
          <w:lang w:eastAsia="zh-CN"/>
        </w:rPr>
        <w:t>录</w:t>
      </w:r>
    </w:p>
    <w:p>
      <w:pPr>
        <w:widowControl w:val="0"/>
        <w:wordWrap/>
        <w:snapToGrid/>
        <w:spacing w:line="560" w:lineRule="exact"/>
        <w:ind w:left="640" w:leftChars="200"/>
        <w:jc w:val="both"/>
        <w:textAlignment w:val="auto"/>
        <w:rPr>
          <w:rFonts w:hint="eastAsia" w:ascii="宋体" w:hAnsi="宋体" w:eastAsia="楷体_GB2312" w:cs="楷体_GB2312"/>
          <w:color w:val="auto"/>
          <w:szCs w:val="32"/>
        </w:rPr>
      </w:pPr>
    </w:p>
    <w:p>
      <w:pPr>
        <w:widowControl w:val="0"/>
        <w:wordWrap/>
        <w:snapToGrid/>
        <w:spacing w:line="560" w:lineRule="exact"/>
        <w:ind w:left="640" w:leftChars="200"/>
        <w:jc w:val="both"/>
        <w:textAlignment w:val="auto"/>
        <w:rPr>
          <w:rFonts w:hint="eastAsia" w:ascii="宋体" w:hAnsi="宋体" w:eastAsia="楷体_GB2312" w:cs="楷体_GB2312"/>
          <w:color w:val="auto"/>
          <w:szCs w:val="32"/>
        </w:rPr>
      </w:pPr>
      <w:r>
        <w:rPr>
          <w:rFonts w:hint="eastAsia" w:ascii="宋体" w:hAnsi="宋体" w:eastAsia="楷体_GB2312" w:cs="楷体_GB2312"/>
          <w:color w:val="auto"/>
          <w:szCs w:val="32"/>
        </w:rPr>
        <w:t>第一章  总则</w:t>
      </w:r>
    </w:p>
    <w:p>
      <w:pPr>
        <w:widowControl w:val="0"/>
        <w:wordWrap/>
        <w:snapToGrid/>
        <w:spacing w:line="560" w:lineRule="exact"/>
        <w:ind w:left="640" w:leftChars="200"/>
        <w:jc w:val="both"/>
        <w:textAlignment w:val="auto"/>
        <w:rPr>
          <w:rFonts w:hint="eastAsia" w:ascii="宋体" w:hAnsi="宋体" w:eastAsia="楷体_GB2312" w:cs="楷体_GB2312"/>
          <w:i/>
          <w:iCs/>
          <w:color w:val="auto"/>
          <w:szCs w:val="32"/>
          <w:u w:val="single"/>
        </w:rPr>
      </w:pPr>
      <w:r>
        <w:rPr>
          <w:rFonts w:hint="eastAsia" w:ascii="宋体" w:hAnsi="宋体" w:eastAsia="楷体_GB2312" w:cs="楷体_GB2312"/>
          <w:color w:val="auto"/>
          <w:szCs w:val="32"/>
        </w:rPr>
        <w:t>第二章  组织</w:t>
      </w:r>
    </w:p>
    <w:p>
      <w:pPr>
        <w:widowControl w:val="0"/>
        <w:wordWrap/>
        <w:snapToGrid/>
        <w:spacing w:line="560" w:lineRule="exact"/>
        <w:ind w:left="640" w:leftChars="200"/>
        <w:jc w:val="both"/>
        <w:textAlignment w:val="auto"/>
        <w:rPr>
          <w:rFonts w:hint="eastAsia" w:ascii="宋体" w:hAnsi="宋体" w:eastAsia="楷体_GB2312" w:cs="楷体_GB2312"/>
          <w:color w:val="auto"/>
          <w:szCs w:val="32"/>
        </w:rPr>
      </w:pPr>
      <w:r>
        <w:rPr>
          <w:rFonts w:hint="eastAsia" w:ascii="宋体" w:hAnsi="宋体" w:eastAsia="楷体_GB2312" w:cs="楷体_GB2312"/>
          <w:color w:val="auto"/>
          <w:szCs w:val="32"/>
        </w:rPr>
        <w:t>第三章  职责与保障</w:t>
      </w:r>
    </w:p>
    <w:p>
      <w:pPr>
        <w:widowControl w:val="0"/>
        <w:wordWrap/>
        <w:snapToGrid/>
        <w:spacing w:line="560" w:lineRule="exact"/>
        <w:ind w:left="640" w:leftChars="200" w:right="0"/>
        <w:jc w:val="both"/>
        <w:textAlignment w:val="auto"/>
        <w:rPr>
          <w:rFonts w:hint="eastAsia" w:ascii="宋体" w:hAnsi="宋体" w:eastAsia="楷体_GB2312" w:cs="楷体_GB2312"/>
          <w:iCs/>
          <w:color w:val="auto"/>
          <w:szCs w:val="32"/>
        </w:rPr>
      </w:pPr>
      <w:r>
        <w:rPr>
          <w:rFonts w:hint="eastAsia" w:ascii="宋体" w:hAnsi="宋体" w:eastAsia="楷体_GB2312" w:cs="楷体_GB2312"/>
          <w:iCs/>
          <w:color w:val="auto"/>
          <w:szCs w:val="32"/>
        </w:rPr>
        <w:t>第四章  财产与监管</w:t>
      </w:r>
    </w:p>
    <w:p>
      <w:pPr>
        <w:widowControl w:val="0"/>
        <w:wordWrap/>
        <w:snapToGrid/>
        <w:spacing w:line="560" w:lineRule="exact"/>
        <w:ind w:left="640" w:leftChars="200"/>
        <w:jc w:val="both"/>
        <w:textAlignment w:val="auto"/>
        <w:rPr>
          <w:rFonts w:hint="eastAsia" w:ascii="宋体" w:hAnsi="宋体" w:eastAsia="楷体_GB2312" w:cs="楷体_GB2312"/>
          <w:iCs/>
          <w:color w:val="auto"/>
          <w:szCs w:val="32"/>
        </w:rPr>
      </w:pPr>
      <w:r>
        <w:rPr>
          <w:rFonts w:hint="eastAsia" w:ascii="宋体" w:hAnsi="宋体" w:eastAsia="楷体_GB2312" w:cs="楷体_GB2312"/>
          <w:color w:val="auto"/>
          <w:szCs w:val="32"/>
        </w:rPr>
        <w:t>第五章  法律责任</w:t>
      </w:r>
    </w:p>
    <w:p>
      <w:pPr>
        <w:widowControl w:val="0"/>
        <w:wordWrap/>
        <w:snapToGrid/>
        <w:spacing w:line="560" w:lineRule="exact"/>
        <w:ind w:left="640" w:leftChars="200" w:right="0"/>
        <w:jc w:val="both"/>
        <w:textAlignment w:val="auto"/>
        <w:rPr>
          <w:rFonts w:hint="eastAsia" w:ascii="宋体" w:hAnsi="宋体" w:eastAsia="楷体_GB2312" w:cs="楷体_GB2312"/>
          <w:color w:val="auto"/>
          <w:szCs w:val="32"/>
        </w:rPr>
      </w:pPr>
      <w:r>
        <w:rPr>
          <w:rFonts w:hint="eastAsia" w:ascii="宋体" w:hAnsi="宋体" w:eastAsia="楷体_GB2312" w:cs="楷体_GB2312"/>
          <w:color w:val="auto"/>
          <w:szCs w:val="32"/>
        </w:rPr>
        <w:t>第六章  附则</w:t>
      </w:r>
    </w:p>
    <w:p>
      <w:pPr>
        <w:widowControl w:val="0"/>
        <w:wordWrap/>
        <w:snapToGrid/>
        <w:spacing w:line="560" w:lineRule="exact"/>
        <w:ind w:left="640" w:leftChars="200" w:right="0"/>
        <w:jc w:val="both"/>
        <w:textAlignment w:val="auto"/>
        <w:rPr>
          <w:rFonts w:hint="eastAsia" w:ascii="宋体" w:hAnsi="宋体" w:eastAsia="楷体_GB2312" w:cs="楷体_GB2312"/>
          <w:iCs w:val="0"/>
          <w:color w:val="auto"/>
          <w:szCs w:val="32"/>
          <w:lang w:eastAsia="zh-CN"/>
        </w:rPr>
      </w:pPr>
    </w:p>
    <w:p>
      <w:pPr>
        <w:widowControl w:val="0"/>
        <w:wordWrap/>
        <w:snapToGrid/>
        <w:spacing w:line="560" w:lineRule="exact"/>
        <w:jc w:val="center"/>
        <w:textAlignment w:val="auto"/>
        <w:rPr>
          <w:rFonts w:ascii="宋体" w:hAnsi="宋体" w:cs="仿宋_GB2312"/>
          <w:color w:val="auto"/>
          <w:szCs w:val="32"/>
        </w:rPr>
      </w:pPr>
      <w:r>
        <w:rPr>
          <w:rFonts w:hint="eastAsia" w:ascii="宋体" w:hAnsi="宋体" w:eastAsia="黑体" w:cs="黑体"/>
          <w:color w:val="auto"/>
          <w:szCs w:val="32"/>
        </w:rPr>
        <w:t>第一章  总则</w:t>
      </w:r>
    </w:p>
    <w:p>
      <w:pPr>
        <w:widowControl w:val="0"/>
        <w:wordWrap/>
        <w:snapToGrid/>
        <w:spacing w:line="560" w:lineRule="exact"/>
        <w:ind w:firstLine="640" w:firstLineChars="200"/>
        <w:textAlignment w:val="auto"/>
        <w:rPr>
          <w:rFonts w:ascii="宋体" w:hAnsi="宋体" w:cs="仿宋_GB2312"/>
          <w:color w:val="auto"/>
          <w:szCs w:val="32"/>
        </w:rPr>
      </w:pP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第一条</w:t>
      </w:r>
      <w:r>
        <w:rPr>
          <w:rFonts w:hint="eastAsia" w:ascii="宋体" w:hAnsi="宋体" w:cs="仿宋_GB2312"/>
          <w:color w:val="auto"/>
          <w:szCs w:val="32"/>
        </w:rPr>
        <w:t xml:space="preserve">  为发展红十字事业，</w:t>
      </w:r>
      <w:r>
        <w:rPr>
          <w:rFonts w:hint="eastAsia" w:ascii="宋体" w:hAnsi="宋体" w:cs="仿宋_GB2312"/>
          <w:color w:val="auto"/>
          <w:szCs w:val="32"/>
          <w:lang w:eastAsia="zh-CN"/>
        </w:rPr>
        <w:t>培育和践行社会主义核心价值观，</w:t>
      </w:r>
      <w:r>
        <w:rPr>
          <w:rFonts w:hint="eastAsia" w:ascii="宋体" w:hAnsi="宋体" w:cs="仿宋_GB2312"/>
          <w:color w:val="auto"/>
          <w:szCs w:val="32"/>
        </w:rPr>
        <w:t>弘扬人道、博爱、奉献精神，保护人的生命和健康，维护人的尊严，保障和规范红十字会依法履行职责，根据《中华人民共和国红十字会法》等法律法规，结合本省实际，制定本条例。</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第二条</w:t>
      </w:r>
      <w:r>
        <w:rPr>
          <w:rFonts w:hint="eastAsia" w:ascii="宋体" w:hAnsi="宋体" w:cs="仿宋_GB2312"/>
          <w:color w:val="auto"/>
          <w:szCs w:val="32"/>
        </w:rPr>
        <w:t xml:space="preserve">  本条例适用于本省行政区域内的红十字会工作及其相关活动。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第三条</w:t>
      </w:r>
      <w:r>
        <w:rPr>
          <w:rFonts w:hint="eastAsia" w:ascii="宋体" w:hAnsi="宋体" w:cs="仿宋_GB2312"/>
          <w:color w:val="auto"/>
          <w:szCs w:val="32"/>
        </w:rPr>
        <w:t xml:space="preserve">  县级以上红十字会是中国红十字会的地方组织，是从事人道主义工作的社会救助团体，依法取得社会团体法人资格。</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各级红十字会依照法律法规和中国红十字会章程，独立自主地开展工作，并接受上级红十字会的指导。</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 xml:space="preserve">第四条 </w:t>
      </w:r>
      <w:r>
        <w:rPr>
          <w:rFonts w:hint="eastAsia" w:ascii="宋体" w:hAnsi="宋体" w:cs="仿宋_GB2312"/>
          <w:color w:val="auto"/>
          <w:szCs w:val="32"/>
        </w:rPr>
        <w:t xml:space="preserve"> 各级人民政府应当将红十字事业纳入国民经济和社会发展规划，对红十字会给予支持、资助，逐步增加对红十字事业的经费投入，保障红十字会依法履行职责。县级以上地方红十字会专职工作人员的经费和日常公用经费列入同级财政预算。</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各级人民政府有关部门在各自的职责范围内为红十字会开展工作创造条件，并对其活动进行监督。</w:t>
      </w:r>
    </w:p>
    <w:p>
      <w:pPr>
        <w:widowControl w:val="0"/>
        <w:wordWrap/>
        <w:snapToGrid/>
        <w:spacing w:line="560" w:lineRule="exact"/>
        <w:ind w:firstLine="640" w:firstLineChars="200"/>
        <w:textAlignment w:val="auto"/>
        <w:rPr>
          <w:rFonts w:ascii="宋体" w:hAnsi="宋体" w:cs="Times New Roman"/>
          <w:color w:val="auto"/>
          <w:szCs w:val="32"/>
        </w:rPr>
      </w:pPr>
      <w:r>
        <w:rPr>
          <w:rFonts w:hint="eastAsia" w:ascii="宋体" w:hAnsi="宋体" w:cs="Times New Roman"/>
          <w:color w:val="auto"/>
          <w:szCs w:val="32"/>
        </w:rPr>
        <w:t>各级人民政府支持、鼓励自然人、法人以及其他组织参与红十字志愿服务。</w:t>
      </w:r>
    </w:p>
    <w:p>
      <w:pPr>
        <w:widowControl w:val="0"/>
        <w:wordWrap/>
        <w:snapToGrid/>
        <w:spacing w:line="560" w:lineRule="exact"/>
        <w:ind w:firstLine="640" w:firstLineChars="200"/>
        <w:textAlignment w:val="auto"/>
        <w:rPr>
          <w:rFonts w:hint="eastAsia" w:ascii="宋体" w:hAnsi="宋体" w:eastAsia="仿宋_GB2312" w:cs="仿宋_GB2312"/>
          <w:color w:val="auto"/>
          <w:szCs w:val="32"/>
          <w:lang w:val="en-US" w:eastAsia="zh-CN"/>
        </w:rPr>
      </w:pPr>
      <w:r>
        <w:rPr>
          <w:rFonts w:hint="eastAsia" w:ascii="宋体" w:hAnsi="宋体" w:eastAsia="黑体" w:cs="黑体"/>
          <w:color w:val="auto"/>
          <w:szCs w:val="32"/>
          <w:lang w:eastAsia="zh-CN"/>
        </w:rPr>
        <w:t>第五条</w:t>
      </w:r>
      <w:r>
        <w:rPr>
          <w:rFonts w:hint="eastAsia" w:ascii="宋体" w:hAnsi="宋体" w:eastAsia="黑体" w:cs="黑体"/>
          <w:color w:val="auto"/>
          <w:szCs w:val="32"/>
          <w:lang w:val="en-US" w:eastAsia="zh-CN"/>
        </w:rPr>
        <w:t xml:space="preserve">  </w:t>
      </w:r>
      <w:r>
        <w:rPr>
          <w:rFonts w:hint="eastAsia" w:ascii="宋体" w:hAnsi="宋体" w:eastAsia="仿宋_GB2312" w:cs="仿宋_GB2312"/>
          <w:color w:val="auto"/>
          <w:szCs w:val="32"/>
          <w:lang w:val="en-US" w:eastAsia="zh-CN"/>
        </w:rPr>
        <w:t>各级红十字会应当</w:t>
      </w:r>
      <w:r>
        <w:rPr>
          <w:rFonts w:hint="eastAsia" w:ascii="宋体" w:hAnsi="宋体" w:cs="仿宋_GB2312"/>
          <w:color w:val="auto"/>
          <w:szCs w:val="32"/>
          <w:lang w:val="en-US" w:eastAsia="zh-CN"/>
        </w:rPr>
        <w:t>依法</w:t>
      </w:r>
      <w:r>
        <w:rPr>
          <w:rFonts w:hint="eastAsia" w:ascii="宋体" w:hAnsi="宋体" w:eastAsia="仿宋_GB2312" w:cs="仿宋_GB2312"/>
          <w:color w:val="auto"/>
          <w:szCs w:val="32"/>
          <w:lang w:val="en-US" w:eastAsia="zh-CN"/>
        </w:rPr>
        <w:t>完善内部治理结构，加强财务监督，严格执行信息公开制度，建立科学、规范、透明的管理机制。</w:t>
      </w:r>
    </w:p>
    <w:p>
      <w:pPr>
        <w:widowControl w:val="0"/>
        <w:wordWrap/>
        <w:snapToGrid/>
        <w:spacing w:line="560" w:lineRule="exact"/>
        <w:ind w:firstLine="640" w:firstLineChars="200"/>
        <w:textAlignment w:val="auto"/>
        <w:rPr>
          <w:rFonts w:hint="eastAsia" w:ascii="宋体" w:hAnsi="宋体" w:eastAsia="仿宋_GB2312" w:cs="仿宋_GB2312"/>
          <w:color w:val="auto"/>
          <w:szCs w:val="32"/>
          <w:lang w:val="en-US" w:eastAsia="zh-CN"/>
        </w:rPr>
      </w:pPr>
      <w:r>
        <w:rPr>
          <w:rFonts w:hint="eastAsia" w:ascii="宋体" w:hAnsi="宋体" w:eastAsia="黑体" w:cs="黑体"/>
          <w:color w:val="auto"/>
          <w:szCs w:val="32"/>
        </w:rPr>
        <w:t>第</w:t>
      </w:r>
      <w:r>
        <w:rPr>
          <w:rFonts w:hint="eastAsia" w:ascii="宋体" w:hAnsi="宋体" w:eastAsia="黑体" w:cs="黑体"/>
          <w:color w:val="auto"/>
          <w:szCs w:val="32"/>
          <w:lang w:eastAsia="zh-CN"/>
        </w:rPr>
        <w:t>六</w:t>
      </w:r>
      <w:r>
        <w:rPr>
          <w:rFonts w:hint="eastAsia" w:ascii="宋体" w:hAnsi="宋体" w:eastAsia="黑体" w:cs="黑体"/>
          <w:color w:val="auto"/>
          <w:szCs w:val="32"/>
        </w:rPr>
        <w:t xml:space="preserve">条 </w:t>
      </w:r>
      <w:r>
        <w:rPr>
          <w:rFonts w:hint="eastAsia" w:ascii="宋体" w:hAnsi="宋体" w:cs="仿宋_GB2312"/>
          <w:color w:val="auto"/>
          <w:szCs w:val="32"/>
        </w:rPr>
        <w:t xml:space="preserve"> 省红十字会应当在中国红十字会总会统一协调和指导下，加强与香港</w:t>
      </w:r>
      <w:r>
        <w:rPr>
          <w:rFonts w:hint="eastAsia" w:ascii="宋体" w:hAnsi="宋体" w:eastAsia="仿宋_GB2312" w:cs="仿宋_GB2312"/>
          <w:color w:val="auto"/>
          <w:szCs w:val="32"/>
        </w:rPr>
        <w:t>特别行政区</w:t>
      </w:r>
      <w:r>
        <w:rPr>
          <w:rFonts w:hint="eastAsia" w:ascii="宋体" w:hAnsi="宋体" w:cs="仿宋_GB2312"/>
          <w:color w:val="auto"/>
          <w:szCs w:val="32"/>
        </w:rPr>
        <w:t>、澳门特别行政区</w:t>
      </w:r>
      <w:r>
        <w:rPr>
          <w:rFonts w:hint="eastAsia" w:ascii="宋体" w:hAnsi="宋体" w:eastAsia="仿宋_GB2312" w:cs="仿宋_GB2312"/>
          <w:color w:val="auto"/>
          <w:szCs w:val="32"/>
          <w:lang w:eastAsia="zh-CN"/>
        </w:rPr>
        <w:t>红十字会</w:t>
      </w:r>
      <w:r>
        <w:rPr>
          <w:rFonts w:hint="eastAsia" w:ascii="宋体" w:hAnsi="宋体" w:eastAsia="仿宋_GB2312" w:cs="仿宋_GB2312"/>
          <w:color w:val="auto"/>
          <w:szCs w:val="32"/>
        </w:rPr>
        <w:t>和台湾地区</w:t>
      </w:r>
      <w:r>
        <w:rPr>
          <w:rFonts w:hint="eastAsia" w:ascii="宋体" w:hAnsi="宋体" w:cs="仿宋_GB2312"/>
          <w:color w:val="auto"/>
          <w:szCs w:val="32"/>
        </w:rPr>
        <w:t>红十字</w:t>
      </w:r>
      <w:r>
        <w:rPr>
          <w:rFonts w:hint="eastAsia" w:ascii="宋体" w:hAnsi="宋体" w:eastAsia="仿宋_GB2312" w:cs="仿宋_GB2312"/>
          <w:color w:val="auto"/>
          <w:szCs w:val="32"/>
          <w:lang w:eastAsia="zh-CN"/>
        </w:rPr>
        <w:t>组织</w:t>
      </w:r>
      <w:r>
        <w:rPr>
          <w:rFonts w:hint="eastAsia" w:ascii="宋体" w:hAnsi="宋体" w:cs="仿宋_GB2312"/>
          <w:color w:val="auto"/>
          <w:szCs w:val="32"/>
        </w:rPr>
        <w:t>的交流与合作</w:t>
      </w:r>
      <w:r>
        <w:rPr>
          <w:rFonts w:hint="eastAsia" w:ascii="宋体" w:hAnsi="宋体" w:eastAsia="仿宋_GB2312" w:cs="仿宋_GB2312"/>
          <w:color w:val="auto"/>
          <w:szCs w:val="32"/>
          <w:lang w:val="en-US" w:eastAsia="zh-CN"/>
        </w:rPr>
        <w:t>。</w:t>
      </w:r>
    </w:p>
    <w:p>
      <w:pPr>
        <w:widowControl w:val="0"/>
        <w:wordWrap/>
        <w:snapToGrid/>
        <w:spacing w:line="560" w:lineRule="exact"/>
        <w:ind w:firstLine="640" w:firstLineChars="200"/>
        <w:textAlignment w:val="auto"/>
        <w:rPr>
          <w:rFonts w:hint="eastAsia" w:ascii="宋体" w:hAnsi="宋体" w:eastAsia="仿宋_GB2312" w:cs="仿宋_GB2312"/>
          <w:color w:val="auto"/>
          <w:szCs w:val="32"/>
        </w:rPr>
      </w:pPr>
      <w:r>
        <w:rPr>
          <w:rFonts w:hint="eastAsia" w:ascii="宋体" w:hAnsi="宋体" w:eastAsia="仿宋_GB2312" w:cs="仿宋_GB2312"/>
          <w:color w:val="auto"/>
          <w:szCs w:val="32"/>
        </w:rPr>
        <w:t>市、县级红十字会在省红十字会的协调和指导下开展交流与合作。</w:t>
      </w:r>
    </w:p>
    <w:p>
      <w:pPr>
        <w:widowControl w:val="0"/>
        <w:wordWrap/>
        <w:snapToGrid/>
        <w:spacing w:line="560" w:lineRule="exact"/>
        <w:ind w:firstLine="640" w:firstLineChars="200"/>
        <w:textAlignment w:val="auto"/>
        <w:rPr>
          <w:rFonts w:ascii="宋体" w:hAnsi="宋体" w:cs="仿宋_GB2312"/>
          <w:i/>
          <w:iCs/>
          <w:color w:val="auto"/>
          <w:szCs w:val="32"/>
          <w:u w:val="single"/>
        </w:rPr>
      </w:pPr>
      <w:r>
        <w:rPr>
          <w:rFonts w:hint="eastAsia" w:ascii="宋体" w:hAnsi="宋体" w:eastAsia="黑体" w:cs="黑体"/>
          <w:color w:val="auto"/>
          <w:szCs w:val="32"/>
        </w:rPr>
        <w:t>第</w:t>
      </w:r>
      <w:r>
        <w:rPr>
          <w:rFonts w:hint="eastAsia" w:ascii="宋体" w:hAnsi="宋体" w:eastAsia="黑体" w:cs="黑体"/>
          <w:color w:val="auto"/>
          <w:szCs w:val="32"/>
          <w:lang w:eastAsia="zh-CN"/>
        </w:rPr>
        <w:t>七</w:t>
      </w:r>
      <w:r>
        <w:rPr>
          <w:rFonts w:hint="eastAsia" w:ascii="宋体" w:hAnsi="宋体" w:eastAsia="黑体" w:cs="黑体"/>
          <w:color w:val="auto"/>
          <w:szCs w:val="32"/>
        </w:rPr>
        <w:t>条</w:t>
      </w:r>
      <w:r>
        <w:rPr>
          <w:rFonts w:hint="eastAsia" w:ascii="宋体" w:hAnsi="宋体" w:cs="仿宋_GB2312"/>
          <w:color w:val="auto"/>
          <w:szCs w:val="32"/>
        </w:rPr>
        <w:t xml:space="preserve">  各级红十字会应当宣传国际红十字和红新月运动基本知识，开展紧急救援、人道救助、应急救护等工作的宣传教育，普及卫生健康知识。</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广播、电视、报刊、网络等媒体应当支持红十字会开展人道主义救助等宣传活动，有义务发布与人道主义救助活动相关的公益广告。</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仿宋_GB2312"/>
          <w:color w:val="auto"/>
          <w:szCs w:val="32"/>
        </w:rPr>
        <w:t xml:space="preserve">  县级以上红十字会应当按照国家有关规定，对</w:t>
      </w:r>
      <w:r>
        <w:rPr>
          <w:rFonts w:hint="eastAsia" w:ascii="宋体" w:hAnsi="宋体" w:cs="仿宋_GB2312"/>
          <w:color w:val="auto"/>
          <w:szCs w:val="32"/>
          <w:lang w:eastAsia="zh-CN"/>
        </w:rPr>
        <w:t>为</w:t>
      </w:r>
      <w:r>
        <w:rPr>
          <w:rFonts w:hint="eastAsia" w:ascii="宋体" w:hAnsi="宋体" w:cs="仿宋_GB2312"/>
          <w:color w:val="auto"/>
          <w:szCs w:val="32"/>
        </w:rPr>
        <w:t>红十字事业做出突出贡献的单位和个人给予表彰奖励，对做出重大贡献的授予荣誉称号和颁发荣誉证书、证章。</w:t>
      </w:r>
    </w:p>
    <w:p>
      <w:pPr>
        <w:widowControl w:val="0"/>
        <w:wordWrap/>
        <w:snapToGrid/>
        <w:spacing w:line="560" w:lineRule="exact"/>
        <w:jc w:val="center"/>
        <w:textAlignment w:val="auto"/>
        <w:rPr>
          <w:rFonts w:hint="eastAsia" w:ascii="宋体" w:hAnsi="宋体" w:cs="仿宋_GB2312"/>
          <w:color w:val="auto"/>
          <w:szCs w:val="32"/>
        </w:rPr>
      </w:pPr>
    </w:p>
    <w:p>
      <w:pPr>
        <w:widowControl w:val="0"/>
        <w:wordWrap/>
        <w:snapToGrid/>
        <w:spacing w:line="560" w:lineRule="exact"/>
        <w:jc w:val="center"/>
        <w:textAlignment w:val="auto"/>
        <w:rPr>
          <w:rFonts w:ascii="宋体" w:hAnsi="宋体" w:cs="仿宋_GB2312"/>
          <w:i/>
          <w:iCs/>
          <w:color w:val="auto"/>
          <w:szCs w:val="32"/>
          <w:u w:val="single"/>
        </w:rPr>
      </w:pPr>
      <w:r>
        <w:rPr>
          <w:rFonts w:hint="eastAsia" w:ascii="宋体" w:hAnsi="宋体" w:eastAsia="黑体" w:cs="黑体"/>
          <w:color w:val="auto"/>
          <w:szCs w:val="32"/>
        </w:rPr>
        <w:t>第二章  组织</w:t>
      </w:r>
    </w:p>
    <w:p>
      <w:pPr>
        <w:widowControl w:val="0"/>
        <w:wordWrap/>
        <w:snapToGrid/>
        <w:spacing w:line="560" w:lineRule="exact"/>
        <w:ind w:firstLine="640" w:firstLineChars="200"/>
        <w:textAlignment w:val="auto"/>
        <w:rPr>
          <w:rFonts w:ascii="宋体" w:hAnsi="宋体" w:cs="仿宋_GB2312"/>
          <w:color w:val="auto"/>
          <w:szCs w:val="32"/>
        </w:rPr>
      </w:pP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九</w:t>
      </w:r>
      <w:r>
        <w:rPr>
          <w:rFonts w:hint="eastAsia" w:ascii="宋体" w:hAnsi="宋体" w:eastAsia="黑体" w:cs="黑体"/>
          <w:color w:val="auto"/>
          <w:szCs w:val="32"/>
        </w:rPr>
        <w:t>条</w:t>
      </w:r>
      <w:r>
        <w:rPr>
          <w:rFonts w:hint="eastAsia" w:ascii="宋体" w:hAnsi="宋体" w:cs="仿宋_GB2312"/>
          <w:color w:val="auto"/>
          <w:szCs w:val="32"/>
        </w:rPr>
        <w:t xml:space="preserve">  县级以上地方按行政区域建立</w:t>
      </w:r>
      <w:r>
        <w:rPr>
          <w:rFonts w:hint="eastAsia" w:ascii="宋体" w:hAnsi="宋体" w:cs="仿宋_GB2312"/>
          <w:color w:val="auto"/>
          <w:szCs w:val="32"/>
          <w:lang w:eastAsia="zh-CN"/>
        </w:rPr>
        <w:t>地方</w:t>
      </w:r>
      <w:r>
        <w:rPr>
          <w:rFonts w:hint="eastAsia" w:ascii="宋体" w:hAnsi="宋体" w:cs="仿宋_GB2312"/>
          <w:color w:val="auto"/>
          <w:szCs w:val="32"/>
        </w:rPr>
        <w:t>红十字会，按照规定设置工作机构，并根据工作需要配备专职工作人员。</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乡镇、街道、学校和医疗机构等企业事业组织有条件的，可以根据需要，建立红十字会基层组织，配备工作人员。</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县级以上红十字会指导红十字会基层组织工作，加强其规范化管理。</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十</w:t>
      </w:r>
      <w:r>
        <w:rPr>
          <w:rFonts w:hint="eastAsia" w:ascii="宋体" w:hAnsi="宋体" w:eastAsia="黑体" w:cs="黑体"/>
          <w:color w:val="auto"/>
          <w:szCs w:val="32"/>
        </w:rPr>
        <w:t>条</w:t>
      </w:r>
      <w:r>
        <w:rPr>
          <w:rFonts w:hint="eastAsia" w:ascii="宋体" w:hAnsi="宋体" w:cs="仿宋_GB2312"/>
          <w:color w:val="auto"/>
          <w:szCs w:val="32"/>
        </w:rPr>
        <w:t xml:space="preserve">  中华人民共和国公民，承认中国红十字会章程并缴纳会费的，可以自愿参加红十字会，成为红十字会的个人会员。</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企业事业</w:t>
      </w:r>
      <w:r>
        <w:rPr>
          <w:rFonts w:hint="eastAsia" w:ascii="宋体" w:hAnsi="宋体" w:eastAsia="仿宋_GB2312" w:cs="仿宋_GB2312"/>
          <w:color w:val="auto"/>
          <w:szCs w:val="32"/>
          <w:lang w:eastAsia="zh-CN"/>
        </w:rPr>
        <w:t>组织</w:t>
      </w:r>
      <w:r>
        <w:rPr>
          <w:rFonts w:hint="eastAsia" w:ascii="宋体" w:hAnsi="宋体" w:cs="仿宋_GB2312"/>
          <w:color w:val="auto"/>
          <w:szCs w:val="32"/>
        </w:rPr>
        <w:t>及有关团体可以依法申请参加红十字会，成为红十字会的团体会员。</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个人会员与团体会员依法享有会员权利并承担相应义务。</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一</w:t>
      </w:r>
      <w:r>
        <w:rPr>
          <w:rFonts w:hint="eastAsia" w:ascii="宋体" w:hAnsi="宋体" w:eastAsia="黑体" w:cs="黑体"/>
          <w:color w:val="auto"/>
          <w:szCs w:val="32"/>
        </w:rPr>
        <w:t>条</w:t>
      </w:r>
      <w:r>
        <w:rPr>
          <w:rFonts w:hint="eastAsia" w:ascii="宋体" w:hAnsi="宋体" w:cs="仿宋_GB2312"/>
          <w:color w:val="auto"/>
          <w:szCs w:val="32"/>
        </w:rPr>
        <w:t xml:space="preserve">  县级以上红十字会会员代表大会行使下列职权：</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（一）根据《中国红十字会章程》制定实施办法；</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（二）选举本级红十字会理事会理事；</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（三）选举本级红十字会监事会监事；</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（四）审议批准理事会的工作报告和工作规划；</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（五）审议批准监事会的工作报告；</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（六）决定红十字会的重大事项；</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（七）法律法规规定的其他职权。</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二</w:t>
      </w:r>
      <w:r>
        <w:rPr>
          <w:rFonts w:hint="eastAsia" w:ascii="宋体" w:hAnsi="宋体" w:eastAsia="黑体" w:cs="黑体"/>
          <w:color w:val="auto"/>
          <w:szCs w:val="32"/>
        </w:rPr>
        <w:t>条</w:t>
      </w:r>
      <w:r>
        <w:rPr>
          <w:rFonts w:hint="eastAsia" w:ascii="宋体" w:hAnsi="宋体" w:cs="仿宋_GB2312"/>
          <w:color w:val="auto"/>
          <w:szCs w:val="32"/>
        </w:rPr>
        <w:t xml:space="preserve">  县级以上红十字会理事会，由会员代表大会民主选举产生，向会员代表大会负责并报告工作，接受其监督。</w:t>
      </w:r>
      <w:r>
        <w:rPr>
          <w:rFonts w:hint="eastAsia" w:ascii="宋体" w:hAnsi="宋体" w:eastAsia="仿宋_GB2312" w:cs="仿宋_GB2312"/>
          <w:color w:val="auto"/>
          <w:szCs w:val="32"/>
          <w:lang w:eastAsia="zh-CN"/>
        </w:rPr>
        <w:t>常务理事会、</w:t>
      </w:r>
      <w:r>
        <w:rPr>
          <w:rFonts w:hint="eastAsia" w:ascii="宋体" w:hAnsi="宋体" w:cs="仿宋_GB2312"/>
          <w:color w:val="auto"/>
          <w:szCs w:val="32"/>
        </w:rPr>
        <w:t>会长、副会长由理事会民主选举产生。</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执行委员会是理事会的常设机构，主持红十字会的日常工作，向理事会负责并报告工作，其人员组成由理事会决定。</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cs="仿宋_GB2312"/>
          <w:color w:val="auto"/>
          <w:szCs w:val="32"/>
        </w:rPr>
        <w:t>县级以上红十字会可以设名誉会长和名誉副会长，由同级红十字会理事会聘请。</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三</w:t>
      </w:r>
      <w:r>
        <w:rPr>
          <w:rFonts w:hint="eastAsia" w:ascii="宋体" w:hAnsi="宋体" w:eastAsia="黑体" w:cs="黑体"/>
          <w:color w:val="auto"/>
          <w:szCs w:val="32"/>
        </w:rPr>
        <w:t xml:space="preserve">条 </w:t>
      </w:r>
      <w:r>
        <w:rPr>
          <w:rFonts w:hint="eastAsia" w:ascii="宋体" w:hAnsi="宋体" w:cs="仿宋_GB2312"/>
          <w:color w:val="auto"/>
          <w:szCs w:val="32"/>
        </w:rPr>
        <w:t xml:space="preserve"> 县级以上红十字会监事会，由会员代表大会民主选举产生，向会员代表大会负责并报告工作，接受其监督。监事长和副监事长由监事会民主选举产生。</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监事会依法对理事会、执行委员会执行相关法律法规、规章制度和开展工作等情况进行监督。</w:t>
      </w:r>
    </w:p>
    <w:p>
      <w:pPr>
        <w:widowControl w:val="0"/>
        <w:wordWrap/>
        <w:snapToGrid/>
        <w:spacing w:line="560" w:lineRule="exact"/>
        <w:ind w:firstLine="640" w:firstLineChars="200"/>
        <w:textAlignment w:val="auto"/>
        <w:rPr>
          <w:rFonts w:hint="eastAsia" w:ascii="宋体" w:hAnsi="宋体" w:cs="仿宋_GB2312"/>
          <w:color w:val="auto"/>
          <w:szCs w:val="32"/>
        </w:rPr>
      </w:pPr>
    </w:p>
    <w:p>
      <w:pPr>
        <w:widowControl w:val="0"/>
        <w:wordWrap/>
        <w:snapToGrid/>
        <w:spacing w:line="560" w:lineRule="exact"/>
        <w:jc w:val="center"/>
        <w:textAlignment w:val="auto"/>
        <w:rPr>
          <w:rFonts w:hint="eastAsia" w:ascii="宋体" w:hAnsi="宋体" w:eastAsia="黑体" w:cs="黑体"/>
          <w:color w:val="auto"/>
          <w:szCs w:val="32"/>
        </w:rPr>
      </w:pPr>
      <w:r>
        <w:rPr>
          <w:rFonts w:hint="eastAsia" w:ascii="宋体" w:hAnsi="宋体" w:eastAsia="黑体" w:cs="黑体"/>
          <w:color w:val="auto"/>
          <w:szCs w:val="32"/>
        </w:rPr>
        <w:t>第三章  职责与保障</w:t>
      </w:r>
    </w:p>
    <w:p>
      <w:pPr>
        <w:widowControl w:val="0"/>
        <w:wordWrap/>
        <w:snapToGrid/>
        <w:spacing w:before="0" w:beforeLines="0" w:after="0" w:afterLines="0" w:line="560" w:lineRule="exact"/>
        <w:ind w:firstLine="640" w:firstLineChars="200"/>
        <w:jc w:val="both"/>
        <w:textAlignment w:val="auto"/>
        <w:rPr>
          <w:rFonts w:ascii="宋体" w:hAnsi="宋体" w:eastAsia="仿宋_GB2312" w:cs="仿宋_GB2312"/>
          <w:color w:val="auto"/>
          <w:kern w:val="2"/>
          <w:sz w:val="32"/>
          <w:szCs w:val="32"/>
          <w:lang w:val="en-US" w:eastAsia="zh-CN" w:bidi="ar-SA"/>
        </w:rPr>
      </w:pP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四</w:t>
      </w:r>
      <w:r>
        <w:rPr>
          <w:rFonts w:hint="eastAsia" w:ascii="宋体" w:hAnsi="宋体" w:eastAsia="黑体" w:cs="黑体"/>
          <w:color w:val="auto"/>
          <w:szCs w:val="32"/>
        </w:rPr>
        <w:t xml:space="preserve">条 </w:t>
      </w:r>
      <w:r>
        <w:rPr>
          <w:rFonts w:hint="eastAsia" w:ascii="宋体" w:hAnsi="宋体" w:cs="仿宋_GB2312"/>
          <w:color w:val="auto"/>
          <w:szCs w:val="32"/>
        </w:rPr>
        <w:t xml:space="preserve"> 县级以上红十字会依法履行下列职责：</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（一）宣传和执行《中华人民共和国红十字会法》等有关红十字方面的法律法规；</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（二）开展救援、救灾的相关工作，建立红十字应急救援体系和红十字会备灾救灾信息系统；</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（三）依法开展募捐活动；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（四）开展应急救护培训，普及应急救护、防灾避险和卫生健康知识，组织志愿者参与现场救护；</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（五）参与、推动无偿献血、遗体和人体器官捐献工作，参与开展造血干细胞捐献的相关工作，开展艾滋病预防控制宣传和教育以及相关人道救助工作；</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（六）组织开展红十字志愿服务、红十字青少年工作；</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（七）完成人民政府委托事宜；</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（八）协助人民政府开展与其职责相关的其他人道主义服务活动。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五</w:t>
      </w:r>
      <w:r>
        <w:rPr>
          <w:rFonts w:hint="eastAsia" w:ascii="宋体" w:hAnsi="宋体" w:eastAsia="黑体" w:cs="黑体"/>
          <w:color w:val="auto"/>
          <w:szCs w:val="32"/>
        </w:rPr>
        <w:t xml:space="preserve">条  </w:t>
      </w:r>
      <w:r>
        <w:rPr>
          <w:rFonts w:hint="eastAsia" w:ascii="宋体" w:hAnsi="宋体" w:cs="仿宋_GB2312"/>
          <w:color w:val="auto"/>
          <w:szCs w:val="32"/>
        </w:rPr>
        <w:t>红十字会基层组织负责宣传普及红十字知识，开展人道主义救助活动，举办初级救护培训、群众性健康知识普及以及其他符合红十字宗旨的活动。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县级以上红十字会可以授权红十字会基层组织协助开展募捐和接受捐赠工作。未经授权，红十字会基层组织不得以红十字会名义开展募捐和接受捐赠。</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六</w:t>
      </w:r>
      <w:r>
        <w:rPr>
          <w:rFonts w:hint="eastAsia" w:ascii="宋体" w:hAnsi="宋体" w:eastAsia="黑体" w:cs="黑体"/>
          <w:color w:val="auto"/>
          <w:szCs w:val="32"/>
        </w:rPr>
        <w:t xml:space="preserve">条  </w:t>
      </w:r>
      <w:r>
        <w:rPr>
          <w:rFonts w:hint="eastAsia" w:ascii="宋体" w:hAnsi="宋体" w:cs="仿宋_GB2312"/>
          <w:color w:val="auto"/>
          <w:szCs w:val="32"/>
        </w:rPr>
        <w:t>县级以上红十字会应当</w:t>
      </w:r>
      <w:r>
        <w:rPr>
          <w:rFonts w:hint="eastAsia" w:ascii="宋体" w:hAnsi="宋体" w:cs="仿宋_GB2312"/>
          <w:color w:val="auto"/>
          <w:szCs w:val="32"/>
          <w:lang w:eastAsia="zh-CN"/>
        </w:rPr>
        <w:t>建立健全红十字应急救援体系，</w:t>
      </w:r>
      <w:r>
        <w:rPr>
          <w:rFonts w:hint="eastAsia" w:ascii="宋体" w:hAnsi="宋体" w:cs="仿宋_GB2312"/>
          <w:color w:val="auto"/>
          <w:szCs w:val="32"/>
        </w:rPr>
        <w:t>制定备灾、救灾和突发事件救助预案，储备救灾物资，建设和管理备灾救灾设施，建立应急救援队伍，对自然灾害、事故灾难、公共卫生事件等突发事件中的伤病人员和其他受害者提供紧急救援和人道救助。</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各级人民政府应当将红十字应急救援工作纳入政府灾害应急响应体系，根据实际需要将红十字备灾救灾中心或者物资库建设列入当地防灾减灾规划，依法保障红十字会组织社会力量执行应急救援任务。</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七</w:t>
      </w:r>
      <w:r>
        <w:rPr>
          <w:rFonts w:hint="eastAsia" w:ascii="宋体" w:hAnsi="宋体" w:eastAsia="黑体" w:cs="黑体"/>
          <w:color w:val="auto"/>
          <w:szCs w:val="32"/>
        </w:rPr>
        <w:t>条</w:t>
      </w:r>
      <w:r>
        <w:rPr>
          <w:rFonts w:hint="eastAsia" w:ascii="宋体" w:hAnsi="宋体" w:cs="黑体"/>
          <w:color w:val="auto"/>
          <w:szCs w:val="32"/>
        </w:rPr>
        <w:t xml:space="preserve"> </w:t>
      </w:r>
      <w:r>
        <w:rPr>
          <w:rFonts w:hint="eastAsia" w:ascii="宋体" w:hAnsi="宋体" w:cs="Times New Roman"/>
          <w:color w:val="auto"/>
          <w:szCs w:val="32"/>
        </w:rPr>
        <w:t xml:space="preserve"> </w:t>
      </w:r>
      <w:r>
        <w:rPr>
          <w:rFonts w:hint="eastAsia" w:ascii="宋体" w:hAnsi="宋体" w:cs="仿宋_GB2312"/>
          <w:color w:val="auto"/>
          <w:szCs w:val="32"/>
        </w:rPr>
        <w:t>县级以上红十字会依法采取下列方式开展公开募捐：</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（一）组织义演、义卖、义展、义拍等；</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（二）在公共场所设置红十字募捐箱；</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（三）设立募集接收点，接受救灾救助物资；</w:t>
      </w:r>
    </w:p>
    <w:p>
      <w:pPr>
        <w:widowControl w:val="0"/>
        <w:wordWrap/>
        <w:snapToGrid/>
        <w:spacing w:line="560" w:lineRule="exact"/>
        <w:ind w:firstLine="640" w:firstLineChars="200"/>
        <w:textAlignment w:val="auto"/>
        <w:rPr>
          <w:rFonts w:ascii="宋体" w:hAnsi="宋体" w:cs="Times New Roman"/>
          <w:color w:val="auto"/>
          <w:szCs w:val="32"/>
        </w:rPr>
      </w:pPr>
      <w:r>
        <w:rPr>
          <w:rFonts w:hint="eastAsia" w:ascii="宋体" w:hAnsi="宋体" w:cs="仿宋_GB2312"/>
          <w:color w:val="auto"/>
          <w:szCs w:val="32"/>
        </w:rPr>
        <w:t>（四）通过广播、电视、报刊、</w:t>
      </w:r>
      <w:r>
        <w:rPr>
          <w:rFonts w:hint="eastAsia" w:ascii="宋体" w:hAnsi="宋体" w:cs="仿宋_GB2312"/>
          <w:color w:val="auto"/>
          <w:szCs w:val="32"/>
          <w:lang w:eastAsia="zh-CN"/>
        </w:rPr>
        <w:t>网络</w:t>
      </w:r>
      <w:r>
        <w:rPr>
          <w:rFonts w:hint="eastAsia" w:ascii="宋体" w:hAnsi="宋体" w:cs="Times New Roman"/>
          <w:color w:val="auto"/>
          <w:szCs w:val="32"/>
        </w:rPr>
        <w:t>等媒体发布募捐信息；</w:t>
      </w:r>
    </w:p>
    <w:p>
      <w:pPr>
        <w:widowControl w:val="0"/>
        <w:wordWrap/>
        <w:snapToGrid/>
        <w:spacing w:line="560" w:lineRule="exact"/>
        <w:ind w:firstLine="640" w:firstLineChars="200"/>
        <w:textAlignment w:val="auto"/>
        <w:rPr>
          <w:rFonts w:ascii="宋体" w:hAnsi="宋体" w:cs="Times New Roman"/>
          <w:color w:val="auto"/>
          <w:szCs w:val="32"/>
        </w:rPr>
      </w:pPr>
      <w:r>
        <w:rPr>
          <w:rFonts w:hint="eastAsia" w:ascii="宋体" w:hAnsi="宋体" w:cs="Times New Roman"/>
          <w:color w:val="auto"/>
          <w:szCs w:val="32"/>
        </w:rPr>
        <w:t>（五）其他公开募捐方式。</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仿宋_GB2312" w:cs="仿宋_GB2312"/>
          <w:color w:val="auto"/>
          <w:szCs w:val="32"/>
        </w:rPr>
        <w:t>县</w:t>
      </w:r>
      <w:r>
        <w:rPr>
          <w:rFonts w:hint="eastAsia" w:ascii="宋体" w:hAnsi="宋体" w:cs="仿宋_GB2312"/>
          <w:color w:val="auto"/>
          <w:szCs w:val="32"/>
        </w:rPr>
        <w:t>级</w:t>
      </w:r>
      <w:r>
        <w:rPr>
          <w:rFonts w:hint="eastAsia" w:ascii="宋体" w:hAnsi="宋体" w:eastAsia="仿宋_GB2312" w:cs="仿宋_GB2312"/>
          <w:color w:val="auto"/>
          <w:szCs w:val="32"/>
        </w:rPr>
        <w:t>以上</w:t>
      </w:r>
      <w:r>
        <w:rPr>
          <w:rFonts w:hint="eastAsia" w:ascii="宋体" w:hAnsi="宋体" w:cs="仿宋_GB2312"/>
          <w:color w:val="auto"/>
          <w:szCs w:val="32"/>
        </w:rPr>
        <w:t>红十字会</w:t>
      </w:r>
      <w:r>
        <w:rPr>
          <w:rFonts w:hint="eastAsia" w:ascii="宋体" w:hAnsi="宋体" w:eastAsia="仿宋_GB2312" w:cs="仿宋_GB2312"/>
          <w:color w:val="auto"/>
          <w:szCs w:val="32"/>
        </w:rPr>
        <w:t>确有必要</w:t>
      </w:r>
      <w:r>
        <w:rPr>
          <w:rFonts w:hint="eastAsia" w:ascii="宋体" w:hAnsi="宋体" w:cs="仿宋_GB2312"/>
          <w:color w:val="auto"/>
          <w:szCs w:val="32"/>
        </w:rPr>
        <w:t>在所属行政区域以外</w:t>
      </w:r>
      <w:r>
        <w:rPr>
          <w:rFonts w:hint="eastAsia" w:ascii="宋体" w:hAnsi="宋体" w:eastAsia="仿宋_GB2312" w:cs="仿宋_GB2312"/>
          <w:color w:val="auto"/>
          <w:szCs w:val="32"/>
          <w:lang w:eastAsia="zh-CN"/>
        </w:rPr>
        <w:t>采取前款第一项至第三项规定的方式</w:t>
      </w:r>
      <w:r>
        <w:rPr>
          <w:rFonts w:hint="eastAsia" w:ascii="宋体" w:hAnsi="宋体" w:cs="仿宋_GB2312"/>
          <w:color w:val="auto"/>
          <w:szCs w:val="32"/>
        </w:rPr>
        <w:t>开展</w:t>
      </w:r>
      <w:r>
        <w:rPr>
          <w:rFonts w:hint="eastAsia" w:ascii="宋体" w:hAnsi="宋体" w:eastAsia="仿宋_GB2312" w:cs="仿宋_GB2312"/>
          <w:color w:val="auto"/>
          <w:szCs w:val="32"/>
        </w:rPr>
        <w:t>公开</w:t>
      </w:r>
      <w:r>
        <w:rPr>
          <w:rFonts w:hint="eastAsia" w:ascii="宋体" w:hAnsi="宋体" w:cs="仿宋_GB2312"/>
          <w:color w:val="auto"/>
          <w:szCs w:val="32"/>
        </w:rPr>
        <w:t>募捐</w:t>
      </w:r>
      <w:r>
        <w:rPr>
          <w:rFonts w:hint="eastAsia" w:ascii="宋体" w:hAnsi="宋体" w:eastAsia="仿宋_GB2312" w:cs="仿宋_GB2312"/>
          <w:color w:val="auto"/>
          <w:szCs w:val="32"/>
        </w:rPr>
        <w:t>的</w:t>
      </w:r>
      <w:r>
        <w:rPr>
          <w:rFonts w:hint="eastAsia" w:ascii="宋体" w:hAnsi="宋体" w:cs="仿宋_GB2312"/>
          <w:color w:val="auto"/>
          <w:szCs w:val="32"/>
        </w:rPr>
        <w:t>，由</w:t>
      </w:r>
      <w:r>
        <w:rPr>
          <w:rFonts w:hint="eastAsia" w:ascii="宋体" w:hAnsi="宋体" w:eastAsia="仿宋_GB2312" w:cs="仿宋_GB2312"/>
          <w:color w:val="auto"/>
          <w:szCs w:val="32"/>
        </w:rPr>
        <w:t>其</w:t>
      </w:r>
      <w:r>
        <w:rPr>
          <w:rFonts w:hint="eastAsia" w:ascii="宋体" w:hAnsi="宋体" w:cs="仿宋_GB2312"/>
          <w:color w:val="auto"/>
          <w:szCs w:val="32"/>
        </w:rPr>
        <w:t>上级红十字会负责协调</w:t>
      </w:r>
      <w:r>
        <w:rPr>
          <w:rFonts w:hint="eastAsia" w:ascii="宋体" w:hAnsi="宋体" w:eastAsia="仿宋_GB2312" w:cs="仿宋_GB2312"/>
          <w:color w:val="auto"/>
          <w:szCs w:val="32"/>
          <w:lang w:eastAsia="zh-CN"/>
        </w:rPr>
        <w:t>，</w:t>
      </w:r>
      <w:r>
        <w:rPr>
          <w:rFonts w:hint="eastAsia" w:ascii="宋体" w:hAnsi="宋体" w:eastAsia="仿宋_GB2312" w:cs="仿宋_GB2312"/>
          <w:color w:val="auto"/>
          <w:szCs w:val="32"/>
        </w:rPr>
        <w:t>并报其开展募捐活动所在地的县级以上人民政府民政部门备案</w:t>
      </w:r>
      <w:r>
        <w:rPr>
          <w:rFonts w:hint="eastAsia" w:ascii="宋体" w:hAnsi="宋体" w:cs="仿宋_GB2312"/>
          <w:color w:val="auto"/>
          <w:szCs w:val="32"/>
        </w:rPr>
        <w:t>。</w:t>
      </w:r>
    </w:p>
    <w:p>
      <w:pPr>
        <w:widowControl w:val="0"/>
        <w:wordWrap/>
        <w:snapToGrid/>
        <w:spacing w:line="560" w:lineRule="exact"/>
        <w:ind w:firstLine="640" w:firstLineChars="200"/>
        <w:textAlignment w:val="auto"/>
        <w:rPr>
          <w:rFonts w:hint="eastAsia" w:ascii="宋体" w:hAnsi="宋体" w:eastAsia="仿宋_GB2312"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仿宋_GB2312"/>
          <w:color w:val="auto"/>
          <w:szCs w:val="32"/>
        </w:rPr>
        <w:t xml:space="preserve">  </w:t>
      </w:r>
      <w:r>
        <w:rPr>
          <w:rFonts w:hint="eastAsia" w:ascii="宋体" w:hAnsi="宋体" w:eastAsia="仿宋_GB2312" w:cs="仿宋_GB2312"/>
          <w:i w:val="0"/>
          <w:iCs w:val="0"/>
          <w:color w:val="auto"/>
          <w:szCs w:val="32"/>
          <w:u w:val="none"/>
          <w:lang w:eastAsia="zh-CN"/>
        </w:rPr>
        <w:t>县</w:t>
      </w:r>
      <w:r>
        <w:rPr>
          <w:rFonts w:hint="eastAsia" w:ascii="宋体" w:hAnsi="宋体" w:cs="仿宋_GB2312"/>
          <w:color w:val="auto"/>
          <w:szCs w:val="32"/>
        </w:rPr>
        <w:t>级</w:t>
      </w:r>
      <w:r>
        <w:rPr>
          <w:rFonts w:hint="eastAsia" w:ascii="宋体" w:hAnsi="宋体" w:eastAsia="仿宋_GB2312" w:cs="仿宋_GB2312"/>
          <w:color w:val="auto"/>
          <w:szCs w:val="32"/>
          <w:lang w:eastAsia="zh-CN"/>
        </w:rPr>
        <w:t>以上</w:t>
      </w:r>
      <w:r>
        <w:rPr>
          <w:rFonts w:hint="eastAsia" w:ascii="宋体" w:hAnsi="宋体" w:cs="仿宋_GB2312"/>
          <w:color w:val="auto"/>
          <w:szCs w:val="32"/>
        </w:rPr>
        <w:t>红十字会应当建立红十字应急救护培训长效机制，</w:t>
      </w:r>
      <w:r>
        <w:rPr>
          <w:rFonts w:hint="eastAsia" w:ascii="宋体" w:hAnsi="宋体" w:cs="仿宋_GB2312"/>
          <w:i w:val="0"/>
          <w:iCs w:val="0"/>
          <w:color w:val="auto"/>
          <w:szCs w:val="32"/>
          <w:u w:val="none"/>
        </w:rPr>
        <w:t>推动社区、农村、学校、企业和机关的红十字</w:t>
      </w:r>
      <w:r>
        <w:rPr>
          <w:rFonts w:hint="eastAsia" w:ascii="宋体" w:hAnsi="宋体" w:cs="仿宋_GB2312"/>
          <w:i w:val="0"/>
          <w:iCs w:val="0"/>
          <w:color w:val="auto"/>
          <w:szCs w:val="32"/>
          <w:u w:val="none"/>
          <w:lang w:eastAsia="zh-CN"/>
        </w:rPr>
        <w:t>应急</w:t>
      </w:r>
      <w:r>
        <w:rPr>
          <w:rFonts w:hint="eastAsia" w:ascii="宋体" w:hAnsi="宋体" w:cs="仿宋_GB2312"/>
          <w:i w:val="0"/>
          <w:iCs w:val="0"/>
          <w:color w:val="auto"/>
          <w:szCs w:val="32"/>
          <w:u w:val="none"/>
        </w:rPr>
        <w:t>救护培训工作</w:t>
      </w:r>
      <w:r>
        <w:rPr>
          <w:rFonts w:hint="eastAsia" w:ascii="宋体" w:hAnsi="宋体" w:eastAsia="仿宋_GB2312" w:cs="仿宋_GB2312"/>
          <w:i w:val="0"/>
          <w:iCs w:val="0"/>
          <w:color w:val="auto"/>
          <w:szCs w:val="32"/>
          <w:u w:val="none"/>
          <w:lang w:eastAsia="zh-CN"/>
        </w:rPr>
        <w:t>，</w:t>
      </w:r>
      <w:r>
        <w:rPr>
          <w:rFonts w:hint="eastAsia" w:ascii="宋体" w:hAnsi="宋体" w:eastAsia="仿宋_GB2312" w:cs="仿宋_GB2312"/>
          <w:color w:val="auto"/>
          <w:kern w:val="0"/>
          <w:szCs w:val="32"/>
        </w:rPr>
        <w:t>在容易发生意外伤害的领域</w:t>
      </w:r>
      <w:r>
        <w:rPr>
          <w:rFonts w:hint="eastAsia" w:ascii="宋体" w:hAnsi="宋体" w:eastAsia="仿宋_GB2312" w:cs="仿宋_GB2312"/>
          <w:color w:val="auto"/>
          <w:kern w:val="0"/>
          <w:szCs w:val="32"/>
          <w:lang w:eastAsia="zh-CN"/>
        </w:rPr>
        <w:t>和行业</w:t>
      </w:r>
      <w:r>
        <w:rPr>
          <w:rFonts w:hint="eastAsia" w:ascii="宋体" w:hAnsi="宋体" w:eastAsia="仿宋_GB2312" w:cs="仿宋_GB2312"/>
          <w:color w:val="auto"/>
          <w:kern w:val="0"/>
          <w:szCs w:val="32"/>
        </w:rPr>
        <w:t>开展应急救护培训，普及卫生救护知识，</w:t>
      </w:r>
      <w:r>
        <w:rPr>
          <w:rFonts w:hint="eastAsia" w:ascii="宋体" w:hAnsi="宋体" w:eastAsia="仿宋_GB2312" w:cs="仿宋_GB2312"/>
          <w:color w:val="auto"/>
          <w:szCs w:val="32"/>
        </w:rPr>
        <w:t>提高自救互救能力</w:t>
      </w:r>
      <w:r>
        <w:rPr>
          <w:rFonts w:hint="eastAsia" w:ascii="宋体" w:hAnsi="宋体" w:cs="仿宋_GB2312"/>
          <w:color w:val="auto"/>
          <w:szCs w:val="32"/>
        </w:rPr>
        <w:t>。</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第十</w:t>
      </w:r>
      <w:r>
        <w:rPr>
          <w:rFonts w:hint="eastAsia" w:ascii="宋体" w:hAnsi="宋体" w:eastAsia="黑体" w:cs="黑体"/>
          <w:color w:val="auto"/>
          <w:szCs w:val="32"/>
          <w:lang w:eastAsia="zh-CN"/>
        </w:rPr>
        <w:t>九</w:t>
      </w:r>
      <w:r>
        <w:rPr>
          <w:rFonts w:hint="eastAsia" w:ascii="宋体" w:hAnsi="宋体" w:eastAsia="黑体" w:cs="黑体"/>
          <w:color w:val="auto"/>
          <w:szCs w:val="32"/>
        </w:rPr>
        <w:t xml:space="preserve">条  </w:t>
      </w:r>
      <w:r>
        <w:rPr>
          <w:rFonts w:hint="eastAsia" w:ascii="宋体" w:hAnsi="宋体" w:cs="仿宋_GB2312"/>
          <w:color w:val="auto"/>
          <w:szCs w:val="32"/>
        </w:rPr>
        <w:t>县级以上红十字会应当做好遗体与人体器官捐献的知识宣传、捐献登记、信息接收、捐献见证、缅怀纪念、人道救助等工作。省红十字会依法指导和协调下级红十字会参与、推动遗体与人体器官捐献工作，为捐受双方提供必要的人道救助。</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各级人民政府应当支持红十字会依法开展遗体与人体器官捐献工作，并保障相关工作经费。县级以上人民政府有关部门应当按照国家有关规定畅通人体捐献器官转运绿色通道。</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二十</w:t>
      </w:r>
      <w:r>
        <w:rPr>
          <w:rFonts w:hint="eastAsia" w:ascii="宋体" w:hAnsi="宋体" w:eastAsia="黑体" w:cs="黑体"/>
          <w:color w:val="auto"/>
          <w:szCs w:val="32"/>
        </w:rPr>
        <w:t xml:space="preserve">条 </w:t>
      </w:r>
      <w:r>
        <w:rPr>
          <w:rFonts w:hint="eastAsia" w:ascii="宋体" w:hAnsi="宋体" w:cs="Times New Roman"/>
          <w:color w:val="auto"/>
          <w:szCs w:val="32"/>
        </w:rPr>
        <w:t xml:space="preserve"> </w:t>
      </w:r>
      <w:r>
        <w:rPr>
          <w:rFonts w:hint="eastAsia" w:ascii="宋体" w:hAnsi="宋体" w:cs="仿宋_GB2312"/>
          <w:color w:val="auto"/>
          <w:szCs w:val="32"/>
        </w:rPr>
        <w:t>县级以上红十字会应当组织红十字会会员和志愿者，在城镇社区和农村开展以健康服务、大病医疗救助、扶贫帮困等为内容的人道主义服务活动。</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一</w:t>
      </w:r>
      <w:r>
        <w:rPr>
          <w:rFonts w:hint="eastAsia" w:ascii="宋体" w:hAnsi="宋体" w:eastAsia="黑体" w:cs="黑体"/>
          <w:color w:val="auto"/>
          <w:szCs w:val="32"/>
        </w:rPr>
        <w:t>条</w:t>
      </w:r>
      <w:r>
        <w:rPr>
          <w:rFonts w:hint="eastAsia" w:ascii="宋体" w:hAnsi="宋体" w:cs="Times New Roman"/>
          <w:color w:val="auto"/>
          <w:szCs w:val="32"/>
        </w:rPr>
        <w:t xml:space="preserve">  </w:t>
      </w:r>
      <w:r>
        <w:rPr>
          <w:rFonts w:hint="eastAsia" w:ascii="宋体" w:hAnsi="宋体" w:cs="仿宋_GB2312"/>
          <w:color w:val="auto"/>
          <w:szCs w:val="32"/>
        </w:rPr>
        <w:t>县级以上红十字会应当成立红十字志愿服务组织，吸收自愿为红十字事业工作的人员为红十字志愿者，组织其参加人道主义救助活动。</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0"/>
          <w:sz w:val="32"/>
          <w:szCs w:val="32"/>
          <w:lang w:val="en-US" w:eastAsia="zh-CN" w:bidi="ar-SA"/>
        </w:rPr>
      </w:pPr>
      <w:r>
        <w:rPr>
          <w:rFonts w:hint="eastAsia" w:ascii="宋体" w:hAnsi="宋体" w:eastAsia="仿宋_GB2312" w:cs="仿宋_GB2312"/>
          <w:color w:val="auto"/>
          <w:kern w:val="2"/>
          <w:sz w:val="32"/>
          <w:szCs w:val="32"/>
          <w:lang w:val="en-US" w:eastAsia="zh-CN" w:bidi="ar-SA"/>
        </w:rPr>
        <w:t>各级人民政府应当支持红十字会各类救援</w:t>
      </w:r>
      <w:r>
        <w:rPr>
          <w:rFonts w:hint="eastAsia" w:ascii="宋体" w:hAnsi="宋体" w:eastAsia="仿宋_GB2312" w:cs="仿宋_GB2312"/>
          <w:i w:val="0"/>
          <w:iCs w:val="0"/>
          <w:color w:val="auto"/>
          <w:kern w:val="2"/>
          <w:sz w:val="32"/>
          <w:szCs w:val="32"/>
          <w:u w:val="none"/>
          <w:lang w:val="en-US" w:eastAsia="zh-CN" w:bidi="ar-SA"/>
        </w:rPr>
        <w:t>志愿者</w:t>
      </w:r>
      <w:r>
        <w:rPr>
          <w:rFonts w:hint="eastAsia" w:ascii="宋体" w:hAnsi="宋体" w:eastAsia="仿宋_GB2312" w:cs="仿宋_GB2312"/>
          <w:color w:val="auto"/>
          <w:kern w:val="2"/>
          <w:sz w:val="32"/>
          <w:szCs w:val="32"/>
          <w:lang w:val="en-US" w:eastAsia="zh-CN" w:bidi="ar-SA"/>
        </w:rPr>
        <w:t>队伍建设，提高救援的能力和水平</w:t>
      </w:r>
      <w:r>
        <w:rPr>
          <w:rFonts w:hint="eastAsia" w:ascii="宋体" w:hAnsi="宋体" w:eastAsia="仿宋_GB2312" w:cs="仿宋_GB2312"/>
          <w:color w:val="auto"/>
          <w:kern w:val="0"/>
          <w:sz w:val="32"/>
          <w:szCs w:val="32"/>
          <w:lang w:val="en-US" w:eastAsia="zh-CN" w:bidi="ar-SA"/>
        </w:rPr>
        <w:t>。</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二</w:t>
      </w:r>
      <w:r>
        <w:rPr>
          <w:rFonts w:hint="eastAsia" w:ascii="宋体" w:hAnsi="宋体" w:eastAsia="黑体" w:cs="黑体"/>
          <w:color w:val="auto"/>
          <w:szCs w:val="32"/>
        </w:rPr>
        <w:t>条</w:t>
      </w:r>
      <w:r>
        <w:rPr>
          <w:rFonts w:hint="eastAsia" w:ascii="宋体" w:hAnsi="宋体" w:cs="Times New Roman"/>
          <w:color w:val="auto"/>
          <w:szCs w:val="32"/>
        </w:rPr>
        <w:t xml:space="preserve">  各级人民政府应当支持在学校开展红十字青少年工作。</w:t>
      </w:r>
      <w:r>
        <w:rPr>
          <w:rFonts w:hint="eastAsia" w:ascii="宋体" w:hAnsi="宋体" w:cs="仿宋_GB2312"/>
          <w:color w:val="auto"/>
          <w:szCs w:val="32"/>
        </w:rPr>
        <w:t>教育部门和共青团组织协同红十字会对青少年进行卫生救护知识和技能教育，开展体现人道主义精神的红十字青少年活动。</w:t>
      </w:r>
    </w:p>
    <w:p>
      <w:pPr>
        <w:widowControl w:val="0"/>
        <w:wordWrap/>
        <w:snapToGrid/>
        <w:spacing w:line="560" w:lineRule="exact"/>
        <w:ind w:firstLine="640" w:firstLineChars="200"/>
        <w:textAlignment w:val="auto"/>
        <w:rPr>
          <w:rFonts w:hint="eastAsia" w:ascii="宋体" w:hAnsi="宋体" w:cs="Times New Roman"/>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三</w:t>
      </w:r>
      <w:r>
        <w:rPr>
          <w:rFonts w:hint="eastAsia" w:ascii="宋体" w:hAnsi="宋体" w:eastAsia="黑体" w:cs="黑体"/>
          <w:color w:val="auto"/>
          <w:szCs w:val="32"/>
        </w:rPr>
        <w:t>条</w:t>
      </w:r>
      <w:r>
        <w:rPr>
          <w:rFonts w:hint="eastAsia" w:ascii="宋体" w:hAnsi="宋体" w:cs="Times New Roman"/>
          <w:color w:val="auto"/>
          <w:szCs w:val="32"/>
        </w:rPr>
        <w:t xml:space="preserve">  在自然灾害、事故灾难、公共卫生</w:t>
      </w:r>
      <w:r>
        <w:rPr>
          <w:rFonts w:hint="eastAsia" w:ascii="宋体" w:hAnsi="宋体" w:cs="Times New Roman"/>
          <w:color w:val="auto"/>
          <w:szCs w:val="32"/>
          <w:lang w:eastAsia="zh-CN"/>
        </w:rPr>
        <w:t>事件</w:t>
      </w:r>
      <w:r>
        <w:rPr>
          <w:rFonts w:hint="eastAsia" w:ascii="宋体" w:hAnsi="宋体" w:cs="Times New Roman"/>
          <w:color w:val="auto"/>
          <w:szCs w:val="32"/>
        </w:rPr>
        <w:t>等突发事件中，执行救助任务并标有红十字标志的人员、物资和交通工具有优先通行的权利，车辆免交通行费。</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四</w:t>
      </w:r>
      <w:r>
        <w:rPr>
          <w:rFonts w:hint="eastAsia" w:ascii="宋体" w:hAnsi="宋体" w:eastAsia="黑体" w:cs="黑体"/>
          <w:color w:val="auto"/>
          <w:szCs w:val="32"/>
        </w:rPr>
        <w:t>条</w:t>
      </w:r>
      <w:r>
        <w:rPr>
          <w:rFonts w:hint="eastAsia" w:ascii="宋体" w:hAnsi="宋体" w:cs="黑体"/>
          <w:i w:val="0"/>
          <w:iCs/>
          <w:color w:val="auto"/>
          <w:szCs w:val="32"/>
          <w:u w:val="none"/>
        </w:rPr>
        <w:t xml:space="preserve">  </w:t>
      </w:r>
      <w:r>
        <w:rPr>
          <w:rFonts w:hint="eastAsia" w:ascii="宋体" w:hAnsi="宋体" w:cs="仿宋_GB2312"/>
          <w:color w:val="auto"/>
          <w:szCs w:val="32"/>
        </w:rPr>
        <w:t>县级以上人民政府应当将红十字会的信息化建设纳入当地信息化建设总体规划，提升红十字会的科学管理和信息公开水平，实现备灾救灾、社会救助等信息</w:t>
      </w:r>
      <w:r>
        <w:rPr>
          <w:rFonts w:hint="eastAsia" w:ascii="宋体" w:hAnsi="宋体" w:cs="仿宋_GB2312"/>
          <w:color w:val="auto"/>
          <w:szCs w:val="32"/>
          <w:lang w:eastAsia="zh-CN"/>
        </w:rPr>
        <w:t>的</w:t>
      </w:r>
      <w:r>
        <w:rPr>
          <w:rFonts w:hint="eastAsia" w:ascii="宋体" w:hAnsi="宋体" w:cs="仿宋_GB2312"/>
          <w:color w:val="auto"/>
          <w:szCs w:val="32"/>
        </w:rPr>
        <w:t>互联互通</w:t>
      </w:r>
      <w:r>
        <w:rPr>
          <w:rFonts w:hint="eastAsia" w:ascii="宋体" w:hAnsi="宋体" w:cs="仿宋_GB2312"/>
          <w:color w:val="auto"/>
          <w:szCs w:val="32"/>
          <w:lang w:eastAsia="zh-CN"/>
        </w:rPr>
        <w:t>和</w:t>
      </w:r>
      <w:r>
        <w:rPr>
          <w:rFonts w:hint="eastAsia" w:ascii="宋体" w:hAnsi="宋体" w:cs="仿宋_GB2312"/>
          <w:color w:val="auto"/>
          <w:szCs w:val="32"/>
        </w:rPr>
        <w:t>共享。</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五</w:t>
      </w:r>
      <w:r>
        <w:rPr>
          <w:rFonts w:hint="eastAsia" w:ascii="宋体" w:hAnsi="宋体" w:eastAsia="黑体" w:cs="黑体"/>
          <w:color w:val="auto"/>
          <w:szCs w:val="32"/>
        </w:rPr>
        <w:t xml:space="preserve">条  </w:t>
      </w:r>
      <w:r>
        <w:rPr>
          <w:rFonts w:hint="eastAsia" w:ascii="宋体" w:hAnsi="宋体" w:cs="仿宋_GB2312"/>
          <w:color w:val="auto"/>
          <w:szCs w:val="32"/>
        </w:rPr>
        <w:t>任何组织和个人不得有下列行为：</w:t>
      </w:r>
    </w:p>
    <w:p>
      <w:pPr>
        <w:widowControl w:val="0"/>
        <w:wordWrap/>
        <w:snapToGrid/>
        <w:spacing w:line="560" w:lineRule="exact"/>
        <w:ind w:firstLine="640" w:firstLineChars="200"/>
        <w:textAlignment w:val="auto"/>
        <w:rPr>
          <w:rFonts w:hint="eastAsia" w:ascii="宋体" w:hAnsi="宋体" w:cs="仿宋_GB2312"/>
          <w:color w:val="auto"/>
          <w:szCs w:val="32"/>
          <w:lang w:eastAsia="zh-CN"/>
        </w:rPr>
      </w:pPr>
      <w:r>
        <w:rPr>
          <w:rFonts w:hint="eastAsia" w:ascii="宋体" w:hAnsi="宋体" w:cs="仿宋_GB2312"/>
          <w:color w:val="auto"/>
          <w:szCs w:val="32"/>
        </w:rPr>
        <w:t>（一）阻碍红十字会工作人员依法履行职责</w:t>
      </w:r>
      <w:r>
        <w:rPr>
          <w:rFonts w:hint="eastAsia" w:ascii="宋体" w:hAnsi="宋体" w:cs="仿宋_GB2312"/>
          <w:color w:val="auto"/>
          <w:szCs w:val="32"/>
          <w:lang w:eastAsia="zh-CN"/>
        </w:rPr>
        <w:t>；</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（二）制造、发布、传播涉及红十字会的虚假信息；</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（三）冒用、滥用、篡改红十字标志和名称；</w:t>
      </w:r>
    </w:p>
    <w:p>
      <w:pPr>
        <w:widowControl w:val="0"/>
        <w:wordWrap/>
        <w:snapToGrid/>
        <w:spacing w:line="560" w:lineRule="exact"/>
        <w:ind w:firstLine="640" w:firstLineChars="200"/>
        <w:textAlignment w:val="auto"/>
        <w:rPr>
          <w:rFonts w:hint="eastAsia" w:ascii="宋体" w:hAnsi="宋体" w:cs="仿宋_GB2312"/>
          <w:color w:val="auto"/>
          <w:szCs w:val="32"/>
        </w:rPr>
      </w:pPr>
      <w:r>
        <w:rPr>
          <w:rFonts w:hint="eastAsia" w:ascii="宋体" w:hAnsi="宋体" w:cs="仿宋_GB2312"/>
          <w:color w:val="auto"/>
          <w:szCs w:val="32"/>
        </w:rPr>
        <w:t>（</w:t>
      </w:r>
      <w:r>
        <w:rPr>
          <w:rFonts w:hint="eastAsia" w:ascii="宋体" w:hAnsi="宋体" w:cs="仿宋_GB2312"/>
          <w:color w:val="auto"/>
          <w:szCs w:val="32"/>
          <w:lang w:eastAsia="zh-CN"/>
        </w:rPr>
        <w:t>四</w:t>
      </w:r>
      <w:r>
        <w:rPr>
          <w:rFonts w:hint="eastAsia" w:ascii="宋体" w:hAnsi="宋体" w:cs="仿宋_GB2312"/>
          <w:color w:val="auto"/>
          <w:szCs w:val="32"/>
        </w:rPr>
        <w:t>）利用红十字标志和名称或者容易导致混淆的标志和名称牟利。</w:t>
      </w:r>
    </w:p>
    <w:p>
      <w:pPr>
        <w:widowControl w:val="0"/>
        <w:wordWrap/>
        <w:snapToGrid/>
        <w:spacing w:before="0" w:beforeLines="0" w:after="0" w:afterLines="0" w:line="560" w:lineRule="exact"/>
        <w:ind w:firstLine="640" w:firstLineChars="200"/>
        <w:jc w:val="both"/>
        <w:textAlignment w:val="auto"/>
        <w:rPr>
          <w:rFonts w:ascii="宋体" w:hAnsi="宋体" w:eastAsia="楷体_GB2312" w:cs="楷体_GB2312"/>
          <w:color w:val="auto"/>
          <w:kern w:val="2"/>
          <w:sz w:val="32"/>
          <w:szCs w:val="32"/>
          <w:lang w:val="en-US" w:eastAsia="zh-CN" w:bidi="ar-SA"/>
        </w:rPr>
      </w:pPr>
    </w:p>
    <w:p>
      <w:pPr>
        <w:widowControl w:val="0"/>
        <w:wordWrap/>
        <w:snapToGrid/>
        <w:spacing w:before="0" w:beforeLines="0" w:after="0" w:afterLines="0" w:line="560" w:lineRule="exact"/>
        <w:ind w:firstLine="0" w:firstLineChars="0"/>
        <w:jc w:val="center"/>
        <w:textAlignment w:val="auto"/>
        <w:rPr>
          <w:rFonts w:hint="eastAsia" w:ascii="宋体" w:hAnsi="宋体" w:eastAsia="黑体" w:cs="黑体"/>
          <w:iCs/>
          <w:color w:val="auto"/>
          <w:kern w:val="2"/>
          <w:sz w:val="32"/>
          <w:szCs w:val="32"/>
          <w:lang w:val="en-US" w:eastAsia="zh-CN" w:bidi="ar-SA"/>
        </w:rPr>
      </w:pPr>
      <w:r>
        <w:rPr>
          <w:rFonts w:hint="eastAsia" w:ascii="宋体" w:hAnsi="宋体" w:eastAsia="黑体" w:cs="黑体"/>
          <w:iCs/>
          <w:color w:val="auto"/>
          <w:kern w:val="2"/>
          <w:sz w:val="32"/>
          <w:szCs w:val="32"/>
          <w:lang w:val="en-US" w:eastAsia="zh-CN" w:bidi="ar-SA"/>
        </w:rPr>
        <w:t>第四章  财产与监管</w:t>
      </w:r>
    </w:p>
    <w:p>
      <w:pPr>
        <w:widowControl w:val="0"/>
        <w:wordWrap/>
        <w:snapToGrid/>
        <w:spacing w:before="0" w:beforeLines="0" w:after="0" w:afterLines="0" w:line="560" w:lineRule="exact"/>
        <w:ind w:firstLine="0" w:firstLineChars="0"/>
        <w:jc w:val="center"/>
        <w:textAlignment w:val="auto"/>
        <w:rPr>
          <w:rFonts w:hint="eastAsia" w:ascii="宋体" w:hAnsi="宋体" w:eastAsia="黑体" w:cs="黑体"/>
          <w:iCs/>
          <w:color w:val="auto"/>
          <w:kern w:val="2"/>
          <w:sz w:val="32"/>
          <w:szCs w:val="32"/>
          <w:lang w:val="en-US" w:eastAsia="zh-CN" w:bidi="ar-SA"/>
        </w:rPr>
      </w:pPr>
    </w:p>
    <w:p>
      <w:pPr>
        <w:widowControl w:val="0"/>
        <w:wordWrap/>
        <w:snapToGrid/>
        <w:spacing w:line="560" w:lineRule="exact"/>
        <w:ind w:firstLine="640" w:firstLineChars="200"/>
        <w:textAlignment w:val="auto"/>
        <w:rPr>
          <w:rFonts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六</w:t>
      </w:r>
      <w:r>
        <w:rPr>
          <w:rFonts w:hint="eastAsia" w:ascii="宋体" w:hAnsi="宋体" w:eastAsia="黑体" w:cs="黑体"/>
          <w:color w:val="auto"/>
          <w:szCs w:val="32"/>
        </w:rPr>
        <w:t>条</w:t>
      </w:r>
      <w:r>
        <w:rPr>
          <w:rFonts w:hint="eastAsia" w:ascii="宋体" w:hAnsi="宋体" w:cs="黑体"/>
          <w:color w:val="auto"/>
          <w:szCs w:val="32"/>
        </w:rPr>
        <w:t xml:space="preserve">  红十字会财产的主要来源：</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（一）红十字会会员缴纳的会费；</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（二）红十字会动产和不动产收入；</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（三）境内外组织和个人捐赠的财产；</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（四）红十字会基层组织所在单位和部门的资助；</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（五）人民政府拨款；</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（六）其他合法收入。</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红十字会应当将捐赠财产和其他财产分开管理，并依照法律法规的有关规定处分捐赠财产。</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七</w:t>
      </w:r>
      <w:r>
        <w:rPr>
          <w:rFonts w:hint="eastAsia" w:ascii="宋体" w:hAnsi="宋体" w:eastAsia="黑体" w:cs="黑体"/>
          <w:color w:val="auto"/>
          <w:szCs w:val="32"/>
        </w:rPr>
        <w:t xml:space="preserve">条 </w:t>
      </w:r>
      <w:r>
        <w:rPr>
          <w:rFonts w:hint="eastAsia" w:ascii="宋体" w:hAnsi="宋体" w:cs="Times New Roman"/>
          <w:color w:val="auto"/>
          <w:szCs w:val="32"/>
        </w:rPr>
        <w:t xml:space="preserve"> </w:t>
      </w:r>
      <w:r>
        <w:rPr>
          <w:rFonts w:hint="eastAsia" w:ascii="宋体" w:hAnsi="宋体" w:cs="黑体"/>
          <w:color w:val="auto"/>
          <w:szCs w:val="32"/>
        </w:rPr>
        <w:t>省红十字会依法可以设立红十字基金会，市、县级红十字会可以设立专项基金，接受境内外组织和个人捐赠，用于发展红十字事业。</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黑体"/>
          <w:color w:val="auto"/>
          <w:szCs w:val="32"/>
        </w:rPr>
        <w:t xml:space="preserve">  红十字会依法接受自然人、法人以及其他组织捐赠的财产，应当向捐赠人开具由财政部门统一监（印）制的公益事业捐赠票据。捐赠人匿名或者放弃接受捐赠票据的，红十字会应当做好相关记录。</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第二十</w:t>
      </w:r>
      <w:r>
        <w:rPr>
          <w:rFonts w:hint="eastAsia" w:ascii="宋体" w:hAnsi="宋体" w:eastAsia="黑体" w:cs="黑体"/>
          <w:color w:val="auto"/>
          <w:szCs w:val="32"/>
          <w:lang w:eastAsia="zh-CN"/>
        </w:rPr>
        <w:t>九</w:t>
      </w:r>
      <w:r>
        <w:rPr>
          <w:rFonts w:hint="eastAsia" w:ascii="宋体" w:hAnsi="宋体" w:eastAsia="黑体" w:cs="黑体"/>
          <w:color w:val="auto"/>
          <w:szCs w:val="32"/>
        </w:rPr>
        <w:t xml:space="preserve">条 </w:t>
      </w:r>
      <w:r>
        <w:rPr>
          <w:rFonts w:hint="eastAsia" w:ascii="宋体" w:hAnsi="宋体" w:cs="Times New Roman"/>
          <w:color w:val="auto"/>
          <w:szCs w:val="32"/>
        </w:rPr>
        <w:t xml:space="preserve"> </w:t>
      </w:r>
      <w:r>
        <w:rPr>
          <w:rFonts w:hint="eastAsia" w:ascii="宋体" w:hAnsi="宋体" w:cs="黑体"/>
          <w:color w:val="auto"/>
          <w:szCs w:val="32"/>
        </w:rPr>
        <w:t>红十字会处分捐赠财产时，应当按照募捐方案、捐赠协议或者捐赠人意愿执行，不得擅自改变捐赠财产的用途。</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确需改变捐赠财产用途的，应当征得捐赠人的书面同意。经公告仍无法联系到捐赠人的，红十字会可以拟制使用计划，提交监事会审核并报同级人民政府民政部门</w:t>
      </w:r>
      <w:r>
        <w:rPr>
          <w:rFonts w:hint="eastAsia" w:ascii="宋体" w:hAnsi="宋体" w:cs="黑体"/>
          <w:color w:val="auto"/>
          <w:szCs w:val="32"/>
          <w:lang w:eastAsia="zh-CN"/>
        </w:rPr>
        <w:t>备案</w:t>
      </w:r>
      <w:r>
        <w:rPr>
          <w:rFonts w:hint="eastAsia" w:ascii="宋体" w:hAnsi="宋体" w:cs="黑体"/>
          <w:color w:val="auto"/>
          <w:szCs w:val="32"/>
        </w:rPr>
        <w:t>后实施，有关财产的使用情况应当向社会公布。</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对于没有具体捐赠意向的捐赠财产，</w:t>
      </w:r>
      <w:r>
        <w:rPr>
          <w:rFonts w:hint="eastAsia" w:ascii="宋体" w:hAnsi="宋体" w:cs="黑体"/>
          <w:color w:val="auto"/>
          <w:szCs w:val="32"/>
          <w:lang w:eastAsia="zh-CN"/>
        </w:rPr>
        <w:t>由红十字会</w:t>
      </w:r>
      <w:r>
        <w:rPr>
          <w:rFonts w:hint="eastAsia" w:ascii="宋体" w:hAnsi="宋体" w:cs="黑体"/>
          <w:color w:val="auto"/>
          <w:szCs w:val="32"/>
        </w:rPr>
        <w:t>依法根据红十字事业发展的需要使用，并及时主动向捐赠人反馈使用情况。</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lang w:eastAsia="zh-CN"/>
        </w:rPr>
        <w:t>第三十条</w:t>
      </w:r>
      <w:r>
        <w:rPr>
          <w:rFonts w:hint="eastAsia" w:ascii="宋体" w:hAnsi="宋体" w:cs="Times New Roman"/>
          <w:color w:val="auto"/>
          <w:szCs w:val="32"/>
          <w:lang w:val="en-US" w:eastAsia="zh-CN"/>
        </w:rPr>
        <w:t xml:space="preserve">  </w:t>
      </w:r>
      <w:r>
        <w:rPr>
          <w:rFonts w:hint="eastAsia" w:ascii="宋体" w:hAnsi="宋体" w:cs="黑体"/>
          <w:color w:val="auto"/>
          <w:szCs w:val="32"/>
        </w:rPr>
        <w:t>捐赠</w:t>
      </w:r>
      <w:r>
        <w:rPr>
          <w:rFonts w:hint="eastAsia" w:ascii="宋体" w:hAnsi="宋体" w:cs="黑体"/>
          <w:color w:val="auto"/>
          <w:szCs w:val="32"/>
          <w:lang w:eastAsia="zh-CN"/>
        </w:rPr>
        <w:t>人</w:t>
      </w:r>
      <w:r>
        <w:rPr>
          <w:rFonts w:hint="eastAsia" w:ascii="宋体" w:hAnsi="宋体" w:cs="黑体"/>
          <w:color w:val="auto"/>
          <w:szCs w:val="32"/>
        </w:rPr>
        <w:t>有权向红十字会查询、复制其所捐赠财产管理、使用的有关资料，并提出意见和建议；红十字会应当在收到捐赠</w:t>
      </w:r>
      <w:r>
        <w:rPr>
          <w:rFonts w:hint="eastAsia" w:ascii="宋体" w:hAnsi="宋体" w:cs="黑体"/>
          <w:color w:val="auto"/>
          <w:szCs w:val="32"/>
          <w:lang w:eastAsia="zh-CN"/>
        </w:rPr>
        <w:t>人</w:t>
      </w:r>
      <w:r>
        <w:rPr>
          <w:rFonts w:hint="eastAsia" w:ascii="宋体" w:hAnsi="宋体" w:cs="黑体"/>
          <w:color w:val="auto"/>
          <w:szCs w:val="32"/>
        </w:rPr>
        <w:t>要求之日起二十个工作日内如实提供有关资料。</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红十字会违反募捐方案、捐赠人意愿或者捐赠协议的约定，滥用捐赠财产的，捐赠人有权要求其改正；拒不改正的，捐赠人可以向人民政府民政部门投诉、举报或者向人民法院提起诉讼。</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仿宋_GB2312"/>
          <w:color w:val="auto"/>
          <w:kern w:val="2"/>
          <w:sz w:val="32"/>
          <w:szCs w:val="32"/>
          <w:lang w:val="en-US" w:eastAsia="zh-CN" w:bidi="ar-SA"/>
        </w:rPr>
        <w:t>捐赠人与红十字会对其捐赠财产管理、使用存在争议的，双方可以协商委托独立的第三方机构，对捐赠财产的管理、使用情况进行审计。</w:t>
      </w:r>
    </w:p>
    <w:p>
      <w:pPr>
        <w:widowControl w:val="0"/>
        <w:wordWrap/>
        <w:snapToGrid/>
        <w:spacing w:line="560" w:lineRule="exact"/>
        <w:ind w:firstLine="640" w:firstLineChars="200"/>
        <w:textAlignment w:val="auto"/>
        <w:rPr>
          <w:rFonts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三十一</w:t>
      </w:r>
      <w:r>
        <w:rPr>
          <w:rFonts w:hint="eastAsia" w:ascii="宋体" w:hAnsi="宋体" w:eastAsia="黑体" w:cs="黑体"/>
          <w:color w:val="auto"/>
          <w:szCs w:val="32"/>
        </w:rPr>
        <w:t xml:space="preserve">条 </w:t>
      </w:r>
      <w:r>
        <w:rPr>
          <w:rFonts w:hint="eastAsia" w:ascii="宋体" w:hAnsi="宋体" w:cs="黑体"/>
          <w:color w:val="auto"/>
          <w:szCs w:val="32"/>
        </w:rPr>
        <w:t xml:space="preserve"> </w:t>
      </w:r>
      <w:r>
        <w:rPr>
          <w:rFonts w:hint="eastAsia" w:ascii="宋体" w:hAnsi="宋体" w:cs="仿宋_GB2312"/>
          <w:color w:val="auto"/>
          <w:szCs w:val="32"/>
        </w:rPr>
        <w:t>红十字会应当建立捐赠财产的财务管理、内部控制、审计公开和监督检查制度，规范捐赠财产的管理和使用，依法接受同级人民政府的检查监督。</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红十字会应当建立救灾救助财产接收发放管理制度和专项审查监督制度，对使用情况进行定期自查和分级检查，保障捐赠财产的安全和合理使用。</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县级以上红十字会监事会应当有监察、财政、审计、民政等部门的代表和捐赠人、志愿者，以及具有良好公信力、热心红十字事业的医疗卫生、财务会计、法律等领域的社会人士参加，对红十字会财务、项目以及捐赠财产的使用、分配情况等事项进行监督。</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上级红十字会应当加强对下级红十字会的财务监督。</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二</w:t>
      </w:r>
      <w:r>
        <w:rPr>
          <w:rFonts w:hint="eastAsia" w:ascii="宋体" w:hAnsi="宋体" w:eastAsia="黑体" w:cs="黑体"/>
          <w:color w:val="auto"/>
          <w:szCs w:val="32"/>
        </w:rPr>
        <w:t xml:space="preserve">条 </w:t>
      </w:r>
      <w:r>
        <w:rPr>
          <w:rFonts w:hint="eastAsia" w:ascii="宋体" w:hAnsi="宋体" w:cs="黑体"/>
          <w:color w:val="auto"/>
          <w:szCs w:val="32"/>
        </w:rPr>
        <w:t xml:space="preserve"> 县级以上人民政府应当建立红十字会绩效考评和问责机制，严格实行责任追究。</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红十字会接受社会捐赠及其使用情况，依法接受同级人民政府民政部门的监督；红十字会财产的收入和使用情况，依法接受人民政府财政、审计等部门的监督。</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黑体" w:cs="黑体"/>
          <w:color w:val="auto"/>
          <w:kern w:val="0"/>
          <w:sz w:val="32"/>
          <w:szCs w:val="32"/>
          <w:lang w:val="en-US" w:eastAsia="zh-CN" w:bidi="ar-SA"/>
        </w:rPr>
        <w:t>第三十三</w:t>
      </w:r>
      <w:r>
        <w:rPr>
          <w:rFonts w:hint="eastAsia" w:ascii="宋体" w:hAnsi="宋体" w:eastAsia="黑体" w:cs="仿宋_GB2312"/>
          <w:color w:val="auto"/>
          <w:kern w:val="0"/>
          <w:sz w:val="32"/>
          <w:szCs w:val="32"/>
          <w:lang w:val="en-US" w:eastAsia="zh-CN" w:bidi="ar-SA"/>
        </w:rPr>
        <w:t xml:space="preserve">条 </w:t>
      </w:r>
      <w:r>
        <w:rPr>
          <w:rFonts w:hint="eastAsia" w:ascii="宋体" w:hAnsi="宋体" w:eastAsia="黑体" w:cs="仿宋_GB2312"/>
          <w:color w:val="auto"/>
          <w:kern w:val="2"/>
          <w:sz w:val="32"/>
          <w:szCs w:val="32"/>
          <w:lang w:val="en-US" w:eastAsia="zh-CN" w:bidi="ar-SA"/>
        </w:rPr>
        <w:t xml:space="preserve"> </w:t>
      </w:r>
      <w:r>
        <w:rPr>
          <w:rFonts w:hint="eastAsia" w:ascii="宋体" w:hAnsi="宋体" w:eastAsia="仿宋_GB2312" w:cs="黑体"/>
          <w:color w:val="auto"/>
          <w:kern w:val="2"/>
          <w:sz w:val="32"/>
          <w:szCs w:val="32"/>
          <w:lang w:val="en-US" w:eastAsia="zh-CN" w:bidi="ar-SA"/>
        </w:rPr>
        <w:t>县级以上红十字会应当聘请依法设立的独立第三方机构，对捐赠财产的收入和使用情况进行审计，将审计结果向本级红十字会理事会和监事会报告，并向社会公布。</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仿宋_GB2312"/>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对红十字会在接收、管理、使用捐赠财产过程中的违法行为，公民、法人和其他组织均有权向民政部门和监察机关投诉、举报。接受投诉、举报的单位应当及时调查处理</w:t>
      </w:r>
      <w:r>
        <w:rPr>
          <w:rFonts w:hint="eastAsia" w:ascii="宋体" w:hAnsi="宋体" w:eastAsia="仿宋_GB2312" w:cs="仿宋_GB2312"/>
          <w:color w:val="auto"/>
          <w:kern w:val="2"/>
          <w:sz w:val="32"/>
          <w:szCs w:val="32"/>
          <w:lang w:val="en-US" w:eastAsia="zh-CN" w:bidi="ar-SA"/>
        </w:rPr>
        <w:t>，并将调查处理结果反馈给举报人。</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黑体" w:cs="黑体"/>
          <w:color w:val="auto"/>
          <w:kern w:val="2"/>
          <w:sz w:val="32"/>
          <w:szCs w:val="32"/>
          <w:lang w:val="en-US" w:eastAsia="zh-CN" w:bidi="ar-SA"/>
        </w:rPr>
        <w:t>第三十四条</w:t>
      </w:r>
      <w:r>
        <w:rPr>
          <w:rFonts w:hint="eastAsia" w:ascii="宋体" w:hAnsi="宋体" w:eastAsia="仿宋_GB2312" w:cs="仿宋_GB2312"/>
          <w:color w:val="auto"/>
          <w:kern w:val="2"/>
          <w:sz w:val="32"/>
          <w:szCs w:val="32"/>
          <w:lang w:val="en-US" w:eastAsia="zh-CN" w:bidi="ar-SA"/>
        </w:rPr>
        <w:t xml:space="preserve">  </w:t>
      </w:r>
      <w:r>
        <w:rPr>
          <w:rFonts w:hint="eastAsia" w:ascii="宋体" w:hAnsi="宋体" w:eastAsia="仿宋_GB2312" w:cs="黑体"/>
          <w:color w:val="auto"/>
          <w:kern w:val="2"/>
          <w:sz w:val="32"/>
          <w:szCs w:val="32"/>
          <w:lang w:val="en-US" w:eastAsia="zh-CN" w:bidi="ar-SA"/>
        </w:rPr>
        <w:t>红十字会应当依法执行信息公开制度，通过统一信息公开平台及时向社会公布资金募集、财务管理、招标采购、分配使用等捐赠信息，接受社会监督。</w:t>
      </w:r>
    </w:p>
    <w:p>
      <w:pPr>
        <w:widowControl w:val="0"/>
        <w:wordWrap/>
        <w:snapToGrid/>
        <w:spacing w:line="560" w:lineRule="exact"/>
        <w:ind w:firstLine="640" w:firstLineChars="200"/>
        <w:textAlignment w:val="auto"/>
        <w:rPr>
          <w:rFonts w:hint="eastAsia" w:ascii="宋体" w:hAnsi="宋体" w:eastAsia="仿宋_GB2312" w:cs="黑体"/>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红十字会应当每年向社会公开经审计的捐赠收支情况报告，定期向社会公开其募捐情况和项目实施情况。捐赠项目结束后三个月内应当全面公开项目实施情况和募得财产使用情况。</w:t>
      </w:r>
    </w:p>
    <w:p>
      <w:pPr>
        <w:widowControl w:val="0"/>
        <w:wordWrap/>
        <w:snapToGrid/>
        <w:spacing w:before="0" w:beforeLines="0" w:after="0" w:afterLines="0" w:line="560" w:lineRule="exact"/>
        <w:ind w:firstLine="640" w:firstLineChars="200"/>
        <w:jc w:val="both"/>
        <w:textAlignment w:val="auto"/>
        <w:rPr>
          <w:rFonts w:hint="eastAsia" w:ascii="宋体" w:hAnsi="宋体" w:eastAsia="仿宋_GB2312" w:cs="黑体"/>
          <w:color w:val="auto"/>
          <w:kern w:val="2"/>
          <w:sz w:val="32"/>
          <w:szCs w:val="32"/>
          <w:lang w:val="en-US" w:eastAsia="zh-CN" w:bidi="ar-SA"/>
        </w:rPr>
      </w:pPr>
      <w:r>
        <w:rPr>
          <w:rFonts w:hint="eastAsia" w:ascii="宋体" w:hAnsi="宋体" w:eastAsia="仿宋_GB2312" w:cs="黑体"/>
          <w:color w:val="auto"/>
          <w:kern w:val="2"/>
          <w:sz w:val="32"/>
          <w:szCs w:val="32"/>
          <w:lang w:val="en-US" w:eastAsia="zh-CN" w:bidi="ar-SA"/>
        </w:rPr>
        <w:t>涉及国家秘密、商业秘密、个人隐私的信息以及捐赠人、慈善信托的委托人不同意公开的姓名、名称、住所、通讯方式等信息，不得公开。</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五</w:t>
      </w:r>
      <w:r>
        <w:rPr>
          <w:rFonts w:hint="eastAsia" w:ascii="宋体" w:hAnsi="宋体" w:eastAsia="黑体" w:cs="黑体"/>
          <w:color w:val="auto"/>
          <w:szCs w:val="32"/>
        </w:rPr>
        <w:t>条</w:t>
      </w:r>
      <w:r>
        <w:rPr>
          <w:rFonts w:hint="eastAsia" w:ascii="宋体" w:hAnsi="宋体" w:cs="黑体"/>
          <w:color w:val="auto"/>
          <w:szCs w:val="32"/>
        </w:rPr>
        <w:t xml:space="preserve">  各级人民政府对红十字会兴办的医疗、康复、养老等与其宗旨相符的社会公益事业给予扶持。</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自然人、法人以及其他组织向红十字会捐赠财产，依法享受税收优惠。</w:t>
      </w:r>
    </w:p>
    <w:p>
      <w:pPr>
        <w:widowControl w:val="0"/>
        <w:wordWrap/>
        <w:snapToGrid/>
        <w:spacing w:line="560" w:lineRule="exact"/>
        <w:ind w:firstLine="640" w:firstLineChars="200"/>
        <w:textAlignment w:val="auto"/>
        <w:rPr>
          <w:rFonts w:hint="eastAsia" w:ascii="宋体" w:hAnsi="宋体" w:cs="黑体"/>
          <w:color w:val="auto"/>
          <w:szCs w:val="32"/>
          <w:lang w:eastAsia="zh-CN"/>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六</w:t>
      </w:r>
      <w:r>
        <w:rPr>
          <w:rFonts w:hint="eastAsia" w:ascii="宋体" w:hAnsi="宋体" w:eastAsia="黑体" w:cs="黑体"/>
          <w:color w:val="auto"/>
          <w:szCs w:val="32"/>
        </w:rPr>
        <w:t>条</w:t>
      </w:r>
      <w:r>
        <w:rPr>
          <w:rFonts w:hint="eastAsia" w:ascii="宋体" w:hAnsi="宋体" w:cs="黑体"/>
          <w:color w:val="auto"/>
          <w:szCs w:val="32"/>
        </w:rPr>
        <w:t xml:space="preserve">  红十字会的财产受法律保护，</w:t>
      </w:r>
      <w:r>
        <w:rPr>
          <w:rFonts w:hint="eastAsia" w:ascii="宋体" w:hAnsi="宋体" w:cs="黑体"/>
          <w:color w:val="auto"/>
          <w:szCs w:val="32"/>
          <w:lang w:eastAsia="zh-CN"/>
        </w:rPr>
        <w:t>红十字会及其工作人员</w:t>
      </w:r>
      <w:r>
        <w:rPr>
          <w:rFonts w:hint="eastAsia" w:ascii="宋体" w:hAnsi="宋体" w:cs="黑体"/>
          <w:color w:val="auto"/>
          <w:szCs w:val="32"/>
        </w:rPr>
        <w:t>不得私分、挪用、截留或者侵占</w:t>
      </w:r>
      <w:r>
        <w:rPr>
          <w:rFonts w:hint="eastAsia" w:ascii="宋体" w:hAnsi="宋体" w:cs="黑体"/>
          <w:color w:val="auto"/>
          <w:szCs w:val="32"/>
          <w:lang w:eastAsia="zh-CN"/>
        </w:rPr>
        <w:t>。</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lang w:eastAsia="zh-CN"/>
        </w:rPr>
        <w:t>任何组织和个人不得盗窃、损毁或者以其他方式侵害红十字会的财产</w:t>
      </w:r>
      <w:r>
        <w:rPr>
          <w:rFonts w:hint="eastAsia" w:ascii="宋体" w:hAnsi="宋体" w:cs="黑体"/>
          <w:color w:val="auto"/>
          <w:szCs w:val="32"/>
        </w:rPr>
        <w:t>。</w:t>
      </w:r>
    </w:p>
    <w:p>
      <w:pPr>
        <w:widowControl w:val="0"/>
        <w:wordWrap/>
        <w:snapToGrid/>
        <w:spacing w:line="560" w:lineRule="exact"/>
        <w:ind w:firstLine="640" w:firstLineChars="200"/>
        <w:textAlignment w:val="auto"/>
        <w:rPr>
          <w:rFonts w:hint="eastAsia" w:ascii="宋体" w:hAnsi="宋体" w:eastAsia="仿宋_GB2312" w:cs="仿宋_GB2312"/>
          <w:color w:val="auto"/>
          <w:szCs w:val="32"/>
          <w:lang w:eastAsia="zh-CN"/>
        </w:rPr>
      </w:pPr>
    </w:p>
    <w:p>
      <w:pPr>
        <w:widowControl w:val="0"/>
        <w:wordWrap/>
        <w:snapToGrid/>
        <w:spacing w:line="560" w:lineRule="exact"/>
        <w:jc w:val="center"/>
        <w:textAlignment w:val="auto"/>
        <w:rPr>
          <w:rFonts w:hint="eastAsia" w:ascii="宋体" w:hAnsi="宋体" w:eastAsia="黑体" w:cs="黑体"/>
          <w:iCs/>
          <w:color w:val="auto"/>
          <w:szCs w:val="32"/>
        </w:rPr>
      </w:pPr>
      <w:r>
        <w:rPr>
          <w:rFonts w:hint="eastAsia" w:ascii="宋体" w:hAnsi="宋体" w:eastAsia="黑体" w:cs="黑体"/>
          <w:color w:val="auto"/>
          <w:szCs w:val="32"/>
        </w:rPr>
        <w:t>第五章  法律责任</w:t>
      </w:r>
    </w:p>
    <w:p>
      <w:pPr>
        <w:widowControl w:val="0"/>
        <w:wordWrap/>
        <w:snapToGrid/>
        <w:spacing w:line="560" w:lineRule="exact"/>
        <w:textAlignment w:val="auto"/>
        <w:rPr>
          <w:rFonts w:ascii="宋体" w:hAnsi="宋体" w:cs="Times New Roman"/>
          <w:color w:val="auto"/>
          <w:szCs w:val="32"/>
        </w:rPr>
      </w:pP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七</w:t>
      </w:r>
      <w:r>
        <w:rPr>
          <w:rFonts w:hint="eastAsia" w:ascii="宋体" w:hAnsi="宋体" w:eastAsia="黑体" w:cs="黑体"/>
          <w:color w:val="auto"/>
          <w:szCs w:val="32"/>
        </w:rPr>
        <w:t>条</w:t>
      </w:r>
      <w:r>
        <w:rPr>
          <w:rFonts w:hint="eastAsia" w:ascii="宋体" w:hAnsi="宋体" w:cs="Times New Roman"/>
          <w:color w:val="auto"/>
          <w:szCs w:val="32"/>
        </w:rPr>
        <w:t xml:space="preserve">  </w:t>
      </w:r>
      <w:r>
        <w:rPr>
          <w:rFonts w:hint="eastAsia" w:ascii="宋体" w:hAnsi="宋体" w:cs="黑体"/>
          <w:color w:val="auto"/>
          <w:szCs w:val="32"/>
        </w:rPr>
        <w:t>红十字会及其工作人员有下列行为之一的，由本级人民政府审计、民政等部门责令改正；情节严重的，对直接负责的主管人员和其他直接责任人员依法给予处分；造成损害的，依法承担民事责任；构成犯罪的，依法追究刑事责任：</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（一）违背募捐方案、捐赠人意愿或者捐赠协议，擅自处分其接受的捐赠财产的；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（二）未依法向捐赠人反馈所捐赠财产的管理、使用情况的；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（三）无正当理由拒绝捐赠人查询、复制或者逾期不提供其捐赠财产管理、使用的有关资料，或者提供虚假资料的；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（四）未依法向捐赠人开具捐赠票据的；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（五）未依法对捐赠财产的收入和使用情况进行审计的；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（六）私分、挪用、截留或者侵占财产的；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（七）未依法公开信息的；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（八）法律法规规定的其他情形。</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八</w:t>
      </w:r>
      <w:r>
        <w:rPr>
          <w:rFonts w:hint="eastAsia" w:ascii="宋体" w:hAnsi="宋体" w:eastAsia="黑体" w:cs="黑体"/>
          <w:color w:val="auto"/>
          <w:szCs w:val="32"/>
        </w:rPr>
        <w:t>条</w:t>
      </w:r>
      <w:r>
        <w:rPr>
          <w:rFonts w:hint="eastAsia" w:ascii="宋体" w:hAnsi="宋体" w:cs="Times New Roman"/>
          <w:color w:val="auto"/>
          <w:szCs w:val="32"/>
        </w:rPr>
        <w:t xml:space="preserve">  </w:t>
      </w:r>
      <w:r>
        <w:rPr>
          <w:rFonts w:hint="eastAsia" w:ascii="宋体" w:hAnsi="宋体" w:cs="黑体"/>
          <w:color w:val="auto"/>
          <w:szCs w:val="32"/>
        </w:rPr>
        <w:t>自然人、法人或者其他组织有下列情形之一，造成损害的，依法承担民事责任；构成违反治安管理行为的，依法给予治安管理处罚；构成犯罪的，依法追究刑事责任：</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（一）阻碍红十字会工作人员依法履行救援、救助、救护职责的；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（二）制造、发布、传播</w:t>
      </w:r>
      <w:r>
        <w:rPr>
          <w:rFonts w:hint="eastAsia" w:ascii="宋体" w:hAnsi="宋体" w:cs="黑体"/>
          <w:color w:val="auto"/>
          <w:szCs w:val="32"/>
          <w:lang w:eastAsia="zh-CN"/>
        </w:rPr>
        <w:t>涉及红十字会的</w:t>
      </w:r>
      <w:r>
        <w:rPr>
          <w:rFonts w:hint="eastAsia" w:ascii="宋体" w:hAnsi="宋体" w:cs="黑体"/>
          <w:color w:val="auto"/>
          <w:szCs w:val="32"/>
        </w:rPr>
        <w:t>虚假信息的；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（三）冒用、滥用、篡改红十字标志和名称的；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（四）利用红十字标志和名称或者容易导致混淆的标志和名称牟利的；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（五）盗窃、损毁或者以其他方式侵害红十字会财产的；</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cs="黑体"/>
          <w:color w:val="auto"/>
          <w:szCs w:val="32"/>
        </w:rPr>
        <w:t>（六）法律法规规定的其他情形。</w:t>
      </w:r>
    </w:p>
    <w:p>
      <w:pPr>
        <w:widowControl w:val="0"/>
        <w:wordWrap/>
        <w:snapToGrid/>
        <w:spacing w:line="560" w:lineRule="exact"/>
        <w:ind w:firstLine="640" w:firstLineChars="200"/>
        <w:textAlignment w:val="auto"/>
        <w:rPr>
          <w:rFonts w:hint="eastAsia" w:ascii="宋体" w:hAnsi="宋体" w:cs="黑体"/>
          <w:color w:val="auto"/>
          <w:szCs w:val="32"/>
        </w:rPr>
      </w:pPr>
      <w:r>
        <w:rPr>
          <w:rFonts w:hint="eastAsia" w:ascii="宋体" w:hAnsi="宋体" w:eastAsia="黑体" w:cs="黑体"/>
          <w:color w:val="auto"/>
          <w:szCs w:val="32"/>
        </w:rPr>
        <w:t>第三十</w:t>
      </w:r>
      <w:r>
        <w:rPr>
          <w:rFonts w:hint="eastAsia" w:ascii="宋体" w:hAnsi="宋体" w:eastAsia="黑体" w:cs="黑体"/>
          <w:color w:val="auto"/>
          <w:szCs w:val="32"/>
          <w:lang w:eastAsia="zh-CN"/>
        </w:rPr>
        <w:t>九</w:t>
      </w:r>
      <w:r>
        <w:rPr>
          <w:rFonts w:hint="eastAsia" w:ascii="宋体" w:hAnsi="宋体" w:eastAsia="黑体" w:cs="黑体"/>
          <w:color w:val="auto"/>
          <w:szCs w:val="32"/>
        </w:rPr>
        <w:t>条</w:t>
      </w:r>
      <w:r>
        <w:rPr>
          <w:rFonts w:hint="eastAsia" w:ascii="宋体" w:hAnsi="宋体" w:cs="黑体"/>
          <w:color w:val="auto"/>
          <w:szCs w:val="32"/>
        </w:rPr>
        <w:t xml:space="preserve"> </w:t>
      </w:r>
      <w:r>
        <w:rPr>
          <w:rFonts w:hint="eastAsia" w:ascii="宋体" w:hAnsi="宋体" w:cs="Times New Roman"/>
          <w:color w:val="auto"/>
          <w:szCs w:val="32"/>
        </w:rPr>
        <w:t xml:space="preserve"> </w:t>
      </w:r>
      <w:r>
        <w:rPr>
          <w:rFonts w:hint="eastAsia" w:ascii="宋体" w:hAnsi="宋体" w:cs="黑体"/>
          <w:color w:val="auto"/>
          <w:szCs w:val="32"/>
        </w:rPr>
        <w:t>各级人民政府有关部门及其工作人员违反本条例规定，在实施监督管理中玩忽职守、滥用职权、徇私舞弊的，对直接负责的主管人员和其他直接责任人员依法给予处分；构成犯罪的，依法追究刑事责任。</w:t>
      </w:r>
    </w:p>
    <w:p>
      <w:pPr>
        <w:widowControl w:val="0"/>
        <w:wordWrap/>
        <w:snapToGrid/>
        <w:spacing w:before="0" w:beforeLines="0" w:after="0" w:afterLines="0" w:line="560" w:lineRule="exact"/>
        <w:ind w:firstLine="640" w:firstLineChars="200"/>
        <w:jc w:val="both"/>
        <w:textAlignment w:val="auto"/>
        <w:rPr>
          <w:rFonts w:ascii="宋体" w:hAnsi="宋体" w:eastAsia="仿宋_GB2312" w:cs="仿宋_GB2312"/>
          <w:color w:val="auto"/>
          <w:kern w:val="2"/>
          <w:sz w:val="32"/>
          <w:szCs w:val="32"/>
          <w:lang w:val="en-US" w:eastAsia="zh-CN" w:bidi="ar-SA"/>
        </w:rPr>
      </w:pPr>
    </w:p>
    <w:p>
      <w:pPr>
        <w:widowControl w:val="0"/>
        <w:wordWrap/>
        <w:snapToGrid/>
        <w:spacing w:line="560" w:lineRule="exact"/>
        <w:ind w:firstLine="3200" w:firstLineChars="1000"/>
        <w:textAlignment w:val="auto"/>
        <w:rPr>
          <w:rFonts w:ascii="宋体" w:hAnsi="宋体" w:cs="黑体"/>
          <w:color w:val="auto"/>
          <w:szCs w:val="32"/>
        </w:rPr>
      </w:pPr>
      <w:r>
        <w:rPr>
          <w:rFonts w:hint="eastAsia" w:ascii="宋体" w:hAnsi="宋体" w:eastAsia="黑体" w:cs="黑体"/>
          <w:color w:val="auto"/>
          <w:szCs w:val="32"/>
        </w:rPr>
        <w:t>第六章  附则</w:t>
      </w:r>
    </w:p>
    <w:p>
      <w:pPr>
        <w:widowControl w:val="0"/>
        <w:wordWrap/>
        <w:snapToGrid/>
        <w:spacing w:line="560" w:lineRule="exact"/>
        <w:ind w:firstLine="640" w:firstLineChars="200"/>
        <w:textAlignment w:val="auto"/>
        <w:rPr>
          <w:rFonts w:ascii="宋体" w:hAnsi="宋体" w:eastAsia="黑体" w:cs="黑体"/>
          <w:color w:val="auto"/>
          <w:szCs w:val="32"/>
        </w:rPr>
      </w:pPr>
    </w:p>
    <w:p>
      <w:pPr>
        <w:widowControl w:val="0"/>
        <w:wordWrap/>
        <w:adjustRightInd w:val="0"/>
        <w:snapToGrid/>
        <w:spacing w:line="560" w:lineRule="exact"/>
        <w:ind w:left="0" w:leftChars="0" w:right="0" w:firstLine="640" w:firstLineChars="200"/>
        <w:jc w:val="both"/>
        <w:textAlignment w:val="auto"/>
        <w:outlineLvl w:val="9"/>
        <w:rPr>
          <w:rFonts w:hint="eastAsia" w:ascii="宋体" w:hAnsi="宋体" w:cs="仿宋_GB2312"/>
          <w:color w:val="auto"/>
          <w:szCs w:val="32"/>
        </w:rPr>
      </w:pPr>
      <w:r>
        <w:rPr>
          <w:rFonts w:hint="eastAsia" w:ascii="宋体" w:hAnsi="宋体" w:eastAsia="黑体" w:cs="黑体"/>
          <w:color w:val="auto"/>
          <w:szCs w:val="32"/>
        </w:rPr>
        <w:t>第</w:t>
      </w:r>
      <w:r>
        <w:rPr>
          <w:rFonts w:hint="eastAsia" w:ascii="宋体" w:hAnsi="宋体" w:eastAsia="黑体" w:cs="黑体"/>
          <w:color w:val="auto"/>
          <w:szCs w:val="32"/>
          <w:lang w:eastAsia="zh-CN"/>
        </w:rPr>
        <w:t>四十</w:t>
      </w:r>
      <w:r>
        <w:rPr>
          <w:rFonts w:hint="eastAsia" w:ascii="宋体" w:hAnsi="宋体" w:eastAsia="黑体" w:cs="黑体"/>
          <w:color w:val="auto"/>
          <w:szCs w:val="32"/>
        </w:rPr>
        <w:t>条</w:t>
      </w:r>
      <w:r>
        <w:rPr>
          <w:rFonts w:hint="eastAsia" w:ascii="宋体" w:hAnsi="宋体" w:cs="仿宋_GB2312"/>
          <w:color w:val="auto"/>
          <w:szCs w:val="32"/>
        </w:rPr>
        <w:t xml:space="preserve">  本条例自</w:t>
      </w:r>
      <w:r>
        <w:rPr>
          <w:rFonts w:hint="eastAsia" w:ascii="宋体" w:hAnsi="宋体" w:cs="仿宋_GB2312"/>
          <w:color w:val="auto"/>
          <w:szCs w:val="32"/>
          <w:lang w:val="en-US" w:eastAsia="zh-CN"/>
        </w:rPr>
        <w:t>2019</w:t>
      </w:r>
      <w:r>
        <w:rPr>
          <w:rFonts w:hint="eastAsia" w:ascii="宋体" w:hAnsi="宋体" w:cs="仿宋_GB2312"/>
          <w:color w:val="auto"/>
          <w:szCs w:val="32"/>
        </w:rPr>
        <w:t>年</w:t>
      </w:r>
      <w:r>
        <w:rPr>
          <w:rFonts w:hint="eastAsia" w:ascii="宋体" w:hAnsi="宋体" w:cs="仿宋_GB2312"/>
          <w:i w:val="0"/>
          <w:iCs w:val="0"/>
          <w:color w:val="auto"/>
          <w:szCs w:val="32"/>
          <w:u w:val="none"/>
          <w:lang w:val="en-US" w:eastAsia="zh-CN"/>
        </w:rPr>
        <w:t>5</w:t>
      </w:r>
      <w:r>
        <w:rPr>
          <w:rFonts w:hint="eastAsia" w:ascii="宋体" w:hAnsi="宋体" w:cs="仿宋_GB2312"/>
          <w:color w:val="auto"/>
          <w:szCs w:val="32"/>
        </w:rPr>
        <w:t>月</w:t>
      </w:r>
      <w:r>
        <w:rPr>
          <w:rFonts w:hint="eastAsia" w:ascii="宋体" w:hAnsi="宋体" w:cs="仿宋_GB2312"/>
          <w:color w:val="auto"/>
          <w:szCs w:val="32"/>
          <w:lang w:val="en-US" w:eastAsia="zh-CN"/>
        </w:rPr>
        <w:t>8</w:t>
      </w:r>
      <w:r>
        <w:rPr>
          <w:rFonts w:hint="eastAsia" w:ascii="宋体" w:hAnsi="宋体" w:cs="仿宋_GB2312"/>
          <w:color w:val="auto"/>
          <w:szCs w:val="32"/>
        </w:rPr>
        <w:t>日起施行。</w:t>
      </w:r>
    </w:p>
    <w:p>
      <w:pPr>
        <w:widowControl w:val="0"/>
        <w:wordWrap/>
        <w:snapToGrid/>
        <w:spacing w:line="560" w:lineRule="exact"/>
        <w:textAlignment w:val="auto"/>
        <w:rPr>
          <w:rFonts w:hint="eastAsia" w:ascii="宋体" w:hAnsi="宋体" w:eastAsia="宋体" w:cs="宋体"/>
          <w:color w:val="000000"/>
          <w:sz w:val="44"/>
          <w:szCs w:val="44"/>
        </w:rPr>
      </w:pPr>
    </w:p>
    <w:p>
      <w:pPr>
        <w:widowControl w:val="0"/>
        <w:wordWrap/>
        <w:snapToGrid/>
        <w:spacing w:line="560" w:lineRule="exact"/>
        <w:textAlignment w:val="auto"/>
        <w:rPr>
          <w:rFonts w:hint="eastAsia" w:ascii="宋体" w:hAnsi="宋体" w:eastAsia="宋体" w:cs="宋体"/>
          <w:color w:val="000000"/>
          <w:sz w:val="44"/>
          <w:szCs w:val="44"/>
        </w:rPr>
      </w:pPr>
      <w:r>
        <w:rPr>
          <w:rFonts w:hint="eastAsia" w:ascii="宋体" w:hAnsi="宋体" w:eastAsia="宋体" w:cs="宋体"/>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3" w:name="_Toc210"/>
      <w:r>
        <w:rPr>
          <w:rFonts w:hint="eastAsia" w:ascii="宋体" w:hAnsi="宋体" w:eastAsia="宋体" w:cs="宋体"/>
          <w:color w:val="000000"/>
          <w:sz w:val="44"/>
          <w:szCs w:val="44"/>
        </w:rPr>
        <w:t>广东省工资支付条例</w:t>
      </w:r>
      <w:bookmarkEnd w:id="473"/>
    </w:p>
    <w:p>
      <w:pPr>
        <w:pStyle w:val="37"/>
        <w:widowControl w:val="0"/>
        <w:wordWrap/>
        <w:overflowPunct w:val="0"/>
        <w:snapToGrid/>
        <w:spacing w:before="0" w:beforeAutospacing="0" w:after="0" w:afterAutospacing="0" w:line="560" w:lineRule="exact"/>
        <w:ind w:left="0" w:leftChars="0" w:right="0"/>
        <w:jc w:val="center"/>
        <w:textAlignment w:val="auto"/>
        <w:outlineLvl w:val="9"/>
        <w:rPr>
          <w:rFonts w:hint="eastAsia" w:ascii="宋体" w:hAnsi="宋体" w:eastAsia="宋体" w:cs="宋体"/>
          <w:b w:val="0"/>
          <w:bCs/>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left"/>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（2005年1月19日广东省第十届人民代表大会常务委员会第十六次会议通过  根据2016年9</w:t>
      </w:r>
      <w:r>
        <w:rPr>
          <w:rFonts w:hint="eastAsia" w:ascii="楷体" w:hAnsi="楷体" w:eastAsia="楷体" w:cs="楷体"/>
          <w:b w:val="0"/>
          <w:bCs/>
          <w:sz w:val="32"/>
          <w:szCs w:val="32"/>
          <w:lang w:eastAsia="zh-CN"/>
        </w:rPr>
        <w:t>月</w:t>
      </w:r>
      <w:r>
        <w:rPr>
          <w:rFonts w:hint="eastAsia" w:ascii="楷体" w:hAnsi="楷体" w:eastAsia="楷体" w:cs="楷体"/>
          <w:b w:val="0"/>
          <w:bCs/>
          <w:sz w:val="32"/>
          <w:szCs w:val="32"/>
        </w:rPr>
        <w:t>29日广东省第十二届人民代表大会常务委员会第二十八次会议《关于修改〈广东省工资支付条例〉的决定》修正）</w:t>
      </w:r>
    </w:p>
    <w:p>
      <w:pPr>
        <w:pStyle w:val="35"/>
        <w:widowControl w:val="0"/>
        <w:wordWrap/>
        <w:overflowPunct w:val="0"/>
        <w:adjustRightInd w:val="0"/>
        <w:snapToGrid w:val="0"/>
        <w:spacing w:beforeAutospacing="0" w:afterAutospacing="0" w:line="560" w:lineRule="exact"/>
        <w:ind w:right="640" w:rightChars="200"/>
        <w:jc w:val="left"/>
        <w:textAlignment w:val="auto"/>
        <w:outlineLvl w:val="9"/>
        <w:rPr>
          <w:rFonts w:hint="eastAsia" w:ascii="宋体" w:hAnsi="宋体" w:eastAsia="宋体" w:cs="宋体"/>
          <w:b w:val="0"/>
          <w:bCs/>
          <w:sz w:val="32"/>
          <w:szCs w:val="32"/>
          <w:lang w:val="en-US" w:eastAsia="zh-CN"/>
        </w:rPr>
      </w:pPr>
    </w:p>
    <w:p>
      <w:pPr>
        <w:pStyle w:val="37"/>
        <w:widowControl w:val="0"/>
        <w:wordWrap/>
        <w:overflowPunct w:val="0"/>
        <w:snapToGrid/>
        <w:spacing w:before="0" w:beforeAutospacing="0" w:after="0" w:afterAutospacing="0" w:line="560" w:lineRule="exact"/>
        <w:ind w:left="0" w:leftChars="0" w:right="0" w:firstLine="631"/>
        <w:jc w:val="center"/>
        <w:textAlignment w:val="auto"/>
        <w:outlineLvl w:val="9"/>
        <w:rPr>
          <w:rFonts w:hint="eastAsia" w:ascii="宋体" w:hAnsi="宋体" w:eastAsia="楷体_GB2312" w:cs="楷体_GB2312"/>
          <w:b w:val="0"/>
          <w:bCs/>
          <w:sz w:val="32"/>
          <w:szCs w:val="32"/>
          <w:lang w:eastAsia="zh-CN"/>
        </w:rPr>
      </w:pPr>
      <w:r>
        <w:rPr>
          <w:rFonts w:hint="eastAsia" w:ascii="宋体" w:hAnsi="宋体" w:eastAsia="楷体_GB2312" w:cs="楷体_GB2312"/>
          <w:b w:val="0"/>
          <w:bCs/>
          <w:sz w:val="32"/>
          <w:szCs w:val="32"/>
          <w:lang w:eastAsia="zh-CN"/>
        </w:rPr>
        <w:t>目</w:t>
      </w:r>
      <w:r>
        <w:rPr>
          <w:rFonts w:hint="eastAsia" w:ascii="宋体" w:hAnsi="宋体" w:eastAsia="楷体_GB2312" w:cs="楷体_GB2312"/>
          <w:b w:val="0"/>
          <w:bCs/>
          <w:sz w:val="32"/>
          <w:szCs w:val="32"/>
          <w:lang w:val="en-US" w:eastAsia="zh-CN"/>
        </w:rPr>
        <w:t xml:space="preserve">    </w:t>
      </w:r>
      <w:r>
        <w:rPr>
          <w:rFonts w:hint="eastAsia" w:ascii="宋体" w:hAnsi="宋体" w:eastAsia="楷体_GB2312" w:cs="楷体_GB2312"/>
          <w:b w:val="0"/>
          <w:bCs/>
          <w:sz w:val="32"/>
          <w:szCs w:val="32"/>
          <w:lang w:eastAsia="zh-CN"/>
        </w:rPr>
        <w:t>录</w:t>
      </w:r>
    </w:p>
    <w:p>
      <w:pPr>
        <w:pStyle w:val="37"/>
        <w:widowControl w:val="0"/>
        <w:wordWrap/>
        <w:overflowPunct w:val="0"/>
        <w:snapToGrid/>
        <w:spacing w:before="0" w:beforeAutospacing="0" w:after="0" w:afterAutospacing="0" w:line="560" w:lineRule="exact"/>
        <w:ind w:left="0" w:leftChars="0" w:right="0" w:firstLine="631"/>
        <w:jc w:val="center"/>
        <w:textAlignment w:val="auto"/>
        <w:outlineLvl w:val="9"/>
        <w:rPr>
          <w:rFonts w:hint="eastAsia" w:ascii="宋体" w:hAnsi="宋体" w:eastAsia="宋体" w:cs="宋体"/>
          <w:b w:val="0"/>
          <w:bCs/>
          <w:sz w:val="32"/>
          <w:szCs w:val="32"/>
          <w:lang w:eastAsia="zh-CN"/>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第二章  工资支付</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第三章  监督检查</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第四章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第五章  附则</w:t>
      </w:r>
    </w:p>
    <w:p>
      <w:pPr>
        <w:widowControl w:val="0"/>
        <w:wordWrap/>
        <w:overflowPunct w:val="0"/>
        <w:snapToGrid/>
        <w:spacing w:beforeAutospacing="0" w:afterAutospacing="0" w:line="560" w:lineRule="exact"/>
        <w:ind w:left="0" w:leftChars="0" w:right="0"/>
        <w:jc w:val="both"/>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第一章  总则</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为规范工资支付，保障劳动者取得劳动报酬的权利，建立和谐的劳动关系，促进社会稳定和经济发展，根据《中华人民共和国劳动法》和有关法律、行政法规，结合本省实际，制定本条例。</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本条例适用于本省行政区域内的企业、民办非企业单位、个体经济组织</w:t>
      </w:r>
      <w:r>
        <w:rPr>
          <w:rFonts w:hint="eastAsia" w:ascii="宋体" w:hAnsi="宋体" w:eastAsia="仿宋_GB2312" w:cs="仿宋"/>
          <w:b w:val="0"/>
          <w:bCs/>
          <w:color w:val="000000"/>
          <w:sz w:val="32"/>
          <w:szCs w:val="32"/>
        </w:rPr>
        <w:t>、基金会、会计师事务所、律师事务所等组织</w:t>
      </w:r>
      <w:r>
        <w:rPr>
          <w:rFonts w:hint="eastAsia" w:ascii="宋体" w:hAnsi="宋体" w:eastAsia="仿宋_GB2312" w:cs="仿宋"/>
          <w:b w:val="0"/>
          <w:bCs/>
          <w:sz w:val="32"/>
          <w:szCs w:val="32"/>
        </w:rPr>
        <w:t>（以下统称用人单位）和与之建立劳动关系的劳动者。</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国家机关、事业单位、社会团体和与之建立劳动关系的劳动者，依照本条例执行。</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省人民政府按照规定制定最低工资标准，地级以上市人民政府应当在省人民政府公布的最低工资标准中确定本市的最低工资标准。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县级以上人民政府应当定期公布劳动力市场工资指导价位和工资指导线，并为用人单位和劳动者提供指导和服务。</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工资支付实行按时足额、优先支付原则。</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劳动者在法定工作时间或者劳动合同约定的工作时间内提供正常劳动的，用人单位确定其工资标准不得低于当地最低工资标准。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各级人民政府应当建立健全工资支付预警机制、信用监督机制和应急处置机制。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各地级以上市人民政府应当建立欠薪应急周转金制度。</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县级以上人民政府人力资源社会保障部门负责对本行政区域内用人单位的工资支付行为进行指导和监督检查。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工商、住房城乡建设、交通运输、水利、海关、税务等有关部门和银行，应当在各自职责范围内协助人力资源社会保障部门对工资支付行为实施监督。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工会、共产主义青年团、妇女联合会、残疾人联合会等组织依法维护劳动者获得劳动报酬的权利。</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任何单位和个人有权检举工资支付的违法行为。</w:t>
      </w:r>
    </w:p>
    <w:p>
      <w:pPr>
        <w:widowControl w:val="0"/>
        <w:wordWrap/>
        <w:overflowPunct w:val="0"/>
        <w:snapToGrid/>
        <w:spacing w:beforeAutospacing="0" w:afterAutospacing="0" w:line="560" w:lineRule="exact"/>
        <w:ind w:left="0" w:leftChars="0" w:right="0" w:firstLine="640" w:firstLineChars="200"/>
        <w:jc w:val="center"/>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第二章 </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工资支付</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用人单位应当依法制定本单位的工资支付制度，并书面告知本单位全体劳动者。</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工资支付制度包括如下事项：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（一）工资的分配形式、项目、标准及其确定、调整办法；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（二）工资支付的周期和日期；</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（三）加班、延长工作时间和特殊情况下的工资及支付办法；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（四）工资的代扣、代缴及扣除事项；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（五）其他有关事项。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劳动者有权向用人单位查询有关工资支付制度的内容。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用人单位与劳动者应当在劳动合同中依法约定正常工作时间工资，约定的工资不得低于所在地政府公布的本年度最低工资标准。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未约定的或者约定不明确的，以用人单位所在地县级人民政府公布的上年度职工月平均工资作为正常工作时间工资；实际支付的工资高于当地政府公布的上年度职工月平均工资的，实际支付的工资视为与劳动者约定的正常工作时间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第九条 </w:t>
      </w:r>
      <w:r>
        <w:rPr>
          <w:rFonts w:hint="eastAsia" w:ascii="宋体" w:hAnsi="宋体" w:eastAsia="仿宋_GB2312" w:cs="仿宋"/>
          <w:b w:val="0"/>
          <w:bCs/>
          <w:sz w:val="32"/>
          <w:szCs w:val="32"/>
        </w:rPr>
        <w:t xml:space="preserve"> 用人单位可以依法与本单位工会或者职工代表就工资支付有关事项进行集体协商，签订集体协议。</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用人单位应当以货币形式按照确定的工资支付周期足额支付工资，不得拖欠或者克扣。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实行月、周、日、小时工资制的，工资支付周期可以按月、周、日、小时确定。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实行计件工资制或者以完成一定任务计发工资的，工资支付周期可以按计件或者完成工作任务情况约定，但支付周期超过一个月的，用人单位应当按照约定每月支付工资。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实行年薪制或者按考核周期支付工资的，用人单位应当按照约定每月支付工资，年终或者考核周期届满时应当结算并付清工资。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用人单位应当将工资直接支付给劳动者本人。劳动者本人因故不能领取工资时，可以委托他人代领，但应当出具委托书。</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用人单位委托银行代发工资的，应当在约定的工资支付日将劳动者的工资足额存入其本人账户。</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用人单位与劳动者应当在劳动合同中明确约定工资支付周期和支付日期。</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用人单位应当按照约定的日期支付劳动者工资；遇法定休假日或者休息日，应当提前在最近的工作日支付。</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用人单位与劳动者依法终止或者解除劳动关系的，应当在终止或者解除劳动关系当日结清并一次性支付劳动者工资。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用人单位按照有关规定从劳动者工资中代扣下列款项：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（一）劳动者应当缴纳的个人所得税；</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（二）劳动者个人应当缴纳的各项社会保险费和住房公积金；</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（三）人民法院判决、裁定代扣的抚养费、赡养费、扶养费；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（四）法律、法规规定或者双方约定应当代扣的其他款项。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因劳动者过错造成用人单位直接经济损失，依法应当承担赔偿责任的，用人单位可以从其工资中扣除赔偿费，但应当提前书面告知扣除原因及数额；未书面告知的不得扣除。扣除赔偿费后的月工资余额不得低于当地最低工资标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用人单位应当按照工资支付周期如实编制工资支付台账。工资支付台账应当至少保存二年。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工资支付台账应当包括支付日期、支付周期、支付对象姓名、工作时间、应发工资项目及数额，代扣、代缴、扣除项目和数额，实发工资数额，银行代发工资凭证或者劳动者签名等内容。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用人单位支付工资时，应当向劳动者提供其本人的工资清单。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用人单位延长劳动者工作时间或者在休息日、法定休假日安排劳动者工作的，应当在工资清单中列明相应的工资报酬；未列明且无法举证已支付的，视为未支付相应的工资报酬。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工资清单项目及数额应当与工资支付台账相一致。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劳动者有权查询和核对本人工资清单。</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第十八条 </w:t>
      </w:r>
      <w:r>
        <w:rPr>
          <w:rFonts w:hint="eastAsia" w:ascii="宋体" w:hAnsi="宋体" w:eastAsia="仿宋_GB2312" w:cs="仿宋"/>
          <w:b w:val="0"/>
          <w:bCs/>
          <w:sz w:val="32"/>
          <w:szCs w:val="32"/>
        </w:rPr>
        <w:t xml:space="preserve"> 日工资按照劳动者月工资额除以国家规定的月平均工作天数确定；小时工资以日工资除以日工作时间确定，日工作时间不得超过八小时。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劳动者依法享受法定休假日、年休假、探亲假、婚假、丧假、产假、看护假、计划生育假等假期期间，用人单位应当视同其正常劳动并支付正常工作时间的工资。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用人单位安排劳动者加班或者延长工作时间，应当按照下列标准支付劳动者加班或者延长工作时间的工资报酬：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（一）工作日安排劳动者延长工作时间的，支付不低于劳动者本人日或者小时正常工作时间工资的百分之一百五十的工资报酬；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（二）休息日安排劳动者工作又不能安排补休的，支付不低于劳动者本人日或者小时正常工作时间工资的百分之二百的工资报酬；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（三）法定休假日安排劳动者工作的，支付不低于劳动者本人日或者小时正常工作时间工资的百分之三百的工资报酬。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实行计件工资的，用人单位应当科学合理确定劳动定额和计件单价，并予以公布。</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确定的劳动定额原则上应当使本单位同岗位百分之七十以上的劳动者在法定劳动时间内能够完成。</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用人单位在劳动者完成劳动定额后，安排劳动者在正常工作时间以外工作的，应当依照本条例第二十条规定支付加班或者延长工作时间的工资。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经人力资源社会保障部门批准实行综合计算工时工作制的，劳动者在综合计算周期内实际工作时间超过该周期内累计法定工作时间的部分，视为延长工作时间，用人单位应当依照本条例第二十条第（一）项的规定支付工资。在法定休假日安排劳动者工作的，用人单位应当依照本条例第二十条第（三）项的规定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经人力资源社会保障部门批准实行不定时工作制的，不适用本条例第二十条的规定。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第二十四条</w:t>
      </w:r>
      <w:r>
        <w:rPr>
          <w:rFonts w:hint="eastAsia" w:ascii="宋体" w:hAnsi="宋体" w:eastAsia="仿宋_GB2312" w:cs="仿宋"/>
          <w:b w:val="0"/>
          <w:bCs/>
          <w:sz w:val="32"/>
          <w:szCs w:val="32"/>
        </w:rPr>
        <w:t xml:space="preserve">  劳动者因病或者非因工负伤停止工作进行治疗，在国家规定医疗期内，用人单位应当依照劳动合同、集体合同的约定或者国家有关规定支付病伤假期工资。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用人单位支付的病伤假期工资不得低于当地最低工资标准的百分之八十。</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法律、法规另有规定的，从其规定。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劳动者因事假未提供劳动期间，用人单位可以不支付工资。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劳动者在正常工作时间内依法参加下列社会活动的，用人单位应当支付正常工作时间工资：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（一）依法行使选举权或者被选举权；</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（二）人大代表、政协委员依法履行职责；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（三）当选代表出席乡（镇）以上政府、党派以及工会、共青团、妇联等组织召开的会议；</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（四）人民陪审员参加审判活动；</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（五）不脱产工会基层委员会委员依法参加工会活动；</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（六）职工代表参加集体合同协商活动；</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（七）法律、法规规定的其他情形。</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劳动者被人民法院判处管制、拘役适用缓刑或者有期徒刑适用缓刑，被假释、取保候审、监外执行期间，为用人单位提供正常劳动的，用人单位应当支付工资。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劳动者因涉嫌违法犯罪被采取司法强制措施或者被行政拘留期间，未提供劳动的，用人单位可以不支付工资。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第二十九条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解除劳动关系的决定被裁决撤销或者判决无效的，应当支付劳动者在被违法解除劳动关系期间的工资，其工资标准为劳动者本人前十二个月的平均正常工作时间工资；劳动者已领取失业保险金的，应当全部退回社会保险经办机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对前款规定的期间有争议的，可以由</w:t>
      </w:r>
      <w:r>
        <w:rPr>
          <w:rFonts w:hint="eastAsia" w:ascii="宋体" w:hAnsi="宋体" w:eastAsia="仿宋_GB2312" w:cs="仿宋"/>
          <w:b w:val="0"/>
          <w:bCs/>
          <w:color w:val="000000"/>
          <w:sz w:val="32"/>
          <w:szCs w:val="32"/>
        </w:rPr>
        <w:t>劳动人事争议仲裁委员会</w:t>
      </w:r>
      <w:r>
        <w:rPr>
          <w:rFonts w:hint="eastAsia" w:ascii="宋体" w:hAnsi="宋体" w:eastAsia="仿宋_GB2312" w:cs="仿宋"/>
          <w:b w:val="0"/>
          <w:bCs/>
          <w:sz w:val="32"/>
          <w:szCs w:val="32"/>
        </w:rPr>
        <w:t>或者人民法院予以裁决。</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合伙企业拖欠劳动者工资的，应当先以其全部财产进行清偿；合伙企业财产不足清偿的，各合伙人应当承担无限连带清偿责任。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租用场地、厂房的用人单位的经营者拖欠工资逃匿的，当地政府和有关部门应当采取有效措施，及时组织相关单位和人员处理垫付临时生活费及追偿等事宜。</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工程领域实行用工实名管理制度。施工总承包单位应当建立施工人员进出场登记制度，加强对分包单位劳动用工和工资发放的监督管理。施工总承包单位、分包单位应当建立用工管理台账，并保存至工程竣工且工资全部结清后至少两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工程领域劳动者工资支付实行专户管理制度，施工总承包单位和分包单位应当将建设项目工程款中的劳动者工资与其他款项分开银行账户管理。工资支付专用账户内的资金除发放工资外，不得用于其他用途，不得提取现金。</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建设单位与施工总承包单位、施工总承包单位与分包单位签订工程承包合同时，应当对工程款中的人工费比例和支付期限作出明确约定，建设单位应当按照合同约定的比例按月将应付工程款中的人工费单独足额拨付到施工总承包单位开设的工资支付专用账户，施工总承包单位应当按照合同约定的比例按月将应付工程款中的人工费单独足额拨付到分包单位开设的工资支付专用账户。</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工资支付专用账户内资金少于应发劳动者工资总额的，开户单位应当按时补足。工程竣工且工资全部结清后，工资支付专用账户可以注销，账户内余额归开户单位所有。</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建设工程领域用工实名管理和工资支付专户管理的具体办法由省人民政府在一年内另行制定。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color w:val="000000"/>
          <w:sz w:val="32"/>
          <w:szCs w:val="32"/>
        </w:rPr>
      </w:pPr>
      <w:r>
        <w:rPr>
          <w:rFonts w:hint="eastAsia" w:ascii="宋体" w:hAnsi="宋体" w:eastAsia="黑体" w:cs="黑体"/>
          <w:b w:val="0"/>
          <w:bCs/>
          <w:sz w:val="32"/>
          <w:szCs w:val="32"/>
        </w:rPr>
        <w:t>第三十五条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color w:val="000000"/>
          <w:sz w:val="32"/>
          <w:szCs w:val="32"/>
        </w:rPr>
        <w:t>对建设资金来源不落实的政府投资工程项目不予批准。</w:t>
      </w:r>
    </w:p>
    <w:p>
      <w:pPr>
        <w:widowControl w:val="0"/>
        <w:wordWrap/>
        <w:overflowPunct w:val="0"/>
        <w:adjustRightInd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color w:val="000000"/>
          <w:sz w:val="32"/>
          <w:szCs w:val="32"/>
        </w:rPr>
      </w:pPr>
      <w:r>
        <w:rPr>
          <w:rFonts w:hint="eastAsia" w:ascii="宋体" w:hAnsi="宋体" w:eastAsia="仿宋_GB2312" w:cs="仿宋"/>
          <w:b w:val="0"/>
          <w:bCs/>
          <w:color w:val="000000"/>
          <w:sz w:val="32"/>
          <w:szCs w:val="32"/>
        </w:rPr>
        <w:t>建设单位申请施工许可证时，应当提供工资支付专用账户的开立等建设资金落实情况。负责建设项目审批的部门应当将工资支付专用账户的开立作为建设资金落实的具体要求进行审查，不符合法定条件的，不予颁发施工许可证。</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不具备本条例第二条规定的用人单位资格的承包人拖欠或者克扣劳动者工资，作为发包方的用人单位应当先支付工资，再依法向承包人追偿。</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建设单位（业主）未按照合同约定拨付或者结清工程款，致使施工单位拖欠劳动者工资的，人力资源社会保障部门可以责令建设单位（业主）先行垫付劳动者工资，先行垫付的工资数额以未结清的工程款为限。</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分包建设工程的承包人拖欠或者克扣劳动者工资的，分包建设工程的发包人在未结清的工程款额度内先行垫付劳动者工资，垫付部分抵扣工程款。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分包建设工程的发包人违法分包、转包或者违法允许他人以本企业名义承揽工程发生拖欠工资的，由分包建设工程的发包人垫付劳动者工资。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用人单位合并或者分立前拖欠劳动者工资的，应当在合并或者分立时清偿拖欠的工资；不能清偿的，由合并或者分立后的用人单位清偿拖欠工资。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非因劳动者原因造成用人单位停工、停产，未超过一个工资支付周期（最长三十日）的，用人单位应当按照正常工作时间支付工资。超过一个工资支付周期的，可以根据劳动者提供的劳动，按照双方新约定的标准支付工资；用人单位没有安排劳动者工作的，应当按照不低于当地最低工资标准的百分之八十支付劳动者生活费，生活费发放至企业复工、复产或者解除劳动关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用人单位破产、解散或者撤销的，经依法清算后的财产应当用于优先支付劳动者工资、社会保险费。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第三章</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 xml:space="preserve"> 监督检查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县级以上人民政府根据本行政区域内工资支付的实际情况，建立工资支付预警制度。</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人力资源社会保障部门可以对连续拖欠劳动者工资二个月以上或者累计拖欠达三个月以上的用人单位实施工资支付重点监察；情节严重的，可以向社会公布。</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纳入工资支付重点监察的用人单位，付清原拖欠的劳动者工资，且在六个月期限内未再发生新的拖欠的，人力资源社会保障部门应当解除其重点监察；已向社会公布的，应当在原公布范围内公示解除重点监察。</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县级以上人民政府应当制定工资支付应急预案。因拖欠、克扣劳动者工资引发群体性事件的，人力资源社会保障部门应当根据应急预案，迅速会同有关部门处理，有关部门应当配合。</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人力资源社会保障部门应当建立健全对用人单位工资支付行为的监督检查制度，规范监督检查程序，依法对用人单位工资支付情况进行监察，对违法行为进行处理。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人力资源社会保障部门依法对用人单位工资支付情况进行执法检查时，用人单位应当如实报告情况，提供相关资料和证明，不得弄虚作假、阻碍、拒绝。</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人力资源社会保障部门应当建立健全对工资支付违法行为的举报投诉制度，设立举报投诉信箱，公布举报投诉电话，为劳动者举报投诉提供便利条件，并为举报人保密。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应当建立健全包括工资支付情况在内的用人单位劳动守法诚信档案，推行劳动守法诚信评价制度；建立拖欠、克扣工资单位黑名单制度，对拖欠、克扣劳动者工资情况严重的用人单位，通过传播媒体或者在职业介绍场所、用人单位工作场所等地点予以公布，并将有关情况向人民银行分支机构、工商、住房城乡建设、交通运输、水利、发展改革、经济信息化、财政等有关部门和单位通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被列入拖欠、克扣工资黑名单的用人单位，其失信记录纳入人民银行企业征信系统、企业信用信息公示系统以及行业诚信信息平台；属于政府投资工程项目的，同时纳入政府工程项目投资审批系统。有关部门在政府资金支持、政府采购、招投标、生产许可、履约担保、资质审核、融资贷款、市场准入、评优评先等方面，应当对其予以严格限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县级以上人民政府应当加强对人力资源社会保障部门工资支付执法情况的监督检查。上级人力资源社会保障部门应当加强对下级人力资源社会保障部门工资支付执法情况的监督检查，发现下级人力资源社会保障部门对用人单位工资支付的违法行为不作为或者作出的行政处理决定违法、不当的，应当责令其限期改正。</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用人单位有下列情形之一的，劳动者有权向人力资源社会保障部门举报投诉：</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（一）拖欠或者克扣劳动者工资的；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（二）支付劳动者工资低于当地最低工资标准的；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（三）拒不支付或者不按规定支付劳动者加班或者延长工作时间工资的；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（四）其他侵害劳动者合法工资报酬权益的行为。</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因工资支付发生争议，用人单位负有举证责任。用人单位拒绝提供或者在规定时间内不能提供有关工资支付凭证等证据材料的，人力资源社会保障部门、</w:t>
      </w:r>
      <w:r>
        <w:rPr>
          <w:rFonts w:hint="eastAsia" w:ascii="宋体" w:hAnsi="宋体" w:eastAsia="仿宋_GB2312" w:cs="仿宋"/>
          <w:b w:val="0"/>
          <w:bCs/>
          <w:color w:val="000000"/>
          <w:sz w:val="32"/>
          <w:szCs w:val="32"/>
        </w:rPr>
        <w:t>劳动人事争议仲裁委员会</w:t>
      </w:r>
      <w:r>
        <w:rPr>
          <w:rFonts w:hint="eastAsia" w:ascii="宋体" w:hAnsi="宋体" w:eastAsia="仿宋_GB2312" w:cs="仿宋"/>
          <w:b w:val="0"/>
          <w:bCs/>
          <w:sz w:val="32"/>
          <w:szCs w:val="32"/>
        </w:rPr>
        <w:t>或者人民法院可以按照劳动者提供的工资数额及其他有关证据作出认定。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用人单位和劳动者都不能对工资数额举证的，由劳动争议仲裁委员会或者人民法院参照本单位同岗位的平均工资或者当地在岗职工平均工资水平，按照有利于劳动者的原则计算确定。</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在用人单位与劳动者约定的工资支付日期前，有证据证明用人单位法定代表人、实际经营者或者主要负责人采取逃匿、转移财产等方式逃避支付工资义务的，由人力资源社会保障部门责令其限期支付。</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在办理拒不支付劳动报酬案件过程中，发现涉案人员有拒绝调查、逃匿或者转移、隐藏、销毁证据等行为，依法可以要求公安机关提前介入调查，公安机关应当予以配合。有关行为涉嫌犯罪的，人力资源社会保障部门应当依法向公安机关移送案件。</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工会组织对用人单位遵守工资支付法律、法规的情况依法进行监督，发现违法行为的，有权要求用人单位改正，并及时向人力资源社会保障部门通报。用人单位拒不改正或者经营者逃匿的，工会组织可以代表职工请求当地人力资源社会保障部门依法处理，劳动者申请劳动仲裁或者提起诉讼的，工会组织应当依法予以支持和帮助。</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第五十二条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用人单位拖欠或者克扣工资，劳动者要求工会组织协助解决的，工会组织应当代表职工与用人单位进行协商，并协助用人单位维护正常的生产、工作秩序。</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第四章</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 xml:space="preserve"> 法律责任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第五十三条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连续拖欠或者克扣劳动者工资二个月以上或者情节特别严重的，人力资源社会保障部门应当责令其改正并作出行政处理决定。用人单位在规定的期限内拒不执行行政处理决定的，人力资源社会保障部门可以依法申请人民法院强制执行。</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第五十四条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用人单位有下列情形之一的，由县级以上人力资源社会保障部门责令限期改正；逾期未改正的，可以对用人单位处以五千元以上一万元以下的罚款，并可以对其法定代表人处以一千元以上五千元以下的罚款：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（一）未依法制定工资支付制度并告知本单位全体劳动者的；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（二）未以货币形式支付劳动者工资的；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（三）未在终止或者解除劳动关系当日结清并一次性支付劳动者工资的；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（四）未如实编制工资支付台账的；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（五）未向劳动者本人提供其工资清单的。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第五十五条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施工总承包单位、分包单位违反本条例规定，未实行用工实名管理、工资支付专户管理等制度的，由人力资源社会保障部门责令限期改正；逾期不改正的，处以五万元以上十万元以下的罚款。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第五十六条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情形之一的，由人力资源社会保障部门分别责令限期支付劳动者的工资报酬、劳动者工资低于当地最低工资标准的差额、加班或者延长工作时间的工资。逾期不支付的，责令用人单位按照应付金额百分之五十以上一倍以下的标准计算，向劳动者加付赔偿金：</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（一）拖欠或者克扣劳动者工资的；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（二）支付劳动者工资低于当地最低工资标准的；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（三）拒不支付或者不按照规定支付劳动者加班或者延长工作时间工资的。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第五十七条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用人单位有下列行为之一的，由人力资源社会保障部门视情节轻重，处以二千元以上二万元以下的罚款：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（一）拒绝、阻碍劳动保障行政执法人员依法执行公务的；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（二）不按照人力资源社会保障部门的要求报送书面材料、隐瞒事实真相、出具伪证或者隐匿、毁灭证据的；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（三）经人力资源社会保障部门责令改正拒不改正，或者拒不履行人力资源社会保障部门的行政处理决定的。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第五十八条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对采取逃匿等方式拖欠工资，致使劳动者难以追偿其工资而引发严重影响公共秩序事件的用人单位的法定代表人或者经营者，由公安机关依法处理；构成犯罪的，依法追究刑事责任。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因用人单位拖欠、克扣工资而引发严重影响公共秩序事件的，用人单位法定代表人或者主要经营者应当在二十四小时内到现场协助人力资源社会保障部门处理事件；未到现场的，由人力资源社会保障部门处以一万元以上五万元以下的罚款。</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第五十九条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政府投资工程项目因拖欠工程款引发拖欠、克扣劳动者工资的，追究项目负责人的责任。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人力资源社会保障部门及其工作人员违反本条例规定，有下列行为之一的，由其上级行政机关或者监察机关责令改正；情节严重的，对直接负责的主管人员和其他直接责任人员依法给予行政处分：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（一）未建立用人单位工资支付违法行为举报制度的；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（二）未为举报人保密的；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（三）未依法及时处理劳动者举报或者工会组织按照本条例第五十一条规定提出的处理建议的；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（四）发生群体性事件，未启动应急预案的。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第六十一条</w:t>
      </w:r>
      <w:r>
        <w:rPr>
          <w:rFonts w:hint="eastAsia" w:ascii="宋体" w:hAnsi="宋体" w:eastAsia="仿宋_GB2312" w:cs="仿宋_GB2312"/>
          <w:b w:val="0"/>
          <w:bCs/>
          <w:sz w:val="32"/>
          <w:szCs w:val="32"/>
        </w:rPr>
        <w:t xml:space="preserve">  </w:t>
      </w:r>
      <w:r>
        <w:rPr>
          <w:rFonts w:hint="eastAsia" w:ascii="宋体" w:hAnsi="宋体" w:eastAsia="仿宋_GB2312" w:cs="仿宋"/>
          <w:b w:val="0"/>
          <w:bCs/>
          <w:sz w:val="32"/>
          <w:szCs w:val="32"/>
        </w:rPr>
        <w:t>人力资源社会保障部门及其工作人员有下列行为之一的，可以根据情节轻重，给予主要负责人及直接责任人员行政处分；构成犯罪的，由司法机关依法追究刑事责任：</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（一）玩忽职守、滥用职权的；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（二）利用职权谋取私利的；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（三）泄露用人单位的商业秘密的。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jc w:val="center"/>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第五章</w:t>
      </w:r>
      <w:r>
        <w:rPr>
          <w:rFonts w:hint="eastAsia" w:ascii="宋体" w:hAnsi="宋体" w:eastAsia="仿宋_GB2312" w:cs="仿宋"/>
          <w:b w:val="0"/>
          <w:bCs/>
          <w:sz w:val="32"/>
          <w:szCs w:val="32"/>
        </w:rPr>
        <w:t xml:space="preserve">  </w:t>
      </w:r>
      <w:r>
        <w:rPr>
          <w:rFonts w:hint="eastAsia" w:ascii="宋体" w:hAnsi="宋体" w:eastAsia="黑体" w:cs="黑体"/>
          <w:b w:val="0"/>
          <w:bCs/>
          <w:sz w:val="32"/>
          <w:szCs w:val="32"/>
        </w:rPr>
        <w:t>附则</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宋体" w:cs="宋体"/>
          <w:b w:val="0"/>
          <w:bCs/>
          <w:sz w:val="32"/>
          <w:szCs w:val="32"/>
        </w:rPr>
      </w:pP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第六十二条</w:t>
      </w:r>
      <w:r>
        <w:rPr>
          <w:rFonts w:hint="eastAsia" w:ascii="宋体" w:hAnsi="宋体" w:eastAsia="仿宋_GB2312" w:cs="仿宋"/>
          <w:b w:val="0"/>
          <w:bCs/>
          <w:sz w:val="32"/>
          <w:szCs w:val="32"/>
        </w:rPr>
        <w:t xml:space="preserve">  本条例中下列用语的含义是：</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一）工资，是指用人单位基于劳动关系，按照劳动者提供劳动的数量和质量，以货币形式支付给劳动者本人的全部劳动报酬。一般包括：各种形式的工资（计时工资、计件工资、岗位工资、职务工资、技能工资等）、奖金、津贴、补贴、延长工作时间及特殊情况下支付的属于劳动报酬性的工资收入等；但不包括用人单位按照规定负担的各项社会保险费、住房公积金，人力资源社会保障部门和安全生产监察行政部门规定的劳动保护费用，按照规定标准支付的独生子女补贴、计划生育奖，丧葬费、抚恤金等国家规定的福利费用和属于非劳动报酬性的收入。</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（二）正常工作时间工资，是指劳动者在法定工作时间内提供了正常劳动，用人单位依法应当支付的劳动报酬。正常工作时间工资不包括下列各项：</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1．延长工作时间工资；</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2．中班、夜班、高温、低温、井下、有毒有害等特殊工作环境、条件下的津贴；</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3．法律、法规和国家规定的劳动者福利待遇等。</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（三）最低工资，是指按照前项规定劳动者在法定工作时间内提供了正常劳动，用人单位依法应当支付的最低劳动报酬。</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（四）拖欠工资，是指用人单位无法定理由逾期未支付或者未足额支付劳动者应得工资的行为。</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（五）克扣工资，是指用人单位无法定理由扣减劳动者应得工资的行为。</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仿宋_GB2312" w:cs="仿宋"/>
          <w:b w:val="0"/>
          <w:bCs/>
          <w:sz w:val="32"/>
          <w:szCs w:val="32"/>
        </w:rPr>
        <w:t>（六）民办非企业单位，是指企业事业单位、社会团体和其他社会力量以及公民个人利用非国有资产举办的，从事非营利性社会服务活动的社会组织。</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 xml:space="preserve">第六十三条 </w:t>
      </w:r>
      <w:r>
        <w:rPr>
          <w:rFonts w:hint="eastAsia" w:ascii="宋体" w:hAnsi="宋体" w:eastAsia="仿宋_GB2312" w:cs="仿宋"/>
          <w:b w:val="0"/>
          <w:bCs/>
          <w:sz w:val="32"/>
          <w:szCs w:val="32"/>
        </w:rPr>
        <w:t xml:space="preserve"> 劳动者与用人单位因工资支付数额发生争议的，应当按照劳动争议处理规定处理。</w:t>
      </w:r>
    </w:p>
    <w:p>
      <w:pPr>
        <w:widowControl w:val="0"/>
        <w:wordWrap/>
        <w:overflowPunct w:val="0"/>
        <w:snapToGrid/>
        <w:spacing w:beforeAutospacing="0" w:afterAutospacing="0" w:line="560" w:lineRule="exact"/>
        <w:ind w:left="0" w:leftChars="0" w:right="0" w:firstLine="640" w:firstLineChars="200"/>
        <w:textAlignment w:val="auto"/>
        <w:outlineLvl w:val="9"/>
        <w:rPr>
          <w:rFonts w:hint="eastAsia" w:ascii="宋体" w:hAnsi="宋体" w:eastAsia="仿宋_GB2312" w:cs="仿宋"/>
          <w:b w:val="0"/>
          <w:bCs/>
          <w:sz w:val="32"/>
          <w:szCs w:val="32"/>
        </w:rPr>
      </w:pPr>
      <w:r>
        <w:rPr>
          <w:rFonts w:hint="eastAsia" w:ascii="宋体" w:hAnsi="宋体" w:eastAsia="黑体" w:cs="黑体"/>
          <w:b w:val="0"/>
          <w:bCs/>
          <w:sz w:val="32"/>
          <w:szCs w:val="32"/>
        </w:rPr>
        <w:t>第六十四条</w:t>
      </w:r>
      <w:r>
        <w:rPr>
          <w:rFonts w:hint="eastAsia" w:ascii="宋体" w:hAnsi="宋体" w:eastAsia="仿宋_GB2312" w:cs="仿宋"/>
          <w:b w:val="0"/>
          <w:bCs/>
          <w:sz w:val="32"/>
          <w:szCs w:val="32"/>
        </w:rPr>
        <w:t xml:space="preserve">  本条例自2005年5月1日起施行。</w:t>
      </w:r>
    </w:p>
    <w:p>
      <w:pPr>
        <w:pStyle w:val="33"/>
        <w:widowControl w:val="0"/>
        <w:wordWrap/>
        <w:overflowPunct w:val="0"/>
        <w:spacing w:beforeAutospacing="0" w:afterAutospacing="0" w:line="560" w:lineRule="exact"/>
        <w:textAlignment w:val="auto"/>
        <w:rPr>
          <w:rFonts w:hint="eastAsia" w:ascii="宋体" w:hAnsi="宋体" w:eastAsia="仿宋_GB2312" w:cs="仿宋"/>
          <w:b w:val="0"/>
          <w:bCs/>
          <w:sz w:val="32"/>
          <w:szCs w:val="32"/>
        </w:rPr>
      </w:pPr>
    </w:p>
    <w:p>
      <w:pPr>
        <w:widowControl w:val="0"/>
        <w:wordWrap/>
        <w:overflowPunct w:val="0"/>
        <w:spacing w:beforeAutospacing="0" w:afterAutospacing="0" w:line="560" w:lineRule="exact"/>
        <w:textAlignment w:val="auto"/>
        <w:rPr>
          <w:rFonts w:hint="eastAsia" w:ascii="宋体" w:hAnsi="宋体" w:eastAsia="宋体" w:cs="宋体"/>
          <w:b w:val="0"/>
          <w:bCs w:val="0"/>
          <w:color w:val="auto"/>
          <w:sz w:val="32"/>
          <w:szCs w:val="32"/>
        </w:rPr>
      </w:pPr>
    </w:p>
    <w:p>
      <w:pPr>
        <w:widowControl w:val="0"/>
        <w:wordWrap/>
        <w:overflowPunct w:val="0"/>
        <w:adjustRightInd/>
        <w:snapToGrid/>
        <w:spacing w:beforeAutospacing="0" w:afterAutospacing="0" w:line="560" w:lineRule="exact"/>
        <w:ind w:left="0" w:leftChars="0" w:right="0" w:firstLine="0" w:firstLineChars="0"/>
        <w:jc w:val="center"/>
        <w:textAlignment w:val="auto"/>
        <w:outlineLvl w:val="9"/>
        <w:rPr>
          <w:rFonts w:hint="eastAsia" w:ascii="宋体" w:hAnsi="宋体" w:eastAsia="宋体" w:cs="宋体"/>
          <w:b w:val="0"/>
          <w:bCs w:val="0"/>
          <w:color w:val="auto"/>
          <w:sz w:val="32"/>
          <w:szCs w:val="32"/>
        </w:rPr>
      </w:pPr>
      <w:r>
        <w:rPr>
          <w:rFonts w:hint="eastAsia" w:ascii="宋体" w:hAnsi="宋体" w:eastAsia="宋体" w:cs="宋体"/>
          <w:b w:val="0"/>
          <w:bCs w:val="0"/>
          <w:color w:val="auto"/>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4" w:name="_Toc8742"/>
      <w:r>
        <w:rPr>
          <w:rFonts w:hint="eastAsia" w:ascii="宋体" w:hAnsi="宋体" w:eastAsia="宋体" w:cs="宋体"/>
          <w:color w:val="000000"/>
          <w:sz w:val="44"/>
          <w:szCs w:val="44"/>
        </w:rPr>
        <w:t>广东省工伤保险条例</w:t>
      </w:r>
      <w:bookmarkEnd w:id="474"/>
    </w:p>
    <w:p>
      <w:pPr>
        <w:widowControl w:val="0"/>
        <w:wordWrap/>
        <w:overflowPunct w:val="0"/>
        <w:spacing w:beforeAutospacing="0" w:afterAutospacing="0" w:line="560" w:lineRule="exact"/>
        <w:ind w:left="643" w:leftChars="201" w:right="650" w:rightChars="203" w:firstLine="5" w:firstLineChars="0"/>
        <w:jc w:val="both"/>
        <w:textAlignment w:val="auto"/>
        <w:outlineLvl w:val="9"/>
        <w:rPr>
          <w:rFonts w:hint="eastAsia" w:ascii="宋体" w:hAnsi="宋体" w:eastAsia="宋体" w:cs="宋体"/>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（1998年9月18日广东省第九届人民代表大会常务委员会第五次会议通过</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2004年1月14日广东省第十届人民代表大会常务委员会第八次会议第一次修订</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2011年9月29日广东省第十一届人民代表大会常务委员会第二十八次会议第二次修订</w:t>
      </w:r>
      <w:r>
        <w:rPr>
          <w:rFonts w:hint="eastAsia" w:ascii="楷体" w:hAnsi="楷体" w:eastAsia="楷体" w:cs="楷体"/>
          <w:b w:val="0"/>
          <w:bCs/>
          <w:sz w:val="32"/>
          <w:szCs w:val="32"/>
          <w:lang w:val="en-US" w:eastAsia="zh-CN"/>
        </w:rPr>
        <w:t xml:space="preserve">  根据2019年5月21日广东省第十三届人民代表大会常务委员会第十二次会议</w:t>
      </w:r>
      <w:r>
        <w:rPr>
          <w:rFonts w:hint="eastAsia" w:ascii="楷体" w:hAnsi="楷体" w:eastAsia="楷体" w:cs="楷体"/>
          <w:b w:val="0"/>
          <w:bCs/>
          <w:sz w:val="32"/>
          <w:szCs w:val="32"/>
        </w:rPr>
        <w:t>《关于修改〈广东省</w:t>
      </w:r>
      <w:r>
        <w:rPr>
          <w:rFonts w:hint="eastAsia" w:ascii="楷体" w:hAnsi="楷体" w:eastAsia="楷体" w:cs="楷体"/>
          <w:b w:val="0"/>
          <w:bCs/>
          <w:sz w:val="32"/>
          <w:szCs w:val="32"/>
          <w:lang w:eastAsia="zh-CN"/>
        </w:rPr>
        <w:t>工伤保险</w:t>
      </w:r>
      <w:r>
        <w:rPr>
          <w:rFonts w:hint="eastAsia" w:ascii="楷体" w:hAnsi="楷体" w:eastAsia="楷体" w:cs="楷体"/>
          <w:b w:val="0"/>
          <w:bCs/>
          <w:sz w:val="32"/>
          <w:szCs w:val="32"/>
        </w:rPr>
        <w:t>条例〉的决定》</w:t>
      </w:r>
      <w:r>
        <w:rPr>
          <w:rFonts w:hint="eastAsia" w:ascii="楷体" w:hAnsi="楷体" w:eastAsia="楷体" w:cs="楷体"/>
          <w:b w:val="0"/>
          <w:bCs/>
          <w:sz w:val="32"/>
          <w:szCs w:val="32"/>
          <w:lang w:val="en-US" w:eastAsia="zh-CN"/>
        </w:rPr>
        <w:t>修正</w:t>
      </w:r>
      <w:r>
        <w:rPr>
          <w:rFonts w:hint="eastAsia" w:ascii="楷体" w:hAnsi="楷体" w:eastAsia="楷体" w:cs="楷体"/>
          <w:b w:val="0"/>
          <w:bCs/>
          <w:sz w:val="32"/>
          <w:szCs w:val="32"/>
        </w:rPr>
        <w:t>）</w:t>
      </w:r>
    </w:p>
    <w:p>
      <w:pPr>
        <w:widowControl w:val="0"/>
        <w:wordWrap/>
        <w:overflowPunct w:val="0"/>
        <w:adjustRightInd/>
        <w:snapToGrid/>
        <w:spacing w:beforeAutospacing="0" w:afterAutospacing="0" w:line="560" w:lineRule="exact"/>
        <w:ind w:left="640" w:leftChars="200" w:right="640" w:rightChars="200" w:firstLine="0" w:firstLineChars="0"/>
        <w:jc w:val="both"/>
        <w:textAlignment w:val="auto"/>
        <w:outlineLvl w:val="9"/>
        <w:rPr>
          <w:rFonts w:hint="eastAsia" w:ascii="宋体" w:hAnsi="宋体" w:eastAsia="宋体" w:cs="宋体"/>
          <w:sz w:val="32"/>
          <w:szCs w:val="32"/>
        </w:rPr>
      </w:pPr>
    </w:p>
    <w:p>
      <w:pPr>
        <w:widowControl w:val="0"/>
        <w:wordWrap/>
        <w:overflowPunct w:val="0"/>
        <w:adjustRightInd/>
        <w:snapToGrid/>
        <w:spacing w:beforeAutospacing="0" w:afterAutospacing="0" w:line="560" w:lineRule="exact"/>
        <w:ind w:firstLine="640" w:firstLineChars="200"/>
        <w:jc w:val="center"/>
        <w:textAlignment w:val="auto"/>
        <w:outlineLvl w:val="9"/>
        <w:rPr>
          <w:rFonts w:hint="eastAsia" w:ascii="宋体" w:hAnsi="宋体" w:eastAsia="楷体_GB2312"/>
          <w:sz w:val="32"/>
          <w:szCs w:val="32"/>
          <w:lang w:eastAsia="zh-CN"/>
        </w:rPr>
      </w:pPr>
      <w:r>
        <w:rPr>
          <w:rFonts w:hint="eastAsia" w:ascii="宋体" w:hAnsi="宋体" w:eastAsia="楷体_GB2312"/>
          <w:sz w:val="32"/>
          <w:szCs w:val="32"/>
          <w:lang w:eastAsia="zh-CN"/>
        </w:rPr>
        <w:t>目</w:t>
      </w:r>
      <w:r>
        <w:rPr>
          <w:rFonts w:hint="eastAsia" w:ascii="宋体" w:hAnsi="宋体" w:eastAsia="楷体_GB2312"/>
          <w:sz w:val="32"/>
          <w:szCs w:val="32"/>
          <w:lang w:val="en-US" w:eastAsia="zh-CN"/>
        </w:rPr>
        <w:t xml:space="preserve">    </w:t>
      </w:r>
      <w:r>
        <w:rPr>
          <w:rFonts w:hint="eastAsia" w:ascii="宋体" w:hAnsi="宋体" w:eastAsia="楷体_GB2312"/>
          <w:sz w:val="32"/>
          <w:szCs w:val="32"/>
          <w:lang w:eastAsia="zh-CN"/>
        </w:rPr>
        <w:t>录</w:t>
      </w:r>
    </w:p>
    <w:p>
      <w:pPr>
        <w:widowControl w:val="0"/>
        <w:wordWrap/>
        <w:overflowPunct w:val="0"/>
        <w:adjustRightInd/>
        <w:snapToGrid/>
        <w:spacing w:beforeAutospacing="0" w:afterAutospacing="0" w:line="560" w:lineRule="exact"/>
        <w:ind w:firstLine="640" w:firstLineChars="200"/>
        <w:jc w:val="center"/>
        <w:textAlignment w:val="auto"/>
        <w:outlineLvl w:val="9"/>
        <w:rPr>
          <w:rFonts w:hint="eastAsia" w:ascii="宋体" w:hAnsi="宋体" w:eastAsia="楷体_GB2312"/>
          <w:sz w:val="32"/>
          <w:szCs w:val="32"/>
          <w:lang w:eastAsia="zh-CN"/>
        </w:rPr>
      </w:pP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第一章  总则</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第二章  </w:t>
      </w:r>
      <w:r>
        <w:rPr>
          <w:rFonts w:hint="eastAsia" w:ascii="宋体" w:hAnsi="宋体" w:eastAsia="楷体_GB2312" w:cs="楷体_GB2312"/>
          <w:sz w:val="32"/>
          <w:szCs w:val="32"/>
          <w:lang w:eastAsia="zh-CN"/>
        </w:rPr>
        <w:t>工伤认定</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第三章  </w:t>
      </w:r>
      <w:r>
        <w:rPr>
          <w:rFonts w:hint="eastAsia" w:ascii="宋体" w:hAnsi="宋体" w:eastAsia="楷体_GB2312" w:cs="楷体_GB2312"/>
          <w:sz w:val="32"/>
          <w:szCs w:val="32"/>
          <w:lang w:eastAsia="zh-CN"/>
        </w:rPr>
        <w:t>劳动能力鉴定</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第四章  </w:t>
      </w:r>
      <w:r>
        <w:rPr>
          <w:rFonts w:hint="eastAsia" w:ascii="宋体" w:hAnsi="宋体" w:eastAsia="楷体_GB2312" w:cs="楷体_GB2312"/>
          <w:sz w:val="32"/>
          <w:szCs w:val="32"/>
          <w:lang w:eastAsia="zh-CN"/>
        </w:rPr>
        <w:t>工伤保险待遇</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lang w:eastAsia="zh-CN"/>
        </w:rPr>
      </w:pPr>
      <w:r>
        <w:rPr>
          <w:rFonts w:hint="eastAsia" w:ascii="宋体" w:hAnsi="宋体" w:eastAsia="楷体_GB2312" w:cs="楷体_GB2312"/>
          <w:sz w:val="32"/>
          <w:szCs w:val="32"/>
        </w:rPr>
        <w:t xml:space="preserve">第五章  </w:t>
      </w:r>
      <w:r>
        <w:rPr>
          <w:rFonts w:hint="eastAsia" w:ascii="宋体" w:hAnsi="宋体" w:eastAsia="楷体_GB2312" w:cs="楷体_GB2312"/>
          <w:sz w:val="32"/>
          <w:szCs w:val="32"/>
          <w:lang w:eastAsia="zh-CN"/>
        </w:rPr>
        <w:t>工伤保险基金</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第六章  监督管理</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七</w:t>
      </w:r>
      <w:r>
        <w:rPr>
          <w:rFonts w:hint="eastAsia" w:ascii="宋体" w:hAnsi="宋体" w:eastAsia="楷体_GB2312" w:cs="楷体_GB2312"/>
          <w:sz w:val="32"/>
          <w:szCs w:val="32"/>
        </w:rPr>
        <w:t>章  法律责任</w:t>
      </w:r>
    </w:p>
    <w:p>
      <w:pPr>
        <w:widowControl w:val="0"/>
        <w:wordWrap/>
        <w:overflowPunct w:val="0"/>
        <w:adjustRightInd/>
        <w:snapToGrid/>
        <w:spacing w:beforeAutospacing="0" w:afterAutospacing="0" w:line="560" w:lineRule="exact"/>
        <w:ind w:left="0" w:leftChars="0" w:right="0" w:firstLine="640" w:firstLineChars="200"/>
        <w:jc w:val="left"/>
        <w:textAlignment w:val="auto"/>
        <w:outlineLvl w:val="9"/>
        <w:rPr>
          <w:rFonts w:hint="eastAsia" w:ascii="宋体" w:hAnsi="宋体" w:eastAsia="楷体_GB2312" w:cs="楷体_GB2312"/>
          <w:sz w:val="32"/>
          <w:szCs w:val="32"/>
        </w:rPr>
      </w:pPr>
      <w:r>
        <w:rPr>
          <w:rFonts w:hint="eastAsia" w:ascii="宋体" w:hAnsi="宋体" w:eastAsia="楷体_GB2312" w:cs="楷体_GB2312"/>
          <w:sz w:val="32"/>
          <w:szCs w:val="32"/>
        </w:rPr>
        <w:t>第</w:t>
      </w:r>
      <w:r>
        <w:rPr>
          <w:rFonts w:hint="eastAsia" w:ascii="宋体" w:hAnsi="宋体" w:eastAsia="楷体_GB2312" w:cs="楷体_GB2312"/>
          <w:sz w:val="32"/>
          <w:szCs w:val="32"/>
          <w:lang w:eastAsia="zh-CN"/>
        </w:rPr>
        <w:t>八</w:t>
      </w:r>
      <w:r>
        <w:rPr>
          <w:rFonts w:hint="eastAsia" w:ascii="宋体" w:hAnsi="宋体" w:eastAsia="楷体_GB2312" w:cs="楷体_GB2312"/>
          <w:sz w:val="32"/>
          <w:szCs w:val="32"/>
        </w:rPr>
        <w:t>章  附则</w:t>
      </w:r>
    </w:p>
    <w:p>
      <w:pPr>
        <w:widowControl w:val="0"/>
        <w:wordWrap/>
        <w:overflowPunct w:val="0"/>
        <w:adjustRightInd/>
        <w:snapToGrid/>
        <w:spacing w:beforeAutospacing="0" w:afterAutospacing="0" w:line="560" w:lineRule="exact"/>
        <w:textAlignment w:val="auto"/>
        <w:outlineLvl w:val="9"/>
        <w:rPr>
          <w:rFonts w:ascii="宋体" w:hAnsi="宋体" w:eastAsia="楷体_GB2312"/>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第一章  总则</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第一条</w:t>
      </w:r>
      <w:r>
        <w:rPr>
          <w:rFonts w:hint="eastAsia" w:ascii="宋体" w:hAnsi="宋体" w:cs="仿宋_GB2312"/>
          <w:b w:val="0"/>
          <w:bCs w:val="0"/>
          <w:color w:val="auto"/>
          <w:sz w:val="32"/>
          <w:szCs w:val="32"/>
        </w:rPr>
        <w:t xml:space="preserve">  </w:t>
      </w:r>
      <w:r>
        <w:rPr>
          <w:rFonts w:ascii="宋体" w:hAnsi="宋体"/>
          <w:b w:val="0"/>
          <w:bCs w:val="0"/>
          <w:color w:val="auto"/>
          <w:sz w:val="32"/>
          <w:szCs w:val="32"/>
        </w:rPr>
        <w:t>为了保障因工作遭受事故伤害或者患职业病的职工获得医疗救治和经济补偿，促进工伤预防和职业康复，分散用人单位的工伤风险，根据《中华人民共和国社会保险法》、《工伤保险条例》，结合本省实际，制定本条例。</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第二条</w:t>
      </w:r>
      <w:r>
        <w:rPr>
          <w:rFonts w:hint="eastAsia" w:ascii="宋体" w:hAnsi="宋体"/>
          <w:b w:val="0"/>
          <w:bCs w:val="0"/>
          <w:color w:val="auto"/>
          <w:sz w:val="32"/>
          <w:szCs w:val="32"/>
        </w:rPr>
        <w:t xml:space="preserve">  </w:t>
      </w:r>
      <w:r>
        <w:rPr>
          <w:rFonts w:ascii="宋体" w:hAnsi="宋体"/>
          <w:b w:val="0"/>
          <w:bCs w:val="0"/>
          <w:color w:val="auto"/>
          <w:sz w:val="32"/>
          <w:szCs w:val="32"/>
        </w:rPr>
        <w:t>职工有依法享受工伤保险待遇的权利。本省行政区域内的企业、事业单位、社会团体、民办非企业单位、基金会、律师事务所、会计师事务所等组织和有雇工的个体工商户（以下称用人单位）应当</w:t>
      </w:r>
      <w:r>
        <w:rPr>
          <w:rFonts w:ascii="宋体" w:hAnsi="宋体"/>
          <w:b w:val="0"/>
          <w:bCs w:val="0"/>
          <w:i w:val="0"/>
          <w:iCs w:val="0"/>
          <w:color w:val="auto"/>
          <w:sz w:val="32"/>
          <w:szCs w:val="32"/>
          <w:u w:val="none"/>
        </w:rPr>
        <w:t>在生产经营所在地</w:t>
      </w:r>
      <w:r>
        <w:rPr>
          <w:rFonts w:ascii="宋体" w:hAnsi="宋体"/>
          <w:b w:val="0"/>
          <w:bCs w:val="0"/>
          <w:color w:val="auto"/>
          <w:sz w:val="32"/>
          <w:szCs w:val="32"/>
        </w:rPr>
        <w:t>依法参加工伤保险，为本单位全部职工或者雇工（以下称职工）缴纳工伤保险费。</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国家机关和与其建立劳动关系的职工，依照本条例执行。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第三条</w:t>
      </w:r>
      <w:r>
        <w:rPr>
          <w:rFonts w:hint="eastAsia" w:ascii="宋体" w:hAnsi="宋体"/>
          <w:b w:val="0"/>
          <w:bCs w:val="0"/>
          <w:color w:val="auto"/>
          <w:sz w:val="32"/>
          <w:szCs w:val="32"/>
        </w:rPr>
        <w:t xml:space="preserve">  </w:t>
      </w:r>
      <w:r>
        <w:rPr>
          <w:rFonts w:ascii="宋体" w:hAnsi="宋体"/>
          <w:b w:val="0"/>
          <w:bCs w:val="0"/>
          <w:color w:val="auto"/>
          <w:sz w:val="32"/>
          <w:szCs w:val="32"/>
        </w:rPr>
        <w:t>工伤保险工作应当坚持预防、救治、补偿和康复相结合的原则。</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用人单位和职工应当遵守有关安全生产和职业病防治的法律法规，执行安全卫生规程和标准，预防工伤事故，减少职业病危害。</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省人民政府社会保险行政部门负责全省的工伤保险工作，组织实施本条例。</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市、县（区）人民政府社会保险行政部门负责本行政区域内的工伤保险工作。</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各级社会保险经办机构具体承办工伤保险事务。</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各级人民政府应当发展工伤康复事业，帮助因工致残者得到康复和从事适合身体状况的劳动。</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第七条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各级人民政府应当保证工伤保险基金的征集和工伤保险待遇的给付。</w:t>
      </w:r>
      <w:r>
        <w:rPr>
          <w:rFonts w:ascii="宋体" w:hAnsi="宋体"/>
          <w:b w:val="0"/>
          <w:bCs w:val="0"/>
          <w:i w:val="0"/>
          <w:iCs w:val="0"/>
          <w:color w:val="auto"/>
          <w:sz w:val="32"/>
          <w:szCs w:val="32"/>
          <w:u w:val="none"/>
        </w:rPr>
        <w:t>遇有特殊情况，工伤保险基金不敷使用时，</w:t>
      </w:r>
      <w:r>
        <w:rPr>
          <w:rFonts w:hint="eastAsia" w:ascii="宋体" w:hAnsi="宋体" w:eastAsia="仿宋_GB2312" w:cs="仿宋_GB2312"/>
          <w:b w:val="0"/>
          <w:bCs w:val="0"/>
          <w:i w:val="0"/>
          <w:iCs w:val="0"/>
          <w:color w:val="auto"/>
          <w:sz w:val="32"/>
          <w:szCs w:val="32"/>
          <w:u w:val="none"/>
          <w:lang w:eastAsia="zh-CN"/>
        </w:rPr>
        <w:t>依照《中华人民共和国社会保险法》的有关规定处理</w:t>
      </w:r>
      <w:r>
        <w:rPr>
          <w:rFonts w:hint="eastAsia" w:ascii="宋体" w:hAnsi="宋体" w:eastAsia="仿宋_GB2312" w:cs="仿宋_GB2312"/>
          <w:b w:val="0"/>
          <w:bCs w:val="0"/>
          <w:i w:val="0"/>
          <w:iCs w:val="0"/>
          <w:color w:val="auto"/>
          <w:sz w:val="32"/>
          <w:szCs w:val="32"/>
          <w:u w:val="none"/>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工伤保险基金、享受工伤保险待遇的收入按照国家规定不征收税、费。</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第八条</w:t>
      </w:r>
      <w:r>
        <w:rPr>
          <w:rFonts w:hint="eastAsia" w:ascii="宋体" w:hAnsi="宋体"/>
          <w:b w:val="0"/>
          <w:bCs w:val="0"/>
          <w:color w:val="auto"/>
          <w:sz w:val="32"/>
          <w:szCs w:val="32"/>
        </w:rPr>
        <w:t xml:space="preserve">  </w:t>
      </w:r>
      <w:r>
        <w:rPr>
          <w:rFonts w:ascii="宋体" w:hAnsi="宋体"/>
          <w:b w:val="0"/>
          <w:bCs w:val="0"/>
          <w:color w:val="auto"/>
          <w:sz w:val="32"/>
          <w:szCs w:val="32"/>
        </w:rPr>
        <w:t>工伤保险费由</w:t>
      </w:r>
      <w:r>
        <w:rPr>
          <w:rFonts w:hint="eastAsia" w:ascii="宋体" w:hAnsi="宋体" w:eastAsia="仿宋_GB2312" w:cs="仿宋_GB2312"/>
          <w:b w:val="0"/>
          <w:bCs w:val="0"/>
          <w:color w:val="auto"/>
          <w:sz w:val="32"/>
          <w:szCs w:val="32"/>
        </w:rPr>
        <w:t>税务部门</w:t>
      </w:r>
      <w:r>
        <w:rPr>
          <w:rFonts w:ascii="宋体" w:hAnsi="宋体"/>
          <w:b w:val="0"/>
          <w:bCs w:val="0"/>
          <w:color w:val="auto"/>
          <w:sz w:val="32"/>
          <w:szCs w:val="32"/>
        </w:rPr>
        <w:t>征收。</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第二章  工伤认定</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第九条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职工有下列情形之一的，应当认定为工伤：</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（一）在工作时间和工作场所内，因工作原因受到事故伤害的；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（二）工作时间前后在工作场所内，从事与工作有关的预备性或者收尾性工作受到事故伤害的；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（三）在工作时间和工作场所内，因履行工作职责受到暴力等意外伤害的；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（四）患职业病的；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（五）因工外出期间，由于工作原因受到伤害或者发生事故下落不明的；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（六）在上下班途中，受到非本人主要责任的交通事故或者城市轨道交通、客运轮渡、火车事故伤害的；</w:t>
      </w:r>
    </w:p>
    <w:p>
      <w:pPr>
        <w:widowControl w:val="0"/>
        <w:wordWrap/>
        <w:overflowPunct w:val="0"/>
        <w:spacing w:beforeAutospacing="0" w:afterAutospacing="0" w:line="560" w:lineRule="exact"/>
        <w:ind w:left="0" w:leftChars="0" w:right="0" w:firstLine="608" w:firstLineChars="190"/>
        <w:textAlignment w:val="auto"/>
        <w:outlineLvl w:val="9"/>
        <w:rPr>
          <w:rFonts w:ascii="宋体" w:hAnsi="宋体"/>
          <w:b w:val="0"/>
          <w:bCs w:val="0"/>
          <w:color w:val="auto"/>
          <w:sz w:val="32"/>
          <w:szCs w:val="32"/>
        </w:rPr>
      </w:pPr>
      <w:r>
        <w:rPr>
          <w:rFonts w:ascii="宋体" w:hAnsi="宋体"/>
          <w:b w:val="0"/>
          <w:bCs w:val="0"/>
          <w:color w:val="auto"/>
          <w:sz w:val="32"/>
          <w:szCs w:val="32"/>
        </w:rPr>
        <w:t>（七）法律、行政法规规定应当认定为工伤的其他情形。</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第十条</w:t>
      </w:r>
      <w:r>
        <w:rPr>
          <w:rFonts w:hint="eastAsia" w:ascii="宋体" w:hAnsi="宋体"/>
          <w:b w:val="0"/>
          <w:bCs w:val="0"/>
          <w:color w:val="auto"/>
          <w:sz w:val="32"/>
          <w:szCs w:val="32"/>
        </w:rPr>
        <w:t xml:space="preserve">  </w:t>
      </w:r>
      <w:r>
        <w:rPr>
          <w:rFonts w:ascii="宋体" w:hAnsi="宋体"/>
          <w:b w:val="0"/>
          <w:bCs w:val="0"/>
          <w:color w:val="auto"/>
          <w:sz w:val="32"/>
          <w:szCs w:val="32"/>
        </w:rPr>
        <w:t>职工有下列情形之一的，视同工伤：</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（一）在工作时间和工作岗位，突发疾病死亡或者在四十八小时之内经抢救无效死亡的；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（二）在抢险救灾等维护国家利益、公共利益活动中受到伤害的；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（三）因工作环境存在有毒有害物质或者在用人单位食堂就餐造成急性中毒而住院抢救治疗，并经县级以上卫生防疫部门验证的；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（四）由用人单位指派前往依法宣布为疫区的地方工作而感染疫病的；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（五）职工原在军队服役，因战、因公负伤致残，已取得残</w:t>
      </w:r>
      <w:r>
        <w:rPr>
          <w:rFonts w:hint="eastAsia" w:ascii="宋体" w:hAnsi="宋体" w:eastAsia="仿宋_GB2312" w:cs="仿宋_GB2312"/>
          <w:b w:val="0"/>
          <w:bCs w:val="0"/>
          <w:color w:val="auto"/>
          <w:sz w:val="32"/>
          <w:szCs w:val="32"/>
        </w:rPr>
        <w:t>疾</w:t>
      </w:r>
      <w:r>
        <w:rPr>
          <w:rFonts w:ascii="宋体" w:hAnsi="宋体"/>
          <w:b w:val="0"/>
          <w:bCs w:val="0"/>
          <w:color w:val="auto"/>
          <w:sz w:val="32"/>
          <w:szCs w:val="32"/>
        </w:rPr>
        <w:t>军人证，到用人单位后旧伤复发的。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职工有前款第一、二、三、四项情形的，按照本条例的有关规定享受工伤保险待遇；职工有前款第五项情形的，按照本条例的有关规定享受除一次性伤残补助金以外的工伤保险待遇。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职工符合本条例第九条、第十条的规定，但是有下列情形之一的，不得认定为工伤或者视同工伤：</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（一）故意犯罪的；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（二）醉酒或者吸毒的；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（三）自残或者自杀的；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（四）法律、行政法规规定的其他情形。</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第十二条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用人单位应当在职工发生事故伤害或者按照职业病防治法规定被诊断、鉴定为职业病后的第一个工作日，</w:t>
      </w:r>
      <w:r>
        <w:rPr>
          <w:rFonts w:hint="eastAsia" w:ascii="宋体" w:hAnsi="宋体" w:eastAsia="仿宋_GB2312" w:cs="仿宋_GB2312"/>
          <w:b w:val="0"/>
          <w:bCs w:val="0"/>
          <w:color w:val="auto"/>
          <w:sz w:val="32"/>
          <w:szCs w:val="32"/>
        </w:rPr>
        <w:t>通知参加工伤保险所在地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社会保险行政部门及社会保险经办机构，并自事故伤害发生之日或者按照职业病防治法规定被诊断、鉴定为职业病之日起三十日内，向参加工伤保险所在地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社会保险行政部门提出工伤认定申请。遇有特殊情况，</w:t>
      </w:r>
      <w:r>
        <w:rPr>
          <w:rFonts w:ascii="宋体" w:hAnsi="宋体"/>
          <w:b w:val="0"/>
          <w:bCs w:val="0"/>
          <w:color w:val="auto"/>
          <w:sz w:val="32"/>
          <w:szCs w:val="32"/>
        </w:rPr>
        <w:t>经报社会保险行政部门同意，申请时限可以适当延长。</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用人单位未按照前款规定提出工伤认定申请的，该职工或者其近亲属、工会组织自事故伤害发生之日或者按照职业病防治法</w:t>
      </w:r>
      <w:r>
        <w:rPr>
          <w:rFonts w:hint="eastAsia" w:ascii="宋体" w:hAnsi="宋体" w:eastAsia="仿宋_GB2312" w:cs="仿宋_GB2312"/>
          <w:b w:val="0"/>
          <w:bCs w:val="0"/>
          <w:color w:val="auto"/>
          <w:sz w:val="32"/>
          <w:szCs w:val="32"/>
        </w:rPr>
        <w:t>规定被诊断、鉴定为职业病之日起一年内，可以直接向用人单位参加工伤保险所在地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社会保险行政部门提出工伤认定申请；未参加工伤保险的，向用人单位生产经营所在地</w:t>
      </w:r>
      <w:r>
        <w:rPr>
          <w:rFonts w:hint="eastAsia" w:ascii="宋体" w:hAnsi="宋体" w:eastAsia="仿宋_GB2312" w:cs="仿宋_GB2312"/>
          <w:b w:val="0"/>
          <w:bCs w:val="0"/>
          <w:color w:val="auto"/>
          <w:sz w:val="32"/>
          <w:szCs w:val="32"/>
          <w:lang w:eastAsia="zh-CN"/>
        </w:rPr>
        <w:t>市、县（区）</w:t>
      </w:r>
      <w:r>
        <w:rPr>
          <w:rFonts w:hint="eastAsia" w:ascii="宋体" w:hAnsi="宋体" w:eastAsia="仿宋_GB2312" w:cs="仿宋_GB2312"/>
          <w:b w:val="0"/>
          <w:bCs w:val="0"/>
          <w:color w:val="auto"/>
          <w:sz w:val="32"/>
          <w:szCs w:val="32"/>
        </w:rPr>
        <w:t>社会保险行政部门提出工伤认定申请。</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用人单位未在本条第一款规定的时限内提交工伤认定申请的，在提出工伤认定申请之前发生的符合本条例规定的工伤待遇等有关费用由用人单位承担。</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提出工伤认定申请应当提交下列材料：</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（一）工伤认定申请表；</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（二）用人单位与劳动者存在劳动关系（包括事实劳动关系）的证明材料；</w:t>
      </w:r>
    </w:p>
    <w:p>
      <w:pPr>
        <w:widowControl w:val="0"/>
        <w:wordWrap/>
        <w:overflowPunct w:val="0"/>
        <w:spacing w:beforeAutospacing="0" w:afterAutospacing="0" w:line="560" w:lineRule="exact"/>
        <w:ind w:left="0" w:leftChars="0" w:right="0" w:firstLine="645"/>
        <w:textAlignment w:val="auto"/>
        <w:outlineLvl w:val="9"/>
        <w:rPr>
          <w:rFonts w:ascii="宋体" w:hAnsi="宋体" w:eastAsia="黑体"/>
          <w:b w:val="0"/>
          <w:bCs w:val="0"/>
          <w:color w:val="auto"/>
          <w:kern w:val="0"/>
          <w:sz w:val="32"/>
          <w:szCs w:val="32"/>
        </w:rPr>
      </w:pPr>
      <w:r>
        <w:rPr>
          <w:rFonts w:ascii="宋体" w:hAnsi="宋体"/>
          <w:b w:val="0"/>
          <w:bCs w:val="0"/>
          <w:color w:val="auto"/>
          <w:sz w:val="32"/>
          <w:szCs w:val="32"/>
        </w:rPr>
        <w:t>（三）医疗诊断证明或者职业病诊断证明书（或者职业病诊断鉴定书）。</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工伤认定申请表应当包括事故发生的时间、地点、原因以及职工伤害程度等基本情况。</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工伤认定申请人提供材料不完整的，社会保险行政部门应当一次性书面告知工伤认定申请人需要补正的全部材料。申请人按照书面告知要求补正材料后，社会保险行政部门应当受理。</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社会保险行政部门受理工伤认定申请后，根据审核需要可以对事故伤害进行调查核实，用人单位、职工、工会组织、医疗机构以及有关部门有协助工伤调查和提供证据的义务。</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ascii="宋体" w:hAnsi="宋体"/>
          <w:b w:val="0"/>
          <w:bCs w:val="0"/>
          <w:color w:val="auto"/>
          <w:sz w:val="32"/>
          <w:szCs w:val="32"/>
        </w:rPr>
        <w:t>职业病诊断和诊断争议的鉴定，依照职业病防治法的有关规定执行。对依法取得的职业病诊断证明书或者职业病诊断鉴定书，社会保险行政部门不再进行调查核实。</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职工或者其近亲属、工会组织认为是工伤，用人单位不认为是工伤的，由用人单位承担举证责任。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第十五条</w:t>
      </w:r>
      <w:r>
        <w:rPr>
          <w:rFonts w:hint="eastAsia" w:ascii="宋体" w:hAnsi="宋体"/>
          <w:b w:val="0"/>
          <w:bCs w:val="0"/>
          <w:color w:val="auto"/>
          <w:sz w:val="32"/>
          <w:szCs w:val="32"/>
        </w:rPr>
        <w:t xml:space="preserve">  </w:t>
      </w:r>
      <w:r>
        <w:rPr>
          <w:rFonts w:ascii="宋体" w:hAnsi="宋体"/>
          <w:b w:val="0"/>
          <w:bCs w:val="0"/>
          <w:color w:val="auto"/>
          <w:sz w:val="32"/>
          <w:szCs w:val="32"/>
        </w:rPr>
        <w:t>社会保险行政部门应当自受理工伤认定申请之日起六十日内作出工伤认定的决定，并书面通知申请工伤认定的职工或者其近亲属以及该职工所在单位。</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社会保险行政部门对受理的事实清楚、权利义务明确的工伤认定申请，应当自受理工伤认定申请之日起十五日内作出工伤认定的决定。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作出工伤认定决定需要以司法机关或者有关行政主管部门的结论为依据的，在司法机关或者有关行政主管部门尚未作出结论期间，作出工伤认定决定的时限中止。</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社会保险行政部门工作人员与工伤认</w:t>
      </w:r>
      <w:r>
        <w:rPr>
          <w:rFonts w:hint="eastAsia" w:ascii="宋体" w:hAnsi="宋体" w:eastAsia="仿宋_GB2312" w:cs="仿宋_GB2312"/>
          <w:b w:val="0"/>
          <w:bCs w:val="0"/>
          <w:color w:val="auto"/>
          <w:sz w:val="32"/>
          <w:szCs w:val="32"/>
        </w:rPr>
        <w:t>定申请人或者利害关系人有利害关系的，应当回避。</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第三章  劳动能力鉴定</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第十六条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职工发生工伤，经治疗伤情相对稳定（医疗终结期满）后存在残疾、影响劳动能力的，应当进行劳动能力鉴定。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用人单位、工伤职工或者其近亲属应当在工伤职工医疗终结期满</w:t>
      </w:r>
      <w:r>
        <w:rPr>
          <w:rFonts w:hint="eastAsia" w:ascii="宋体" w:hAnsi="宋体" w:eastAsia="仿宋_GB2312" w:cs="仿宋_GB2312"/>
          <w:b w:val="0"/>
          <w:bCs w:val="0"/>
          <w:color w:val="auto"/>
          <w:sz w:val="32"/>
          <w:szCs w:val="32"/>
        </w:rPr>
        <w:t>三十日内向地级以上市劳动能力鉴定</w:t>
      </w:r>
      <w:r>
        <w:rPr>
          <w:rFonts w:ascii="宋体" w:hAnsi="宋体"/>
          <w:b w:val="0"/>
          <w:bCs w:val="0"/>
          <w:color w:val="auto"/>
          <w:sz w:val="32"/>
          <w:szCs w:val="32"/>
        </w:rPr>
        <w:t>委员会提出劳动能力鉴定申请，并提供工伤认定决定和职工工伤医疗的有关资料。</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医疗终结期的确认由劳动能力鉴定委员会按照国家和省的有关规定执行。医疗终结期需要延长的，由劳动能力鉴定委员会按照国家和省的有关规定批准。</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第十七条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劳动能力鉴定是指劳动功能障碍程度和生活自理障碍程度的等级鉴定。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劳动功能障碍分为十个伤残等级，最重的为一级，最轻的为十级。</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生活自理障碍等级根据进食、翻身、大小便、穿衣及洗漱、自主行动五项条件确定。五项条件均需要护理者为一级，五项中四项需要护理者为二级，五项中三项需要护理者为三级，五项中一至二项需要护理者为四级。</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劳动能力鉴定及职工工伤与职业病致残等级标准按照国家有关规定执行。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第十八条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省、地级以上市人民政府设立劳动能力鉴定委员会，由社会保险行政部门、卫生行政部门、工会组织、社会保险经办机构以及用人单位代表组成。</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劳动能力鉴定委员会办公室设在社会保险行政部门。</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劳动能力鉴定委员会负责劳动能力障碍程度和生活自理障碍程度鉴定，以及工伤医疗终结期和停工留薪期确认、工伤复发确认、辅助器具配置确认、工伤康复确认等工作。</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第十九条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劳动能力鉴定委员会收到劳动能力鉴定申请后，应当从其建立的医疗卫生专家库中随机抽取三名或者五名相关专家组成专家组，由专家组提出鉴定意见。劳动能力鉴定委员会根据专家组的鉴定意见作出工伤职工劳动能力鉴定结论，必要时，可以委托具备资格的医疗机构协助进行有关的诊断。</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劳动能力鉴定委员会应当自收到劳动能力鉴定申请书之日起六十日内作出劳动能力鉴定结论，必要时，作出劳动能力鉴定结论的期限可以延长三十日。劳动能力鉴定结论应当及时送达申请鉴定的单位和个人。</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劳动能力鉴定工作应当客观、公正。劳动能力鉴定委员会组成人员或者参加鉴定的专家与当事人有利害关系的，应当回避。</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医疗卫生专家库的设置办法及劳动能力鉴定工作程序由省劳动能力鉴定委员会另行制定。</w:t>
      </w:r>
    </w:p>
    <w:p>
      <w:pPr>
        <w:widowControl w:val="0"/>
        <w:wordWrap/>
        <w:overflowPunct w:val="0"/>
        <w:spacing w:beforeAutospacing="0" w:afterAutospacing="0" w:line="560" w:lineRule="exact"/>
        <w:ind w:left="0" w:leftChars="0" w:right="0" w:firstLine="601"/>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第二十条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工伤职工及其近亲属或者用人单位对劳动能力鉴定委员会作出的劳动</w:t>
      </w:r>
      <w:r>
        <w:rPr>
          <w:rFonts w:hint="eastAsia" w:ascii="宋体" w:hAnsi="宋体" w:eastAsia="仿宋_GB2312" w:cs="仿宋_GB2312"/>
          <w:b w:val="0"/>
          <w:bCs w:val="0"/>
          <w:color w:val="auto"/>
          <w:sz w:val="32"/>
          <w:szCs w:val="32"/>
        </w:rPr>
        <w:t>能力鉴定结论不服的，可以自收到鉴定结论之日起十五日内申请复查，对复查结论不服的，可以自收到复查结论之日起十五日内向上一级劳动能力鉴定委员会申请再次鉴定；也可以自收到鉴定结论之日起十五日内向上一级</w:t>
      </w:r>
      <w:r>
        <w:rPr>
          <w:rFonts w:ascii="宋体" w:hAnsi="宋体"/>
          <w:b w:val="0"/>
          <w:bCs w:val="0"/>
          <w:color w:val="auto"/>
          <w:sz w:val="32"/>
          <w:szCs w:val="32"/>
        </w:rPr>
        <w:t>劳动能力鉴定委员会申请再次鉴定。</w:t>
      </w:r>
    </w:p>
    <w:p>
      <w:pPr>
        <w:widowControl w:val="0"/>
        <w:wordWrap/>
        <w:overflowPunct w:val="0"/>
        <w:spacing w:beforeAutospacing="0" w:afterAutospacing="0" w:line="560" w:lineRule="exact"/>
        <w:ind w:left="0" w:leftChars="0" w:right="0" w:firstLine="601"/>
        <w:textAlignment w:val="auto"/>
        <w:outlineLvl w:val="9"/>
        <w:rPr>
          <w:rFonts w:ascii="宋体" w:hAnsi="宋体"/>
          <w:b w:val="0"/>
          <w:bCs w:val="0"/>
          <w:color w:val="auto"/>
          <w:sz w:val="32"/>
          <w:szCs w:val="32"/>
        </w:rPr>
      </w:pPr>
      <w:r>
        <w:rPr>
          <w:rFonts w:ascii="宋体" w:hAnsi="宋体"/>
          <w:b w:val="0"/>
          <w:bCs w:val="0"/>
          <w:color w:val="auto"/>
          <w:sz w:val="32"/>
          <w:szCs w:val="32"/>
        </w:rPr>
        <w:t>省级劳动能力鉴定委员会作出的劳动能力鉴定结论为最终结论。</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第四章  工伤保险待遇</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职工发生工伤时，用人单位应当采取措施及时救治工伤职工。</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职工治疗工伤应当在签订服务协议的医疗机构就医，情况紧急时可以先到就</w:t>
      </w:r>
      <w:r>
        <w:rPr>
          <w:rFonts w:hint="eastAsia" w:ascii="宋体" w:hAnsi="宋体" w:eastAsia="仿宋_GB2312" w:cs="仿宋_GB2312"/>
          <w:b w:val="0"/>
          <w:bCs w:val="0"/>
          <w:color w:val="auto"/>
          <w:sz w:val="32"/>
          <w:szCs w:val="32"/>
        </w:rPr>
        <w:t>近的医疗机构急救；疑似职业病或者患职业病的，用人单位应当及时送依法承担职业病诊断的医疗卫生机构诊断，并及时送签订服务协议的医疗机构治疗。</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职工经治疗伤情稳定，需要工伤康复的，用人单位、工伤职工或者其近亲属可以向地级以上市劳动能力鉴定委员会提出工伤康复申请。经劳动能力鉴定委员会确认，工伤职工可以在签订服务协议的康复机构进行康复。</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lang w:eastAsia="zh-CN"/>
        </w:rPr>
      </w:pPr>
      <w:r>
        <w:rPr>
          <w:rFonts w:hint="eastAsia" w:ascii="宋体" w:hAnsi="宋体" w:eastAsia="仿宋_GB2312" w:cs="仿宋_GB2312"/>
          <w:b w:val="0"/>
          <w:bCs w:val="0"/>
          <w:color w:val="auto"/>
          <w:sz w:val="32"/>
          <w:szCs w:val="32"/>
          <w:lang w:eastAsia="zh-CN"/>
        </w:rPr>
        <w:t>工伤职工在认定工伤前已由基本医疗保险基金按照规定支付的医疗费用，在认定工伤后由工伤保险基金按照规定向基本医疗保险基金结算。</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因医疗条件所限需要转院治疗的，应当由签订服务协议的医疗机构提出，经报社会保险经办机构同意；因康复条件所限需要转院康复的，应当由工伤职工、用人单位或者签订服务协议的康复机构提出，经报社会保险经办机构同意。</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社会保险经办机构与医疗机构、康复机构签订服务协议，应当事先征求同级总工会、有关企业协会的意见。签订服务协议的医疗机构、康复机构名单应当向社会公布。</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治疗工伤所需费用符合工伤保险诊疗项目目录、工伤保险药品目录、工伤保险住院服务标准的，从工伤保险基金支付。工伤保险诊疗项目目录、工伤保险药品目录、工伤保险住院服务标准按照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职工住院治疗工伤、康复的伙食补助费，以及经批准转地级以上市以外门诊治疗、康复及住院治疗、康复的，其在城市间往返一次的交通费用及在转入地所需的市内交通、食宿费用，由工伤保险基金按照省</w:t>
      </w:r>
      <w:r>
        <w:rPr>
          <w:rFonts w:hint="eastAsia" w:ascii="宋体" w:hAnsi="宋体" w:eastAsia="仿宋_GB2312" w:cs="仿宋_GB2312"/>
          <w:b w:val="0"/>
          <w:bCs w:val="0"/>
          <w:i w:val="0"/>
          <w:iCs w:val="0"/>
          <w:color w:val="auto"/>
          <w:sz w:val="32"/>
          <w:szCs w:val="32"/>
          <w:u w:val="none"/>
        </w:rPr>
        <w:t>人民政府</w:t>
      </w:r>
      <w:r>
        <w:rPr>
          <w:rFonts w:hint="eastAsia" w:ascii="宋体" w:hAnsi="宋体" w:eastAsia="仿宋_GB2312" w:cs="仿宋_GB2312"/>
          <w:b w:val="0"/>
          <w:bCs w:val="0"/>
          <w:color w:val="auto"/>
          <w:sz w:val="32"/>
          <w:szCs w:val="32"/>
        </w:rPr>
        <w:t>规定的标准支付。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职工因工伤需要暂停工作接受工伤医疗的，在停工留薪期内，原工资福利待遇不变，由所在单位按月支付。停工留薪期根据医疗终结期确定，由劳动能力鉴定委员会确认，最长不超过二十四个月。</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职工鉴定伤残等级后，停发原待遇，按照本章的有关规定享受伤残待遇。工伤职工在鉴定伤残等级后仍需治疗的，经劳动能力鉴定委员会批准，一级至四级伤残，享受伤残津贴和工伤医疗待遇；五级至十级伤残，享受工伤医疗和停工留薪期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经劳动能力鉴定委员会确认可以进行康复的，工伤职工在签订服务协议的康复机构发生的符合规定的工伤康复费用，从工伤保险基金支付。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工伤职工在停工留薪期间生活不能自理需要护理的，由所在单位负责。所在单位未派人护理的，应当参照当地护工从事同等级别护理的劳务报酬标准向工伤职工支付护理费。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第二十六条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工伤职工已经被鉴定为一级至四级伤残等级并经劳动能力鉴定委</w:t>
      </w:r>
      <w:r>
        <w:rPr>
          <w:rFonts w:hint="eastAsia" w:ascii="宋体" w:hAnsi="宋体" w:eastAsia="仿宋_GB2312" w:cs="仿宋_GB2312"/>
          <w:b w:val="0"/>
          <w:bCs w:val="0"/>
          <w:color w:val="auto"/>
          <w:sz w:val="32"/>
          <w:szCs w:val="32"/>
        </w:rPr>
        <w:t>员会确认需要生活护理的，由工伤保险基金按照工伤职工生活自理障碍等级支付生活护理费。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生活护理费以全省上年度职工月平均工资的一定比例按月计发，标准为：一级为百分之六十，二级为百分之五十，三级为百分之四十，四级为百分之三十。</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生活护理费每年按照全省上年度职工平均工资增长比例同步调整，全省上年度职工平均工资负增长时不调整。</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第二十七条</w:t>
      </w:r>
      <w:r>
        <w:rPr>
          <w:rFonts w:hint="eastAsia" w:ascii="宋体" w:hAnsi="宋体"/>
          <w:b w:val="0"/>
          <w:bCs w:val="0"/>
          <w:color w:val="auto"/>
          <w:sz w:val="32"/>
          <w:szCs w:val="32"/>
        </w:rPr>
        <w:t xml:space="preserve">  </w:t>
      </w:r>
      <w:r>
        <w:rPr>
          <w:rFonts w:ascii="宋体" w:hAnsi="宋体"/>
          <w:b w:val="0"/>
          <w:bCs w:val="0"/>
          <w:color w:val="auto"/>
          <w:sz w:val="32"/>
          <w:szCs w:val="32"/>
        </w:rPr>
        <w:t>工伤职工因日常生活或者就业需要，必须安装假肢、矫形器、假眼、假牙和配置轮椅、拐杖等辅助器具，或者辅助器具需要维修、更换的，由签订服务协议的医疗、康复机构提出意见，经劳动能力鉴定委员会确认，所需费用按照国家规定的标准从工伤保险基金支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辅助器具应当限于辅助日常生活及生产劳动之必需，并采用国内市场的普及型产品。工伤职工选择其他型号产品，费用高出普及型的部分，由个人自付。</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第二十八条</w:t>
      </w:r>
      <w:r>
        <w:rPr>
          <w:rFonts w:hint="eastAsia" w:ascii="宋体" w:hAnsi="宋体"/>
          <w:b w:val="0"/>
          <w:bCs w:val="0"/>
          <w:color w:val="auto"/>
          <w:sz w:val="32"/>
          <w:szCs w:val="32"/>
        </w:rPr>
        <w:t xml:space="preserve">  </w:t>
      </w:r>
      <w:r>
        <w:rPr>
          <w:rFonts w:ascii="宋体" w:hAnsi="宋体"/>
          <w:b w:val="0"/>
          <w:bCs w:val="0"/>
          <w:color w:val="auto"/>
          <w:sz w:val="32"/>
          <w:szCs w:val="32"/>
        </w:rPr>
        <w:t>职工因工致残被鉴定为一级至四级伤残，本人要求退出工作岗位、终止劳动关系的，办理伤残退休手续，享受以下待遇：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一次性伤残补助金。由工伤保险基金按伤残等级支付，标准为：一级伤残为二十七个月的本人工资，二级伤残为二十五个月的本人工资，三级伤残为二十三个月的本人工资，四级伤残为二十一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伤残津贴。由工伤保险基金按月支付，直至本人死亡，标准为：一级伤残为本人工资的百分之九十，二级伤残为本人工资的百分之八十五，三级伤残为本人工资的百分之八十，四级伤残为本人工资的百分之七十五。伤残津贴实际金额低于当地最低工资标准的，由工伤保险基金补足差额。</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办理伤残退休手续的工伤职工</w:t>
      </w:r>
      <w:r>
        <w:rPr>
          <w:rFonts w:hint="eastAsia" w:ascii="宋体" w:hAnsi="宋体" w:eastAsia="仿宋_GB2312" w:cs="仿宋_GB2312"/>
          <w:b w:val="0"/>
          <w:bCs w:val="0"/>
          <w:color w:val="auto"/>
          <w:sz w:val="32"/>
          <w:szCs w:val="32"/>
        </w:rPr>
        <w:t>应当按照规定参</w:t>
      </w:r>
      <w:r>
        <w:rPr>
          <w:rFonts w:ascii="宋体" w:hAnsi="宋体"/>
          <w:b w:val="0"/>
          <w:bCs w:val="0"/>
          <w:color w:val="auto"/>
          <w:sz w:val="32"/>
          <w:szCs w:val="32"/>
        </w:rPr>
        <w:t>加职工基本医疗保险</w:t>
      </w:r>
      <w:r>
        <w:rPr>
          <w:rFonts w:ascii="宋体" w:hAnsi="宋体" w:eastAsia="黑体"/>
          <w:b w:val="0"/>
          <w:bCs w:val="0"/>
          <w:color w:val="auto"/>
          <w:sz w:val="32"/>
          <w:szCs w:val="32"/>
        </w:rPr>
        <w:t>。</w:t>
      </w:r>
      <w:r>
        <w:rPr>
          <w:rFonts w:ascii="宋体" w:hAnsi="宋体"/>
          <w:b w:val="0"/>
          <w:bCs w:val="0"/>
          <w:color w:val="auto"/>
          <w:sz w:val="32"/>
          <w:szCs w:val="32"/>
        </w:rPr>
        <w:t>按照规定应当由用人单位缴纳的基本医疗保险费，由工伤保险基金承担。</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一级至四级伤残职工与原单位保留劳动关系，退出工作岗位的，按照《工伤保险条例》的有关规定执行。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伤残津贴每年按照省人民政府的规定进行</w:t>
      </w:r>
      <w:r>
        <w:rPr>
          <w:rFonts w:hint="eastAsia" w:ascii="宋体" w:hAnsi="宋体" w:eastAsia="仿宋_GB2312" w:cs="仿宋_GB2312"/>
          <w:b w:val="0"/>
          <w:bCs w:val="0"/>
          <w:i w:val="0"/>
          <w:iCs w:val="0"/>
          <w:color w:val="auto"/>
          <w:sz w:val="32"/>
          <w:szCs w:val="32"/>
          <w:u w:val="none"/>
        </w:rPr>
        <w:t>调整</w:t>
      </w:r>
      <w:r>
        <w:rPr>
          <w:rFonts w:hint="eastAsia" w:ascii="宋体" w:hAnsi="宋体" w:eastAsia="仿宋_GB2312" w:cs="仿宋_GB2312"/>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第二十九条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一级至四级伤残职工户籍从单位所在地迁回原籍的，其伤残津贴可以由社会保险经办机构按照标准每半年发放一次。用人单位应当</w:t>
      </w:r>
      <w:r>
        <w:rPr>
          <w:rFonts w:hint="eastAsia" w:ascii="宋体" w:hAnsi="宋体" w:eastAsia="仿宋_GB2312" w:cs="仿宋_GB2312"/>
          <w:b w:val="0"/>
          <w:bCs w:val="0"/>
          <w:color w:val="auto"/>
          <w:sz w:val="32"/>
          <w:szCs w:val="32"/>
        </w:rPr>
        <w:t>按照全省上年度</w:t>
      </w:r>
      <w:r>
        <w:rPr>
          <w:rFonts w:ascii="宋体" w:hAnsi="宋体"/>
          <w:b w:val="0"/>
          <w:bCs w:val="0"/>
          <w:color w:val="auto"/>
          <w:sz w:val="32"/>
          <w:szCs w:val="32"/>
        </w:rPr>
        <w:t>职工月平均工资为基数发给六个月的安家补助费。所需交通费、住宿费、行李搬运费和伙食补助费等，由用人单位按照因公出差标准报销。</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职工因工致残被鉴定为五级、六级伤残的，享受以下待遇：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（一）一次性伤残补助金。由工伤保险基金支付，标准为：五级伤残为十八个月的本人工资，六级伤残为十六个月的本人工资。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highlight w:val="yellow"/>
        </w:rPr>
      </w:pPr>
      <w:r>
        <w:rPr>
          <w:rFonts w:ascii="宋体" w:hAnsi="宋体"/>
          <w:b w:val="0"/>
          <w:bCs w:val="0"/>
          <w:color w:val="auto"/>
          <w:sz w:val="32"/>
          <w:szCs w:val="32"/>
        </w:rPr>
        <w:t>（二）保留与用人单位的劳动关系，由用人单位安排适当工作。难以安排工作的，由用人单位按月发给伤残津贴，标准为：五级伤残为本人工资的百分之七十，六级伤残为本人工资的百分之六十，并由用人单位按照规定为其缴纳应缴纳的各项社会保险费。伤残津贴实际金额低于当地最低工资标准的，由用人单位补足差额。</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五级、六级伤残职工本人提出与用人单位解除或者终止劳动关系的，由工伤保险基金支付一次性工伤医疗补助金，由用人单位支付一次性伤残就业补助金，终结工伤保险关系：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（一）一次性工伤医疗补助金。标准为：五级伤残为十个月的本人工资，六级伤残为八个月的本人工资。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ascii="宋体" w:hAnsi="宋体"/>
          <w:b w:val="0"/>
          <w:bCs w:val="0"/>
          <w:color w:val="auto"/>
          <w:sz w:val="32"/>
          <w:szCs w:val="32"/>
        </w:rPr>
        <w:t>（二）一次性伤残就业补助金。标准为：五级伤残为五十个月的本人工资，六级伤残为四十个月的本人工资。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致残被鉴定为七级至十级伤残的，由工伤保险基金支付一次性伤残补助金，标准为：七级伤残为十三个月的本人工资，八级伤残为十一个月的本人工资，九级伤残为九个月的本人工资，十级伤残为七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七级</w:t>
      </w:r>
      <w:r>
        <w:rPr>
          <w:rFonts w:hint="eastAsia" w:ascii="宋体" w:hAnsi="宋体" w:eastAsia="仿宋_GB2312" w:cs="仿宋_GB2312"/>
          <w:b w:val="0"/>
          <w:bCs w:val="0"/>
          <w:color w:val="auto"/>
          <w:sz w:val="32"/>
          <w:szCs w:val="32"/>
        </w:rPr>
        <w:t>至十级伤残职工劳动、聘用合同终止或者依法与用人单位解除劳动关系的，除享受基本养老保险待遇或者死亡情形之外</w:t>
      </w:r>
      <w:r>
        <w:rPr>
          <w:rFonts w:hint="eastAsia" w:ascii="宋体" w:hAnsi="宋体" w:eastAsia="仿宋_GB2312" w:cs="仿宋_GB2312"/>
          <w:b w:val="0"/>
          <w:bCs w:val="0"/>
          <w:color w:val="auto"/>
          <w:sz w:val="32"/>
          <w:szCs w:val="32"/>
          <w:lang w:eastAsia="zh-CN"/>
        </w:rPr>
        <w:t>，</w:t>
      </w:r>
      <w:r>
        <w:rPr>
          <w:rFonts w:hint="eastAsia" w:ascii="宋体" w:hAnsi="宋体" w:eastAsia="仿宋_GB2312" w:cs="仿宋_GB2312"/>
          <w:b w:val="0"/>
          <w:bCs w:val="0"/>
          <w:color w:val="auto"/>
          <w:sz w:val="32"/>
          <w:szCs w:val="32"/>
        </w:rPr>
        <w:t>由工伤保险基金支付一次性工伤医疗补助金，由用人单位支付一次性伤残就业补助金，终结工伤保险关系</w:t>
      </w:r>
      <w:r>
        <w:rPr>
          <w:rFonts w:hint="eastAsia" w:ascii="宋体" w:hAnsi="宋体" w:eastAsia="仿宋_GB2312" w:cs="仿宋_GB2312"/>
          <w:b w:val="0"/>
          <w:bCs w:val="0"/>
          <w:color w:val="auto"/>
          <w:sz w:val="32"/>
          <w:szCs w:val="32"/>
          <w:lang w:eastAsia="zh-CN"/>
        </w:rPr>
        <w:t>。补助金标准如下</w:t>
      </w:r>
      <w:r>
        <w:rPr>
          <w:rFonts w:hint="eastAsia" w:ascii="宋体" w:hAnsi="宋体" w:eastAsia="仿宋_GB2312" w:cs="仿宋_GB2312"/>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仿宋_GB2312" w:cs="仿宋_GB2312"/>
          <w:b w:val="0"/>
          <w:bCs w:val="0"/>
          <w:color w:val="auto"/>
          <w:sz w:val="32"/>
          <w:szCs w:val="32"/>
        </w:rPr>
        <w:t>（一）一次性工伤医疗补助金：七级伤残为六个月的本人工资，八级伤残为四个月的本人工资，九级伤残为二个月</w:t>
      </w:r>
      <w:r>
        <w:rPr>
          <w:rFonts w:ascii="宋体" w:hAnsi="宋体"/>
          <w:b w:val="0"/>
          <w:bCs w:val="0"/>
          <w:color w:val="auto"/>
          <w:sz w:val="32"/>
          <w:szCs w:val="32"/>
        </w:rPr>
        <w:t>的本人工资，十级伤残为一个月的本人工资。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（二）一次性伤残就业补助金：七级伤残为二十五个月的本人工资，八级伤残为十五个月的本人工资，九级伤残为八个月的本人工资，十级伤残为四个月的本人工资。</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第三十三条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计发本</w:t>
      </w:r>
      <w:r>
        <w:rPr>
          <w:rFonts w:hint="eastAsia" w:ascii="宋体" w:hAnsi="宋体" w:eastAsia="仿宋_GB2312" w:cs="仿宋_GB2312"/>
          <w:b w:val="0"/>
          <w:bCs w:val="0"/>
          <w:color w:val="auto"/>
          <w:sz w:val="32"/>
          <w:szCs w:val="32"/>
        </w:rPr>
        <w:t>条例第</w:t>
      </w:r>
      <w:r>
        <w:rPr>
          <w:rFonts w:hint="eastAsia" w:ascii="宋体" w:hAnsi="宋体" w:eastAsia="仿宋_GB2312" w:cs="仿宋_GB2312"/>
          <w:b w:val="0"/>
          <w:bCs w:val="0"/>
          <w:color w:val="auto"/>
          <w:sz w:val="32"/>
          <w:szCs w:val="32"/>
          <w:lang w:eastAsia="zh-CN"/>
        </w:rPr>
        <w:t>三十一</w:t>
      </w:r>
      <w:r>
        <w:rPr>
          <w:rFonts w:hint="eastAsia" w:ascii="宋体" w:hAnsi="宋体" w:eastAsia="仿宋_GB2312" w:cs="仿宋_GB2312"/>
          <w:b w:val="0"/>
          <w:bCs w:val="0"/>
          <w:color w:val="auto"/>
          <w:sz w:val="32"/>
          <w:szCs w:val="32"/>
        </w:rPr>
        <w:t>条、第</w:t>
      </w:r>
      <w:r>
        <w:rPr>
          <w:rFonts w:hint="eastAsia" w:ascii="宋体" w:hAnsi="宋体" w:eastAsia="仿宋_GB2312" w:cs="仿宋_GB2312"/>
          <w:b w:val="0"/>
          <w:bCs w:val="0"/>
          <w:color w:val="auto"/>
          <w:sz w:val="32"/>
          <w:szCs w:val="32"/>
          <w:lang w:eastAsia="zh-CN"/>
        </w:rPr>
        <w:t>三十二</w:t>
      </w:r>
      <w:r>
        <w:rPr>
          <w:rFonts w:hint="eastAsia" w:ascii="宋体" w:hAnsi="宋体" w:eastAsia="仿宋_GB2312" w:cs="仿宋_GB2312"/>
          <w:b w:val="0"/>
          <w:bCs w:val="0"/>
          <w:color w:val="auto"/>
          <w:sz w:val="32"/>
          <w:szCs w:val="32"/>
        </w:rPr>
        <w:t>条规定的一次性工伤医疗补助金和一次性伤残就业补助金，本人工资低于工伤职工与用人单位解除或者终止劳动关系前本人十二个月平均月缴费工资的，按照解除或者终止劳动关系前本人十二个月平均月缴费工资为基数计发。缴费工资不足十二个月的，以实际缴费月数计算本人平均月缴费工资。本人平均月缴费工资高于全省上年度职工月平均工资百分之三百的，按照全省上年度职工月平均工资的百分之三百计算；低于全省上年度职工月平均工资百分之六十的，按照全省上年度职工月平均工资的百分之六十计算。</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第三十四条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w:t>
      </w:r>
      <w:r>
        <w:rPr>
          <w:rFonts w:hint="eastAsia" w:ascii="宋体" w:hAnsi="宋体" w:eastAsia="仿宋_GB2312" w:cs="仿宋_GB2312"/>
          <w:b w:val="0"/>
          <w:bCs w:val="0"/>
          <w:color w:val="auto"/>
          <w:sz w:val="32"/>
          <w:szCs w:val="32"/>
        </w:rPr>
        <w:t>伤职工工伤复发，确认需要治疗的，享受本条例第</w:t>
      </w:r>
      <w:r>
        <w:rPr>
          <w:rFonts w:hint="eastAsia" w:ascii="宋体" w:hAnsi="宋体" w:eastAsia="仿宋_GB2312" w:cs="仿宋_GB2312"/>
          <w:b w:val="0"/>
          <w:bCs w:val="0"/>
          <w:color w:val="auto"/>
          <w:sz w:val="32"/>
          <w:szCs w:val="32"/>
          <w:lang w:eastAsia="zh-CN"/>
        </w:rPr>
        <w:t>二十四</w:t>
      </w:r>
      <w:r>
        <w:rPr>
          <w:rFonts w:hint="eastAsia" w:ascii="宋体" w:hAnsi="宋体" w:eastAsia="仿宋_GB2312" w:cs="仿宋_GB2312"/>
          <w:b w:val="0"/>
          <w:bCs w:val="0"/>
          <w:color w:val="auto"/>
          <w:sz w:val="32"/>
          <w:szCs w:val="32"/>
        </w:rPr>
        <w:t>条、第</w:t>
      </w:r>
      <w:r>
        <w:rPr>
          <w:rFonts w:hint="eastAsia" w:ascii="宋体" w:hAnsi="宋体" w:eastAsia="仿宋_GB2312" w:cs="仿宋_GB2312"/>
          <w:b w:val="0"/>
          <w:bCs w:val="0"/>
          <w:color w:val="auto"/>
          <w:sz w:val="32"/>
          <w:szCs w:val="32"/>
          <w:lang w:eastAsia="zh-CN"/>
        </w:rPr>
        <w:t>二十五</w:t>
      </w:r>
      <w:r>
        <w:rPr>
          <w:rFonts w:hint="eastAsia" w:ascii="宋体" w:hAnsi="宋体" w:eastAsia="仿宋_GB2312" w:cs="仿宋_GB2312"/>
          <w:b w:val="0"/>
          <w:bCs w:val="0"/>
          <w:color w:val="auto"/>
          <w:sz w:val="32"/>
          <w:szCs w:val="32"/>
        </w:rPr>
        <w:t>条和第</w:t>
      </w:r>
      <w:r>
        <w:rPr>
          <w:rFonts w:hint="eastAsia" w:ascii="宋体" w:hAnsi="宋体" w:eastAsia="仿宋_GB2312" w:cs="仿宋_GB2312"/>
          <w:b w:val="0"/>
          <w:bCs w:val="0"/>
          <w:color w:val="auto"/>
          <w:sz w:val="32"/>
          <w:szCs w:val="32"/>
          <w:lang w:eastAsia="zh-CN"/>
        </w:rPr>
        <w:t>二十七</w:t>
      </w:r>
      <w:r>
        <w:rPr>
          <w:rFonts w:hint="eastAsia" w:ascii="宋体" w:hAnsi="宋体" w:eastAsia="仿宋_GB2312" w:cs="仿宋_GB2312"/>
          <w:b w:val="0"/>
          <w:bCs w:val="0"/>
          <w:color w:val="auto"/>
          <w:sz w:val="32"/>
          <w:szCs w:val="32"/>
        </w:rPr>
        <w:t>条规定的工伤待遇。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职工因工死亡，其近亲属按照下列规定从工伤保险基金领取丧葬补助金、供养亲属抚恤金和一次性工亡补助金：</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（一）丧葬补助金为六个</w:t>
      </w:r>
      <w:r>
        <w:rPr>
          <w:rFonts w:hint="eastAsia" w:ascii="宋体" w:hAnsi="宋体" w:eastAsia="仿宋_GB2312" w:cs="仿宋_GB2312"/>
          <w:b w:val="0"/>
          <w:bCs w:val="0"/>
          <w:color w:val="auto"/>
          <w:sz w:val="32"/>
          <w:szCs w:val="32"/>
        </w:rPr>
        <w:t>月的全省上年度职</w:t>
      </w:r>
      <w:r>
        <w:rPr>
          <w:rFonts w:ascii="宋体" w:hAnsi="宋体"/>
          <w:b w:val="0"/>
          <w:bCs w:val="0"/>
          <w:color w:val="auto"/>
          <w:sz w:val="32"/>
          <w:szCs w:val="32"/>
        </w:rPr>
        <w:t>工月平均工资。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供养亲属抚恤金按照职工本人工资的一定比例发给由因工死亡职工生前提供主要生活来源、无劳动能力的亲属。标准为：配偶每月百分之四十，其他亲属每人每月百分之三十，孤寡老人或者孤儿每人每月在上述标准的基础上增加百分之十。核定的各供养亲属的抚恤金之和不应当高于因工死亡职工生前的工资。供养亲属的具体范围按照国务院社会保险行政部门的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（三）一次性工亡补助金标准为上年度全国城镇居民人均可支配收入的二十倍。</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伤残职工在停工留薪期内因工伤导致死亡的，其近亲属享受本条第一款规定的待遇。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一级至四级伤残职工在停工留薪期满后死亡的，其近亲属可以享受本条第一款第一项、第二项规定的待遇。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供养亲属抚恤金每</w:t>
      </w:r>
      <w:r>
        <w:rPr>
          <w:rFonts w:hint="eastAsia" w:ascii="宋体" w:hAnsi="宋体" w:eastAsia="仿宋_GB2312" w:cs="仿宋_GB2312"/>
          <w:b w:val="0"/>
          <w:bCs w:val="0"/>
          <w:color w:val="auto"/>
          <w:sz w:val="32"/>
          <w:szCs w:val="32"/>
        </w:rPr>
        <w:t>年按照省人民政府的规定进行</w:t>
      </w:r>
      <w:r>
        <w:rPr>
          <w:rFonts w:hint="eastAsia" w:ascii="宋体" w:hAnsi="宋体" w:eastAsia="仿宋_GB2312" w:cs="仿宋_GB2312"/>
          <w:b w:val="0"/>
          <w:bCs w:val="0"/>
          <w:i w:val="0"/>
          <w:iCs w:val="0"/>
          <w:color w:val="auto"/>
          <w:spacing w:val="-9"/>
          <w:sz w:val="32"/>
          <w:szCs w:val="32"/>
          <w:u w:val="none"/>
        </w:rPr>
        <w:t>调整</w:t>
      </w:r>
      <w:r>
        <w:rPr>
          <w:rFonts w:ascii="宋体" w:hAnsi="宋体"/>
          <w:b w:val="0"/>
          <w:bCs w:val="0"/>
          <w:color w:val="auto"/>
          <w:sz w:val="32"/>
          <w:szCs w:val="32"/>
        </w:rPr>
        <w:t>。</w:t>
      </w:r>
    </w:p>
    <w:p>
      <w:pPr>
        <w:widowControl w:val="0"/>
        <w:wordWrap/>
        <w:overflowPunct w:val="0"/>
        <w:spacing w:beforeAutospacing="0" w:afterAutospacing="0" w:line="560" w:lineRule="exact"/>
        <w:ind w:left="0" w:leftChars="0" w:right="0" w:firstLine="67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第三十六条</w:t>
      </w:r>
      <w:r>
        <w:rPr>
          <w:rFonts w:hint="eastAsia" w:ascii="宋体" w:hAnsi="宋体"/>
          <w:b w:val="0"/>
          <w:bCs w:val="0"/>
          <w:color w:val="auto"/>
          <w:sz w:val="32"/>
          <w:szCs w:val="32"/>
        </w:rPr>
        <w:t xml:space="preserve">  </w:t>
      </w:r>
      <w:r>
        <w:rPr>
          <w:rFonts w:ascii="宋体" w:hAnsi="宋体"/>
          <w:b w:val="0"/>
          <w:bCs w:val="0"/>
          <w:color w:val="auto"/>
          <w:sz w:val="32"/>
          <w:szCs w:val="32"/>
        </w:rPr>
        <w:t>职工因工外出期间发生事故或者在抢险救灾中下落不明的，按照《工伤保险条例》的有关规定处理。被宣告死亡后重新出现的，应当退还已发的供养亲属抚恤金和一次性工亡补助金。</w:t>
      </w:r>
    </w:p>
    <w:p>
      <w:pPr>
        <w:widowControl w:val="0"/>
        <w:wordWrap/>
        <w:overflowPunct w:val="0"/>
        <w:spacing w:beforeAutospacing="0" w:afterAutospacing="0" w:line="560" w:lineRule="exact"/>
        <w:ind w:left="0" w:leftChars="0" w:right="0" w:firstLine="63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第三十七条</w:t>
      </w:r>
      <w:r>
        <w:rPr>
          <w:rFonts w:hint="eastAsia" w:ascii="宋体" w:hAnsi="宋体"/>
          <w:b w:val="0"/>
          <w:bCs w:val="0"/>
          <w:color w:val="auto"/>
          <w:sz w:val="32"/>
          <w:szCs w:val="32"/>
        </w:rPr>
        <w:t xml:space="preserve">  </w:t>
      </w:r>
      <w:r>
        <w:rPr>
          <w:rFonts w:ascii="宋体" w:hAnsi="宋体"/>
          <w:b w:val="0"/>
          <w:bCs w:val="0"/>
          <w:color w:val="auto"/>
          <w:sz w:val="32"/>
          <w:szCs w:val="32"/>
        </w:rPr>
        <w:t>定期领取伤残津贴的人员或者领取供养亲属抚恤金的供养亲属，应</w:t>
      </w:r>
      <w:r>
        <w:rPr>
          <w:rFonts w:hint="eastAsia" w:ascii="宋体" w:hAnsi="宋体" w:eastAsia="仿宋_GB2312" w:cs="仿宋_GB2312"/>
          <w:b w:val="0"/>
          <w:bCs w:val="0"/>
          <w:color w:val="auto"/>
          <w:sz w:val="32"/>
          <w:szCs w:val="32"/>
        </w:rPr>
        <w:t>当每年通过领取待遇资格认证，方可继续领取。</w:t>
      </w:r>
      <w:r>
        <w:rPr>
          <w:rFonts w:hint="eastAsia" w:ascii="宋体" w:hAnsi="宋体" w:eastAsia="仿宋_GB2312" w:cs="仿宋_GB2312"/>
          <w:b w:val="0"/>
          <w:bCs w:val="0"/>
          <w:i w:val="0"/>
          <w:iCs w:val="0"/>
          <w:color w:val="auto"/>
          <w:sz w:val="32"/>
          <w:szCs w:val="32"/>
          <w:u w:val="none"/>
        </w:rPr>
        <w:t>有关人员</w:t>
      </w:r>
      <w:r>
        <w:rPr>
          <w:rFonts w:hint="eastAsia" w:ascii="宋体" w:hAnsi="宋体" w:eastAsia="仿宋_GB2312" w:cs="仿宋_GB2312"/>
          <w:b w:val="0"/>
          <w:bCs w:val="0"/>
          <w:color w:val="auto"/>
          <w:sz w:val="32"/>
          <w:szCs w:val="32"/>
        </w:rPr>
        <w:t>丧失领取待遇资格的，应当及时报告社会保险经办机构，</w:t>
      </w:r>
      <w:r>
        <w:rPr>
          <w:rFonts w:hint="eastAsia" w:ascii="宋体" w:hAnsi="宋体" w:eastAsia="仿宋_GB2312" w:cs="仿宋_GB2312"/>
          <w:b w:val="0"/>
          <w:bCs w:val="0"/>
          <w:i w:val="0"/>
          <w:iCs w:val="0"/>
          <w:color w:val="auto"/>
          <w:sz w:val="32"/>
          <w:szCs w:val="32"/>
          <w:u w:val="none"/>
          <w:lang w:eastAsia="zh-CN"/>
        </w:rPr>
        <w:t>因未及时报告导致</w:t>
      </w:r>
      <w:r>
        <w:rPr>
          <w:rFonts w:hint="eastAsia" w:ascii="宋体" w:hAnsi="宋体" w:eastAsia="仿宋_GB2312" w:cs="仿宋_GB2312"/>
          <w:b w:val="0"/>
          <w:bCs w:val="0"/>
          <w:color w:val="auto"/>
          <w:sz w:val="32"/>
          <w:szCs w:val="32"/>
        </w:rPr>
        <w:t>多发相关待遇费用</w:t>
      </w:r>
      <w:r>
        <w:rPr>
          <w:rFonts w:hint="eastAsia" w:ascii="宋体" w:hAnsi="宋体" w:eastAsia="仿宋_GB2312" w:cs="仿宋_GB2312"/>
          <w:b w:val="0"/>
          <w:bCs w:val="0"/>
          <w:color w:val="auto"/>
          <w:sz w:val="32"/>
          <w:szCs w:val="32"/>
          <w:lang w:eastAsia="zh-CN"/>
        </w:rPr>
        <w:t>的，应当及时退还；存在骗取工伤保险待遇情形的，依照本条例第五十七条的规定处理</w:t>
      </w:r>
      <w:r>
        <w:rPr>
          <w:rFonts w:hint="eastAsia" w:ascii="宋体" w:hAnsi="宋体" w:eastAsia="仿宋_GB2312" w:cs="仿宋_GB2312"/>
          <w:b w:val="0"/>
          <w:bCs w:val="0"/>
          <w:color w:val="auto"/>
          <w:sz w:val="32"/>
          <w:szCs w:val="32"/>
        </w:rPr>
        <w:t>。</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第三十八条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工伤职工有下列情形之一的，停止享受工伤保险待遇：</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（一）丧失享受待遇条件的；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（二）拒不接受劳动能力鉴定的；</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（三）拒绝治疗的。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第三十九条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用人单位分立、合并、转让的，承继单位应当承担原用人单位的工伤保险责任；原用人单位已经参加工伤保险的，承继单位应当到当地社会保险经办机构办理工伤保险变更登记。</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企业破产，因分立、合并之外的原因解散，或者终止的，在清算时依法拨付应当由用人单位支付的工伤保险待遇费用，清偿欠缴的工伤保险费及其利息和滞纳金。</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用人单位实行承包经营的，工伤保险责任由职工劳动关系所在单位承担。</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用人单位实行承包经营，使用劳动者的承包方不具备用人单位资格的，由具备用人单位资格的发包方承担工伤保险责任。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非法承包建筑工程发生工伤事故，劳动者的工伤待遇应当由分包方或者承包方承担，分包方或者承包方承担工伤保险责任后有权向发包方追偿。</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职工被借调期间受到工伤事故伤害的，由原用人单位承担工伤保险责任，但原用人单位与借调单位可以约定补偿办法。</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第四十一条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职工所在用人单位未依法缴纳工伤保险费，发生工伤事故的，由用人单位支付工伤保险待遇。</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用人单位不支付工伤保险待遇，工伤职工或者其近亲属可以提出先行支付的申请，经审核符合规定的，从工伤保险基金中先行支付工伤保险待遇项目中应当由工伤保险基金支付的项目。</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从工伤保险基金中先行支付的工伤保险待遇应当由用人单位偿还。用人单位不偿还的，由社会保险经办机构依法向用人单位追偿。</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第五章  工伤保险基金</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第四十二条</w:t>
      </w:r>
      <w:r>
        <w:rPr>
          <w:rFonts w:hint="eastAsia" w:ascii="宋体" w:hAnsi="宋体"/>
          <w:b w:val="0"/>
          <w:bCs w:val="0"/>
          <w:color w:val="auto"/>
          <w:sz w:val="32"/>
          <w:szCs w:val="32"/>
        </w:rPr>
        <w:t xml:space="preserve">  </w:t>
      </w:r>
      <w:r>
        <w:rPr>
          <w:rFonts w:ascii="宋体" w:hAnsi="宋体"/>
          <w:b w:val="0"/>
          <w:bCs w:val="0"/>
          <w:color w:val="auto"/>
          <w:sz w:val="32"/>
          <w:szCs w:val="32"/>
        </w:rPr>
        <w:t>工伤保险基金的构成：</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（一）用人单位缴纳的工伤保险费；</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（二）工伤保险基金的利息；</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（三）滞纳金；</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（四）财政补贴；</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（五）法律、法规规定的其他收入。</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第四十三条</w:t>
      </w:r>
      <w:r>
        <w:rPr>
          <w:rFonts w:hint="eastAsia" w:ascii="宋体" w:hAnsi="宋体"/>
          <w:b w:val="0"/>
          <w:bCs w:val="0"/>
          <w:color w:val="auto"/>
          <w:sz w:val="32"/>
          <w:szCs w:val="32"/>
        </w:rPr>
        <w:t xml:space="preserve">  </w:t>
      </w:r>
      <w:r>
        <w:rPr>
          <w:rFonts w:ascii="宋体" w:hAnsi="宋体"/>
          <w:b w:val="0"/>
          <w:bCs w:val="0"/>
          <w:color w:val="auto"/>
          <w:sz w:val="32"/>
          <w:szCs w:val="32"/>
        </w:rPr>
        <w:t>工伤保险基金根据以支定收、收支平衡的原则筹集。</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社会保险经办机构每年根据用人单位工伤保险费使用、工伤发生率等情况，按照行业差别费率及行业内费率档次确定单位缴费费率。</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工伤保险费由用人单位承担，职工个人不缴纳工伤保险费。</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用人单位缴纳工伤保险费的数额为本单位职工工资总额乘以单位缴费费率之积。</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难以按照工资总额缴纳工伤保险费的行业，其缴纳工伤保险费的具体方式按照国家有关规定执行。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第四十五条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w:t>
      </w:r>
      <w:r>
        <w:rPr>
          <w:rFonts w:hint="eastAsia" w:ascii="宋体" w:hAnsi="宋体" w:eastAsia="仿宋_GB2312" w:cs="仿宋_GB2312"/>
          <w:b w:val="0"/>
          <w:bCs w:val="0"/>
          <w:color w:val="auto"/>
          <w:sz w:val="32"/>
          <w:szCs w:val="32"/>
        </w:rPr>
        <w:t>基金按照国家和省的规定实行省级统筹。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工伤保险基金按照国家和省的规定建立储备金</w:t>
      </w:r>
      <w:r>
        <w:rPr>
          <w:rFonts w:hint="eastAsia" w:ascii="宋体" w:hAnsi="宋体" w:eastAsia="仿宋_GB2312" w:cs="仿宋_GB2312"/>
          <w:b w:val="0"/>
          <w:bCs w:val="0"/>
          <w:i w:val="0"/>
          <w:iCs w:val="0"/>
          <w:color w:val="auto"/>
          <w:sz w:val="32"/>
          <w:szCs w:val="32"/>
          <w:u w:val="none"/>
        </w:rPr>
        <w:t>，</w:t>
      </w:r>
      <w:r>
        <w:rPr>
          <w:rFonts w:hint="eastAsia" w:ascii="宋体" w:hAnsi="宋体" w:eastAsia="仿宋_GB2312" w:cs="仿宋_GB2312"/>
          <w:b w:val="0"/>
          <w:bCs w:val="0"/>
          <w:color w:val="auto"/>
          <w:sz w:val="32"/>
          <w:szCs w:val="32"/>
        </w:rPr>
        <w:t>用于重大事故的工伤保险待遇支付和基金不敷使用时的调剂</w:t>
      </w:r>
      <w:r>
        <w:rPr>
          <w:rFonts w:hint="eastAsia" w:ascii="宋体" w:hAnsi="宋体" w:eastAsia="仿宋_GB2312" w:cs="仿宋_GB2312"/>
          <w:b w:val="0"/>
          <w:bCs w:val="0"/>
          <w:i w:val="0"/>
          <w:iCs w:val="0"/>
          <w:color w:val="auto"/>
          <w:sz w:val="32"/>
          <w:szCs w:val="32"/>
          <w:u w:val="none"/>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第四十六条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工伤保险基金存入社会保障基金财政专户并按照同期城乡居民储蓄存款利率计息，所得利息全部转入工伤保险基金。</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第四十七条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工伤保险基金用于下列支出项目：</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（一）工伤保险待遇；</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（二）职业康复费用；</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（三）工伤取证费和劳动能力鉴定费；</w:t>
      </w:r>
    </w:p>
    <w:p>
      <w:pPr>
        <w:widowControl w:val="0"/>
        <w:wordWrap/>
        <w:overflowPunct w:val="0"/>
        <w:spacing w:beforeAutospacing="0" w:afterAutospacing="0" w:line="560" w:lineRule="exact"/>
        <w:ind w:left="0" w:leftChars="0" w:right="0" w:firstLine="645"/>
        <w:textAlignment w:val="auto"/>
        <w:outlineLvl w:val="9"/>
        <w:rPr>
          <w:rFonts w:ascii="宋体" w:hAnsi="宋体"/>
          <w:b w:val="0"/>
          <w:bCs w:val="0"/>
          <w:color w:val="auto"/>
          <w:sz w:val="32"/>
          <w:szCs w:val="32"/>
        </w:rPr>
      </w:pPr>
      <w:r>
        <w:rPr>
          <w:rFonts w:ascii="宋体" w:hAnsi="宋体"/>
          <w:b w:val="0"/>
          <w:bCs w:val="0"/>
          <w:color w:val="auto"/>
          <w:sz w:val="32"/>
          <w:szCs w:val="32"/>
        </w:rPr>
        <w:t>（四）工伤预防费。</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ascii="宋体" w:hAnsi="宋体"/>
          <w:b w:val="0"/>
          <w:bCs w:val="0"/>
          <w:color w:val="auto"/>
          <w:sz w:val="32"/>
          <w:szCs w:val="32"/>
        </w:rPr>
        <w:t>前款第二项按照不超过上年度结存的工伤保险基金三分之一的比例，第三项按照</w:t>
      </w:r>
      <w:r>
        <w:rPr>
          <w:rFonts w:hint="eastAsia" w:ascii="宋体" w:hAnsi="宋体" w:eastAsia="仿宋_GB2312" w:cs="仿宋_GB2312"/>
          <w:b w:val="0"/>
          <w:bCs w:val="0"/>
          <w:color w:val="auto"/>
          <w:sz w:val="32"/>
          <w:szCs w:val="32"/>
        </w:rPr>
        <w:t>不超过上年度工伤保险基金实际收缴总额百分之二的比例，由社会保险经办机构于每年九月提出下年度的用款支出计划，报同级社会保险行政部门和财政部门审核，按</w:t>
      </w:r>
      <w:r>
        <w:rPr>
          <w:rFonts w:hint="eastAsia" w:ascii="宋体" w:hAnsi="宋体" w:eastAsia="仿宋_GB2312" w:cs="仿宋_GB2312"/>
          <w:b w:val="0"/>
          <w:bCs w:val="0"/>
          <w:color w:val="auto"/>
          <w:sz w:val="32"/>
          <w:szCs w:val="32"/>
          <w:lang w:eastAsia="zh-CN"/>
        </w:rPr>
        <w:t>照</w:t>
      </w:r>
      <w:r>
        <w:rPr>
          <w:rFonts w:hint="eastAsia" w:ascii="宋体" w:hAnsi="宋体" w:eastAsia="仿宋_GB2312" w:cs="仿宋_GB2312"/>
          <w:b w:val="0"/>
          <w:bCs w:val="0"/>
          <w:color w:val="auto"/>
          <w:sz w:val="32"/>
          <w:szCs w:val="32"/>
        </w:rPr>
        <w:t>社会保险基金预算编制相关程序报批后列入下年度工伤保险基金支出预算，下年度据实列支。</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lang w:eastAsia="zh-CN"/>
        </w:rPr>
      </w:pPr>
      <w:r>
        <w:rPr>
          <w:rFonts w:hint="eastAsia" w:ascii="宋体" w:hAnsi="宋体" w:eastAsia="仿宋_GB2312" w:cs="仿宋_GB2312"/>
          <w:b w:val="0"/>
          <w:bCs w:val="0"/>
          <w:color w:val="auto"/>
          <w:sz w:val="32"/>
          <w:szCs w:val="32"/>
        </w:rPr>
        <w:t>在保证储备金足额留存和本条第一款第一项</w:t>
      </w:r>
      <w:r>
        <w:rPr>
          <w:rFonts w:hint="eastAsia" w:ascii="宋体" w:hAnsi="宋体" w:eastAsia="仿宋_GB2312" w:cs="仿宋_GB2312"/>
          <w:b w:val="0"/>
          <w:bCs w:val="0"/>
          <w:color w:val="auto"/>
          <w:sz w:val="32"/>
          <w:szCs w:val="32"/>
          <w:lang w:eastAsia="zh-CN"/>
        </w:rPr>
        <w:t>至</w:t>
      </w:r>
      <w:r>
        <w:rPr>
          <w:rFonts w:hint="eastAsia" w:ascii="宋体" w:hAnsi="宋体" w:eastAsia="仿宋_GB2312" w:cs="仿宋_GB2312"/>
          <w:b w:val="0"/>
          <w:bCs w:val="0"/>
          <w:color w:val="auto"/>
          <w:sz w:val="32"/>
          <w:szCs w:val="32"/>
        </w:rPr>
        <w:t>第三项规定的费用足额支付的前提下，可以按照不超过上年度工伤保险基金实际收缴总额百分之三的比例，安排使用工伤预防费。工伤预防费用</w:t>
      </w:r>
      <w:r>
        <w:rPr>
          <w:rFonts w:hint="eastAsia" w:ascii="宋体" w:hAnsi="宋体" w:eastAsia="仿宋_GB2312" w:cs="仿宋_GB2312"/>
          <w:b w:val="0"/>
          <w:bCs w:val="0"/>
          <w:i w:val="0"/>
          <w:iCs w:val="0"/>
          <w:color w:val="auto"/>
          <w:sz w:val="32"/>
          <w:szCs w:val="32"/>
          <w:u w:val="none"/>
        </w:rPr>
        <w:t>的</w:t>
      </w:r>
      <w:r>
        <w:rPr>
          <w:rFonts w:hint="eastAsia" w:ascii="宋体" w:hAnsi="宋体" w:eastAsia="仿宋_GB2312" w:cs="仿宋_GB2312"/>
          <w:b w:val="0"/>
          <w:bCs w:val="0"/>
          <w:i w:val="0"/>
          <w:iCs w:val="0"/>
          <w:color w:val="auto"/>
          <w:sz w:val="32"/>
          <w:szCs w:val="32"/>
          <w:u w:val="none"/>
          <w:lang w:eastAsia="zh-CN"/>
        </w:rPr>
        <w:t>安排使</w:t>
      </w:r>
      <w:r>
        <w:rPr>
          <w:rFonts w:hint="eastAsia" w:ascii="宋体" w:hAnsi="宋体" w:eastAsia="仿宋_GB2312" w:cs="仿宋_GB2312"/>
          <w:b w:val="0"/>
          <w:bCs w:val="0"/>
          <w:i w:val="0"/>
          <w:iCs w:val="0"/>
          <w:color w:val="auto"/>
          <w:sz w:val="32"/>
          <w:szCs w:val="32"/>
          <w:u w:val="none"/>
        </w:rPr>
        <w:t>用</w:t>
      </w:r>
      <w:r>
        <w:rPr>
          <w:rFonts w:hint="eastAsia" w:ascii="宋体" w:hAnsi="宋体" w:eastAsia="仿宋_GB2312" w:cs="仿宋_GB2312"/>
          <w:b w:val="0"/>
          <w:bCs w:val="0"/>
          <w:color w:val="auto"/>
          <w:sz w:val="32"/>
          <w:szCs w:val="32"/>
        </w:rPr>
        <w:t>计划</w:t>
      </w:r>
      <w:r>
        <w:rPr>
          <w:rFonts w:hint="eastAsia" w:ascii="宋体" w:hAnsi="宋体" w:eastAsia="仿宋_GB2312" w:cs="仿宋_GB2312"/>
          <w:b w:val="0"/>
          <w:bCs w:val="0"/>
          <w:color w:val="auto"/>
          <w:sz w:val="32"/>
          <w:szCs w:val="32"/>
          <w:lang w:eastAsia="zh-CN"/>
        </w:rPr>
        <w:t>由社会保险行政部门会同卫生健康、应急管理等部门制定</w:t>
      </w:r>
      <w:r>
        <w:rPr>
          <w:rFonts w:hint="eastAsia" w:ascii="宋体" w:hAnsi="宋体" w:eastAsia="仿宋_GB2312" w:cs="仿宋_GB2312"/>
          <w:b w:val="0"/>
          <w:bCs w:val="0"/>
          <w:i w:val="0"/>
          <w:iCs w:val="0"/>
          <w:color w:val="auto"/>
          <w:sz w:val="32"/>
          <w:szCs w:val="32"/>
          <w:u w:val="none"/>
        </w:rPr>
        <w:t>，</w:t>
      </w:r>
      <w:r>
        <w:rPr>
          <w:rFonts w:hint="eastAsia" w:ascii="宋体" w:hAnsi="宋体" w:eastAsia="仿宋_GB2312" w:cs="仿宋_GB2312"/>
          <w:b w:val="0"/>
          <w:bCs w:val="0"/>
          <w:color w:val="auto"/>
          <w:sz w:val="32"/>
          <w:szCs w:val="32"/>
        </w:rPr>
        <w:t>按</w:t>
      </w:r>
      <w:r>
        <w:rPr>
          <w:rFonts w:hint="eastAsia" w:ascii="宋体" w:hAnsi="宋体" w:eastAsia="仿宋_GB2312" w:cs="仿宋_GB2312"/>
          <w:b w:val="0"/>
          <w:bCs w:val="0"/>
          <w:color w:val="auto"/>
          <w:sz w:val="32"/>
          <w:szCs w:val="32"/>
          <w:lang w:eastAsia="zh-CN"/>
        </w:rPr>
        <w:t>照</w:t>
      </w:r>
      <w:r>
        <w:rPr>
          <w:rFonts w:hint="eastAsia" w:ascii="宋体" w:hAnsi="宋体" w:eastAsia="仿宋_GB2312" w:cs="仿宋_GB2312"/>
          <w:b w:val="0"/>
          <w:bCs w:val="0"/>
          <w:color w:val="auto"/>
          <w:sz w:val="32"/>
          <w:szCs w:val="32"/>
        </w:rPr>
        <w:t>社会保险基金预算编制相关程序</w:t>
      </w:r>
      <w:r>
        <w:rPr>
          <w:rFonts w:hint="eastAsia" w:ascii="宋体" w:hAnsi="宋体" w:eastAsia="仿宋_GB2312" w:cs="仿宋_GB2312"/>
          <w:b w:val="0"/>
          <w:bCs w:val="0"/>
          <w:color w:val="auto"/>
          <w:sz w:val="32"/>
          <w:szCs w:val="32"/>
          <w:lang w:eastAsia="zh-CN"/>
        </w:rPr>
        <w:t>报批</w:t>
      </w:r>
      <w:r>
        <w:rPr>
          <w:rFonts w:hint="eastAsia" w:ascii="宋体" w:hAnsi="宋体" w:eastAsia="仿宋_GB2312" w:cs="仿宋_GB2312"/>
          <w:b w:val="0"/>
          <w:bCs w:val="0"/>
          <w:color w:val="auto"/>
          <w:sz w:val="32"/>
          <w:szCs w:val="32"/>
        </w:rPr>
        <w:t>后列入下年度工伤保险</w:t>
      </w:r>
      <w:r>
        <w:rPr>
          <w:rFonts w:hint="eastAsia" w:ascii="宋体" w:hAnsi="宋体" w:eastAsia="仿宋_GB2312" w:cs="仿宋_GB2312"/>
          <w:b w:val="0"/>
          <w:bCs w:val="0"/>
          <w:color w:val="auto"/>
          <w:sz w:val="32"/>
          <w:szCs w:val="32"/>
          <w:lang w:eastAsia="zh-CN"/>
        </w:rPr>
        <w:t>基金</w:t>
      </w:r>
      <w:r>
        <w:rPr>
          <w:rFonts w:hint="eastAsia" w:ascii="宋体" w:hAnsi="宋体" w:eastAsia="仿宋_GB2312" w:cs="仿宋_GB2312"/>
          <w:b w:val="0"/>
          <w:bCs w:val="0"/>
          <w:i w:val="0"/>
          <w:iCs w:val="0"/>
          <w:color w:val="auto"/>
          <w:sz w:val="32"/>
          <w:szCs w:val="32"/>
          <w:u w:val="none"/>
        </w:rPr>
        <w:t>支出</w:t>
      </w:r>
      <w:r>
        <w:rPr>
          <w:rFonts w:hint="eastAsia" w:ascii="宋体" w:hAnsi="宋体" w:eastAsia="仿宋_GB2312" w:cs="仿宋_GB2312"/>
          <w:b w:val="0"/>
          <w:bCs w:val="0"/>
          <w:color w:val="auto"/>
          <w:sz w:val="32"/>
          <w:szCs w:val="32"/>
        </w:rPr>
        <w:t>预算，下年度据实列支。</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工伤预防费、工伤取证费和劳动能力鉴定费作为专项经费管理使用，专项经费管理使用按照国家和省的有关规定执行。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任何单位或者个人不得将工伤保险基金用于投资运营、兴建或者改建办公场所、发放奖金，或者挪作其他用途。</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第六章  监督管理</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5"/>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第四十八条</w:t>
      </w:r>
      <w:r>
        <w:rPr>
          <w:rFonts w:hint="eastAsia" w:ascii="宋体" w:hAnsi="宋体" w:eastAsia="黑体"/>
          <w:b w:val="0"/>
          <w:bCs w:val="0"/>
          <w:color w:val="auto"/>
          <w:sz w:val="32"/>
          <w:szCs w:val="32"/>
        </w:rPr>
        <w:t xml:space="preserve">  </w:t>
      </w:r>
      <w:r>
        <w:rPr>
          <w:rFonts w:hint="eastAsia" w:ascii="宋体" w:hAnsi="宋体" w:eastAsia="仿宋_GB2312" w:cs="仿宋_GB2312"/>
          <w:b w:val="0"/>
          <w:bCs w:val="0"/>
          <w:color w:val="auto"/>
          <w:sz w:val="32"/>
          <w:szCs w:val="32"/>
        </w:rPr>
        <w:t>县级以上人民政府社会保险行政部门、财政部门和审计机关按照各自职责依法对工伤保险基金的收支、管理等情况进行监督。</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各级社会保险经办机构应当建立健全内部审计制度。</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社会保险监督委员会依法对工伤保险基金的收支、管理情况实施社会监督。</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第四十九条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工会组织依法维护工伤职工的合法权益，对用人单位的工伤保险工作实行监督。</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职工有权监督用人单位参加工伤保险及缴费情况。用人单位应当向职工如实通告因工伤亡、参加工伤保险和缴费情况。</w:t>
      </w:r>
    </w:p>
    <w:p>
      <w:pPr>
        <w:widowControl w:val="0"/>
        <w:wordWrap/>
        <w:overflowPunct w:val="0"/>
        <w:spacing w:beforeAutospacing="0" w:afterAutospacing="0" w:line="560" w:lineRule="exact"/>
        <w:ind w:left="0" w:leftChars="0" w:right="0" w:firstLine="63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 xml:space="preserve">第五十一条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用人单位和职工有</w:t>
      </w:r>
      <w:r>
        <w:rPr>
          <w:rFonts w:hint="eastAsia" w:ascii="宋体" w:hAnsi="宋体" w:eastAsia="仿宋_GB2312" w:cs="仿宋_GB2312"/>
          <w:b w:val="0"/>
          <w:bCs w:val="0"/>
          <w:color w:val="auto"/>
          <w:sz w:val="32"/>
          <w:szCs w:val="32"/>
        </w:rPr>
        <w:t>权向税务部门和社会保险经办机构查询本单位工伤保险缴费和工伤保险待遇支付情况。税务部门和社会保险经办机构应当提供相应的查询、咨询服务。</w:t>
      </w:r>
    </w:p>
    <w:p>
      <w:pPr>
        <w:widowControl w:val="0"/>
        <w:wordWrap/>
        <w:overflowPunct w:val="0"/>
        <w:spacing w:beforeAutospacing="0" w:afterAutospacing="0" w:line="560" w:lineRule="exact"/>
        <w:ind w:left="0" w:leftChars="0" w:right="0" w:firstLine="601"/>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职工与用人单位发生工伤待遇方面的争议，按照处理劳动争议的有关规定处理。</w:t>
      </w:r>
    </w:p>
    <w:p>
      <w:pPr>
        <w:widowControl w:val="0"/>
        <w:wordWrap/>
        <w:overflowPunct w:val="0"/>
        <w:spacing w:beforeAutospacing="0" w:afterAutospacing="0" w:line="560" w:lineRule="exact"/>
        <w:ind w:left="0" w:leftChars="0" w:right="0" w:firstLine="601"/>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有下列情形之一的，有关单位或者个人可以依法申请行政复议，也可以依法向人民法院提起诉讼：</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（一）申请工伤认定的职工或者其近亲属、该职工所在单位对工伤认定申请不予受理的决定不服的；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（二）申请工伤认定的职工或者其近亲属、该职工所在单位对工伤认定结论不服的；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（三）用人单位对社会保险经办机构确定的单位缴费费率不服的；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（四）签订服务协议的医疗机构、康复机构、辅助器具配置机构认为社会保险经办机构未履行有关协议或者规定的；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（五）工伤职工或者其近亲属对社会保险经办机构核定的工伤保险待遇有异议的。</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第七章  法律责任</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第五十四条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用人单位依</w:t>
      </w:r>
      <w:r>
        <w:rPr>
          <w:rFonts w:hint="eastAsia" w:ascii="宋体" w:hAnsi="宋体" w:eastAsia="仿宋_GB2312" w:cs="仿宋_GB2312"/>
          <w:b w:val="0"/>
          <w:bCs w:val="0"/>
          <w:color w:val="auto"/>
          <w:sz w:val="32"/>
          <w:szCs w:val="32"/>
        </w:rPr>
        <w:t>照本条例规定应当参加工伤保险而未参加或者未按时足额缴纳工伤保险费的，由税务部门会同相关部门责令限期改正，并自欠缴之日起，按日加收万分之五的滞纳金；逾期仍不缴纳的，由税务部门处欠缴数额一倍以上三倍以下的罚款；对其直接负责的主管人员和其他直接责任人员依法给予处罚。</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eastAsia="黑体"/>
          <w:b w:val="0"/>
          <w:bCs w:val="0"/>
          <w:color w:val="auto"/>
          <w:sz w:val="32"/>
          <w:szCs w:val="32"/>
        </w:rPr>
      </w:pPr>
      <w:r>
        <w:rPr>
          <w:rFonts w:hint="eastAsia" w:ascii="宋体" w:hAnsi="宋体" w:eastAsia="黑体" w:cs="黑体"/>
          <w:b w:val="0"/>
          <w:bCs w:val="0"/>
          <w:color w:val="auto"/>
          <w:sz w:val="32"/>
          <w:szCs w:val="32"/>
        </w:rPr>
        <w:t>第五十五条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用人单位依照本条例规定应当参加工伤保险而未参加或者未按时缴纳工伤保险费，职工发生工伤的，由该用人单</w:t>
      </w:r>
      <w:r>
        <w:rPr>
          <w:rFonts w:ascii="宋体" w:hAnsi="宋体"/>
          <w:b w:val="0"/>
          <w:bCs w:val="0"/>
          <w:color w:val="auto"/>
          <w:spacing w:val="-6"/>
          <w:sz w:val="32"/>
          <w:szCs w:val="32"/>
        </w:rPr>
        <w:t>位按照本条例规定的工伤保险待遇项目和标准向职工支付费用</w:t>
      </w:r>
      <w:r>
        <w:rPr>
          <w:rFonts w:ascii="宋体" w:hAnsi="宋体"/>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用人单位按照规定补缴应当缴纳的工伤保险费和滞纳金后，</w:t>
      </w:r>
      <w:r>
        <w:rPr>
          <w:rFonts w:ascii="宋体" w:hAnsi="宋体"/>
          <w:b w:val="0"/>
          <w:bCs w:val="0"/>
          <w:color w:val="auto"/>
          <w:spacing w:val="-6"/>
          <w:sz w:val="32"/>
          <w:szCs w:val="32"/>
        </w:rPr>
        <w:t>由工伤保险基金和用人单位按照本条例的规定支付新发生的费用</w:t>
      </w:r>
      <w:r>
        <w:rPr>
          <w:rFonts w:ascii="宋体" w:hAnsi="宋体"/>
          <w:b w:val="0"/>
          <w:bCs w:val="0"/>
          <w:color w:val="auto"/>
          <w:sz w:val="32"/>
          <w:szCs w:val="32"/>
        </w:rPr>
        <w:t>。</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w:t>
      </w:r>
      <w:r>
        <w:rPr>
          <w:rFonts w:hint="eastAsia" w:ascii="宋体" w:hAnsi="宋体" w:eastAsia="黑体" w:cs="黑体"/>
          <w:b w:val="0"/>
          <w:bCs w:val="0"/>
          <w:color w:val="auto"/>
          <w:sz w:val="32"/>
          <w:szCs w:val="32"/>
          <w:lang w:eastAsia="zh-CN"/>
        </w:rPr>
        <w:t>五十六</w:t>
      </w:r>
      <w:r>
        <w:rPr>
          <w:rFonts w:hint="eastAsia" w:ascii="宋体" w:hAnsi="宋体" w:eastAsia="黑体" w:cs="黑体"/>
          <w:b w:val="0"/>
          <w:bCs w:val="0"/>
          <w:color w:val="auto"/>
          <w:sz w:val="32"/>
          <w:szCs w:val="32"/>
        </w:rPr>
        <w:t>条</w:t>
      </w:r>
      <w:r>
        <w:rPr>
          <w:rFonts w:hint="eastAsia" w:ascii="宋体" w:hAnsi="宋体" w:eastAsia="仿宋_GB2312" w:cs="仿宋_GB2312"/>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用人单位少报职工工资，未足额缴纳工伤保险费，造成工伤职工享受的工伤保险待遇降低的，工伤保险待遇差额部分由用人单位向工伤职工补足。</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第五十七条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工伤职工或者其近亲属骗取工伤保险待遇，医疗机构、康复机构、辅助器具配置机构骗取工伤保险基金支出的，由社会保险行政部门责令退还，处骗取金额二倍以上五倍以下的罚款；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第五十八条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用人单位未按照本条例</w:t>
      </w:r>
      <w:r>
        <w:rPr>
          <w:rFonts w:hint="eastAsia" w:ascii="宋体" w:hAnsi="宋体" w:eastAsia="仿宋_GB2312" w:cs="仿宋_GB2312"/>
          <w:b w:val="0"/>
          <w:bCs w:val="0"/>
          <w:color w:val="auto"/>
          <w:sz w:val="32"/>
          <w:szCs w:val="32"/>
        </w:rPr>
        <w:t>第</w:t>
      </w:r>
      <w:r>
        <w:rPr>
          <w:rFonts w:hint="eastAsia" w:ascii="宋体" w:hAnsi="宋体" w:eastAsia="仿宋_GB2312" w:cs="仿宋_GB2312"/>
          <w:b w:val="0"/>
          <w:bCs w:val="0"/>
          <w:color w:val="auto"/>
          <w:sz w:val="32"/>
          <w:szCs w:val="32"/>
          <w:lang w:eastAsia="zh-CN"/>
        </w:rPr>
        <w:t>十四</w:t>
      </w:r>
      <w:r>
        <w:rPr>
          <w:rFonts w:hint="eastAsia" w:ascii="宋体" w:hAnsi="宋体" w:eastAsia="仿宋_GB2312" w:cs="仿宋_GB2312"/>
          <w:b w:val="0"/>
          <w:bCs w:val="0"/>
          <w:color w:val="auto"/>
          <w:sz w:val="32"/>
          <w:szCs w:val="32"/>
        </w:rPr>
        <w:t>条</w:t>
      </w:r>
      <w:r>
        <w:rPr>
          <w:rFonts w:ascii="宋体" w:hAnsi="宋体"/>
          <w:b w:val="0"/>
          <w:bCs w:val="0"/>
          <w:color w:val="auto"/>
          <w:sz w:val="32"/>
          <w:szCs w:val="32"/>
        </w:rPr>
        <w:t>第一款规定提供证据，或者提供虚假资料的，由社会保险行政部门对其处以二千元以上二万元以下的罚款。</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第五十九条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各级人民政府、有关行政管理部门和社会保险经办机构及其工作人员违反本条例，有下列行为之一的，上级机关应当责令其改正，追回挪用流失款项；有违法所得的，没收违法所得；对直接负责的主管人员和其他直接责任人员依法给予处分；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（一）擅自增加或者减免应当缴纳的工伤保险费及其利息或者滞纳金的；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（二）未按照规定将工伤保险费及其利息或者滞纳金全部存入工伤保险基金专户的；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（三）挪用工伤保险基金的；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pacing w:val="-6"/>
          <w:sz w:val="32"/>
          <w:szCs w:val="32"/>
        </w:rPr>
      </w:pPr>
      <w:r>
        <w:rPr>
          <w:rFonts w:ascii="宋体" w:hAnsi="宋体"/>
          <w:b w:val="0"/>
          <w:bCs w:val="0"/>
          <w:color w:val="auto"/>
          <w:sz w:val="32"/>
          <w:szCs w:val="32"/>
        </w:rPr>
        <w:t>（四）</w:t>
      </w:r>
      <w:r>
        <w:rPr>
          <w:rFonts w:ascii="宋体" w:hAnsi="宋体"/>
          <w:b w:val="0"/>
          <w:bCs w:val="0"/>
          <w:color w:val="auto"/>
          <w:spacing w:val="-6"/>
          <w:sz w:val="32"/>
          <w:szCs w:val="32"/>
        </w:rPr>
        <w:t>未按照规定核定各项工伤保险待遇标准或者领取期限的；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（五）未按照规定上解工伤保险储备金的。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社会保险行政部门工作人员有下列情形之一的，依法给予处分；构成犯罪的，依法追究刑事责任：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（一）无正当理由不受理工伤认定申请，或者弄虚作假将不符合工伤条件的人员认定为工伤职工的；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（二）未妥善保管申请工伤认定的证据材料，致使有关证据灭失的；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（三）收受当事人财物的。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第六十一条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从事劳动能力鉴定的组织或者个人有下列情形之一的，由社会保险行政部门责令改正，处二千元以上一万元以下的罚款；构成犯罪的，依法追究刑事责任：</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（一）提供虚假鉴定意见的；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（二）提供虚假诊断证明的；</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（三）收受当事人财物的。</w:t>
      </w:r>
    </w:p>
    <w:p>
      <w:pPr>
        <w:widowControl w:val="0"/>
        <w:wordWrap/>
        <w:overflowPunct w:val="0"/>
        <w:spacing w:beforeAutospacing="0" w:afterAutospacing="0" w:line="560" w:lineRule="exact"/>
        <w:ind w:left="0" w:leftChars="0" w:right="0"/>
        <w:jc w:val="center"/>
        <w:textAlignment w:val="auto"/>
        <w:outlineLvl w:val="9"/>
        <w:rPr>
          <w:rFonts w:ascii="宋体" w:hAnsi="宋体"/>
          <w:b w:val="0"/>
          <w:bCs w:val="0"/>
          <w:color w:val="auto"/>
          <w:sz w:val="32"/>
          <w:szCs w:val="32"/>
        </w:rPr>
      </w:pP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r>
        <w:rPr>
          <w:rFonts w:ascii="宋体" w:hAnsi="宋体" w:eastAsia="黑体"/>
          <w:b w:val="0"/>
          <w:bCs w:val="0"/>
          <w:color w:val="auto"/>
          <w:sz w:val="32"/>
          <w:szCs w:val="32"/>
        </w:rPr>
        <w:t>第八章  附则</w:t>
      </w:r>
    </w:p>
    <w:p>
      <w:pPr>
        <w:widowControl w:val="0"/>
        <w:wordWrap/>
        <w:overflowPunct w:val="0"/>
        <w:spacing w:beforeAutospacing="0" w:afterAutospacing="0" w:line="560" w:lineRule="exact"/>
        <w:ind w:left="0" w:leftChars="0" w:right="0"/>
        <w:jc w:val="center"/>
        <w:textAlignment w:val="auto"/>
        <w:outlineLvl w:val="9"/>
        <w:rPr>
          <w:rFonts w:ascii="宋体" w:hAnsi="宋体" w:eastAsia="黑体"/>
          <w:b w:val="0"/>
          <w:bCs w:val="0"/>
          <w:color w:val="auto"/>
          <w:sz w:val="32"/>
          <w:szCs w:val="32"/>
        </w:rPr>
      </w:pP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黑体" w:cs="黑体"/>
          <w:b w:val="0"/>
          <w:bCs w:val="0"/>
          <w:color w:val="auto"/>
          <w:sz w:val="32"/>
          <w:szCs w:val="32"/>
        </w:rPr>
        <w:t>第六十二条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中央、省属和军队驻</w:t>
      </w:r>
      <w:r>
        <w:rPr>
          <w:rFonts w:hint="eastAsia" w:ascii="宋体" w:hAnsi="宋体" w:eastAsia="仿宋_GB2312" w:cs="仿宋_GB2312"/>
          <w:b w:val="0"/>
          <w:bCs w:val="0"/>
          <w:color w:val="auto"/>
          <w:sz w:val="32"/>
          <w:szCs w:val="32"/>
        </w:rPr>
        <w:t>穗单位</w:t>
      </w:r>
      <w:r>
        <w:rPr>
          <w:rFonts w:hint="eastAsia" w:ascii="宋体" w:hAnsi="宋体" w:eastAsia="仿宋_GB2312" w:cs="仿宋_GB2312"/>
          <w:b w:val="0"/>
          <w:bCs w:val="0"/>
          <w:color w:val="auto"/>
          <w:sz w:val="32"/>
          <w:szCs w:val="32"/>
          <w:lang w:eastAsia="zh-CN"/>
        </w:rPr>
        <w:t>适用本条例</w:t>
      </w:r>
      <w:r>
        <w:rPr>
          <w:rFonts w:hint="eastAsia" w:ascii="宋体" w:hAnsi="宋体" w:eastAsia="仿宋_GB2312" w:cs="仿宋_GB2312"/>
          <w:b w:val="0"/>
          <w:bCs w:val="0"/>
          <w:i w:val="0"/>
          <w:iCs w:val="0"/>
          <w:color w:val="auto"/>
          <w:sz w:val="32"/>
          <w:szCs w:val="32"/>
          <w:u w:val="none"/>
        </w:rPr>
        <w:t>，</w:t>
      </w:r>
      <w:r>
        <w:rPr>
          <w:rFonts w:hint="eastAsia" w:ascii="宋体" w:hAnsi="宋体" w:eastAsia="仿宋_GB2312" w:cs="仿宋_GB2312"/>
          <w:b w:val="0"/>
          <w:bCs w:val="0"/>
          <w:color w:val="auto"/>
          <w:sz w:val="32"/>
          <w:szCs w:val="32"/>
        </w:rPr>
        <w:t>工伤保险工作按照国家和省的有关规定执行。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公务员和参照公务员法管理的事业单位、社会团体的工作人员参加工伤保险，按照工伤保险有关法律</w:t>
      </w:r>
      <w:r>
        <w:rPr>
          <w:rFonts w:hint="eastAsia" w:ascii="宋体" w:hAnsi="宋体" w:eastAsia="仿宋_GB2312" w:cs="仿宋_GB2312"/>
          <w:b w:val="0"/>
          <w:bCs w:val="0"/>
          <w:color w:val="auto"/>
          <w:sz w:val="32"/>
          <w:szCs w:val="32"/>
          <w:lang w:eastAsia="zh-CN"/>
        </w:rPr>
        <w:t>、</w:t>
      </w:r>
      <w:r>
        <w:rPr>
          <w:rFonts w:hint="eastAsia" w:ascii="宋体" w:hAnsi="宋体" w:eastAsia="仿宋_GB2312" w:cs="仿宋_GB2312"/>
          <w:b w:val="0"/>
          <w:bCs w:val="0"/>
          <w:color w:val="auto"/>
          <w:sz w:val="32"/>
          <w:szCs w:val="32"/>
        </w:rPr>
        <w:t>法规及国家和省的有关规定执行。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第六十三条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劳动者达到法定退休年龄或者已经依法享受基本养老保险待遇的，不适用本条例。</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ascii="宋体" w:hAnsi="宋体"/>
          <w:b w:val="0"/>
          <w:bCs w:val="0"/>
          <w:color w:val="auto"/>
          <w:sz w:val="32"/>
          <w:szCs w:val="32"/>
        </w:rPr>
        <w:t>前款规定的劳动者受聘到用人单位工作期间，因工作原因受到人身伤害的，可以要求用人单位参照本条例规定的工伤保险待遇支付有关费用。双方对损害赔偿存在争议的，可以依法通过民事诉讼方式解决。</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第六十四条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本条例中下列用语的含义：</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cs="仿宋_GB2312"/>
          <w:b w:val="0"/>
          <w:bCs w:val="0"/>
          <w:color w:val="auto"/>
          <w:sz w:val="32"/>
          <w:szCs w:val="32"/>
        </w:rPr>
        <w:t>（一）</w:t>
      </w:r>
      <w:r>
        <w:rPr>
          <w:rFonts w:ascii="宋体" w:hAnsi="宋体"/>
          <w:b w:val="0"/>
          <w:bCs w:val="0"/>
          <w:color w:val="auto"/>
          <w:sz w:val="32"/>
          <w:szCs w:val="32"/>
        </w:rPr>
        <w:t>本人工资，是指工伤职工在本单位因工作遭受事故伤害或者患职业病前十二个月平</w:t>
      </w:r>
      <w:r>
        <w:rPr>
          <w:rFonts w:hint="eastAsia" w:ascii="宋体" w:hAnsi="宋体" w:eastAsia="仿宋_GB2312" w:cs="仿宋_GB2312"/>
          <w:b w:val="0"/>
          <w:bCs w:val="0"/>
          <w:color w:val="auto"/>
          <w:sz w:val="32"/>
          <w:szCs w:val="32"/>
        </w:rPr>
        <w:t>均月缴费工资。本单位为工伤职工缴纳工伤保险费不足十二个月的，以实际月数计算平均月缴费工资。本人工资高于全省上年度职工月平均工资百分之三百的，按照全省上年度职工月平均工资的百分之三百计算；本人工资低于全省上年度职工月平均工资百分之六十的，按照全省上年度职工月平均工资的百分之六十计算。</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（二）原工资福利待遇，是指工伤职工在本单位受工伤前十二个月的平均工资福利待遇。工伤职工在本单位工作不足十二个月的，以实际月数计算平均工资福利待遇。</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val="0"/>
          <w:color w:val="auto"/>
          <w:sz w:val="32"/>
          <w:szCs w:val="32"/>
        </w:rPr>
      </w:pPr>
      <w:r>
        <w:rPr>
          <w:rFonts w:hint="eastAsia" w:ascii="宋体" w:hAnsi="宋体" w:eastAsia="仿宋_GB2312" w:cs="仿宋_GB2312"/>
          <w:b w:val="0"/>
          <w:bCs w:val="0"/>
          <w:color w:val="auto"/>
          <w:sz w:val="32"/>
          <w:szCs w:val="32"/>
        </w:rPr>
        <w:t>用人单位所在地地级以上市职工月平均工资高于全省职工月平均工资的，计算相关工伤保险待遇使用的全省职工月平均工资按照该地级以上市职工月平均工资执行。</w:t>
      </w:r>
    </w:p>
    <w:p>
      <w:pPr>
        <w:widowControl w:val="0"/>
        <w:wordWrap/>
        <w:overflowPunct w:val="0"/>
        <w:spacing w:beforeAutospacing="0" w:afterAutospacing="0" w:line="560" w:lineRule="exact"/>
        <w:ind w:left="0" w:leftChars="0" w:right="0" w:firstLine="640" w:firstLineChars="200"/>
        <w:textAlignment w:val="auto"/>
        <w:outlineLvl w:val="9"/>
        <w:rPr>
          <w:rFonts w:ascii="宋体" w:hAnsi="宋体"/>
          <w:b w:val="0"/>
          <w:bCs w:val="0"/>
          <w:color w:val="auto"/>
          <w:sz w:val="32"/>
          <w:szCs w:val="32"/>
        </w:rPr>
      </w:pPr>
      <w:r>
        <w:rPr>
          <w:rFonts w:hint="eastAsia" w:ascii="宋体" w:hAnsi="宋体" w:eastAsia="黑体" w:cs="黑体"/>
          <w:b w:val="0"/>
          <w:bCs w:val="0"/>
          <w:color w:val="auto"/>
          <w:sz w:val="32"/>
          <w:szCs w:val="32"/>
        </w:rPr>
        <w:t>第六十五条</w:t>
      </w:r>
      <w:r>
        <w:rPr>
          <w:rFonts w:hint="eastAsia" w:ascii="宋体" w:hAnsi="宋体" w:eastAsia="黑体"/>
          <w:b w:val="0"/>
          <w:bCs w:val="0"/>
          <w:color w:val="auto"/>
          <w:sz w:val="32"/>
          <w:szCs w:val="32"/>
        </w:rPr>
        <w:t xml:space="preserve">  </w:t>
      </w:r>
      <w:r>
        <w:rPr>
          <w:rFonts w:ascii="宋体" w:hAnsi="宋体"/>
          <w:b w:val="0"/>
          <w:bCs w:val="0"/>
          <w:color w:val="auto"/>
          <w:sz w:val="32"/>
          <w:szCs w:val="32"/>
        </w:rPr>
        <w:t>用人单位为职工办理工伤保险参保手续次日起，在规定的缴费周期内缴纳工伤保险费的，该参保职工发生工伤，由工伤保险基金按照本条例规定的工伤保险待遇项目和标准支付费用。</w:t>
      </w:r>
    </w:p>
    <w:p>
      <w:pPr>
        <w:widowControl w:val="0"/>
        <w:wordWrap/>
        <w:overflowPunct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cs="Times New Roman"/>
          <w:color w:val="auto"/>
          <w:sz w:val="32"/>
          <w:szCs w:val="32"/>
          <w:lang w:val="en-US" w:eastAsia="zh-CN"/>
        </w:rPr>
      </w:pPr>
      <w:r>
        <w:rPr>
          <w:rFonts w:hint="eastAsia" w:ascii="宋体" w:hAnsi="宋体" w:eastAsia="黑体" w:cs="黑体"/>
          <w:b w:val="0"/>
          <w:bCs w:val="0"/>
          <w:color w:val="auto"/>
          <w:sz w:val="32"/>
          <w:szCs w:val="32"/>
        </w:rPr>
        <w:t>第六十六条</w:t>
      </w:r>
      <w:r>
        <w:rPr>
          <w:rFonts w:hint="eastAsia" w:ascii="宋体" w:hAnsi="宋体"/>
          <w:b w:val="0"/>
          <w:bCs w:val="0"/>
          <w:color w:val="auto"/>
          <w:sz w:val="32"/>
          <w:szCs w:val="32"/>
        </w:rPr>
        <w:t xml:space="preserve"> </w:t>
      </w:r>
      <w:r>
        <w:rPr>
          <w:rFonts w:hint="eastAsia" w:ascii="宋体" w:hAnsi="宋体" w:eastAsia="黑体"/>
          <w:b w:val="0"/>
          <w:bCs w:val="0"/>
          <w:color w:val="auto"/>
          <w:sz w:val="32"/>
          <w:szCs w:val="32"/>
        </w:rPr>
        <w:t xml:space="preserve"> </w:t>
      </w:r>
      <w:r>
        <w:rPr>
          <w:rFonts w:ascii="宋体" w:hAnsi="宋体"/>
          <w:b w:val="0"/>
          <w:bCs w:val="0"/>
          <w:color w:val="auto"/>
          <w:kern w:val="0"/>
          <w:sz w:val="32"/>
          <w:szCs w:val="32"/>
        </w:rPr>
        <w:t>本条例自2012年1月1</w:t>
      </w:r>
      <w:r>
        <w:rPr>
          <w:rFonts w:ascii="宋体" w:hAnsi="宋体"/>
          <w:b w:val="0"/>
          <w:bCs w:val="0"/>
          <w:color w:val="auto"/>
          <w:sz w:val="32"/>
          <w:szCs w:val="32"/>
        </w:rPr>
        <w:t>日起施行。本条例施行前已受到事故伤害或者患职业病的职工尚未完成工伤认定的，按照本条例的规定执行；本条例施行前已完成工伤认定的，本条例施行后发生的工伤保险待遇依照本条例的规定执行。</w:t>
      </w:r>
    </w:p>
    <w:p>
      <w:pPr>
        <w:widowControl w:val="0"/>
        <w:wordWrap/>
        <w:overflowPunct w:val="0"/>
        <w:spacing w:beforeAutospacing="0" w:afterAutospacing="0" w:line="560" w:lineRule="exact"/>
        <w:ind w:firstLine="4800" w:firstLineChars="1500"/>
        <w:jc w:val="both"/>
        <w:textAlignment w:val="auto"/>
        <w:rPr>
          <w:rFonts w:ascii="宋体" w:hAnsi="宋体"/>
          <w:sz w:val="32"/>
          <w:szCs w:val="32"/>
        </w:rPr>
      </w:pPr>
    </w:p>
    <w:p>
      <w:pPr>
        <w:pStyle w:val="35"/>
        <w:widowControl w:val="0"/>
        <w:wordWrap/>
        <w:overflowPunct w:val="0"/>
        <w:adjustRightInd w:val="0"/>
        <w:snapToGrid w:val="0"/>
        <w:spacing w:beforeAutospacing="0" w:afterAutospacing="0" w:line="560" w:lineRule="exact"/>
        <w:ind w:left="0" w:leftChars="0"/>
        <w:jc w:val="center"/>
        <w:textAlignment w:val="auto"/>
        <w:rPr>
          <w:rFonts w:hint="eastAsia" w:ascii="宋体" w:hAnsi="宋体" w:eastAsia="宋体" w:cs="宋体"/>
          <w:b w:val="0"/>
          <w:bCs/>
          <w:color w:val="000000"/>
          <w:sz w:val="32"/>
          <w:szCs w:val="32"/>
        </w:rPr>
      </w:pPr>
      <w:r>
        <w:rPr>
          <w:rFonts w:hint="eastAsia" w:ascii="宋体" w:hAnsi="宋体" w:eastAsia="宋体" w:cs="宋体"/>
          <w:b w:val="0"/>
          <w:bCs/>
          <w:color w:val="000000"/>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5" w:name="_Toc18304"/>
      <w:r>
        <w:rPr>
          <w:rFonts w:hint="eastAsia" w:ascii="宋体" w:hAnsi="宋体" w:eastAsia="宋体" w:cs="宋体"/>
          <w:color w:val="000000"/>
          <w:sz w:val="44"/>
          <w:szCs w:val="44"/>
        </w:rPr>
        <w:t>广东省实施《中华人民共和国消费者</w:t>
      </w:r>
      <w:bookmarkEnd w:id="475"/>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6" w:name="_Toc14857"/>
      <w:r>
        <w:rPr>
          <w:rFonts w:hint="eastAsia" w:ascii="宋体" w:hAnsi="宋体" w:eastAsia="宋体" w:cs="宋体"/>
          <w:color w:val="000000"/>
          <w:sz w:val="44"/>
          <w:szCs w:val="44"/>
        </w:rPr>
        <w:t>权益保护法》办法</w:t>
      </w:r>
      <w:bookmarkEnd w:id="476"/>
    </w:p>
    <w:p>
      <w:pPr>
        <w:pStyle w:val="35"/>
        <w:widowControl w:val="0"/>
        <w:wordWrap/>
        <w:overflowPunct w:val="0"/>
        <w:adjustRightInd w:val="0"/>
        <w:snapToGrid w:val="0"/>
        <w:spacing w:beforeAutospacing="0" w:afterAutospacing="0" w:line="560" w:lineRule="exact"/>
        <w:ind w:left="0" w:leftChars="0"/>
        <w:jc w:val="center"/>
        <w:textAlignment w:val="auto"/>
        <w:rPr>
          <w:rFonts w:hint="eastAsia" w:ascii="宋体" w:hAnsi="宋体" w:eastAsia="宋体" w:cs="宋体"/>
          <w:b w:val="0"/>
          <w:bCs/>
          <w:color w:val="000000"/>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（1999年8月5日广东省第九届人民代表大会常务委员会第十一次会议通过  根据2012年7月26日广东省第十一届人民代表大会常务委员会第三十五次会议《关于修改〈广东省实施〈中华人民共和国消费者权益保护法〉办法〉的决定》修正）</w:t>
      </w:r>
    </w:p>
    <w:p>
      <w:pPr>
        <w:pStyle w:val="37"/>
        <w:widowControl w:val="0"/>
        <w:wordWrap/>
        <w:overflowPunct w:val="0"/>
        <w:adjustRightInd w:val="0"/>
        <w:snapToGrid w:val="0"/>
        <w:spacing w:before="0" w:beforeAutospacing="0" w:after="0" w:afterAutospacing="0" w:line="560" w:lineRule="exact"/>
        <w:jc w:val="both"/>
        <w:textAlignment w:val="auto"/>
        <w:rPr>
          <w:rFonts w:hint="eastAsia" w:ascii="宋体" w:hAnsi="宋体" w:eastAsia="宋体" w:cs="宋体"/>
          <w:b w:val="0"/>
          <w:bCs/>
          <w:color w:val="000000"/>
          <w:sz w:val="32"/>
          <w:szCs w:val="32"/>
        </w:rPr>
      </w:pP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w:t>
      </w:r>
      <w:r>
        <w:rPr>
          <w:rFonts w:hint="eastAsia" w:ascii="宋体" w:hAnsi="宋体" w:eastAsia="黑体" w:cs="黑体"/>
          <w:b w:val="0"/>
          <w:bCs/>
          <w:color w:val="000000"/>
          <w:kern w:val="0"/>
          <w:sz w:val="32"/>
          <w:szCs w:val="32"/>
          <w:lang w:val="en-US" w:eastAsia="zh-CN" w:bidi="ar-SA"/>
        </w:rPr>
        <w:t>第一条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为贯彻实施《中华人民共和国消费者权益保护法》，结合本省实际，制定本办法。</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本办法适用于本省行政区域内的消费者和经营者。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本办法所称消费者，是指为生活消费需要购买、使用商品或者接受服务的个人和单位。</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本办法所称经营者，是指为消费者提供商品或者服务的生产者、销售者和服务者。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第三条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各级人民政府负责本办法的组织实施，协调、督促有关行政部门做好保护消费者合法权益的工作。</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各级工商行政管理、物价、</w:t>
      </w:r>
      <w:r>
        <w:rPr>
          <w:rFonts w:hint="eastAsia" w:ascii="宋体" w:hAnsi="宋体" w:eastAsia="仿宋_GB2312" w:cs="仿宋_GB2312"/>
          <w:b w:val="0"/>
          <w:bCs/>
          <w:iCs/>
          <w:color w:val="000000"/>
          <w:sz w:val="32"/>
          <w:szCs w:val="32"/>
        </w:rPr>
        <w:t>技术</w:t>
      </w:r>
      <w:r>
        <w:rPr>
          <w:rFonts w:hint="eastAsia" w:ascii="宋体" w:hAnsi="宋体" w:eastAsia="仿宋_GB2312" w:cs="仿宋_GB2312"/>
          <w:b w:val="0"/>
          <w:bCs/>
          <w:color w:val="000000"/>
          <w:sz w:val="32"/>
          <w:szCs w:val="32"/>
        </w:rPr>
        <w:t>监督、检疫、卫生、农业、建设、旅游、食品药品监督管理等有关行政部门应当依照法律、法规的规定，在各自职责范围内，依法受理和调解消费者申诉，查处损害消费者合法权益的违法行为。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第四条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各级人民政府及其有关行政部门制定有关消费者权益的政策、规定时，应当通过在新闻媒体公布、召开听证会或者座谈会等形式听取消费者的意见和要求。</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省、市、县（区）依法成立消费者委员会。消费者委员会依法开展对商品和服务的社会监督，维护消费者的合法权益。各级人民政府应当根据消费者委员会履行法定职能的需要配备必要的人员，拨付必要的经费并纳入财政预算。各有关行政部门应当对消费者委员会履行法定职能给予支持。</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与消费者进行交易，必须遵循自愿、平等、公平、诚实信用的原则。经营者不得强迫或者欺骗消费者购买商品或者接受服务，没有正当理由，不得拒绝或者延误提供商品和服务；应当听取消费者对其提供的商品或者服务的意见，对消费者的意见及时作出回应，接受消费者的监督。</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第七条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经营者在提供商品或服务时，应当提供必要的技术指导、使用演示或说明书、保修凭证、购货发票或服务单据、商品检验合格证明等，还应当明示服务项目、标明收费价格。</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国家规定或者经营者与消费者约定包修、包换、包退（以下简称“三包”）的商品，经营者在出售时必须出具“三包”的凭证，并确定具备条件的维修单位。“三包”凭证应当明确注明消费者的权利和义务。</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实行“三包”的商品有质量问题的，自售出之日起七日内，经营者应当根据消费者的要求予以退货、更换或者修理；十五日内，应当根据消费者的要求予以更换或者修理。经营者承诺的时间超出本款规定时限的，依经营者的承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第九条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经营者按“三包”规定承担退货责任的，应当按照商品的发票价格一次退清货款。</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经营者按“三包”规定承担更换责任的，应当免费为消费者调换同型号同规格的产品，无同型号同规格产品的，经营者应当根据消费者的要求予以退货，并不得收取任何费用。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经营者按“三包”规定承担修理责任的，应当在二十日内修复，并不得收取任何费用。经营者应当在“三包”凭证上如实记录接受修理日期、维修所占天数、修理部位、故障原因等情况。</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经营者在二十日内未能修复的，可以更换同型号同规格的商品；经营者未更换的，每延期一日按照商品价款百分之零点二的标准赔偿消费者因延误使用该商品的损失，或者提供同类商品供消费者在维修期间使用；经营者在六十日内未能修复或者在包修期内两次修理仍不能正常使用的，应当根据消费者的要求，负责退货或者更换。消费者选择退货的，按照本条第一款执行。</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包修商品在包修期内修理的，其修理部位，从交付使用之日起，重新执行原规定的包修期；其他部位的包修期应当扣除维修占用天数。</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第十条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对实行“三包”的大件商品，应当由经营者负责修理、更换、退货的，经营者应当上门服务或者负责运送；经营者要求消费者运送的，经营者应当承担运输费、误工费、差旅费等合理费用。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前款所称的大件商品目录以及运输费、误工费、差旅费的具体标准，由省工商行政管理部门会同有关部门规定。</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第十一条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经营者对消费者提出的修理、重作、更换、退货、补足商品数量、退还货款和服务费用或者赔偿损失的要求，应当按规定或者约定履行义务，不得故意拖延或者无理拒绝。</w:t>
      </w:r>
    </w:p>
    <w:p>
      <w:pPr>
        <w:pStyle w:val="37"/>
        <w:widowControl w:val="0"/>
        <w:wordWrap/>
        <w:overflowPunct w:val="0"/>
        <w:adjustRightInd w:val="0"/>
        <w:snapToGrid w:val="0"/>
        <w:spacing w:before="0" w:beforeAutospacing="0" w:after="0" w:afterAutospacing="0" w:line="560" w:lineRule="exact"/>
        <w:ind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以下情形为前款所称的故意拖延或者无理拒绝：</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（一）经营者自接到消费者向其提出履行义务的要求或者行政管理部门、消费者委员会要求处理争议的通知之日起五日内不作答复的；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（二）经营者在允诺履行义务后三日内或者在消费者同意的期限内仍不实际履行允诺履行的义务的； </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（三）不履行行政管理部门作出的决定或者消费者委员会作出的调解的。</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第十二条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经营者在经营活动中，应当遵守公平、自愿、诚实信用的原则，不得有下列行为：</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（一）以暴力、威胁、隐瞒、欺骗等手段强迫、诱导消费者购买商品或者服务；</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（二）违背消费者意愿搭售商品或者在销售商品时附加其他条件；</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（三）不向消费者明示经营范围；</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（四）法律、法规禁止的其他行为。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第十三条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经营者提供商品或者服务，有下列欺诈行为之一的，应当按照消费者的要求增加赔偿其受到的损失，增加赔偿的金额为消费者购买商品的价款或者接受服务的费用的一倍：</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（一）销售掺杂、掺假、以假充真、以次充好、以不合格商品冒充合格商品、短尺少秤、过期、失效、受污染的商品的；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（二）以虚假的清仓价、甩卖价、优惠价、最低价等欺骗性价格销售商品的；</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（三）销售的商品达不到商品说明、实物样品所明示的性能、质量的； </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（四）销售国家明令淘汰的商品的； </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（五）作虚假的现场演示或者雇人进行欺骗性的销售诱导的；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（六）销售标有虚假的产地、质量标志、生产许可证、进出口商品检验等标志的商品的；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（七）销售假冒他人注册商标的商品的；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（八）以虚假广告欺骗和误导消费者的；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（九）以虚假的名称和标记从事经营活动的；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（十）以虚假的“有奖销售”、“还本销售”等方式销售商品的；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（十一）骗取消费者预付款而不提供商品或服务的；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（十二）销售应当检验、检疫而未检验、检疫，或者伪造商品检验、检疫结果的商品的；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（十三）其他欺诈行为的。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第十四条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以邮购、电视购物、网上购物方式销售商品的，应当按照约定提供；未约定提供商品时限的，应当在收到消费者的汇款之日起三个工作日内交寄商品。违者，应当按照消费者的要求履行约定或退回货款，并承担消费者因此而产生的合理费用。</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从事加工修理业的经营者，应当开具记有加工或修理商品的名称、数量、项目、费用、交货日期等内容的凭证，保证加工修理质量，按期交货，不得有下列行为：</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（一）偷换原材料或者零配件；</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（二）虚列加工或修理项目；</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（三）使用伪劣零配件；</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（四）谎称更换零配件；</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（五）擅自提高收费标准。</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从事加工修理业的经营者，应当建立并执行配件的进货检查验收制度，审验配件供货商的经营资格，验明产品合格证明和产品标识，有效保存进货和质量凭证，存档备查。有关凭证的保存期限不得少于两年。</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第十六条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经营者应当为消费者提供安全的消费环境，对有危险性因素的项目或地方，应当设有警示标牌。</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惊险性娱乐项目，应当制定紧急避难措施，并具有保障消费者生命安全的技术条件、服务设备和必要的救护设施。</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第十七条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美容、美发的经营者，应当明码标价，合理收费、不得价外加价，不得使用伪劣美容、美发用品。从事生活美容的经营者不得从事医疗美容服务，从事医疗美容的经营者应当确保消费者的身体健康和生命安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第十八条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汽车旅客运输业的经营者，应当保证乘客的人身财产安全。有标明发车时间、班次的，必须按时发车。不得故意绕行、兜圈拉客、超载、拒载、中途停运或转运、途中加价，不得擅自调校出租汽车里程计价表。造成消费者损失的，应当赔偿消费者的直接损失。</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从事民航、铁路运输、航运的经营者，应当保证乘客的安全。因故不能准时出发或正点到达的，应当及时告知消费者并妥善处理。</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第十九条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旅游业的经营者，应当与消费者签定旅游合同，在约定的时间内，为消费者办好有关旅游手续，告知消费者安全等注意事项及投保情况，并提供相关的说明资料，不得擅自改变旅游线路、旅游时间、游览景点、食宿标准、交通工具、收费项目等约定条件。违者，应当退还消费者相关的服务费用；造成消费者损失的，应当赔偿消费者的实际损失。</w:t>
      </w:r>
    </w:p>
    <w:p>
      <w:pPr>
        <w:widowControl w:val="0"/>
        <w:wordWrap/>
        <w:overflowPunct w:val="0"/>
        <w:adjustRightInd w:val="0"/>
        <w:snapToGrid w:val="0"/>
        <w:spacing w:beforeAutospacing="0" w:afterAutospacing="0" w:line="560" w:lineRule="exact"/>
        <w:ind w:left="0" w:leftChars="0" w:right="0" w:firstLine="645"/>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rPr>
        <w:t>第二十条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从事有线电视、邮政、电信业、医疗卫生服务业的经营者，应当按照物价部门核定的标准收费，详列计价单位的明细项目并以清单的形式告知消费者。违反规定所收的费用，应当加倍退还消费者。</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第二十一条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从事保管、洗衣业、物流业的经营者，应当妥善保管消费者的财物，按照约定提供服务。造成消费者的财物损坏或者丢失的，应当赔偿消费者的实际损失。</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第二十二条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从事照相冲印业的经营者，造成消费者胶卷、底片损坏或者丢失的，应当按损坏或者丢失胶卷、底片价格的十倍给予赔偿。</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第二十三条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从事商品房开发或代理的经营者，销售商品房时，应当以书面形式向消费者明示商品房的准确地址、建筑和装饰标准、建筑面积、实用面积和公用分摊面积、单价、交货日期、配套设施、产权办理等内容，必须保证商品房达到国家规定的有关质量标准，诚信交易。违者给消费者造成损失的，应当赔偿消费者的实际损失。</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第二十四条</w:t>
      </w:r>
      <w:r>
        <w:rPr>
          <w:rFonts w:hint="eastAsia" w:ascii="宋体" w:hAnsi="宋体" w:eastAsia="仿宋_GB2312" w:cs="仿宋_GB2312"/>
          <w:b w:val="0"/>
          <w:bCs/>
          <w:color w:val="000000"/>
          <w:sz w:val="32"/>
          <w:szCs w:val="32"/>
        </w:rPr>
        <w:t>　从事住宅建筑装饰的经营者，应当与消费者以书面形式约定建筑装饰的项目、数量、标准、价格、施工时限，并按照约定的内容，保证建筑装饰的质量，按时完工，不得偷工减料、价外加价。违反约定条件，必须返工的，应当按照与消费者重新约定的时限完成返工，返工的费用由经营者承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从事饮食业的经营者，提供的食物应当符合卫生的要求，不符合卫生要求给消费者的健康造成损害时，应当赔偿消费者的损失。经营者对所提供的食物和服务，应当事先将价格告知消费者并接受消费者的选择。</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供电、供水、供气的经营者，应当定期对设备进行检查维护，不得限定消费者向其指定的经营者购买商品，不得强制收取预付款，不得擅自增加收费项目或提高收费标准，计量器具应经技术监督部门或者其授权的单位检定合格方能安装使用。因计量不准而多收的费用，应当退还消费者。因所供电、水、气的质量不合格而造成消费者财产损失和人身损害的，应当赔偿消费者的实际损失。</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第二十七条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销售伪劣种子、种苗、肥料、农药、兽药、饲料、种畜禽等农业生产资料，造成农民减产、绝收或者畜禽死亡的，经营者应当赔偿直接损失和可得利益损失。</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黑体" w:cs="黑体"/>
          <w:b w:val="0"/>
          <w:bCs/>
          <w:color w:val="000000"/>
          <w:kern w:val="0"/>
          <w:sz w:val="32"/>
          <w:szCs w:val="32"/>
          <w:lang w:val="en-US" w:eastAsia="zh-CN" w:bidi="ar-SA"/>
        </w:rPr>
        <w:t>第二十八条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消费者与经营者因商品和服务质量发生争议需要进行检测、鉴定的，可以由下列机构进行检测、鉴定，所需费用由责任方承担：</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（一）双方约定的检测、鉴定机构；</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（二）国家法定的检测、鉴定机构；</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（三）受理申诉或投诉的行政部门、消费者委员会指定的检测、鉴定机构。</w:t>
      </w:r>
    </w:p>
    <w:p>
      <w:pPr>
        <w:pStyle w:val="37"/>
        <w:widowControl w:val="0"/>
        <w:wordWrap/>
        <w:overflowPunct w:val="0"/>
        <w:adjustRightInd w:val="0"/>
        <w:snapToGrid w:val="0"/>
        <w:spacing w:before="0" w:beforeAutospacing="0" w:after="0" w:afterAutospacing="0" w:line="560" w:lineRule="exact"/>
        <w:ind w:left="0" w:leftChars="0" w:right="0" w:firstLine="640" w:firstLineChars="20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对于难以检测、鉴定的，经营者应当提供证明自己无过错的证据，不能提供无过错证据的，应当承担责任。</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第二十九条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消费者委员会对消费者的投诉，应当自收到投诉之日起十个工作日内，作出受理或者不予受理的决定并告知投诉人。不予受理的，应当说明原因；决定受理的，应当自受理之日起一个月内调解完毕。需要检测、鉴定的，检测、鉴定时间不计在内。期满未达成调解协议或者达成调解协议后当事人不履行的，消费者委员会应当告知消费者通过其他法定途径解决争议。</w:t>
      </w:r>
    </w:p>
    <w:p>
      <w:pPr>
        <w:pStyle w:val="37"/>
        <w:widowControl w:val="0"/>
        <w:wordWrap/>
        <w:overflowPunct w:val="0"/>
        <w:adjustRightInd w:val="0"/>
        <w:snapToGrid w:val="0"/>
        <w:spacing w:before="0" w:beforeAutospacing="0" w:after="0" w:afterAutospacing="0" w:line="560" w:lineRule="exact"/>
        <w:ind w:left="0" w:leftChars="0" w:right="0" w:firstLine="67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第三十条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行政部门对消费者的申诉或者消费者委员会转交的投诉，应当自收到申诉或者投诉之日起十个工作日内作出受理或者不予受理的决定，并告知申诉人或者消费者委员会。决定受理的，依法应当自受理申诉或者投诉之日起三十个工作日内作出处理决定，对经营者确有违法行为的，应当依法查处。决定不受理的，应当说明理由。消费者或者消费者委员会对行政部门逾期不作出是否受理的决定有异议，或者对行政部门不受理的决定不服的，可依法申请行政复议或者提起行政诉讼。</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kern w:val="0"/>
          <w:sz w:val="32"/>
          <w:szCs w:val="32"/>
          <w:lang w:val="en-US" w:eastAsia="zh-CN" w:bidi="ar-SA"/>
        </w:rPr>
        <w:t>　　</w:t>
      </w:r>
      <w:r>
        <w:rPr>
          <w:rFonts w:hint="eastAsia" w:ascii="宋体" w:hAnsi="宋体" w:eastAsia="黑体" w:cs="黑体"/>
          <w:b w:val="0"/>
          <w:bCs/>
          <w:color w:val="000000"/>
          <w:kern w:val="0"/>
          <w:sz w:val="32"/>
          <w:szCs w:val="32"/>
          <w:lang w:val="en-US" w:eastAsia="zh-CN" w:bidi="ar-SA"/>
        </w:rPr>
        <w:t>第三十一条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经营者提供商品或者服务，造成消费者或其他受害人人身伤害、残疾或死亡的，按照下列规定标准支付赔偿费用：</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（一）医疗费，按照受害人接受治疗所必需的检查费、治疗费、医药费、手术费、住院费等费用计算；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（二）治疗期间的护理费，根据受害人治疗期间的护理需要，按照当地雇请一名护工所需费用计算；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（三）治疗期间的交通费，按照与受害人的身体状况相适应所必需的交通费用计算；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（四）因误工减少的收入，按照受害人因误工减少的实际收入计算；减少的收入难以确认的，以职工年平均工资为标准计算；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（五）残疾者生活自助器具费，按照普及型器具的费用计算；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（六）残疾者生活补助费，根据受害人伤残等级，按照职工年平均工资或者农民年人均纯收入的十倍至五十倍计算；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（七）残疾赔偿金，根据受害人伤残等级，按照职工年平均工资或者农民年人均纯收入的三倍至十倍计算；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（八）完全丧失或部分丧失劳动能力的残疾者扶养的人所必需的生活费，以年平均生活费的百分之三十至百分之一百为标准，对不满十八周岁的，按扶养至十八周岁计算；对无生活能力的，按扶养二十年计算；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（九）丧葬费，按照当地市、县殡葬单位的基本服务项目收费标准计算；</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（十）死亡赔偿金，按照年平均生活费的二十倍计算；</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（十一）死者生前扶养的人所必需的生活费，以年平均生活费为标准，对不满十八周岁的，按扶养至十八周岁计算；对无劳动能力的，按扶养二十年计算。</w:t>
      </w:r>
    </w:p>
    <w:p>
      <w:pPr>
        <w:pStyle w:val="37"/>
        <w:widowControl w:val="0"/>
        <w:wordWrap/>
        <w:overflowPunct w:val="0"/>
        <w:adjustRightInd w:val="0"/>
        <w:snapToGrid w:val="0"/>
        <w:spacing w:before="0" w:beforeAutospacing="0" w:after="0" w:afterAutospacing="0" w:line="560" w:lineRule="exact"/>
        <w:ind w:left="0" w:leftChars="0" w:right="0" w:firstLine="645"/>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前款规定的（一）、（二）、（三）、（四）项费用，按治疗的需要及时支付；其余各项费用，应当一次性支付。法律、法规对前款另有规定的，从其规定。</w:t>
      </w:r>
    </w:p>
    <w:p>
      <w:pPr>
        <w:pStyle w:val="37"/>
        <w:widowControl w:val="0"/>
        <w:wordWrap/>
        <w:overflowPunct w:val="0"/>
        <w:adjustRightInd w:val="0"/>
        <w:snapToGrid w:val="0"/>
        <w:spacing w:before="0" w:beforeAutospacing="0" w:after="0" w:afterAutospacing="0" w:line="560" w:lineRule="exact"/>
        <w:ind w:left="0" w:leftChars="0" w:right="0"/>
        <w:jc w:val="both"/>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本条规定的职工年平均工资和农民年人均纯收入是指省人民政府统计部门公布的本省上一年度职工平均工资和农民年人均纯收入。年平均生活费是指省人民政府统计部门公布的本省上一年度城镇居民或农村居民人均生活支出额。</w:t>
      </w:r>
    </w:p>
    <w:p>
      <w:pPr>
        <w:pStyle w:val="37"/>
        <w:widowControl w:val="0"/>
        <w:wordWrap/>
        <w:overflowPunct w:val="0"/>
        <w:adjustRightInd w:val="0"/>
        <w:snapToGrid w:val="0"/>
        <w:spacing w:before="0" w:beforeAutospacing="0" w:after="0" w:afterAutospacing="0" w:line="560" w:lineRule="exact"/>
        <w:ind w:left="0" w:leftChars="0" w:right="0" w:firstLine="67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第三十二条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以暴力或者其他方法公然侮辱或者捏造事实诽谤消费者，搜查消费者的身体及其携带物品，侵害消费者的人格尊严或者侵犯消费者人身自由的，应当停止侵害、恢复名誉、消除影响、赔礼道歉；情节严重的，并应赔偿五万元以上的精神损害。</w:t>
      </w:r>
    </w:p>
    <w:p>
      <w:pPr>
        <w:pStyle w:val="37"/>
        <w:widowControl w:val="0"/>
        <w:wordWrap/>
        <w:overflowPunct w:val="0"/>
        <w:adjustRightInd w:val="0"/>
        <w:snapToGrid w:val="0"/>
        <w:spacing w:before="0" w:beforeAutospacing="0" w:after="0" w:afterAutospacing="0" w:line="560" w:lineRule="exact"/>
        <w:ind w:left="0" w:leftChars="0" w:right="0" w:firstLine="675"/>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第三十三条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经营者违反本办法第十二条的规定，其他法律、法规对违法行为的处罚有规定的，依照法律、法规的规定执行；法律、法规未作规定的，由工商行政管理部门责令其改正，单处或者并处警告、没收违法所得、违法所得一倍以上五倍以下的罚款；没有违法所得的，处以一万元以下的罚款；构成违反治安管理行为的，由公安机关依照《中华人民共和国治安管理处罚法》的规定予以处罚。</w:t>
      </w:r>
    </w:p>
    <w:p>
      <w:pPr>
        <w:pStyle w:val="37"/>
        <w:widowControl w:val="0"/>
        <w:wordWrap/>
        <w:overflowPunct w:val="0"/>
        <w:adjustRightInd w:val="0"/>
        <w:snapToGrid w:val="0"/>
        <w:spacing w:before="0" w:beforeAutospacing="0" w:after="0" w:afterAutospacing="0" w:line="560" w:lineRule="exact"/>
        <w:ind w:right="0"/>
        <w:jc w:val="both"/>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kern w:val="0"/>
          <w:sz w:val="32"/>
          <w:szCs w:val="32"/>
          <w:lang w:val="en-US" w:eastAsia="zh-CN" w:bidi="ar-SA"/>
        </w:rPr>
        <w:t xml:space="preserve">    第三十四条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从事加工修理业的经营者违反本办法第十五条第二款规定的，由</w:t>
      </w:r>
      <w:r>
        <w:rPr>
          <w:rFonts w:hint="eastAsia" w:ascii="宋体" w:hAnsi="宋体" w:eastAsia="仿宋_GB2312" w:cs="仿宋_GB2312"/>
          <w:b w:val="0"/>
          <w:bCs/>
          <w:iCs/>
          <w:color w:val="000000"/>
          <w:sz w:val="32"/>
          <w:szCs w:val="32"/>
        </w:rPr>
        <w:t>技术</w:t>
      </w:r>
      <w:r>
        <w:rPr>
          <w:rFonts w:hint="eastAsia" w:ascii="宋体" w:hAnsi="宋体" w:eastAsia="仿宋_GB2312" w:cs="仿宋_GB2312"/>
          <w:b w:val="0"/>
          <w:bCs/>
          <w:color w:val="000000"/>
          <w:sz w:val="32"/>
          <w:szCs w:val="32"/>
        </w:rPr>
        <w:t>监督、工商行政管理、交通、经济和信息化等部门按照各自职责责令改正；拒不改正的，没收违法所得和违法使用的产品，并处货值金额三倍的罚款。</w:t>
      </w:r>
    </w:p>
    <w:p>
      <w:pPr>
        <w:pStyle w:val="37"/>
        <w:widowControl w:val="0"/>
        <w:wordWrap/>
        <w:overflowPunct w:val="0"/>
        <w:adjustRightInd w:val="0"/>
        <w:snapToGrid w:val="0"/>
        <w:spacing w:before="0" w:beforeAutospacing="0" w:after="0" w:afterAutospacing="0" w:line="560" w:lineRule="exact"/>
        <w:ind w:left="0" w:leftChars="0" w:right="0" w:firstLine="0" w:firstLineChars="0"/>
        <w:jc w:val="both"/>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w:t>
      </w:r>
      <w:r>
        <w:rPr>
          <w:rFonts w:hint="eastAsia" w:ascii="宋体" w:hAnsi="宋体" w:eastAsia="仿宋_GB2312" w:cs="仿宋_GB2312"/>
          <w:b w:val="0"/>
          <w:bCs/>
          <w:color w:val="000000"/>
          <w:kern w:val="0"/>
          <w:sz w:val="32"/>
          <w:szCs w:val="32"/>
          <w:lang w:val="en-US" w:eastAsia="zh-CN" w:bidi="ar-SA"/>
        </w:rPr>
        <w:t>　</w:t>
      </w:r>
      <w:r>
        <w:rPr>
          <w:rFonts w:hint="eastAsia" w:ascii="宋体" w:hAnsi="宋体" w:eastAsia="黑体" w:cs="黑体"/>
          <w:b w:val="0"/>
          <w:bCs/>
          <w:color w:val="000000"/>
          <w:kern w:val="0"/>
          <w:sz w:val="32"/>
          <w:szCs w:val="32"/>
          <w:lang w:val="en-US" w:eastAsia="zh-CN" w:bidi="ar-SA"/>
        </w:rPr>
        <w:t>第三十五条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经营者违反本办法损害消费者合法权益的，由工商行政管理部门或有关行政机关依照法律、法规的规定进行处罚；法律、法规未有规定的，可以根据情节单处或者并处警告、没收违法所得、处以违法所得一倍以上五倍以下的罚款，没有违法所得的，处以一万元以下的罚款，构成犯罪的，依法追究刑事责任。</w:t>
      </w:r>
    </w:p>
    <w:p>
      <w:pPr>
        <w:widowControl w:val="0"/>
        <w:wordWrap/>
        <w:overflowPunct w:val="0"/>
        <w:spacing w:beforeAutospacing="0" w:afterAutospacing="0" w:line="560" w:lineRule="exact"/>
        <w:ind w:left="0" w:leftChars="0" w:right="0" w:firstLine="0" w:firstLineChars="0"/>
        <w:jc w:val="left"/>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kern w:val="0"/>
          <w:sz w:val="32"/>
          <w:szCs w:val="32"/>
          <w:lang w:val="en-US" w:eastAsia="zh-CN"/>
        </w:rPr>
        <w:t xml:space="preserve">    </w:t>
      </w:r>
      <w:r>
        <w:rPr>
          <w:rFonts w:hint="eastAsia" w:ascii="宋体" w:hAnsi="宋体" w:eastAsia="黑体" w:cs="黑体"/>
          <w:b w:val="0"/>
          <w:bCs/>
          <w:color w:val="000000"/>
          <w:kern w:val="0"/>
          <w:sz w:val="32"/>
          <w:szCs w:val="32"/>
        </w:rPr>
        <w:t>第三十六条</w:t>
      </w:r>
      <w:r>
        <w:rPr>
          <w:rFonts w:hint="eastAsia" w:ascii="宋体" w:hAnsi="宋体" w:eastAsia="仿宋_GB2312" w:cs="仿宋_GB2312"/>
          <w:b w:val="0"/>
          <w:bCs/>
          <w:sz w:val="32"/>
          <w:szCs w:val="32"/>
        </w:rPr>
        <w:t xml:space="preserve">  </w:t>
      </w:r>
      <w:r>
        <w:rPr>
          <w:rFonts w:hint="eastAsia" w:ascii="宋体" w:hAnsi="宋体" w:eastAsia="仿宋_GB2312" w:cs="仿宋_GB2312"/>
          <w:b w:val="0"/>
          <w:bCs/>
          <w:color w:val="000000"/>
          <w:sz w:val="32"/>
          <w:szCs w:val="32"/>
        </w:rPr>
        <w:t>本办法自公布之日起施行。1989年6月29日广东省第七届人民代表大会常务委员会第八次会议通过的《广东省保护消费者合法权益条例》同时废止。</w:t>
      </w:r>
    </w:p>
    <w:p>
      <w:pPr>
        <w:widowControl w:val="0"/>
        <w:wordWrap/>
        <w:overflowPunct w:val="0"/>
        <w:spacing w:beforeAutospacing="0" w:afterAutospacing="0" w:line="560" w:lineRule="exact"/>
        <w:ind w:left="0" w:leftChars="0" w:right="0"/>
        <w:textAlignment w:val="auto"/>
        <w:rPr>
          <w:rFonts w:hint="eastAsia" w:ascii="宋体" w:hAnsi="宋体" w:eastAsia="仿宋_GB2312" w:cs="仿宋_GB2312"/>
          <w:b w:val="0"/>
          <w:bCs/>
          <w:sz w:val="32"/>
          <w:szCs w:val="32"/>
        </w:rPr>
      </w:pPr>
    </w:p>
    <w:p>
      <w:pPr>
        <w:pStyle w:val="35"/>
        <w:widowControl w:val="0"/>
        <w:wordWrap/>
        <w:overflowPunct w:val="0"/>
        <w:adjustRightInd w:val="0"/>
        <w:snapToGrid w:val="0"/>
        <w:spacing w:beforeAutospacing="0" w:afterAutospacing="0" w:line="560" w:lineRule="exact"/>
        <w:ind w:left="0" w:leftChars="0" w:right="0" w:firstLine="707" w:firstLineChars="221"/>
        <w:textAlignment w:val="auto"/>
        <w:rPr>
          <w:rFonts w:hint="eastAsia" w:ascii="宋体" w:hAnsi="宋体" w:eastAsia="楷体_GB2312"/>
          <w:b w:val="0"/>
          <w:bCs/>
          <w:sz w:val="32"/>
          <w:szCs w:val="32"/>
        </w:rPr>
      </w:pPr>
    </w:p>
    <w:p>
      <w:pPr>
        <w:pStyle w:val="33"/>
        <w:widowControl w:val="0"/>
        <w:wordWrap/>
        <w:overflowPunct w:val="0"/>
        <w:spacing w:beforeAutospacing="0" w:afterAutospacing="0" w:line="560" w:lineRule="exact"/>
        <w:textAlignment w:val="auto"/>
        <w:rPr>
          <w:rFonts w:hint="eastAsia" w:ascii="宋体" w:hAnsi="宋体" w:eastAsia="仿宋_GB2312" w:cs="仿宋"/>
          <w:b w:val="0"/>
          <w:bCs/>
          <w:sz w:val="32"/>
          <w:szCs w:val="32"/>
        </w:rPr>
      </w:pPr>
    </w:p>
    <w:p>
      <w:pPr>
        <w:pStyle w:val="33"/>
        <w:widowControl w:val="0"/>
        <w:wordWrap/>
        <w:overflowPunct w:val="0"/>
        <w:spacing w:beforeAutospacing="0" w:afterAutospacing="0" w:line="560" w:lineRule="exact"/>
        <w:ind w:left="0" w:leftChars="0" w:firstLine="0" w:firstLineChars="0"/>
        <w:textAlignment w:val="auto"/>
        <w:rPr>
          <w:rFonts w:hint="eastAsia" w:ascii="宋体" w:hAnsi="宋体" w:cs="仿宋_GB2312"/>
          <w:sz w:val="32"/>
          <w:szCs w:val="32"/>
          <w:lang w:eastAsia="zh-CN"/>
        </w:rPr>
      </w:pPr>
    </w:p>
    <w:p>
      <w:pPr>
        <w:pStyle w:val="35"/>
        <w:widowControl w:val="0"/>
        <w:wordWrap/>
        <w:overflowPunct w:val="0"/>
        <w:adjustRightInd w:val="0"/>
        <w:snapToGrid w:val="0"/>
        <w:spacing w:beforeAutospacing="0" w:afterAutospacing="0" w:line="560" w:lineRule="exact"/>
        <w:ind w:left="0" w:leftChars="0" w:firstLine="0" w:firstLineChars="0"/>
        <w:jc w:val="both"/>
        <w:textAlignment w:val="auto"/>
        <w:rPr>
          <w:rFonts w:hint="eastAsia" w:ascii="宋体" w:hAnsi="宋体" w:eastAsia="宋体" w:cs="宋体"/>
          <w:b w:val="0"/>
          <w:bCs/>
          <w:color w:val="000000"/>
          <w:sz w:val="44"/>
          <w:szCs w:val="44"/>
        </w:rPr>
      </w:pPr>
      <w:r>
        <w:rPr>
          <w:rFonts w:hint="eastAsia" w:ascii="宋体" w:hAnsi="宋体" w:eastAsia="宋体" w:cs="宋体"/>
          <w:b w:val="0"/>
          <w:bCs/>
          <w:color w:val="000000"/>
          <w:sz w:val="44"/>
          <w:szCs w:val="44"/>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7" w:name="_Toc31248"/>
      <w:r>
        <w:rPr>
          <w:rFonts w:hint="eastAsia" w:ascii="宋体" w:hAnsi="宋体" w:eastAsia="宋体" w:cs="宋体"/>
          <w:color w:val="000000"/>
          <w:sz w:val="44"/>
          <w:szCs w:val="44"/>
        </w:rPr>
        <w:t>广东省实施《中华人民共和国价格法》办法</w:t>
      </w:r>
      <w:bookmarkEnd w:id="477"/>
    </w:p>
    <w:p>
      <w:pPr>
        <w:pStyle w:val="35"/>
        <w:widowControl w:val="0"/>
        <w:wordWrap/>
        <w:overflowPunct w:val="0"/>
        <w:adjustRightInd w:val="0"/>
        <w:snapToGrid w:val="0"/>
        <w:spacing w:beforeAutospacing="0" w:afterAutospacing="0" w:line="560" w:lineRule="exact"/>
        <w:ind w:left="0" w:leftChars="0"/>
        <w:jc w:val="center"/>
        <w:textAlignment w:val="auto"/>
        <w:rPr>
          <w:rFonts w:hint="eastAsia" w:ascii="宋体" w:hAnsi="宋体" w:eastAsia="宋体" w:cs="宋体"/>
          <w:b w:val="0"/>
          <w:bCs/>
          <w:color w:val="000000"/>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（1999年5月21日广东省第九届人民代表大会常务委员会第十次会议通过  2008年3月27日广东省第十一届人民代表大会常务委员会第一次会议修订）</w:t>
      </w:r>
    </w:p>
    <w:p>
      <w:pPr>
        <w:pStyle w:val="35"/>
        <w:widowControl w:val="0"/>
        <w:wordWrap/>
        <w:overflowPunct w:val="0"/>
        <w:adjustRightInd w:val="0"/>
        <w:snapToGrid w:val="0"/>
        <w:spacing w:beforeAutospacing="0" w:afterAutospacing="0" w:line="560" w:lineRule="exact"/>
        <w:ind w:left="0" w:leftChars="0" w:firstLine="642"/>
        <w:jc w:val="center"/>
        <w:textAlignment w:val="auto"/>
        <w:rPr>
          <w:rFonts w:hint="eastAsia" w:ascii="宋体" w:hAnsi="宋体" w:eastAsia="宋体" w:cs="宋体"/>
          <w:b w:val="0"/>
          <w:bCs/>
          <w:sz w:val="32"/>
          <w:szCs w:val="32"/>
        </w:rPr>
      </w:pPr>
    </w:p>
    <w:p>
      <w:pPr>
        <w:pStyle w:val="35"/>
        <w:widowControl w:val="0"/>
        <w:wordWrap/>
        <w:overflowPunct w:val="0"/>
        <w:adjustRightInd w:val="0"/>
        <w:snapToGrid w:val="0"/>
        <w:spacing w:beforeAutospacing="0" w:afterAutospacing="0" w:line="560" w:lineRule="exact"/>
        <w:ind w:left="0" w:leftChars="0" w:firstLine="642"/>
        <w:jc w:val="center"/>
        <w:textAlignment w:val="auto"/>
        <w:rPr>
          <w:rFonts w:hint="eastAsia" w:ascii="宋体" w:hAnsi="宋体" w:eastAsia="宋体" w:cs="宋体"/>
          <w:b w:val="0"/>
          <w:bCs/>
          <w:sz w:val="32"/>
          <w:szCs w:val="32"/>
        </w:rPr>
      </w:pPr>
      <w:r>
        <w:rPr>
          <w:rFonts w:hint="eastAsia" w:ascii="宋体" w:hAnsi="宋体" w:eastAsia="楷体_GB2312"/>
          <w:b w:val="0"/>
          <w:bCs/>
          <w:sz w:val="32"/>
          <w:szCs w:val="32"/>
        </w:rPr>
        <w:t>目    录</w:t>
      </w:r>
    </w:p>
    <w:p>
      <w:pPr>
        <w:pStyle w:val="35"/>
        <w:widowControl w:val="0"/>
        <w:wordWrap/>
        <w:overflowPunct w:val="0"/>
        <w:adjustRightInd w:val="0"/>
        <w:snapToGrid w:val="0"/>
        <w:spacing w:beforeAutospacing="0" w:afterAutospacing="0" w:line="560" w:lineRule="exact"/>
        <w:ind w:left="0" w:leftChars="0" w:firstLine="642"/>
        <w:jc w:val="center"/>
        <w:textAlignment w:val="auto"/>
        <w:rPr>
          <w:rFonts w:hint="eastAsia" w:ascii="宋体" w:hAnsi="宋体" w:eastAsia="宋体" w:cs="宋体"/>
          <w:b w:val="0"/>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第二章  经营者的价格行为</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第三章  政府的定价行为</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第四章  价格调控</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rPr>
      </w:pPr>
      <w:r>
        <w:rPr>
          <w:rFonts w:hint="eastAsia" w:ascii="宋体" w:hAnsi="宋体" w:eastAsia="楷体_GB2312"/>
          <w:b w:val="0"/>
          <w:bCs/>
          <w:sz w:val="32"/>
          <w:szCs w:val="32"/>
        </w:rPr>
        <w:t>第五章  价格服务</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lang w:val="en-US" w:eastAsia="zh-CN"/>
        </w:rPr>
      </w:pPr>
      <w:r>
        <w:rPr>
          <w:rFonts w:hint="eastAsia" w:ascii="宋体" w:hAnsi="宋体" w:eastAsia="楷体_GB2312"/>
          <w:b w:val="0"/>
          <w:bCs/>
          <w:sz w:val="32"/>
          <w:szCs w:val="32"/>
          <w:lang w:val="en-US" w:eastAsia="zh-CN"/>
        </w:rPr>
        <w:t>第六章  价格监督检查</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lang w:val="en-US" w:eastAsia="zh-CN"/>
        </w:rPr>
      </w:pPr>
      <w:r>
        <w:rPr>
          <w:rFonts w:hint="eastAsia" w:ascii="宋体" w:hAnsi="宋体" w:eastAsia="楷体_GB2312"/>
          <w:b w:val="0"/>
          <w:bCs/>
          <w:sz w:val="32"/>
          <w:szCs w:val="32"/>
          <w:lang w:val="en-US" w:eastAsia="zh-CN"/>
        </w:rPr>
        <w:t>第七章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rPr>
          <w:rFonts w:hint="eastAsia" w:ascii="宋体" w:hAnsi="宋体" w:eastAsia="楷体_GB2312"/>
          <w:b w:val="0"/>
          <w:bCs/>
          <w:sz w:val="32"/>
          <w:szCs w:val="32"/>
          <w:lang w:val="en-US" w:eastAsia="zh-CN"/>
        </w:rPr>
      </w:pPr>
      <w:r>
        <w:rPr>
          <w:rFonts w:hint="eastAsia" w:ascii="宋体" w:hAnsi="宋体" w:eastAsia="楷体_GB2312"/>
          <w:b w:val="0"/>
          <w:bCs/>
          <w:sz w:val="32"/>
          <w:szCs w:val="32"/>
          <w:lang w:val="en-US" w:eastAsia="zh-CN"/>
        </w:rPr>
        <w:t>第八章  附则</w:t>
      </w:r>
    </w:p>
    <w:p>
      <w:pPr>
        <w:pStyle w:val="35"/>
        <w:widowControl w:val="0"/>
        <w:wordWrap/>
        <w:overflowPunct w:val="0"/>
        <w:adjustRightInd w:val="0"/>
        <w:snapToGrid w:val="0"/>
        <w:spacing w:beforeAutospacing="0" w:afterAutospacing="0" w:line="560" w:lineRule="exact"/>
        <w:ind w:left="0" w:leftChars="0" w:right="0"/>
        <w:jc w:val="center"/>
        <w:textAlignment w:val="auto"/>
        <w:outlineLvl w:val="9"/>
        <w:rPr>
          <w:rFonts w:hint="eastAsia" w:ascii="宋体" w:hAnsi="宋体" w:eastAsia="宋体" w:cs="宋体"/>
          <w:b w:val="0"/>
          <w:bCs/>
          <w:sz w:val="32"/>
          <w:szCs w:val="32"/>
        </w:rPr>
      </w:pPr>
    </w:p>
    <w:p>
      <w:pPr>
        <w:widowControl w:val="0"/>
        <w:numPr>
          <w:ilvl w:val="0"/>
          <w:numId w:val="0"/>
        </w:numPr>
        <w:wordWrap/>
        <w:overflowPunct w:val="0"/>
        <w:spacing w:beforeAutospacing="0" w:afterAutospacing="0" w:line="560" w:lineRule="exact"/>
        <w:ind w:leftChars="200" w:right="0"/>
        <w:jc w:val="center"/>
        <w:textAlignment w:val="auto"/>
        <w:outlineLvl w:val="9"/>
        <w:rPr>
          <w:rFonts w:hint="eastAsia" w:ascii="宋体" w:hAnsi="宋体" w:eastAsia="黑体" w:cs="黑体"/>
          <w:b w:val="0"/>
          <w:bCs/>
          <w:color w:val="000000"/>
          <w:sz w:val="32"/>
          <w:szCs w:val="32"/>
          <w:lang w:val="en-US" w:eastAsia="zh-CN"/>
        </w:rPr>
      </w:pPr>
      <w:r>
        <w:rPr>
          <w:rFonts w:hint="eastAsia" w:ascii="宋体" w:hAnsi="宋体" w:eastAsia="黑体" w:cs="黑体"/>
          <w:b w:val="0"/>
          <w:bCs/>
          <w:color w:val="000000"/>
          <w:sz w:val="32"/>
          <w:szCs w:val="32"/>
          <w:lang w:val="en-US" w:eastAsia="zh-CN"/>
        </w:rPr>
        <w:t>第一章  总则</w:t>
      </w:r>
    </w:p>
    <w:p>
      <w:pPr>
        <w:widowControl w:val="0"/>
        <w:numPr>
          <w:ilvl w:val="0"/>
          <w:numId w:val="0"/>
        </w:numPr>
        <w:wordWrap/>
        <w:overflowPunct w:val="0"/>
        <w:spacing w:beforeAutospacing="0" w:afterAutospacing="0" w:line="560" w:lineRule="exact"/>
        <w:ind w:leftChars="200" w:right="0"/>
        <w:jc w:val="both"/>
        <w:textAlignment w:val="auto"/>
        <w:outlineLvl w:val="9"/>
        <w:rPr>
          <w:rFonts w:hint="eastAsia" w:ascii="宋体" w:hAnsi="宋体" w:eastAsia="宋体" w:cs="宋体"/>
          <w:b w:val="0"/>
          <w:bCs/>
          <w:color w:val="000000"/>
          <w:sz w:val="32"/>
          <w:szCs w:val="32"/>
          <w:lang w:val="en-US" w:eastAsia="zh-CN"/>
        </w:rPr>
      </w:pP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第一条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为实施《中华人民共和国价格法》，结合本省实际，制定本办法。</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第二条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本办法适用于本省行政区域内发生的价格行为。</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第三条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经营者的价格行为，应当遵循合法、公平和诚实信用原则。</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政府的价格行为，应当遵循合法、公平、公开和效率的原则，保障公民、法人和其他组织的知情权、参与权、监督权。</w:t>
      </w:r>
    </w:p>
    <w:p>
      <w:pPr>
        <w:widowControl w:val="0"/>
        <w:wordWrap/>
        <w:overflowPunct w:val="0"/>
        <w:spacing w:beforeAutospacing="0" w:afterAutospacing="0" w:line="560" w:lineRule="exact"/>
        <w:ind w:left="0" w:leftChars="0" w:right="0" w:firstLine="640" w:firstLineChars="200"/>
        <w:textAlignment w:val="auto"/>
        <w:outlineLvl w:val="9"/>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第四条</w:t>
      </w:r>
      <w:r>
        <w:rPr>
          <w:rFonts w:hint="eastAsia" w:ascii="宋体" w:hAnsi="宋体" w:eastAsia="仿宋_GB2312" w:cs="仿宋_GB2312"/>
          <w:b w:val="0"/>
          <w:bCs/>
          <w:color w:val="000000"/>
          <w:sz w:val="32"/>
          <w:szCs w:val="32"/>
          <w:lang w:val="en-US" w:eastAsia="zh-CN"/>
        </w:rPr>
        <w:t xml:space="preserve"> </w:t>
      </w:r>
      <w:r>
        <w:rPr>
          <w:rFonts w:hint="eastAsia" w:ascii="宋体" w:hAnsi="宋体" w:eastAsia="仿宋_GB2312" w:cs="仿宋_GB2312"/>
          <w:b w:val="0"/>
          <w:bCs/>
          <w:color w:val="000000"/>
          <w:sz w:val="32"/>
          <w:szCs w:val="32"/>
        </w:rPr>
        <w:t xml:space="preserve"> 各级人民政府应当依法履行职责，做好价格工作。</w:t>
      </w:r>
    </w:p>
    <w:p>
      <w:pPr>
        <w:widowControl w:val="0"/>
        <w:wordWrap/>
        <w:overflowPunct w:val="0"/>
        <w:spacing w:beforeAutospacing="0" w:afterAutospacing="0" w:line="560" w:lineRule="exact"/>
        <w:ind w:left="0" w:leftChars="0" w:right="0"/>
        <w:textAlignment w:val="auto"/>
        <w:outlineLvl w:val="9"/>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    县级以上人民政府价格主管部门负责本行政区域内的价格工作。县级以上人民政府其他有关部门在各自的职责范围内负责有关的价格工作。</w:t>
      </w:r>
    </w:p>
    <w:p>
      <w:pPr>
        <w:widowControl w:val="0"/>
        <w:wordWrap/>
        <w:overflowPunct w:val="0"/>
        <w:spacing w:beforeAutospacing="0" w:afterAutospacing="0" w:line="560" w:lineRule="exact"/>
        <w:ind w:left="0" w:leftChars="0" w:right="0"/>
        <w:textAlignment w:val="auto"/>
        <w:outlineLvl w:val="9"/>
        <w:rPr>
          <w:rFonts w:hint="eastAsia" w:ascii="宋体" w:hAnsi="宋体" w:eastAsia="宋体" w:cs="宋体"/>
          <w:b w:val="0"/>
          <w:bCs/>
          <w:color w:val="000000"/>
          <w:sz w:val="32"/>
          <w:szCs w:val="32"/>
        </w:rPr>
      </w:pPr>
    </w:p>
    <w:p>
      <w:pPr>
        <w:widowControl w:val="0"/>
        <w:numPr>
          <w:ilvl w:val="0"/>
          <w:numId w:val="0"/>
        </w:numPr>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lang w:val="en-US" w:eastAsia="zh-CN"/>
        </w:rPr>
        <w:t xml:space="preserve">第二章 </w:t>
      </w:r>
      <w:r>
        <w:rPr>
          <w:rFonts w:hint="eastAsia" w:ascii="宋体" w:hAnsi="宋体" w:eastAsia="黑体" w:cs="黑体"/>
          <w:b w:val="0"/>
          <w:bCs/>
          <w:color w:val="000000"/>
          <w:sz w:val="32"/>
          <w:szCs w:val="32"/>
        </w:rPr>
        <w:t xml:space="preserve"> 经营者的价格行为</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第五条</w:t>
      </w:r>
      <w:r>
        <w:rPr>
          <w:rFonts w:hint="eastAsia" w:ascii="宋体" w:hAnsi="宋体" w:eastAsia="仿宋_GB2312" w:cs="仿宋_GB2312"/>
          <w:b w:val="0"/>
          <w:bCs/>
          <w:color w:val="000000"/>
          <w:sz w:val="32"/>
          <w:szCs w:val="32"/>
        </w:rPr>
        <w:t xml:space="preserve">  商品价格和服务价格，除依法适用政府指导价或者政府定价外，实行市场调节价，由经营者依法自主制定。</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对关系群众切身利益的实行市场调节价的重要商品价格或者服务价格，政府价格主管部门可以会同相关部门制定并公布价格行为规则，引导、规范经营者依法自主定价。</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第六条</w:t>
      </w:r>
      <w:r>
        <w:rPr>
          <w:rFonts w:hint="eastAsia" w:ascii="宋体" w:hAnsi="宋体" w:eastAsia="仿宋_GB2312" w:cs="仿宋_GB2312"/>
          <w:b w:val="0"/>
          <w:bCs/>
          <w:color w:val="000000"/>
          <w:sz w:val="32"/>
          <w:szCs w:val="32"/>
        </w:rPr>
        <w:t xml:space="preserve">  经营者应当依法按照政府价格主管部门的规定实行明码标价和收费公示，做到价签价目齐全、标价内容真实明确。</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降价销售商品和提供服务，经营者应当使用降价标价签、价目表，如实标明降价原因、原价和现价；妥善保留降价前记录或者核定价格的资料，以便查证。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一项服务包括多个项目和标准的，经营者应当明确标示每一个项目和标准，不得混合标价。</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第七条</w:t>
      </w:r>
      <w:r>
        <w:rPr>
          <w:rFonts w:hint="eastAsia" w:ascii="宋体" w:hAnsi="宋体" w:eastAsia="仿宋_GB2312" w:cs="仿宋_GB2312"/>
          <w:b w:val="0"/>
          <w:bCs/>
          <w:color w:val="000000"/>
          <w:sz w:val="32"/>
          <w:szCs w:val="32"/>
        </w:rPr>
        <w:t xml:space="preserve"> </w:t>
      </w:r>
      <w:r>
        <w:rPr>
          <w:rFonts w:hint="eastAsia" w:ascii="宋体" w:hAnsi="宋体" w:eastAsia="仿宋_GB2312" w:cs="仿宋_GB2312"/>
          <w:b w:val="0"/>
          <w:bCs/>
          <w:iCs/>
          <w:color w:val="000000"/>
          <w:sz w:val="32"/>
          <w:szCs w:val="32"/>
        </w:rPr>
        <w:t xml:space="preserve"> 经营者不得以协议、决定或者其他协同行为相互串通，统一确定、维持、变更价格，或者通过限制商品的生产数量或者销售数量操纵价格，损害消费者和其他经营者的合法权益。</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iCs/>
          <w:color w:val="000000"/>
          <w:sz w:val="32"/>
          <w:szCs w:val="32"/>
        </w:rPr>
      </w:pPr>
      <w:r>
        <w:rPr>
          <w:rFonts w:hint="eastAsia" w:ascii="宋体" w:hAnsi="宋体" w:eastAsia="黑体" w:cs="黑体"/>
          <w:b w:val="0"/>
          <w:bCs/>
          <w:color w:val="000000"/>
          <w:sz w:val="32"/>
          <w:szCs w:val="32"/>
        </w:rPr>
        <w:t>第八条</w:t>
      </w:r>
      <w:r>
        <w:rPr>
          <w:rFonts w:hint="eastAsia" w:ascii="宋体" w:hAnsi="宋体" w:eastAsia="仿宋_GB2312" w:cs="仿宋_GB2312"/>
          <w:b w:val="0"/>
          <w:bCs/>
          <w:color w:val="000000"/>
          <w:sz w:val="32"/>
          <w:szCs w:val="32"/>
        </w:rPr>
        <w:t xml:space="preserve">  </w:t>
      </w:r>
      <w:r>
        <w:rPr>
          <w:rFonts w:hint="eastAsia" w:ascii="宋体" w:hAnsi="宋体" w:eastAsia="仿宋_GB2312" w:cs="仿宋_GB2312"/>
          <w:b w:val="0"/>
          <w:bCs/>
          <w:iCs/>
          <w:color w:val="000000"/>
          <w:sz w:val="32"/>
          <w:szCs w:val="32"/>
        </w:rPr>
        <w:t>除依法降价处理的鲜活商品、季节性商品、积压商品等商品外，经营者不得以排挤竞争对手或者独占市场为目的从事下列行为，扰乱正常的生产经营秩序，损害其他经营者的合法权益：</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以低于自身生产、经营成本的价格销售商品或者提供服务；</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采取回扣、补贴、赠送等方式使商品或者服务的实际价格低于自身生产、经营成本。</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第九条</w:t>
      </w:r>
      <w:r>
        <w:rPr>
          <w:rFonts w:hint="eastAsia" w:ascii="宋体" w:hAnsi="宋体" w:eastAsia="仿宋_GB2312" w:cs="仿宋_GB2312"/>
          <w:b w:val="0"/>
          <w:bCs/>
          <w:color w:val="000000"/>
          <w:sz w:val="32"/>
          <w:szCs w:val="32"/>
        </w:rPr>
        <w:t xml:space="preserve">  经营者不得有下列哄抬价格的行为：</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捏造、散布涨价信息，导致价格大幅度上涨；</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w:t>
      </w:r>
      <w:r>
        <w:rPr>
          <w:rFonts w:hint="eastAsia" w:ascii="宋体" w:hAnsi="宋体" w:cs="仿宋_GB2312"/>
          <w:b w:val="0"/>
          <w:bCs/>
          <w:color w:val="000000"/>
          <w:sz w:val="32"/>
          <w:szCs w:val="32"/>
          <w:lang w:eastAsia="zh-CN"/>
        </w:rPr>
        <w:t>（二）</w:t>
      </w:r>
      <w:r>
        <w:rPr>
          <w:rFonts w:hint="eastAsia" w:ascii="宋体" w:hAnsi="宋体" w:eastAsia="仿宋_GB2312" w:cs="仿宋_GB2312"/>
          <w:b w:val="0"/>
          <w:bCs/>
          <w:color w:val="000000"/>
          <w:sz w:val="32"/>
          <w:szCs w:val="32"/>
        </w:rPr>
        <w:t>囤积居奇，导致商品供不应求而出现价格大幅度上涨；</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w:t>
      </w:r>
      <w:r>
        <w:rPr>
          <w:rFonts w:hint="eastAsia" w:ascii="宋体" w:hAnsi="宋体" w:cs="仿宋_GB2312"/>
          <w:b w:val="0"/>
          <w:bCs/>
          <w:color w:val="000000"/>
          <w:sz w:val="32"/>
          <w:szCs w:val="32"/>
          <w:lang w:eastAsia="zh-CN"/>
        </w:rPr>
        <w:t>（三）</w:t>
      </w:r>
      <w:r>
        <w:rPr>
          <w:rFonts w:hint="eastAsia" w:ascii="宋体" w:hAnsi="宋体" w:eastAsia="仿宋_GB2312" w:cs="仿宋_GB2312"/>
          <w:b w:val="0"/>
          <w:bCs/>
          <w:color w:val="000000"/>
          <w:sz w:val="32"/>
          <w:szCs w:val="32"/>
        </w:rPr>
        <w:t>利用自然灾害、突发公共安全事件，在一些地区或行业大幅度提高价格。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第十条</w:t>
      </w:r>
      <w:r>
        <w:rPr>
          <w:rFonts w:hint="eastAsia" w:ascii="宋体" w:hAnsi="宋体" w:eastAsia="仿宋_GB2312" w:cs="仿宋_GB2312"/>
          <w:b w:val="0"/>
          <w:bCs/>
          <w:color w:val="000000"/>
          <w:sz w:val="32"/>
          <w:szCs w:val="32"/>
        </w:rPr>
        <w:t xml:space="preserve">  经营者不得利用虚假的、欺骗性的或者其他使人误解的价格手段欺骗、诱导消费者或者其他经营者与其进行交易。</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第十一条</w:t>
      </w:r>
      <w:r>
        <w:rPr>
          <w:rFonts w:hint="eastAsia" w:ascii="宋体" w:hAnsi="宋体" w:eastAsia="仿宋_GB2312" w:cs="仿宋_GB2312"/>
          <w:b w:val="0"/>
          <w:bCs/>
          <w:color w:val="000000"/>
          <w:sz w:val="32"/>
          <w:szCs w:val="32"/>
        </w:rPr>
        <w:t xml:space="preserve">  经营者收购、销售商品或者提供服务，不得有下列变相提高价格或者压低价格的行为：</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抬高等级销售商品或者收取费用；</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降低服务标准，减少服务内容；</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以假充真，以次充好；</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偷工减料，短尺少秤；</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（五）</w:t>
      </w:r>
      <w:r>
        <w:rPr>
          <w:rFonts w:hint="eastAsia" w:ascii="宋体" w:hAnsi="宋体" w:eastAsia="仿宋_GB2312" w:cs="仿宋_GB2312"/>
          <w:b w:val="0"/>
          <w:bCs/>
          <w:color w:val="000000"/>
          <w:sz w:val="32"/>
          <w:szCs w:val="32"/>
        </w:rPr>
        <w:t>压低等级收购商品。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第十二条</w:t>
      </w:r>
      <w:r>
        <w:rPr>
          <w:rFonts w:hint="eastAsia" w:ascii="宋体" w:hAnsi="宋体" w:eastAsia="仿宋_GB2312" w:cs="仿宋_GB2312"/>
          <w:b w:val="0"/>
          <w:bCs/>
          <w:color w:val="000000"/>
          <w:sz w:val="32"/>
          <w:szCs w:val="32"/>
        </w:rPr>
        <w:t xml:space="preserve">  行业组织应当配合政府价格主管部门依法开展行业价格管理、协调工作。</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行业组织向政府价格主管部门或者其他有定价权的管理部门提出本行业制定、实施政府指导价、政府定价的建议；指导本行业经营者的自主定价行为；协调本行业的价格争议；引导、鼓励本行业的非会员单位参与行业的价格自律。</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第十三条</w:t>
      </w:r>
      <w:r>
        <w:rPr>
          <w:rFonts w:hint="eastAsia" w:ascii="宋体" w:hAnsi="宋体" w:eastAsia="仿宋_GB2312" w:cs="仿宋_GB2312"/>
          <w:b w:val="0"/>
          <w:bCs/>
          <w:color w:val="000000"/>
          <w:sz w:val="32"/>
          <w:szCs w:val="32"/>
        </w:rPr>
        <w:t xml:space="preserve">  行业组织不得利用其优势地位和条件，从事下列价格违法行为，损害消费者、经营者的合法价格权益和社会公共利益：</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组织本行业的经营者相互串通，操纵市场价格；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捏造、散布涨价信息以及利用其他手段哄抬价格，推动商品价格过高上涨。</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第三章  政府的定价行为</w:t>
      </w:r>
    </w:p>
    <w:p>
      <w:pPr>
        <w:widowControl w:val="0"/>
        <w:wordWrap/>
        <w:overflowPunct w:val="0"/>
        <w:spacing w:beforeAutospacing="0" w:afterAutospacing="0" w:line="560" w:lineRule="exact"/>
        <w:jc w:val="center"/>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第十四条</w:t>
      </w:r>
      <w:r>
        <w:rPr>
          <w:rFonts w:hint="eastAsia" w:ascii="宋体" w:hAnsi="宋体" w:eastAsia="仿宋_GB2312" w:cs="仿宋_GB2312"/>
          <w:b w:val="0"/>
          <w:bCs/>
          <w:color w:val="000000"/>
          <w:sz w:val="32"/>
          <w:szCs w:val="32"/>
        </w:rPr>
        <w:t xml:space="preserve">  下列商品价格和服务价格，政府在必要时可以实行政府指导价或者政府定价：</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与国民经济、社会发展和人民生活关系重大的极少数商品价格；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资源稀缺的少数商品价格；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自然垄断经营及其他带有保护、垄断性质的商品和服务价格；</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重要的公用事业价格和公益性服务价格。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第十五条</w:t>
      </w:r>
      <w:r>
        <w:rPr>
          <w:rFonts w:hint="eastAsia" w:ascii="宋体" w:hAnsi="宋体" w:eastAsia="仿宋_GB2312" w:cs="仿宋_GB2312"/>
          <w:b w:val="0"/>
          <w:bCs/>
          <w:color w:val="000000"/>
          <w:sz w:val="32"/>
          <w:szCs w:val="32"/>
        </w:rPr>
        <w:t xml:space="preserve">  政府指导价、政府定价的定价权限和具体适用范围，以中央定价目录和地方定价目录为依据。</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省人民政府价格主管部门应当按照中央定价目录规定的定价权限和具体适用范围，制定、调整地方定价目录，经省人民政府审核同意，报国务院价格主管部门审定后公布实施。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尚未列入地方定价目录，但有下列情形之一的，应当实行政府指导价或者政府定价，并及时列入地方定价目录：</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法律、行政法规规定实行政府指导价或者政府定价的；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新列入中央定价目录的；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国务院或者国务院价格主管部门规定实行政府指导价或者政府定价的。</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第十六条</w:t>
      </w:r>
      <w:r>
        <w:rPr>
          <w:rFonts w:hint="eastAsia" w:ascii="宋体" w:hAnsi="宋体" w:eastAsia="仿宋_GB2312" w:cs="仿宋_GB2312"/>
          <w:b w:val="0"/>
          <w:bCs/>
          <w:color w:val="000000"/>
          <w:sz w:val="32"/>
          <w:szCs w:val="32"/>
        </w:rPr>
        <w:t xml:space="preserve">  制定、调整政府指导价、政府定价，应当依据有关商品或者服务的社会平均成本、市场供求状况、国民经济与社会发展要求以及社会承受能力，并有利于节约资源、保护环境、促进技术创新。</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对关系群众切身利益的公用事业、公益性服务、自然垄断经营的商品或者服务价格，制定、调整政府指导价、政府定价时还应当严格控制其利润率水平。</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第十七条</w:t>
      </w:r>
      <w:r>
        <w:rPr>
          <w:rFonts w:hint="eastAsia" w:ascii="宋体" w:hAnsi="宋体" w:eastAsia="仿宋_GB2312" w:cs="仿宋_GB2312"/>
          <w:b w:val="0"/>
          <w:bCs/>
          <w:color w:val="000000"/>
          <w:sz w:val="32"/>
          <w:szCs w:val="32"/>
        </w:rPr>
        <w:t xml:space="preserve">  制定、调整政府指导价、政府定价，应当充分考虑低收入群体的利益，可以采取实施价格优惠等形式予以扶助。</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第十八条</w:t>
      </w:r>
      <w:r>
        <w:rPr>
          <w:rFonts w:hint="eastAsia" w:ascii="宋体" w:hAnsi="宋体" w:eastAsia="仿宋_GB2312" w:cs="仿宋_GB2312"/>
          <w:b w:val="0"/>
          <w:bCs/>
          <w:color w:val="000000"/>
          <w:sz w:val="32"/>
          <w:szCs w:val="32"/>
        </w:rPr>
        <w:t xml:space="preserve">  制定、调整政府指导价、政府定价时，政府价格主管部门应当进行价格、成本调查，听取社会意见。制定、调整价格的决定应当向社会公告。</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第十九条</w:t>
      </w:r>
      <w:r>
        <w:rPr>
          <w:rFonts w:hint="eastAsia" w:ascii="宋体" w:hAnsi="宋体" w:eastAsia="仿宋_GB2312" w:cs="仿宋_GB2312"/>
          <w:b w:val="0"/>
          <w:bCs/>
          <w:color w:val="000000"/>
          <w:sz w:val="32"/>
          <w:szCs w:val="32"/>
        </w:rPr>
        <w:t xml:space="preserve">  对依法纳入成本监审目录管理的商品价格和服务价格，政府价格主管部门应当进行定价成本监审，实行制定价格前监审和定期监审。</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第二十条</w:t>
      </w:r>
      <w:r>
        <w:rPr>
          <w:rFonts w:hint="eastAsia" w:ascii="宋体" w:hAnsi="宋体" w:eastAsia="仿宋_GB2312" w:cs="仿宋_GB2312"/>
          <w:b w:val="0"/>
          <w:bCs/>
          <w:color w:val="000000"/>
          <w:sz w:val="32"/>
          <w:szCs w:val="32"/>
        </w:rPr>
        <w:t xml:space="preserve">  接受定价成本监审的经营者应当按照规定提供有关商品或者服务的成本资料，并对成本资料的合法性、真实性负责。</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经营者无正当理由拒绝、迟延提供成本资料，或者提供虚假成本资料的，县级以上人民政府价格主管部门应当责令其改正。对逾期不改正的，不予成本监审或者中止当次成本监审，并不予制定、调整价格；确需调低价格的，可予以同地区或者相类似地区同行业的较低成本为依据调整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第二十一条</w:t>
      </w:r>
      <w:r>
        <w:rPr>
          <w:rFonts w:hint="eastAsia" w:ascii="宋体" w:hAnsi="宋体" w:eastAsia="仿宋_GB2312" w:cs="仿宋_GB2312"/>
          <w:b w:val="0"/>
          <w:bCs/>
          <w:color w:val="000000"/>
          <w:sz w:val="32"/>
          <w:szCs w:val="32"/>
        </w:rPr>
        <w:t xml:space="preserve">  对依法实行价格听证目录管理的关系群众切身利益的公用事业价格、公益性服务价格和自然垄断经营的商品价格和服务价格，政府价格主管部门应当进行价格听证。 </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 xml:space="preserve">第二十二条 </w:t>
      </w:r>
      <w:r>
        <w:rPr>
          <w:rFonts w:hint="eastAsia" w:ascii="宋体" w:hAnsi="宋体" w:eastAsia="仿宋_GB2312" w:cs="仿宋_GB2312"/>
          <w:b w:val="0"/>
          <w:bCs/>
          <w:color w:val="000000"/>
          <w:sz w:val="32"/>
          <w:szCs w:val="32"/>
        </w:rPr>
        <w:t xml:space="preserve"> 价格听证采取听证会形式，由政府价格主管部门组织，就制定、调整价格的必要性、可行性、合理性进行论证。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听证代表应当具有广泛性、代表性，由消费者、经营者、国家机关和社会团体等代表以及相关的经济、技术、法律等方面的专家、学者组成。消费者代表的比例不得少于三分之一，其中应当有低收入群体的代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听证会应当公开进行。政府价格主管部门应当向社会公开听证方案、定价成本监审结论及其依据、听证代表名单以及听证结果。</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第二十三条</w:t>
      </w:r>
      <w:r>
        <w:rPr>
          <w:rFonts w:hint="eastAsia" w:ascii="宋体" w:hAnsi="宋体" w:eastAsia="仿宋_GB2312" w:cs="仿宋_GB2312"/>
          <w:b w:val="0"/>
          <w:bCs/>
          <w:color w:val="000000"/>
          <w:sz w:val="32"/>
          <w:szCs w:val="32"/>
        </w:rPr>
        <w:t xml:space="preserve">  </w:t>
      </w:r>
      <w:r>
        <w:rPr>
          <w:rFonts w:hint="eastAsia" w:ascii="宋体" w:hAnsi="宋体" w:eastAsia="仿宋_GB2312" w:cs="仿宋_GB2312"/>
          <w:b w:val="0"/>
          <w:bCs/>
          <w:iCs/>
          <w:color w:val="000000"/>
          <w:sz w:val="32"/>
          <w:szCs w:val="32"/>
        </w:rPr>
        <w:t>价格决策部门应当</w:t>
      </w:r>
      <w:r>
        <w:rPr>
          <w:rFonts w:hint="eastAsia" w:ascii="宋体" w:hAnsi="宋体" w:eastAsia="仿宋_GB2312" w:cs="仿宋_GB2312"/>
          <w:b w:val="0"/>
          <w:bCs/>
          <w:color w:val="000000"/>
          <w:sz w:val="32"/>
          <w:szCs w:val="32"/>
        </w:rPr>
        <w:t>对听证会的意见进行分析，并作为价格决策的依据之一。</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听证会代表多数不同意定价方案或者对定价方案有较大分歧时，价格决策部门应当协调申请人调整方案，必要时由政府价格主管部门再次组织听证。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 xml:space="preserve">需要提请本级人民政府或者上级价格决策部门批准的最终定价方案，凡经听证会论证的，上报时应当同时提交听证纪要、听证会笔录和有关材料。 </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第二十四条</w:t>
      </w:r>
      <w:r>
        <w:rPr>
          <w:rFonts w:hint="eastAsia" w:ascii="宋体" w:hAnsi="宋体" w:eastAsia="仿宋_GB2312" w:cs="仿宋_GB2312"/>
          <w:b w:val="0"/>
          <w:bCs/>
          <w:color w:val="000000"/>
          <w:sz w:val="32"/>
          <w:szCs w:val="32"/>
        </w:rPr>
        <w:t xml:space="preserve">  省人民政府价格主管部门和其他有定价权的主管部门以及经省人民政府授权的市、县人民政府应当对制定、调整的政府指导价、政府定价进行跟踪调查和评估，根据本办法第十六条所列定价依据和社会各方面反映，按照规定的定价权限和程序适时调整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第二十五条</w:t>
      </w:r>
      <w:r>
        <w:rPr>
          <w:rFonts w:hint="eastAsia" w:ascii="宋体" w:hAnsi="宋体" w:eastAsia="仿宋_GB2312" w:cs="仿宋_GB2312"/>
          <w:b w:val="0"/>
          <w:bCs/>
          <w:color w:val="000000"/>
          <w:sz w:val="32"/>
          <w:szCs w:val="32"/>
        </w:rPr>
        <w:t xml:space="preserve">  实行政府指导价、政府定价的商品或者服务，在一定时期内质量明显下降或者功能部分缺失的，政府价格主管部门和其他有定价权的管理部门应当及时采取临时降低价格措施，保证价格与质量相符。</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第二十六条</w:t>
      </w:r>
      <w:r>
        <w:rPr>
          <w:rFonts w:hint="eastAsia" w:ascii="宋体" w:hAnsi="宋体" w:eastAsia="仿宋_GB2312" w:cs="仿宋_GB2312"/>
          <w:b w:val="0"/>
          <w:bCs/>
          <w:color w:val="000000"/>
          <w:sz w:val="32"/>
          <w:szCs w:val="32"/>
        </w:rPr>
        <w:t xml:space="preserve">  对实行政府指导价、政府定价的服务项目，政府价格主管部门应当免费向经营者发放收费证明。收费证明包括收费项目、收费标准、收费批准依据、服务内容、服务质量标准等内容。</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经营者应当向政府价格主管部门领取收费证明，并将收费证明在经营场所或者缴费地点的显著位置公示，接受社会监督。</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第四章  价格调控</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第二十七条</w:t>
      </w:r>
      <w:r>
        <w:rPr>
          <w:rFonts w:hint="eastAsia" w:ascii="宋体" w:hAnsi="宋体" w:eastAsia="仿宋_GB2312" w:cs="仿宋_GB2312"/>
          <w:b w:val="0"/>
          <w:bCs/>
          <w:color w:val="000000"/>
          <w:sz w:val="32"/>
          <w:szCs w:val="32"/>
        </w:rPr>
        <w:t xml:space="preserve">  省人民政府应当根据本省经济社会发展需要和社会承受能力，确定市场价格总水平调控目标，综合运用价格、财政、投资等政策和措施予以实现。</w:t>
      </w:r>
    </w:p>
    <w:p>
      <w:pPr>
        <w:widowControl w:val="0"/>
        <w:wordWrap/>
        <w:overflowPunct w:val="0"/>
        <w:spacing w:beforeAutospacing="0" w:afterAutospacing="0" w:line="560" w:lineRule="exact"/>
        <w:ind w:firstLine="800" w:firstLineChars="25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县级以上人民政府应当积极采取措施稳定市场价格总水平和关系国计民生的重要商品价格或者服务价格，对价格监测反映的重大问题及时研究、分析，制定调控措施。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第二十八条</w:t>
      </w:r>
      <w:r>
        <w:rPr>
          <w:rFonts w:hint="eastAsia" w:ascii="宋体" w:hAnsi="宋体" w:eastAsia="仿宋_GB2312" w:cs="仿宋_GB2312"/>
          <w:b w:val="0"/>
          <w:bCs/>
          <w:color w:val="000000"/>
          <w:sz w:val="32"/>
          <w:szCs w:val="32"/>
        </w:rPr>
        <w:t xml:space="preserve">  县级以上人民政府应当建立、健全稳定价格应急机制，严格执行稳定价格应急预案。稳定价格应急预案由省人民政府价格主管部门会同有关主管部门制定，报省人民政府批准实施。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第二十九条</w:t>
      </w:r>
      <w:r>
        <w:rPr>
          <w:rFonts w:hint="eastAsia" w:ascii="宋体" w:hAnsi="宋体" w:eastAsia="仿宋_GB2312" w:cs="仿宋_GB2312"/>
          <w:b w:val="0"/>
          <w:bCs/>
          <w:color w:val="000000"/>
          <w:sz w:val="32"/>
          <w:szCs w:val="32"/>
        </w:rPr>
        <w:t xml:space="preserve">  当重要商品或者服务价格显著上涨或者有可能显著上涨，需要采取限定差价率或者利润率、规定限价、实行提价申报制度和调价备案制度等价格干预措施的，县级以上人民政府应当逐级上报省人民政府决定。紧急情况下，可直接上报省人民政府决定。省人民政府采取上述干预措施的，应当报国务院备案。</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第三十条</w:t>
      </w:r>
      <w:r>
        <w:rPr>
          <w:rFonts w:hint="eastAsia" w:ascii="宋体" w:hAnsi="宋体" w:eastAsia="仿宋_GB2312" w:cs="仿宋_GB2312"/>
          <w:b w:val="0"/>
          <w:bCs/>
          <w:color w:val="000000"/>
          <w:sz w:val="32"/>
          <w:szCs w:val="32"/>
        </w:rPr>
        <w:t xml:space="preserve">  当市场价格总水平出现剧烈波动等异常状态，需要在全省范围内或者部分区域内采取临时集中定价权限、部分或者全面冻结价格的紧急措施的，由省人民政府报国务院批准后实施。</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第三十一条</w:t>
      </w:r>
      <w:r>
        <w:rPr>
          <w:rFonts w:hint="eastAsia" w:ascii="宋体" w:hAnsi="宋体" w:eastAsia="仿宋_GB2312" w:cs="仿宋_GB2312"/>
          <w:b w:val="0"/>
          <w:bCs/>
          <w:color w:val="000000"/>
          <w:sz w:val="32"/>
          <w:szCs w:val="32"/>
        </w:rPr>
        <w:t xml:space="preserve">  县级以上人民政府价格主管部门应当依法做好商品价格和服务价格的跟踪、采集、分析、预测、预警等工作，定期向社会公布重要商品价格和服务价格变动情况。</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第三十二条</w:t>
      </w:r>
      <w:r>
        <w:rPr>
          <w:rFonts w:hint="eastAsia" w:ascii="宋体" w:hAnsi="宋体" w:eastAsia="仿宋_GB2312" w:cs="仿宋_GB2312"/>
          <w:b w:val="0"/>
          <w:bCs/>
          <w:color w:val="000000"/>
          <w:sz w:val="32"/>
          <w:szCs w:val="32"/>
        </w:rPr>
        <w:t xml:space="preserve">  省人民政府价格主管部门应当根据国家规定，制定本省价格监测目录和价格监测报告制度。</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第三十三条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县级以上人民政府价格主管部门应当根据价格监测报告制度，选定价格监测定点单位；根据临时监测或者应急监测需要，确定临时监测单位。</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价格监测定点单位和临时监测单位应当按照价格监测报告制度的规定报送价格监测资料，不得拒绝提供或者迟延提供，不得伪造、篡改、虚报、瞒报价格监测资料。</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第三十四条</w:t>
      </w:r>
      <w:r>
        <w:rPr>
          <w:rFonts w:hint="eastAsia" w:ascii="宋体" w:hAnsi="宋体" w:eastAsia="仿宋_GB2312" w:cs="仿宋_GB2312"/>
          <w:b w:val="0"/>
          <w:bCs/>
          <w:color w:val="000000"/>
          <w:sz w:val="32"/>
          <w:szCs w:val="32"/>
        </w:rPr>
        <w:t xml:space="preserve">  县级以上人民政府可以依法设立价格调节基金，调控价格，稳定市场。</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价格调节基金适用于以下情形：</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对因执行政府依法采取的价格干预措施、紧急措施而受到经济损失的经营者给予适当价格补偿；</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为平抑基本生活必需品价格的异常波动而给予经营者适当价格补贴、贷款贴息等价格扶持；</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对因基本生活必需品价格大幅度上涨而影响基本生活的低收入群体给予临时价格补贴；</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经省、地级以上市人民政府批准的其他用途。</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价格调节基金征收、使用、管理的具体办法，由省人民政府自本办法实施之日起一年内制定。</w:t>
      </w:r>
    </w:p>
    <w:p>
      <w:pPr>
        <w:widowControl w:val="0"/>
        <w:wordWrap/>
        <w:overflowPunct w:val="0"/>
        <w:spacing w:beforeAutospacing="0" w:afterAutospacing="0" w:line="560" w:lineRule="exact"/>
        <w:ind w:firstLine="63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第三十五条</w:t>
      </w:r>
      <w:r>
        <w:rPr>
          <w:rFonts w:hint="eastAsia" w:ascii="宋体" w:hAnsi="宋体" w:eastAsia="仿宋_GB2312" w:cs="仿宋_GB2312"/>
          <w:b w:val="0"/>
          <w:bCs/>
          <w:color w:val="000000"/>
          <w:sz w:val="32"/>
          <w:szCs w:val="32"/>
        </w:rPr>
        <w:t xml:space="preserve">  县级以上人民政府可以建立重要商品储备制度，保障重要商品的供应，调控价格，稳定市场。</w:t>
      </w:r>
    </w:p>
    <w:p>
      <w:pPr>
        <w:widowControl w:val="0"/>
        <w:wordWrap/>
        <w:overflowPunct w:val="0"/>
        <w:spacing w:beforeAutospacing="0" w:afterAutospacing="0" w:line="560" w:lineRule="exact"/>
        <w:ind w:firstLine="63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重要商品储备的具体品种和数量，按照国家和省的有关规定确定。</w:t>
      </w:r>
    </w:p>
    <w:p>
      <w:pPr>
        <w:widowControl w:val="0"/>
        <w:wordWrap/>
        <w:overflowPunct w:val="0"/>
        <w:spacing w:beforeAutospacing="0" w:afterAutospacing="0" w:line="560" w:lineRule="exact"/>
        <w:ind w:firstLine="63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需要动用重要商品储备的，由县级以上人民政府有关部门提出储备商品动用安排方案并按照国家和省的有关规定确定。</w:t>
      </w:r>
    </w:p>
    <w:p>
      <w:pPr>
        <w:widowControl w:val="0"/>
        <w:wordWrap/>
        <w:overflowPunct w:val="0"/>
        <w:spacing w:beforeAutospacing="0" w:afterAutospacing="0" w:line="560" w:lineRule="exact"/>
        <w:ind w:firstLine="63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第五章  价格服务</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 xml:space="preserve">第三十六条 </w:t>
      </w:r>
      <w:r>
        <w:rPr>
          <w:rFonts w:hint="eastAsia" w:ascii="宋体" w:hAnsi="宋体" w:eastAsia="仿宋_GB2312" w:cs="仿宋_GB2312"/>
          <w:b w:val="0"/>
          <w:bCs/>
          <w:color w:val="000000"/>
          <w:sz w:val="32"/>
          <w:szCs w:val="32"/>
        </w:rPr>
        <w:t xml:space="preserve"> 县级以上人民政府价格主管部门应当建立、健全价格服务制度，提供优质、便捷、高效的价格服务。</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县级以上人民政府价格主管部门应当逐步建立经营者价格诚信档案，免费向社会公众提供经营者诚信资料查询，引导经营者诚信自律。</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县级以上人民政府价格主管部门应当建立、健全重大价格政策新闻发布制度，及时向社会公众通报价格政策的重大调整。</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第三十七条</w:t>
      </w:r>
      <w:r>
        <w:rPr>
          <w:rFonts w:hint="eastAsia" w:ascii="宋体" w:hAnsi="宋体" w:eastAsia="仿宋_GB2312" w:cs="仿宋_GB2312"/>
          <w:b w:val="0"/>
          <w:bCs/>
          <w:color w:val="000000"/>
          <w:sz w:val="32"/>
          <w:szCs w:val="32"/>
        </w:rPr>
        <w:t xml:space="preserve">  县级以上人民政府价格主管部门应当逐步建立价格信息化系统，及时公布定价目录、听证目录、成本监审目录等重要价格管理依据，并公示政府指导价、政府定价的项目、标准、依据等，发布本地区重要商品和服务的价格信息，引导生产、流通和消费，向社会提供价格政策咨询。</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第三十八条</w:t>
      </w:r>
      <w:r>
        <w:rPr>
          <w:rFonts w:hint="eastAsia" w:ascii="宋体" w:hAnsi="宋体" w:eastAsia="仿宋_GB2312" w:cs="仿宋_GB2312"/>
          <w:b w:val="0"/>
          <w:bCs/>
          <w:color w:val="000000"/>
          <w:sz w:val="32"/>
          <w:szCs w:val="32"/>
        </w:rPr>
        <w:t xml:space="preserve">  县级以上人民政府价格主管部门负有对本地区的价格争议进行协调处理的责任，发挥在处理消费者、经营者、行业组织之间发生价格争议时的调解作用。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第三十九条</w:t>
      </w:r>
      <w:r>
        <w:rPr>
          <w:rFonts w:hint="eastAsia" w:ascii="宋体" w:hAnsi="宋体" w:eastAsia="仿宋_GB2312" w:cs="仿宋_GB2312"/>
          <w:b w:val="0"/>
          <w:bCs/>
          <w:color w:val="000000"/>
          <w:sz w:val="32"/>
          <w:szCs w:val="32"/>
        </w:rPr>
        <w:t xml:space="preserve">  县级以上人民政府价格主管部门的价格鉴证机构接受司法机关、行政执法机关的委托，对刑事案件、行政执法案件所涉及的价格不明或者价格难以确定的有形财产和无形财产的价格进行鉴证。</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价格鉴证机构应当按照国家和省规定的计价标准、程序和方法进行涉案财产</w:t>
      </w:r>
      <w:r>
        <w:rPr>
          <w:rFonts w:hint="eastAsia" w:ascii="宋体" w:hAnsi="宋体" w:eastAsia="仿宋_GB2312" w:cs="仿宋_GB2312"/>
          <w:b w:val="0"/>
          <w:bCs/>
          <w:iCs/>
          <w:color w:val="000000"/>
          <w:sz w:val="32"/>
          <w:szCs w:val="32"/>
        </w:rPr>
        <w:t>价格鉴证</w:t>
      </w:r>
      <w:r>
        <w:rPr>
          <w:rFonts w:hint="eastAsia" w:ascii="宋体" w:hAnsi="宋体" w:eastAsia="仿宋_GB2312" w:cs="仿宋_GB2312"/>
          <w:b w:val="0"/>
          <w:bCs/>
          <w:color w:val="000000"/>
          <w:sz w:val="32"/>
          <w:szCs w:val="32"/>
        </w:rPr>
        <w:t>，除国家另有规定外，不得收取任何鉴证费用。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第四十条</w:t>
      </w:r>
      <w:r>
        <w:rPr>
          <w:rFonts w:hint="eastAsia" w:ascii="宋体" w:hAnsi="宋体" w:eastAsia="仿宋_GB2312" w:cs="仿宋_GB2312"/>
          <w:b w:val="0"/>
          <w:bCs/>
          <w:color w:val="000000"/>
          <w:sz w:val="32"/>
          <w:szCs w:val="32"/>
        </w:rPr>
        <w:t xml:space="preserve">  委托机关依法向原价格鉴证机构提出重新鉴证或者向上级人民政府价格主管部门的价格鉴证机构提出复核鉴证的，接受重新鉴证或者复核鉴证的价格鉴证机构，应当自接受委托之日起七个工作日内向委托机关提交鉴证结论。价格鉴证机构与委托机关另有约定的除外。</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第六章  价格监督检查</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第四十一条</w:t>
      </w:r>
      <w:r>
        <w:rPr>
          <w:rFonts w:hint="eastAsia" w:ascii="宋体" w:hAnsi="宋体" w:eastAsia="仿宋_GB2312" w:cs="仿宋_GB2312"/>
          <w:b w:val="0"/>
          <w:bCs/>
          <w:color w:val="000000"/>
          <w:sz w:val="32"/>
          <w:szCs w:val="32"/>
        </w:rPr>
        <w:t xml:space="preserve">  县级以上人民政府价格主管部门依法对价格活动进行监督检查，有权询问当事人或者有关人员，查询、复制与价格违法行为有关的账簿、单据、凭证、文件、计算机储存信息等资料。有关当事人应当如实反映情况，提供有关资料。任何单位和个人不得拒绝、妨碍和干扰行政执法活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第四十二条</w:t>
      </w:r>
      <w:r>
        <w:rPr>
          <w:rFonts w:hint="eastAsia" w:ascii="宋体" w:hAnsi="宋体" w:eastAsia="仿宋_GB2312" w:cs="仿宋_GB2312"/>
          <w:b w:val="0"/>
          <w:bCs/>
          <w:color w:val="000000"/>
          <w:sz w:val="32"/>
          <w:szCs w:val="32"/>
        </w:rPr>
        <w:t xml:space="preserve">  县级以上人民政府价格主管部门及其工作人员不得将依法取得的资料或者了解的情况用于价格监督管理以外的任何其他目的，不得泄露当事人的商业秘密。</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第四十三条</w:t>
      </w:r>
      <w:r>
        <w:rPr>
          <w:rFonts w:hint="eastAsia" w:ascii="宋体" w:hAnsi="宋体" w:eastAsia="仿宋_GB2312" w:cs="仿宋_GB2312"/>
          <w:b w:val="0"/>
          <w:bCs/>
          <w:color w:val="000000"/>
          <w:sz w:val="32"/>
          <w:szCs w:val="32"/>
        </w:rPr>
        <w:t xml:space="preserve">  有下列情形之一的，政府价格主管部门可以对相关经营者、行业协会，采取公告、会议、书面、约谈等方式给予提醒告诫：</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重要商品和服务价格显著上涨或者有可能显著上涨时；</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市场价格总水平出现剧烈波动等异常状态时；</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出现社会集中反映强烈的价格、收费问题时；</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节假日或者重大活动期间。</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对经提醒告诫仍未规范价格行为，并违反价格法律法规的，价格主管部门可以依法查处，从重处罚。</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第四十四条</w:t>
      </w:r>
      <w:r>
        <w:rPr>
          <w:rFonts w:hint="eastAsia" w:ascii="宋体" w:hAnsi="宋体" w:eastAsia="仿宋_GB2312" w:cs="仿宋_GB2312"/>
          <w:b w:val="0"/>
          <w:bCs/>
          <w:color w:val="000000"/>
          <w:sz w:val="32"/>
          <w:szCs w:val="32"/>
        </w:rPr>
        <w:t xml:space="preserve">  县级以上人民政府价格主管部门应当建立对价格违法行为的价格举报制度，充分发挥群众、社会组织和新闻舆论的价格监督作用。</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对损害消费者、经营者合法权益和社会公共利益的价格行为，任何单位和个人均有权向县级以上人民政府价格主管部门进行检举和控告，接受举报的价格主管部门应当进行登记和回复。</w:t>
      </w:r>
    </w:p>
    <w:p>
      <w:pPr>
        <w:widowControl w:val="0"/>
        <w:wordWrap/>
        <w:overflowPunct w:val="0"/>
        <w:spacing w:beforeAutospacing="0" w:afterAutospacing="0" w:line="560" w:lineRule="exact"/>
        <w:textAlignment w:val="auto"/>
        <w:rPr>
          <w:rFonts w:hint="eastAsia" w:ascii="宋体" w:hAnsi="宋体" w:eastAsia="宋体" w:cs="宋体"/>
          <w:b w:val="0"/>
          <w:bCs/>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第七章  法律责任</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17" w:firstLineChars="193"/>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第四十五条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经营者违反本办法第六条规定的，由县级以上人民政府价格主管部门责令改正，没收违法所得，可以并处五千元以下的罚款。</w:t>
      </w:r>
    </w:p>
    <w:p>
      <w:pPr>
        <w:widowControl w:val="0"/>
        <w:wordWrap/>
        <w:overflowPunct w:val="0"/>
        <w:spacing w:beforeAutospacing="0" w:afterAutospacing="0" w:line="560" w:lineRule="exact"/>
        <w:ind w:firstLine="617" w:firstLineChars="193"/>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第四十六条</w:t>
      </w:r>
      <w:r>
        <w:rPr>
          <w:rFonts w:hint="eastAsia" w:ascii="宋体" w:hAnsi="宋体" w:eastAsia="仿宋_GB2312" w:cs="仿宋_GB2312"/>
          <w:b w:val="0"/>
          <w:bCs w:val="0"/>
          <w:sz w:val="32"/>
          <w:szCs w:val="32"/>
        </w:rPr>
        <w:t xml:space="preserve">  </w:t>
      </w:r>
      <w:r>
        <w:rPr>
          <w:rFonts w:hint="eastAsia" w:ascii="宋体" w:hAnsi="宋体" w:eastAsia="仿宋_GB2312" w:cs="仿宋_GB2312"/>
          <w:b w:val="0"/>
          <w:bCs/>
          <w:color w:val="000000"/>
          <w:sz w:val="32"/>
          <w:szCs w:val="32"/>
        </w:rPr>
        <w:t>经营者违反本办法第七条、第八条、第九条、第十条、第十一条规定的，由县级以上人民政府价格主管部门责令改正，没收违法所得，可以并处违法所得五倍以下的罚款；没有违法所得的，按照下列规定处以罚款；情节严重的，责令停业整顿，或者由工商行政管理机关吊销营业执照：</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违反本办法第七条、第八条规定的，处十万元以上一百万元以下的罚款；</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 xml:space="preserve">违反本办法第九条、第十条规定的，处五万元以上五十万元以下的罚款； </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违反本办法第十一条规定的，处二万元以上二十万元以下的罚款。</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 xml:space="preserve">第四十七条 </w:t>
      </w:r>
      <w:r>
        <w:rPr>
          <w:rFonts w:hint="eastAsia" w:ascii="宋体" w:hAnsi="宋体" w:eastAsia="仿宋_GB2312" w:cs="仿宋_GB2312"/>
          <w:b w:val="0"/>
          <w:bCs/>
          <w:color w:val="000000"/>
          <w:sz w:val="32"/>
          <w:szCs w:val="32"/>
        </w:rPr>
        <w:t xml:space="preserve"> 经营者违反本办法第二十条、第三十三条第二款规定，有下列行为之一的，由县级以上人民政府价格主管部门按照下列规定予以处罚：</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拒绝提供或者迟延提供有关资料的，责令其限期改正，给予警告，逾期不改正的，可以根据情节轻重，处二千元以上一万元以下罚款；</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伪造、篡改、虚报、瞒报有关资料的，处一万元以上五万元以下罚款。</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第四十八条</w:t>
      </w:r>
      <w:r>
        <w:rPr>
          <w:rFonts w:hint="eastAsia" w:ascii="宋体" w:hAnsi="宋体" w:eastAsia="仿宋_GB2312" w:cs="仿宋_GB2312"/>
          <w:b w:val="0"/>
          <w:bCs/>
          <w:color w:val="000000"/>
          <w:sz w:val="32"/>
          <w:szCs w:val="32"/>
        </w:rPr>
        <w:t xml:space="preserve">  行业组织违反本办法第十三条规定的，县级以上人民政府价格主管部门可以处十万元以上五十万元以下的罚款，情节严重的，社会团体登记管理机关可以依法撤销登记。</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第四十九条</w:t>
      </w:r>
      <w:r>
        <w:rPr>
          <w:rFonts w:hint="eastAsia" w:ascii="宋体" w:hAnsi="宋体" w:eastAsia="仿宋_GB2312" w:cs="仿宋_GB2312"/>
          <w:b w:val="0"/>
          <w:bCs/>
          <w:color w:val="000000"/>
          <w:sz w:val="32"/>
          <w:szCs w:val="32"/>
        </w:rPr>
        <w:t xml:space="preserve">  各级政府及其主管部门有下列行为之一的，由上级机关责令改正，并可以通报批评；对直接负责的主管人员和其他直接责任人员依法给予处分；构成犯罪的，依法追究刑事责任：</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（一）</w:t>
      </w:r>
      <w:r>
        <w:rPr>
          <w:rFonts w:hint="eastAsia" w:ascii="宋体" w:hAnsi="宋体" w:eastAsia="仿宋_GB2312" w:cs="仿宋_GB2312"/>
          <w:b w:val="0"/>
          <w:bCs/>
          <w:color w:val="000000"/>
          <w:sz w:val="32"/>
          <w:szCs w:val="32"/>
        </w:rPr>
        <w:t>超越定价权限和范围擅自制定、调整价格的；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（二）</w:t>
      </w:r>
      <w:r>
        <w:rPr>
          <w:rFonts w:hint="eastAsia" w:ascii="宋体" w:hAnsi="宋体" w:eastAsia="仿宋_GB2312" w:cs="仿宋_GB2312"/>
          <w:b w:val="0"/>
          <w:bCs/>
          <w:color w:val="000000"/>
          <w:sz w:val="32"/>
          <w:szCs w:val="32"/>
        </w:rPr>
        <w:t>违反定价程序制定、调整价格的；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（三）</w:t>
      </w:r>
      <w:r>
        <w:rPr>
          <w:rFonts w:hint="eastAsia" w:ascii="宋体" w:hAnsi="宋体" w:eastAsia="仿宋_GB2312" w:cs="仿宋_GB2312"/>
          <w:b w:val="0"/>
          <w:bCs/>
          <w:color w:val="000000"/>
          <w:sz w:val="32"/>
          <w:szCs w:val="32"/>
        </w:rPr>
        <w:t>不执行法定的价格干预措施、紧急措施的；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（四）</w:t>
      </w:r>
      <w:r>
        <w:rPr>
          <w:rFonts w:hint="eastAsia" w:ascii="宋体" w:hAnsi="宋体" w:eastAsia="仿宋_GB2312" w:cs="仿宋_GB2312"/>
          <w:b w:val="0"/>
          <w:bCs/>
          <w:color w:val="000000"/>
          <w:sz w:val="32"/>
          <w:szCs w:val="32"/>
        </w:rPr>
        <w:t>不按规定进行价格监测的；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（五）</w:t>
      </w:r>
      <w:r>
        <w:rPr>
          <w:rFonts w:hint="eastAsia" w:ascii="宋体" w:hAnsi="宋体" w:eastAsia="仿宋_GB2312" w:cs="仿宋_GB2312"/>
          <w:b w:val="0"/>
          <w:bCs/>
          <w:color w:val="000000"/>
          <w:sz w:val="32"/>
          <w:szCs w:val="32"/>
        </w:rPr>
        <w:t>泄露国家秘密和当事人的商业秘密的；</w:t>
      </w:r>
    </w:p>
    <w:p>
      <w:pPr>
        <w:widowControl w:val="0"/>
        <w:wordWrap/>
        <w:overflowPunct w:val="0"/>
        <w:spacing w:beforeAutospacing="0" w:afterAutospacing="0" w:line="560" w:lineRule="exact"/>
        <w:textAlignment w:val="auto"/>
        <w:rPr>
          <w:rFonts w:hint="eastAsia" w:ascii="宋体" w:hAnsi="宋体" w:eastAsia="仿宋_GB2312" w:cs="仿宋_GB2312"/>
          <w:b w:val="0"/>
          <w:bCs/>
          <w:color w:val="000000"/>
          <w:sz w:val="32"/>
          <w:szCs w:val="32"/>
        </w:rPr>
      </w:pPr>
      <w:r>
        <w:rPr>
          <w:rFonts w:hint="eastAsia" w:ascii="宋体" w:hAnsi="宋体" w:cs="仿宋_GB2312"/>
          <w:b w:val="0"/>
          <w:bCs/>
          <w:color w:val="000000"/>
          <w:sz w:val="32"/>
          <w:szCs w:val="32"/>
          <w:lang w:val="en-US" w:eastAsia="zh-CN"/>
        </w:rPr>
        <w:t xml:space="preserve">    （六）</w:t>
      </w:r>
      <w:r>
        <w:rPr>
          <w:rFonts w:hint="eastAsia" w:ascii="宋体" w:hAnsi="宋体" w:eastAsia="仿宋_GB2312" w:cs="仿宋_GB2312"/>
          <w:b w:val="0"/>
          <w:bCs/>
          <w:color w:val="000000"/>
          <w:sz w:val="32"/>
          <w:szCs w:val="32"/>
        </w:rPr>
        <w:t>其他不依法履行监督管理职责的。</w:t>
      </w:r>
    </w:p>
    <w:p>
      <w:pPr>
        <w:widowControl w:val="0"/>
        <w:wordWrap/>
        <w:overflowPunct w:val="0"/>
        <w:spacing w:beforeAutospacing="0" w:afterAutospacing="0" w:line="560" w:lineRule="exact"/>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jc w:val="center"/>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第八章  附则</w:t>
      </w:r>
    </w:p>
    <w:p>
      <w:pPr>
        <w:widowControl w:val="0"/>
        <w:wordWrap/>
        <w:overflowPunct w:val="0"/>
        <w:spacing w:beforeAutospacing="0" w:afterAutospacing="0" w:line="560" w:lineRule="exact"/>
        <w:ind w:firstLine="640" w:firstLineChars="200"/>
        <w:textAlignment w:val="auto"/>
        <w:rPr>
          <w:rFonts w:hint="eastAsia" w:ascii="宋体" w:hAnsi="宋体" w:eastAsia="宋体" w:cs="宋体"/>
          <w:b w:val="0"/>
          <w:bCs/>
          <w:color w:val="000000"/>
          <w:sz w:val="32"/>
          <w:szCs w:val="32"/>
        </w:rPr>
      </w:pP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第五十条</w:t>
      </w:r>
      <w:r>
        <w:rPr>
          <w:rFonts w:hint="eastAsia" w:ascii="宋体" w:hAnsi="宋体" w:eastAsia="仿宋_GB2312" w:cs="仿宋_GB2312"/>
          <w:b w:val="0"/>
          <w:bCs/>
          <w:color w:val="000000"/>
          <w:sz w:val="32"/>
          <w:szCs w:val="32"/>
        </w:rPr>
        <w:t xml:space="preserve">  本办法所称政府指导价，是指政府价格主管部门或者其他有关主管部门按照定价权限和范围，规定基准价、浮动幅度(含最高限价、最低限价，以及差价率、利润率），依法指导经营者制定的价格。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本办法所称政府定价，是指政府价格主管部门或者其他有关主管部门按照定价权限和范围，依法制定的价格。</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仿宋_GB2312" w:cs="仿宋_GB2312"/>
          <w:b w:val="0"/>
          <w:bCs/>
          <w:color w:val="000000"/>
          <w:sz w:val="32"/>
          <w:szCs w:val="32"/>
        </w:rPr>
        <w:t>本办法所称定价成本监审，是指制定政府指导价、政府定价过程中，政府价格主管部门在调查、核算、审核经营者成本基础上，核定定价成本的行为。</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第五十一条</w:t>
      </w:r>
      <w:r>
        <w:rPr>
          <w:rFonts w:hint="eastAsia" w:ascii="宋体" w:hAnsi="宋体" w:eastAsia="仿宋_GB2312" w:cs="仿宋_GB2312"/>
          <w:b w:val="0"/>
          <w:bCs/>
          <w:color w:val="000000"/>
          <w:sz w:val="32"/>
          <w:szCs w:val="32"/>
        </w:rPr>
        <w:t xml:space="preserve">  行政事业性收费适用其他有关法律、法规和《广东省行政事业性收费管理条例》。</w:t>
      </w:r>
    </w:p>
    <w:p>
      <w:pPr>
        <w:widowControl w:val="0"/>
        <w:wordWrap/>
        <w:overflowPunct w:val="0"/>
        <w:spacing w:beforeAutospacing="0" w:afterAutospacing="0" w:line="560" w:lineRule="exact"/>
        <w:ind w:firstLine="640" w:firstLineChars="200"/>
        <w:textAlignment w:val="auto"/>
        <w:rPr>
          <w:rFonts w:hint="eastAsia" w:ascii="宋体" w:hAnsi="宋体" w:eastAsia="仿宋_GB2312" w:cs="仿宋_GB2312"/>
          <w:b w:val="0"/>
          <w:bCs/>
          <w:color w:val="000000"/>
          <w:sz w:val="32"/>
          <w:szCs w:val="32"/>
        </w:rPr>
      </w:pPr>
      <w:r>
        <w:rPr>
          <w:rFonts w:hint="eastAsia" w:ascii="宋体" w:hAnsi="宋体" w:eastAsia="黑体" w:cs="黑体"/>
          <w:b w:val="0"/>
          <w:bCs/>
          <w:color w:val="000000"/>
          <w:sz w:val="32"/>
          <w:szCs w:val="32"/>
        </w:rPr>
        <w:t>第五十二条</w:t>
      </w:r>
      <w:r>
        <w:rPr>
          <w:rFonts w:hint="eastAsia" w:ascii="宋体" w:hAnsi="宋体" w:eastAsia="仿宋_GB2312" w:cs="仿宋_GB2312"/>
          <w:b w:val="0"/>
          <w:bCs/>
          <w:color w:val="000000"/>
          <w:sz w:val="32"/>
          <w:szCs w:val="32"/>
        </w:rPr>
        <w:t xml:space="preserve">  本办法自2008年7月1日起施行。</w:t>
      </w:r>
    </w:p>
    <w:p>
      <w:pPr>
        <w:pStyle w:val="35"/>
        <w:widowControl w:val="0"/>
        <w:wordWrap/>
        <w:overflowPunct w:val="0"/>
        <w:adjustRightInd w:val="0"/>
        <w:snapToGrid w:val="0"/>
        <w:spacing w:beforeAutospacing="0" w:afterAutospacing="0" w:line="560" w:lineRule="exact"/>
        <w:ind w:left="0" w:leftChars="0" w:firstLine="707" w:firstLineChars="221"/>
        <w:textAlignment w:val="auto"/>
        <w:rPr>
          <w:rFonts w:hint="eastAsia" w:ascii="宋体" w:hAnsi="宋体" w:eastAsia="楷体_GB2312"/>
          <w:b w:val="0"/>
          <w:bCs/>
          <w:sz w:val="32"/>
          <w:szCs w:val="32"/>
        </w:rPr>
      </w:pPr>
    </w:p>
    <w:p>
      <w:pPr>
        <w:pStyle w:val="35"/>
        <w:widowControl w:val="0"/>
        <w:wordWrap/>
        <w:overflowPunct w:val="0"/>
        <w:adjustRightInd w:val="0"/>
        <w:snapToGrid w:val="0"/>
        <w:spacing w:beforeAutospacing="0" w:afterAutospacing="0" w:line="560" w:lineRule="exact"/>
        <w:ind w:left="0" w:leftChars="0"/>
        <w:jc w:val="both"/>
        <w:textAlignment w:val="auto"/>
        <w:outlineLvl w:val="9"/>
        <w:rPr>
          <w:rFonts w:hint="eastAsia" w:ascii="宋体" w:hAnsi="宋体" w:eastAsia="宋体" w:cs="宋体"/>
          <w:bCs/>
          <w:color w:val="000000"/>
          <w:sz w:val="32"/>
          <w:szCs w:val="32"/>
        </w:rPr>
      </w:pPr>
    </w:p>
    <w:p>
      <w:pPr>
        <w:pStyle w:val="35"/>
        <w:widowControl w:val="0"/>
        <w:wordWrap/>
        <w:overflowPunct w:val="0"/>
        <w:adjustRightInd w:val="0"/>
        <w:snapToGrid w:val="0"/>
        <w:spacing w:beforeAutospacing="0" w:afterAutospacing="0" w:line="560" w:lineRule="exact"/>
        <w:ind w:left="0" w:leftChars="0"/>
        <w:jc w:val="center"/>
        <w:textAlignment w:val="auto"/>
        <w:outlineLvl w:val="9"/>
        <w:rPr>
          <w:rFonts w:hint="eastAsia" w:ascii="宋体" w:hAnsi="宋体" w:eastAsia="宋体" w:cs="宋体"/>
          <w:bCs/>
          <w:color w:val="000000"/>
          <w:sz w:val="32"/>
          <w:szCs w:val="32"/>
        </w:rPr>
      </w:pPr>
    </w:p>
    <w:p>
      <w:pPr>
        <w:pStyle w:val="35"/>
        <w:widowControl w:val="0"/>
        <w:wordWrap/>
        <w:overflowPunct w:val="0"/>
        <w:adjustRightInd w:val="0"/>
        <w:snapToGrid w:val="0"/>
        <w:spacing w:beforeAutospacing="0" w:afterAutospacing="0" w:line="560" w:lineRule="exact"/>
        <w:ind w:left="0" w:leftChars="0"/>
        <w:jc w:val="center"/>
        <w:textAlignment w:val="auto"/>
        <w:outlineLvl w:val="9"/>
        <w:rPr>
          <w:rFonts w:hint="eastAsia" w:ascii="宋体" w:hAnsi="宋体" w:eastAsia="宋体" w:cs="宋体"/>
          <w:bCs/>
          <w:color w:val="000000"/>
          <w:sz w:val="32"/>
          <w:szCs w:val="32"/>
        </w:rPr>
      </w:pPr>
      <w:r>
        <w:rPr>
          <w:rFonts w:hint="eastAsia" w:ascii="宋体" w:hAnsi="宋体" w:eastAsia="宋体" w:cs="宋体"/>
          <w:bCs/>
          <w:color w:val="000000"/>
          <w:sz w:val="32"/>
          <w:szCs w:val="32"/>
        </w:rPr>
        <w:br w:type="page"/>
      </w:r>
    </w:p>
    <w:p>
      <w:pPr>
        <w:pStyle w:val="37"/>
        <w:widowControl w:val="0"/>
        <w:wordWrap/>
        <w:overflowPunct w:val="0"/>
        <w:spacing w:before="0" w:beforeAutospacing="0" w:after="0" w:afterAutospacing="0" w:line="560" w:lineRule="exact"/>
        <w:jc w:val="center"/>
        <w:textAlignment w:val="auto"/>
        <w:outlineLvl w:val="0"/>
        <w:rPr>
          <w:rFonts w:hint="eastAsia" w:ascii="宋体" w:hAnsi="宋体" w:eastAsia="宋体" w:cs="宋体"/>
          <w:color w:val="000000"/>
          <w:sz w:val="44"/>
          <w:szCs w:val="44"/>
        </w:rPr>
      </w:pPr>
      <w:bookmarkStart w:id="478" w:name="_Toc25940"/>
      <w:r>
        <w:rPr>
          <w:rFonts w:hint="eastAsia" w:ascii="宋体" w:hAnsi="宋体" w:eastAsia="宋体" w:cs="宋体"/>
          <w:color w:val="000000"/>
          <w:sz w:val="44"/>
          <w:szCs w:val="44"/>
        </w:rPr>
        <w:t>广东省产品质量监督条例</w:t>
      </w:r>
      <w:bookmarkEnd w:id="478"/>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rPr>
      </w:pPr>
      <w:r>
        <w:rPr>
          <w:rFonts w:hint="eastAsia" w:ascii="楷体" w:hAnsi="楷体" w:eastAsia="楷体" w:cs="楷体"/>
          <w:b w:val="0"/>
          <w:bCs/>
          <w:sz w:val="32"/>
          <w:szCs w:val="32"/>
        </w:rPr>
        <w:t>（1993年11月16日广东省第八届人民代表大会常务委员会第五次会议通过</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根据1997年12月1日广东省第八届人民代表大会常务委员会第三十二次会议《关于修改〈广东省产品质量监督条例〉有关条文的决定》第一次修正</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根据2010年7月23日广东省第十一届人民代表大会常务委员会第二十次会议《关于修改部分地方性法规的决定》第二次修正</w:t>
      </w:r>
      <w:r>
        <w:rPr>
          <w:rFonts w:hint="eastAsia" w:ascii="楷体" w:hAnsi="楷体" w:eastAsia="楷体" w:cs="楷体"/>
          <w:b w:val="0"/>
          <w:bCs/>
          <w:sz w:val="32"/>
          <w:szCs w:val="32"/>
          <w:lang w:val="en-US" w:eastAsia="zh-CN"/>
        </w:rPr>
        <w:t xml:space="preserve">  </w:t>
      </w:r>
      <w:r>
        <w:rPr>
          <w:rFonts w:hint="eastAsia" w:ascii="楷体" w:hAnsi="楷体" w:eastAsia="楷体" w:cs="楷体"/>
          <w:b w:val="0"/>
          <w:bCs/>
          <w:sz w:val="32"/>
          <w:szCs w:val="32"/>
        </w:rPr>
        <w:t>根据2014年9月25日广东省第十二届人民代表大会常务委员会第十一次会议《关于修改〈广东省商品房预售管理条例〉等二十七项地方性法规的决定》第三次修正）</w:t>
      </w: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r>
        <w:rPr>
          <w:rFonts w:hint="eastAsia" w:ascii="宋体" w:hAnsi="宋体" w:eastAsia="楷体_GB2312"/>
          <w:bCs/>
          <w:sz w:val="32"/>
          <w:szCs w:val="32"/>
        </w:rPr>
        <w:t>目    录</w:t>
      </w:r>
    </w:p>
    <w:p>
      <w:pPr>
        <w:pStyle w:val="35"/>
        <w:widowControl w:val="0"/>
        <w:wordWrap/>
        <w:overflowPunct w:val="0"/>
        <w:adjustRightInd w:val="0"/>
        <w:snapToGrid w:val="0"/>
        <w:spacing w:beforeAutospacing="0" w:afterAutospacing="0" w:line="560" w:lineRule="exact"/>
        <w:ind w:left="0" w:leftChars="0" w:firstLine="642"/>
        <w:jc w:val="center"/>
        <w:textAlignment w:val="auto"/>
        <w:outlineLvl w:val="9"/>
        <w:rPr>
          <w:rFonts w:hint="eastAsia" w:ascii="宋体" w:hAnsi="宋体" w:eastAsia="宋体" w:cs="宋体"/>
          <w:bCs/>
          <w:sz w:val="32"/>
          <w:szCs w:val="32"/>
        </w:rPr>
      </w:pP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第一章  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第二章  责任和义务</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第三章  行政监督</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第四章  社会监督</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rPr>
      </w:pPr>
      <w:r>
        <w:rPr>
          <w:rFonts w:hint="eastAsia" w:ascii="宋体" w:hAnsi="宋体" w:eastAsia="楷体_GB2312"/>
          <w:bCs/>
          <w:sz w:val="32"/>
          <w:szCs w:val="32"/>
        </w:rPr>
        <w:t>第五章  法律责任</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楷体_GB2312"/>
          <w:bCs/>
          <w:sz w:val="32"/>
          <w:szCs w:val="32"/>
          <w:lang w:val="en-US" w:eastAsia="zh-CN"/>
        </w:rPr>
      </w:pPr>
      <w:r>
        <w:rPr>
          <w:rFonts w:hint="eastAsia" w:ascii="宋体" w:hAnsi="宋体" w:eastAsia="楷体_GB2312"/>
          <w:bCs/>
          <w:sz w:val="32"/>
          <w:szCs w:val="32"/>
          <w:lang w:val="en-US" w:eastAsia="zh-CN"/>
        </w:rPr>
        <w:t>第六章  附则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宋体" w:cs="宋体"/>
          <w:bCs/>
          <w:sz w:val="32"/>
          <w:szCs w:val="32"/>
          <w:lang w:val="en-US" w:eastAsia="zh-CN"/>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第一章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总则</w:t>
      </w:r>
    </w:p>
    <w:p>
      <w:pPr>
        <w:pStyle w:val="35"/>
        <w:widowControl w:val="0"/>
        <w:wordWrap/>
        <w:overflowPunct w:val="0"/>
        <w:adjustRightInd w:val="0"/>
        <w:snapToGrid w:val="0"/>
        <w:spacing w:beforeAutospacing="0" w:afterAutospacing="0" w:line="560" w:lineRule="exact"/>
        <w:ind w:left="0" w:leftChars="0" w:firstLine="640" w:firstLineChars="200"/>
        <w:textAlignment w:val="auto"/>
        <w:outlineLvl w:val="9"/>
        <w:rPr>
          <w:rFonts w:hint="eastAsia" w:ascii="宋体" w:hAnsi="宋体" w:eastAsia="宋体" w:cs="宋体"/>
          <w:bCs/>
          <w:sz w:val="32"/>
          <w:szCs w:val="32"/>
        </w:rPr>
      </w:pPr>
    </w:p>
    <w:p>
      <w:pPr>
        <w:widowControl w:val="0"/>
        <w:wordWrap/>
        <w:overflowPunct w:val="0"/>
        <w:adjustRightInd/>
        <w:snapToGrid/>
        <w:spacing w:beforeAutospacing="0" w:afterAutospacing="0" w:line="560" w:lineRule="exact"/>
        <w:ind w:right="0"/>
        <w:jc w:val="both"/>
        <w:textAlignment w:val="auto"/>
        <w:outlineLvl w:val="9"/>
        <w:rPr>
          <w:rFonts w:hint="eastAsia" w:ascii="宋体" w:hAnsi="宋体" w:eastAsia="仿宋_GB2312"/>
          <w:bCs/>
          <w:kern w:val="2"/>
          <w:sz w:val="32"/>
          <w:szCs w:val="32"/>
          <w:lang w:val="en-US" w:eastAsia="zh-CN" w:bidi="ar-SA"/>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bCs/>
          <w:kern w:val="2"/>
          <w:sz w:val="32"/>
          <w:szCs w:val="32"/>
          <w:lang w:val="en-US" w:eastAsia="zh-CN" w:bidi="ar-SA"/>
        </w:rPr>
        <w:t>为了加强对产品质量的监督，明确产品质量责任，保护用户、消费者的合法权益，维护社会经济秩序，根据《中华人民共和国产品质量法》等法律、法规，结合本省实际情况，制定本条例。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在本省行政区域内从事产品生产、销售活动，必须遵守本条例。</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本条例所称的产品，是指经过加工、制作并用于销售的产品。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建设工程不适用本条例规定。但用于建设工程中的建筑材料、装饰材料，以及在建筑物内使用的、能保持其原有特性和用途的产品适用本条例规定。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省人民政府技术监督管理部门负责组织、协调全省的产品质量监督工作；考核认可产品质量监督检验机构；调解、仲裁产品质量纠纷；查处重大产品质量违法案件。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市、县人民政府技术监督管理部门负责本行政区域内的产品质量监督工作；调解、仲裁产品质量纠纷；查处产品质量违法案件。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各级工商、卫生、医药、商检等行政管理部门和各行业主管部门应依照有关法律、法规的规定，在各自职责范围内相互配合，做好产品质量监督工作。</w:t>
      </w: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第二章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责任和义务</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生产者生产或销售者销售的产品，其质量、标识、包装必须符合《产品质量法》及有关法律、法规规定的要求。不得生产、销售假冒伪劣商品。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生产单位的质量检验机构及其质量检验人员或受企业委托代行出厂检验的质量检验机构及其质量检验人员应当对产品质量检验负责，不得为不合格产品签发合格证。</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产品的监制者应对被监制产品负责，保证产品质量符合规定的要求。</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销售单位的采购人员不得采购违反本条例第五条规定的产品，销售单位必须在进货时检查验收。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产品质量达不到规定标准，但仍有使用价值并符合安全、卫生要求的，必须在产品或其包装的明显部位标明“处理品”、“次品”或“等外品”字样，方可出厂或销售。</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失去使用价值的产品、影响人体健康和危及人身、财产安全的产品，不得销售，并应予以销毁。</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销售者销售的进口产品应符合《产品质量法》的相关规定。对关系人体健康和人身、财产安全的产品，应当附有中文说明书；限期使用的产品应当用中文或阿拉伯数字注明失效日期；用进口散件组装或分装的产品应在产品或其包装上用中文注明组装或分装厂的厂名、厂址。</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cs="仿宋_GB2312"/>
          <w:b w:val="0"/>
          <w:bCs/>
          <w:sz w:val="32"/>
          <w:szCs w:val="32"/>
          <w:lang w:val="en-US" w:eastAsia="zh-CN"/>
        </w:rPr>
        <w:t xml:space="preserve">    </w:t>
      </w:r>
      <w:r>
        <w:rPr>
          <w:rFonts w:hint="eastAsia" w:ascii="宋体" w:hAnsi="宋体" w:eastAsia="黑体" w:cs="黑体"/>
          <w:b w:val="0"/>
          <w:bCs/>
          <w:sz w:val="32"/>
          <w:szCs w:val="32"/>
        </w:rPr>
        <w:t>第十一条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以代销或联营等形式销售产品者，承担与本条例规定的销售者同样的产品质量责任和义务。</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场地或者设备的提供者不得纵容、庇护使用者生产、销售违反本条例第五条规定的产品，发现违法行为的，应当立即向主管部门或其他有关部门举报。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印制者承接印制注册商标标识、名优标志、认证标志或者含以上所列标识、标志的包装物和铭牌时，应当查验有关证明文件，并复印留存。委托人不能提供证明文件的，印制者不得承接印制。</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印制者不得将印制的前款所述标识、标志、包装物和铭牌提供给非委托人。</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广告经营者和报刊、广播电台、电视台应当按照法律、法规的有关规定，查验有关广告产品的质量证明，审查广告内容。不得代理、设计、制作、发布虚假广告。</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jc w:val="center"/>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第三章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行政监督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政府对产品质量的监督，实行以监督抽查为主要方式的监督检查制度，对重点产品同时实行定期监督检验制度。法律、法规对产品质量监督检查另有规定的，依照有关法律、法规的规定执行。</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监督抽查工作由省人民政府技术监督管理部门组织、协调。县级以上人民政府技术监督管理部门可在本行政区域内组织抽查。所需经费由同级财政拨款。</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各级人民政府有关主管部门组织的抽查，其计划应报同级人民政府技术监督管理部门协调。抽查所需经费在部门自有资金中开支。</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定期监督检验工作由各级人民政府技术监督管理部门组织实施。定期监督检验产品目录和检验周期由省人民政府技术监督管理部门会同省有关主管部门制定并予以公布。定期监督检验按国家规定收取检验费。</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第十八条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法定产品质量监督检验机构承担产品质量监督检验任务，应按照技术监督管理部门的有效文件或委托书的要求对产品进行抽样检验，抽样数量应符合标准或有效文件的规定。已抽取的样品在检验前应妥善保管，保持其质量的原有状况。</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第十九条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产品质量监督检验的依据是国家标准、行业标准、地方标准或经备案的企业标准（含转化成企业标准的国外标准）、经济合同中有关质量的条款和以产品说明、实物样品等方式表明的产品质量状况。</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承担监督检验任务的检验机构应按技术监督管理部门下达的有效文件或委托书规定的期限上报检验结果。下达监督检验任务的技术监督管理部门应在接到检验结果之日起七日内将结果通知被检者。</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被检者对检验结果有异议的，可在接到检验结果通知书之日起十五日内向下达监督检验任务的技术监督管理部门或其上一级技术监督管理部门申请复验。经复验证实原检验结果有误的，应即改正并免收复验的检验费；原检验结果正确的，应予维持并由申请复验者承担复验的检验费。</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产品质量监督抽查的结果应当公布。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对经检查证明产品有质量问题的生产者、销售者，根据情节轻重，依法予以处理。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对生产产品不合格的企业，责令限期整改并实行质量跟踪制度。整改后，须由企业报实施监督检查的技术监督管理部门对首批产品进行抽样检验，经检验合格后，产品方可出厂。</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各级工商行政管理部门在商标管理和市场管理中，负有对产品质量、标识、包装进行监督，查处假冒伪劣商品的职责。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各级工商行政管理部门应依照国家有关广告管理的规定，严格审查广告内容的真实性。</w:t>
      </w:r>
    </w:p>
    <w:p>
      <w:pPr>
        <w:widowControl w:val="0"/>
        <w:wordWrap/>
        <w:overflowPunct w:val="0"/>
        <w:adjustRightInd/>
        <w:snapToGrid/>
        <w:spacing w:beforeAutospacing="0" w:afterAutospacing="0" w:line="560" w:lineRule="exact"/>
        <w:ind w:left="0" w:leftChars="0" w:right="0" w:firstLine="480" w:firstLineChars="15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行政执法人员在进行产品质量监督时，应有两人以上参加，并出示行政执法证件和佩戴执法徽章，使用国家或本省统一的执法文书、罚没收据，严格按规定的程序执法。</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行政执法人员在进行产品质量监督时，有权行使下列职权：</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（一）查阅、复制有关的发票、账册、凭证、文件、业务函电和其他资料，用照相、录音、录像等手段取得所需的证明材料；</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（二）进入产品存放地和仓库检查产品；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（三）对有严重质量问题或有严重质量问题重大嫌疑的产品进行封存、扣押；</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（四）对违反产品标识规定等情节较轻的违法行为、罚款金额在五百元以下的，进行现场处罚。</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行政执法人员对当事人正当的技术秘密和商业秘密，应当保密。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 xml:space="preserve"> 第二十五条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对实施封存或扣押的产品，应在十五日内作出鉴定结论。因办案需要延长封存或扣押期限的，应在期满前向上一级技术监督管理部门申请批准，并通知被封存或扣押产品的单位。延长期限一般不得超过三十日。因案情复杂需再延长期限的，应报省人民政府技术监督管理部门审批。</w:t>
      </w:r>
    </w:p>
    <w:p>
      <w:pPr>
        <w:widowControl w:val="0"/>
        <w:wordWrap/>
        <w:overflowPunct w:val="0"/>
        <w:adjustRightInd/>
        <w:snapToGrid/>
        <w:spacing w:beforeAutospacing="0" w:afterAutospacing="0" w:line="560" w:lineRule="exact"/>
        <w:ind w:left="0" w:leftChars="0" w:right="0" w:firstLine="320" w:firstLineChars="10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 xml:space="preserve"> 第二十六条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行政执法人员进行现场处罚时应制作现场处罚决定书和作现场笔录。现场笔录应当记载当事人的基本情况、主要违法事实、处罚内容，并由行政执法人员和当事人或见证人签名。</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firstLine="480" w:firstLineChars="15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rPr>
        <w:t>第四章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社会监督</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用户、消费者就产品质量问题向产品的生产者、销售者查询时，生产者、销售者应在接到来信、来访之日起十五日内答复；用户、消费者因产品质量问题受到损害时，有权要求销售者或生产者按规定负责修理、更换、退货或者赔偿损失，交涉无效的，可向有关部门或用户、消费者组织申诉，或者依法向质量仲裁机构申请仲裁，也可以直接向人民法院起诉。</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第二十八条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任何单位和个人发现生产、销售假冒伪劣商品的，有权向有关部门举报。有关部门应当为举报人保密。对举报有功的单位和个人，有关部门应当予以奖励。</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第二十九条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各行业的同业组织负有对本行业产品质量进行监督的职责，督促企业依法生产、经营，保证产品质量。</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用户、消费者组织应依法对产品生产、销售进行监督，受理用户、消费者就产品质量问题的投诉，协同行政管理部门对产品质量进行监督检查。</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新闻单位应利用新闻工具揭露生产、销售假冒伪劣商品的违法行为，经常性地向用户、消费者介绍产品质量知识，宣传国家和省有关产品质量监督管理的法律、法规。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left="0" w:leftChars="0" w:right="0" w:firstLine="480" w:firstLineChars="150"/>
        <w:jc w:val="center"/>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rPr>
        <w:t>第五章</w:t>
      </w: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法律责任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在产品中掺杂、掺假，以假充真，以次充好，或者以不合格产品冒充合格产品的，责令停止生产或销售；没收违法所得，并处违法生产、销售产品货值金额百分之五十以上三倍以下的罚款，可以吊销营业执照；构成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伪造产品的产地或者伪造、冒用他人的厂名、厂址、认证标志、名优标志等质量标志的，责令公开改正，没收违法所得，并处违法生产、销售产品货值金额等值以下的罚款，情节严重的，吊销营业执照。</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第三十四条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产品标识不符合《产品质量法》相关规定的，责令改正；有包装的产品不符合《产品质量法》相关规定，情节严重的，可以责令停止生产或销售，并处违法生产、销售产品货值金额百分之三十以下的罚款。</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第三十五条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生产者、销售者不按国家有关规定负责产品的修理、更换、退货和赔偿的，责令限期改正；拒不改正的，责令赔偿损失，可处违法所得一倍以上五倍以下的罚款，没有违法所得的，处以一万元以下的罚款。</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第三十六条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广告经营者和报刊、广播电台、电视台违反本条例第十四条规定的，责令停止发布广告并公开更正，没收该广告的广告费收入，处以该广告费一倍以上五倍以下的罚款，情节严重的，吊销广告经营许可证。</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第三十七条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生产者、销售者擅自启封、转移、销毁或销售被封存的产品的，处以封存产品总值一倍以上五倍以下的罚款，并可对责任人处以一千元以上五千元以下的罚款；情节严重，扰乱公共秩序的，由公安机关依照《中华人民共和国治安管理处罚法》的相关规定处罚。</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第三十八条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本条例规定的吊销营业执照的行政处罚由工商行政管理部门决定，其他行政处罚由技术监督管理部门或者工</w:t>
      </w:r>
      <w:r>
        <w:rPr>
          <w:rFonts w:hint="eastAsia" w:ascii="宋体" w:hAnsi="宋体" w:eastAsia="仿宋_GB2312" w:cs="仿宋_GB2312"/>
          <w:b w:val="0"/>
          <w:bCs/>
          <w:spacing w:val="-6"/>
          <w:sz w:val="32"/>
          <w:szCs w:val="32"/>
        </w:rPr>
        <w:t>商行政管理部门按照国务院规定的职权范围决定。法律、法规对行使行政处罚权的机关另有规定的，依照有关法律、法规的规定执行。</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第三十九条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当事人对行政处罚决定不服的，可以依照《产品质量法》的相关规定申请复议或向人民法院起诉。当事人逾期不申请复议也不向人民法院起诉，又不履行处罚决定的，由作出处罚决定的机关责令其限期缴纳罚款，逾期每日按罚款数额的百分之三加处罚款，可按规定程序冻结其银行存款，并可申请人民法院强制执行。</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第四十条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产品质量监督抽样检验人员违反本条例第十八条规定的，由其所在单位给予行政处分；伪造检验数据或者伪造检验结论的，按照《产品质量法》的相关规定处理。</w:t>
      </w:r>
    </w:p>
    <w:p>
      <w:pPr>
        <w:widowControl w:val="0"/>
        <w:wordWrap/>
        <w:overflowPunct w:val="0"/>
        <w:adjustRightInd/>
        <w:snapToGrid/>
        <w:spacing w:beforeAutospacing="0" w:afterAutospacing="0" w:line="560" w:lineRule="exact"/>
        <w:ind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第四十一条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行政执法人员违反本条例第二十三条规定的，由其所在单位给予行政处分，并可由颁证机关收回行政执法证件和执法徽章。</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行政执法人员在封存、扣押产品时滥用职权，使生产者或销售者的合法权益受到损害的，由其所在单位承担赔偿责任并对责任人给予行政处分。</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eastAsia="黑体" w:cs="黑体"/>
          <w:b w:val="0"/>
          <w:bCs/>
          <w:sz w:val="32"/>
          <w:szCs w:val="32"/>
        </w:rPr>
        <w:t>第四十二条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国家工作人员有下列情况之一的，由其所在单位或者上级机关给予行政处分；构成犯罪的，依法追究刑事责任：</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（一）利用职权，包庇有本条例所列违法行为的单位或者个人的；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（二）负有追查责任的国家工作人员玩忽职守、徇私舞弊，对有本条例所列违法行为的单位或者个人，不履行法律规定的追究职责的；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（三）滥用职权、假公济私，对检举、揭发本条例所列违法行为的举报人实行报复陷害的；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（四）利用职权、职务，以说情等方式干扰和妨碍行政执法人员依照本条例执行公务的。</w:t>
      </w:r>
    </w:p>
    <w:p>
      <w:pPr>
        <w:widowControl w:val="0"/>
        <w:wordWrap/>
        <w:overflowPunct w:val="0"/>
        <w:adjustRightInd/>
        <w:snapToGrid/>
        <w:spacing w:beforeAutospacing="0" w:afterAutospacing="0" w:line="560" w:lineRule="exact"/>
        <w:ind w:left="0" w:leftChars="0" w:right="0"/>
        <w:textAlignment w:val="auto"/>
        <w:outlineLvl w:val="9"/>
        <w:rPr>
          <w:rFonts w:hint="eastAsia" w:ascii="宋体" w:hAnsi="宋体" w:eastAsia="宋体" w:cs="宋体"/>
          <w:b w:val="0"/>
          <w:bCs/>
          <w:sz w:val="32"/>
          <w:szCs w:val="32"/>
        </w:rPr>
      </w:pPr>
    </w:p>
    <w:p>
      <w:pPr>
        <w:widowControl w:val="0"/>
        <w:numPr>
          <w:ilvl w:val="0"/>
          <w:numId w:val="19"/>
        </w:numPr>
        <w:wordWrap/>
        <w:overflowPunct w:val="0"/>
        <w:adjustRightInd/>
        <w:snapToGrid/>
        <w:spacing w:beforeAutospacing="0" w:afterAutospacing="0" w:line="560" w:lineRule="exact"/>
        <w:ind w:left="0" w:leftChars="0" w:right="0" w:firstLine="480" w:firstLineChars="150"/>
        <w:jc w:val="center"/>
        <w:textAlignment w:val="auto"/>
        <w:outlineLvl w:val="9"/>
        <w:rPr>
          <w:rFonts w:hint="eastAsia" w:ascii="宋体" w:hAnsi="宋体" w:eastAsia="黑体" w:cs="黑体"/>
          <w:b w:val="0"/>
          <w:bCs/>
          <w:sz w:val="32"/>
          <w:szCs w:val="32"/>
        </w:rPr>
      </w:pPr>
      <w:r>
        <w:rPr>
          <w:rFonts w:hint="eastAsia" w:ascii="宋体" w:hAnsi="宋体" w:eastAsia="黑体" w:cs="黑体"/>
          <w:b w:val="0"/>
          <w:bCs/>
          <w:sz w:val="32"/>
          <w:szCs w:val="32"/>
          <w:lang w:val="en-US" w:eastAsia="zh-CN"/>
        </w:rPr>
        <w:t xml:space="preserve">  </w:t>
      </w:r>
      <w:r>
        <w:rPr>
          <w:rFonts w:hint="eastAsia" w:ascii="宋体" w:hAnsi="宋体" w:eastAsia="黑体" w:cs="黑体"/>
          <w:b w:val="0"/>
          <w:bCs/>
          <w:sz w:val="32"/>
          <w:szCs w:val="32"/>
        </w:rPr>
        <w:t>附则</w:t>
      </w:r>
    </w:p>
    <w:p>
      <w:pPr>
        <w:widowControl w:val="0"/>
        <w:numPr>
          <w:ilvl w:val="0"/>
          <w:numId w:val="0"/>
        </w:numPr>
        <w:wordWrap/>
        <w:overflowPunct w:val="0"/>
        <w:adjustRightInd/>
        <w:snapToGrid/>
        <w:spacing w:beforeAutospacing="0" w:afterAutospacing="0" w:line="560" w:lineRule="exact"/>
        <w:ind w:left="0" w:leftChars="0" w:right="0"/>
        <w:jc w:val="both"/>
        <w:textAlignment w:val="auto"/>
        <w:outlineLvl w:val="9"/>
        <w:rPr>
          <w:rFonts w:hint="eastAsia" w:ascii="宋体" w:hAnsi="宋体" w:eastAsia="宋体" w:cs="宋体"/>
          <w:b w:val="0"/>
          <w:bCs/>
          <w:sz w:val="32"/>
          <w:szCs w:val="32"/>
        </w:rPr>
      </w:pPr>
    </w:p>
    <w:p>
      <w:pPr>
        <w:pStyle w:val="37"/>
        <w:widowControl w:val="0"/>
        <w:wordWrap/>
        <w:overflowPunct w:val="0"/>
        <w:spacing w:before="0" w:beforeAutospacing="0" w:after="0" w:afterAutospacing="0" w:line="560" w:lineRule="exact"/>
        <w:jc w:val="center"/>
        <w:textAlignment w:val="auto"/>
        <w:outlineLvl w:val="9"/>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t xml:space="preserve">   </w:t>
      </w:r>
      <w:r>
        <w:rPr>
          <w:rFonts w:hint="eastAsia" w:ascii="宋体" w:hAnsi="宋体" w:cs="仿宋_GB2312"/>
          <w:b w:val="0"/>
          <w:bCs/>
          <w:sz w:val="32"/>
          <w:szCs w:val="32"/>
          <w:lang w:val="en-US" w:eastAsia="zh-CN"/>
        </w:rPr>
        <w:t xml:space="preserve"> </w:t>
      </w:r>
      <w:r>
        <w:rPr>
          <w:rFonts w:hint="eastAsia" w:ascii="宋体" w:hAnsi="宋体" w:eastAsia="黑体" w:cs="黑体"/>
          <w:b w:val="0"/>
          <w:bCs/>
          <w:sz w:val="32"/>
          <w:szCs w:val="32"/>
        </w:rPr>
        <w:t>第四十三条</w:t>
      </w:r>
      <w:r>
        <w:rPr>
          <w:rFonts w:hint="eastAsia" w:ascii="宋体" w:hAnsi="宋体" w:eastAsia="仿宋_GB2312" w:cs="仿宋_GB2312"/>
          <w:b w:val="0"/>
          <w:bCs w:val="0"/>
          <w:color w:val="000000"/>
          <w:kern w:val="0"/>
          <w:sz w:val="32"/>
          <w:szCs w:val="32"/>
          <w:lang w:val="en-US" w:eastAsia="zh-CN"/>
        </w:rPr>
        <w:t xml:space="preserve">  </w:t>
      </w:r>
      <w:r>
        <w:rPr>
          <w:rFonts w:hint="eastAsia" w:ascii="宋体" w:hAnsi="宋体" w:eastAsia="仿宋_GB2312" w:cs="仿宋_GB2312"/>
          <w:b w:val="0"/>
          <w:bCs/>
          <w:sz w:val="32"/>
          <w:szCs w:val="32"/>
        </w:rPr>
        <w:t>本条例自颁布之日起施行。</w:t>
      </w:r>
    </w:p>
    <w:p>
      <w:pPr>
        <w:wordWrap/>
        <w:spacing w:line="560" w:lineRule="exact"/>
        <w:textAlignment w:val="auto"/>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br w:type="page"/>
      </w:r>
    </w:p>
    <w:p>
      <w:pPr>
        <w:widowControl w:val="0"/>
        <w:wordWrap/>
        <w:adjustRightInd/>
        <w:snapToGrid/>
        <w:spacing w:line="590" w:lineRule="exact"/>
        <w:ind w:left="0" w:leftChars="0" w:right="0" w:firstLine="0" w:firstLineChars="0"/>
        <w:jc w:val="center"/>
        <w:textAlignment w:val="auto"/>
        <w:outlineLvl w:val="9"/>
        <w:rPr>
          <w:rFonts w:hint="eastAsia" w:ascii="宋体" w:hAnsi="宋体" w:eastAsia="宋体" w:cs="宋体"/>
          <w:sz w:val="32"/>
          <w:szCs w:val="32"/>
        </w:rPr>
      </w:pPr>
      <w:bookmarkStart w:id="479" w:name="_Toc22448"/>
      <w:bookmarkStart w:id="480" w:name="_Toc12635"/>
    </w:p>
    <w:p>
      <w:pPr>
        <w:widowControl w:val="0"/>
        <w:wordWrap/>
        <w:adjustRightInd/>
        <w:snapToGrid/>
        <w:spacing w:line="590" w:lineRule="exact"/>
        <w:ind w:left="0" w:leftChars="0" w:right="0" w:firstLine="0" w:firstLineChars="0"/>
        <w:jc w:val="center"/>
        <w:textAlignment w:val="auto"/>
        <w:outlineLvl w:val="9"/>
        <w:rPr>
          <w:rFonts w:hint="eastAsia" w:ascii="宋体" w:hAnsi="宋体" w:eastAsia="宋体" w:cs="宋体"/>
          <w:sz w:val="32"/>
          <w:szCs w:val="32"/>
        </w:rPr>
      </w:pPr>
    </w:p>
    <w:p>
      <w:pPr>
        <w:tabs>
          <w:tab w:val="left" w:pos="7380"/>
          <w:tab w:val="left" w:pos="7560"/>
        </w:tabs>
        <w:wordWrap w:val="0"/>
        <w:spacing w:line="590" w:lineRule="exact"/>
        <w:jc w:val="center"/>
        <w:rPr>
          <w:rFonts w:hint="eastAsia" w:ascii="宋体" w:hAnsi="宋体" w:eastAsia="宋体" w:cs="宋体"/>
          <w:sz w:val="44"/>
          <w:szCs w:val="32"/>
        </w:rPr>
      </w:pPr>
      <w:r>
        <w:rPr>
          <w:rFonts w:hint="eastAsia" w:ascii="宋体" w:hAnsi="宋体" w:eastAsia="宋体" w:cs="宋体"/>
          <w:sz w:val="44"/>
          <w:szCs w:val="32"/>
        </w:rPr>
        <w:t>广东省水污染防治条例</w:t>
      </w:r>
    </w:p>
    <w:p>
      <w:pPr>
        <w:pStyle w:val="7"/>
        <w:widowControl w:val="0"/>
        <w:wordWrap/>
        <w:adjustRightInd/>
        <w:snapToGrid/>
        <w:spacing w:line="590" w:lineRule="exact"/>
        <w:ind w:left="0" w:leftChars="0" w:right="0" w:firstLine="640" w:firstLineChars="200"/>
        <w:jc w:val="left"/>
        <w:textAlignment w:val="auto"/>
        <w:outlineLvl w:val="9"/>
        <w:rPr>
          <w:rFonts w:hint="eastAsia" w:ascii="楷体_GB2312" w:hAnsi="楷体_GB2312" w:eastAsia="楷体_GB2312" w:cs="楷体_GB2312"/>
          <w:color w:val="auto"/>
        </w:rPr>
      </w:pPr>
    </w:p>
    <w:p>
      <w:pPr>
        <w:pStyle w:val="7"/>
        <w:widowControl w:val="0"/>
        <w:wordWrap/>
        <w:adjustRightInd/>
        <w:snapToGrid/>
        <w:spacing w:line="590" w:lineRule="exact"/>
        <w:ind w:left="640" w:leftChars="200" w:right="640" w:rightChars="200" w:firstLine="0" w:firstLineChars="0"/>
        <w:jc w:val="left"/>
        <w:textAlignment w:val="auto"/>
        <w:outlineLvl w:val="9"/>
        <w:rPr>
          <w:rFonts w:hint="eastAsia" w:ascii="宋体" w:hAnsi="宋体" w:eastAsia="楷体_GB2312" w:cs="楷体_GB2312"/>
          <w:color w:val="auto"/>
        </w:rPr>
      </w:pPr>
      <w:r>
        <w:rPr>
          <w:rFonts w:hint="eastAsia" w:ascii="宋体" w:hAnsi="宋体" w:eastAsia="楷体_GB2312" w:cs="楷体_GB2312"/>
          <w:color w:val="auto"/>
        </w:rPr>
        <w:t>（20</w:t>
      </w:r>
      <w:r>
        <w:rPr>
          <w:rFonts w:hint="eastAsia" w:ascii="宋体" w:hAnsi="宋体" w:eastAsia="楷体_GB2312" w:cs="楷体_GB2312"/>
          <w:color w:val="auto"/>
          <w:lang w:val="en-US" w:eastAsia="zh-CN"/>
        </w:rPr>
        <w:t>20</w:t>
      </w:r>
      <w:r>
        <w:rPr>
          <w:rFonts w:hint="eastAsia" w:ascii="宋体" w:hAnsi="宋体" w:eastAsia="楷体_GB2312" w:cs="楷体_GB2312"/>
          <w:color w:val="auto"/>
        </w:rPr>
        <w:t>年11月2</w:t>
      </w:r>
      <w:r>
        <w:rPr>
          <w:rFonts w:hint="eastAsia" w:ascii="宋体" w:hAnsi="宋体" w:eastAsia="楷体_GB2312" w:cs="楷体_GB2312"/>
          <w:color w:val="auto"/>
          <w:lang w:val="en-US" w:eastAsia="zh-CN"/>
        </w:rPr>
        <w:t>7</w:t>
      </w:r>
      <w:r>
        <w:rPr>
          <w:rFonts w:hint="eastAsia" w:ascii="宋体" w:hAnsi="宋体" w:eastAsia="楷体_GB2312" w:cs="楷体_GB2312"/>
          <w:color w:val="auto"/>
        </w:rPr>
        <w:t>日广东省第十三届人民代表大会常务委员会第</w:t>
      </w:r>
      <w:r>
        <w:rPr>
          <w:rFonts w:hint="eastAsia" w:ascii="宋体" w:hAnsi="宋体" w:eastAsia="楷体_GB2312" w:cs="楷体_GB2312"/>
          <w:color w:val="auto"/>
          <w:lang w:eastAsia="zh-CN"/>
        </w:rPr>
        <w:t>二十六</w:t>
      </w:r>
      <w:r>
        <w:rPr>
          <w:rFonts w:hint="eastAsia" w:ascii="宋体" w:hAnsi="宋体" w:eastAsia="楷体_GB2312" w:cs="楷体_GB2312"/>
          <w:color w:val="auto"/>
        </w:rPr>
        <w:t>次会议通过）</w:t>
      </w:r>
    </w:p>
    <w:p>
      <w:pPr>
        <w:pStyle w:val="7"/>
        <w:rPr>
          <w:rFonts w:hint="eastAsia"/>
        </w:rPr>
      </w:pPr>
    </w:p>
    <w:p>
      <w:pPr>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目    录</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第一章  总则</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第二章  水污染防治的规划和标准</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第三章  水污染防治的监督管理</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第四章  水污染防治措施</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第一节  工业水污染防治</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第二节  城镇水污染防治</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第三节  农业和农村水污染防治</w:t>
      </w:r>
    </w:p>
    <w:p>
      <w:pPr>
        <w:widowControl w:val="0"/>
        <w:wordWrap/>
        <w:adjustRightInd/>
        <w:snapToGrid/>
        <w:spacing w:line="240" w:lineRule="auto"/>
        <w:ind w:left="0" w:leftChars="0" w:right="0" w:firstLine="1280" w:firstLineChars="4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第四节  船舶水污染防治</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第五章  饮用水水源保护和流域特别规定</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第六章  区域水污染防治协作</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第七章  风险防范与事故应急处置</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第八章  法律责任</w:t>
      </w:r>
    </w:p>
    <w:p>
      <w:pPr>
        <w:widowControl w:val="0"/>
        <w:wordWrap/>
        <w:adjustRightInd/>
        <w:snapToGrid/>
        <w:spacing w:line="240" w:lineRule="auto"/>
        <w:ind w:left="0" w:leftChars="0" w:right="0" w:firstLine="640" w:firstLineChars="200"/>
        <w:jc w:val="left"/>
        <w:textAlignment w:val="auto"/>
        <w:outlineLvl w:val="9"/>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第九章  附则</w:t>
      </w:r>
    </w:p>
    <w:p>
      <w:pPr>
        <w:pStyle w:val="7"/>
        <w:spacing w:line="590" w:lineRule="exact"/>
        <w:ind w:firstLine="0" w:firstLineChars="0"/>
        <w:jc w:val="center"/>
        <w:rPr>
          <w:rFonts w:hint="eastAsia" w:ascii="仿宋_GB2312" w:hAnsi="仿宋_GB2312" w:eastAsia="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第一章  总则</w:t>
      </w:r>
    </w:p>
    <w:p>
      <w:pPr>
        <w:spacing w:line="590" w:lineRule="exact"/>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第一条</w:t>
      </w:r>
      <w:r>
        <w:rPr>
          <w:rFonts w:hint="eastAsia" w:ascii="仿宋_GB2312" w:hAnsi="仿宋_GB2312" w:cs="仿宋_GB2312"/>
          <w:color w:val="auto"/>
        </w:rPr>
        <w:t xml:space="preserve">  为了保护和改善环境，防治水污染，保护水生态，保障饮用水安全，维护公众健康，推进生态文明建设，促进经济社会可持续发展，根据《中华人民共和国环境保护法》《中华人民共和国水污染防治法》等法律法规，结合本省实际，制定本条例。</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第二条</w:t>
      </w:r>
      <w:r>
        <w:rPr>
          <w:rFonts w:hint="eastAsia" w:ascii="仿宋_GB2312" w:hAnsi="仿宋_GB2312" w:cs="仿宋_GB2312"/>
          <w:color w:val="auto"/>
        </w:rPr>
        <w:t xml:space="preserve">  本条例适用于本省行政区域内的江河、湖泊、运河、渠道、水库等地表水体和地下水体的污染防治。</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海洋污染防治适用《中华人民共和国海洋环境保护法》等有关法律法规规定。</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第三条</w:t>
      </w:r>
      <w:r>
        <w:rPr>
          <w:rFonts w:hint="eastAsia" w:ascii="仿宋_GB2312" w:hAnsi="仿宋_GB2312" w:cs="仿宋_GB2312"/>
          <w:color w:val="auto"/>
        </w:rPr>
        <w:t xml:space="preserve">  水污染防治应当坚持预防为主、防治结合、综合治理、公众参与、损害担责的原则，优先保护饮用水水源，严格控制工业污染、城镇生活污染，防治农业农村污染、船舶污染，积极推进生态环境治理工程建设，预防、控制和减少水环境污染和生态破坏。</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第四条</w:t>
      </w:r>
      <w:r>
        <w:rPr>
          <w:rFonts w:hint="eastAsia" w:ascii="仿宋_GB2312" w:hAnsi="仿宋_GB2312" w:cs="仿宋_GB2312"/>
          <w:color w:val="auto"/>
        </w:rPr>
        <w:t xml:space="preserve">  各级人民政府对本行政区域内的水环境质量负责。</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县级以上人民政府应当将水环境保护工作纳入国民经济和社会发展规划，加强对水污染防治的资金保障，采取有效对策和措施，保护和改善水环境质量。</w:t>
      </w:r>
    </w:p>
    <w:p>
      <w:pPr>
        <w:spacing w:line="590" w:lineRule="exact"/>
        <w:ind w:firstLine="612" w:firstLineChars="200"/>
        <w:rPr>
          <w:rFonts w:hint="eastAsia" w:ascii="仿宋_GB2312" w:hAnsi="仿宋_GB2312" w:cs="仿宋_GB2312"/>
          <w:color w:val="auto"/>
          <w:spacing w:val="-7"/>
        </w:rPr>
      </w:pPr>
      <w:r>
        <w:rPr>
          <w:rFonts w:hint="eastAsia" w:ascii="仿宋_GB2312" w:hAnsi="仿宋_GB2312" w:cs="仿宋_GB2312"/>
          <w:color w:val="auto"/>
          <w:spacing w:val="-7"/>
        </w:rPr>
        <w:t>乡镇人民政府、街道办事处应当做好本区域的水污染防治工作，基层群众性自治组织应当协助做好本区域的水污染防治工作。</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第五条</w:t>
      </w:r>
      <w:r>
        <w:rPr>
          <w:rFonts w:hint="eastAsia" w:ascii="仿宋_GB2312" w:hAnsi="仿宋_GB2312" w:cs="仿宋_GB2312"/>
          <w:color w:val="auto"/>
        </w:rPr>
        <w:t xml:space="preserve">  县级以上生态环境主管部门对本行政区域内的水污染防治工作实施统一监督管理。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发展改革、工业和信息化、财政、自然资源、住房和城乡建设、交通运输、水行政、农业农村、卫生健康、城市管理执法等主管部门以及海事管理机构，在各自职责范围内对水污染防治实施监督管理。</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第六条</w:t>
      </w:r>
      <w:r>
        <w:rPr>
          <w:rFonts w:hint="eastAsia" w:ascii="仿宋_GB2312" w:hAnsi="仿宋_GB2312" w:cs="仿宋_GB2312"/>
          <w:color w:val="auto"/>
        </w:rPr>
        <w:t xml:space="preserve">  本省建立省、市、县、镇、村五级河长湖长体系，设立总河长及各江河、湖泊的河长湖长，分级分段组织领导本行政区域内江河、湖泊的水资源保护、水安全保障、水污染防治、水环境治理、水生态修复、水域岸线管理等工作，促进水环境质量改善。</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第七条</w:t>
      </w:r>
      <w:r>
        <w:rPr>
          <w:rFonts w:hint="eastAsia" w:ascii="仿宋_GB2312" w:hAnsi="仿宋_GB2312" w:cs="仿宋_GB2312"/>
          <w:color w:val="auto"/>
        </w:rPr>
        <w:t xml:space="preserve">  县级以上人民政府应当建立完善水环境保护目标责任制和考核评价制度，将水环境保护目标完成情况和水污染防治重点工作完成情况，纳入对本级人民政府有关部门和下一级人民政府及其负责人考核评价的内容，考核结果向社会公开。</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第八条</w:t>
      </w:r>
      <w:r>
        <w:rPr>
          <w:rFonts w:hint="eastAsia" w:ascii="仿宋_GB2312" w:hAnsi="仿宋_GB2312" w:cs="仿宋_GB2312"/>
          <w:color w:val="auto"/>
        </w:rPr>
        <w:t xml:space="preserve">  排放水污染物的企业事业单位和其他生产经营者应当承担水污染防治主体责任，防止、减少水环境污染和生态破坏，对所造成的损害依法承担责任。</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第九条</w:t>
      </w:r>
      <w:r>
        <w:rPr>
          <w:rFonts w:hint="eastAsia" w:ascii="仿宋_GB2312" w:hAnsi="仿宋_GB2312" w:cs="仿宋_GB2312"/>
          <w:color w:val="auto"/>
        </w:rPr>
        <w:t xml:space="preserve">  县级以上人民政府应当支持水污染防治的科学技术和装备的研究开发与推广应用，加强饮用水安全保障、流域综合治理与生态修复、城市水环境综合治理、农业农村水污染防治、地下水污染防控、节水技术和装备等方面的科学技术研究、成果转化和推广应用，提高水污染防治的科学技术水平。</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第十条</w:t>
      </w:r>
      <w:r>
        <w:rPr>
          <w:rFonts w:hint="eastAsia" w:ascii="仿宋_GB2312" w:hAnsi="仿宋_GB2312" w:cs="仿宋_GB2312"/>
          <w:color w:val="auto"/>
        </w:rPr>
        <w:t xml:space="preserve">  县级以上生态环境主管部门和县级以上人民政府其他负有水污染防治监督管理职责的部门，应当依法公开水环境信息，完善公众参与程序，为公众参与和监督水污染防治提供便利。</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地级以上市人民政府生态环境主管部门确定的重点排污单位应当按照规定公开有关排污信息，接受社会监督。</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第十一条</w:t>
      </w:r>
      <w:r>
        <w:rPr>
          <w:rFonts w:hint="eastAsia" w:ascii="仿宋_GB2312" w:hAnsi="仿宋_GB2312" w:cs="仿宋_GB2312"/>
          <w:color w:val="auto"/>
        </w:rPr>
        <w:t xml:space="preserve">  公民、法人和其他组织都有保护水环境的义务，依法享有获取水环境信息、参与和监督水污染防治的权利，有权向生态环境主管部门或者其他负有水污染防治监督管理职责的部门举报污染损害水环境的行为。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各级人民政府及其有关部门应当加强水环境保护的宣传教育，增强公众水环境保护意识，拓展公众参与水环境保护渠道，充分听取公众对重大决策的意见，引导公众依法参与水环境保护。</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鼓励和支持基层群众性自治组织、社会组织和志愿者依法开展水环境保护宣传、监督等活动。</w:t>
      </w:r>
    </w:p>
    <w:p>
      <w:pPr>
        <w:spacing w:line="590" w:lineRule="exact"/>
        <w:ind w:firstLine="640" w:firstLineChars="200"/>
        <w:rPr>
          <w:rFonts w:hint="eastAsia" w:ascii="仿宋_GB2312" w:hAnsi="仿宋_GB2312" w:cs="仿宋_GB2312"/>
          <w:color w:val="auto"/>
          <w:szCs w:val="32"/>
        </w:rPr>
      </w:pPr>
      <w:r>
        <w:rPr>
          <w:rFonts w:hint="eastAsia" w:ascii="黑体" w:hAnsi="仿宋_GB2312" w:eastAsia="黑体" w:cs="仿宋_GB2312"/>
          <w:color w:val="auto"/>
          <w:szCs w:val="32"/>
        </w:rPr>
        <w:t>第十二条</w:t>
      </w:r>
      <w:r>
        <w:rPr>
          <w:rFonts w:hint="eastAsia" w:ascii="仿宋_GB2312" w:hAnsi="仿宋_GB2312" w:cs="仿宋_GB2312"/>
          <w:color w:val="auto"/>
          <w:szCs w:val="32"/>
        </w:rPr>
        <w:t xml:space="preserve">  支持</w:t>
      </w:r>
      <w:r>
        <w:rPr>
          <w:rFonts w:hint="eastAsia" w:ascii="仿宋_GB2312" w:hAnsi="黑体" w:cs="黑体"/>
          <w:color w:val="auto"/>
          <w:szCs w:val="32"/>
        </w:rPr>
        <w:t>符合法律规定的</w:t>
      </w:r>
      <w:r>
        <w:rPr>
          <w:rFonts w:hint="eastAsia" w:ascii="仿宋_GB2312" w:hAnsi="仿宋_GB2312" w:cs="仿宋_GB2312"/>
          <w:color w:val="auto"/>
          <w:szCs w:val="32"/>
        </w:rPr>
        <w:t>机关和</w:t>
      </w:r>
      <w:r>
        <w:rPr>
          <w:rFonts w:hint="eastAsia" w:ascii="仿宋_GB2312" w:hAnsi="黑体" w:cs="黑体"/>
          <w:color w:val="auto"/>
          <w:szCs w:val="32"/>
        </w:rPr>
        <w:t>有关</w:t>
      </w:r>
      <w:r>
        <w:rPr>
          <w:rFonts w:hint="eastAsia" w:ascii="仿宋_GB2312" w:hAnsi="仿宋_GB2312" w:cs="仿宋_GB2312"/>
          <w:color w:val="auto"/>
          <w:szCs w:val="32"/>
        </w:rPr>
        <w:t>组织依法对污染水环境、破坏水生态等损害社会公共利益的行为提起公益诉讼。</w:t>
      </w:r>
    </w:p>
    <w:p>
      <w:pPr>
        <w:pStyle w:val="7"/>
        <w:spacing w:line="590" w:lineRule="exact"/>
        <w:ind w:firstLine="632"/>
        <w:rPr>
          <w:rFonts w:hint="eastAsia" w:ascii="仿宋_GB2312" w:hAnsi="仿宋_GB2312" w:eastAsia="仿宋_GB2312" w:cs="仿宋_GB2312"/>
          <w:color w:val="auto"/>
        </w:rPr>
      </w:pPr>
      <w:r>
        <w:rPr>
          <w:rFonts w:hint="eastAsia" w:ascii="仿宋_GB2312" w:hAnsi="仿宋_GB2312" w:eastAsia="仿宋_GB2312" w:cs="仿宋_GB2312"/>
          <w:color w:val="auto"/>
        </w:rPr>
        <w:t>生态环境等有关部门和法律援助机构依照公益诉讼有关规定对有关机关和组织依法提起公益诉讼给予支持。</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鼓励法律服务机构和律师为水污染损害诉讼中的受害人提供公益法律服务。</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第二章  水污染防治的规划和标准</w:t>
      </w:r>
    </w:p>
    <w:p>
      <w:pPr>
        <w:spacing w:line="590" w:lineRule="exact"/>
        <w:ind w:firstLine="640" w:firstLineChars="200"/>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第十三条</w:t>
      </w:r>
      <w:r>
        <w:rPr>
          <w:rFonts w:hint="eastAsia" w:ascii="仿宋_GB2312" w:hAnsi="仿宋_GB2312" w:cs="仿宋_GB2312"/>
          <w:color w:val="auto"/>
        </w:rPr>
        <w:t xml:space="preserve">  省人民政府生态环境主管部门应当会同有关部门根据水资源禀赋、环境容量等情况以及国土空间规划，编制全省水功能区划，确定水体环境功能和水环境质量目标，报省人民政府批准后实施。经批准的水功能区划是制定水污染防治规划的依据。</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未纳入全省水功能区划的水体，由地级以上市人民政府生态环境主管部门根据水环境保护的需要，会同同级有关部门编制其水功能区划，并与国家、省水功能区划确定的水体环境功能和水环境质量目标以及同级国土空间规划相衔接，报同级人民政府批准后实施，并报省人民政府生态环境主管部门和水行政主管部门备案。</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水功能区划的调整，应当按照原编制程序执行。</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第十四条</w:t>
      </w:r>
      <w:r>
        <w:rPr>
          <w:rFonts w:hint="eastAsia" w:ascii="仿宋_GB2312" w:hAnsi="仿宋_GB2312" w:cs="仿宋_GB2312"/>
          <w:color w:val="auto"/>
        </w:rPr>
        <w:t xml:space="preserve">  县级以上人民政府应当根据国家或者省依法批准的流域水污染防治规划，组织制定本行政区域的水污染防治规划。</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县级以上人民政府在制定国土空间规划时，应当统筹水污染防治规划的空间布局和需求。进行各类开发建设活动，应当符合水污染防治规划的要求。</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饮用水水源保护、城镇生活污水处理、农业农村污染防治、船舶污染防治、水资源开发利用、河涌整治等专项规划或者方案，应当与水污染防治规划相互衔接。</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县级以上人民政府应当组织有关部门对水污染防治规划执行情况进行监督检查。</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第十五条</w:t>
      </w:r>
      <w:r>
        <w:rPr>
          <w:rFonts w:hint="eastAsia" w:ascii="仿宋_GB2312" w:hAnsi="仿宋_GB2312" w:cs="仿宋_GB2312"/>
          <w:color w:val="auto"/>
        </w:rPr>
        <w:t xml:space="preserve">  未达到水污染防治规划确定的水环境质量改善目标要求的有关地级以上市、县级人民政府，应当制定限期达标规划，并采取措施按期达标。限期达标规划在实施期间应当根据水环境质量目标完成情况动态修编。限期达标规划应当报上一级人民政府备案，并向社会公开。</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跨行政区域的限期达标规划由所在地人民政府协商制定。协商不成的，由上一级人民政府协调制定。</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第十六条</w:t>
      </w:r>
      <w:r>
        <w:rPr>
          <w:rFonts w:hint="eastAsia" w:ascii="仿宋_GB2312" w:hAnsi="仿宋_GB2312" w:cs="仿宋_GB2312"/>
          <w:color w:val="auto"/>
        </w:rPr>
        <w:t xml:space="preserve">  省人民政府可以根据水环境保护的需要，对国家水环境质量标准中未作规定的项目，制定本省地方水环境质量标准。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省人民政府对国家水污染物排放标准中未作规定的项目，可以制定本省地方水污染物排放标准；对国家水污染物排放标准中已作规定的项目，可以制定严于国家水污染物排放标准的本省地方水污染物排放标准。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本省地方水环境质量标准和水污染物排放标准应当报国务院生态环境主管部门备案。</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第三章  水污染防治的监督管理</w:t>
      </w:r>
    </w:p>
    <w:p>
      <w:pPr>
        <w:spacing w:line="590" w:lineRule="exact"/>
        <w:ind w:firstLine="640" w:firstLineChars="200"/>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第十七条</w:t>
      </w:r>
      <w:r>
        <w:rPr>
          <w:rFonts w:hint="eastAsia" w:ascii="仿宋_GB2312" w:hAnsi="仿宋_GB2312" w:cs="仿宋_GB2312"/>
          <w:color w:val="auto"/>
        </w:rPr>
        <w:t xml:space="preserve">  新建、改建、扩建直接或者间接向水体排放污染物的建设项目和其他水上设施，应当符合生态环境准入清单要求，并依法进行环境影响评价。</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省、地级以上市人民政府生态环境主管部门在审批环境影响评价文件时，对可能影响防洪、通航、渔业及河堤安全的，应当征求水行政、交通运输、农业农村等主管部门和海事管理机构的意见；对跨行政区域水体水质可能造成较大影响的，应当征求相关县级以上人民政府或者有关部门意见。</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第十八条</w:t>
      </w:r>
      <w:r>
        <w:rPr>
          <w:rFonts w:hint="eastAsia" w:ascii="仿宋_GB2312" w:hAnsi="仿宋_GB2312" w:cs="仿宋_GB2312"/>
          <w:color w:val="auto"/>
        </w:rPr>
        <w:t xml:space="preserve">  本省实行重点水污染物排放总量控制制度。</w:t>
      </w:r>
    </w:p>
    <w:p>
      <w:pPr>
        <w:spacing w:line="590" w:lineRule="exact"/>
        <w:ind w:firstLine="640" w:firstLineChars="200"/>
        <w:rPr>
          <w:rFonts w:hint="eastAsia" w:ascii="仿宋_GB2312" w:hAnsi="黑体" w:cs="黑体"/>
          <w:color w:val="auto"/>
        </w:rPr>
      </w:pPr>
      <w:r>
        <w:rPr>
          <w:rFonts w:hint="eastAsia" w:ascii="仿宋_GB2312" w:hAnsi="仿宋_GB2312" w:cs="仿宋_GB2312"/>
          <w:color w:val="auto"/>
        </w:rPr>
        <w:t>地级以上市人民政府</w:t>
      </w:r>
      <w:r>
        <w:rPr>
          <w:rFonts w:hint="eastAsia" w:ascii="仿宋_GB2312" w:hAnsi="黑体" w:cs="黑体"/>
          <w:color w:val="auto"/>
        </w:rPr>
        <w:t>应当</w:t>
      </w:r>
      <w:r>
        <w:rPr>
          <w:rFonts w:hint="eastAsia" w:ascii="仿宋_GB2312" w:hAnsi="仿宋_GB2312" w:cs="仿宋_GB2312"/>
          <w:color w:val="auto"/>
        </w:rPr>
        <w:t>根据国家和省下达的重点水污染物排放总量控制指标，结合本行政区域水环境改善要求及水污染防治工作的需要，</w:t>
      </w:r>
      <w:r>
        <w:rPr>
          <w:rFonts w:hint="eastAsia" w:ascii="仿宋_GB2312" w:hAnsi="黑体" w:cs="黑体"/>
          <w:color w:val="auto"/>
        </w:rPr>
        <w:t>控制和削减本行政区域的重点水污染物排放总量。</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第十九条</w:t>
      </w:r>
      <w:r>
        <w:rPr>
          <w:rFonts w:hint="eastAsia" w:ascii="仿宋_GB2312" w:hAnsi="仿宋_GB2312" w:cs="仿宋_GB2312"/>
          <w:color w:val="auto"/>
        </w:rPr>
        <w:t xml:space="preserve">  对超过重点水污染物排放总量控制指标或者未完成水环境质量改善目标的地区，省人民政府生态环境主管部门应当会同有关部门约谈该地区人民政府的主要负责人，并暂停审批该地区新增重点水污染物排放总量的建设项目环境影响评价文件。约谈情况应当向社会公开。</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被暂停审批的地区应当制订整改方案，削减区域内重点水污染物排放总量，限期达到水环境质量改善目标。</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第二十条</w:t>
      </w:r>
      <w:r>
        <w:rPr>
          <w:rFonts w:hint="eastAsia" w:ascii="仿宋_GB2312" w:hAnsi="仿宋_GB2312" w:cs="仿宋_GB2312"/>
          <w:color w:val="auto"/>
        </w:rPr>
        <w:t xml:space="preserve">  本省根据国家有关规定，对直接或者间接向水体排放废水、污水的企业事业单位和其他生产经营者实行排污许可管理。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实行排污许可管理的企业事业单位和其他生产经营者，应当按照规定向生态环境主管部门申领排污许可证，并按照排污许可证载明的排放水污染物种类、浓度、总量和排污口位置、排放去向等要求排放水污染物。排放水污染物不得超过国家或者地方规定的水污染物排放标准和重点水污染物排放总量控制指标。</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排污单位执行更加严格的水污染物排放浓度限值或者重点水污染物排放总量控制指标的，应当在排污许可证副本中规定。</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禁止企业事业单位和其他生产经营者未依法取得排污许可证或者违反排污许可证的规定排放水污染物。</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第二十一条</w:t>
      </w:r>
      <w:r>
        <w:rPr>
          <w:rFonts w:hint="eastAsia" w:ascii="仿宋_GB2312" w:hAnsi="仿宋_GB2312" w:cs="仿宋_GB2312"/>
          <w:color w:val="auto"/>
        </w:rPr>
        <w:t xml:space="preserve">  向水体排放污染物的企业事业单位和其他生产经营者，应当按照国家和省的规定设置和管理排污口，并按照规定在排污口安装标志牌。</w:t>
      </w:r>
    </w:p>
    <w:p>
      <w:pPr>
        <w:spacing w:line="590" w:lineRule="exact"/>
        <w:ind w:firstLine="640" w:firstLineChars="200"/>
        <w:rPr>
          <w:rFonts w:hint="eastAsia"/>
        </w:rPr>
      </w:pPr>
      <w:r>
        <w:rPr>
          <w:rFonts w:hint="eastAsia"/>
        </w:rPr>
        <w:t>地表水Ⅰ、Ⅱ类水域，以及Ⅲ类水域中的保护区、游泳区，禁止新建排污口</w:t>
      </w:r>
      <w:r>
        <w:rPr>
          <w:rFonts w:hint="eastAsia"/>
          <w:lang w:eastAsia="zh-CN"/>
        </w:rPr>
        <w:t>，</w:t>
      </w:r>
      <w:r>
        <w:rPr>
          <w:rFonts w:hint="eastAsia"/>
        </w:rPr>
        <w:t>已建成的排污口</w:t>
      </w:r>
      <w:r>
        <w:rPr>
          <w:rFonts w:hint="eastAsia" w:hAnsi="黑体" w:cs="黑体"/>
        </w:rPr>
        <w:t>应当实行污染物总量控制且</w:t>
      </w:r>
      <w:r>
        <w:rPr>
          <w:rFonts w:hint="eastAsia"/>
        </w:rPr>
        <w:t>不得增加污染物排放量；饮用水水源保护区内已建的排污口应当</w:t>
      </w:r>
      <w:r>
        <w:rPr>
          <w:rFonts w:hint="eastAsia" w:hAnsi="黑体" w:cs="黑体"/>
        </w:rPr>
        <w:t>依法</w:t>
      </w:r>
      <w:r>
        <w:rPr>
          <w:rFonts w:hint="eastAsia"/>
        </w:rPr>
        <w:t>拆除。</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在江河、湖泊新建、改建或者扩建排污口的，排污单位应当向有管辖权的生态环境主管部门或者流域生态环境监督管理机构申请。县级以上生态环境主管部门应当按照管理权限对排污口的设置、审批及排污情况建立档案，会同有关部门组织开展排污口核查、整治和规范化管理，加强对排污口的监督管理。</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第二十二条</w:t>
      </w:r>
      <w:r>
        <w:rPr>
          <w:rFonts w:hint="eastAsia" w:ascii="仿宋_GB2312" w:hAnsi="仿宋_GB2312" w:cs="仿宋_GB2312"/>
          <w:color w:val="auto"/>
        </w:rPr>
        <w:t xml:space="preserve">  排污单位应当按照经批准或者备案的环境影响评价文件要求建设水污染防治设施。水污染防治设施应当与主体工程同时设计、同时施工、同时投入使用。</w:t>
      </w:r>
    </w:p>
    <w:p>
      <w:pPr>
        <w:spacing w:line="590" w:lineRule="exact"/>
        <w:ind w:firstLine="640" w:firstLineChars="200"/>
        <w:rPr>
          <w:rFonts w:hint="eastAsia" w:eastAsia="宋体"/>
        </w:rPr>
      </w:pPr>
      <w:r>
        <w:rPr>
          <w:rFonts w:hint="eastAsia"/>
        </w:rPr>
        <w:t>排污单位应当保障水污染防治设施正常运行，不得擅自闲置或者拆除；确需闲置</w:t>
      </w:r>
      <w:r>
        <w:rPr>
          <w:rFonts w:hint="eastAsia" w:ascii="黑体" w:hAnsi="黑体" w:cs="黑体"/>
        </w:rPr>
        <w:t>、拆除</w:t>
      </w:r>
      <w:r>
        <w:rPr>
          <w:rFonts w:hint="eastAsia"/>
        </w:rPr>
        <w:t>的，应当提前十五日向所在地生态环境主管部门书面申请，经批准后方可闲置</w:t>
      </w:r>
      <w:r>
        <w:rPr>
          <w:rFonts w:hint="eastAsia" w:ascii="黑体" w:hAnsi="黑体" w:cs="黑体"/>
        </w:rPr>
        <w:t>、拆除</w:t>
      </w:r>
      <w:r>
        <w:rPr>
          <w:rFonts w:hint="eastAsia"/>
        </w:rPr>
        <w:t>。不能正常运行的，排污单位应当按照有关规定立即停止排放污染物，</w:t>
      </w:r>
      <w:r>
        <w:rPr>
          <w:rFonts w:hint="eastAsia" w:hAnsi="黑体"/>
        </w:rPr>
        <w:t>经</w:t>
      </w:r>
      <w:r>
        <w:rPr>
          <w:rFonts w:hint="eastAsia"/>
        </w:rPr>
        <w:t>采取措施达到国家或者地方规定的排放标准</w:t>
      </w:r>
      <w:r>
        <w:rPr>
          <w:rFonts w:hint="eastAsia" w:hAnsi="黑体" w:cs="黑体"/>
        </w:rPr>
        <w:t>后</w:t>
      </w:r>
      <w:r>
        <w:rPr>
          <w:rFonts w:hint="eastAsia"/>
        </w:rPr>
        <w:t>方可排放，并及时向所在地生态环境主管部门报告。</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鼓励排污单位委托第三方治理单位运营水污染防治设施。第三方治理单位按照有关法律、法规以及排污单位的委托要求，承担污染治理责任。排污单位应当对第三方治理单位的运营管理进行监督。</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第二十三条</w:t>
      </w:r>
      <w:r>
        <w:rPr>
          <w:rFonts w:hint="eastAsia" w:ascii="仿宋_GB2312" w:hAnsi="仿宋_GB2312" w:cs="仿宋_GB2312"/>
          <w:color w:val="auto"/>
        </w:rPr>
        <w:t xml:space="preserve">  实行排污许可管理的企业事业单位和其他生产经营者应当按照国家有关规定和监测规范，对所排放的水污染物自行监测，并保存原始监测记录，不得擅自调整监测点位，对监测数据的真实性和准确性负责；不具备监测能力的，应当委托有资质的环境监测机构进行监测。</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重点排污单位还应当按照规定安装水污染物排放自动监测设备，保证自动监测设备正常运行，定期对自动监测设备开展质量控制和质量保证工作，确保自动监测数据完整、有效，并与生态环境主管部门的监控设备联网。</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环境监测机构和开展自行监测的排污单位应当按照环境监测规范从事环境监测活动，不得</w:t>
      </w:r>
      <w:r>
        <w:rPr>
          <w:rFonts w:hint="eastAsia" w:ascii="黑体" w:hAnsi="黑体" w:cs="黑体"/>
          <w:color w:val="auto"/>
        </w:rPr>
        <w:t>有</w:t>
      </w:r>
      <w:r>
        <w:rPr>
          <w:rFonts w:hint="eastAsia" w:ascii="仿宋_GB2312" w:hAnsi="仿宋_GB2312" w:cs="仿宋_GB2312"/>
          <w:color w:val="auto"/>
        </w:rPr>
        <w:t>隐瞒、伪造、篡改环境监测数据等</w:t>
      </w:r>
      <w:r>
        <w:rPr>
          <w:rFonts w:hint="eastAsia" w:ascii="黑体" w:hAnsi="黑体" w:cs="黑体"/>
          <w:color w:val="auto"/>
        </w:rPr>
        <w:t>弄虚作假行为</w:t>
      </w:r>
      <w:r>
        <w:rPr>
          <w:rFonts w:hint="eastAsia" w:ascii="仿宋_GB2312" w:hAnsi="仿宋_GB2312" w:cs="仿宋_GB2312"/>
          <w:color w:val="auto"/>
        </w:rPr>
        <w:t>。任何单位和个人不得伪造或者篡改环境监测机构的环境监测报告。</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生态环境主管部门应当对排污单位污染物排放状况实施环境执法监测，对排污单位自行监测情况开展监督检查。</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第二十四条</w:t>
      </w:r>
      <w:r>
        <w:rPr>
          <w:rFonts w:hint="eastAsia" w:ascii="仿宋_GB2312" w:hAnsi="仿宋_GB2312" w:cs="仿宋_GB2312"/>
          <w:color w:val="auto"/>
        </w:rPr>
        <w:t xml:space="preserve">  省人民政府生态环境主管部门制定全省水环境监测方案，统一规划水环境质量监测断面和点位的设置，建立完善全省互联互通的水环境监测网络和预警机制。</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生态环境主管部门统一发布本行政区域的水环境状况信息。</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县级以上生态环境主管部门和县级以上人民政府其他负有水污染防治监督管理职责的主管部门应当建立水环境信息共享机制，避免重复监测。县级以上人民政府有关部门应当为生态环境主管部门开展生态环境监测活动提供相关数据支持。</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第二十五条</w:t>
      </w:r>
      <w:r>
        <w:rPr>
          <w:rFonts w:hint="eastAsia" w:ascii="仿宋_GB2312" w:hAnsi="仿宋_GB2312" w:cs="仿宋_GB2312"/>
          <w:color w:val="auto"/>
        </w:rPr>
        <w:t xml:space="preserve">  县级以上人民政府应当完善水资源管理和节约用水机制，开发、利用和调节、调度水资源时，应当统筹兼顾，维持江河的合理流量和湖泊、水库以及地下水体的合理水位，保障基本生态用水，维护水体的生态功能。</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因过量开采地下水导致水质恶化不宜继续开采的，县级以上人民政府应当采取措施，停止或者限制开采地下水。</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县级以上人民政府应当加强山水林田湖草系统治理，组织开展江河、湖泊、水库、湿地保护与修复，因地制宜建设人工湿地、水源涵养林、沿河沿湖植被缓冲带和隔离带等生态环境治理与保护工程，提高水体自净能力和水环境质量，提升流域生态环境承载力。</w:t>
      </w:r>
    </w:p>
    <w:p>
      <w:pPr>
        <w:pStyle w:val="7"/>
        <w:spacing w:line="590" w:lineRule="exact"/>
        <w:ind w:firstLine="632"/>
        <w:rPr>
          <w:rFonts w:hint="eastAsia" w:ascii="仿宋_GB2312" w:hAnsi="仿宋_GB2312" w:eastAsia="仿宋_GB2312" w:cs="仿宋_GB2312"/>
          <w:color w:val="auto"/>
        </w:rPr>
      </w:pPr>
      <w:r>
        <w:rPr>
          <w:rFonts w:hint="eastAsia" w:ascii="黑体" w:hAnsi="黑体" w:eastAsia="黑体" w:cs="仿宋_GB2312"/>
          <w:color w:val="auto"/>
        </w:rPr>
        <w:t>第二十六条</w:t>
      </w:r>
      <w:r>
        <w:rPr>
          <w:rFonts w:hint="eastAsia" w:ascii="仿宋_GB2312" w:hAnsi="仿宋_GB2312" w:eastAsia="仿宋_GB2312" w:cs="仿宋_GB2312"/>
          <w:color w:val="auto"/>
        </w:rPr>
        <w:t xml:space="preserve">  县级以上人民政府应当采取控源截污、垃圾清理、清淤疏浚、生态修复等措施，加强黑臭水体整治，并定期向社会公布治理情况。</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第四章  水污染防治措施</w:t>
      </w:r>
    </w:p>
    <w:p>
      <w:pPr>
        <w:spacing w:line="590" w:lineRule="exact"/>
        <w:jc w:val="center"/>
        <w:outlineLvl w:val="1"/>
        <w:rPr>
          <w:rFonts w:hint="eastAsia" w:ascii="仿宋_GB2312" w:hAnsi="仿宋_GB2312" w:cs="仿宋_GB2312"/>
          <w:color w:val="auto"/>
          <w:szCs w:val="32"/>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第一节  工业水污染防治</w:t>
      </w:r>
    </w:p>
    <w:p>
      <w:pPr>
        <w:shd w:val="clear" w:color="auto" w:fill="FFFFFF"/>
        <w:spacing w:line="590" w:lineRule="exact"/>
        <w:rPr>
          <w:rFonts w:hint="eastAsia" w:ascii="黑体" w:hAnsi="黑体" w:eastAsia="黑体" w:cs="仿宋_GB2312"/>
          <w:color w:val="auto"/>
          <w:kern w:val="0"/>
          <w:szCs w:val="32"/>
        </w:rPr>
      </w:pPr>
    </w:p>
    <w:p>
      <w:pPr>
        <w:spacing w:line="590" w:lineRule="exact"/>
        <w:ind w:firstLine="640" w:firstLineChars="200"/>
        <w:rPr>
          <w:rFonts w:hint="eastAsia" w:ascii="黑体" w:hAnsi="黑体" w:eastAsia="黑体"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二十七</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县级以上人民政府应当根据国土空间规划和本行政区域的资源环境承载能力与水环境质量目标等要求，合理规划工业布局，规范工业集聚区及其污水集中处理设施建设，引导工业企业入驻工业集聚区。严格控制高污染项目的建设，鼓励和支持无污染或者轻污染产业的发展。</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二十八</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排放工业废水的企业应当采取有效措施，收集和处理产生的全部生产废水，防止污染水环境。未依法领取污水排入排水管网许可证的，不得直接向生活污水管网与处理系统排放工业废水。含有毒有害水污染物的工业废水应当分类收集和处理，不得稀释排放。</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按照规定或者环境影响评价文件和审批意见的要求需要进行初期雨水收集的企业，应当对初期雨水进行收集处理，达标后方可排放。</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经批准设立的工业集聚区应当按照规定建成污水集中处理设施并安装水污染物排放自动监测设备。未完成污水集中处理设施建设的，暂停审批和核准其增加水污染物排放的建设项目。</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向工业集聚区污水集中处理设施或者城镇污水集中处理设施排放工业废水的，应当按照有关规定进行预处理，达到集中处理设施处理工艺要求后方可以排放。</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二十九</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企业应当采用原材料利用效率高、污染物排放量少的清洁工艺，并加强管理，</w:t>
      </w:r>
      <w:r>
        <w:rPr>
          <w:rFonts w:hint="eastAsia" w:ascii="仿宋_GB2312" w:hAnsi="黑体" w:cs="黑体"/>
          <w:color w:val="auto"/>
          <w:szCs w:val="32"/>
        </w:rPr>
        <w:t>按照规定实施清洁生产审核，</w:t>
      </w:r>
      <w:r>
        <w:rPr>
          <w:rFonts w:hint="eastAsia" w:ascii="仿宋_GB2312" w:hAnsi="仿宋_GB2312" w:cs="仿宋_GB2312"/>
          <w:color w:val="auto"/>
          <w:szCs w:val="32"/>
        </w:rPr>
        <w:t>从源头上减少水污染物的产生。</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县级以上人民政府</w:t>
      </w:r>
      <w:r>
        <w:rPr>
          <w:rFonts w:hint="eastAsia" w:ascii="仿宋_GB2312" w:hAnsi="黑体" w:cs="黑体"/>
          <w:color w:val="auto"/>
          <w:szCs w:val="32"/>
        </w:rPr>
        <w:t>应当鼓励企业实行清洁生产，</w:t>
      </w:r>
      <w:r>
        <w:rPr>
          <w:rFonts w:hint="eastAsia" w:ascii="仿宋_GB2312" w:hAnsi="仿宋_GB2312" w:cs="仿宋_GB2312"/>
          <w:color w:val="auto"/>
          <w:szCs w:val="32"/>
        </w:rPr>
        <w:t>对为减少水污染进行技术改造或者转产的企业，通过财政、金融、土地使用、能源供应、政府采购等措施予以扶持。</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 xml:space="preserve"> </w:t>
      </w: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第二节  城镇水污染防治</w:t>
      </w:r>
    </w:p>
    <w:p>
      <w:pPr>
        <w:shd w:val="clear" w:color="auto" w:fill="FFFFFF"/>
        <w:spacing w:line="590" w:lineRule="exact"/>
        <w:ind w:firstLine="482"/>
        <w:jc w:val="center"/>
        <w:rPr>
          <w:rFonts w:hint="eastAsia" w:ascii="仿宋_GB2312" w:hAnsi="仿宋_GB2312" w:cs="仿宋_GB2312"/>
          <w:color w:val="auto"/>
          <w:kern w:val="0"/>
          <w:szCs w:val="32"/>
        </w:rPr>
      </w:pPr>
      <w:r>
        <w:rPr>
          <w:rFonts w:hint="eastAsia" w:ascii="仿宋_GB2312" w:hAnsi="仿宋_GB2312" w:cs="仿宋_GB2312"/>
          <w:color w:val="auto"/>
          <w:kern w:val="0"/>
          <w:szCs w:val="32"/>
        </w:rPr>
        <w:t xml:space="preserve"> </w:t>
      </w:r>
    </w:p>
    <w:p>
      <w:pPr>
        <w:spacing w:line="590" w:lineRule="exact"/>
        <w:ind w:firstLine="640" w:firstLineChars="200"/>
        <w:rPr>
          <w:rFonts w:hint="eastAsia" w:ascii="仿宋_GB2312" w:hAnsi="仿宋_GB2312" w:cs="仿宋_GB2312"/>
          <w:color w:val="auto"/>
          <w:szCs w:val="32"/>
        </w:rPr>
      </w:pPr>
      <w:r>
        <w:rPr>
          <w:rFonts w:hint="eastAsia" w:ascii="黑体" w:hAnsi="仿宋_GB2312" w:eastAsia="黑体" w:cs="仿宋_GB2312"/>
          <w:color w:val="auto"/>
          <w:szCs w:val="32"/>
        </w:rPr>
        <w:t>第</w:t>
      </w:r>
      <w:r>
        <w:rPr>
          <w:rFonts w:hint="eastAsia" w:ascii="黑体" w:hAnsi="仿宋_GB2312" w:eastAsia="黑体" w:cs="仿宋_GB2312"/>
          <w:color w:val="auto"/>
        </w:rPr>
        <w:t>三十</w:t>
      </w:r>
      <w:r>
        <w:rPr>
          <w:rFonts w:hint="eastAsia" w:ascii="黑体" w:hAnsi="仿宋_GB2312" w:eastAsia="黑体" w:cs="仿宋_GB2312"/>
          <w:color w:val="auto"/>
          <w:szCs w:val="32"/>
        </w:rPr>
        <w:t>条</w:t>
      </w:r>
      <w:r>
        <w:rPr>
          <w:rFonts w:hint="eastAsia" w:ascii="仿宋_GB2312" w:hAnsi="仿宋_GB2312" w:cs="仿宋_GB2312"/>
          <w:color w:val="auto"/>
          <w:szCs w:val="32"/>
        </w:rPr>
        <w:t xml:space="preserve">  县级以上人民政府应当根据国土空间规划和水污染防治规划，编制本行政区域的城镇污水处理设施建设规划，通过财政预算和其他渠道筹集资金，统筹建设城镇污水集中处理设施和配套管网，保证城镇污水集中处理设施的处理能力与城镇污水产生量相适应，配套管网建设满</w:t>
      </w:r>
      <w:r>
        <w:rPr>
          <w:rFonts w:hint="eastAsia" w:ascii="仿宋_GB2312" w:hAnsi="仿宋_GB2312" w:cs="仿宋_GB2312"/>
          <w:color w:val="auto"/>
          <w:spacing w:val="-6"/>
          <w:szCs w:val="32"/>
        </w:rPr>
        <w:t>足城镇发展规模需要并正常运行，提高城镇污水的收集率和处理率。</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污水集中处理设施的排污口位置设置应当符合水功能区划、水资源保护规划和防洪规划的要求。</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在城镇排水与污水处理设施覆盖范围外的企业事业单位和其他生产经营者、旅游区、居住小区等，应当采取有效措施收集和处理产生的生活污水，并达标排放。</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三十一</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新区建设和旧城区改造，应当同步规划建设污水、雨水收集管网，实行雨污分流。在有条件的地区，应当逐步推进初期雨水调蓄处理和利用，减少水污染。</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已实行雨污分流的区域，不得向雨水收集口、雨水管道排放污水。尚未实行雨污分流的区域，应当按照要求逐步进行雨污分流改造；难以改造的，应当采取沿河截污、调蓄和治理等措施，防止污染水环境。</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w:t>
      </w:r>
      <w:r>
        <w:rPr>
          <w:rFonts w:hint="eastAsia" w:ascii="黑体" w:hAnsi="黑体" w:eastAsia="黑体" w:cs="仿宋_GB2312"/>
          <w:color w:val="auto"/>
        </w:rPr>
        <w:t>三十二</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向城镇污水集中处理设施排放水污染物，应当符合国家或者地方规定的水污染物排放标准。县级以上人民政府城镇排水主管部门应当加强对排水户的排放口设置、连接管网、预处理设施和水质、水量监测设施建设和运行的指导和监督。城镇排水主管部门委托的排水监测机构应当对排水户排放污水的水质和水量进行监测，并建立排水监测档案。</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城镇污水集中处理设施运营单位应当保证污水处理设施的正常运行，并对出水水质负责。城镇污水集中处理设施运营单位应当为进出水自动监测系统的安全运行提供保障条件。县级以上人民政府城镇排水主管部门应当对城镇污水集中处理设施运营情况进行监督和考核，生态环境主管部门应当依法对城镇污水集中处理设施的出水水质和水量进行监督检查。</w:t>
      </w:r>
    </w:p>
    <w:p>
      <w:pPr>
        <w:numPr>
          <w:ilvl w:val="0"/>
          <w:numId w:val="0"/>
        </w:numPr>
        <w:spacing w:line="590" w:lineRule="exact"/>
        <w:ind w:firstLine="640" w:firstLineChars="200"/>
        <w:rPr>
          <w:rFonts w:hint="eastAsia" w:ascii="仿宋_GB2312" w:hAnsi="仿宋_GB2312" w:cs="仿宋_GB2312"/>
          <w:color w:val="auto"/>
          <w:szCs w:val="32"/>
        </w:rPr>
      </w:pPr>
      <w:r>
        <w:rPr>
          <w:rFonts w:hint="eastAsia" w:ascii="仿宋_GB2312"/>
          <w:color w:val="auto"/>
          <w:szCs w:val="32"/>
        </w:rPr>
        <w:t>医疗机构、学校、科研院所、企业等单位的实验室、检验室、化验室等产生的有毒有害废水，应当按照有关规定收集处置，不得违法倾倒、排放。</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鼓励、支持污水处理厂进行尾水深度处理，提高再生水回用率，减少水污染。</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第三十三条</w:t>
      </w:r>
      <w:r>
        <w:rPr>
          <w:rFonts w:hint="eastAsia" w:ascii="仿宋_GB2312" w:hAnsi="仿宋_GB2312" w:cs="仿宋_GB2312"/>
          <w:color w:val="auto"/>
          <w:szCs w:val="32"/>
        </w:rPr>
        <w:t xml:space="preserve">  县级以上人民政府应当鼓励污水再生利用，在资金、技术等方面扶持再生水利用项目，进行城镇新区建设、旧城改造和市政基础设施建设时，配套建设再生水利用设施。</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工业生产、城市绿化、道路清扫、车辆冲洗、建筑施工以及生态景观等，应当优先使用再生水。有条件使用再生水的单位，应当优先使用再生水。</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 xml:space="preserve"> </w:t>
      </w: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第三节  农业和农村水污染防治</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 xml:space="preserve"> </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第三十四条</w:t>
      </w:r>
      <w:r>
        <w:rPr>
          <w:rFonts w:hint="eastAsia" w:ascii="仿宋_GB2312" w:hAnsi="仿宋_GB2312" w:cs="仿宋_GB2312"/>
          <w:color w:val="auto"/>
          <w:szCs w:val="32"/>
        </w:rPr>
        <w:t xml:space="preserve">  县级以上人民政府应当统筹规划农村环境基础设施建设，加强农村人居环境综合整治，采用集中与分散相结合的模式建设和完善农村污水、垃圾收集和处理设施，实施农村厕所改造，因地制宜实施雨污分流，将有条件的农村和城镇周边村庄纳入城镇污水、垃圾处理体系，并做好资金保障。</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农田建设、土地开发整理应当达到相关环境保护要求。饮用水水源保护区、重要水库汇水区等区域应当建设生态沟渠、生态净化塘、地表径流集蓄池等设施，净化农田排水及地表径流。</w:t>
      </w:r>
    </w:p>
    <w:p>
      <w:pPr>
        <w:spacing w:line="590" w:lineRule="exact"/>
        <w:ind w:firstLine="616" w:firstLineChars="200"/>
        <w:rPr>
          <w:rFonts w:hint="eastAsia" w:ascii="黑体" w:hAnsi="黑体" w:eastAsia="黑体" w:cs="仿宋_GB2312"/>
          <w:color w:val="auto"/>
          <w:spacing w:val="-6"/>
          <w:szCs w:val="32"/>
        </w:rPr>
      </w:pPr>
      <w:r>
        <w:rPr>
          <w:rFonts w:hint="eastAsia" w:ascii="仿宋_GB2312" w:hAnsi="仿宋_GB2312" w:cs="仿宋_GB2312"/>
          <w:color w:val="auto"/>
          <w:spacing w:val="-6"/>
          <w:szCs w:val="32"/>
        </w:rPr>
        <w:t>在农村地区从事生产加工、旅游、餐饮等经营活动，应当按照国家和省的规定排放污水。县级以上人民政府有关主管部门应当指导和监督生产经营者采取有效水污染防治措施，减少水污染。</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第三十五条</w:t>
      </w:r>
      <w:r>
        <w:rPr>
          <w:rFonts w:hint="eastAsia" w:ascii="仿宋_GB2312" w:hAnsi="仿宋_GB2312" w:cs="仿宋_GB2312"/>
          <w:color w:val="auto"/>
          <w:szCs w:val="32"/>
        </w:rPr>
        <w:t xml:space="preserve">  县级以上人民政府有关主管部门应当按照法律法规和国家有关规定，依法科学划定禁养区，报同级人民政府批准后实施，并向社会公布。</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畜禽养殖场、养殖小区应当依法对畜禽养殖废弃物实施综合利用和无害化处理。养殖专业户、畜禽散养户应当采取有效措施，防止畜禽粪便、污水渗漏、溢流、散落。委托农户进行畜禽养殖的企业事业单位和其他生产经营者应当在委托时明确畜禽粪便、污水处置要求，并指导农户对畜禽粪便、污水采取有效污染防治措施。</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省人民政府有关主管部门应当根据水产养殖污染防治的需要，制定本省地方水产养殖尾水排放标准。从事水产养殖应当保护水域生态环境，科学确定养殖密度，合理投饵和科学使用药物，实施环境激素类化学品淘汰、替代、限制等措施，以及养殖尾水达标排放或者资源化利用，防止污染水环境。鼓励采取生态健康养殖模式。</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第三十六条</w:t>
      </w:r>
      <w:r>
        <w:rPr>
          <w:rFonts w:hint="eastAsia" w:ascii="仿宋_GB2312" w:hAnsi="仿宋_GB2312" w:cs="仿宋_GB2312"/>
          <w:color w:val="auto"/>
          <w:szCs w:val="32"/>
        </w:rPr>
        <w:t xml:space="preserve">  县级以上人民政府应当优化农业种植业结构和发展布局，推动生态农业发展。</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县级以上人民政府农业农村主管部门</w:t>
      </w:r>
      <w:r>
        <w:rPr>
          <w:rFonts w:hint="eastAsia" w:ascii="仿宋_GB2312" w:hAnsi="黑体" w:cs="黑体"/>
          <w:color w:val="auto"/>
          <w:szCs w:val="32"/>
        </w:rPr>
        <w:t>和其他有关部门</w:t>
      </w:r>
      <w:r>
        <w:rPr>
          <w:rFonts w:hint="eastAsia" w:ascii="仿宋_GB2312" w:hAnsi="仿宋_GB2312" w:cs="仿宋_GB2312"/>
          <w:color w:val="auto"/>
          <w:szCs w:val="32"/>
        </w:rPr>
        <w:t>应当</w:t>
      </w:r>
      <w:r>
        <w:rPr>
          <w:rFonts w:hint="eastAsia" w:ascii="仿宋_GB2312" w:hAnsi="黑体" w:cs="黑体"/>
          <w:color w:val="auto"/>
          <w:szCs w:val="32"/>
        </w:rPr>
        <w:t>指导农业生产者科学、合理施用化肥和农药，推广精准施肥、节水灌溉技术和高效低毒低残留农药，组织开展病虫害统一预防、统一治理，</w:t>
      </w:r>
      <w:r>
        <w:rPr>
          <w:rFonts w:hint="eastAsia" w:ascii="仿宋_GB2312" w:hAnsi="仿宋_GB2312" w:cs="仿宋_GB2312"/>
          <w:color w:val="auto"/>
          <w:szCs w:val="32"/>
        </w:rPr>
        <w:t>加强对生产、销售、使用农药和处置过期失效农药及农药包装物的综合监督管理，防止污染水环境。</w:t>
      </w:r>
    </w:p>
    <w:p>
      <w:pPr>
        <w:pStyle w:val="7"/>
        <w:spacing w:line="590" w:lineRule="exact"/>
        <w:ind w:firstLine="632"/>
        <w:rPr>
          <w:rFonts w:hint="eastAsia" w:ascii="仿宋_GB2312" w:hAnsi="黑体" w:eastAsia="仿宋_GB2312" w:cs="黑体"/>
          <w:color w:val="auto"/>
          <w:szCs w:val="32"/>
        </w:rPr>
      </w:pPr>
      <w:r>
        <w:rPr>
          <w:rFonts w:hint="eastAsia" w:ascii="仿宋_GB2312" w:hAnsi="黑体" w:eastAsia="仿宋_GB2312" w:cs="黑体"/>
          <w:color w:val="auto"/>
          <w:szCs w:val="32"/>
        </w:rPr>
        <w:t>县级以上人民政府农业农村主管部门应当引导有关单位和其他生产经营者依法收集、贮存、运输、利用、处置农业固体废物，加强对秸秆等农业废弃物综合利用的监督管理，防止污染水环境。</w:t>
      </w:r>
    </w:p>
    <w:p>
      <w:pPr>
        <w:spacing w:line="590" w:lineRule="exact"/>
        <w:ind w:firstLine="640" w:firstLineChars="200"/>
        <w:rPr>
          <w:rFonts w:hint="eastAsia" w:ascii="仿宋_GB2312" w:hAnsi="仿宋_GB2312" w:cs="仿宋_GB2312"/>
          <w:color w:val="auto"/>
          <w:szCs w:val="32"/>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第四节  船舶水污染防治</w:t>
      </w:r>
    </w:p>
    <w:p>
      <w:pPr>
        <w:spacing w:line="590" w:lineRule="exact"/>
        <w:ind w:firstLine="640" w:firstLineChars="200"/>
        <w:rPr>
          <w:rFonts w:hint="eastAsia" w:ascii="黑体" w:hAnsi="黑体" w:eastAsia="黑体" w:cs="仿宋_GB2312"/>
          <w:color w:val="auto"/>
          <w:szCs w:val="32"/>
        </w:rPr>
      </w:pP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szCs w:val="32"/>
        </w:rPr>
        <w:t>第三十七条</w:t>
      </w:r>
      <w:r>
        <w:rPr>
          <w:rFonts w:hint="eastAsia" w:ascii="仿宋_GB2312" w:hAnsi="仿宋_GB2312" w:cs="仿宋_GB2312"/>
          <w:color w:val="auto"/>
          <w:szCs w:val="32"/>
        </w:rPr>
        <w:t xml:space="preserve">  航行、停泊、作业的船舶，应当配备符合国家有关规范、标准以及所在水域排放标准或者要求的污染防治设备、器材，</w:t>
      </w:r>
      <w:r>
        <w:rPr>
          <w:rFonts w:hint="eastAsia" w:ascii="仿宋_GB2312" w:hAnsi="仿宋_GB2312" w:cs="仿宋_GB2312"/>
          <w:color w:val="auto"/>
        </w:rPr>
        <w:t>不得违反规定向水体排放污染物。船舶装用污水储存设施暂存污水并将其排往岸上接收设施处理的，除应急旁通管路外不得设置其他可以将污水直接排入水体的外排口。船舶航经饮用水水源保护区等特殊排放要求区域时，应当保证其污水外排口全程处于有效锁闭状态。不符合排放规定的船舶污染物应当交由港口、码头、装卸站或者有资质的单位接收处理，并按照规定在相应的船舶文书中记录。船舶污染物接收单证和相关记录文书应当按照规定保存备查。</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船舶使用的燃料应当符合有关法律法规和标准要求，鼓励船舶使用清洁能源。在具有饮用水水源功能的湖泊和水库航行、停泊、作业的船舶，应当优先使用清洁能源，防止污染水环境。</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第三十八条</w:t>
      </w:r>
      <w:r>
        <w:rPr>
          <w:rFonts w:hint="eastAsia" w:ascii="仿宋_GB2312" w:hAnsi="仿宋_GB2312" w:cs="仿宋_GB2312"/>
          <w:color w:val="auto"/>
          <w:szCs w:val="32"/>
        </w:rPr>
        <w:t xml:space="preserve">  港口、码头、装卸站和船舶修造厂所在地的地级以上市、县级人民政府应当统筹规划建设船舶污染物、废弃物的接收、转运及处理处置设施。</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港口、码头、装卸站和船舶修造厂应当具备足够的船舶污染物、废弃物的接收能力，并按照规定处置污染物。新建、改建、扩建港口、码头、装卸站和船舶修造厂，应当配套建设相应的船舶污染物、废弃物的接收设施，并做好与城市市政公共处理设施的衔接。现有港口、码头、装卸站和船舶修造厂应当逐步配套建设相应的船舶污染物、废弃物的接收设施；尚未建成接收设施的，应当委托经备案符合船舶污染物、废弃物接收资质的专业单位负责接收。</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从事船舶污染物、废弃物接收作业，或者从事装载油类、污染危害性货物船舱清洗作业的单位，应当具备与其运营规模相适应的接收处理能力。</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第三十九条</w:t>
      </w:r>
      <w:r>
        <w:rPr>
          <w:rFonts w:hint="eastAsia" w:ascii="仿宋_GB2312" w:hAnsi="仿宋_GB2312" w:cs="仿宋_GB2312"/>
          <w:color w:val="auto"/>
          <w:szCs w:val="32"/>
        </w:rPr>
        <w:t xml:space="preserve">  县级以上人民政府应当组织交通运输、生态环境、住房城乡建设、农业农村、市场监督管理等部门及海事管理机构建立船舶水上污染防治执法联动机制，对船舶污染实行全程监督管理。</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县级以上人民政府农业农村、水行政、能源主管部门和海事管理机构应当按照职责，加强对渔业船舶、趸船和洗砂船、旅游</w:t>
      </w:r>
      <w:r>
        <w:rPr>
          <w:rFonts w:hint="eastAsia" w:ascii="仿宋_GB2312" w:hAnsi="仿宋_GB2312" w:cs="仿宋_GB2312"/>
          <w:color w:val="auto"/>
          <w:spacing w:val="-6"/>
          <w:szCs w:val="32"/>
        </w:rPr>
        <w:t>船和从事成品油供应的水上加油船及其有关作业活动的监督管理。</w:t>
      </w:r>
    </w:p>
    <w:p>
      <w:pPr>
        <w:spacing w:line="590" w:lineRule="exact"/>
        <w:ind w:firstLine="640" w:firstLineChars="200"/>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第五章  饮用水水源保护和流域特别规定</w:t>
      </w:r>
    </w:p>
    <w:p>
      <w:pPr>
        <w:spacing w:line="590" w:lineRule="exact"/>
        <w:jc w:val="center"/>
        <w:rPr>
          <w:rFonts w:hint="eastAsia" w:ascii="仿宋_GB2312" w:hAnsi="仿宋_GB2312"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w:t>
      </w:r>
      <w:r>
        <w:rPr>
          <w:rFonts w:hint="eastAsia" w:ascii="黑体" w:hAnsi="仿宋_GB2312" w:eastAsia="黑体" w:cs="仿宋_GB2312"/>
          <w:color w:val="auto"/>
          <w:szCs w:val="32"/>
        </w:rPr>
        <w:t>四十</w:t>
      </w:r>
      <w:r>
        <w:rPr>
          <w:rFonts w:hint="eastAsia" w:ascii="黑体" w:hAnsi="仿宋_GB2312" w:eastAsia="黑体" w:cs="仿宋_GB2312"/>
          <w:color w:val="auto"/>
        </w:rPr>
        <w:t>条</w:t>
      </w:r>
      <w:r>
        <w:rPr>
          <w:rFonts w:hint="eastAsia" w:ascii="仿宋_GB2312" w:hAnsi="仿宋_GB2312" w:cs="仿宋_GB2312"/>
          <w:color w:val="auto"/>
        </w:rPr>
        <w:t xml:space="preserve">  饮用水水源保护区分为一级保护区和二级保护区；必要时，可以在饮用水水源保护区外围划定一定的区域作为准保护区。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饮用水水源保护区的划定，由有关地级以上市、县级人民政府根据当地国土空间规划、供水现状和规划，按照国家和省的有关规定提出划定方案，报省人民政府批准。</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跨地级以上市建设作为饮用水水源的异地引水工程，应当在取水口和非完全封闭式饮用水输水河道或者渠道一定范围内的水域和陆域划定饮用水水源保护区。</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有关地级以上市、县级人民政府可以根据保护饮用水水源的实际需要，在确保饮用水安全的前提下，提出饮用水水源保护区调整方案，按饮用水水源保护区划定程序报批。</w:t>
      </w:r>
    </w:p>
    <w:p>
      <w:pPr>
        <w:spacing w:line="590" w:lineRule="exact"/>
        <w:ind w:firstLine="640" w:firstLineChars="200"/>
        <w:rPr>
          <w:rFonts w:hint="eastAsia"/>
        </w:rPr>
      </w:pPr>
      <w:r>
        <w:rPr>
          <w:rFonts w:hint="eastAsia" w:ascii="黑体" w:hAnsi="黑体" w:eastAsia="黑体"/>
        </w:rPr>
        <w:t>第</w:t>
      </w:r>
      <w:r>
        <w:rPr>
          <w:rFonts w:hint="eastAsia" w:ascii="黑体" w:hAnsi="黑体" w:eastAsia="黑体"/>
          <w:szCs w:val="32"/>
        </w:rPr>
        <w:t>四十一</w:t>
      </w:r>
      <w:r>
        <w:rPr>
          <w:rFonts w:hint="eastAsia" w:ascii="黑体" w:hAnsi="黑体" w:eastAsia="黑体"/>
        </w:rPr>
        <w:t>条</w:t>
      </w:r>
      <w:r>
        <w:rPr>
          <w:rFonts w:hint="eastAsia"/>
        </w:rPr>
        <w:t xml:space="preserve">  县级以上人民政府应当合理安排、布局农村饮用水水源，加强农村饮用水水源的保护和治理，做好水质检测和卫生防护等工作，有条件的地区可以采取城镇供水管网延伸或者建设跨村、跨乡镇联片集中供水工程等方式，发展规模集中供水，推动形成城乡一体化的饮用水</w:t>
      </w:r>
      <w:r>
        <w:rPr>
          <w:rFonts w:hint="eastAsia" w:ascii="黑体" w:hAnsi="黑体" w:cs="黑体"/>
        </w:rPr>
        <w:t>水</w:t>
      </w:r>
      <w:r>
        <w:rPr>
          <w:rFonts w:hint="eastAsia"/>
        </w:rPr>
        <w:t>源保护机制。</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新建、改建、扩建的农村集中供水工程，应当同步开展饮用水水源保护区的划定工作。</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四十二</w:t>
      </w:r>
      <w:r>
        <w:rPr>
          <w:rFonts w:hint="eastAsia" w:ascii="黑体" w:hAnsi="黑体" w:eastAsia="黑体" w:cs="仿宋_GB2312"/>
          <w:color w:val="auto"/>
        </w:rPr>
        <w:t>条</w:t>
      </w:r>
      <w:r>
        <w:rPr>
          <w:rFonts w:hint="eastAsia" w:ascii="仿宋_GB2312" w:hAnsi="仿宋_GB2312" w:cs="仿宋_GB2312"/>
          <w:color w:val="auto"/>
        </w:rPr>
        <w:t xml:space="preserve">  饮用水水源保护区的划定或者调整方案经批准后，有关地方人民政府应当组织开展饮用水水源保护区规范化建设，在饮用水水源保护区边界设立明确的地理界标和明显的警示标志，在饮用水水源一级保护区周边人类活动频繁的区域设置隔离防护设施，在取水口周围安装监控设备。</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任何单位和个人不得拆除、覆盖、擅自移动、涂改和损坏饮</w:t>
      </w:r>
      <w:r>
        <w:rPr>
          <w:rFonts w:hint="eastAsia" w:ascii="仿宋_GB2312" w:hAnsi="仿宋_GB2312" w:cs="仿宋_GB2312"/>
          <w:color w:val="auto"/>
          <w:spacing w:val="-6"/>
        </w:rPr>
        <w:t>用水水源保护区地理界标、警示标志、隔离防护设施或者监控设备。</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四十三</w:t>
      </w:r>
      <w:r>
        <w:rPr>
          <w:rFonts w:hint="eastAsia" w:ascii="黑体" w:hAnsi="黑体" w:eastAsia="黑体" w:cs="仿宋_GB2312"/>
          <w:color w:val="auto"/>
        </w:rPr>
        <w:t>条</w:t>
      </w:r>
      <w:r>
        <w:rPr>
          <w:rFonts w:hint="eastAsia" w:ascii="仿宋_GB2312" w:hAnsi="仿宋_GB2312" w:cs="仿宋_GB2312"/>
          <w:color w:val="auto"/>
        </w:rPr>
        <w:t xml:space="preserve">  </w:t>
      </w:r>
      <w:r>
        <w:rPr>
          <w:rFonts w:hint="eastAsia" w:ascii="仿宋_GB2312" w:hAnsi="黑体" w:cs="黑体"/>
          <w:color w:val="auto"/>
        </w:rPr>
        <w:t>在</w:t>
      </w:r>
      <w:r>
        <w:rPr>
          <w:rFonts w:hint="eastAsia" w:ascii="仿宋_GB2312" w:hAnsi="仿宋_GB2312" w:cs="仿宋_GB2312"/>
          <w:color w:val="auto"/>
        </w:rPr>
        <w:t>饮用水水源保护区内禁止下列行为：</w:t>
      </w:r>
    </w:p>
    <w:p>
      <w:pPr>
        <w:spacing w:line="590" w:lineRule="exact"/>
        <w:ind w:firstLine="640" w:firstLineChars="200"/>
        <w:rPr>
          <w:rFonts w:hint="eastAsia" w:ascii="仿宋_GB2312" w:hAnsi="黑体" w:cs="黑体"/>
          <w:color w:val="auto"/>
        </w:rPr>
      </w:pPr>
      <w:r>
        <w:rPr>
          <w:rFonts w:hint="eastAsia" w:ascii="仿宋_GB2312" w:hAnsi="黑体" w:cs="黑体"/>
          <w:color w:val="auto"/>
        </w:rPr>
        <w:t>（一）设置排污口；</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二</w:t>
      </w:r>
      <w:r>
        <w:rPr>
          <w:rFonts w:hint="eastAsia" w:ascii="仿宋_GB2312" w:hAnsi="仿宋_GB2312" w:cs="仿宋_GB2312"/>
          <w:color w:val="auto"/>
        </w:rPr>
        <w:t>）设置油类及其他有毒有害物品的储存罐、仓库、堆栈和废弃物回收场、加工场；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三</w:t>
      </w:r>
      <w:r>
        <w:rPr>
          <w:rFonts w:hint="eastAsia" w:ascii="仿宋_GB2312" w:hAnsi="仿宋_GB2312" w:cs="仿宋_GB2312"/>
          <w:color w:val="auto"/>
        </w:rPr>
        <w:t>）排放、倾倒、堆放、处置剧毒物品、放射性物质以及油类、酸碱类物质、工业废渣、生活垃圾、医疗废物及其他废弃物；</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四</w:t>
      </w:r>
      <w:r>
        <w:rPr>
          <w:rFonts w:hint="eastAsia" w:ascii="仿宋_GB2312" w:hAnsi="仿宋_GB2312" w:cs="仿宋_GB2312"/>
          <w:color w:val="auto"/>
        </w:rPr>
        <w:t>）从事船舶制造、修理、拆解作业；</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五</w:t>
      </w:r>
      <w:r>
        <w:rPr>
          <w:rFonts w:hint="eastAsia" w:ascii="仿宋_GB2312" w:hAnsi="仿宋_GB2312" w:cs="仿宋_GB2312"/>
          <w:color w:val="auto"/>
        </w:rPr>
        <w:t xml:space="preserve">）利用码头等设施或者船舶装卸油类、垃圾、粪便、煤、有毒有害物品； </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六</w:t>
      </w:r>
      <w:r>
        <w:rPr>
          <w:rFonts w:hint="eastAsia" w:ascii="仿宋_GB2312" w:hAnsi="仿宋_GB2312" w:cs="仿宋_GB2312"/>
          <w:color w:val="auto"/>
        </w:rPr>
        <w:t>）利用船舶运输剧毒物品、危险废物以及国家规定禁止运输的其他危险化学品；</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七</w:t>
      </w:r>
      <w:r>
        <w:rPr>
          <w:rFonts w:hint="eastAsia" w:ascii="仿宋_GB2312" w:hAnsi="仿宋_GB2312" w:cs="仿宋_GB2312"/>
          <w:color w:val="auto"/>
        </w:rPr>
        <w:t>）运输剧毒物品的车辆通行；</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黑体" w:cs="黑体"/>
          <w:color w:val="auto"/>
        </w:rPr>
        <w:t>八</w:t>
      </w:r>
      <w:r>
        <w:rPr>
          <w:rFonts w:hint="eastAsia" w:ascii="仿宋_GB2312" w:hAnsi="仿宋_GB2312" w:cs="仿宋_GB2312"/>
          <w:color w:val="auto"/>
        </w:rPr>
        <w:t>）其他污染饮用水水源的行为。</w:t>
      </w:r>
    </w:p>
    <w:p>
      <w:pPr>
        <w:pStyle w:val="7"/>
        <w:spacing w:line="590" w:lineRule="exact"/>
        <w:ind w:firstLine="632"/>
        <w:rPr>
          <w:rFonts w:hint="eastAsia" w:ascii="仿宋_GB2312" w:hAnsi="仿宋_GB2312" w:eastAsia="仿宋_GB2312" w:cs="仿宋_GB2312"/>
          <w:color w:val="auto"/>
        </w:rPr>
      </w:pPr>
      <w:r>
        <w:rPr>
          <w:rFonts w:hint="eastAsia" w:ascii="仿宋_GB2312" w:hAnsi="仿宋_GB2312" w:eastAsia="仿宋_GB2312" w:cs="仿宋_GB2312"/>
          <w:color w:val="auto"/>
        </w:rPr>
        <w:t>除前款规定外，饮用水水源一级保护区内还</w:t>
      </w:r>
      <w:r>
        <w:rPr>
          <w:rFonts w:hint="eastAsia" w:ascii="仿宋_GB2312" w:hAnsi="黑体" w:eastAsia="仿宋_GB2312" w:cs="黑体"/>
          <w:color w:val="auto"/>
        </w:rPr>
        <w:t>不得停泊与保护水源无关的船舶、木排、竹排，</w:t>
      </w:r>
      <w:r>
        <w:rPr>
          <w:rFonts w:hint="eastAsia" w:ascii="仿宋_GB2312" w:hAnsi="仿宋_GB2312" w:eastAsia="仿宋_GB2312" w:cs="仿宋_GB2312"/>
          <w:color w:val="auto"/>
        </w:rPr>
        <w:t>不得从事</w:t>
      </w:r>
      <w:r>
        <w:rPr>
          <w:rFonts w:hint="eastAsia" w:ascii="仿宋_GB2312" w:hAnsi="黑体" w:eastAsia="仿宋_GB2312" w:cs="黑体"/>
          <w:color w:val="auto"/>
        </w:rPr>
        <w:t>网箱养殖、旅游、游泳、垂钓、</w:t>
      </w:r>
      <w:r>
        <w:rPr>
          <w:rFonts w:hint="eastAsia" w:ascii="仿宋_GB2312" w:hAnsi="仿宋_GB2312" w:eastAsia="仿宋_GB2312" w:cs="仿宋_GB2312"/>
          <w:color w:val="auto"/>
        </w:rPr>
        <w:t>放养畜禽活动</w:t>
      </w:r>
      <w:r>
        <w:rPr>
          <w:rFonts w:hint="eastAsia" w:ascii="仿宋_GB2312" w:hAnsi="黑体" w:eastAsia="仿宋_GB2312" w:cs="黑体"/>
          <w:color w:val="auto"/>
        </w:rPr>
        <w:t>或者其他可能污染饮用水水体的活动</w:t>
      </w:r>
      <w:r>
        <w:rPr>
          <w:rFonts w:hint="eastAsia" w:ascii="仿宋_GB2312" w:hAnsi="仿宋_GB2312" w:eastAsia="仿宋_GB2312" w:cs="仿宋_GB2312"/>
          <w:color w:val="auto"/>
        </w:rPr>
        <w:t>。</w:t>
      </w:r>
    </w:p>
    <w:p>
      <w:pPr>
        <w:pStyle w:val="7"/>
        <w:spacing w:line="590" w:lineRule="exact"/>
        <w:ind w:firstLine="632"/>
        <w:rPr>
          <w:rFonts w:hint="eastAsia" w:ascii="黑体" w:hAnsi="黑体" w:eastAsia="黑体"/>
          <w:color w:val="auto"/>
        </w:rPr>
      </w:pPr>
      <w:r>
        <w:rPr>
          <w:rFonts w:hint="eastAsia" w:ascii="仿宋_GB2312" w:hAnsi="黑体" w:eastAsia="仿宋_GB2312" w:cs="黑体"/>
          <w:color w:val="auto"/>
        </w:rPr>
        <w:t>在饮用水水源二级保护区内从事网箱养殖、旅游等活动的，应当按照规定采取措施，防止污染饮用水水体。</w:t>
      </w:r>
    </w:p>
    <w:p>
      <w:pPr>
        <w:pStyle w:val="7"/>
        <w:spacing w:line="590" w:lineRule="exact"/>
        <w:ind w:firstLine="632"/>
        <w:rPr>
          <w:rFonts w:hint="eastAsia" w:ascii="仿宋_GB2312" w:hAnsi="仿宋_GB2312" w:eastAsia="仿宋_GB2312" w:cs="仿宋_GB2312"/>
          <w:color w:val="auto"/>
        </w:rPr>
      </w:pPr>
      <w:r>
        <w:rPr>
          <w:rFonts w:hint="eastAsia" w:ascii="黑体" w:hAnsi="黑体" w:eastAsia="黑体" w:cs="仿宋_GB2312"/>
          <w:color w:val="auto"/>
        </w:rPr>
        <w:t>第四十四条</w:t>
      </w:r>
      <w:r>
        <w:rPr>
          <w:rFonts w:hint="eastAsia" w:ascii="仿宋_GB2312" w:hAnsi="仿宋_GB2312" w:eastAsia="仿宋_GB2312" w:cs="仿宋_GB2312"/>
          <w:color w:val="auto"/>
        </w:rPr>
        <w:t xml:space="preserve">  禁止在饮用水水源一级保护区内新建、改建、扩建与供水设施和保护水源无关的建设项目</w:t>
      </w:r>
      <w:r>
        <w:rPr>
          <w:rFonts w:hint="eastAsia" w:ascii="仿宋_GB2312" w:hAnsi="黑体" w:eastAsia="仿宋_GB2312" w:cs="黑体"/>
          <w:color w:val="auto"/>
        </w:rPr>
        <w:t>；已建成的与供水设施和保护水源无关的建设项目由县级以上人民政府责令拆除或者关闭</w:t>
      </w:r>
      <w:r>
        <w:rPr>
          <w:rFonts w:hint="eastAsia" w:ascii="仿宋_GB2312" w:hAnsi="仿宋_GB2312" w:eastAsia="仿宋_GB2312" w:cs="仿宋_GB2312"/>
          <w:color w:val="auto"/>
        </w:rPr>
        <w:t>。</w:t>
      </w:r>
    </w:p>
    <w:p>
      <w:pPr>
        <w:pStyle w:val="7"/>
        <w:spacing w:line="590" w:lineRule="exact"/>
        <w:ind w:firstLine="632"/>
        <w:rPr>
          <w:rFonts w:hint="eastAsia" w:ascii="黑体" w:hAnsi="黑体" w:eastAsia="黑体" w:cs="仿宋_GB2312"/>
          <w:color w:val="auto"/>
        </w:rPr>
      </w:pPr>
      <w:r>
        <w:rPr>
          <w:rFonts w:hint="eastAsia" w:ascii="仿宋_GB2312" w:hAnsi="仿宋_GB2312" w:eastAsia="仿宋_GB2312" w:cs="仿宋_GB2312"/>
          <w:color w:val="auto"/>
        </w:rPr>
        <w:t>禁止在饮用水水源二级保护区内新建、改建、扩建排放污染物的建设项目</w:t>
      </w:r>
      <w:r>
        <w:rPr>
          <w:rFonts w:hint="eastAsia" w:ascii="仿宋_GB2312" w:hAnsi="黑体" w:eastAsia="仿宋_GB2312" w:cs="黑体"/>
          <w:color w:val="auto"/>
        </w:rPr>
        <w:t>；已建成的排放污染物的建设项目由县级以上人民政府责令拆除或者关闭；不排放污染物的建设项目，除与供水设施和保护水源有关的外，</w:t>
      </w:r>
      <w:r>
        <w:rPr>
          <w:rFonts w:hint="eastAsia" w:ascii="仿宋_GB2312" w:hAnsi="仿宋_GB2312" w:eastAsia="仿宋_GB2312" w:cs="仿宋_GB2312"/>
          <w:color w:val="auto"/>
        </w:rPr>
        <w:t>应当尽量避让饮用水水源二级保护区</w:t>
      </w:r>
      <w:r>
        <w:rPr>
          <w:rFonts w:hint="eastAsia" w:ascii="仿宋_GB2312" w:hAnsi="黑体" w:eastAsia="仿宋_GB2312" w:cs="黑体"/>
          <w:color w:val="auto"/>
        </w:rPr>
        <w:t>；经组织论证确实无法避让的，应当依法严格审批。</w:t>
      </w:r>
      <w:r>
        <w:rPr>
          <w:rFonts w:hint="eastAsia" w:ascii="仿宋_GB2312" w:hAnsi="仿宋_GB2312" w:eastAsia="仿宋_GB2312" w:cs="仿宋_GB2312"/>
          <w:color w:val="auto"/>
        </w:rPr>
        <w:t>经依法批准的建设项目，应当严格落实工程设计</w:t>
      </w:r>
      <w:r>
        <w:rPr>
          <w:rFonts w:hint="eastAsia" w:ascii="仿宋_GB2312" w:hAnsi="黑体" w:eastAsia="仿宋_GB2312" w:cs="黑体"/>
          <w:color w:val="auto"/>
        </w:rPr>
        <w:t>方案，并根据项目类型和环境风险防控需要，提高</w:t>
      </w:r>
      <w:r>
        <w:rPr>
          <w:rFonts w:hint="eastAsia" w:ascii="仿宋_GB2312" w:hAnsi="仿宋_GB2312" w:eastAsia="仿宋_GB2312" w:cs="仿宋_GB2312"/>
          <w:color w:val="auto"/>
        </w:rPr>
        <w:t>施工和运营期间的环境风险防控、突发环境事件应急处置等各项措施</w:t>
      </w:r>
      <w:r>
        <w:rPr>
          <w:rFonts w:hint="eastAsia" w:ascii="仿宋_GB2312" w:hAnsi="黑体" w:eastAsia="仿宋_GB2312" w:cs="黑体"/>
          <w:color w:val="auto"/>
        </w:rPr>
        <w:t>的等级。有关主管部门应当</w:t>
      </w:r>
      <w:r>
        <w:rPr>
          <w:rFonts w:hint="eastAsia" w:ascii="仿宋_GB2312" w:hAnsi="仿宋_GB2312" w:eastAsia="仿宋_GB2312" w:cs="仿宋_GB2312"/>
          <w:color w:val="auto"/>
        </w:rPr>
        <w:t>加强</w:t>
      </w:r>
      <w:r>
        <w:rPr>
          <w:rFonts w:hint="eastAsia" w:ascii="仿宋_GB2312" w:hAnsi="黑体" w:eastAsia="仿宋_GB2312" w:cs="黑体"/>
          <w:color w:val="auto"/>
        </w:rPr>
        <w:t>对建设项目施工、运营期间</w:t>
      </w:r>
      <w:r>
        <w:rPr>
          <w:rFonts w:hint="eastAsia" w:ascii="仿宋_GB2312" w:hAnsi="仿宋_GB2312" w:eastAsia="仿宋_GB2312" w:cs="仿宋_GB2312"/>
          <w:color w:val="auto"/>
        </w:rPr>
        <w:t>环境风险预警和防控工作</w:t>
      </w:r>
      <w:r>
        <w:rPr>
          <w:rFonts w:hint="eastAsia" w:ascii="仿宋_GB2312" w:hAnsi="黑体" w:eastAsia="仿宋_GB2312" w:cs="黑体"/>
          <w:color w:val="auto"/>
        </w:rPr>
        <w:t>的监督和指导</w:t>
      </w:r>
      <w:r>
        <w:rPr>
          <w:rFonts w:hint="eastAsia" w:ascii="仿宋_GB2312" w:hAnsi="仿宋_GB2312" w:eastAsia="仿宋_GB2312" w:cs="仿宋_GB2312"/>
          <w:color w:val="auto"/>
        </w:rPr>
        <w:t>。</w:t>
      </w:r>
    </w:p>
    <w:p>
      <w:pPr>
        <w:spacing w:line="590" w:lineRule="exact"/>
        <w:ind w:firstLine="640" w:firstLineChars="200"/>
        <w:rPr>
          <w:rFonts w:hint="eastAsia" w:eastAsia="宋体"/>
        </w:rPr>
      </w:pPr>
      <w:r>
        <w:rPr>
          <w:rFonts w:hint="eastAsia" w:ascii="黑体" w:hAnsi="黑体" w:eastAsia="黑体"/>
        </w:rPr>
        <w:t>第</w:t>
      </w:r>
      <w:r>
        <w:rPr>
          <w:rFonts w:hint="eastAsia" w:ascii="黑体" w:hAnsi="黑体" w:eastAsia="黑体"/>
          <w:szCs w:val="32"/>
        </w:rPr>
        <w:t>四十五</w:t>
      </w:r>
      <w:r>
        <w:rPr>
          <w:rFonts w:hint="eastAsia" w:ascii="黑体" w:hAnsi="黑体" w:eastAsia="黑体"/>
        </w:rPr>
        <w:t>条</w:t>
      </w:r>
      <w:r>
        <w:rPr>
          <w:rFonts w:hint="eastAsia"/>
        </w:rPr>
        <w:t xml:space="preserve">  单一</w:t>
      </w:r>
      <w:r>
        <w:rPr>
          <w:rFonts w:hint="eastAsia" w:ascii="黑体" w:hAnsi="黑体" w:cs="黑体"/>
        </w:rPr>
        <w:t>饮用水</w:t>
      </w:r>
      <w:r>
        <w:rPr>
          <w:rFonts w:hint="eastAsia"/>
        </w:rPr>
        <w:t>水源供水城市的人民政府应当建设应急水源或者备用水源，有条件的地区可以开展区域联网供水。确定为应急水源或者备用水源的，应当划定饮用水水源保护区，配备供水设施，并采取措施加强保护。</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四十六</w:t>
      </w:r>
      <w:r>
        <w:rPr>
          <w:rFonts w:hint="eastAsia" w:ascii="黑体" w:hAnsi="黑体" w:eastAsia="黑体" w:cs="仿宋_GB2312"/>
          <w:color w:val="auto"/>
        </w:rPr>
        <w:t>条</w:t>
      </w:r>
      <w:r>
        <w:rPr>
          <w:rFonts w:hint="eastAsia" w:ascii="仿宋_GB2312" w:hAnsi="仿宋_GB2312" w:cs="仿宋_GB2312"/>
          <w:color w:val="auto"/>
        </w:rPr>
        <w:t xml:space="preserve">  县级以上人民政府可以依法征用或者租用饮用水水源保护区内的土地，用于涵养饮用水水源。严格限制饮用水水源汇水区内的生态保护与水源涵养区域变更土地利用方式。</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因划定或者调整饮用水水源保护区，对饮用水水源保护区内的公民、法人和其他组织的合法权益造成损害的，有关人民政府应当依法予以补偿。</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四十七</w:t>
      </w:r>
      <w:r>
        <w:rPr>
          <w:rFonts w:hint="eastAsia" w:ascii="黑体" w:hAnsi="黑体" w:eastAsia="黑体" w:cs="仿宋_GB2312"/>
          <w:color w:val="auto"/>
        </w:rPr>
        <w:t>条</w:t>
      </w:r>
      <w:r>
        <w:rPr>
          <w:rFonts w:hint="eastAsia" w:ascii="仿宋_GB2312" w:hAnsi="仿宋_GB2312" w:cs="仿宋_GB2312"/>
          <w:color w:val="auto"/>
        </w:rPr>
        <w:t xml:space="preserve">  县级以上人民政府应当组织生态环境、供水、卫生健康等主管部门，监测和评估本行政区域内饮用水水源、供水单位供水和用户水龙头出水的水质等饮用水安全状况。</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县级以上人民政府有关部门应当至少每季度向社会公开一次饮用水安全状况信息。</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四十八</w:t>
      </w:r>
      <w:r>
        <w:rPr>
          <w:rFonts w:hint="eastAsia" w:ascii="黑体" w:hAnsi="黑体" w:eastAsia="黑体" w:cs="仿宋_GB2312"/>
          <w:color w:val="auto"/>
        </w:rPr>
        <w:t>条</w:t>
      </w:r>
      <w:r>
        <w:rPr>
          <w:rFonts w:hint="eastAsia" w:ascii="仿宋_GB2312" w:hAnsi="仿宋_GB2312" w:cs="仿宋_GB2312"/>
          <w:color w:val="auto"/>
        </w:rPr>
        <w:t xml:space="preserve">  在异地引水工程的管理和保护范围内，不得从事危及工程安全运行的爆破、打井、采石、陡坡开荒、排放或者堆放污染物等活动。</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任何单位和个人不得侵占或者损毁输水管道、阀门、泵站等异地引水工程设施。</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禁止在未采取加固措施的输水管道上方行驶或者停放车辆以及大量堆放砂石、砖瓦、金属、木材等物品，禁止在异地引水工程管理范围内敷设可能对输水管道及其附属设施产生侵蚀的管道或者其他构筑物以及种植根系发达、可能损坏输水管道防腐层的植物。</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rPr>
        <w:t>第</w:t>
      </w:r>
      <w:r>
        <w:rPr>
          <w:rFonts w:hint="eastAsia" w:ascii="黑体" w:hAnsi="黑体" w:eastAsia="黑体" w:cs="仿宋_GB2312"/>
          <w:color w:val="auto"/>
          <w:szCs w:val="32"/>
        </w:rPr>
        <w:t>四十九</w:t>
      </w:r>
      <w:r>
        <w:rPr>
          <w:rFonts w:hint="eastAsia" w:ascii="黑体" w:hAnsi="黑体" w:eastAsia="黑体" w:cs="仿宋_GB2312"/>
          <w:color w:val="auto"/>
        </w:rPr>
        <w:t>条</w:t>
      </w:r>
      <w:r>
        <w:rPr>
          <w:rFonts w:hint="eastAsia" w:ascii="仿宋_GB2312" w:hAnsi="仿宋_GB2312" w:cs="仿宋_GB2312"/>
          <w:color w:val="auto"/>
        </w:rPr>
        <w:t xml:space="preserve">  </w:t>
      </w:r>
      <w:r>
        <w:rPr>
          <w:rFonts w:hint="eastAsia" w:ascii="仿宋_GB2312" w:hAnsi="仿宋_GB2312" w:cs="仿宋_GB2312"/>
          <w:color w:val="auto"/>
          <w:szCs w:val="32"/>
        </w:rPr>
        <w:t>禁止在江河、湖泊、运河、渠道、水库最高水位线以下的滩地和岸坡堆放、存贮固体废弃物和其他污染物。</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禁止在东江干流和一级支流两岸最高水位线水平外延五百米范围内新建废弃物堆放场和处理场。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禁止在西江干流、一级支流两岸及</w:t>
      </w:r>
      <w:r>
        <w:rPr>
          <w:rFonts w:hint="eastAsia" w:ascii="黑体" w:hAnsi="黑体" w:cs="黑体"/>
          <w:color w:val="auto"/>
        </w:rPr>
        <w:t>流域内</w:t>
      </w:r>
      <w:r>
        <w:rPr>
          <w:rFonts w:hint="eastAsia" w:ascii="仿宋_GB2312" w:hAnsi="仿宋_GB2312" w:cs="仿宋_GB2312"/>
          <w:color w:val="auto"/>
        </w:rPr>
        <w:t>湖泊、水库最高水位线水平外延五百米范围内新建、扩建废弃物堆放场和处理场。</w:t>
      </w:r>
    </w:p>
    <w:p>
      <w:pPr>
        <w:pStyle w:val="7"/>
        <w:spacing w:line="590" w:lineRule="exact"/>
        <w:ind w:firstLine="632"/>
        <w:rPr>
          <w:rFonts w:hint="eastAsia" w:ascii="黑体" w:hAnsi="黑体" w:eastAsia="仿宋_GB2312" w:cs="黑体"/>
        </w:rPr>
      </w:pPr>
      <w:r>
        <w:rPr>
          <w:rFonts w:hint="eastAsia" w:ascii="黑体" w:hAnsi="黑体" w:eastAsia="仿宋_GB2312" w:cs="黑体"/>
        </w:rPr>
        <w:t>禁止在韩江干流和一级、二级支流两岸最高水位线水平外延五百米范围内新建废弃物堆放场和处理场。</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已有的堆放场和处理场应当采取有效的防治污染措施，危及水体水质安全的，由县级以上人民政府责令限期搬迁。</w:t>
      </w:r>
    </w:p>
    <w:p>
      <w:pPr>
        <w:spacing w:line="590" w:lineRule="exact"/>
        <w:ind w:firstLine="640" w:firstLineChars="200"/>
        <w:rPr>
          <w:rFonts w:hint="eastAsia" w:ascii="仿宋_GB2312" w:hAnsi="仿宋_GB2312" w:cs="仿宋_GB2312"/>
          <w:color w:val="auto"/>
        </w:rPr>
      </w:pPr>
      <w:r>
        <w:rPr>
          <w:rFonts w:hint="eastAsia" w:ascii="黑体" w:hAnsi="仿宋_GB2312" w:eastAsia="黑体" w:cs="仿宋_GB2312"/>
          <w:color w:val="auto"/>
        </w:rPr>
        <w:t>第</w:t>
      </w:r>
      <w:r>
        <w:rPr>
          <w:rFonts w:hint="eastAsia" w:ascii="黑体" w:hAnsi="仿宋_GB2312" w:eastAsia="黑体" w:cs="仿宋_GB2312"/>
          <w:color w:val="auto"/>
          <w:szCs w:val="32"/>
        </w:rPr>
        <w:t>五十</w:t>
      </w:r>
      <w:r>
        <w:rPr>
          <w:rFonts w:hint="eastAsia" w:ascii="黑体" w:hAnsi="仿宋_GB2312" w:eastAsia="黑体" w:cs="仿宋_GB2312"/>
          <w:color w:val="auto"/>
        </w:rPr>
        <w:t>条</w:t>
      </w:r>
      <w:r>
        <w:rPr>
          <w:rFonts w:hint="eastAsia" w:ascii="仿宋_GB2312" w:hAnsi="仿宋_GB2312" w:cs="仿宋_GB2312"/>
          <w:color w:val="auto"/>
        </w:rPr>
        <w:t xml:space="preserve">  新建、改建、扩建的项目应当符合国家产业政策规定。</w:t>
      </w:r>
    </w:p>
    <w:p>
      <w:pPr>
        <w:spacing w:line="590" w:lineRule="exact"/>
        <w:ind w:firstLine="640" w:firstLineChars="200"/>
        <w:rPr>
          <w:rFonts w:hint="eastAsia" w:ascii="仿宋_GB2312" w:hAnsi="仿宋_GB2312" w:cs="仿宋_GB2312"/>
          <w:color w:val="auto"/>
        </w:rPr>
      </w:pPr>
      <w:r>
        <w:rPr>
          <w:rFonts w:hint="eastAsia" w:ascii="黑体" w:hAnsi="黑体" w:cs="黑体"/>
          <w:color w:val="auto"/>
        </w:rPr>
        <w:t>在东江流域内，</w:t>
      </w:r>
      <w:r>
        <w:rPr>
          <w:rFonts w:hint="eastAsia" w:ascii="仿宋_GB2312" w:hAnsi="仿宋_GB2312" w:cs="仿宋_GB2312"/>
          <w:color w:val="auto"/>
        </w:rPr>
        <w:t>除国家产业政策规定的禁止项目外，还禁止新建农药、铬盐、钛白粉</w:t>
      </w:r>
      <w:r>
        <w:rPr>
          <w:rFonts w:hint="eastAsia" w:ascii="黑体" w:hAnsi="黑体" w:cs="黑体"/>
          <w:color w:val="auto"/>
        </w:rPr>
        <w:t>生产项目，禁止新建</w:t>
      </w:r>
      <w:r>
        <w:rPr>
          <w:rFonts w:hint="eastAsia" w:ascii="仿宋_GB2312" w:hAnsi="仿宋_GB2312" w:cs="仿宋_GB2312"/>
          <w:color w:val="auto"/>
        </w:rPr>
        <w:t>稀土分离、炼砒、炼铍、纸浆制造</w:t>
      </w:r>
      <w:r>
        <w:rPr>
          <w:rFonts w:hint="eastAsia" w:ascii="黑体" w:hAnsi="黑体" w:cs="黑体"/>
          <w:color w:val="auto"/>
        </w:rPr>
        <w:t>、</w:t>
      </w:r>
      <w:r>
        <w:rPr>
          <w:rFonts w:hint="eastAsia" w:ascii="仿宋_GB2312" w:hAnsi="仿宋_GB2312" w:cs="仿宋_GB2312"/>
          <w:color w:val="auto"/>
        </w:rPr>
        <w:t>氰化法提炼产品、开采和冶炼放射性矿产及其他严重污染水环境的</w:t>
      </w:r>
      <w:r>
        <w:rPr>
          <w:rFonts w:hint="eastAsia" w:ascii="黑体" w:hAnsi="黑体" w:cs="黑体"/>
          <w:color w:val="auto"/>
        </w:rPr>
        <w:t>项目</w:t>
      </w:r>
      <w:r>
        <w:rPr>
          <w:rFonts w:hint="eastAsia" w:ascii="仿宋_GB2312" w:hAnsi="仿宋_GB2312" w:cs="仿宋_GB2312"/>
          <w:color w:val="auto"/>
        </w:rPr>
        <w:t>；严格控制新建造纸、制革、味精、电镀、漂染、印染、炼油、发酵酿造、非放射性矿产冶炼以及使用含汞、砷、镉、铬、铅为原料的项目。禁止在东江水系岸边和水上拆船。</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北江流域实行重金属污染物排放总量控制，严格控制新建涉重金属排放的项目，新建、改建、扩建的项目严格实行重金属等特征污染物排放减量置换。</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第五十一条</w:t>
      </w:r>
      <w:r>
        <w:rPr>
          <w:rFonts w:hint="eastAsia" w:ascii="仿宋_GB2312" w:hAnsi="仿宋_GB2312" w:cs="仿宋_GB2312"/>
          <w:color w:val="auto"/>
        </w:rPr>
        <w:t xml:space="preserve">  县级以上人民政府应当加大保护和改善水环境、防治水污染的财政投入。</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省人民政府应当每年从财政预算中安排东江水系水质保护专项资金，用作上、中游水系水质保护经费。水质保护经费的使用管理办法由省人民政府规定。</w:t>
      </w:r>
    </w:p>
    <w:p>
      <w:pPr>
        <w:pStyle w:val="7"/>
        <w:spacing w:line="590" w:lineRule="exact"/>
        <w:ind w:firstLine="632"/>
        <w:rPr>
          <w:rFonts w:hint="eastAsia" w:ascii="仿宋_GB2312" w:hAnsi="仿宋_GB2312" w:eastAsia="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第六章  区域水污染防治协作</w:t>
      </w:r>
    </w:p>
    <w:p>
      <w:pPr>
        <w:spacing w:line="590" w:lineRule="exact"/>
        <w:ind w:firstLine="640" w:firstLineChars="200"/>
        <w:rPr>
          <w:rFonts w:hint="eastAsia" w:ascii="黑体" w:hAnsi="黑体" w:eastAsia="黑体"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五十二</w:t>
      </w:r>
      <w:r>
        <w:rPr>
          <w:rFonts w:hint="eastAsia" w:ascii="黑体" w:hAnsi="黑体" w:eastAsia="黑体" w:cs="仿宋_GB2312"/>
          <w:color w:val="auto"/>
        </w:rPr>
        <w:t>条</w:t>
      </w:r>
      <w:r>
        <w:rPr>
          <w:rFonts w:hint="eastAsia" w:ascii="仿宋_GB2312" w:hAnsi="仿宋_GB2312" w:cs="仿宋_GB2312"/>
          <w:color w:val="auto"/>
        </w:rPr>
        <w:t xml:space="preserve">  省人民政府应当加强省际间水质保护的协调、合作，共同预防和治理水污染、保护水环境。</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省人民政府生态环境主管部门应当建立完善与相邻省级人民政府生态环境主管部门的联动工作机制，加强水环境信息交流和共享，依法开展生态环境监测、执法、应急处置等合作，共同处理跨省突发水环境事件以及水污染纠纷，协调解决跨省重大水环境问题。</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五十三</w:t>
      </w:r>
      <w:r>
        <w:rPr>
          <w:rFonts w:hint="eastAsia" w:ascii="黑体" w:hAnsi="黑体" w:eastAsia="黑体" w:cs="仿宋_GB2312"/>
          <w:color w:val="auto"/>
        </w:rPr>
        <w:t>条</w:t>
      </w:r>
      <w:r>
        <w:rPr>
          <w:rFonts w:hint="eastAsia" w:ascii="仿宋_GB2312" w:hAnsi="仿宋_GB2312" w:cs="仿宋_GB2312"/>
          <w:color w:val="auto"/>
        </w:rPr>
        <w:t xml:space="preserve">  省人民政府应当建立完善省内重点流域、重点区域水污染防治协作机制，组织相关地级以上市人民政府共同研究解决水污染防治的重大事项。</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有关地级以上市、县级人民政府应当建立跨行政区域水污染联防联控机制，协同开展跨行政区域水污染防治工作，实施统一监测、共同治理、联合执法、应急联动，加强共享水环境信息，协调处理跨行政区域的水污染纠纷。</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跨流域水资源调配工程沿线的</w:t>
      </w:r>
      <w:r>
        <w:rPr>
          <w:rFonts w:hint="eastAsia" w:ascii="黑体" w:hAnsi="黑体" w:cs="黑体"/>
          <w:color w:val="auto"/>
        </w:rPr>
        <w:t>地级以上市、</w:t>
      </w:r>
      <w:r>
        <w:rPr>
          <w:rFonts w:hint="eastAsia" w:ascii="仿宋_GB2312" w:hAnsi="仿宋_GB2312" w:cs="仿宋_GB2312"/>
          <w:color w:val="auto"/>
        </w:rPr>
        <w:t>县级人民政府应当加强水污染防治，共同做好水质保障工作。</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五十四</w:t>
      </w:r>
      <w:r>
        <w:rPr>
          <w:rFonts w:hint="eastAsia" w:ascii="黑体" w:hAnsi="黑体" w:eastAsia="黑体" w:cs="仿宋_GB2312"/>
          <w:color w:val="auto"/>
        </w:rPr>
        <w:t>条</w:t>
      </w:r>
      <w:r>
        <w:rPr>
          <w:rFonts w:hint="eastAsia" w:ascii="仿宋_GB2312" w:hAnsi="仿宋_GB2312" w:cs="仿宋_GB2312"/>
          <w:color w:val="auto"/>
        </w:rPr>
        <w:t xml:space="preserve">  省人民政府和粤港澳大湾区内地级以上市人民政府应当推动构建粤港澳水污染防治的统筹协调机制，实施重要江河水质提升工程，保障珠三角以及港澳供水安全，推进重污染河流系统治理，加强与港澳地区交接河流的污染整治。</w:t>
      </w:r>
    </w:p>
    <w:p>
      <w:pPr>
        <w:spacing w:line="590" w:lineRule="exact"/>
        <w:ind w:firstLine="640" w:firstLineChars="200"/>
        <w:jc w:val="left"/>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五十五</w:t>
      </w:r>
      <w:r>
        <w:rPr>
          <w:rFonts w:hint="eastAsia" w:ascii="黑体" w:hAnsi="黑体" w:eastAsia="黑体" w:cs="仿宋_GB2312"/>
          <w:color w:val="auto"/>
        </w:rPr>
        <w:t>条</w:t>
      </w:r>
      <w:r>
        <w:rPr>
          <w:rFonts w:hint="eastAsia" w:ascii="仿宋_GB2312" w:hAnsi="仿宋_GB2312" w:cs="仿宋_GB2312"/>
          <w:color w:val="auto"/>
        </w:rPr>
        <w:t xml:space="preserve">  省人民政府和粤港澳大湾区内地级以上市人民政府应当推动建立大湾区生态环境交流合作机制和平台，加强与港澳地区水资源保护、水污染治理、水生态保护等技术交流和合作。</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五十六</w:t>
      </w:r>
      <w:r>
        <w:rPr>
          <w:rFonts w:hint="eastAsia" w:ascii="黑体" w:hAnsi="黑体" w:eastAsia="黑体" w:cs="仿宋_GB2312"/>
          <w:color w:val="auto"/>
        </w:rPr>
        <w:t>条</w:t>
      </w:r>
      <w:r>
        <w:rPr>
          <w:rFonts w:hint="eastAsia" w:ascii="仿宋_GB2312" w:hAnsi="仿宋_GB2312" w:cs="仿宋_GB2312"/>
          <w:color w:val="auto"/>
        </w:rPr>
        <w:t xml:space="preserve">  地级以上市、县级人民政府应当确保河流交接断面水质达到控制目标要求。水质未达到控制目标要求的，责任方应当采取有效措施，限期达标。以河流中心线为行政区划界限的共有河段，由相邻地级以上市、县级人民政府共同承担保护责任，采取有效措施，确保水质达到目标要求。</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五十七</w:t>
      </w:r>
      <w:r>
        <w:rPr>
          <w:rFonts w:hint="eastAsia" w:ascii="黑体" w:hAnsi="黑体" w:eastAsia="黑体" w:cs="仿宋_GB2312"/>
          <w:color w:val="auto"/>
        </w:rPr>
        <w:t>条</w:t>
      </w:r>
      <w:r>
        <w:rPr>
          <w:rFonts w:hint="eastAsia" w:ascii="仿宋_GB2312" w:hAnsi="仿宋_GB2312" w:cs="仿宋_GB2312"/>
          <w:color w:val="auto"/>
        </w:rPr>
        <w:t xml:space="preserve">  省人民政府应当推</w:t>
      </w:r>
      <w:r>
        <w:rPr>
          <w:rFonts w:hint="eastAsia" w:ascii="仿宋_GB2312" w:hAnsi="黑体" w:cs="黑体"/>
          <w:color w:val="auto"/>
        </w:rPr>
        <w:t>进</w:t>
      </w:r>
      <w:r>
        <w:rPr>
          <w:rFonts w:hint="eastAsia" w:ascii="仿宋_GB2312" w:hAnsi="仿宋_GB2312" w:cs="仿宋_GB2312"/>
          <w:color w:val="auto"/>
        </w:rPr>
        <w:t>水环境生态补偿制度和标准体系</w:t>
      </w:r>
      <w:r>
        <w:rPr>
          <w:rFonts w:hint="eastAsia" w:ascii="仿宋_GB2312" w:hAnsi="黑体" w:cs="黑体"/>
          <w:color w:val="auto"/>
        </w:rPr>
        <w:t>建设</w:t>
      </w:r>
      <w:r>
        <w:rPr>
          <w:rFonts w:hint="eastAsia" w:ascii="仿宋_GB2312" w:hAnsi="仿宋_GB2312" w:cs="仿宋_GB2312"/>
          <w:color w:val="auto"/>
        </w:rPr>
        <w:t>，通过资金补偿、对口协作、产业转移、人才培训、共建园区等方式，推动受益地区与上游地区、受水地区和供水地区建立生态补偿关系。发挥财政资金的引导和带动作用，鼓励引入社会资本参与生态保护补偿工作。</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县级以上人民政府及有关主管部门应当加强对重点湿地的保护，鼓励农民退耕退养还湿地，对纳入保护范围、具有水源涵养功能的湿地按面积和水质状况向土地使用权人支付生态补偿费。</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有关人民政府应当落实生态保护补偿资金，确保其用于生态保护补偿，不得截留、占用、挪用。</w:t>
      </w:r>
    </w:p>
    <w:p>
      <w:pPr>
        <w:spacing w:line="590" w:lineRule="exact"/>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第七章  风险防范与事故应急处置</w:t>
      </w:r>
    </w:p>
    <w:p>
      <w:pPr>
        <w:spacing w:line="590" w:lineRule="exact"/>
        <w:jc w:val="center"/>
        <w:rPr>
          <w:rFonts w:hint="eastAsia" w:ascii="黑体" w:hAnsi="黑体" w:eastAsia="黑体" w:cs="仿宋_GB2312"/>
          <w:color w:val="auto"/>
          <w:szCs w:val="32"/>
        </w:rPr>
      </w:pPr>
      <w:r>
        <w:rPr>
          <w:rFonts w:hint="eastAsia" w:ascii="仿宋_GB2312" w:hAnsi="仿宋_GB2312" w:cs="仿宋_GB2312"/>
          <w:color w:val="auto"/>
          <w:szCs w:val="32"/>
        </w:rPr>
        <w:t xml:space="preserve"> </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第五</w:t>
      </w:r>
      <w:r>
        <w:rPr>
          <w:rFonts w:hint="eastAsia" w:ascii="黑体" w:hAnsi="黑体" w:eastAsia="黑体" w:cs="仿宋_GB2312"/>
          <w:color w:val="auto"/>
        </w:rPr>
        <w:t>十八</w:t>
      </w:r>
      <w:r>
        <w:rPr>
          <w:rFonts w:hint="eastAsia" w:ascii="黑体" w:hAnsi="黑体" w:eastAsia="黑体" w:cs="仿宋_GB2312"/>
          <w:color w:val="auto"/>
          <w:szCs w:val="32"/>
        </w:rPr>
        <w:t>条</w:t>
      </w:r>
      <w:r>
        <w:rPr>
          <w:rFonts w:hint="eastAsia" w:ascii="仿宋_GB2312" w:hAnsi="仿宋_GB2312" w:cs="仿宋_GB2312"/>
          <w:color w:val="auto"/>
          <w:szCs w:val="32"/>
        </w:rPr>
        <w:t xml:space="preserve">  县级以上人民政府应当组织相关部门加强对以饮用水</w:t>
      </w:r>
      <w:r>
        <w:rPr>
          <w:rFonts w:hint="eastAsia" w:ascii="仿宋_GB2312" w:hAnsi="仿宋_GB2312" w:cs="仿宋_GB2312"/>
          <w:color w:val="auto"/>
          <w:szCs w:val="32"/>
          <w:lang w:eastAsia="zh-CN"/>
        </w:rPr>
        <w:t>水</w:t>
      </w:r>
      <w:r>
        <w:rPr>
          <w:rFonts w:hint="eastAsia" w:ascii="仿宋_GB2312" w:hAnsi="仿宋_GB2312" w:cs="仿宋_GB2312"/>
          <w:color w:val="auto"/>
          <w:szCs w:val="32"/>
        </w:rPr>
        <w:t>源功能为主的江河、湖泊、水库风险源排查，制定风险控制对策，构建风险防范体系。</w:t>
      </w:r>
    </w:p>
    <w:p>
      <w:pPr>
        <w:spacing w:line="590" w:lineRule="exact"/>
        <w:ind w:firstLine="640" w:firstLineChars="200"/>
        <w:rPr>
          <w:rFonts w:hint="eastAsia" w:ascii="黑体" w:hAnsi="黑体" w:eastAsia="黑体" w:cs="仿宋_GB2312"/>
          <w:color w:val="auto"/>
          <w:szCs w:val="32"/>
        </w:rPr>
      </w:pPr>
      <w:r>
        <w:rPr>
          <w:rFonts w:hint="eastAsia" w:ascii="仿宋_GB2312" w:hAnsi="仿宋_GB2312" w:cs="仿宋_GB2312"/>
          <w:color w:val="auto"/>
          <w:szCs w:val="32"/>
        </w:rPr>
        <w:t>县级以上人民政府及相关主管部门应当加强水环境应急能力标准化建设，配备应急监测设备和装备，提高区域水污染事故预警能力。</w:t>
      </w:r>
    </w:p>
    <w:p>
      <w:pPr>
        <w:spacing w:line="590" w:lineRule="exact"/>
        <w:ind w:firstLine="640" w:firstLineChars="200"/>
        <w:rPr>
          <w:rFonts w:hint="eastAsia" w:ascii="仿宋_GB2312" w:hAnsi="仿宋_GB2312" w:cs="仿宋_GB2312"/>
          <w:color w:val="auto"/>
          <w:szCs w:val="32"/>
        </w:rPr>
      </w:pPr>
      <w:r>
        <w:rPr>
          <w:rFonts w:hint="eastAsia" w:ascii="黑体" w:hAnsi="黑体" w:eastAsia="黑体" w:cs="仿宋_GB2312"/>
          <w:color w:val="auto"/>
          <w:szCs w:val="32"/>
        </w:rPr>
        <w:t>第五十九条</w:t>
      </w:r>
      <w:r>
        <w:rPr>
          <w:rFonts w:hint="eastAsia" w:ascii="仿宋_GB2312" w:hAnsi="仿宋_GB2312" w:cs="仿宋_GB2312"/>
          <w:color w:val="auto"/>
          <w:szCs w:val="32"/>
        </w:rPr>
        <w:t xml:space="preserve">  县级以上生态环境主管部门和县级以上人民政府负有水污染防治监督管理职责的部门应当按照各自职责对排污口、水污染防治设施进行环境安全监督检查。</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可能发生水污染事故的企业事业单位应当按照国家和省有关规定开展环境安全隐患排查和水污染事故风险评估，采取有效措施，防控环境风险。</w:t>
      </w:r>
    </w:p>
    <w:p>
      <w:pPr>
        <w:spacing w:line="590" w:lineRule="exact"/>
        <w:ind w:firstLine="640" w:firstLineChars="200"/>
        <w:rPr>
          <w:rFonts w:hint="eastAsia" w:ascii="仿宋_GB2312" w:hAnsi="仿宋_GB2312" w:cs="仿宋_GB2312"/>
          <w:color w:val="auto"/>
          <w:szCs w:val="32"/>
        </w:rPr>
      </w:pPr>
      <w:r>
        <w:rPr>
          <w:rFonts w:hint="eastAsia" w:ascii="黑体" w:hAnsi="仿宋_GB2312" w:eastAsia="黑体" w:cs="仿宋_GB2312"/>
          <w:color w:val="auto"/>
          <w:szCs w:val="32"/>
        </w:rPr>
        <w:t>第六十条</w:t>
      </w:r>
      <w:r>
        <w:rPr>
          <w:rFonts w:hint="eastAsia" w:ascii="仿宋_GB2312" w:hAnsi="仿宋_GB2312" w:cs="仿宋_GB2312"/>
          <w:color w:val="auto"/>
          <w:szCs w:val="32"/>
        </w:rPr>
        <w:t xml:space="preserve">  因突发性污染事件造成或者可能造成水污染的，有关企业事业单位、负有水污染防治监督管理职责的部门以及相关人民政府应当按照国家和省的有关规定及时报告。对可能造成跨行政区域水体污染的，事件发生地人民政府应当及时通报可能受到污染区域的人民政府。</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突发性污染事件发生后，有关企业事业单位应当立即启动本单位的应急方案，采取隔离等应急措施，防止水污染物进入水体。相关人民政府及其有关部门应当启动应急预案，实施应急监测，采取应急措施，做好应急处置和调查处理工作。</w:t>
      </w:r>
    </w:p>
    <w:p>
      <w:pPr>
        <w:spacing w:line="590" w:lineRule="exact"/>
        <w:rPr>
          <w:rFonts w:hint="eastAsia" w:ascii="仿宋_GB2312" w:hAnsi="仿宋_GB2312" w:cs="仿宋_GB2312"/>
          <w:color w:val="auto"/>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第八章  法律责任</w:t>
      </w:r>
    </w:p>
    <w:p>
      <w:pPr>
        <w:spacing w:line="590" w:lineRule="exact"/>
        <w:jc w:val="center"/>
        <w:rPr>
          <w:rFonts w:hint="eastAsia" w:ascii="黑体" w:hAnsi="黑体" w:eastAsia="黑体" w:cs="仿宋_GB2312"/>
          <w:color w:val="auto"/>
        </w:rPr>
      </w:pP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六十一</w:t>
      </w:r>
      <w:r>
        <w:rPr>
          <w:rFonts w:hint="eastAsia" w:ascii="黑体" w:hAnsi="黑体" w:eastAsia="黑体" w:cs="仿宋_GB2312"/>
          <w:color w:val="auto"/>
        </w:rPr>
        <w:t>条</w:t>
      </w:r>
      <w:r>
        <w:rPr>
          <w:rFonts w:hint="eastAsia" w:ascii="仿宋_GB2312" w:hAnsi="仿宋_GB2312" w:cs="仿宋_GB2312"/>
          <w:color w:val="auto"/>
        </w:rPr>
        <w:t xml:space="preserve">  违反本条例规定，法律、行政法规</w:t>
      </w:r>
      <w:r>
        <w:rPr>
          <w:rFonts w:hint="eastAsia" w:ascii="仿宋_GB2312" w:hAnsi="黑体" w:cs="黑体"/>
          <w:color w:val="auto"/>
        </w:rPr>
        <w:t>已</w:t>
      </w:r>
      <w:r>
        <w:rPr>
          <w:rFonts w:hint="eastAsia" w:ascii="仿宋_GB2312" w:hAnsi="仿宋_GB2312" w:cs="仿宋_GB2312"/>
          <w:color w:val="auto"/>
        </w:rPr>
        <w:t>有</w:t>
      </w:r>
      <w:r>
        <w:rPr>
          <w:rFonts w:hint="eastAsia" w:ascii="仿宋_GB2312" w:hAnsi="黑体" w:cs="黑体"/>
          <w:color w:val="auto"/>
        </w:rPr>
        <w:t>行政</w:t>
      </w:r>
      <w:r>
        <w:rPr>
          <w:rFonts w:hint="eastAsia" w:ascii="仿宋_GB2312" w:hAnsi="仿宋_GB2312" w:cs="仿宋_GB2312"/>
          <w:color w:val="auto"/>
        </w:rPr>
        <w:t>处罚规定的，从其规定</w:t>
      </w:r>
      <w:r>
        <w:rPr>
          <w:rFonts w:hint="eastAsia" w:ascii="仿宋_GB2312" w:hAnsi="黑体" w:cs="黑体"/>
          <w:color w:val="auto"/>
        </w:rPr>
        <w:t>；造成损失的，应当依法承担民事责任；构成犯罪的，依法追究刑事责任</w:t>
      </w:r>
      <w:r>
        <w:rPr>
          <w:rFonts w:hint="eastAsia" w:ascii="仿宋_GB2312" w:hAnsi="仿宋_GB2312" w:cs="仿宋_GB2312"/>
          <w:color w:val="auto"/>
        </w:rPr>
        <w:t>。</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第六十二条</w:t>
      </w:r>
      <w:r>
        <w:rPr>
          <w:rFonts w:hint="eastAsia" w:ascii="仿宋_GB2312" w:hAnsi="仿宋_GB2312" w:cs="仿宋_GB2312"/>
          <w:color w:val="auto"/>
        </w:rPr>
        <w:t xml:space="preserve">  违反本条例第二十一条第二款规定，在地表水Ⅰ、Ⅱ类水域和Ⅲ类水域中的保护区、游泳区新建排污口的，由所在地生态环境主管部门责令限期拆除，处二万元以上十万元以下的罚款；逾期不拆除的，处十万元以上五十万元以下的罚款；情节严重的，可以责令停产整治。</w:t>
      </w:r>
    </w:p>
    <w:p>
      <w:pPr>
        <w:pStyle w:val="7"/>
        <w:spacing w:line="590" w:lineRule="exact"/>
        <w:ind w:firstLine="632"/>
        <w:rPr>
          <w:rFonts w:hint="eastAsia" w:ascii="黑体" w:hAnsi="黑体" w:eastAsia="黑体" w:cs="仿宋_GB2312"/>
          <w:color w:val="auto"/>
        </w:rPr>
      </w:pPr>
      <w:r>
        <w:rPr>
          <w:rFonts w:hint="eastAsia" w:ascii="仿宋_GB2312" w:hAnsi="仿宋_GB2312" w:eastAsia="仿宋_GB2312" w:cs="仿宋_GB2312"/>
          <w:color w:val="auto"/>
        </w:rPr>
        <w:t>违反本条例第二十一条第三款规定，未经生态环境主管部门或者流域生态环境监督管理机构同意，擅自在江河、湖泊新建、改建或者扩建排污口的，由有管辖权的生态环境主管部门或者流域生态环境监督管理机构依据职权，责令限期拆除，处二万元以上十万元以下的罚款；逾期不拆除的，强制拆除，所需费用由违法者承担，处十万元以上五十万元以下的罚款；情节严重的，可以责令停产整治。</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六十三</w:t>
      </w:r>
      <w:r>
        <w:rPr>
          <w:rFonts w:hint="eastAsia" w:ascii="黑体" w:hAnsi="黑体" w:eastAsia="黑体" w:cs="仿宋_GB2312"/>
          <w:color w:val="auto"/>
        </w:rPr>
        <w:t>条</w:t>
      </w:r>
      <w:r>
        <w:rPr>
          <w:rFonts w:hint="eastAsia" w:ascii="仿宋_GB2312" w:hAnsi="仿宋_GB2312" w:cs="仿宋_GB2312"/>
          <w:color w:val="auto"/>
        </w:rPr>
        <w:t xml:space="preserve">  环境监测机构违反本条例第二十三条第三款规定，未按照环境监测规范从事环境监测活动，造成监测数据失实的，由所在地生态环境主管部门责令改正，并可处二万元以上五万元以下的罚款；有隐瞒、伪造、篡改环境监测数据等弄虚作假行为的，由所在地生态环境主管部门责令改正，处十万元以上二十万元以下的罚款。</w:t>
      </w:r>
    </w:p>
    <w:p>
      <w:pPr>
        <w:spacing w:line="590" w:lineRule="exact"/>
        <w:ind w:firstLine="640" w:firstLineChars="200"/>
        <w:rPr>
          <w:rFonts w:hint="eastAsia" w:ascii="黑体" w:hAnsi="黑体" w:eastAsia="黑体"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六十四</w:t>
      </w:r>
      <w:r>
        <w:rPr>
          <w:rFonts w:hint="eastAsia" w:ascii="黑体" w:hAnsi="黑体" w:eastAsia="黑体" w:cs="仿宋_GB2312"/>
          <w:color w:val="auto"/>
        </w:rPr>
        <w:t>条</w:t>
      </w:r>
      <w:r>
        <w:rPr>
          <w:rFonts w:hint="eastAsia" w:ascii="仿宋_GB2312" w:hAnsi="仿宋_GB2312" w:cs="仿宋_GB2312"/>
          <w:color w:val="auto"/>
        </w:rPr>
        <w:t xml:space="preserve">  违反本条例第四十二条第二款规定，拆除、覆盖、擅自移动饮用水水源保护区地理界标、警示标志、隔离防护设施或者监控设备的，由饮用水水源保护区所在地生态环境主管部门责令改正，处二千元以上一万元以下的罚款。</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六十五</w:t>
      </w:r>
      <w:r>
        <w:rPr>
          <w:rFonts w:hint="eastAsia" w:ascii="黑体" w:hAnsi="黑体" w:eastAsia="黑体" w:cs="仿宋_GB2312"/>
          <w:color w:val="auto"/>
        </w:rPr>
        <w:t>条</w:t>
      </w:r>
      <w:r>
        <w:rPr>
          <w:rFonts w:hint="eastAsia" w:ascii="仿宋_GB2312" w:hAnsi="仿宋_GB2312" w:cs="仿宋_GB2312"/>
          <w:color w:val="auto"/>
        </w:rPr>
        <w:t xml:space="preserve">  违反本条例第四十三条第一款规定，按照以下规定处罚：</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一）在饮用水水源保护区内设置油类及其他有毒有害物品的储存罐、仓库、堆栈和废弃物回收场、加工场的，由所在地生态环境主管部门责令停止违法行为，处十万元以上一百万元以下的罚款，并报经有批准权的人民政府批准，责令拆除或者关闭。</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二）在饮用水水源保护区内排放、倾倒、处置、堆放剧毒物品、油类、酸碱类、放射性固体废物，或者排放含有高放射性、中放射性物质的废水的，由所在地生态环境主管部门责令限期采取治理措施，消除污染，并处十万元以上一百万元以下的罚款；逾期不采取治理措施的，生态环境主管部门可以依法指定有治理能力的单位代为治理，所需费用由违法者承担；情节严重的，报经有批准权的人民政府批准，责令停业、关闭。</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三）在饮用水水源保护区内排放、倾倒、处置、堆放工业废渣、生活垃圾、医疗废物及其他废弃物，或者违反国家有关规定、标准排放含有低放射性物质的废水的，由所在地生态环境主管部门责令限期采取治理措施，消除污染，并处二万元以上二十万元以下的罚款；逾期不采取治理措施的，生态环境主管部门可以依法指定有治理能力的单位代为治理，所需费用由违法者承担；情节严重的，报经有批准权的人民政府批准，责令停业、关闭。</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（四）在饮用水水源保护区内从事船舶制造、修理、拆解作业，由所在地生态环境主管部门责令停止违法行为，处二万元以上五万元以下的罚款。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仿宋_GB2312" w:cs="仿宋_GB2312"/>
          <w:color w:val="auto"/>
          <w:szCs w:val="32"/>
        </w:rPr>
        <w:t>五</w:t>
      </w:r>
      <w:r>
        <w:rPr>
          <w:rFonts w:hint="eastAsia" w:ascii="仿宋_GB2312" w:hAnsi="仿宋_GB2312" w:cs="仿宋_GB2312"/>
          <w:color w:val="auto"/>
        </w:rPr>
        <w:t>）在饮用水水源保护区内利用码头等设施或者船舶装卸油类、垃圾、粪便、煤、有毒有害物品的，由所在地生态环境主管部门责令停止违法行为，处五万元以上二十万元以下</w:t>
      </w:r>
      <w:r>
        <w:rPr>
          <w:rFonts w:hint="eastAsia" w:ascii="仿宋_GB2312" w:hAnsi="仿宋_GB2312" w:cs="仿宋_GB2312"/>
          <w:color w:val="auto"/>
          <w:szCs w:val="32"/>
        </w:rPr>
        <w:t>的</w:t>
      </w:r>
      <w:r>
        <w:rPr>
          <w:rFonts w:hint="eastAsia" w:ascii="仿宋_GB2312" w:hAnsi="仿宋_GB2312" w:cs="仿宋_GB2312"/>
          <w:color w:val="auto"/>
        </w:rPr>
        <w:t>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w:t>
      </w:r>
      <w:r>
        <w:rPr>
          <w:rFonts w:hint="eastAsia" w:ascii="仿宋_GB2312" w:hAnsi="仿宋_GB2312" w:cs="仿宋_GB2312"/>
          <w:color w:val="auto"/>
          <w:szCs w:val="32"/>
        </w:rPr>
        <w:t>六</w:t>
      </w:r>
      <w:r>
        <w:rPr>
          <w:rFonts w:hint="eastAsia" w:ascii="仿宋_GB2312" w:hAnsi="仿宋_GB2312" w:cs="仿宋_GB2312"/>
          <w:color w:val="auto"/>
        </w:rPr>
        <w:t>）在饮用水水源保护区利用船舶运输剧毒物品、危险废物以及国家规定禁止运输的其他危险化学品的，由海事管理机构责令改正，处十万元以上二十万元以下的罚款。</w:t>
      </w:r>
    </w:p>
    <w:p>
      <w:pPr>
        <w:spacing w:line="590" w:lineRule="exact"/>
        <w:ind w:firstLine="640" w:firstLineChars="200"/>
        <w:rPr>
          <w:rFonts w:hint="eastAsia" w:ascii="仿宋_GB2312" w:hAnsi="仿宋_GB2312" w:cs="仿宋_GB2312"/>
          <w:color w:val="auto"/>
          <w:szCs w:val="32"/>
        </w:rPr>
      </w:pPr>
      <w:r>
        <w:rPr>
          <w:rFonts w:hint="eastAsia" w:ascii="仿宋_GB2312" w:hAnsi="仿宋_GB2312" w:cs="仿宋_GB2312"/>
          <w:color w:val="auto"/>
          <w:szCs w:val="32"/>
        </w:rPr>
        <w:t>（七）运输剧毒物品的车辆在饮用水水源保护区内通行的，由公安机关依法给予处罚。</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违反本条例第四十三条第二款规定，在饮用水水源一级保护区内停泊与保护水源无关的船舶</w:t>
      </w:r>
      <w:r>
        <w:rPr>
          <w:rFonts w:hint="eastAsia" w:ascii="仿宋_GB2312" w:hAnsi="仿宋_GB2312" w:cs="仿宋_GB2312"/>
          <w:color w:val="auto"/>
          <w:szCs w:val="32"/>
        </w:rPr>
        <w:t>、木排、竹排</w:t>
      </w:r>
      <w:r>
        <w:rPr>
          <w:rFonts w:hint="eastAsia" w:ascii="仿宋_GB2312" w:hAnsi="仿宋_GB2312" w:cs="仿宋_GB2312"/>
          <w:color w:val="auto"/>
        </w:rPr>
        <w:t>的，由海事管理机构</w:t>
      </w:r>
      <w:r>
        <w:rPr>
          <w:rFonts w:hint="eastAsia" w:ascii="仿宋_GB2312" w:hAnsi="仿宋_GB2312" w:cs="仿宋_GB2312"/>
          <w:color w:val="auto"/>
          <w:szCs w:val="32"/>
        </w:rPr>
        <w:t>、农业农村主管部门或者其他负有水污染防治监督管理职责的部门</w:t>
      </w:r>
      <w:r>
        <w:rPr>
          <w:rFonts w:hint="eastAsia" w:ascii="仿宋_GB2312" w:hAnsi="仿宋_GB2312" w:cs="仿宋_GB2312"/>
          <w:color w:val="auto"/>
        </w:rPr>
        <w:t>责令改正，可以处二千元以下的罚款。</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六十六</w:t>
      </w:r>
      <w:r>
        <w:rPr>
          <w:rFonts w:hint="eastAsia" w:ascii="黑体" w:hAnsi="黑体" w:eastAsia="黑体" w:cs="仿宋_GB2312"/>
          <w:color w:val="auto"/>
        </w:rPr>
        <w:t>条</w:t>
      </w:r>
      <w:r>
        <w:rPr>
          <w:rFonts w:hint="eastAsia" w:ascii="仿宋_GB2312" w:hAnsi="仿宋_GB2312" w:cs="仿宋_GB2312"/>
          <w:color w:val="auto"/>
        </w:rPr>
        <w:t xml:space="preserve">  违反本条例第四十八条第一款规定，在异地引水工程的管理和保护范围内，从事爆破、打井、采石、陡坡开荒、排放或者堆放污染物等活动，危害异地引水工程安全的，由县级以上人民政府水行政主管部门责令其立即停止违法行为，恢复原状或者依法赔偿损失，并对个人处一千元罚款，对单位处二万元以上五万元以下的罚款，对单位直接负责的主管人员和其他直接责任人员处二千元以上五千元以下的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违反本条例第四十八条第二款规定，侵占、损毁输水管道、阀门、泵站等异地引水工程设施的，由县级以上人民政府水行政主管部门责令停止违法行为，恢复原状或者赔偿损失，并对个人处一千元罚款，对单位处一万元以上五万元以下的罚款，对单位直接负责的主管人员和其他直接责任人员处二千元以上五千元以下的罚款。</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违反本条例第四十八条第三款规定，在未采取加固措施的输水管道上方行驶或者停放车辆以及大量堆放砂石、砖瓦、金属、木材等物品，在异地引水工程管理范围内敷设可能对输水管道及其附属设施产生侵蚀的管道或者其他构筑物以及种植根系发达、可能损坏输水管道防腐层的植物，危害异地引水工程安全的，由县级以上人民政府水行政主管部门责令停止违法行为，恢复原状或者赔偿损失，并对个人处一千元罚款，对单位处二万元以上五万元以下的罚款，对单位直接负责的主管人员和其他直接责任人员处二千元以上五千元以下的罚款。</w:t>
      </w:r>
    </w:p>
    <w:p>
      <w:pPr>
        <w:spacing w:line="590" w:lineRule="exact"/>
        <w:rPr>
          <w:rFonts w:hint="eastAsia" w:ascii="仿宋_GB2312" w:hAnsi="仿宋_GB2312" w:cs="仿宋_GB2312"/>
          <w:color w:val="auto"/>
          <w:kern w:val="44"/>
          <w:szCs w:val="32"/>
        </w:rPr>
      </w:pPr>
    </w:p>
    <w:p>
      <w:pPr>
        <w:spacing w:line="590" w:lineRule="exact"/>
        <w:jc w:val="center"/>
        <w:outlineLvl w:val="0"/>
        <w:rPr>
          <w:rFonts w:hint="eastAsia" w:ascii="黑体" w:hAnsi="仿宋_GB2312" w:eastAsia="黑体" w:cs="仿宋_GB2312"/>
          <w:color w:val="auto"/>
        </w:rPr>
      </w:pPr>
      <w:r>
        <w:rPr>
          <w:rFonts w:hint="eastAsia" w:ascii="黑体" w:hAnsi="仿宋_GB2312" w:eastAsia="黑体" w:cs="仿宋_GB2312"/>
          <w:color w:val="auto"/>
        </w:rPr>
        <w:t>第九章  附则</w:t>
      </w:r>
    </w:p>
    <w:p>
      <w:pPr>
        <w:spacing w:line="590" w:lineRule="exact"/>
        <w:jc w:val="center"/>
        <w:rPr>
          <w:rFonts w:hint="eastAsia" w:ascii="黑体" w:hAnsi="黑体" w:eastAsia="黑体" w:cs="仿宋_GB2312"/>
          <w:color w:val="auto"/>
        </w:rPr>
      </w:pP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w:t>
      </w:r>
      <w:r>
        <w:rPr>
          <w:rFonts w:hint="eastAsia" w:ascii="黑体" w:hAnsi="黑体" w:eastAsia="黑体" w:cs="仿宋_GB2312"/>
          <w:color w:val="auto"/>
          <w:szCs w:val="32"/>
        </w:rPr>
        <w:t>六十七</w:t>
      </w:r>
      <w:r>
        <w:rPr>
          <w:rFonts w:hint="eastAsia" w:ascii="黑体" w:hAnsi="黑体" w:eastAsia="黑体" w:cs="仿宋_GB2312"/>
          <w:color w:val="auto"/>
        </w:rPr>
        <w:t>条</w:t>
      </w:r>
      <w:r>
        <w:rPr>
          <w:rFonts w:hint="eastAsia" w:ascii="仿宋_GB2312" w:hAnsi="仿宋_GB2312" w:cs="仿宋_GB2312"/>
          <w:color w:val="auto"/>
        </w:rPr>
        <w:t xml:space="preserve">  本条例下列用语的含义：</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（一）东江流域是指从广东省龙川县合河坝至出海口的东江干流及其全部支流在广东省境内的集雨面积；</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（二）西江流域是指从广东省封开县与广西壮族自治区梧州市河流交接断面至佛山市三水区思贤滘的西江干流及其全部支流在本省境内的集雨面积；</w:t>
      </w:r>
    </w:p>
    <w:p>
      <w:pPr>
        <w:spacing w:line="590" w:lineRule="exact"/>
        <w:ind w:firstLine="640" w:firstLineChars="200"/>
        <w:rPr>
          <w:rFonts w:hint="eastAsia" w:ascii="仿宋_GB2312" w:hAnsi="仿宋_GB2312" w:cs="仿宋_GB2312"/>
          <w:color w:val="auto"/>
        </w:rPr>
      </w:pPr>
      <w:r>
        <w:rPr>
          <w:rFonts w:hint="eastAsia" w:ascii="仿宋_GB2312" w:hAnsi="仿宋_GB2312" w:cs="仿宋_GB2312"/>
          <w:color w:val="auto"/>
        </w:rPr>
        <w:t>（三）韩江流域是指韩江干流、梅江、汀江、梅潭河本省境内河段的集雨面积；</w:t>
      </w:r>
    </w:p>
    <w:p>
      <w:pPr>
        <w:pStyle w:val="7"/>
        <w:spacing w:line="590" w:lineRule="exact"/>
        <w:ind w:firstLine="632"/>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（四）北江流域是指从广东省韶关市沙洲尾至佛山市三水区思贤滘的北江干流及其全部支流在本省境内的集雨面积</w:t>
      </w:r>
      <w:r>
        <w:rPr>
          <w:rFonts w:hint="eastAsia" w:ascii="仿宋_GB2312" w:hAnsi="仿宋_GB2312" w:eastAsia="仿宋_GB2312" w:cs="仿宋_GB2312"/>
          <w:color w:val="auto"/>
          <w:lang w:eastAsia="zh-CN"/>
        </w:rPr>
        <w:t>；</w:t>
      </w:r>
    </w:p>
    <w:p>
      <w:pPr>
        <w:spacing w:line="590" w:lineRule="exact"/>
        <w:ind w:firstLine="640" w:firstLineChars="200"/>
        <w:rPr>
          <w:rFonts w:hint="eastAsia" w:ascii="黑体" w:hAnsi="黑体" w:eastAsia="黑体" w:cs="仿宋_GB2312"/>
          <w:color w:val="auto"/>
        </w:rPr>
      </w:pPr>
      <w:r>
        <w:rPr>
          <w:rFonts w:hint="eastAsia" w:ascii="仿宋_GB2312" w:hAnsi="仿宋_GB2312" w:cs="仿宋_GB2312"/>
          <w:color w:val="auto"/>
        </w:rPr>
        <w:t>（五）最高水位线是指河道、湖泊、水库五十年一遇的洪水水位线。</w:t>
      </w:r>
    </w:p>
    <w:p>
      <w:pPr>
        <w:spacing w:line="590" w:lineRule="exact"/>
        <w:ind w:firstLine="640" w:firstLineChars="200"/>
        <w:rPr>
          <w:rFonts w:hint="eastAsia" w:ascii="仿宋_GB2312" w:hAnsi="仿宋_GB2312" w:cs="仿宋_GB2312"/>
          <w:color w:val="auto"/>
        </w:rPr>
      </w:pPr>
      <w:r>
        <w:rPr>
          <w:rFonts w:hint="eastAsia" w:ascii="黑体" w:hAnsi="黑体" w:eastAsia="黑体" w:cs="仿宋_GB2312"/>
          <w:color w:val="auto"/>
        </w:rPr>
        <w:t>第六十八条</w:t>
      </w:r>
      <w:r>
        <w:rPr>
          <w:rFonts w:hint="eastAsia" w:ascii="仿宋_GB2312" w:hAnsi="仿宋_GB2312" w:cs="仿宋_GB2312"/>
          <w:color w:val="auto"/>
        </w:rPr>
        <w:t xml:space="preserve">  本条例自</w:t>
      </w:r>
      <w:r>
        <w:rPr>
          <w:rFonts w:hint="eastAsia" w:ascii="宋体" w:hAnsi="宋体" w:eastAsia="宋体" w:cs="宋体"/>
          <w:color w:val="auto"/>
        </w:rPr>
        <w:t>2021</w:t>
      </w:r>
      <w:r>
        <w:rPr>
          <w:rFonts w:hint="eastAsia" w:ascii="仿宋_GB2312" w:hAnsi="仿宋_GB2312" w:cs="仿宋_GB2312"/>
          <w:color w:val="auto"/>
        </w:rPr>
        <w:t>年</w:t>
      </w:r>
      <w:r>
        <w:rPr>
          <w:rFonts w:hint="eastAsia" w:ascii="宋体" w:hAnsi="宋体" w:eastAsia="宋体" w:cs="宋体"/>
          <w:color w:val="auto"/>
        </w:rPr>
        <w:t>1</w:t>
      </w:r>
      <w:r>
        <w:rPr>
          <w:rFonts w:hint="eastAsia" w:ascii="仿宋_GB2312" w:hAnsi="仿宋_GB2312" w:cs="仿宋_GB2312"/>
          <w:color w:val="auto"/>
        </w:rPr>
        <w:t>月</w:t>
      </w:r>
      <w:r>
        <w:rPr>
          <w:rFonts w:hint="eastAsia" w:ascii="宋体" w:hAnsi="宋体" w:eastAsia="宋体" w:cs="宋体"/>
          <w:color w:val="auto"/>
        </w:rPr>
        <w:t>1</w:t>
      </w:r>
      <w:r>
        <w:rPr>
          <w:rFonts w:hint="eastAsia" w:ascii="仿宋_GB2312" w:hAnsi="仿宋_GB2312" w:cs="仿宋_GB2312"/>
          <w:color w:val="auto"/>
        </w:rPr>
        <w:t>日起施行。《广东省跨行政区域河流交接断面水质保护管理条例》《广东省饮用水源水质保护条例》《广东省东江水系水质保护条例》《广东省韩江流域水质保护条例》《广东省西江水系水质保护条例》同时废止。</w:t>
      </w: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pStyle w:val="7"/>
        <w:rPr>
          <w:rFonts w:hint="eastAsia" w:ascii="仿宋_GB2312" w:hAnsi="仿宋_GB2312" w:cs="仿宋_GB2312"/>
          <w:color w:val="auto"/>
        </w:rPr>
      </w:pPr>
    </w:p>
    <w:p>
      <w:pPr>
        <w:widowControl w:val="0"/>
        <w:wordWrap/>
        <w:adjustRightInd/>
        <w:snapToGrid w:val="0"/>
        <w:spacing w:line="560" w:lineRule="exac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广东省粮食安全保障条例</w:t>
      </w:r>
    </w:p>
    <w:p>
      <w:pPr>
        <w:widowControl w:val="0"/>
        <w:wordWrap/>
        <w:adjustRightInd/>
        <w:snapToGrid/>
        <w:spacing w:line="560" w:lineRule="exact"/>
        <w:ind w:left="640" w:leftChars="200" w:right="640" w:rightChars="200" w:firstLine="0" w:firstLineChars="0"/>
        <w:jc w:val="left"/>
        <w:textAlignment w:val="auto"/>
        <w:outlineLvl w:val="9"/>
        <w:rPr>
          <w:rFonts w:hint="eastAsia" w:ascii="宋体" w:hAnsi="宋体" w:eastAsia="楷体_GB2312" w:cs="楷体_GB2312"/>
          <w:color w:val="000000"/>
          <w:sz w:val="32"/>
          <w:szCs w:val="32"/>
          <w:lang w:eastAsia="zh-CN"/>
        </w:rPr>
      </w:pPr>
    </w:p>
    <w:p>
      <w:pPr>
        <w:widowControl w:val="0"/>
        <w:wordWrap/>
        <w:adjustRightInd/>
        <w:snapToGrid/>
        <w:spacing w:line="560" w:lineRule="exact"/>
        <w:ind w:left="640" w:leftChars="200" w:right="640" w:rightChars="200" w:firstLine="0" w:firstLineChars="0"/>
        <w:jc w:val="both"/>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（2009年3月31日广东省第十一届人民代表大会常务委员会第十次会议通过  根据2014年9月25日广东省第十二届人民代表大会常务委员会第十一次会议《关于修改〈广东省商品房预售管理条例〉等二十七项地方性法规的决定》第一次修正  根据2020年9月29日广东省第十三届人民代表大会常务委员会第二十五次会议《关于修改〈广东省林地保护管理条例〉等十六项地方性法规的决定》第二次修正）</w:t>
      </w:r>
    </w:p>
    <w:p>
      <w:pPr>
        <w:pStyle w:val="7"/>
        <w:widowControl w:val="0"/>
        <w:wordWrap/>
        <w:adjustRightInd/>
        <w:spacing w:line="560" w:lineRule="exact"/>
        <w:textAlignment w:val="auto"/>
        <w:outlineLvl w:val="9"/>
        <w:rPr>
          <w:rFonts w:hint="eastAsia" w:ascii="宋体" w:hAnsi="宋体" w:eastAsia="楷体_GB2312" w:cs="楷体_GB2312"/>
          <w:color w:val="000000"/>
          <w:sz w:val="32"/>
          <w:szCs w:val="32"/>
          <w:lang w:eastAsia="zh-CN"/>
        </w:rPr>
      </w:pPr>
    </w:p>
    <w:p>
      <w:pPr>
        <w:widowControl w:val="0"/>
        <w:wordWrap/>
        <w:adjustRightInd/>
        <w:spacing w:line="560" w:lineRule="exact"/>
        <w:jc w:val="center"/>
        <w:textAlignment w:val="auto"/>
        <w:outlineLvl w:val="9"/>
        <w:rPr>
          <w:rFonts w:hint="eastAsia" w:ascii="宋体" w:hAnsi="宋体" w:eastAsia="楷体_GB2312" w:cs="楷体_GB2312"/>
          <w:color w:val="000000"/>
          <w:sz w:val="32"/>
          <w:szCs w:val="32"/>
        </w:rPr>
      </w:pPr>
      <w:r>
        <w:rPr>
          <w:rFonts w:hint="eastAsia" w:ascii="宋体" w:hAnsi="宋体" w:eastAsia="楷体_GB2312" w:cs="楷体_GB2312"/>
          <w:color w:val="000000"/>
          <w:sz w:val="32"/>
          <w:szCs w:val="32"/>
        </w:rPr>
        <w:t>目    录</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第一章  总则</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第二章  生产与经营</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第三章  储备与管理</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第四章  调控与应急</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第五章  法律责任</w:t>
      </w:r>
    </w:p>
    <w:p>
      <w:pPr>
        <w:widowControl w:val="0"/>
        <w:wordWrap/>
        <w:adjustRightInd/>
        <w:snapToGrid/>
        <w:spacing w:line="560" w:lineRule="exact"/>
        <w:ind w:left="0" w:leftChars="0" w:right="0" w:firstLine="640" w:firstLineChars="200"/>
        <w:jc w:val="left"/>
        <w:textAlignment w:val="auto"/>
        <w:outlineLvl w:val="9"/>
        <w:rPr>
          <w:rFonts w:hint="eastAsia" w:ascii="宋体" w:hAnsi="宋体" w:eastAsia="楷体_GB2312" w:cs="楷体_GB2312"/>
          <w:color w:val="000000"/>
          <w:sz w:val="32"/>
          <w:szCs w:val="32"/>
          <w:lang w:eastAsia="zh-CN"/>
        </w:rPr>
      </w:pPr>
      <w:r>
        <w:rPr>
          <w:rFonts w:hint="eastAsia" w:ascii="宋体" w:hAnsi="宋体" w:eastAsia="楷体_GB2312" w:cs="楷体_GB2312"/>
          <w:color w:val="000000"/>
          <w:sz w:val="32"/>
          <w:szCs w:val="32"/>
          <w:lang w:eastAsia="zh-CN"/>
        </w:rPr>
        <w:t>第六章  附则</w:t>
      </w:r>
    </w:p>
    <w:p>
      <w:pPr>
        <w:pStyle w:val="7"/>
        <w:widowControl w:val="0"/>
        <w:wordWrap/>
        <w:adjustRightInd/>
        <w:spacing w:line="560" w:lineRule="exact"/>
        <w:textAlignment w:val="auto"/>
        <w:outlineLvl w:val="9"/>
        <w:rPr>
          <w:rFonts w:hint="eastAsia" w:ascii="宋体" w:hAnsi="宋体"/>
          <w:color w:val="000000"/>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第一章  总</w:t>
      </w:r>
      <w:r>
        <w:rPr>
          <w:rFonts w:hint="eastAsia" w:ascii="宋体" w:hAnsi="宋体" w:eastAsia="黑体" w:cs="仿宋_GB2312"/>
          <w:color w:val="000000"/>
          <w:sz w:val="32"/>
          <w:szCs w:val="32"/>
          <w:lang w:val="en-US" w:eastAsia="zh-CN"/>
        </w:rPr>
        <w:t xml:space="preserve">  </w:t>
      </w:r>
      <w:r>
        <w:rPr>
          <w:rFonts w:hint="eastAsia" w:ascii="宋体" w:hAnsi="宋体" w:eastAsia="黑体" w:cs="仿宋_GB2312"/>
          <w:color w:val="000000"/>
          <w:sz w:val="32"/>
          <w:szCs w:val="32"/>
        </w:rPr>
        <w:t>则</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第一条</w:t>
      </w:r>
      <w:r>
        <w:rPr>
          <w:rFonts w:hint="eastAsia" w:ascii="宋体" w:hAnsi="宋体" w:eastAsia="仿宋_GB2312" w:cs="仿宋"/>
          <w:color w:val="000000"/>
          <w:sz w:val="32"/>
          <w:szCs w:val="32"/>
        </w:rPr>
        <w:t xml:space="preserve">  为保障粮食安全，满足人民生活需要，维护社会稳定，根据有关法律法规，结合本省实际，制定本条例。</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第二条</w:t>
      </w:r>
      <w:r>
        <w:rPr>
          <w:rFonts w:hint="eastAsia" w:ascii="宋体" w:hAnsi="宋体" w:eastAsia="仿宋_GB2312" w:cs="仿宋"/>
          <w:color w:val="000000"/>
          <w:sz w:val="32"/>
          <w:szCs w:val="32"/>
        </w:rPr>
        <w:t xml:space="preserve">  本条例适用于本省行政区域内从事粮食生产、经营、储备以及调控、应急等粮食安全保障的活动。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本条例所称粮食安全保障是指保证粮食供求基本平衡，市场粮食价格基本稳定，居民生活和社会生产对粮食的需求得到基本满足，粮食质量安全符合国家规定。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本条例所称粮食，是指稻谷、小麦、玉米、杂粮及其成品粮。</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粮食的质量安全，按照有关法律、法规的规定执行。</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第三条</w:t>
      </w:r>
      <w:r>
        <w:rPr>
          <w:rFonts w:hint="eastAsia" w:ascii="宋体" w:hAnsi="宋体" w:eastAsia="仿宋_GB2312" w:cs="仿宋"/>
          <w:color w:val="000000"/>
          <w:sz w:val="32"/>
          <w:szCs w:val="32"/>
        </w:rPr>
        <w:t xml:space="preserve">  县级以上人民政府负责本行政区域粮食安全保障工作。</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部门主管本行政区域粮食安全保障的行政管理工作。</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w:t>
      </w:r>
      <w:r>
        <w:rPr>
          <w:rFonts w:hint="eastAsia" w:ascii="宋体" w:hAnsi="宋体" w:eastAsia="仿宋_GB2312" w:cs="黑体"/>
          <w:color w:val="000000"/>
          <w:sz w:val="32"/>
          <w:szCs w:val="32"/>
        </w:rPr>
        <w:t>发展改革、</w:t>
      </w:r>
      <w:r>
        <w:rPr>
          <w:rFonts w:hint="eastAsia" w:ascii="宋体" w:hAnsi="宋体" w:eastAsia="仿宋_GB2312" w:cs="仿宋"/>
          <w:color w:val="000000"/>
          <w:sz w:val="32"/>
          <w:szCs w:val="32"/>
        </w:rPr>
        <w:t>财政、</w:t>
      </w:r>
      <w:r>
        <w:rPr>
          <w:rFonts w:hint="eastAsia" w:ascii="宋体" w:hAnsi="宋体" w:eastAsia="仿宋_GB2312" w:cs="黑体"/>
          <w:color w:val="000000"/>
          <w:sz w:val="32"/>
          <w:szCs w:val="32"/>
        </w:rPr>
        <w:t>自然资源</w:t>
      </w:r>
      <w:r>
        <w:rPr>
          <w:rFonts w:hint="eastAsia" w:ascii="宋体" w:hAnsi="宋体" w:eastAsia="仿宋_GB2312" w:cs="仿宋"/>
          <w:color w:val="000000"/>
          <w:sz w:val="32"/>
          <w:szCs w:val="32"/>
        </w:rPr>
        <w:t>、农业</w:t>
      </w:r>
      <w:r>
        <w:rPr>
          <w:rFonts w:hint="eastAsia" w:ascii="宋体" w:hAnsi="宋体" w:eastAsia="仿宋_GB2312" w:cs="黑体"/>
          <w:color w:val="000000"/>
          <w:sz w:val="32"/>
          <w:szCs w:val="32"/>
        </w:rPr>
        <w:t>农村</w:t>
      </w:r>
      <w:r>
        <w:rPr>
          <w:rFonts w:hint="eastAsia" w:ascii="宋体" w:hAnsi="宋体" w:eastAsia="仿宋_GB2312" w:cs="仿宋"/>
          <w:color w:val="000000"/>
          <w:sz w:val="32"/>
          <w:szCs w:val="32"/>
        </w:rPr>
        <w:t>、</w:t>
      </w:r>
      <w:r>
        <w:rPr>
          <w:rFonts w:hint="eastAsia" w:ascii="宋体" w:hAnsi="宋体" w:eastAsia="仿宋_GB2312" w:cs="黑体"/>
          <w:color w:val="000000"/>
          <w:sz w:val="32"/>
          <w:szCs w:val="32"/>
        </w:rPr>
        <w:t>市场监督管理</w:t>
      </w:r>
      <w:r>
        <w:rPr>
          <w:rFonts w:hint="eastAsia" w:ascii="宋体" w:hAnsi="宋体" w:eastAsia="仿宋_GB2312" w:cs="仿宋"/>
          <w:color w:val="000000"/>
          <w:sz w:val="32"/>
          <w:szCs w:val="32"/>
        </w:rPr>
        <w:t>等部门按照各自职责，做好粮食安全保障的相关工作。</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第四条</w:t>
      </w:r>
      <w:r>
        <w:rPr>
          <w:rFonts w:hint="eastAsia" w:ascii="宋体" w:hAnsi="宋体" w:eastAsia="仿宋_GB2312" w:cs="仿宋"/>
          <w:color w:val="000000"/>
          <w:sz w:val="32"/>
          <w:szCs w:val="32"/>
        </w:rPr>
        <w:t xml:space="preserve">  县级以上人民政府应当建立、健全粮食安全保障和监督管理责任制。</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县级以上人民政府应当制定粮食生产、流通、储备的发展规划，维护统一、开放、竞争、有序的粮食市场。</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第五条</w:t>
      </w:r>
      <w:r>
        <w:rPr>
          <w:rFonts w:hint="eastAsia" w:ascii="宋体" w:hAnsi="宋体" w:eastAsia="仿宋_GB2312" w:cs="仿宋"/>
          <w:color w:val="000000"/>
          <w:sz w:val="32"/>
          <w:szCs w:val="32"/>
        </w:rPr>
        <w:t xml:space="preserve">  对为粮食安全保障做出突出贡献的单位和个人，应当给予奖励。</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任何单位和个人都有权对粮食安全保障监督管理工作提出意见和建议，对危害粮食安全保障的行为向有关部门检举、控告。</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第二章  生产与经营</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第六条</w:t>
      </w:r>
      <w:r>
        <w:rPr>
          <w:rFonts w:hint="eastAsia" w:ascii="宋体" w:hAnsi="宋体" w:eastAsia="仿宋_GB2312" w:cs="仿宋"/>
          <w:color w:val="000000"/>
          <w:sz w:val="32"/>
          <w:szCs w:val="32"/>
        </w:rPr>
        <w:t xml:space="preserve">  县级以上人民政府应当严格执行耕地保护制度，加强农田基础设施建设，对基本农田依法实行特殊保护，确保粮食生产的播种面积达到省人民政府下达的指标，促进粮食生产稳定发展。</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第七条</w:t>
      </w:r>
      <w:r>
        <w:rPr>
          <w:rFonts w:hint="eastAsia" w:ascii="宋体" w:hAnsi="宋体" w:eastAsia="仿宋_GB2312" w:cs="仿宋"/>
          <w:color w:val="000000"/>
          <w:sz w:val="32"/>
          <w:szCs w:val="32"/>
        </w:rPr>
        <w:t xml:space="preserve">  县级以上人民政府采取发布信息、调控储备和给予种粮者种粮补贴等方式，引导和鼓励粮食生产。可能发生粮食严重紧缺情形时，经省人民政府批准，县级以上人民政府可以依法将当期生产其他经济作物的基本农田用于恢复粮食生产，并组织落实种子、肥料等生产资料。</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第八条</w:t>
      </w:r>
      <w:r>
        <w:rPr>
          <w:rFonts w:hint="eastAsia" w:ascii="宋体" w:hAnsi="宋体" w:eastAsia="仿宋_GB2312" w:cs="仿宋"/>
          <w:color w:val="000000"/>
          <w:sz w:val="32"/>
          <w:szCs w:val="32"/>
        </w:rPr>
        <w:t xml:space="preserve">  县级以上人民政府应当加大对粮食生产、储存、加工的科技投入，鼓励研究和推广应用先进的科学技术，提高粮食产量，提升粮食储存、加工品质。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第九条</w:t>
      </w:r>
      <w:r>
        <w:rPr>
          <w:rFonts w:hint="eastAsia" w:ascii="宋体" w:hAnsi="宋体" w:eastAsia="仿宋_GB2312" w:cs="仿宋"/>
          <w:color w:val="000000"/>
          <w:sz w:val="32"/>
          <w:szCs w:val="32"/>
        </w:rPr>
        <w:t xml:space="preserve">  县级以上人民政府应当采取多种形式，鼓励社会资金投资建设粮食生产和流通基础设施。</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鼓励粮食经营者到外地投资建设粮食生产基地，与粮食产区建立长期粮食产销合作关系，发展粮食产业化经营。</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第十条</w:t>
      </w:r>
      <w:r>
        <w:rPr>
          <w:rFonts w:hint="eastAsia" w:ascii="宋体" w:hAnsi="宋体" w:eastAsia="仿宋_GB2312" w:cs="仿宋"/>
          <w:color w:val="000000"/>
          <w:sz w:val="32"/>
          <w:szCs w:val="32"/>
        </w:rPr>
        <w:t xml:space="preserve">  从事粮食收购、加工、运输、储存、销售的经营者，应当依法向</w:t>
      </w:r>
      <w:r>
        <w:rPr>
          <w:rFonts w:hint="eastAsia" w:ascii="宋体" w:hAnsi="宋体" w:eastAsia="仿宋_GB2312" w:cs="黑体"/>
          <w:color w:val="000000"/>
          <w:sz w:val="32"/>
          <w:szCs w:val="32"/>
        </w:rPr>
        <w:t>市场监督</w:t>
      </w:r>
      <w:r>
        <w:rPr>
          <w:rFonts w:hint="eastAsia" w:ascii="宋体" w:hAnsi="宋体" w:eastAsia="仿宋_GB2312" w:cs="仿宋"/>
          <w:color w:val="000000"/>
          <w:sz w:val="32"/>
          <w:szCs w:val="32"/>
        </w:rPr>
        <w:t>管理部门办理登记手续。</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i/>
          <w:iCs/>
          <w:color w:val="000000"/>
          <w:sz w:val="32"/>
          <w:szCs w:val="32"/>
          <w:u w:val="single"/>
        </w:rPr>
      </w:pPr>
      <w:r>
        <w:rPr>
          <w:rFonts w:hint="eastAsia" w:ascii="宋体" w:hAnsi="宋体" w:eastAsia="仿宋_GB2312" w:cs="仿宋"/>
          <w:color w:val="000000"/>
          <w:sz w:val="32"/>
          <w:szCs w:val="32"/>
        </w:rPr>
        <w:t>从事粮食收购的经营者，应当依法申请取得粮食收购资格许可。</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第十一条</w:t>
      </w:r>
      <w:r>
        <w:rPr>
          <w:rFonts w:hint="eastAsia" w:ascii="宋体" w:hAnsi="宋体" w:eastAsia="仿宋_GB2312" w:cs="仿宋"/>
          <w:color w:val="000000"/>
          <w:sz w:val="32"/>
          <w:szCs w:val="32"/>
        </w:rPr>
        <w:t xml:space="preserve">  从事粮食收购、加工、销售的经营者，其粮食库存量应当符合国家和省的有关规定。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第十二条</w:t>
      </w:r>
      <w:r>
        <w:rPr>
          <w:rFonts w:hint="eastAsia" w:ascii="宋体" w:hAnsi="宋体" w:eastAsia="仿宋_GB2312" w:cs="仿宋"/>
          <w:color w:val="000000"/>
          <w:sz w:val="32"/>
          <w:szCs w:val="32"/>
        </w:rPr>
        <w:t xml:space="preserve">  从事粮食收购、加工、运输、储存、销售的经营者，应当严格执行国家有关粮食价格、质量安全等规定。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第十三条</w:t>
      </w:r>
      <w:r>
        <w:rPr>
          <w:rFonts w:hint="eastAsia" w:ascii="宋体" w:hAnsi="宋体" w:eastAsia="仿宋_GB2312" w:cs="仿宋"/>
          <w:color w:val="000000"/>
          <w:sz w:val="32"/>
          <w:szCs w:val="32"/>
        </w:rPr>
        <w:t xml:space="preserve">  从事粮食收购、加工、储存、销售的粮食经营者，应当建立粮食经营台账，如实记录粮食的名称、规格、数量、质量、流向、供货商及其联系方式、进货时间等内容。粮食经营者保留粮食经营台账的期限不得少于三年。</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第十四条</w:t>
      </w:r>
      <w:r>
        <w:rPr>
          <w:rFonts w:hint="eastAsia" w:ascii="宋体" w:hAnsi="宋体" w:eastAsia="仿宋_GB2312" w:cs="仿宋"/>
          <w:color w:val="000000"/>
          <w:sz w:val="32"/>
          <w:szCs w:val="32"/>
        </w:rPr>
        <w:t xml:space="preserve">  从事粮食储存的经营者，应当遵守以下规定：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（一）执行国家和省的粮食储存管理制度、标准和技术规范；</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（二）对政府委托储存的粮食实行专仓储存、专人保管、专账记载，确保储存粮食数量真实、质量良好、储存安全；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（三）超过国家和省规定正常储存年限的粮食，出库前应当经有资质的粮食质量检验机构进行质量鉴定。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第三章  储备与管理</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第十五条</w:t>
      </w:r>
      <w:r>
        <w:rPr>
          <w:rFonts w:hint="eastAsia" w:ascii="宋体" w:hAnsi="宋体" w:eastAsia="仿宋_GB2312" w:cs="仿宋"/>
          <w:color w:val="000000"/>
          <w:sz w:val="32"/>
          <w:szCs w:val="32"/>
        </w:rPr>
        <w:t xml:space="preserve">  县级以上人民政府实行分级负责的政府粮食储备制度。</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政府储备粮的收储、轮换、动用，实行计划管理。县级以上人民政府粮食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部门应当按照有关规定及时下达政府储备粮的收储、轮换、动用计划。</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第十六条</w:t>
      </w:r>
      <w:r>
        <w:rPr>
          <w:rFonts w:hint="eastAsia" w:ascii="宋体" w:hAnsi="宋体" w:eastAsia="仿宋_GB2312" w:cs="仿宋"/>
          <w:color w:val="000000"/>
          <w:sz w:val="32"/>
          <w:szCs w:val="32"/>
        </w:rPr>
        <w:t xml:space="preserve">  根据国务院有关规定和本省粮食市场调控的实际需要，省人民政府核定省和市（不含县级市，下同）人民政府的政府储备粮规模，市人民政府核定县级人民政府的政府储备粮规模。</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县级以上人民政府应当按照核定规模，组织落实本级政府的政府储备粮储备，并根据政府储备粮储存年限规定和品质变化情况按时或者定期进行轮换更新。</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第十七条</w:t>
      </w:r>
      <w:r>
        <w:rPr>
          <w:rFonts w:hint="eastAsia" w:ascii="宋体" w:hAnsi="宋体" w:eastAsia="仿宋_GB2312" w:cs="仿宋"/>
          <w:color w:val="000000"/>
          <w:sz w:val="32"/>
          <w:szCs w:val="32"/>
        </w:rPr>
        <w:t xml:space="preserve">  县级以上人民政府的政府储备粮，由本级人民政府直属粮库储存，需要委托其他具备条件的粮食企业承储的，应当通过招标的方式确定。</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承储政府储备粮的企业，应当具备下列基本条件：</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（一）仓库容量达到国家和省规定的标准；</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（二）具有粮食保管、通风、进出仓、虫害防治等仓储设施，并符合国家和省规定的技术规范；</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（三）具备符合国家和省规定的粮食质量检测能力和对粮食储存温度、水分、虫害状况等监测条件；</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（四）有</w:t>
      </w:r>
      <w:r>
        <w:rPr>
          <w:rFonts w:hint="eastAsia" w:ascii="宋体" w:hAnsi="宋体" w:eastAsia="仿宋_GB2312" w:cs="黑体"/>
          <w:color w:val="000000"/>
          <w:sz w:val="32"/>
          <w:szCs w:val="32"/>
        </w:rPr>
        <w:t>经过专业培训</w:t>
      </w:r>
      <w:r>
        <w:rPr>
          <w:rFonts w:hint="eastAsia" w:ascii="宋体" w:hAnsi="宋体" w:eastAsia="仿宋_GB2312" w:cs="仿宋"/>
          <w:color w:val="000000"/>
          <w:sz w:val="32"/>
          <w:szCs w:val="32"/>
        </w:rPr>
        <w:t>的粮食保管、质量检验等管理技术人员；</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（五）经营管理和信誉良好，没有违法违规经营记录。</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第十八条</w:t>
      </w:r>
      <w:r>
        <w:rPr>
          <w:rFonts w:hint="eastAsia" w:ascii="宋体" w:hAnsi="宋体" w:eastAsia="仿宋_GB2312" w:cs="仿宋"/>
          <w:color w:val="000000"/>
          <w:sz w:val="32"/>
          <w:szCs w:val="32"/>
        </w:rPr>
        <w:t xml:space="preserve">  县级以上人民政府的政府储备粮收储和轮换应当由同级粮食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部门会同有关部门采取公开招标、竞价方式进行，招标、竞价底价由</w:t>
      </w:r>
      <w:r>
        <w:rPr>
          <w:rFonts w:hint="eastAsia" w:ascii="宋体" w:hAnsi="宋体" w:eastAsia="仿宋_GB2312" w:cs="黑体"/>
          <w:color w:val="000000"/>
          <w:sz w:val="32"/>
          <w:szCs w:val="32"/>
        </w:rPr>
        <w:t>财政</w:t>
      </w:r>
      <w:r>
        <w:rPr>
          <w:rFonts w:hint="eastAsia" w:ascii="宋体" w:hAnsi="宋体" w:eastAsia="仿宋_GB2312" w:cs="仿宋"/>
          <w:color w:val="000000"/>
          <w:sz w:val="32"/>
          <w:szCs w:val="32"/>
        </w:rPr>
        <w:t>部门会同有关部门制定；采取其他方式的，应当报同级人民政府批准。</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第十九条</w:t>
      </w:r>
      <w:r>
        <w:rPr>
          <w:rFonts w:hint="eastAsia" w:ascii="宋体" w:hAnsi="宋体" w:eastAsia="仿宋_GB2312" w:cs="仿宋"/>
          <w:color w:val="000000"/>
          <w:sz w:val="32"/>
          <w:szCs w:val="32"/>
        </w:rPr>
        <w:t xml:space="preserve">  县级以上人民政府的政府储备粮未经本级人民政府批准，任何单位和个人不得动用，但上级人民政府根据粮食市场调控与应急的需要调用下级人民政府储备粮的除外。</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有下列情形之一的，可以动用政府储备粮：</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（一）本行政区域市场粮食供给明显紧张，或者市场粮食价格出现异常波动；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（二）发生重大自然灾害或者其他突发公共事件，需要动用政府储备粮应急的；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（三）县级以上人民政府认为需要动用政府储备粮的其他情形。</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第二十条</w:t>
      </w:r>
      <w:r>
        <w:rPr>
          <w:rFonts w:hint="eastAsia" w:ascii="宋体" w:hAnsi="宋体" w:eastAsia="仿宋_GB2312" w:cs="仿宋"/>
          <w:color w:val="000000"/>
          <w:sz w:val="32"/>
          <w:szCs w:val="32"/>
        </w:rPr>
        <w:t xml:space="preserve">  需要动用政府储备粮，采取县、市、省逐级动用原则。市、县人民政府需要动用上一级人民政府储备粮的，应当向上一级人民政府申请，经批准后实施。</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第二十一条</w:t>
      </w:r>
      <w:r>
        <w:rPr>
          <w:rFonts w:hint="eastAsia" w:ascii="宋体" w:hAnsi="宋体" w:eastAsia="仿宋_GB2312" w:cs="仿宋"/>
          <w:color w:val="000000"/>
          <w:sz w:val="32"/>
          <w:szCs w:val="32"/>
        </w:rPr>
        <w:t xml:space="preserve">  承储政府储备粮的企业应当健全财务制度，按照规定使用财政资金，保证财务数据真实、准确、完整，并接受政府储备粮所属人民政府财政部门的监督。</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第二十二条</w:t>
      </w:r>
      <w:r>
        <w:rPr>
          <w:rFonts w:hint="eastAsia" w:ascii="宋体" w:hAnsi="宋体" w:eastAsia="仿宋_GB2312" w:cs="仿宋"/>
          <w:color w:val="000000"/>
          <w:sz w:val="32"/>
          <w:szCs w:val="32"/>
        </w:rPr>
        <w:t xml:space="preserve">  承储政府储备粮的企业不得有下列行为：</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（一）虚报、瞒报政府储备粮数量的；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（二）在政府储备粮中掺杂使假、以次充好的；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（三）擅自变换政府储备粮品种、变更政府储备粮储存地点的；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（四）违规销售政府储备粮的；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（五）延误轮换、管理不善或者其他原因造成政府储备粮霉坏、变质的；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（六）利用政府储备粮及其贷款资金从事与政府储备粮业务无关的经营活动的；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（七）擅自更改储备粮入库成本的；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（八）以政府储备粮对外担保或者抵偿债务的；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（九）其他对政府储备粮数量、质量和储存安全造成影响的。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第二十三条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部门应当加强对政府储备粮的数量、质量以及收储、轮换、动用的监督检查，确保政府储备粮规模落实、数量真实、质量良好和储存安全。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第二十四条</w:t>
      </w:r>
      <w:r>
        <w:rPr>
          <w:rFonts w:hint="eastAsia" w:ascii="宋体" w:hAnsi="宋体" w:eastAsia="仿宋_GB2312" w:cs="仿宋"/>
          <w:color w:val="000000"/>
          <w:sz w:val="32"/>
          <w:szCs w:val="32"/>
        </w:rPr>
        <w:t xml:space="preserve">  政府储备粮因不可抗力造成损失的，由所属人民政府按规定予以核销。</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第二十五条</w:t>
      </w:r>
      <w:r>
        <w:rPr>
          <w:rFonts w:hint="eastAsia" w:ascii="宋体" w:hAnsi="宋体" w:eastAsia="仿宋_GB2312" w:cs="仿宋"/>
          <w:color w:val="000000"/>
          <w:sz w:val="32"/>
          <w:szCs w:val="32"/>
        </w:rPr>
        <w:t xml:space="preserve">  县级以上人民政府应当根据社会发展和粮食安全保障的需要，每年安排专项资金用于政府直属储备粮库及其配套设施的建设和维修。</w:t>
      </w:r>
    </w:p>
    <w:p>
      <w:pPr>
        <w:widowControl w:val="0"/>
        <w:wordWrap/>
        <w:adjustRightInd/>
        <w:snapToGrid w:val="0"/>
        <w:spacing w:line="560" w:lineRule="exact"/>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第四章  调控与应急</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第二十六条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部门应当会同</w:t>
      </w:r>
      <w:r>
        <w:rPr>
          <w:rFonts w:hint="eastAsia" w:ascii="宋体" w:hAnsi="宋体" w:eastAsia="仿宋_GB2312" w:cs="黑体"/>
          <w:color w:val="000000"/>
          <w:sz w:val="32"/>
          <w:szCs w:val="32"/>
        </w:rPr>
        <w:t>发展改革</w:t>
      </w:r>
      <w:r>
        <w:rPr>
          <w:rFonts w:hint="eastAsia" w:ascii="宋体" w:hAnsi="宋体" w:eastAsia="仿宋_GB2312" w:cs="仿宋"/>
          <w:color w:val="000000"/>
          <w:sz w:val="32"/>
          <w:szCs w:val="32"/>
        </w:rPr>
        <w:t>等有关部门对本行政区域粮食市场形势进行监测、分析和预警，及时提出粮食市场调控和应急保障措施，报本级人民政府批准后组织实施。</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第二十七条</w:t>
      </w:r>
      <w:r>
        <w:rPr>
          <w:rFonts w:hint="eastAsia" w:ascii="宋体" w:hAnsi="宋体" w:eastAsia="仿宋_GB2312" w:cs="仿宋"/>
          <w:color w:val="000000"/>
          <w:sz w:val="32"/>
          <w:szCs w:val="32"/>
        </w:rPr>
        <w:t xml:space="preserve">  县级以上人民政府应当采取动用政府储备粮等有效手段调节市场粮食供求。</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第二十八条</w:t>
      </w:r>
      <w:r>
        <w:rPr>
          <w:rFonts w:hint="eastAsia" w:ascii="宋体" w:hAnsi="宋体" w:eastAsia="仿宋_GB2312" w:cs="仿宋"/>
          <w:color w:val="000000"/>
          <w:sz w:val="32"/>
          <w:szCs w:val="32"/>
        </w:rPr>
        <w:t xml:space="preserve">  省人民政府应当根据市场粮食价格波动情况，依法采取价格干预措施，稳定市场粮食价格，保护粮食生产者、经营者、消费者的利益。</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第二十九条</w:t>
      </w:r>
      <w:r>
        <w:rPr>
          <w:rFonts w:hint="eastAsia" w:ascii="宋体" w:hAnsi="宋体" w:eastAsia="仿宋_GB2312" w:cs="仿宋"/>
          <w:color w:val="000000"/>
          <w:sz w:val="32"/>
          <w:szCs w:val="32"/>
        </w:rPr>
        <w:t xml:space="preserve">  县级以上人民政府实行粮食风险基金制度，粮食风险基金列入本级财政预算。</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省粮食风险基金规模按照国务院有关规定落实，市、县粮食风险基金规模由上一级人民政府核定。县级以上人民政府应当按照核定的规模落实资金，制定本级政府粮食风险基金管理办法，加强对粮食风险基金的监督管理，防止挤占、截留、挪用。</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粮食风险基金按规定用于种粮直接补贴、政府储备粮利息费用开支和轮换差价补贴、粮食政策性挂账核销等。</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部门应当会同有关部门制定本行政区域的粮食应急预案，报本级人民政府批准，并报上一级人民政府备案。</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发生重大自然灾害、突发公共事件或者其他因素引发粮食市场异常波动和供求失衡时，粮食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部门应当及时向本级人民政府报告，按规定提请启动粮食应急预案。</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第三十一条</w:t>
      </w:r>
      <w:r>
        <w:rPr>
          <w:rFonts w:hint="eastAsia" w:ascii="宋体" w:hAnsi="宋体" w:eastAsia="仿宋_GB2312" w:cs="仿宋"/>
          <w:color w:val="000000"/>
          <w:sz w:val="32"/>
          <w:szCs w:val="32"/>
        </w:rPr>
        <w:t xml:space="preserve">  粮食应急预案启动后，所有粮食经营者必须按要求承担应急任务，服从政府的统一安排和调度，保证应急工作的需要。</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第三十二条</w:t>
      </w:r>
      <w:r>
        <w:rPr>
          <w:rFonts w:hint="eastAsia" w:ascii="宋体" w:hAnsi="宋体" w:eastAsia="仿宋_GB2312" w:cs="仿宋"/>
          <w:color w:val="000000"/>
          <w:sz w:val="32"/>
          <w:szCs w:val="32"/>
        </w:rPr>
        <w:t xml:space="preserve">  有关单位和粮食生产、经营者因承担粮食应急任务遭受损失的，下达粮食应急任务的人民政府应当依法给予补偿。</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第三十三条</w:t>
      </w:r>
      <w:r>
        <w:rPr>
          <w:rFonts w:hint="eastAsia" w:ascii="宋体" w:hAnsi="宋体" w:eastAsia="仿宋_GB2312" w:cs="仿宋"/>
          <w:color w:val="000000"/>
          <w:sz w:val="32"/>
          <w:szCs w:val="32"/>
        </w:rPr>
        <w:t xml:space="preserve">  县级以上人民政府应当建立低收入群体和受灾居（村）民粮食供应救济制度，保障其基本的粮食需要。</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第五章  法律责任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第三十四条</w:t>
      </w:r>
      <w:r>
        <w:rPr>
          <w:rFonts w:hint="eastAsia" w:ascii="宋体" w:hAnsi="宋体" w:eastAsia="仿宋_GB2312" w:cs="仿宋"/>
          <w:color w:val="000000"/>
          <w:sz w:val="32"/>
          <w:szCs w:val="32"/>
        </w:rPr>
        <w:t xml:space="preserve">  县级以上人民政府未按照本条例规定落实粮食安全保障责任，有下列情形之一的，由上级人民政府通报批评，对政府主要负责人、负有责任的主管人员和其他直接责任人员依法给予处分；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（一）未采取措施保护基本农田，致使粮食播种面积未达到当年省人民政府下达的指标的；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（二）粮食储备和粮食风险基金未达到上级人民政府核定规模的；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（三）挤占、截留、挪用粮食风险基金的；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（四）出现粮食紧急情况时没有及时采取有效措施，造成粮食价格异常波动、粮食抢购等社会不稳定事件的；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（五）未按照规定核销因不可抗力造成的政府储备粮损失超过半年以上，给承储政府储备粮的企业增加经济负担的；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（六）玩忽职守、滥用职权等渎职行为的。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第三十五条</w:t>
      </w:r>
      <w:r>
        <w:rPr>
          <w:rFonts w:hint="eastAsia" w:ascii="宋体" w:hAnsi="宋体" w:eastAsia="仿宋_GB2312" w:cs="仿宋"/>
          <w:color w:val="000000"/>
          <w:sz w:val="32"/>
          <w:szCs w:val="32"/>
        </w:rPr>
        <w:t xml:space="preserve">  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或者其他有关部门及其工作人员违反本条例规定，有下列情形之一的，由本级人民政府或者上级人民政府有关部门视情节轻重，责令改正，通报批评，并对主要负责人、负有责任的主管人员和其他直接责任人员依法给予处分；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（一）未按照本条例规定履行监督检查职责，对违法行为不及时制止和处理的；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（二）委托不具备条件的企业承储政府储备粮的；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（三）未按照规定及时下达政府储备粮收储计划，造成政府粮食储备规模不落实的；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（四）未按照规定及时下达政府储备粮轮换计划，造成政府储备粮霉坏、变质的；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（五）未按照规定及时落实粮食市场调控措施或者粮食价格干预措施，造成粮食市场和社会不稳定的；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（六）挤占、截留、挪用粮食风险基金的；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仿宋_GB2312" w:cs="仿宋"/>
          <w:color w:val="000000"/>
          <w:sz w:val="32"/>
          <w:szCs w:val="32"/>
        </w:rPr>
        <w:t>（七）玩忽职守、滥用职权等渎职行为的。</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第三十六条</w:t>
      </w:r>
      <w:r>
        <w:rPr>
          <w:rFonts w:hint="eastAsia" w:ascii="宋体" w:hAnsi="宋体" w:eastAsia="仿宋_GB2312" w:cs="仿宋"/>
          <w:color w:val="000000"/>
          <w:sz w:val="32"/>
          <w:szCs w:val="32"/>
        </w:rPr>
        <w:t xml:space="preserve">  承储政府储备粮的企业违反本条例第二十一条规定，未健全财务制度，或者未按照规定使用财政资金的，由政府储备粮所属人民政府财政部门责令其限期改正；有违法所得的，依法予以没收，并处以五万元以上十万元以下的罚款；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第三十七条</w:t>
      </w:r>
      <w:r>
        <w:rPr>
          <w:rFonts w:hint="eastAsia" w:ascii="宋体" w:hAnsi="宋体" w:eastAsia="仿宋_GB2312" w:cs="仿宋"/>
          <w:color w:val="000000"/>
          <w:sz w:val="32"/>
          <w:szCs w:val="32"/>
        </w:rPr>
        <w:t xml:space="preserve">  承储政府储备粮的企业违反本条例第二十二条规定的，由政府储备粮所属人民政府粮食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责令其限期改正；有违法所得的，依法予以没收。对违规销售政府储备粮的，视情节轻重并处以出库粮食价值一倍以上五倍以下的罚款。对其他违法行为，并处以五万元以上十万元以下的罚款；构成犯罪的，依法追究刑事责任。</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r>
        <w:rPr>
          <w:rFonts w:hint="eastAsia" w:ascii="宋体" w:hAnsi="宋体" w:eastAsia="黑体" w:cs="仿宋"/>
          <w:color w:val="000000"/>
          <w:sz w:val="32"/>
          <w:szCs w:val="32"/>
        </w:rPr>
        <w:t>第三十八条</w:t>
      </w:r>
      <w:r>
        <w:rPr>
          <w:rFonts w:hint="eastAsia" w:ascii="宋体" w:hAnsi="宋体" w:eastAsia="仿宋_GB2312" w:cs="仿宋"/>
          <w:color w:val="000000"/>
          <w:sz w:val="32"/>
          <w:szCs w:val="32"/>
        </w:rPr>
        <w:t xml:space="preserve">  粮食经营者违反本条例第三十一条规定，无正当理由拒不承担或者拖延承担粮食应急任务，由县级以上人民政府粮食</w:t>
      </w:r>
      <w:r>
        <w:rPr>
          <w:rFonts w:hint="eastAsia" w:ascii="宋体" w:hAnsi="宋体" w:eastAsia="仿宋_GB2312" w:cs="黑体"/>
          <w:color w:val="000000"/>
          <w:sz w:val="32"/>
          <w:szCs w:val="32"/>
        </w:rPr>
        <w:t>主管</w:t>
      </w:r>
      <w:r>
        <w:rPr>
          <w:rFonts w:hint="eastAsia" w:ascii="宋体" w:hAnsi="宋体" w:eastAsia="仿宋_GB2312" w:cs="仿宋"/>
          <w:color w:val="000000"/>
          <w:sz w:val="32"/>
          <w:szCs w:val="32"/>
        </w:rPr>
        <w:t>部门给予警告并责令改正。</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widowControl w:val="0"/>
        <w:wordWrap/>
        <w:adjustRightInd/>
        <w:snapToGrid w:val="0"/>
        <w:spacing w:line="560" w:lineRule="exact"/>
        <w:jc w:val="center"/>
        <w:textAlignment w:val="auto"/>
        <w:outlineLvl w:val="9"/>
        <w:rPr>
          <w:rFonts w:hint="eastAsia" w:ascii="宋体" w:hAnsi="宋体" w:eastAsia="黑体" w:cs="仿宋_GB2312"/>
          <w:color w:val="000000"/>
          <w:sz w:val="32"/>
          <w:szCs w:val="32"/>
        </w:rPr>
      </w:pPr>
      <w:r>
        <w:rPr>
          <w:rFonts w:hint="eastAsia" w:ascii="宋体" w:hAnsi="宋体" w:eastAsia="黑体" w:cs="仿宋_GB2312"/>
          <w:color w:val="000000"/>
          <w:sz w:val="32"/>
          <w:szCs w:val="32"/>
        </w:rPr>
        <w:t>第六章  附</w:t>
      </w:r>
      <w:r>
        <w:rPr>
          <w:rFonts w:hint="eastAsia" w:ascii="宋体" w:hAnsi="宋体" w:eastAsia="黑体" w:cs="仿宋_GB2312"/>
          <w:color w:val="000000"/>
          <w:sz w:val="32"/>
          <w:szCs w:val="32"/>
          <w:lang w:val="en-US" w:eastAsia="zh-CN"/>
        </w:rPr>
        <w:t xml:space="preserve">  </w:t>
      </w:r>
      <w:r>
        <w:rPr>
          <w:rFonts w:hint="eastAsia" w:ascii="宋体" w:hAnsi="宋体" w:eastAsia="黑体" w:cs="仿宋_GB2312"/>
          <w:color w:val="000000"/>
          <w:sz w:val="32"/>
          <w:szCs w:val="32"/>
        </w:rPr>
        <w:t>则</w:t>
      </w:r>
    </w:p>
    <w:p>
      <w:pPr>
        <w:widowControl w:val="0"/>
        <w:wordWrap/>
        <w:adjustRightInd/>
        <w:snapToGrid w:val="0"/>
        <w:spacing w:line="560" w:lineRule="exact"/>
        <w:ind w:firstLine="640" w:firstLineChars="200"/>
        <w:textAlignment w:val="auto"/>
        <w:outlineLvl w:val="9"/>
        <w:rPr>
          <w:rFonts w:hint="eastAsia" w:ascii="宋体" w:hAnsi="宋体" w:eastAsia="仿宋_GB2312" w:cs="仿宋"/>
          <w:color w:val="000000"/>
          <w:sz w:val="32"/>
          <w:szCs w:val="32"/>
        </w:rPr>
      </w:pPr>
    </w:p>
    <w:p>
      <w:pPr>
        <w:spacing w:line="560" w:lineRule="exact"/>
        <w:ind w:firstLine="640" w:firstLineChars="200"/>
      </w:pPr>
      <w:r>
        <w:rPr>
          <w:rFonts w:hint="eastAsia" w:ascii="宋体" w:hAnsi="宋体" w:eastAsia="黑体" w:cs="仿宋"/>
          <w:color w:val="000000"/>
          <w:sz w:val="32"/>
          <w:szCs w:val="32"/>
        </w:rPr>
        <w:t>第三十九条</w:t>
      </w:r>
      <w:r>
        <w:rPr>
          <w:rFonts w:hint="eastAsia" w:ascii="宋体" w:hAnsi="宋体" w:eastAsia="仿宋_GB2312" w:cs="仿宋"/>
          <w:color w:val="000000"/>
          <w:sz w:val="32"/>
          <w:szCs w:val="32"/>
        </w:rPr>
        <w:t xml:space="preserve">  本条例自2009年7月1日起施行。</w:t>
      </w: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pStyle w:val="7"/>
        <w:spacing w:line="560" w:lineRule="exact"/>
        <w:ind w:left="0" w:leftChars="0" w:firstLine="0" w:firstLineChars="0"/>
        <w:rPr>
          <w:rFonts w:hint="eastAsia" w:ascii="仿宋_GB2312" w:hAnsi="仿宋_GB2312" w:cs="仿宋_GB2312"/>
          <w:color w:val="auto"/>
          <w:lang w:val="en-US"/>
        </w:rPr>
      </w:pPr>
    </w:p>
    <w:p>
      <w:pPr>
        <w:widowControl w:val="0"/>
        <w:wordWrap/>
        <w:adjustRightInd w:val="0"/>
        <w:snapToGrid/>
        <w:spacing w:before="0" w:beforeLines="0" w:after="0" w:afterLines="0" w:line="590" w:lineRule="exact"/>
        <w:ind w:right="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广东省城乡生活垃圾管理条例</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rPr>
      </w:pP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仿宋_GB2312"/>
          <w:lang w:eastAsia="zh-CN"/>
        </w:rPr>
      </w:pPr>
      <w:r>
        <w:rPr>
          <w:rFonts w:hint="eastAsia" w:ascii="宋体" w:hAnsi="宋体" w:eastAsia="楷体_GB2312" w:cs="楷体_GB2312"/>
        </w:rPr>
        <w:t>（2015年9月25日广东省第十二届人民代表大会常务委员会第二十次会议通过</w:t>
      </w:r>
      <w:r>
        <w:rPr>
          <w:rFonts w:hint="eastAsia" w:ascii="宋体" w:hAnsi="宋体" w:eastAsia="楷体_GB2312" w:cs="楷体_GB2312"/>
          <w:lang w:val="en-US" w:eastAsia="zh-CN"/>
        </w:rPr>
        <w:t xml:space="preserve">  </w:t>
      </w:r>
      <w:r>
        <w:rPr>
          <w:rFonts w:hint="eastAsia" w:ascii="宋体" w:hAnsi="宋体" w:eastAsia="楷体_GB2312" w:cs="楷体_GB2312"/>
        </w:rPr>
        <w:t>20</w:t>
      </w:r>
      <w:r>
        <w:rPr>
          <w:rFonts w:hint="eastAsia" w:ascii="宋体" w:hAnsi="宋体" w:eastAsia="楷体_GB2312" w:cs="楷体_GB2312"/>
          <w:lang w:val="en-US" w:eastAsia="zh-CN"/>
        </w:rPr>
        <w:t>20</w:t>
      </w:r>
      <w:r>
        <w:rPr>
          <w:rFonts w:hint="eastAsia" w:ascii="宋体" w:hAnsi="宋体" w:eastAsia="楷体_GB2312" w:cs="楷体_GB2312"/>
        </w:rPr>
        <w:t>年</w:t>
      </w:r>
      <w:r>
        <w:rPr>
          <w:rFonts w:hint="eastAsia" w:ascii="宋体" w:hAnsi="宋体" w:eastAsia="楷体_GB2312" w:cs="楷体_GB2312"/>
          <w:lang w:val="en-US" w:eastAsia="zh-CN"/>
        </w:rPr>
        <w:t>11</w:t>
      </w:r>
      <w:r>
        <w:rPr>
          <w:rFonts w:hint="eastAsia" w:ascii="宋体" w:hAnsi="宋体" w:eastAsia="楷体_GB2312" w:cs="楷体_GB2312"/>
        </w:rPr>
        <w:t>月</w:t>
      </w:r>
      <w:r>
        <w:rPr>
          <w:rFonts w:hint="eastAsia" w:ascii="宋体" w:hAnsi="宋体" w:eastAsia="楷体_GB2312" w:cs="楷体_GB2312"/>
          <w:lang w:val="en-US" w:eastAsia="zh-CN"/>
        </w:rPr>
        <w:t>27</w:t>
      </w:r>
      <w:r>
        <w:rPr>
          <w:rFonts w:hint="eastAsia" w:ascii="宋体" w:hAnsi="宋体" w:eastAsia="楷体_GB2312" w:cs="楷体_GB2312"/>
        </w:rPr>
        <w:t>日广东省第十三届人民代表大会常务委员会第</w:t>
      </w:r>
      <w:r>
        <w:rPr>
          <w:rFonts w:hint="eastAsia" w:ascii="宋体" w:hAnsi="宋体" w:eastAsia="楷体_GB2312" w:cs="楷体_GB2312"/>
          <w:lang w:eastAsia="zh-CN"/>
        </w:rPr>
        <w:t>二十六</w:t>
      </w:r>
      <w:r>
        <w:rPr>
          <w:rFonts w:hint="eastAsia" w:ascii="宋体" w:hAnsi="宋体" w:eastAsia="楷体_GB2312" w:cs="楷体_GB2312"/>
        </w:rPr>
        <w:t>次会议</w:t>
      </w:r>
      <w:r>
        <w:rPr>
          <w:rFonts w:hint="eastAsia" w:ascii="宋体" w:hAnsi="宋体" w:eastAsia="楷体_GB2312" w:cs="楷体_GB2312"/>
          <w:lang w:eastAsia="zh-CN"/>
        </w:rPr>
        <w:t>修订</w:t>
      </w:r>
      <w:r>
        <w:rPr>
          <w:rFonts w:hint="eastAsia" w:ascii="宋体" w:hAnsi="宋体" w:eastAsia="楷体_GB2312" w:cs="楷体_GB2312"/>
        </w:rPr>
        <w:t>）</w:t>
      </w: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仿宋_GB2312" w:cs="仿宋_GB2312"/>
          <w:sz w:val="32"/>
          <w:highlight w:val="none"/>
          <w:lang w:val="en-US" w:eastAsia="zh-CN"/>
        </w:rPr>
      </w:pPr>
    </w:p>
    <w:p>
      <w:pPr>
        <w:widowControl w:val="0"/>
        <w:wordWrap/>
        <w:overflowPunct w:val="0"/>
        <w:adjustRightInd w:val="0"/>
        <w:snapToGrid/>
        <w:spacing w:line="590" w:lineRule="exact"/>
        <w:ind w:right="0"/>
        <w:jc w:val="center"/>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目    录</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第一章  总则</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第二章  源头减量</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第三章  分类投放</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第四章  分类收集、运输与处理</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第五章  设施建设与保障</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第六章  监督管理</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第七章  法律责任</w:t>
      </w:r>
    </w:p>
    <w:p>
      <w:pPr>
        <w:widowControl w:val="0"/>
        <w:wordWrap/>
        <w:overflowPunct w:val="0"/>
        <w:adjustRightInd w:val="0"/>
        <w:snapToGrid/>
        <w:spacing w:line="590" w:lineRule="exact"/>
        <w:ind w:left="0" w:leftChars="0" w:right="0" w:firstLine="640" w:firstLineChars="200"/>
        <w:jc w:val="both"/>
        <w:textAlignment w:val="auto"/>
        <w:outlineLvl w:val="9"/>
        <w:rPr>
          <w:rFonts w:hint="eastAsia" w:ascii="宋体" w:hAnsi="宋体" w:eastAsia="楷体_GB2312" w:cs="楷体_GB2312"/>
          <w:szCs w:val="22"/>
          <w:lang w:val="en-US" w:eastAsia="zh-CN"/>
        </w:rPr>
      </w:pPr>
      <w:r>
        <w:rPr>
          <w:rFonts w:hint="eastAsia" w:ascii="宋体" w:hAnsi="宋体" w:eastAsia="楷体_GB2312" w:cs="楷体_GB2312"/>
          <w:szCs w:val="22"/>
          <w:lang w:val="en-US" w:eastAsia="zh-CN"/>
        </w:rPr>
        <w:t>第八章  附则</w:t>
      </w: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第一章  总  则</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第一条</w:t>
      </w:r>
      <w:r>
        <w:rPr>
          <w:rFonts w:hint="eastAsia" w:ascii="宋体" w:hAnsi="宋体" w:eastAsia="仿宋_GB2312" w:cs="仿宋_GB2312"/>
          <w:sz w:val="32"/>
          <w:highlight w:val="none"/>
          <w:lang w:val="en-US" w:eastAsia="zh-CN"/>
        </w:rPr>
        <w:t xml:space="preserve">  为了规范城乡生活垃圾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理，控制污染，保护环境，</w:t>
      </w:r>
      <w:r>
        <w:rPr>
          <w:rFonts w:hint="eastAsia" w:ascii="宋体" w:hAnsi="宋体" w:eastAsia="仿宋_GB2312" w:cs="黑体"/>
          <w:sz w:val="32"/>
          <w:highlight w:val="none"/>
          <w:lang w:val="en-US" w:eastAsia="zh-CN"/>
        </w:rPr>
        <w:t>推</w:t>
      </w:r>
      <w:r>
        <w:rPr>
          <w:rFonts w:hint="eastAsia" w:ascii="宋体" w:hAnsi="宋体" w:eastAsia="仿宋_GB2312" w:cs="仿宋_GB2312"/>
          <w:sz w:val="32"/>
          <w:highlight w:val="none"/>
          <w:lang w:val="en-US" w:eastAsia="zh-CN"/>
        </w:rPr>
        <w:t>进生态文明建设</w:t>
      </w:r>
      <w:r>
        <w:rPr>
          <w:rFonts w:hint="eastAsia" w:ascii="宋体" w:hAnsi="宋体" w:eastAsia="仿宋_GB2312" w:cs="黑体"/>
          <w:i w:val="0"/>
          <w:iCs w:val="0"/>
          <w:sz w:val="32"/>
          <w:highlight w:val="none"/>
          <w:u w:val="none"/>
          <w:lang w:val="en-US" w:eastAsia="zh-CN"/>
        </w:rPr>
        <w:t>，</w:t>
      </w:r>
      <w:r>
        <w:rPr>
          <w:rFonts w:hint="eastAsia" w:ascii="宋体" w:hAnsi="宋体" w:eastAsia="仿宋_GB2312" w:cs="黑体"/>
          <w:sz w:val="32"/>
          <w:highlight w:val="none"/>
          <w:lang w:val="en-US" w:eastAsia="zh-CN"/>
        </w:rPr>
        <w:t>促进</w:t>
      </w:r>
      <w:r>
        <w:rPr>
          <w:rFonts w:hint="eastAsia" w:ascii="宋体" w:hAnsi="宋体" w:eastAsia="仿宋_GB2312" w:cs="仿宋_GB2312"/>
          <w:sz w:val="32"/>
          <w:highlight w:val="none"/>
          <w:lang w:val="en-US" w:eastAsia="zh-CN"/>
        </w:rPr>
        <w:t>经济社会可持续发展，根据《中华人民共和国固体废物污染环境防治法》《城市市容和环境卫生管理条例》等有关法律、行政法规，结合本省实际，制定本条例。</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第二条</w:t>
      </w:r>
      <w:r>
        <w:rPr>
          <w:rFonts w:hint="eastAsia" w:ascii="宋体" w:hAnsi="宋体" w:eastAsia="仿宋_GB2312" w:cs="仿宋_GB2312"/>
          <w:sz w:val="32"/>
          <w:highlight w:val="none"/>
          <w:lang w:val="en-US" w:eastAsia="zh-CN"/>
        </w:rPr>
        <w:t xml:space="preserve">  本条例适用于本省行政区域内城乡生活垃圾的源头减量、投放、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理及相关管理</w:t>
      </w:r>
      <w:r>
        <w:rPr>
          <w:rFonts w:hint="eastAsia" w:ascii="宋体" w:hAnsi="宋体" w:eastAsia="仿宋_GB2312" w:cs="仿宋_GB2312"/>
          <w:sz w:val="32"/>
          <w:highlight w:val="none"/>
          <w:lang w:val="en-US" w:eastAsia="zh-CN"/>
        </w:rPr>
        <w:t>等活动。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本条例所称生活垃圾，是指在日常生活中或者为日常生活提供服务的活动中产生的固体废物</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以及法律、行政法规规定视为生活垃圾的固体废物。</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第三条</w:t>
      </w:r>
      <w:r>
        <w:rPr>
          <w:rFonts w:hint="eastAsia" w:ascii="宋体" w:hAnsi="宋体" w:eastAsia="仿宋_GB2312" w:cs="仿宋_GB2312"/>
          <w:sz w:val="32"/>
          <w:highlight w:val="none"/>
          <w:lang w:val="en-US" w:eastAsia="zh-CN"/>
        </w:rPr>
        <w:t xml:space="preserve">  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w:t>
      </w:r>
      <w:r>
        <w:rPr>
          <w:rFonts w:hint="eastAsia" w:ascii="宋体" w:hAnsi="宋体" w:eastAsia="仿宋_GB2312" w:cs="黑体"/>
          <w:sz w:val="32"/>
          <w:highlight w:val="none"/>
          <w:lang w:val="en-US" w:eastAsia="zh-CN"/>
        </w:rPr>
        <w:t>坚持政府推动、</w:t>
      </w:r>
      <w:r>
        <w:rPr>
          <w:rFonts w:hint="eastAsia" w:ascii="宋体" w:hAnsi="宋体" w:eastAsia="仿宋_GB2312" w:cs="仿宋_GB2312"/>
          <w:sz w:val="32"/>
          <w:highlight w:val="none"/>
          <w:lang w:val="en-US" w:eastAsia="zh-CN"/>
        </w:rPr>
        <w:t>城乡统筹、属地管理、</w:t>
      </w:r>
      <w:r>
        <w:rPr>
          <w:rFonts w:hint="eastAsia" w:ascii="宋体" w:hAnsi="宋体" w:eastAsia="仿宋_GB2312" w:cs="仿宋_GB2312"/>
          <w:i w:val="0"/>
          <w:iCs w:val="0"/>
          <w:sz w:val="32"/>
          <w:highlight w:val="none"/>
          <w:u w:val="none"/>
          <w:lang w:val="en-US" w:eastAsia="zh-CN"/>
        </w:rPr>
        <w:t>全民参与、</w:t>
      </w:r>
      <w:r>
        <w:rPr>
          <w:rFonts w:hint="eastAsia" w:ascii="宋体" w:hAnsi="宋体" w:eastAsia="仿宋_GB2312" w:cs="仿宋_GB2312"/>
          <w:sz w:val="32"/>
          <w:highlight w:val="none"/>
          <w:lang w:val="en-US" w:eastAsia="zh-CN"/>
        </w:rPr>
        <w:t>因地制宜、</w:t>
      </w:r>
      <w:r>
        <w:rPr>
          <w:rFonts w:hint="eastAsia" w:ascii="宋体" w:hAnsi="宋体" w:eastAsia="仿宋_GB2312" w:cs="黑体"/>
          <w:sz w:val="32"/>
          <w:highlight w:val="none"/>
          <w:lang w:val="en-US" w:eastAsia="zh-CN"/>
        </w:rPr>
        <w:t>简便易行</w:t>
      </w:r>
      <w:r>
        <w:rPr>
          <w:rFonts w:hint="eastAsia" w:ascii="宋体" w:hAnsi="宋体" w:eastAsia="仿宋_GB2312" w:cs="仿宋_GB2312"/>
          <w:sz w:val="32"/>
          <w:highlight w:val="none"/>
          <w:lang w:val="en-US" w:eastAsia="zh-CN"/>
        </w:rPr>
        <w:t>的原则，实行减量化、资源化、无害化控制和管理。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第四条</w:t>
      </w:r>
      <w:r>
        <w:rPr>
          <w:rFonts w:hint="eastAsia" w:ascii="宋体" w:hAnsi="宋体" w:eastAsia="仿宋_GB2312" w:cs="仿宋_GB2312"/>
          <w:sz w:val="32"/>
          <w:highlight w:val="none"/>
          <w:lang w:val="en-US" w:eastAsia="zh-CN"/>
        </w:rPr>
        <w:t xml:space="preserve">  县级以上人民政府应当将城乡生活垃圾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理工作纳入国民经济与社会发展规划，制定城乡生活垃圾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理目标，落实城乡生活垃圾源头减量、投放、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的保障措施。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乡镇人民政府、街道办事处负责本区</w:t>
      </w:r>
      <w:r>
        <w:rPr>
          <w:rFonts w:hint="eastAsia" w:ascii="宋体" w:hAnsi="宋体" w:eastAsia="仿宋_GB2312" w:cs="黑体"/>
          <w:sz w:val="32"/>
          <w:highlight w:val="none"/>
          <w:lang w:val="en-US" w:eastAsia="zh-CN"/>
        </w:rPr>
        <w:t>域</w:t>
      </w:r>
      <w:r>
        <w:rPr>
          <w:rFonts w:hint="eastAsia" w:ascii="宋体" w:hAnsi="宋体" w:eastAsia="仿宋_GB2312" w:cs="仿宋_GB2312"/>
          <w:sz w:val="32"/>
          <w:highlight w:val="none"/>
          <w:lang w:val="en-US" w:eastAsia="zh-CN"/>
        </w:rPr>
        <w:t>内城乡生活垃圾的</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村民委员会、居民委员会</w:t>
      </w:r>
      <w:r>
        <w:rPr>
          <w:rFonts w:hint="eastAsia" w:ascii="宋体" w:hAnsi="宋体" w:eastAsia="仿宋_GB2312" w:cs="黑体"/>
          <w:i w:val="0"/>
          <w:iCs w:val="0"/>
          <w:sz w:val="32"/>
          <w:highlight w:val="none"/>
          <w:u w:val="none"/>
          <w:lang w:val="en-US" w:eastAsia="zh-CN"/>
        </w:rPr>
        <w:t>协助</w:t>
      </w:r>
      <w:r>
        <w:rPr>
          <w:rFonts w:hint="eastAsia" w:ascii="宋体" w:hAnsi="宋体" w:eastAsia="仿宋_GB2312" w:cs="黑体"/>
          <w:sz w:val="32"/>
          <w:highlight w:val="none"/>
          <w:lang w:val="en-US" w:eastAsia="zh-CN"/>
        </w:rPr>
        <w:t>做好</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源头减量、分类</w:t>
      </w:r>
      <w:r>
        <w:rPr>
          <w:rFonts w:hint="eastAsia" w:ascii="宋体" w:hAnsi="宋体" w:eastAsia="仿宋_GB2312" w:cs="仿宋_GB2312"/>
          <w:i w:val="0"/>
          <w:iCs w:val="0"/>
          <w:sz w:val="32"/>
          <w:highlight w:val="none"/>
          <w:u w:val="none"/>
          <w:lang w:val="en-US" w:eastAsia="zh-CN"/>
        </w:rPr>
        <w:t>投放</w:t>
      </w:r>
      <w:r>
        <w:rPr>
          <w:rFonts w:hint="eastAsia" w:ascii="宋体" w:hAnsi="宋体" w:eastAsia="仿宋_GB2312" w:cs="黑体"/>
          <w:i w:val="0"/>
          <w:iCs w:val="0"/>
          <w:sz w:val="32"/>
          <w:highlight w:val="none"/>
          <w:u w:val="none"/>
          <w:lang w:val="en-US" w:eastAsia="zh-CN"/>
        </w:rPr>
        <w:t>等的</w:t>
      </w:r>
      <w:r>
        <w:rPr>
          <w:rFonts w:hint="eastAsia" w:ascii="黑体" w:hAnsi="黑体" w:eastAsia="仿宋_GB2312" w:cs="黑体"/>
          <w:i w:val="0"/>
          <w:iCs w:val="0"/>
          <w:sz w:val="32"/>
          <w:highlight w:val="none"/>
          <w:u w:val="none"/>
          <w:lang w:val="en-US" w:eastAsia="zh-CN"/>
        </w:rPr>
        <w:t>组织、</w:t>
      </w:r>
      <w:r>
        <w:rPr>
          <w:rFonts w:hint="eastAsia" w:ascii="宋体" w:hAnsi="宋体" w:eastAsia="仿宋_GB2312" w:cs="黑体"/>
          <w:i w:val="0"/>
          <w:iCs w:val="0"/>
          <w:sz w:val="32"/>
          <w:highlight w:val="none"/>
          <w:u w:val="none"/>
          <w:lang w:val="en-US" w:eastAsia="zh-CN"/>
        </w:rPr>
        <w:t>宣传、引导</w:t>
      </w:r>
      <w:r>
        <w:rPr>
          <w:rFonts w:hint="eastAsia" w:ascii="宋体" w:hAnsi="宋体" w:eastAsia="仿宋_GB2312" w:cs="仿宋_GB2312"/>
          <w:sz w:val="32"/>
          <w:highlight w:val="none"/>
          <w:lang w:val="en-US" w:eastAsia="zh-CN"/>
        </w:rPr>
        <w:t>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第五条</w:t>
      </w:r>
      <w:r>
        <w:rPr>
          <w:rFonts w:hint="eastAsia" w:ascii="宋体" w:hAnsi="宋体" w:eastAsia="仿宋_GB2312" w:cs="仿宋_GB2312"/>
          <w:sz w:val="32"/>
          <w:highlight w:val="none"/>
          <w:lang w:val="en-US" w:eastAsia="zh-CN"/>
        </w:rPr>
        <w:t xml:space="preserve">  省人民政府住房城乡建设主管部门</w:t>
      </w:r>
      <w:r>
        <w:rPr>
          <w:rFonts w:hint="eastAsia" w:ascii="宋体" w:hAnsi="宋体" w:eastAsia="仿宋_GB2312" w:cs="黑体"/>
          <w:sz w:val="32"/>
          <w:highlight w:val="none"/>
          <w:lang w:val="en-US" w:eastAsia="zh-CN"/>
        </w:rPr>
        <w:t>负责</w:t>
      </w:r>
      <w:r>
        <w:rPr>
          <w:rFonts w:hint="eastAsia" w:ascii="宋体" w:hAnsi="宋体" w:eastAsia="仿宋_GB2312" w:cs="仿宋_GB2312"/>
          <w:sz w:val="32"/>
          <w:highlight w:val="none"/>
          <w:lang w:val="en-US" w:eastAsia="zh-CN"/>
        </w:rPr>
        <w:t>指导</w:t>
      </w:r>
      <w:r>
        <w:rPr>
          <w:rFonts w:hint="eastAsia" w:ascii="宋体" w:hAnsi="宋体" w:eastAsia="仿宋_GB2312" w:cs="仿宋_GB2312"/>
          <w:i w:val="0"/>
          <w:iCs w:val="0"/>
          <w:sz w:val="32"/>
          <w:highlight w:val="none"/>
          <w:u w:val="none"/>
          <w:lang w:val="en-US" w:eastAsia="zh-CN"/>
        </w:rPr>
        <w:t>全</w:t>
      </w:r>
      <w:r>
        <w:rPr>
          <w:rFonts w:hint="eastAsia" w:ascii="宋体" w:hAnsi="宋体" w:eastAsia="仿宋_GB2312" w:cs="仿宋_GB2312"/>
          <w:sz w:val="32"/>
          <w:highlight w:val="none"/>
          <w:lang w:val="en-US" w:eastAsia="zh-CN"/>
        </w:rPr>
        <w:t>省城乡生活垃圾</w:t>
      </w:r>
      <w:r>
        <w:rPr>
          <w:rFonts w:hint="eastAsia" w:ascii="宋体" w:hAnsi="宋体" w:eastAsia="仿宋_GB2312" w:cs="仿宋_GB2312"/>
          <w:i w:val="0"/>
          <w:iCs w:val="0"/>
          <w:sz w:val="32"/>
          <w:highlight w:val="none"/>
          <w:lang w:val="en-US" w:eastAsia="zh-CN"/>
        </w:rPr>
        <w:t>的</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color w:val="auto"/>
          <w:sz w:val="32"/>
          <w:highlight w:val="none"/>
          <w:lang w:val="en-US" w:eastAsia="zh-CN"/>
        </w:rPr>
        <w:t>地级以上</w:t>
      </w:r>
      <w:r>
        <w:rPr>
          <w:rFonts w:hint="eastAsia" w:ascii="宋体" w:hAnsi="宋体" w:eastAsia="仿宋_GB2312" w:cs="仿宋_GB2312"/>
          <w:color w:val="auto"/>
          <w:sz w:val="32"/>
          <w:highlight w:val="none"/>
          <w:lang w:val="en-US" w:eastAsia="zh-CN"/>
        </w:rPr>
        <w:t>市</w:t>
      </w:r>
      <w:r>
        <w:rPr>
          <w:rFonts w:hint="eastAsia" w:ascii="宋体" w:hAnsi="宋体" w:eastAsia="仿宋_GB2312" w:cs="仿宋_GB2312"/>
          <w:i w:val="0"/>
          <w:iCs w:val="0"/>
          <w:color w:val="auto"/>
          <w:sz w:val="32"/>
          <w:highlight w:val="none"/>
          <w:u w:val="none"/>
          <w:lang w:val="en-US" w:eastAsia="zh-CN"/>
        </w:rPr>
        <w:t>、</w:t>
      </w:r>
      <w:r>
        <w:rPr>
          <w:rFonts w:hint="eastAsia" w:ascii="宋体" w:hAnsi="宋体" w:eastAsia="仿宋_GB2312" w:cs="仿宋_GB2312"/>
          <w:color w:val="auto"/>
          <w:sz w:val="32"/>
          <w:highlight w:val="none"/>
          <w:lang w:val="en-US" w:eastAsia="zh-CN"/>
        </w:rPr>
        <w:t>县</w:t>
      </w:r>
      <w:r>
        <w:rPr>
          <w:rFonts w:hint="eastAsia" w:ascii="宋体" w:hAnsi="宋体" w:eastAsia="仿宋_GB2312" w:cs="黑体"/>
          <w:color w:val="auto"/>
          <w:sz w:val="32"/>
          <w:highlight w:val="none"/>
          <w:lang w:val="en-US" w:eastAsia="zh-CN"/>
        </w:rPr>
        <w:t>级</w:t>
      </w:r>
      <w:r>
        <w:rPr>
          <w:rFonts w:hint="eastAsia" w:ascii="宋体" w:hAnsi="宋体" w:eastAsia="仿宋_GB2312" w:cs="仿宋_GB2312"/>
          <w:sz w:val="32"/>
          <w:highlight w:val="none"/>
          <w:lang w:val="en-US" w:eastAsia="zh-CN"/>
        </w:rPr>
        <w:t>人民政府环境卫生主管部门负责本行政区域内城</w:t>
      </w:r>
      <w:r>
        <w:rPr>
          <w:rFonts w:hint="eastAsia" w:ascii="宋体" w:hAnsi="宋体" w:eastAsia="仿宋_GB2312" w:cs="仿宋_GB2312"/>
          <w:i w:val="0"/>
          <w:iCs w:val="0"/>
          <w:sz w:val="32"/>
          <w:highlight w:val="none"/>
          <w:u w:val="none"/>
          <w:lang w:val="en-US" w:eastAsia="zh-CN"/>
        </w:rPr>
        <w:t>乡</w:t>
      </w:r>
      <w:r>
        <w:rPr>
          <w:rFonts w:hint="eastAsia" w:ascii="宋体" w:hAnsi="宋体" w:eastAsia="仿宋_GB2312" w:cs="仿宋_GB2312"/>
          <w:sz w:val="32"/>
          <w:highlight w:val="none"/>
          <w:lang w:val="en-US" w:eastAsia="zh-CN"/>
        </w:rPr>
        <w:t>生活垃圾</w:t>
      </w:r>
      <w:r>
        <w:rPr>
          <w:rFonts w:hint="eastAsia" w:ascii="宋体" w:hAnsi="宋体" w:eastAsia="仿宋_GB2312" w:cs="仿宋_GB2312"/>
          <w:i w:val="0"/>
          <w:iCs w:val="0"/>
          <w:sz w:val="32"/>
          <w:highlight w:val="none"/>
          <w:u w:val="none"/>
          <w:lang w:val="en-US" w:eastAsia="zh-CN"/>
        </w:rPr>
        <w:t>的</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县级以上人民政府农业农村主管部门负责指导农村生活垃圾分类工作和村庄保洁长效机制建设。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县级以上人民政府发展改革、生态环境、商务、市场监管等有关部门按照职责分工协同做好城乡生活垃圾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理的相关工作。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color w:val="auto"/>
          <w:sz w:val="32"/>
          <w:highlight w:val="none"/>
          <w:lang w:val="en-US" w:eastAsia="zh-CN"/>
        </w:rPr>
      </w:pPr>
      <w:r>
        <w:rPr>
          <w:rFonts w:hint="eastAsia" w:ascii="宋体" w:hAnsi="宋体" w:eastAsia="黑体" w:cs="仿宋_GB2312"/>
          <w:sz w:val="32"/>
          <w:highlight w:val="none"/>
          <w:lang w:val="en-US" w:eastAsia="zh-CN"/>
        </w:rPr>
        <w:t>第六条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color w:val="auto"/>
          <w:sz w:val="32"/>
          <w:highlight w:val="none"/>
          <w:lang w:val="en-US" w:eastAsia="zh-CN"/>
        </w:rPr>
        <w:t>本省推行城乡生活垃圾分类制度。</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县级以上人民政府应当</w:t>
      </w:r>
      <w:r>
        <w:rPr>
          <w:rFonts w:hint="eastAsia" w:ascii="宋体" w:hAnsi="宋体" w:eastAsia="仿宋_GB2312" w:cs="仿宋_GB2312"/>
          <w:sz w:val="32"/>
          <w:highlight w:val="none"/>
          <w:lang w:val="en-US" w:eastAsia="zh-CN"/>
        </w:rPr>
        <w:t>加快建立分类投放、分类收集、分类运输、分类处理的生活垃圾管理系统</w:t>
      </w:r>
      <w:r>
        <w:rPr>
          <w:rFonts w:hint="eastAsia" w:ascii="宋体" w:hAnsi="宋体" w:eastAsia="仿宋_GB2312" w:cs="黑体"/>
          <w:sz w:val="32"/>
          <w:highlight w:val="none"/>
          <w:lang w:val="en-US" w:eastAsia="zh-CN"/>
        </w:rPr>
        <w:t>，实现生活垃圾分类制度有效覆盖，推进生活垃圾源头减量、资源化利用和无害化处理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第七条</w:t>
      </w:r>
      <w:r>
        <w:rPr>
          <w:rFonts w:hint="eastAsia" w:ascii="宋体" w:hAnsi="宋体" w:eastAsia="仿宋_GB2312" w:cs="仿宋_GB2312"/>
          <w:sz w:val="32"/>
          <w:highlight w:val="none"/>
          <w:lang w:val="en-US" w:eastAsia="zh-CN"/>
        </w:rPr>
        <w:t xml:space="preserve">  产生生活垃圾的单位、家庭和个人应当依法履行生活垃圾源头减量和分类投放义务，</w:t>
      </w:r>
      <w:r>
        <w:rPr>
          <w:rFonts w:hint="eastAsia" w:ascii="宋体" w:hAnsi="宋体" w:eastAsia="仿宋_GB2312" w:cs="黑体"/>
          <w:sz w:val="32"/>
          <w:highlight w:val="none"/>
          <w:lang w:val="en-US" w:eastAsia="zh-CN"/>
        </w:rPr>
        <w:t>承担生活垃圾产生者责任，</w:t>
      </w:r>
      <w:r>
        <w:rPr>
          <w:rFonts w:hint="eastAsia" w:ascii="宋体" w:hAnsi="宋体" w:eastAsia="仿宋_GB2312" w:cs="仿宋_GB2312"/>
          <w:sz w:val="32"/>
          <w:highlight w:val="none"/>
          <w:lang w:val="en-US" w:eastAsia="zh-CN"/>
        </w:rPr>
        <w:t>按照规定缴纳生活垃圾处理费。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各级人民政府应当加强生活垃圾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的宣传教育，增强公众生活垃圾减量、分类意识，</w:t>
      </w:r>
      <w:r>
        <w:rPr>
          <w:rFonts w:hint="eastAsia" w:ascii="宋体" w:hAnsi="宋体" w:eastAsia="仿宋_GB2312" w:cs="黑体"/>
          <w:sz w:val="32"/>
          <w:highlight w:val="none"/>
          <w:lang w:val="en-US" w:eastAsia="zh-CN"/>
        </w:rPr>
        <w:t>教育引导社会公众养成生活垃圾分类习惯，</w:t>
      </w:r>
      <w:r>
        <w:rPr>
          <w:rFonts w:hint="eastAsia" w:ascii="宋体" w:hAnsi="宋体" w:eastAsia="仿宋_GB2312" w:cs="仿宋_GB2312"/>
          <w:sz w:val="32"/>
          <w:highlight w:val="none"/>
          <w:lang w:val="en-US" w:eastAsia="zh-CN"/>
        </w:rPr>
        <w:t>鼓励公众参与生活垃圾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的监督活动。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县级以上人民政府教育主管部门应当把生活垃圾源头减量、分类、回收利用和无害化处</w:t>
      </w:r>
      <w:r>
        <w:rPr>
          <w:rFonts w:hint="eastAsia" w:ascii="宋体" w:hAnsi="宋体" w:eastAsia="仿宋_GB2312" w:cs="仿宋_GB2312"/>
          <w:i w:val="0"/>
          <w:iCs w:val="0"/>
          <w:sz w:val="32"/>
          <w:highlight w:val="none"/>
          <w:u w:val="none"/>
          <w:lang w:val="en-US" w:eastAsia="zh-CN"/>
        </w:rPr>
        <w:t>理</w:t>
      </w:r>
      <w:r>
        <w:rPr>
          <w:rFonts w:hint="eastAsia" w:ascii="宋体" w:hAnsi="宋体" w:eastAsia="仿宋_GB2312" w:cs="仿宋_GB2312"/>
          <w:sz w:val="32"/>
          <w:highlight w:val="none"/>
          <w:lang w:val="en-US" w:eastAsia="zh-CN"/>
        </w:rPr>
        <w:t>等知识作为学校教育和社会实践内容。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szCs w:val="22"/>
          <w:highlight w:val="none"/>
          <w:lang w:val="en-US" w:eastAsia="zh-CN"/>
        </w:rPr>
      </w:pPr>
      <w:r>
        <w:rPr>
          <w:rFonts w:hint="eastAsia" w:ascii="宋体" w:hAnsi="宋体" w:eastAsia="仿宋_GB2312" w:cs="黑体"/>
          <w:sz w:val="32"/>
          <w:highlight w:val="none"/>
          <w:lang w:val="en-US" w:eastAsia="zh-CN"/>
        </w:rPr>
        <w:t>各类</w:t>
      </w:r>
      <w:r>
        <w:rPr>
          <w:rFonts w:hint="eastAsia" w:ascii="宋体" w:hAnsi="宋体" w:eastAsia="仿宋_GB2312" w:cs="仿宋_GB2312"/>
          <w:sz w:val="32"/>
          <w:highlight w:val="none"/>
          <w:lang w:val="en-US" w:eastAsia="zh-CN"/>
        </w:rPr>
        <w:t>媒体应当开展生活垃圾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的公益宣传。</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鼓励志愿服务组织和志愿者开展生活垃圾</w:t>
      </w:r>
      <w:r>
        <w:rPr>
          <w:rFonts w:hint="eastAsia" w:ascii="宋体" w:hAnsi="宋体" w:eastAsia="仿宋_GB2312" w:cs="仿宋_GB2312"/>
          <w:i w:val="0"/>
          <w:iCs w:val="0"/>
          <w:sz w:val="32"/>
          <w:highlight w:val="none"/>
          <w:u w:val="none"/>
          <w:lang w:val="en-US" w:eastAsia="zh-CN"/>
        </w:rPr>
        <w:t>分类</w:t>
      </w:r>
      <w:r>
        <w:rPr>
          <w:rFonts w:hint="eastAsia" w:ascii="宋体" w:hAnsi="宋体" w:eastAsia="仿宋_GB2312" w:cs="仿宋_GB2312"/>
          <w:sz w:val="32"/>
          <w:highlight w:val="none"/>
          <w:lang w:val="en-US" w:eastAsia="zh-CN"/>
        </w:rPr>
        <w:t>的宣传、示范和监督等活动。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县级以上人民政府及其</w:t>
      </w:r>
      <w:r>
        <w:rPr>
          <w:rFonts w:hint="eastAsia" w:ascii="宋体" w:hAnsi="宋体" w:eastAsia="仿宋_GB2312" w:cs="黑体"/>
          <w:sz w:val="32"/>
          <w:highlight w:val="none"/>
          <w:lang w:val="en-US" w:eastAsia="zh-CN"/>
        </w:rPr>
        <w:t>有</w:t>
      </w:r>
      <w:r>
        <w:rPr>
          <w:rFonts w:hint="eastAsia" w:ascii="宋体" w:hAnsi="宋体" w:eastAsia="仿宋_GB2312" w:cs="仿宋_GB2312"/>
          <w:sz w:val="32"/>
          <w:highlight w:val="none"/>
          <w:lang w:val="en-US" w:eastAsia="zh-CN"/>
        </w:rPr>
        <w:t>关部门，乡镇人民政府、街道办事处可以通过购买服务方式，引入社会组织参与生活垃圾</w:t>
      </w:r>
      <w:r>
        <w:rPr>
          <w:rFonts w:hint="eastAsia" w:ascii="宋体" w:hAnsi="宋体" w:eastAsia="仿宋_GB2312" w:cs="黑体"/>
          <w:sz w:val="32"/>
          <w:highlight w:val="none"/>
          <w:lang w:val="en-US" w:eastAsia="zh-CN"/>
        </w:rPr>
        <w:t>分类的</w:t>
      </w:r>
      <w:r>
        <w:rPr>
          <w:rFonts w:hint="eastAsia" w:ascii="宋体" w:hAnsi="宋体" w:eastAsia="仿宋_GB2312" w:cs="仿宋_GB2312"/>
          <w:sz w:val="32"/>
          <w:highlight w:val="none"/>
          <w:lang w:val="en-US" w:eastAsia="zh-CN"/>
        </w:rPr>
        <w:t>宣传教育活动。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黑体"/>
          <w:sz w:val="32"/>
          <w:highlight w:val="none"/>
          <w:lang w:val="en-US" w:eastAsia="zh-CN"/>
        </w:rPr>
        <w:t>第十条</w:t>
      </w:r>
      <w:r>
        <w:rPr>
          <w:rFonts w:hint="eastAsia" w:ascii="宋体" w:hAnsi="宋体" w:eastAsia="仿宋_GB2312" w:cs="黑体"/>
          <w:sz w:val="32"/>
          <w:highlight w:val="none"/>
          <w:lang w:val="en-US" w:eastAsia="zh-CN"/>
        </w:rPr>
        <w:t xml:space="preserve">  鼓励和支持城乡生活垃圾分类的科学研究、技术开发、先进技术推广和科学普及，为源头减量、资源化利用和无害化处理提供科技支撑，提高生活垃圾分类效益。</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第二章  源头减量</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仿宋_GB2312"/>
          <w:i w:val="0"/>
          <w:iCs w:val="0"/>
          <w:sz w:val="32"/>
          <w:highlight w:val="none"/>
          <w:u w:val="none"/>
          <w:lang w:val="en-US" w:eastAsia="zh-CN"/>
        </w:rPr>
        <w:t>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各级人民政府应当建立涵盖生产、流通、消费等领域的生活垃圾源头减量机制，鼓励使用</w:t>
      </w:r>
      <w:r>
        <w:rPr>
          <w:rFonts w:hint="eastAsia" w:ascii="宋体" w:hAnsi="宋体" w:eastAsia="仿宋_GB2312" w:cs="黑体"/>
          <w:sz w:val="32"/>
          <w:highlight w:val="none"/>
          <w:lang w:val="en-US" w:eastAsia="zh-CN"/>
        </w:rPr>
        <w:t>可</w:t>
      </w:r>
      <w:r>
        <w:rPr>
          <w:rFonts w:hint="eastAsia" w:ascii="宋体" w:hAnsi="宋体" w:eastAsia="仿宋_GB2312" w:cs="仿宋_GB2312"/>
          <w:sz w:val="32"/>
          <w:highlight w:val="none"/>
          <w:lang w:val="en-US" w:eastAsia="zh-CN"/>
        </w:rPr>
        <w:t>再利用、可再生、可降解等有利于生活垃圾减量化、资源化</w:t>
      </w:r>
      <w:r>
        <w:rPr>
          <w:rFonts w:hint="eastAsia" w:ascii="宋体" w:hAnsi="宋体" w:eastAsia="仿宋_GB2312" w:cs="黑体"/>
          <w:sz w:val="32"/>
          <w:highlight w:val="none"/>
          <w:lang w:val="en-US" w:eastAsia="zh-CN"/>
        </w:rPr>
        <w:t>、无害化</w:t>
      </w:r>
      <w:r>
        <w:rPr>
          <w:rFonts w:hint="eastAsia" w:ascii="宋体" w:hAnsi="宋体" w:eastAsia="仿宋_GB2312" w:cs="仿宋_GB2312"/>
          <w:sz w:val="32"/>
          <w:highlight w:val="none"/>
          <w:lang w:val="en-US" w:eastAsia="zh-CN"/>
        </w:rPr>
        <w:t>的产品，减少生活垃圾的产生</w:t>
      </w:r>
      <w:r>
        <w:rPr>
          <w:rFonts w:hint="eastAsia" w:ascii="宋体" w:hAnsi="宋体" w:eastAsia="仿宋_GB2312" w:cs="黑体"/>
          <w:sz w:val="32"/>
          <w:highlight w:val="none"/>
          <w:lang w:val="en-US" w:eastAsia="zh-CN"/>
        </w:rPr>
        <w:t>量</w:t>
      </w:r>
      <w:r>
        <w:rPr>
          <w:rFonts w:hint="eastAsia" w:ascii="宋体" w:hAnsi="宋体" w:eastAsia="仿宋_GB2312" w:cs="仿宋_GB2312"/>
          <w:sz w:val="32"/>
          <w:highlight w:val="none"/>
          <w:lang w:val="en-US" w:eastAsia="zh-CN"/>
        </w:rPr>
        <w:t>，促进资源节约和循环利用。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第十二条</w:t>
      </w:r>
      <w:r>
        <w:rPr>
          <w:rFonts w:hint="eastAsia" w:ascii="宋体" w:hAnsi="宋体" w:eastAsia="仿宋_GB2312" w:cs="黑体"/>
          <w:sz w:val="32"/>
          <w:highlight w:val="none"/>
          <w:lang w:val="en-US" w:eastAsia="zh-CN"/>
        </w:rPr>
        <w:t xml:space="preserve">  鼓励通过树立先进典型、积分兑换等奖励方式，支持单位、家庭和个人回收利用可回收物，推动生活垃圾源头减量。</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生产者、销售者应当执行国家和省关于限制产品过度包装的标准和要求，</w:t>
      </w:r>
      <w:r>
        <w:rPr>
          <w:rFonts w:hint="eastAsia" w:ascii="宋体" w:hAnsi="宋体" w:eastAsia="仿宋_GB2312" w:cs="黑体"/>
          <w:sz w:val="32"/>
          <w:highlight w:val="none"/>
          <w:lang w:val="en-US" w:eastAsia="zh-CN"/>
        </w:rPr>
        <w:t>避免</w:t>
      </w:r>
      <w:r>
        <w:rPr>
          <w:rFonts w:hint="eastAsia" w:ascii="宋体" w:hAnsi="宋体" w:eastAsia="仿宋_GB2312" w:cs="仿宋_GB2312"/>
          <w:sz w:val="32"/>
          <w:highlight w:val="none"/>
          <w:lang w:val="en-US" w:eastAsia="zh-CN"/>
        </w:rPr>
        <w:t>包装材料的过度使用</w:t>
      </w:r>
      <w:r>
        <w:rPr>
          <w:rFonts w:hint="eastAsia" w:ascii="宋体" w:hAnsi="宋体" w:eastAsia="仿宋_GB2312" w:cs="黑体"/>
          <w:sz w:val="32"/>
          <w:highlight w:val="none"/>
          <w:lang w:val="en-US" w:eastAsia="zh-CN"/>
        </w:rPr>
        <w:t>，减少</w:t>
      </w:r>
      <w:r>
        <w:rPr>
          <w:rFonts w:hint="eastAsia" w:ascii="宋体" w:hAnsi="宋体" w:eastAsia="仿宋_GB2312" w:cs="仿宋_GB2312"/>
          <w:sz w:val="32"/>
          <w:highlight w:val="none"/>
          <w:lang w:val="en-US" w:eastAsia="zh-CN"/>
        </w:rPr>
        <w:t>包装废弃物的产生；对列入国家强制回收目录的产品和包装物按照规定予以标注，并进行相应的回收和处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仿宋_GB2312"/>
          <w:i w:val="0"/>
          <w:iCs w:val="0"/>
          <w:sz w:val="32"/>
          <w:highlight w:val="none"/>
          <w:u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县级以上人民政府商务、邮政等主管部门应当促进外卖</w:t>
      </w:r>
      <w:r>
        <w:rPr>
          <w:rFonts w:hint="eastAsia" w:ascii="宋体" w:hAnsi="宋体" w:eastAsia="仿宋_GB2312" w:cs="黑体"/>
          <w:sz w:val="32"/>
          <w:highlight w:val="none"/>
          <w:lang w:val="en-US" w:eastAsia="zh-CN"/>
        </w:rPr>
        <w:t>、快递等</w:t>
      </w:r>
      <w:r>
        <w:rPr>
          <w:rFonts w:hint="eastAsia" w:ascii="宋体" w:hAnsi="宋体" w:eastAsia="仿宋_GB2312" w:cs="仿宋_GB2312"/>
          <w:sz w:val="32"/>
          <w:highlight w:val="none"/>
          <w:lang w:val="en-US" w:eastAsia="zh-CN"/>
        </w:rPr>
        <w:t>包装物的减量化和循环再利用。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电子商务、外卖</w:t>
      </w:r>
      <w:r>
        <w:rPr>
          <w:rFonts w:hint="eastAsia" w:ascii="宋体" w:hAnsi="宋体" w:eastAsia="仿宋_GB2312" w:cs="黑体"/>
          <w:sz w:val="32"/>
          <w:highlight w:val="none"/>
          <w:lang w:val="en-US" w:eastAsia="zh-CN"/>
        </w:rPr>
        <w:t>、快递</w:t>
      </w:r>
      <w:r>
        <w:rPr>
          <w:rFonts w:hint="eastAsia" w:ascii="宋体" w:hAnsi="宋体" w:eastAsia="仿宋_GB2312" w:cs="仿宋_GB2312"/>
          <w:sz w:val="32"/>
          <w:highlight w:val="none"/>
          <w:lang w:val="en-US" w:eastAsia="zh-CN"/>
        </w:rPr>
        <w:t>等行业应当</w:t>
      </w:r>
      <w:r>
        <w:rPr>
          <w:rFonts w:hint="eastAsia" w:ascii="宋体" w:hAnsi="宋体" w:eastAsia="仿宋_GB2312" w:cs="黑体"/>
          <w:sz w:val="32"/>
          <w:highlight w:val="none"/>
          <w:lang w:val="en-US" w:eastAsia="zh-CN"/>
        </w:rPr>
        <w:t>优先</w:t>
      </w:r>
      <w:r>
        <w:rPr>
          <w:rFonts w:hint="eastAsia" w:ascii="宋体" w:hAnsi="宋体" w:eastAsia="仿宋_GB2312" w:cs="仿宋_GB2312"/>
          <w:sz w:val="32"/>
          <w:highlight w:val="none"/>
          <w:lang w:val="en-US" w:eastAsia="zh-CN"/>
        </w:rPr>
        <w:t>采用可重复使用</w:t>
      </w:r>
      <w:r>
        <w:rPr>
          <w:rFonts w:hint="eastAsia" w:ascii="宋体" w:hAnsi="宋体" w:eastAsia="仿宋_GB2312" w:cs="仿宋_GB2312"/>
          <w:i w:val="0"/>
          <w:iCs w:val="0"/>
          <w:sz w:val="32"/>
          <w:highlight w:val="none"/>
          <w:u w:val="none"/>
          <w:lang w:val="en-US" w:eastAsia="zh-CN"/>
        </w:rPr>
        <w:t>、易回收利用的</w:t>
      </w:r>
      <w:r>
        <w:rPr>
          <w:rFonts w:hint="eastAsia" w:ascii="宋体" w:hAnsi="宋体" w:eastAsia="仿宋_GB2312" w:cs="仿宋_GB2312"/>
          <w:sz w:val="32"/>
          <w:highlight w:val="none"/>
          <w:lang w:val="en-US" w:eastAsia="zh-CN"/>
        </w:rPr>
        <w:t>包装</w:t>
      </w:r>
      <w:r>
        <w:rPr>
          <w:rFonts w:hint="eastAsia" w:ascii="宋体" w:hAnsi="宋体" w:eastAsia="仿宋_GB2312" w:cs="仿宋_GB2312"/>
          <w:i w:val="0"/>
          <w:iCs w:val="0"/>
          <w:sz w:val="32"/>
          <w:highlight w:val="none"/>
          <w:u w:val="none"/>
          <w:lang w:val="en-US" w:eastAsia="zh-CN"/>
        </w:rPr>
        <w:t>物</w:t>
      </w:r>
      <w:r>
        <w:rPr>
          <w:rFonts w:hint="eastAsia" w:ascii="宋体" w:hAnsi="宋体" w:eastAsia="仿宋_GB2312" w:cs="仿宋_GB2312"/>
          <w:sz w:val="32"/>
          <w:highlight w:val="none"/>
          <w:lang w:val="en-US" w:eastAsia="zh-CN"/>
        </w:rPr>
        <w:t>，</w:t>
      </w:r>
      <w:r>
        <w:rPr>
          <w:rFonts w:hint="eastAsia" w:ascii="宋体" w:hAnsi="宋体" w:eastAsia="仿宋_GB2312" w:cs="黑体"/>
          <w:sz w:val="32"/>
          <w:highlight w:val="none"/>
          <w:lang w:val="en-US" w:eastAsia="zh-CN"/>
        </w:rPr>
        <w:t>优化物品包装，减少包装物的使用，</w:t>
      </w:r>
      <w:r>
        <w:rPr>
          <w:rFonts w:hint="eastAsia" w:ascii="宋体" w:hAnsi="宋体" w:eastAsia="仿宋_GB2312" w:cs="仿宋_GB2312"/>
          <w:i w:val="0"/>
          <w:iCs w:val="0"/>
          <w:sz w:val="32"/>
          <w:highlight w:val="none"/>
          <w:u w:val="none"/>
          <w:lang w:val="en-US" w:eastAsia="zh-CN"/>
        </w:rPr>
        <w:t>并</w:t>
      </w:r>
      <w:r>
        <w:rPr>
          <w:rFonts w:hint="eastAsia" w:ascii="宋体" w:hAnsi="宋体" w:eastAsia="仿宋_GB2312" w:cs="仿宋_GB2312"/>
          <w:sz w:val="32"/>
          <w:highlight w:val="none"/>
          <w:lang w:val="en-US" w:eastAsia="zh-CN"/>
        </w:rPr>
        <w:t>积极回收利用包装物。</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鼓励</w:t>
      </w:r>
      <w:r>
        <w:rPr>
          <w:rFonts w:hint="eastAsia" w:ascii="宋体" w:hAnsi="宋体" w:eastAsia="仿宋_GB2312" w:cs="黑体"/>
          <w:sz w:val="32"/>
          <w:highlight w:val="none"/>
          <w:lang w:val="en-US" w:eastAsia="zh-CN"/>
        </w:rPr>
        <w:t>运用计价优惠等方式引导</w:t>
      </w:r>
      <w:r>
        <w:rPr>
          <w:rFonts w:hint="eastAsia" w:ascii="宋体" w:hAnsi="宋体" w:eastAsia="仿宋_GB2312" w:cs="仿宋_GB2312"/>
          <w:sz w:val="32"/>
          <w:highlight w:val="none"/>
          <w:lang w:val="en-US" w:eastAsia="zh-CN"/>
        </w:rPr>
        <w:t>消费者使用绿色包装和减量包装。</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县级以上人民政府农业农村</w:t>
      </w:r>
      <w:r>
        <w:rPr>
          <w:rFonts w:hint="eastAsia" w:ascii="宋体" w:hAnsi="宋体" w:eastAsia="仿宋_GB2312" w:cs="黑体"/>
          <w:sz w:val="32"/>
          <w:highlight w:val="none"/>
          <w:lang w:val="en-US" w:eastAsia="zh-CN"/>
        </w:rPr>
        <w:t>、商务、市场监管等有关</w:t>
      </w:r>
      <w:r>
        <w:rPr>
          <w:rFonts w:hint="eastAsia" w:ascii="宋体" w:hAnsi="宋体" w:eastAsia="仿宋_GB2312" w:cs="仿宋_GB2312"/>
          <w:sz w:val="32"/>
          <w:highlight w:val="none"/>
          <w:lang w:val="en-US" w:eastAsia="zh-CN"/>
        </w:rPr>
        <w:t>主管部门应当加强对果蔬生产基地</w:t>
      </w:r>
      <w:r>
        <w:rPr>
          <w:rFonts w:hint="eastAsia" w:ascii="宋体" w:hAnsi="宋体" w:eastAsia="仿宋_GB2312" w:cs="黑体"/>
          <w:sz w:val="32"/>
          <w:highlight w:val="none"/>
          <w:lang w:val="en-US" w:eastAsia="zh-CN"/>
        </w:rPr>
        <w:t>、农贸市场、菜市场、超市</w:t>
      </w:r>
      <w:r>
        <w:rPr>
          <w:rFonts w:hint="eastAsia" w:ascii="宋体" w:hAnsi="宋体" w:eastAsia="仿宋_GB2312" w:cs="仿宋_GB2312"/>
          <w:sz w:val="32"/>
          <w:highlight w:val="none"/>
          <w:lang w:val="en-US" w:eastAsia="zh-CN"/>
        </w:rPr>
        <w:t>等</w:t>
      </w:r>
      <w:r>
        <w:rPr>
          <w:rFonts w:hint="eastAsia" w:ascii="宋体" w:hAnsi="宋体" w:eastAsia="仿宋_GB2312" w:cs="仿宋_GB2312"/>
          <w:i w:val="0"/>
          <w:iCs w:val="0"/>
          <w:sz w:val="32"/>
          <w:highlight w:val="none"/>
          <w:u w:val="none"/>
          <w:lang w:val="en-US" w:eastAsia="zh-CN"/>
        </w:rPr>
        <w:t>场所的</w:t>
      </w:r>
      <w:r>
        <w:rPr>
          <w:rFonts w:hint="eastAsia" w:ascii="宋体" w:hAnsi="宋体" w:eastAsia="仿宋_GB2312" w:cs="仿宋_GB2312"/>
          <w:sz w:val="32"/>
          <w:highlight w:val="none"/>
          <w:lang w:val="en-US" w:eastAsia="zh-CN"/>
        </w:rPr>
        <w:t>管理，</w:t>
      </w:r>
      <w:r>
        <w:rPr>
          <w:rFonts w:hint="eastAsia" w:ascii="宋体" w:hAnsi="宋体" w:eastAsia="仿宋_GB2312" w:cs="黑体"/>
          <w:sz w:val="32"/>
          <w:highlight w:val="none"/>
          <w:lang w:val="en-US" w:eastAsia="zh-CN"/>
        </w:rPr>
        <w:t>组织</w:t>
      </w:r>
      <w:r>
        <w:rPr>
          <w:rFonts w:hint="eastAsia" w:ascii="宋体" w:hAnsi="宋体" w:eastAsia="仿宋_GB2312" w:cs="仿宋_GB2312"/>
          <w:sz w:val="32"/>
          <w:highlight w:val="none"/>
          <w:lang w:val="en-US" w:eastAsia="zh-CN"/>
        </w:rPr>
        <w:t>净菜上市。</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旅游、住宿等行业</w:t>
      </w:r>
      <w:r>
        <w:rPr>
          <w:rFonts w:hint="eastAsia" w:ascii="宋体" w:hAnsi="宋体" w:eastAsia="仿宋_GB2312" w:cs="仿宋_GB2312"/>
          <w:i w:val="0"/>
          <w:iCs w:val="0"/>
          <w:sz w:val="32"/>
          <w:highlight w:val="none"/>
          <w:u w:val="none"/>
          <w:lang w:val="en-US" w:eastAsia="zh-CN"/>
        </w:rPr>
        <w:t>应当按照国家有关规定</w:t>
      </w:r>
      <w:r>
        <w:rPr>
          <w:rFonts w:hint="eastAsia" w:ascii="宋体" w:hAnsi="宋体" w:eastAsia="仿宋_GB2312" w:cs="黑体"/>
          <w:i w:val="0"/>
          <w:iCs w:val="0"/>
          <w:sz w:val="32"/>
          <w:highlight w:val="none"/>
          <w:u w:val="none"/>
          <w:lang w:val="en-US" w:eastAsia="zh-CN"/>
        </w:rPr>
        <w:t>推行</w:t>
      </w:r>
      <w:r>
        <w:rPr>
          <w:rFonts w:hint="eastAsia" w:ascii="宋体" w:hAnsi="宋体" w:eastAsia="仿宋_GB2312" w:cs="仿宋_GB2312"/>
          <w:i w:val="0"/>
          <w:iCs w:val="0"/>
          <w:sz w:val="32"/>
          <w:highlight w:val="none"/>
          <w:u w:val="none"/>
          <w:lang w:val="en-US" w:eastAsia="zh-CN"/>
        </w:rPr>
        <w:t>不主动</w:t>
      </w:r>
      <w:r>
        <w:rPr>
          <w:rFonts w:hint="eastAsia" w:ascii="宋体" w:hAnsi="宋体" w:eastAsia="仿宋_GB2312" w:cs="仿宋_GB2312"/>
          <w:sz w:val="32"/>
          <w:highlight w:val="none"/>
          <w:lang w:val="en-US" w:eastAsia="zh-CN"/>
        </w:rPr>
        <w:t>提供一次性用品。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i w:val="0"/>
          <w:iCs w:val="0"/>
          <w:sz w:val="32"/>
          <w:highlight w:val="none"/>
          <w:u w:val="none"/>
          <w:lang w:val="en-US" w:eastAsia="zh-CN"/>
        </w:rPr>
        <w:t>餐饮服务单位应当提示消费者适量点餐。</w:t>
      </w:r>
      <w:r>
        <w:rPr>
          <w:rFonts w:hint="eastAsia" w:ascii="宋体" w:hAnsi="宋体" w:eastAsia="仿宋_GB2312" w:cs="仿宋_GB2312"/>
          <w:sz w:val="32"/>
          <w:highlight w:val="none"/>
          <w:lang w:val="en-US" w:eastAsia="zh-CN"/>
        </w:rPr>
        <w:t>倡导餐饮服务单位不主动向消费者提供一次性餐具。</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第十七条</w:t>
      </w:r>
      <w:r>
        <w:rPr>
          <w:rFonts w:hint="eastAsia" w:ascii="宋体" w:hAnsi="宋体" w:eastAsia="仿宋_GB2312" w:cs="黑体"/>
          <w:sz w:val="32"/>
          <w:highlight w:val="none"/>
          <w:lang w:val="en-US" w:eastAsia="zh-CN"/>
        </w:rPr>
        <w:t xml:space="preserve">  依法禁止、限制生产、销售和使用不可降解塑料袋等一次性塑料制品。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鼓励和引导减少使用、积极回收塑料袋等一次性塑料制品，推广应用可循环、易回收、可降解的替代产品。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国家机关、国有企事业单位和使用财政</w:t>
      </w:r>
      <w:r>
        <w:rPr>
          <w:rFonts w:hint="eastAsia" w:ascii="宋体" w:hAnsi="宋体" w:eastAsia="仿宋_GB2312" w:cs="黑体"/>
          <w:sz w:val="32"/>
          <w:highlight w:val="none"/>
          <w:lang w:val="en-US" w:eastAsia="zh-CN"/>
        </w:rPr>
        <w:t>性</w:t>
      </w:r>
      <w:r>
        <w:rPr>
          <w:rFonts w:hint="eastAsia" w:ascii="宋体" w:hAnsi="宋体" w:eastAsia="仿宋_GB2312" w:cs="仿宋_GB2312"/>
          <w:sz w:val="32"/>
          <w:highlight w:val="none"/>
          <w:lang w:val="en-US" w:eastAsia="zh-CN"/>
        </w:rPr>
        <w:t>资金的其他组织应当带头使用节能、节水、节地、节材和有利于保护环境的产品、设备和设施，减少使用一次性办公用品，推广无纸化办公。</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第三章  分类投放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十</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生活垃圾分为下列四类：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（一）可回收物，是指适宜回收利用的生活垃圾</w:t>
      </w:r>
      <w:r>
        <w:rPr>
          <w:rFonts w:hint="eastAsia" w:ascii="宋体" w:hAnsi="宋体" w:eastAsia="仿宋_GB2312" w:cs="黑体"/>
          <w:sz w:val="32"/>
          <w:highlight w:val="none"/>
          <w:lang w:val="en-US" w:eastAsia="zh-CN"/>
        </w:rPr>
        <w:t>，包括纸类、塑料、金属、玻璃、织物等；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（二）厨余垃圾，是指易腐烂的、含有机质的生活垃圾</w:t>
      </w:r>
      <w:r>
        <w:rPr>
          <w:rFonts w:hint="eastAsia" w:ascii="宋体" w:hAnsi="宋体" w:eastAsia="仿宋_GB2312" w:cs="黑体"/>
          <w:sz w:val="32"/>
          <w:highlight w:val="none"/>
          <w:lang w:val="en-US" w:eastAsia="zh-CN"/>
        </w:rPr>
        <w:t>，包括家庭厨余垃圾、餐厨垃圾和其他厨余垃圾等；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（三）有害垃圾，是指</w:t>
      </w:r>
      <w:r>
        <w:rPr>
          <w:rFonts w:hint="eastAsia" w:ascii="宋体" w:hAnsi="宋体" w:eastAsia="仿宋_GB2312" w:cs="黑体"/>
          <w:sz w:val="32"/>
          <w:highlight w:val="none"/>
          <w:lang w:val="en-US" w:eastAsia="zh-CN"/>
        </w:rPr>
        <w:t>《国家危险废物名录》中的家庭源危险废物，包括灯管、家用化学品及电池等；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（四）其他垃圾，是指</w:t>
      </w:r>
      <w:r>
        <w:rPr>
          <w:rFonts w:hint="eastAsia" w:ascii="宋体" w:hAnsi="宋体" w:eastAsia="仿宋_GB2312" w:cs="黑体"/>
          <w:sz w:val="32"/>
          <w:highlight w:val="none"/>
          <w:lang w:val="en-US" w:eastAsia="zh-CN"/>
        </w:rPr>
        <w:t>除可回收物、厨余垃圾、有害垃圾</w:t>
      </w:r>
      <w:r>
        <w:rPr>
          <w:rFonts w:hint="eastAsia" w:ascii="宋体" w:hAnsi="宋体" w:eastAsia="仿宋_GB2312" w:cs="仿宋_GB2312"/>
          <w:sz w:val="32"/>
          <w:highlight w:val="none"/>
          <w:lang w:val="en-US" w:eastAsia="zh-CN"/>
        </w:rPr>
        <w:t>外的生活垃圾。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仿宋_GB2312" w:cs="仿宋_GB2312"/>
          <w:i w:val="0"/>
          <w:iCs w:val="0"/>
          <w:sz w:val="32"/>
          <w:highlight w:val="none"/>
          <w:u w:val="none"/>
          <w:lang w:val="en-US" w:eastAsia="zh-CN"/>
        </w:rPr>
        <w:t>地级以上市人民政府应当根据本地区实际情况以及生活垃圾的特性、处理方式，按照有利于减量化、资源化和便于识别、便于分类投放的原则，组织制定生活垃圾分类指导目录，并向社会公布。</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二十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任何单位和个人都</w:t>
      </w:r>
      <w:r>
        <w:rPr>
          <w:rFonts w:hint="eastAsia" w:ascii="宋体" w:hAnsi="宋体" w:eastAsia="仿宋_GB2312" w:cs="仿宋_GB2312"/>
          <w:sz w:val="32"/>
          <w:highlight w:val="none"/>
          <w:lang w:val="en-US" w:eastAsia="zh-CN"/>
        </w:rPr>
        <w:t>应当</w:t>
      </w:r>
      <w:r>
        <w:rPr>
          <w:rFonts w:hint="eastAsia" w:ascii="宋体" w:hAnsi="宋体" w:eastAsia="仿宋_GB2312" w:cs="黑体"/>
          <w:sz w:val="32"/>
          <w:highlight w:val="none"/>
          <w:lang w:val="en-US" w:eastAsia="zh-CN"/>
        </w:rPr>
        <w:t>按照分类规定，</w:t>
      </w:r>
      <w:r>
        <w:rPr>
          <w:rFonts w:hint="eastAsia" w:ascii="宋体" w:hAnsi="宋体" w:eastAsia="仿宋_GB2312" w:cs="仿宋_GB2312"/>
          <w:sz w:val="32"/>
          <w:highlight w:val="none"/>
          <w:lang w:val="en-US" w:eastAsia="zh-CN"/>
        </w:rPr>
        <w:t>在指定的地点将生活垃圾分类投放至相应的收集容器。其中，可回收物还可以交售至回收服务点或者回收经营者。</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禁止随意倾倒、抛撒、堆放或者焚烧生活垃圾。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禁止将危险废物、医疗废物、工业固体废物、建筑垃圾、农业固体废物等混入生活垃圾投放。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二十一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各级人民政府应当加强对餐厨垃圾的控制和管理，提高餐厨垃圾</w:t>
      </w:r>
      <w:r>
        <w:rPr>
          <w:rFonts w:hint="eastAsia" w:ascii="宋体" w:hAnsi="宋体" w:eastAsia="仿宋_GB2312" w:cs="黑体"/>
          <w:sz w:val="32"/>
          <w:highlight w:val="none"/>
          <w:lang w:val="en-US" w:eastAsia="zh-CN"/>
        </w:rPr>
        <w:t>源头减量、</w:t>
      </w:r>
      <w:r>
        <w:rPr>
          <w:rFonts w:hint="eastAsia" w:ascii="宋体" w:hAnsi="宋体" w:eastAsia="仿宋_GB2312" w:cs="仿宋_GB2312"/>
          <w:sz w:val="32"/>
          <w:highlight w:val="none"/>
          <w:lang w:val="en-US" w:eastAsia="zh-CN"/>
        </w:rPr>
        <w:t>资源化利用和无害化处理水平。</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县级</w:t>
      </w:r>
      <w:r>
        <w:rPr>
          <w:rFonts w:hint="eastAsia" w:ascii="宋体" w:hAnsi="宋体" w:eastAsia="仿宋_GB2312" w:cs="仿宋_GB2312"/>
          <w:i w:val="0"/>
          <w:iCs w:val="0"/>
          <w:sz w:val="32"/>
          <w:highlight w:val="none"/>
          <w:u w:val="none"/>
          <w:lang w:val="en-US" w:eastAsia="zh-CN"/>
        </w:rPr>
        <w:t>以上</w:t>
      </w:r>
      <w:r>
        <w:rPr>
          <w:rFonts w:hint="eastAsia" w:ascii="宋体" w:hAnsi="宋体" w:eastAsia="仿宋_GB2312" w:cs="仿宋_GB2312"/>
          <w:sz w:val="32"/>
          <w:highlight w:val="none"/>
          <w:lang w:val="en-US" w:eastAsia="zh-CN"/>
        </w:rPr>
        <w:t>人民政府环境卫生主管部门应当制定餐厨垃圾产生、收集、运输、处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等过程的信息化监管措施，对餐厨垃圾收集、运输、处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设施运行管理情况进行实时监督和定期检查。</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第二十二条</w:t>
      </w:r>
      <w:r>
        <w:rPr>
          <w:rFonts w:hint="eastAsia" w:ascii="宋体" w:hAnsi="宋体" w:eastAsia="仿宋_GB2312" w:cs="仿宋_GB2312"/>
          <w:sz w:val="32"/>
          <w:highlight w:val="none"/>
          <w:lang w:val="en-US" w:eastAsia="zh-CN"/>
        </w:rPr>
        <w:t xml:space="preserve">  产生</w:t>
      </w:r>
      <w:r>
        <w:rPr>
          <w:rFonts w:hint="eastAsia" w:ascii="宋体" w:hAnsi="宋体" w:eastAsia="仿宋_GB2312" w:cs="黑体"/>
          <w:sz w:val="32"/>
          <w:highlight w:val="none"/>
          <w:lang w:val="en-US" w:eastAsia="zh-CN"/>
        </w:rPr>
        <w:t>餐厨垃圾的宾馆、饭店、餐馆以及机关、企事业单位、学校等</w:t>
      </w:r>
      <w:r>
        <w:rPr>
          <w:rFonts w:hint="eastAsia" w:ascii="宋体" w:hAnsi="宋体" w:eastAsia="仿宋_GB2312" w:cs="仿宋_GB2312"/>
          <w:i w:val="0"/>
          <w:iCs w:val="0"/>
          <w:sz w:val="32"/>
          <w:highlight w:val="none"/>
          <w:u w:val="none"/>
          <w:lang w:val="en-US" w:eastAsia="zh-CN"/>
        </w:rPr>
        <w:t>单位</w:t>
      </w:r>
      <w:r>
        <w:rPr>
          <w:rFonts w:hint="eastAsia" w:ascii="宋体" w:hAnsi="宋体" w:eastAsia="仿宋_GB2312" w:cs="仿宋_GB2312"/>
          <w:sz w:val="32"/>
          <w:highlight w:val="none"/>
          <w:lang w:val="en-US" w:eastAsia="zh-CN"/>
        </w:rPr>
        <w:t>应当落实餐厨垃圾源头减量</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分类工作责任，</w:t>
      </w:r>
      <w:r>
        <w:rPr>
          <w:rFonts w:hint="eastAsia" w:ascii="宋体" w:hAnsi="宋体" w:eastAsia="仿宋_GB2312" w:cs="黑体"/>
          <w:sz w:val="32"/>
          <w:highlight w:val="none"/>
          <w:lang w:val="en-US" w:eastAsia="zh-CN"/>
        </w:rPr>
        <w:t>按照规定单独收集、存放餐厨垃圾，并交由具备相应资质条件的单位收集、运输、处理。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鼓励有条件的产生餐厨垃圾的单位对餐厨垃圾进行分选、脱水等预处理。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餐厨垃圾不得排入公共水域、厕所、市政</w:t>
      </w:r>
      <w:r>
        <w:rPr>
          <w:rFonts w:hint="eastAsia" w:ascii="宋体" w:hAnsi="宋体" w:eastAsia="仿宋_GB2312" w:cs="黑体"/>
          <w:sz w:val="32"/>
          <w:highlight w:val="none"/>
          <w:lang w:val="en-US" w:eastAsia="zh-CN"/>
        </w:rPr>
        <w:t>排水</w:t>
      </w:r>
      <w:r>
        <w:rPr>
          <w:rFonts w:hint="eastAsia" w:ascii="宋体" w:hAnsi="宋体" w:eastAsia="仿宋_GB2312" w:cs="仿宋_GB2312"/>
          <w:sz w:val="32"/>
          <w:highlight w:val="none"/>
          <w:lang w:val="en-US" w:eastAsia="zh-CN"/>
        </w:rPr>
        <w:t>管道</w:t>
      </w:r>
      <w:r>
        <w:rPr>
          <w:rFonts w:hint="eastAsia" w:ascii="宋体" w:hAnsi="宋体" w:eastAsia="仿宋_GB2312" w:cs="黑体"/>
          <w:i w:val="0"/>
          <w:iCs w:val="0"/>
          <w:sz w:val="32"/>
          <w:highlight w:val="none"/>
          <w:u w:val="none"/>
          <w:lang w:val="en-US" w:eastAsia="zh-CN"/>
        </w:rPr>
        <w:t>，</w:t>
      </w:r>
      <w:r>
        <w:rPr>
          <w:rFonts w:hint="eastAsia" w:ascii="宋体" w:hAnsi="宋体" w:eastAsia="仿宋_GB2312" w:cs="黑体"/>
          <w:sz w:val="32"/>
          <w:highlight w:val="none"/>
          <w:lang w:val="en-US" w:eastAsia="zh-CN"/>
        </w:rPr>
        <w:t>不得</w:t>
      </w:r>
      <w:r>
        <w:rPr>
          <w:rFonts w:hint="eastAsia" w:ascii="宋体" w:hAnsi="宋体" w:eastAsia="仿宋_GB2312" w:cs="仿宋_GB2312"/>
          <w:sz w:val="32"/>
          <w:highlight w:val="none"/>
          <w:lang w:val="en-US" w:eastAsia="zh-CN"/>
        </w:rPr>
        <w:t>混入其他类型生活垃圾。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产生</w:t>
      </w:r>
      <w:r>
        <w:rPr>
          <w:rFonts w:hint="eastAsia" w:ascii="宋体" w:hAnsi="宋体" w:eastAsia="仿宋_GB2312" w:cs="仿宋_GB2312"/>
          <w:sz w:val="32"/>
          <w:highlight w:val="none"/>
          <w:lang w:val="en-US" w:eastAsia="zh-CN"/>
        </w:rPr>
        <w:t>废弃沙发、衣柜、床等体积较大的废弃物品</w:t>
      </w:r>
      <w:r>
        <w:rPr>
          <w:rFonts w:hint="eastAsia" w:ascii="宋体" w:hAnsi="宋体" w:eastAsia="仿宋_GB2312" w:cs="黑体"/>
          <w:sz w:val="32"/>
          <w:highlight w:val="none"/>
          <w:lang w:val="en-US" w:eastAsia="zh-CN"/>
        </w:rPr>
        <w:t>的单位、家庭和个人</w:t>
      </w:r>
      <w:r>
        <w:rPr>
          <w:rFonts w:hint="eastAsia" w:ascii="宋体" w:hAnsi="宋体" w:eastAsia="仿宋_GB2312" w:cs="仿宋_GB2312"/>
          <w:sz w:val="32"/>
          <w:highlight w:val="none"/>
          <w:lang w:val="en-US" w:eastAsia="zh-CN"/>
        </w:rPr>
        <w:t>应当预约环境卫生作业单位、再生资源回收站处理或者自行投放到专门收集点。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县级人民政府应当合理布局再生资源回收站点、专门收集点，公开预约联系方式，为投放体积较大的废弃物品提供便利。</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城乡</w:t>
      </w:r>
      <w:r>
        <w:rPr>
          <w:rFonts w:hint="eastAsia" w:ascii="宋体" w:hAnsi="宋体" w:eastAsia="仿宋_GB2312" w:cs="仿宋_GB2312"/>
          <w:sz w:val="32"/>
          <w:highlight w:val="none"/>
          <w:lang w:val="en-US" w:eastAsia="zh-CN"/>
        </w:rPr>
        <w:t>生活垃圾</w:t>
      </w:r>
      <w:r>
        <w:rPr>
          <w:rFonts w:hint="eastAsia" w:ascii="宋体" w:hAnsi="宋体" w:eastAsia="仿宋_GB2312" w:cs="仿宋_GB2312"/>
          <w:i w:val="0"/>
          <w:iCs w:val="0"/>
          <w:sz w:val="32"/>
          <w:highlight w:val="none"/>
          <w:u w:val="none"/>
          <w:lang w:val="en-US" w:eastAsia="zh-CN"/>
        </w:rPr>
        <w:t>分类</w:t>
      </w:r>
      <w:r>
        <w:rPr>
          <w:rFonts w:hint="eastAsia" w:ascii="黑体" w:hAnsi="黑体" w:eastAsia="仿宋_GB2312" w:cs="黑体"/>
          <w:i w:val="0"/>
          <w:iCs w:val="0"/>
          <w:sz w:val="32"/>
          <w:highlight w:val="none"/>
          <w:u w:val="none"/>
          <w:lang w:val="en-US" w:eastAsia="zh-CN"/>
        </w:rPr>
        <w:t>投放</w:t>
      </w:r>
      <w:r>
        <w:rPr>
          <w:rFonts w:hint="eastAsia" w:ascii="宋体" w:hAnsi="宋体" w:eastAsia="仿宋_GB2312" w:cs="仿宋_GB2312"/>
          <w:i w:val="0"/>
          <w:iCs w:val="0"/>
          <w:sz w:val="32"/>
          <w:highlight w:val="none"/>
          <w:u w:val="none"/>
          <w:lang w:val="en-US" w:eastAsia="zh-CN"/>
        </w:rPr>
        <w:t>管理</w:t>
      </w:r>
      <w:r>
        <w:rPr>
          <w:rFonts w:hint="eastAsia" w:ascii="宋体" w:hAnsi="宋体" w:eastAsia="仿宋_GB2312" w:cs="仿宋_GB2312"/>
          <w:sz w:val="32"/>
          <w:highlight w:val="none"/>
          <w:lang w:val="en-US" w:eastAsia="zh-CN"/>
        </w:rPr>
        <w:t>实行管理责任人制度。管理责任人按照下列规定确定</w:t>
      </w:r>
      <w:r>
        <w:rPr>
          <w:rFonts w:hint="eastAsia" w:ascii="黑体" w:hAnsi="黑体" w:eastAsia="仿宋_GB2312" w:cs="黑体"/>
          <w:sz w:val="32"/>
          <w:highlight w:val="none"/>
          <w:lang w:val="en-US" w:eastAsia="zh-CN"/>
        </w:rPr>
        <w:t>并公布</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w:t>
      </w:r>
      <w:r>
        <w:rPr>
          <w:rFonts w:hint="eastAsia" w:ascii="宋体" w:hAnsi="宋体" w:eastAsia="仿宋_GB2312" w:cs="黑体"/>
          <w:sz w:val="32"/>
          <w:highlight w:val="none"/>
          <w:lang w:val="en-US" w:eastAsia="zh-CN"/>
        </w:rPr>
        <w:t>城镇居住地区，包括</w:t>
      </w:r>
      <w:r>
        <w:rPr>
          <w:rFonts w:hint="eastAsia" w:ascii="宋体" w:hAnsi="宋体" w:eastAsia="仿宋_GB2312" w:cs="仿宋_GB2312"/>
          <w:sz w:val="32"/>
          <w:highlight w:val="none"/>
          <w:lang w:val="en-US" w:eastAsia="zh-CN"/>
        </w:rPr>
        <w:t>住宅小区、街巷等</w:t>
      </w:r>
      <w:r>
        <w:rPr>
          <w:rFonts w:hint="eastAsia" w:ascii="宋体" w:hAnsi="宋体" w:eastAsia="仿宋_GB2312" w:cs="黑体"/>
          <w:sz w:val="32"/>
          <w:highlight w:val="none"/>
          <w:lang w:val="en-US" w:eastAsia="zh-CN"/>
        </w:rPr>
        <w:t>，</w:t>
      </w:r>
      <w:r>
        <w:rPr>
          <w:rFonts w:hint="eastAsia" w:ascii="黑体" w:hAnsi="黑体" w:eastAsia="仿宋_GB2312" w:cs="黑体"/>
          <w:sz w:val="32"/>
          <w:highlight w:val="none"/>
          <w:lang w:val="en-US" w:eastAsia="zh-CN"/>
        </w:rPr>
        <w:t>委托</w:t>
      </w:r>
      <w:r>
        <w:rPr>
          <w:rFonts w:hint="eastAsia" w:ascii="宋体" w:hAnsi="宋体" w:eastAsia="仿宋_GB2312" w:cs="仿宋_GB2312"/>
          <w:sz w:val="32"/>
          <w:highlight w:val="none"/>
          <w:lang w:val="en-US" w:eastAsia="zh-CN"/>
        </w:rPr>
        <w:t>物业管理的，由物业服务</w:t>
      </w:r>
      <w:r>
        <w:rPr>
          <w:rFonts w:hint="eastAsia" w:ascii="宋体" w:hAnsi="宋体" w:eastAsia="仿宋_GB2312" w:cs="黑体"/>
          <w:sz w:val="32"/>
          <w:highlight w:val="none"/>
          <w:lang w:val="en-US" w:eastAsia="zh-CN"/>
        </w:rPr>
        <w:t>人</w:t>
      </w:r>
      <w:r>
        <w:rPr>
          <w:rFonts w:hint="eastAsia" w:ascii="宋体" w:hAnsi="宋体" w:eastAsia="仿宋_GB2312" w:cs="仿宋_GB2312"/>
          <w:sz w:val="32"/>
          <w:highlight w:val="none"/>
          <w:lang w:val="en-US" w:eastAsia="zh-CN"/>
        </w:rPr>
        <w:t>负责；自行管理的，由自</w:t>
      </w:r>
      <w:r>
        <w:rPr>
          <w:rFonts w:hint="eastAsia" w:ascii="宋体" w:hAnsi="宋体" w:eastAsia="仿宋_GB2312" w:cs="黑体"/>
          <w:sz w:val="32"/>
          <w:highlight w:val="none"/>
          <w:lang w:val="en-US" w:eastAsia="zh-CN"/>
        </w:rPr>
        <w:t>行</w:t>
      </w:r>
      <w:r>
        <w:rPr>
          <w:rFonts w:hint="eastAsia" w:ascii="宋体" w:hAnsi="宋体" w:eastAsia="仿宋_GB2312" w:cs="仿宋_GB2312"/>
          <w:sz w:val="32"/>
          <w:highlight w:val="none"/>
          <w:lang w:val="en-US" w:eastAsia="zh-CN"/>
        </w:rPr>
        <w:t>管</w:t>
      </w:r>
      <w:r>
        <w:rPr>
          <w:rFonts w:hint="eastAsia" w:ascii="宋体" w:hAnsi="宋体" w:eastAsia="仿宋_GB2312" w:cs="黑体"/>
          <w:sz w:val="32"/>
          <w:szCs w:val="22"/>
          <w:highlight w:val="none"/>
          <w:lang w:val="en-US" w:eastAsia="zh-CN"/>
        </w:rPr>
        <w:t>理人</w:t>
      </w:r>
      <w:r>
        <w:rPr>
          <w:rFonts w:hint="eastAsia" w:ascii="宋体" w:hAnsi="宋体" w:eastAsia="仿宋_GB2312" w:cs="仿宋_GB2312"/>
          <w:sz w:val="32"/>
          <w:highlight w:val="none"/>
          <w:lang w:val="en-US" w:eastAsia="zh-CN"/>
        </w:rPr>
        <w:t>负责；没有</w:t>
      </w:r>
      <w:r>
        <w:rPr>
          <w:rFonts w:hint="eastAsia" w:ascii="黑体" w:hAnsi="黑体" w:eastAsia="仿宋_GB2312" w:cs="黑体"/>
          <w:sz w:val="32"/>
          <w:highlight w:val="none"/>
          <w:lang w:val="en-US" w:eastAsia="zh-CN"/>
        </w:rPr>
        <w:t>委托</w:t>
      </w:r>
      <w:r>
        <w:rPr>
          <w:rFonts w:hint="eastAsia" w:ascii="宋体" w:hAnsi="宋体" w:eastAsia="仿宋_GB2312" w:cs="仿宋_GB2312"/>
          <w:sz w:val="32"/>
          <w:highlight w:val="none"/>
          <w:lang w:val="en-US" w:eastAsia="zh-CN"/>
        </w:rPr>
        <w:t>物业管理</w:t>
      </w:r>
      <w:r>
        <w:rPr>
          <w:rFonts w:hint="eastAsia" w:ascii="宋体" w:hAnsi="宋体" w:eastAsia="仿宋_GB2312" w:cs="黑体"/>
          <w:sz w:val="32"/>
          <w:highlight w:val="none"/>
          <w:lang w:val="en-US" w:eastAsia="zh-CN"/>
        </w:rPr>
        <w:t>且没有</w:t>
      </w:r>
      <w:r>
        <w:rPr>
          <w:rFonts w:hint="eastAsia" w:ascii="宋体" w:hAnsi="宋体" w:eastAsia="仿宋_GB2312" w:cs="仿宋_GB2312"/>
          <w:sz w:val="32"/>
          <w:highlight w:val="none"/>
          <w:lang w:val="en-US" w:eastAsia="zh-CN"/>
        </w:rPr>
        <w:t>自行管理的，由居民委员会负责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（二）农村</w:t>
      </w:r>
      <w:r>
        <w:rPr>
          <w:rFonts w:hint="eastAsia" w:ascii="宋体" w:hAnsi="宋体" w:eastAsia="仿宋_GB2312" w:cs="黑体"/>
          <w:sz w:val="32"/>
          <w:highlight w:val="none"/>
          <w:lang w:val="en-US" w:eastAsia="zh-CN"/>
        </w:rPr>
        <w:t>居住</w:t>
      </w:r>
      <w:r>
        <w:rPr>
          <w:rFonts w:hint="eastAsia" w:ascii="宋体" w:hAnsi="宋体" w:eastAsia="仿宋_GB2312" w:cs="仿宋_GB2312"/>
          <w:sz w:val="32"/>
          <w:highlight w:val="none"/>
          <w:lang w:val="en-US" w:eastAsia="zh-CN"/>
        </w:rPr>
        <w:t>地区</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由村民委员会负责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（三）国家机关、部队、企事业单位、社会团体及其他组织的办公场所，由本单位负责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（四）建设工程的施工现场，由施工单位负责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（五）集贸市场、商场、展览展销、餐饮服务、商铺等经营场所，由经营管理单位负责；没有经营管理单位的，由经营单位</w:t>
      </w:r>
      <w:r>
        <w:rPr>
          <w:rFonts w:hint="eastAsia" w:ascii="宋体" w:hAnsi="宋体" w:eastAsia="仿宋_GB2312" w:cs="黑体"/>
          <w:sz w:val="32"/>
          <w:highlight w:val="none"/>
          <w:lang w:val="en-US" w:eastAsia="zh-CN"/>
        </w:rPr>
        <w:t>或者个人</w:t>
      </w:r>
      <w:r>
        <w:rPr>
          <w:rFonts w:hint="eastAsia" w:ascii="宋体" w:hAnsi="宋体" w:eastAsia="仿宋_GB2312" w:cs="仿宋_GB2312"/>
          <w:sz w:val="32"/>
          <w:highlight w:val="none"/>
          <w:lang w:val="en-US" w:eastAsia="zh-CN"/>
        </w:rPr>
        <w:t>负责</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（六）道路、公路、铁路沿线、桥梁、隧道、人行过街通道</w:t>
      </w:r>
      <w:r>
        <w:rPr>
          <w:rFonts w:hint="eastAsia" w:ascii="宋体" w:hAnsi="宋体" w:cs="仿宋_GB2312"/>
          <w:sz w:val="32"/>
          <w:highlight w:val="none"/>
          <w:lang w:val="en-US" w:eastAsia="zh-CN"/>
        </w:rPr>
        <w:t>和</w:t>
      </w:r>
      <w:r>
        <w:rPr>
          <w:rFonts w:hint="eastAsia" w:ascii="宋体" w:hAnsi="宋体" w:eastAsia="仿宋_GB2312" w:cs="仿宋_GB2312"/>
          <w:sz w:val="32"/>
          <w:highlight w:val="none"/>
          <w:lang w:val="en-US" w:eastAsia="zh-CN"/>
        </w:rPr>
        <w:t>天桥、机场、港口、码头、火车站、长途客运站、公交场站、轨道交通车站、公园、旅游景区、河流与湖泊水面等公共场所和公共建筑，由实际管理人负责。</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按照前款规定</w:t>
      </w:r>
      <w:r>
        <w:rPr>
          <w:rFonts w:hint="eastAsia" w:ascii="宋体" w:hAnsi="宋体" w:eastAsia="仿宋_GB2312" w:cs="仿宋_GB2312"/>
          <w:sz w:val="32"/>
          <w:highlight w:val="none"/>
          <w:lang w:val="en-US" w:eastAsia="zh-CN"/>
        </w:rPr>
        <w:t>不能确定生活垃圾分类</w:t>
      </w:r>
      <w:r>
        <w:rPr>
          <w:rFonts w:hint="eastAsia" w:ascii="黑体" w:hAnsi="黑体" w:eastAsia="仿宋_GB2312" w:cs="黑体"/>
          <w:sz w:val="32"/>
          <w:highlight w:val="none"/>
          <w:lang w:val="en-US" w:eastAsia="zh-CN"/>
        </w:rPr>
        <w:t>投放</w:t>
      </w:r>
      <w:r>
        <w:rPr>
          <w:rFonts w:hint="eastAsia" w:ascii="宋体" w:hAnsi="宋体" w:eastAsia="仿宋_GB2312" w:cs="仿宋_GB2312"/>
          <w:sz w:val="32"/>
          <w:highlight w:val="none"/>
          <w:lang w:val="en-US" w:eastAsia="zh-CN"/>
        </w:rPr>
        <w:t>管理责任人的，由所在地乡镇人民政府、街道办事处</w:t>
      </w:r>
      <w:r>
        <w:rPr>
          <w:rFonts w:hint="eastAsia" w:ascii="宋体" w:hAnsi="宋体" w:eastAsia="仿宋_GB2312" w:cs="仿宋_GB2312"/>
          <w:i w:val="0"/>
          <w:iCs w:val="0"/>
          <w:sz w:val="32"/>
          <w:highlight w:val="none"/>
          <w:u w:val="none"/>
          <w:lang w:val="en-US" w:eastAsia="zh-CN"/>
        </w:rPr>
        <w:t>落实</w:t>
      </w:r>
      <w:r>
        <w:rPr>
          <w:rFonts w:hint="eastAsia" w:ascii="宋体" w:hAnsi="宋体" w:eastAsia="仿宋_GB2312" w:cs="仿宋_GB2312"/>
          <w:sz w:val="32"/>
          <w:highlight w:val="none"/>
          <w:lang w:val="en-US" w:eastAsia="zh-CN"/>
        </w:rPr>
        <w:t>管理责任人</w:t>
      </w:r>
      <w:r>
        <w:rPr>
          <w:rFonts w:hint="eastAsia" w:ascii="宋体" w:hAnsi="宋体" w:eastAsia="仿宋_GB2312" w:cs="黑体"/>
          <w:sz w:val="32"/>
          <w:highlight w:val="none"/>
          <w:lang w:val="en-US" w:eastAsia="zh-CN"/>
        </w:rPr>
        <w:t>并公布</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生活垃圾分类</w:t>
      </w:r>
      <w:r>
        <w:rPr>
          <w:rFonts w:hint="eastAsia" w:ascii="黑体" w:hAnsi="黑体" w:eastAsia="仿宋_GB2312" w:cs="黑体"/>
          <w:sz w:val="32"/>
          <w:highlight w:val="none"/>
          <w:lang w:val="en-US" w:eastAsia="zh-CN"/>
        </w:rPr>
        <w:t>投放</w:t>
      </w:r>
      <w:r>
        <w:rPr>
          <w:rFonts w:hint="eastAsia" w:ascii="宋体" w:hAnsi="宋体" w:eastAsia="仿宋_GB2312" w:cs="仿宋_GB2312"/>
          <w:sz w:val="32"/>
          <w:highlight w:val="none"/>
          <w:lang w:val="en-US" w:eastAsia="zh-CN"/>
        </w:rPr>
        <w:t>管理责任人应当履行下列</w:t>
      </w:r>
      <w:r>
        <w:rPr>
          <w:rFonts w:hint="eastAsia" w:ascii="宋体" w:hAnsi="宋体" w:eastAsia="仿宋_GB2312" w:cs="黑体"/>
          <w:sz w:val="32"/>
          <w:highlight w:val="none"/>
          <w:lang w:val="en-US" w:eastAsia="zh-CN"/>
        </w:rPr>
        <w:t>管理</w:t>
      </w:r>
      <w:r>
        <w:rPr>
          <w:rFonts w:hint="eastAsia" w:ascii="宋体" w:hAnsi="宋体" w:eastAsia="仿宋_GB2312" w:cs="仿宋_GB2312"/>
          <w:sz w:val="32"/>
          <w:highlight w:val="none"/>
          <w:lang w:val="en-US" w:eastAsia="zh-CN"/>
        </w:rPr>
        <w:t>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（一）建立生活垃圾分类</w:t>
      </w:r>
      <w:r>
        <w:rPr>
          <w:rFonts w:hint="eastAsia" w:ascii="宋体" w:hAnsi="宋体" w:eastAsia="仿宋_GB2312" w:cs="黑体"/>
          <w:sz w:val="32"/>
          <w:highlight w:val="none"/>
          <w:lang w:val="en-US" w:eastAsia="zh-CN"/>
        </w:rPr>
        <w:t>日常</w:t>
      </w:r>
      <w:r>
        <w:rPr>
          <w:rFonts w:hint="eastAsia" w:ascii="宋体" w:hAnsi="宋体" w:eastAsia="仿宋_GB2312" w:cs="仿宋_GB2312"/>
          <w:sz w:val="32"/>
          <w:highlight w:val="none"/>
          <w:lang w:val="en-US" w:eastAsia="zh-CN"/>
        </w:rPr>
        <w:t>管理制度；</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（二）开展生活垃圾分类知识宣传，指导、监督、检查生活垃圾分类行为；</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（三）根据生活垃圾产生量，按照</w:t>
      </w:r>
      <w:r>
        <w:rPr>
          <w:rFonts w:hint="eastAsia" w:ascii="宋体" w:hAnsi="宋体" w:eastAsia="仿宋_GB2312" w:cs="黑体"/>
          <w:sz w:val="32"/>
          <w:highlight w:val="none"/>
          <w:lang w:val="en-US" w:eastAsia="zh-CN"/>
        </w:rPr>
        <w:t>就近便利原则和分类</w:t>
      </w:r>
      <w:r>
        <w:rPr>
          <w:rFonts w:hint="eastAsia" w:ascii="宋体" w:hAnsi="宋体" w:eastAsia="仿宋_GB2312" w:cs="仿宋_GB2312"/>
          <w:sz w:val="32"/>
          <w:highlight w:val="none"/>
          <w:lang w:val="en-US" w:eastAsia="zh-CN"/>
        </w:rPr>
        <w:t>标准、分类标志设置生活垃圾分类收集点和收集容器，并保持生活垃圾分类收集容器正常使用</w:t>
      </w:r>
      <w:r>
        <w:rPr>
          <w:rFonts w:hint="eastAsia" w:ascii="宋体" w:hAnsi="宋体" w:eastAsia="仿宋_GB2312" w:cs="黑体"/>
          <w:sz w:val="32"/>
          <w:highlight w:val="none"/>
          <w:lang w:val="en-US" w:eastAsia="zh-CN"/>
        </w:rPr>
        <w:t>和周边清洁</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w:t>
      </w:r>
      <w:r>
        <w:rPr>
          <w:rFonts w:hint="eastAsia" w:ascii="宋体" w:hAnsi="宋体" w:eastAsia="仿宋_GB2312" w:cs="黑体"/>
          <w:sz w:val="32"/>
          <w:highlight w:val="none"/>
          <w:lang w:val="en-US" w:eastAsia="zh-CN"/>
        </w:rPr>
        <w:t>合理</w:t>
      </w:r>
      <w:r>
        <w:rPr>
          <w:rFonts w:hint="eastAsia" w:ascii="宋体" w:hAnsi="宋体" w:eastAsia="仿宋_GB2312" w:cs="仿宋_GB2312"/>
          <w:sz w:val="32"/>
          <w:highlight w:val="none"/>
          <w:lang w:val="en-US" w:eastAsia="zh-CN"/>
        </w:rPr>
        <w:t>确</w:t>
      </w:r>
      <w:r>
        <w:rPr>
          <w:rFonts w:hint="eastAsia" w:ascii="宋体" w:hAnsi="宋体" w:eastAsia="仿宋_GB2312" w:cs="黑体"/>
          <w:sz w:val="32"/>
          <w:highlight w:val="none"/>
          <w:lang w:val="en-US" w:eastAsia="zh-CN"/>
        </w:rPr>
        <w:t>定</w:t>
      </w:r>
      <w:r>
        <w:rPr>
          <w:rFonts w:hint="eastAsia" w:ascii="宋体" w:hAnsi="宋体" w:eastAsia="仿宋_GB2312" w:cs="仿宋_GB2312"/>
          <w:sz w:val="32"/>
          <w:highlight w:val="none"/>
          <w:lang w:val="en-US" w:eastAsia="zh-CN"/>
        </w:rPr>
        <w:t>生活垃圾的投放时间、地点，并组织责任区域内的分类收集工作；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w:t>
      </w:r>
      <w:r>
        <w:rPr>
          <w:rFonts w:hint="eastAsia" w:ascii="宋体" w:hAnsi="宋体" w:eastAsia="仿宋_GB2312" w:cs="黑体"/>
          <w:sz w:val="32"/>
          <w:highlight w:val="none"/>
          <w:lang w:val="en-US" w:eastAsia="zh-CN"/>
        </w:rPr>
        <w:t>劝阻不按照分类规定投放生活垃圾，或者混合收集、运输</w:t>
      </w:r>
      <w:r>
        <w:rPr>
          <w:rFonts w:hint="eastAsia" w:ascii="宋体" w:hAnsi="宋体" w:eastAsia="仿宋_GB2312" w:cs="仿宋_GB2312"/>
          <w:sz w:val="32"/>
          <w:highlight w:val="none"/>
          <w:lang w:val="en-US" w:eastAsia="zh-CN"/>
        </w:rPr>
        <w:t>已分类的生活垃圾</w:t>
      </w:r>
      <w:r>
        <w:rPr>
          <w:rFonts w:hint="eastAsia" w:ascii="宋体" w:hAnsi="宋体" w:eastAsia="仿宋_GB2312" w:cs="黑体"/>
          <w:sz w:val="32"/>
          <w:highlight w:val="none"/>
          <w:lang w:val="en-US" w:eastAsia="zh-CN"/>
        </w:rPr>
        <w:t>的行为</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（六）将生活垃圾交由符合规定的单位</w:t>
      </w:r>
      <w:r>
        <w:rPr>
          <w:rFonts w:hint="eastAsia" w:ascii="宋体" w:hAnsi="宋体" w:eastAsia="仿宋_GB2312" w:cs="黑体"/>
          <w:sz w:val="32"/>
          <w:highlight w:val="none"/>
          <w:lang w:val="en-US" w:eastAsia="zh-CN"/>
        </w:rPr>
        <w:t>收集、运输、</w:t>
      </w:r>
      <w:r>
        <w:rPr>
          <w:rFonts w:hint="eastAsia" w:ascii="宋体" w:hAnsi="宋体" w:eastAsia="仿宋_GB2312" w:cs="仿宋_GB2312"/>
          <w:sz w:val="32"/>
          <w:highlight w:val="none"/>
          <w:lang w:val="en-US" w:eastAsia="zh-CN"/>
        </w:rPr>
        <w:t>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生活垃圾分类</w:t>
      </w:r>
      <w:r>
        <w:rPr>
          <w:rFonts w:hint="eastAsia" w:ascii="黑体" w:hAnsi="黑体" w:eastAsia="仿宋_GB2312" w:cs="黑体"/>
          <w:sz w:val="32"/>
          <w:highlight w:val="none"/>
          <w:lang w:val="en-US" w:eastAsia="zh-CN"/>
        </w:rPr>
        <w:t>投放</w:t>
      </w:r>
      <w:r>
        <w:rPr>
          <w:rFonts w:hint="eastAsia" w:ascii="宋体" w:hAnsi="宋体" w:eastAsia="仿宋_GB2312" w:cs="黑体"/>
          <w:sz w:val="32"/>
          <w:highlight w:val="none"/>
          <w:lang w:val="en-US" w:eastAsia="zh-CN"/>
        </w:rPr>
        <w:t>管理责任人可以采取购买服务等方式做好前款规定相关工作，但不免除其管理责任。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第四章  分类收集、运输与处</w:t>
      </w:r>
      <w:r>
        <w:rPr>
          <w:rFonts w:hint="eastAsia" w:ascii="宋体" w:hAnsi="宋体" w:eastAsia="黑体" w:cs="黑体"/>
          <w:sz w:val="32"/>
          <w:highlight w:val="none"/>
          <w:lang w:val="en-US" w:eastAsia="zh-CN"/>
        </w:rPr>
        <w:t>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第二十六条</w:t>
      </w:r>
      <w:r>
        <w:rPr>
          <w:rFonts w:hint="eastAsia" w:ascii="宋体" w:hAnsi="宋体" w:eastAsia="仿宋_GB2312" w:cs="黑体"/>
          <w:sz w:val="32"/>
          <w:highlight w:val="none"/>
          <w:lang w:val="en-US" w:eastAsia="zh-CN"/>
        </w:rPr>
        <w:t xml:space="preserve">  已经分类投放的生活垃圾，应当按照规定分类收集、分类运输、分类处理。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i w:val="0"/>
          <w:iCs w:val="0"/>
          <w:sz w:val="32"/>
          <w:highlight w:val="none"/>
          <w:u w:val="none"/>
          <w:lang w:val="en-US" w:eastAsia="zh-CN"/>
        </w:rPr>
        <w:t>第二十</w:t>
      </w:r>
      <w:r>
        <w:rPr>
          <w:rFonts w:hint="eastAsia" w:ascii="宋体" w:hAnsi="宋体" w:eastAsia="黑体" w:cs="黑体"/>
          <w:i w:val="0"/>
          <w:iCs w:val="0"/>
          <w:sz w:val="32"/>
          <w:highlight w:val="none"/>
          <w:u w:val="none"/>
          <w:lang w:val="en-US" w:eastAsia="zh-CN"/>
        </w:rPr>
        <w:t>七</w:t>
      </w:r>
      <w:r>
        <w:rPr>
          <w:rFonts w:hint="eastAsia" w:ascii="宋体" w:hAnsi="宋体" w:eastAsia="黑体" w:cs="仿宋_GB2312"/>
          <w:i w:val="0"/>
          <w:iCs w:val="0"/>
          <w:sz w:val="32"/>
          <w:highlight w:val="none"/>
          <w:u w:val="none"/>
          <w:lang w:val="en-US" w:eastAsia="zh-CN"/>
        </w:rPr>
        <w:t>条</w:t>
      </w:r>
      <w:r>
        <w:rPr>
          <w:rFonts w:hint="eastAsia" w:ascii="宋体" w:hAnsi="宋体" w:eastAsia="仿宋_GB2312" w:cs="仿宋_GB2312"/>
          <w:i w:val="0"/>
          <w:iCs w:val="0"/>
          <w:sz w:val="32"/>
          <w:highlight w:val="none"/>
          <w:u w:val="none"/>
          <w:lang w:val="en-US" w:eastAsia="zh-CN"/>
        </w:rPr>
        <w:t xml:space="preserve">  县</w:t>
      </w:r>
      <w:r>
        <w:rPr>
          <w:rFonts w:hint="eastAsia" w:ascii="宋体" w:hAnsi="宋体" w:eastAsia="仿宋_GB2312" w:cs="黑体"/>
          <w:i w:val="0"/>
          <w:iCs w:val="0"/>
          <w:sz w:val="32"/>
          <w:highlight w:val="none"/>
          <w:u w:val="none"/>
          <w:lang w:val="en-US" w:eastAsia="zh-CN"/>
        </w:rPr>
        <w:t>级以上</w:t>
      </w:r>
      <w:r>
        <w:rPr>
          <w:rFonts w:hint="eastAsia" w:ascii="宋体" w:hAnsi="宋体" w:eastAsia="仿宋_GB2312" w:cs="仿宋_GB2312"/>
          <w:i w:val="0"/>
          <w:iCs w:val="0"/>
          <w:sz w:val="32"/>
          <w:highlight w:val="none"/>
          <w:u w:val="none"/>
          <w:lang w:val="en-US" w:eastAsia="zh-CN"/>
        </w:rPr>
        <w:t>人民政府</w:t>
      </w:r>
      <w:r>
        <w:rPr>
          <w:rFonts w:hint="eastAsia" w:ascii="宋体" w:hAnsi="宋体" w:eastAsia="仿宋_GB2312" w:cs="黑体"/>
          <w:i w:val="0"/>
          <w:iCs w:val="0"/>
          <w:sz w:val="32"/>
          <w:highlight w:val="none"/>
          <w:u w:val="none"/>
          <w:lang w:val="en-US" w:eastAsia="zh-CN"/>
        </w:rPr>
        <w:t>环境卫生等主管部门应当</w:t>
      </w:r>
      <w:r>
        <w:rPr>
          <w:rFonts w:hint="eastAsia" w:ascii="宋体" w:hAnsi="宋体" w:eastAsia="仿宋_GB2312" w:cs="仿宋_GB2312"/>
          <w:i w:val="0"/>
          <w:iCs w:val="0"/>
          <w:sz w:val="32"/>
          <w:highlight w:val="none"/>
          <w:u w:val="none"/>
          <w:lang w:val="en-US" w:eastAsia="zh-CN"/>
        </w:rPr>
        <w:t>组织</w:t>
      </w:r>
      <w:r>
        <w:rPr>
          <w:rFonts w:hint="eastAsia" w:ascii="宋体" w:hAnsi="宋体" w:eastAsia="仿宋_GB2312" w:cs="黑体"/>
          <w:i w:val="0"/>
          <w:iCs w:val="0"/>
          <w:sz w:val="32"/>
          <w:highlight w:val="none"/>
          <w:u w:val="none"/>
          <w:lang w:val="en-US" w:eastAsia="zh-CN"/>
        </w:rPr>
        <w:t>对生活垃圾进行清扫、</w:t>
      </w:r>
      <w:r>
        <w:rPr>
          <w:rFonts w:hint="eastAsia" w:ascii="宋体" w:hAnsi="宋体" w:eastAsia="仿宋_GB2312" w:cs="仿宋_GB2312"/>
          <w:i w:val="0"/>
          <w:iCs w:val="0"/>
          <w:sz w:val="32"/>
          <w:highlight w:val="none"/>
          <w:u w:val="none"/>
          <w:lang w:val="en-US" w:eastAsia="zh-CN"/>
        </w:rPr>
        <w:t>收集、运输</w:t>
      </w:r>
      <w:r>
        <w:rPr>
          <w:rFonts w:hint="eastAsia" w:ascii="宋体" w:hAnsi="宋体" w:eastAsia="仿宋_GB2312" w:cs="黑体"/>
          <w:i w:val="0"/>
          <w:iCs w:val="0"/>
          <w:sz w:val="32"/>
          <w:highlight w:val="none"/>
          <w:u w:val="none"/>
          <w:lang w:val="en-US" w:eastAsia="zh-CN"/>
        </w:rPr>
        <w:t>和处理</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黑体"/>
          <w:i w:val="0"/>
          <w:iCs w:val="0"/>
          <w:sz w:val="32"/>
          <w:highlight w:val="none"/>
          <w:u w:val="none"/>
          <w:lang w:val="en-US" w:eastAsia="zh-CN"/>
        </w:rPr>
        <w:t>可以</w:t>
      </w:r>
      <w:r>
        <w:rPr>
          <w:rFonts w:hint="eastAsia" w:ascii="宋体" w:hAnsi="宋体" w:eastAsia="仿宋_GB2312" w:cs="仿宋_GB2312"/>
          <w:sz w:val="32"/>
          <w:highlight w:val="none"/>
          <w:lang w:val="en-US" w:eastAsia="zh-CN"/>
        </w:rPr>
        <w:t>通过</w:t>
      </w:r>
      <w:r>
        <w:rPr>
          <w:rFonts w:hint="eastAsia" w:ascii="宋体" w:hAnsi="宋体" w:eastAsia="仿宋_GB2312" w:cs="黑体"/>
          <w:sz w:val="32"/>
          <w:highlight w:val="none"/>
          <w:lang w:val="en-US" w:eastAsia="zh-CN"/>
        </w:rPr>
        <w:t>招标等</w:t>
      </w:r>
      <w:r>
        <w:rPr>
          <w:rFonts w:hint="eastAsia" w:ascii="宋体" w:hAnsi="宋体" w:eastAsia="仿宋_GB2312" w:cs="仿宋_GB2312"/>
          <w:sz w:val="32"/>
          <w:highlight w:val="none"/>
          <w:lang w:val="en-US" w:eastAsia="zh-CN"/>
        </w:rPr>
        <w:t>市场化方式，选择具备条件的单位</w:t>
      </w:r>
      <w:r>
        <w:rPr>
          <w:rFonts w:hint="eastAsia" w:ascii="宋体" w:hAnsi="宋体" w:eastAsia="仿宋_GB2312" w:cs="黑体"/>
          <w:sz w:val="32"/>
          <w:highlight w:val="none"/>
          <w:lang w:val="en-US" w:eastAsia="zh-CN"/>
        </w:rPr>
        <w:t>从事</w:t>
      </w:r>
      <w:r>
        <w:rPr>
          <w:rFonts w:hint="eastAsia" w:ascii="宋体" w:hAnsi="宋体" w:eastAsia="仿宋_GB2312" w:cs="仿宋_GB2312"/>
          <w:sz w:val="32"/>
          <w:highlight w:val="none"/>
          <w:lang w:val="en-US" w:eastAsia="zh-CN"/>
        </w:rPr>
        <w:t>生活垃圾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default"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从事生活垃圾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w:t>
      </w:r>
      <w:r>
        <w:rPr>
          <w:rFonts w:hint="eastAsia" w:ascii="宋体" w:hAnsi="宋体" w:cs="仿宋_GB2312"/>
          <w:sz w:val="32"/>
          <w:highlight w:val="none"/>
          <w:lang w:val="en-US" w:eastAsia="zh-CN"/>
        </w:rPr>
        <w:t>和</w:t>
      </w:r>
      <w:r>
        <w:rPr>
          <w:rFonts w:hint="eastAsia" w:ascii="宋体" w:hAnsi="宋体" w:eastAsia="仿宋_GB2312" w:cs="仿宋_GB2312"/>
          <w:sz w:val="32"/>
          <w:highlight w:val="none"/>
          <w:lang w:val="en-US" w:eastAsia="zh-CN"/>
        </w:rPr>
        <w:t>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的单位应当</w:t>
      </w:r>
      <w:r>
        <w:rPr>
          <w:rFonts w:hint="eastAsia" w:ascii="宋体" w:hAnsi="宋体" w:eastAsia="仿宋_GB2312" w:cs="仿宋_GB2312"/>
          <w:i w:val="0"/>
          <w:iCs w:val="0"/>
          <w:sz w:val="32"/>
          <w:highlight w:val="none"/>
          <w:u w:val="none"/>
          <w:lang w:val="en-US" w:eastAsia="zh-CN"/>
        </w:rPr>
        <w:t>按照合同约定履行工作职责，并</w:t>
      </w:r>
      <w:r>
        <w:rPr>
          <w:rFonts w:hint="eastAsia" w:ascii="宋体" w:hAnsi="宋体" w:eastAsia="仿宋_GB2312" w:cs="仿宋_GB2312"/>
          <w:sz w:val="32"/>
          <w:highlight w:val="none"/>
          <w:lang w:val="en-US" w:eastAsia="zh-CN"/>
        </w:rPr>
        <w:t>执行环</w:t>
      </w:r>
      <w:r>
        <w:rPr>
          <w:rFonts w:hint="eastAsia" w:ascii="宋体" w:hAnsi="宋体" w:eastAsia="仿宋_GB2312" w:cs="黑体"/>
          <w:sz w:val="32"/>
          <w:highlight w:val="none"/>
          <w:lang w:val="en-US" w:eastAsia="zh-CN"/>
        </w:rPr>
        <w:t>境</w:t>
      </w:r>
      <w:r>
        <w:rPr>
          <w:rFonts w:hint="eastAsia" w:ascii="宋体" w:hAnsi="宋体" w:eastAsia="仿宋_GB2312" w:cs="仿宋_GB2312"/>
          <w:sz w:val="32"/>
          <w:highlight w:val="none"/>
          <w:lang w:val="en-US" w:eastAsia="zh-CN"/>
        </w:rPr>
        <w:t>卫</w:t>
      </w:r>
      <w:r>
        <w:rPr>
          <w:rFonts w:hint="eastAsia" w:ascii="宋体" w:hAnsi="宋体" w:eastAsia="仿宋_GB2312" w:cs="黑体"/>
          <w:sz w:val="32"/>
          <w:highlight w:val="none"/>
          <w:lang w:val="en-US" w:eastAsia="zh-CN"/>
        </w:rPr>
        <w:t>生</w:t>
      </w:r>
      <w:r>
        <w:rPr>
          <w:rFonts w:hint="eastAsia" w:ascii="宋体" w:hAnsi="宋体" w:eastAsia="仿宋_GB2312" w:cs="仿宋_GB2312"/>
          <w:sz w:val="32"/>
          <w:highlight w:val="none"/>
          <w:lang w:val="en-US" w:eastAsia="zh-CN"/>
        </w:rPr>
        <w:t>作业标准和规定。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第二十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收集、运输生活垃圾的单位应当</w:t>
      </w:r>
      <w:r>
        <w:rPr>
          <w:rFonts w:hint="eastAsia" w:ascii="宋体" w:hAnsi="宋体" w:eastAsia="仿宋_GB2312" w:cs="黑体"/>
          <w:i w:val="0"/>
          <w:iCs w:val="0"/>
          <w:sz w:val="32"/>
          <w:highlight w:val="none"/>
          <w:u w:val="none"/>
          <w:lang w:val="en-US" w:eastAsia="zh-CN"/>
        </w:rPr>
        <w:t>遵守</w:t>
      </w:r>
      <w:r>
        <w:rPr>
          <w:rFonts w:hint="eastAsia" w:ascii="宋体" w:hAnsi="宋体" w:eastAsia="仿宋_GB2312" w:cs="仿宋_GB2312"/>
          <w:sz w:val="32"/>
          <w:highlight w:val="none"/>
          <w:lang w:val="en-US" w:eastAsia="zh-CN"/>
        </w:rPr>
        <w:t>下列</w:t>
      </w:r>
      <w:r>
        <w:rPr>
          <w:rFonts w:hint="eastAsia" w:ascii="宋体" w:hAnsi="宋体" w:eastAsia="仿宋_GB2312" w:cs="黑体"/>
          <w:sz w:val="32"/>
          <w:highlight w:val="none"/>
          <w:lang w:val="en-US" w:eastAsia="zh-CN"/>
        </w:rPr>
        <w:t>规定</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（一）按时</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收集生活垃圾；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（二）将生活垃圾</w:t>
      </w:r>
      <w:r>
        <w:rPr>
          <w:rFonts w:hint="eastAsia" w:ascii="宋体" w:hAnsi="宋体" w:eastAsia="仿宋_GB2312" w:cs="黑体"/>
          <w:sz w:val="32"/>
          <w:highlight w:val="none"/>
          <w:lang w:val="en-US" w:eastAsia="zh-CN"/>
        </w:rPr>
        <w:t>分类</w:t>
      </w:r>
      <w:r>
        <w:rPr>
          <w:rFonts w:hint="eastAsia" w:ascii="宋体" w:hAnsi="宋体" w:eastAsia="仿宋_GB2312" w:cs="仿宋_GB2312"/>
          <w:sz w:val="32"/>
          <w:highlight w:val="none"/>
          <w:lang w:val="en-US" w:eastAsia="zh-CN"/>
        </w:rPr>
        <w:t>运输至符合规定的转运或者处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w:t>
      </w:r>
      <w:r>
        <w:rPr>
          <w:rFonts w:hint="eastAsia" w:ascii="宋体" w:hAnsi="宋体" w:eastAsia="仿宋_GB2312" w:cs="黑体"/>
          <w:sz w:val="32"/>
          <w:highlight w:val="none"/>
          <w:lang w:val="en-US" w:eastAsia="zh-CN"/>
        </w:rPr>
        <w:t>、站点</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w:t>
      </w:r>
      <w:r>
        <w:rPr>
          <w:rFonts w:hint="eastAsia" w:ascii="宋体" w:hAnsi="宋体" w:eastAsia="仿宋_GB2312" w:cs="黑体"/>
          <w:i w:val="0"/>
          <w:iCs w:val="0"/>
          <w:sz w:val="32"/>
          <w:highlight w:val="none"/>
          <w:u w:val="none"/>
          <w:lang w:val="en-US" w:eastAsia="zh-CN"/>
        </w:rPr>
        <w:t>配备使用符合标准的运输车辆</w:t>
      </w:r>
      <w:r>
        <w:rPr>
          <w:rFonts w:hint="eastAsia" w:ascii="宋体" w:hAnsi="宋体" w:eastAsia="仿宋_GB2312" w:cs="仿宋_GB2312"/>
          <w:sz w:val="32"/>
          <w:highlight w:val="none"/>
          <w:lang w:val="en-US" w:eastAsia="zh-CN"/>
        </w:rPr>
        <w:t>密闭化运输</w:t>
      </w:r>
      <w:r>
        <w:rPr>
          <w:rFonts w:hint="eastAsia" w:ascii="宋体" w:hAnsi="宋体" w:eastAsia="仿宋_GB2312" w:cs="黑体"/>
          <w:sz w:val="32"/>
          <w:highlight w:val="none"/>
          <w:lang w:val="en-US" w:eastAsia="zh-CN"/>
        </w:rPr>
        <w:t>生活垃圾</w:t>
      </w:r>
      <w:r>
        <w:rPr>
          <w:rFonts w:hint="eastAsia" w:ascii="宋体" w:hAnsi="宋体" w:eastAsia="仿宋_GB2312" w:cs="仿宋_GB2312"/>
          <w:sz w:val="32"/>
          <w:highlight w:val="none"/>
          <w:lang w:val="en-US" w:eastAsia="zh-CN"/>
        </w:rPr>
        <w:t>，在运输过程中不得丢弃、</w:t>
      </w:r>
      <w:r>
        <w:rPr>
          <w:rFonts w:hint="eastAsia" w:ascii="宋体" w:hAnsi="宋体" w:eastAsia="仿宋_GB2312" w:cs="黑体"/>
          <w:i w:val="0"/>
          <w:iCs w:val="0"/>
          <w:sz w:val="32"/>
          <w:highlight w:val="none"/>
          <w:u w:val="none"/>
          <w:lang w:val="en-US" w:eastAsia="zh-CN"/>
        </w:rPr>
        <w:t>遗</w:t>
      </w:r>
      <w:r>
        <w:rPr>
          <w:rFonts w:hint="eastAsia" w:ascii="宋体" w:hAnsi="宋体" w:eastAsia="仿宋_GB2312" w:cs="仿宋_GB2312"/>
          <w:sz w:val="32"/>
          <w:highlight w:val="none"/>
          <w:lang w:val="en-US" w:eastAsia="zh-CN"/>
        </w:rPr>
        <w:t>撒垃圾以及滴漏污水；</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w:t>
      </w:r>
      <w:r>
        <w:rPr>
          <w:rFonts w:hint="eastAsia" w:ascii="宋体" w:hAnsi="宋体" w:eastAsia="仿宋_GB2312" w:cs="黑体"/>
          <w:sz w:val="32"/>
          <w:highlight w:val="none"/>
          <w:lang w:val="en-US" w:eastAsia="zh-CN"/>
        </w:rPr>
        <w:t>生活</w:t>
      </w:r>
      <w:r>
        <w:rPr>
          <w:rFonts w:hint="eastAsia" w:ascii="宋体" w:hAnsi="宋体" w:eastAsia="仿宋_GB2312" w:cs="仿宋_GB2312"/>
          <w:sz w:val="32"/>
          <w:highlight w:val="none"/>
          <w:lang w:val="en-US" w:eastAsia="zh-CN"/>
        </w:rPr>
        <w:t>垃圾运输线路应当避开</w:t>
      </w:r>
      <w:r>
        <w:rPr>
          <w:rFonts w:hint="eastAsia" w:ascii="宋体" w:hAnsi="宋体" w:eastAsia="仿宋_GB2312" w:cs="黑体"/>
          <w:sz w:val="32"/>
          <w:highlight w:val="none"/>
          <w:lang w:val="en-US" w:eastAsia="zh-CN"/>
        </w:rPr>
        <w:t>饮用水</w:t>
      </w:r>
      <w:r>
        <w:rPr>
          <w:rFonts w:hint="eastAsia" w:ascii="宋体" w:hAnsi="宋体" w:eastAsia="仿宋_GB2312" w:cs="仿宋_GB2312"/>
          <w:sz w:val="32"/>
          <w:highlight w:val="none"/>
          <w:lang w:val="en-US" w:eastAsia="zh-CN"/>
        </w:rPr>
        <w:t>水源</w:t>
      </w:r>
      <w:r>
        <w:rPr>
          <w:rFonts w:hint="eastAsia" w:ascii="宋体" w:hAnsi="宋体" w:eastAsia="仿宋_GB2312" w:cs="黑体"/>
          <w:sz w:val="32"/>
          <w:highlight w:val="none"/>
          <w:lang w:val="en-US" w:eastAsia="zh-CN"/>
        </w:rPr>
        <w:t>一级</w:t>
      </w:r>
      <w:r>
        <w:rPr>
          <w:rFonts w:hint="eastAsia" w:ascii="宋体" w:hAnsi="宋体" w:eastAsia="仿宋_GB2312" w:cs="仿宋_GB2312"/>
          <w:sz w:val="32"/>
          <w:highlight w:val="none"/>
          <w:lang w:val="en-US" w:eastAsia="zh-CN"/>
        </w:rPr>
        <w:t>保护区；</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（五）不得混合收集、运输已分类的生活垃圾，不得将危险废物、医疗废物、工业固体废物、建筑垃圾、</w:t>
      </w:r>
      <w:r>
        <w:rPr>
          <w:rFonts w:hint="eastAsia" w:ascii="宋体" w:hAnsi="宋体" w:eastAsia="仿宋_GB2312" w:cs="仿宋_GB2312"/>
          <w:i w:val="0"/>
          <w:iCs w:val="0"/>
          <w:sz w:val="32"/>
          <w:highlight w:val="none"/>
          <w:u w:val="none"/>
          <w:lang w:val="en-US" w:eastAsia="zh-CN"/>
        </w:rPr>
        <w:t>农业固体废物</w:t>
      </w:r>
      <w:r>
        <w:rPr>
          <w:rFonts w:hint="eastAsia" w:ascii="宋体" w:hAnsi="宋体" w:eastAsia="仿宋_GB2312" w:cs="仿宋_GB2312"/>
          <w:sz w:val="32"/>
          <w:highlight w:val="none"/>
          <w:lang w:val="en-US" w:eastAsia="zh-CN"/>
        </w:rPr>
        <w:t>等混入生活垃圾；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（六）不得擅自跨省</w:t>
      </w:r>
      <w:r>
        <w:rPr>
          <w:rFonts w:hint="eastAsia" w:ascii="宋体" w:hAnsi="宋体" w:eastAsia="仿宋_GB2312" w:cs="黑体"/>
          <w:sz w:val="32"/>
          <w:highlight w:val="none"/>
          <w:lang w:val="en-US" w:eastAsia="zh-CN"/>
        </w:rPr>
        <w:t>、跨地级以上市</w:t>
      </w:r>
      <w:r>
        <w:rPr>
          <w:rFonts w:hint="eastAsia" w:ascii="宋体" w:hAnsi="宋体" w:eastAsia="仿宋_GB2312" w:cs="仿宋_GB2312"/>
          <w:sz w:val="32"/>
          <w:highlight w:val="none"/>
          <w:lang w:val="en-US" w:eastAsia="zh-CN"/>
        </w:rPr>
        <w:t>转移生活垃圾。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生活垃圾收集、运输单位发现交运的生活垃圾不符合分类标准的，可以告知生活垃圾分类</w:t>
      </w:r>
      <w:r>
        <w:rPr>
          <w:rFonts w:hint="eastAsia" w:ascii="宋体" w:hAnsi="宋体" w:cs="黑体"/>
          <w:sz w:val="32"/>
          <w:highlight w:val="none"/>
          <w:lang w:val="en-US" w:eastAsia="zh-CN"/>
        </w:rPr>
        <w:t>投放</w:t>
      </w:r>
      <w:r>
        <w:rPr>
          <w:rFonts w:hint="eastAsia" w:ascii="宋体" w:hAnsi="宋体" w:eastAsia="仿宋_GB2312" w:cs="黑体"/>
          <w:sz w:val="32"/>
          <w:highlight w:val="none"/>
          <w:lang w:val="en-US" w:eastAsia="zh-CN"/>
        </w:rPr>
        <w:t>管理责任人改正；拒不改正的，应当报告环境卫生主管部门。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二十</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生活垃圾分类处</w:t>
      </w:r>
      <w:r>
        <w:rPr>
          <w:rFonts w:hint="eastAsia" w:ascii="宋体" w:hAnsi="宋体" w:eastAsia="仿宋_GB2312" w:cs="黑体"/>
          <w:sz w:val="32"/>
          <w:highlight w:val="none"/>
          <w:lang w:val="en-US" w:eastAsia="zh-CN"/>
        </w:rPr>
        <w:t>理应当按照下列要求进行</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（一）可回收物交由资源化利用企业进行回收利用；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（二）厨余垃圾采用</w:t>
      </w:r>
      <w:r>
        <w:rPr>
          <w:rFonts w:hint="eastAsia" w:ascii="宋体" w:hAnsi="宋体" w:eastAsia="仿宋_GB2312" w:cs="仿宋_GB2312"/>
          <w:i w:val="0"/>
          <w:iCs w:val="0"/>
          <w:sz w:val="32"/>
          <w:highlight w:val="none"/>
          <w:u w:val="none"/>
          <w:lang w:val="en-US" w:eastAsia="zh-CN"/>
        </w:rPr>
        <w:t>生化处理</w:t>
      </w:r>
      <w:r>
        <w:rPr>
          <w:rFonts w:hint="eastAsia" w:ascii="宋体" w:hAnsi="宋体" w:eastAsia="仿宋_GB2312" w:cs="黑体"/>
          <w:i w:val="0"/>
          <w:iCs w:val="0"/>
          <w:sz w:val="32"/>
          <w:highlight w:val="none"/>
          <w:u w:val="none"/>
          <w:lang w:val="en-US" w:eastAsia="zh-CN"/>
        </w:rPr>
        <w:t>技术</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仿宋_GB2312"/>
          <w:sz w:val="32"/>
          <w:highlight w:val="none"/>
          <w:lang w:val="en-US" w:eastAsia="zh-CN"/>
        </w:rPr>
        <w:t>产沼、堆肥</w:t>
      </w:r>
      <w:r>
        <w:rPr>
          <w:rFonts w:hint="eastAsia" w:ascii="宋体" w:hAnsi="宋体" w:eastAsia="仿宋_GB2312" w:cs="黑体"/>
          <w:sz w:val="32"/>
          <w:highlight w:val="none"/>
          <w:lang w:val="en-US" w:eastAsia="zh-CN"/>
        </w:rPr>
        <w:t>以</w:t>
      </w:r>
      <w:r>
        <w:rPr>
          <w:rFonts w:hint="eastAsia" w:ascii="宋体" w:hAnsi="宋体" w:eastAsia="仿宋_GB2312" w:cs="仿宋_GB2312"/>
          <w:sz w:val="32"/>
          <w:highlight w:val="none"/>
          <w:lang w:val="en-US" w:eastAsia="zh-CN"/>
        </w:rPr>
        <w:t>及其他资源化利用或者无害化方式处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，禁止畜禽养殖场、养殖小区利用未经无害化处</w:t>
      </w:r>
      <w:r>
        <w:rPr>
          <w:rFonts w:hint="eastAsia" w:ascii="宋体" w:hAnsi="宋体" w:eastAsia="仿宋_GB2312" w:cs="仿宋_GB2312"/>
          <w:i w:val="0"/>
          <w:iCs w:val="0"/>
          <w:sz w:val="32"/>
          <w:highlight w:val="none"/>
          <w:u w:val="none"/>
          <w:lang w:val="en-US" w:eastAsia="zh-CN"/>
        </w:rPr>
        <w:t>理</w:t>
      </w:r>
      <w:r>
        <w:rPr>
          <w:rFonts w:hint="eastAsia" w:ascii="宋体" w:hAnsi="宋体" w:eastAsia="仿宋_GB2312" w:cs="仿宋_GB2312"/>
          <w:sz w:val="32"/>
          <w:highlight w:val="none"/>
          <w:lang w:val="en-US" w:eastAsia="zh-CN"/>
        </w:rPr>
        <w:t>的厨余垃圾饲喂畜禽；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（三）有害垃圾按照国家</w:t>
      </w:r>
      <w:r>
        <w:rPr>
          <w:rFonts w:hint="eastAsia" w:ascii="宋体" w:hAnsi="宋体" w:eastAsia="仿宋_GB2312" w:cs="黑体"/>
          <w:sz w:val="32"/>
          <w:highlight w:val="none"/>
          <w:lang w:val="en-US" w:eastAsia="zh-CN"/>
        </w:rPr>
        <w:t>危险废物管理等</w:t>
      </w:r>
      <w:r>
        <w:rPr>
          <w:rFonts w:hint="eastAsia" w:ascii="宋体" w:hAnsi="宋体" w:eastAsia="仿宋_GB2312" w:cs="仿宋_GB2312"/>
          <w:sz w:val="32"/>
          <w:highlight w:val="none"/>
          <w:lang w:val="en-US" w:eastAsia="zh-CN"/>
        </w:rPr>
        <w:t>有关规定进行无害化处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（四）其他垃圾采用焚烧发电、卫生填埋等方式进行无害化处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体积较大的废弃物品应当先拆分，再按照前款要求处理。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三十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生活垃圾</w:t>
      </w:r>
      <w:r>
        <w:rPr>
          <w:rFonts w:hint="eastAsia" w:ascii="宋体" w:hAnsi="宋体" w:eastAsia="仿宋_GB2312" w:cs="黑体"/>
          <w:sz w:val="32"/>
          <w:highlight w:val="none"/>
          <w:lang w:val="en-US" w:eastAsia="zh-CN"/>
        </w:rPr>
        <w:t>处理</w:t>
      </w:r>
      <w:r>
        <w:rPr>
          <w:rFonts w:hint="eastAsia" w:ascii="宋体" w:hAnsi="宋体" w:eastAsia="仿宋_GB2312" w:cs="仿宋_GB2312"/>
          <w:sz w:val="32"/>
          <w:highlight w:val="none"/>
          <w:lang w:val="en-US" w:eastAsia="zh-CN"/>
        </w:rPr>
        <w:t>单位应当遵守下列规定：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（一）按照规定的分类标准接收</w:t>
      </w:r>
      <w:r>
        <w:rPr>
          <w:rFonts w:hint="eastAsia" w:ascii="宋体" w:hAnsi="宋体" w:eastAsia="仿宋_GB2312" w:cs="黑体"/>
          <w:sz w:val="32"/>
          <w:highlight w:val="none"/>
          <w:lang w:val="en-US" w:eastAsia="zh-CN"/>
        </w:rPr>
        <w:t>、处理</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（二）</w:t>
      </w:r>
      <w:r>
        <w:rPr>
          <w:rFonts w:hint="eastAsia" w:ascii="宋体" w:hAnsi="宋体" w:eastAsia="仿宋_GB2312" w:cs="黑体"/>
          <w:sz w:val="32"/>
          <w:highlight w:val="none"/>
          <w:lang w:val="en-US" w:eastAsia="zh-CN"/>
        </w:rPr>
        <w:t>保持生活垃圾处理设施、设备正常运行，</w:t>
      </w:r>
      <w:r>
        <w:rPr>
          <w:rFonts w:hint="eastAsia" w:ascii="宋体" w:hAnsi="宋体" w:eastAsia="仿宋_GB2312" w:cs="仿宋_GB2312"/>
          <w:sz w:val="32"/>
          <w:highlight w:val="none"/>
          <w:lang w:val="en-US" w:eastAsia="zh-CN"/>
        </w:rPr>
        <w:t>严格按照工程技术规范、操作规程、污染控制标准处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以</w:t>
      </w:r>
      <w:r>
        <w:rPr>
          <w:rFonts w:hint="eastAsia" w:ascii="宋体" w:hAnsi="宋体" w:eastAsia="仿宋_GB2312" w:cs="仿宋_GB2312"/>
          <w:sz w:val="32"/>
          <w:highlight w:val="none"/>
          <w:lang w:val="en-US" w:eastAsia="zh-CN"/>
        </w:rPr>
        <w:t>及处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过程中产生的废水、废气、废渣等</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（三）建立处理台账，记录每日生活垃圾的运输单位、种类、数量，并定期向所在地的县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人民政府环境卫生主管部门报送数据</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（四）按照国家有关规定，安装使用监测设备，实时监测污染物的排放情况，将污染排放数据实时公开</w:t>
      </w:r>
      <w:r>
        <w:rPr>
          <w:rFonts w:hint="eastAsia" w:ascii="宋体" w:hAnsi="宋体" w:eastAsia="仿宋_GB2312" w:cs="黑体"/>
          <w:sz w:val="32"/>
          <w:highlight w:val="none"/>
          <w:lang w:val="en-US" w:eastAsia="zh-CN"/>
        </w:rPr>
        <w:t>，</w:t>
      </w:r>
      <w:r>
        <w:rPr>
          <w:rFonts w:hint="eastAsia" w:ascii="宋体" w:hAnsi="宋体" w:eastAsia="仿宋_GB2312" w:cs="仿宋_GB2312"/>
          <w:sz w:val="32"/>
          <w:highlight w:val="none"/>
          <w:lang w:val="en-US" w:eastAsia="zh-CN"/>
        </w:rPr>
        <w:t>监测设备应当与所在地生态环境主管部门的监控设备联网</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（五）制定应对设施故障、事故等突发事件的应急</w:t>
      </w:r>
      <w:r>
        <w:rPr>
          <w:rFonts w:hint="eastAsia" w:ascii="宋体" w:hAnsi="宋体" w:eastAsia="仿宋_GB2312" w:cs="黑体"/>
          <w:sz w:val="32"/>
          <w:highlight w:val="none"/>
          <w:lang w:val="en-US" w:eastAsia="zh-CN"/>
        </w:rPr>
        <w:t>预</w:t>
      </w:r>
      <w:r>
        <w:rPr>
          <w:rFonts w:hint="eastAsia" w:ascii="宋体" w:hAnsi="宋体" w:eastAsia="仿宋_GB2312" w:cs="仿宋_GB2312"/>
          <w:sz w:val="32"/>
          <w:highlight w:val="none"/>
          <w:lang w:val="en-US" w:eastAsia="zh-CN"/>
        </w:rPr>
        <w:t>案</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（六）国家和省有关生活垃圾处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的其他规定。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黑体"/>
          <w:sz w:val="32"/>
          <w:highlight w:val="none"/>
          <w:lang w:val="en-US" w:eastAsia="zh-CN"/>
        </w:rPr>
        <w:t>第三十一条</w:t>
      </w:r>
      <w:r>
        <w:rPr>
          <w:rFonts w:hint="eastAsia" w:ascii="宋体" w:hAnsi="宋体" w:eastAsia="仿宋_GB2312" w:cs="黑体"/>
          <w:sz w:val="32"/>
          <w:highlight w:val="none"/>
          <w:lang w:val="en-US" w:eastAsia="zh-CN"/>
        </w:rPr>
        <w:t xml:space="preserve">  农村生活垃圾管理推行户分类、村收集、镇转运、县处理的模式。</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引导农村地区开展生活垃圾源头减量，对厨余垃圾等有机易腐烂的垃圾，应当按照农业废弃物资源化的要求，采取污染防治措施后，采用生化处理技术等就近就地处理；对可回收物进行资源回收利用；对有害垃圾单独收集，妥善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城乡结合部、人口密集的农村地区和其他有条件的地方，应当建立城乡一体的生活垃圾管理系统。</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第五章  设施建设与保障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三十二</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省人民政府应当依据省城乡生活垃圾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理目标，结合生活垃圾产生和处理情况，组织编制全省生活垃圾处理专项规划。</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人民政府环境卫生主管部门应当依据省生活垃圾处理专项规划，组织编制本行政区域生活垃圾处理专项规划，报本级人民政府批准后组织实施。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编制生活垃圾处理专项规划应当向社会公示专项规划草案，</w:t>
      </w:r>
      <w:r>
        <w:rPr>
          <w:rFonts w:hint="eastAsia" w:ascii="宋体" w:hAnsi="宋体" w:eastAsia="仿宋_GB2312" w:cs="黑体"/>
          <w:sz w:val="32"/>
          <w:highlight w:val="none"/>
          <w:lang w:val="en-US" w:eastAsia="zh-CN"/>
        </w:rPr>
        <w:t>公示时间不得少于三十日，并</w:t>
      </w:r>
      <w:r>
        <w:rPr>
          <w:rFonts w:hint="eastAsia" w:ascii="宋体" w:hAnsi="宋体" w:eastAsia="仿宋_GB2312" w:cs="仿宋_GB2312"/>
          <w:sz w:val="32"/>
          <w:highlight w:val="none"/>
          <w:lang w:val="en-US" w:eastAsia="zh-CN"/>
        </w:rPr>
        <w:t>采取论证会、听证会等方式征求专家和公众的意见。</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专项规划应当在同级人民政府网站和当地主要新闻媒体公布。专项规划确需修改的，按照原审批程序办理。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w:t>
      </w:r>
      <w:r>
        <w:rPr>
          <w:rFonts w:hint="eastAsia" w:ascii="宋体" w:hAnsi="宋体" w:eastAsia="仿宋_GB2312" w:cs="仿宋_GB2312"/>
          <w:i w:val="0"/>
          <w:iCs w:val="0"/>
          <w:sz w:val="32"/>
          <w:highlight w:val="none"/>
          <w:u w:val="none"/>
          <w:lang w:val="en-US" w:eastAsia="zh-CN"/>
        </w:rPr>
        <w:t>将</w:t>
      </w:r>
      <w:r>
        <w:rPr>
          <w:rFonts w:hint="eastAsia" w:ascii="宋体" w:hAnsi="宋体" w:eastAsia="仿宋_GB2312" w:cs="仿宋_GB2312"/>
          <w:sz w:val="32"/>
          <w:highlight w:val="none"/>
          <w:lang w:val="en-US" w:eastAsia="zh-CN"/>
        </w:rPr>
        <w:t>生活垃圾处理设施</w:t>
      </w:r>
      <w:r>
        <w:rPr>
          <w:rFonts w:hint="eastAsia" w:ascii="宋体" w:hAnsi="宋体" w:eastAsia="仿宋_GB2312" w:cs="仿宋_GB2312"/>
          <w:i w:val="0"/>
          <w:iCs w:val="0"/>
          <w:sz w:val="32"/>
          <w:highlight w:val="none"/>
          <w:u w:val="none"/>
          <w:lang w:val="en-US" w:eastAsia="zh-CN"/>
        </w:rPr>
        <w:t>的</w:t>
      </w:r>
      <w:r>
        <w:rPr>
          <w:rFonts w:hint="eastAsia" w:ascii="宋体" w:hAnsi="宋体" w:eastAsia="仿宋_GB2312" w:cs="黑体"/>
          <w:sz w:val="32"/>
          <w:highlight w:val="none"/>
          <w:lang w:val="en-US" w:eastAsia="zh-CN"/>
        </w:rPr>
        <w:t>新增</w:t>
      </w:r>
      <w:r>
        <w:rPr>
          <w:rFonts w:hint="eastAsia" w:ascii="宋体" w:hAnsi="宋体" w:eastAsia="仿宋_GB2312" w:cs="仿宋_GB2312"/>
          <w:i w:val="0"/>
          <w:iCs w:val="0"/>
          <w:sz w:val="32"/>
          <w:highlight w:val="none"/>
          <w:u w:val="none"/>
          <w:lang w:val="en-US" w:eastAsia="zh-CN"/>
        </w:rPr>
        <w:t>建设用地纳入</w:t>
      </w:r>
      <w:r>
        <w:rPr>
          <w:rFonts w:hint="eastAsia" w:ascii="宋体" w:hAnsi="宋体" w:eastAsia="仿宋_GB2312" w:cs="黑体"/>
          <w:i w:val="0"/>
          <w:iCs w:val="0"/>
          <w:sz w:val="32"/>
          <w:highlight w:val="none"/>
          <w:u w:val="none"/>
          <w:lang w:val="en-US" w:eastAsia="zh-CN"/>
        </w:rPr>
        <w:t>国土空间规划</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Times New Roman"/>
          <w:sz w:val="32"/>
          <w:highlight w:val="none"/>
        </w:rPr>
        <w:t>县级</w:t>
      </w:r>
      <w:r>
        <w:rPr>
          <w:rFonts w:hint="eastAsia" w:ascii="宋体" w:hAnsi="宋体" w:eastAsia="仿宋_GB2312" w:cs="仿宋_GB2312"/>
          <w:sz w:val="32"/>
          <w:highlight w:val="none"/>
          <w:lang w:val="en-US" w:eastAsia="zh-CN"/>
        </w:rPr>
        <w:t>人民政府自然资源主管部门应当把生活垃圾处理专项规划中确定的生活垃圾处理设施用地，纳入</w:t>
      </w:r>
      <w:r>
        <w:rPr>
          <w:rFonts w:hint="eastAsia" w:ascii="宋体" w:hAnsi="宋体" w:eastAsia="仿宋_GB2312" w:cs="黑体"/>
          <w:sz w:val="32"/>
          <w:highlight w:val="none"/>
          <w:lang w:val="en-US" w:eastAsia="zh-CN"/>
        </w:rPr>
        <w:t>控制性</w:t>
      </w:r>
      <w:r>
        <w:rPr>
          <w:rFonts w:hint="eastAsia" w:ascii="宋体" w:hAnsi="宋体" w:eastAsia="仿宋_GB2312" w:cs="仿宋_GB2312"/>
          <w:sz w:val="32"/>
          <w:highlight w:val="none"/>
          <w:lang w:val="en-US" w:eastAsia="zh-CN"/>
        </w:rPr>
        <w:t>详细规划，并依法向社会公布。</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经规划确定的生活垃圾处理设施建设用地，未经法定程序，不得改变用途。</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Times New Roman"/>
          <w:sz w:val="32"/>
          <w:highlight w:val="none"/>
        </w:rPr>
        <w:t>县级</w:t>
      </w:r>
      <w:r>
        <w:rPr>
          <w:rFonts w:hint="eastAsia" w:ascii="宋体" w:hAnsi="宋体" w:eastAsia="仿宋_GB2312" w:cs="仿宋_GB2312"/>
          <w:sz w:val="32"/>
          <w:highlight w:val="none"/>
          <w:lang w:val="en-US" w:eastAsia="zh-CN"/>
        </w:rPr>
        <w:t>人民政府环境卫生主管部门和生活垃圾分类</w:t>
      </w:r>
      <w:r>
        <w:rPr>
          <w:rFonts w:hint="eastAsia" w:ascii="宋体" w:hAnsi="宋体" w:cs="仿宋_GB2312"/>
          <w:sz w:val="32"/>
          <w:highlight w:val="none"/>
          <w:lang w:val="en-US" w:eastAsia="zh-CN"/>
        </w:rPr>
        <w:t>投放</w:t>
      </w:r>
      <w:r>
        <w:rPr>
          <w:rFonts w:hint="eastAsia" w:ascii="宋体" w:hAnsi="宋体" w:eastAsia="仿宋_GB2312" w:cs="仿宋_GB2312"/>
          <w:sz w:val="32"/>
          <w:highlight w:val="none"/>
          <w:lang w:val="en-US" w:eastAsia="zh-CN"/>
        </w:rPr>
        <w:t>管理责任人应当按照相关规划、国家和省的有关技术标准和要求</w:t>
      </w:r>
      <w:r>
        <w:rPr>
          <w:rFonts w:hint="eastAsia" w:ascii="宋体" w:hAnsi="宋体" w:eastAsia="仿宋_GB2312" w:cs="黑体"/>
          <w:sz w:val="32"/>
          <w:highlight w:val="none"/>
          <w:lang w:val="en-US" w:eastAsia="zh-CN"/>
        </w:rPr>
        <w:t>，</w:t>
      </w:r>
      <w:r>
        <w:rPr>
          <w:rFonts w:hint="eastAsia" w:ascii="宋体" w:hAnsi="宋体" w:eastAsia="仿宋_GB2312" w:cs="黑体"/>
          <w:color w:val="auto"/>
          <w:sz w:val="32"/>
          <w:highlight w:val="none"/>
          <w:lang w:val="en-US" w:eastAsia="zh-CN"/>
        </w:rPr>
        <w:t>综合考虑居民数量、产生垃圾总量等因素，科学合理</w:t>
      </w:r>
      <w:r>
        <w:rPr>
          <w:rFonts w:hint="eastAsia" w:ascii="宋体" w:hAnsi="宋体" w:eastAsia="仿宋_GB2312" w:cs="仿宋_GB2312"/>
          <w:color w:val="auto"/>
          <w:sz w:val="32"/>
          <w:highlight w:val="none"/>
          <w:lang w:val="en-US" w:eastAsia="zh-CN"/>
        </w:rPr>
        <w:t>设置生活垃圾收</w:t>
      </w:r>
      <w:r>
        <w:rPr>
          <w:rFonts w:hint="eastAsia" w:ascii="宋体" w:hAnsi="宋体" w:eastAsia="仿宋_GB2312" w:cs="仿宋_GB2312"/>
          <w:sz w:val="32"/>
          <w:highlight w:val="none"/>
          <w:lang w:val="en-US" w:eastAsia="zh-CN"/>
        </w:rPr>
        <w:t>集点。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人民政府环境卫生主管部门、乡镇人民政府、街道办事处应当按照相关规划、国家和省的有关技术标准和要求建设、改造生活垃圾转运站，适应垃圾分类功能需求。</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生活垃圾转运</w:t>
      </w:r>
      <w:r>
        <w:rPr>
          <w:rFonts w:hint="eastAsia" w:ascii="宋体" w:hAnsi="宋体" w:eastAsia="仿宋_GB2312" w:cs="仿宋_GB2312"/>
          <w:sz w:val="32"/>
          <w:highlight w:val="none"/>
          <w:lang w:val="en-US" w:eastAsia="zh-CN"/>
        </w:rPr>
        <w:t>站</w:t>
      </w:r>
      <w:r>
        <w:rPr>
          <w:rFonts w:hint="eastAsia" w:ascii="宋体" w:hAnsi="宋体" w:eastAsia="仿宋_GB2312" w:cs="黑体"/>
          <w:sz w:val="32"/>
          <w:highlight w:val="none"/>
          <w:lang w:val="en-US" w:eastAsia="zh-CN"/>
        </w:rPr>
        <w:t>产生的</w:t>
      </w:r>
      <w:r>
        <w:rPr>
          <w:rFonts w:hint="eastAsia" w:ascii="宋体" w:hAnsi="宋体" w:eastAsia="仿宋_GB2312" w:cs="仿宋_GB2312"/>
          <w:sz w:val="32"/>
          <w:highlight w:val="none"/>
          <w:lang w:val="en-US" w:eastAsia="zh-CN"/>
        </w:rPr>
        <w:t>污水应当统一收集并进行预处理后，运往生活污水处理厂，或者通过市政污水管道输送至生活污水处理厂处理。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黑体" w:cs="仿宋_GB2312"/>
          <w:sz w:val="32"/>
          <w:highlight w:val="none"/>
          <w:lang w:val="en-US" w:eastAsia="zh-CN"/>
        </w:rPr>
        <w:t>第三十</w:t>
      </w:r>
      <w:r>
        <w:rPr>
          <w:rFonts w:hint="eastAsia" w:ascii="宋体" w:hAnsi="宋体" w:eastAsia="黑体" w:cs="黑体"/>
          <w:sz w:val="32"/>
          <w:highlight w:val="none"/>
          <w:lang w:val="en-US" w:eastAsia="zh-CN"/>
        </w:rPr>
        <w:t>七</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人民政府应当按照城乡生活垃圾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理目标和专项规划，同步推进城镇和农村生活垃圾处理设施建设</w:t>
      </w:r>
      <w:r>
        <w:rPr>
          <w:rFonts w:hint="eastAsia" w:ascii="宋体" w:hAnsi="宋体" w:eastAsia="仿宋_GB2312" w:cs="黑体"/>
          <w:sz w:val="32"/>
          <w:szCs w:val="22"/>
          <w:highlight w:val="none"/>
          <w:lang w:val="en-US" w:eastAsia="zh-CN"/>
        </w:rPr>
        <w:t>，因地制宜</w:t>
      </w:r>
      <w:r>
        <w:rPr>
          <w:rFonts w:hint="eastAsia" w:ascii="宋体" w:hAnsi="宋体" w:eastAsia="仿宋_GB2312" w:cs="黑体"/>
          <w:sz w:val="32"/>
          <w:highlight w:val="none"/>
          <w:lang w:val="en-US" w:eastAsia="zh-CN"/>
        </w:rPr>
        <w:t>推动厨余垃圾处理设施建设，提高厨余垃圾处理水平</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szCs w:val="22"/>
          <w:highlight w:val="none"/>
          <w:lang w:val="en-US" w:eastAsia="zh-CN"/>
        </w:rPr>
        <w:t>鼓励跨区域共建共享生活垃圾处理设施</w:t>
      </w:r>
      <w:r>
        <w:rPr>
          <w:rFonts w:hint="eastAsia" w:ascii="宋体" w:hAnsi="宋体" w:eastAsia="仿宋_GB2312" w:cs="黑体"/>
          <w:sz w:val="32"/>
          <w:szCs w:val="22"/>
          <w:highlight w:val="none"/>
          <w:lang w:val="en-US" w:eastAsia="zh-CN"/>
        </w:rPr>
        <w:t>；</w:t>
      </w:r>
      <w:r>
        <w:rPr>
          <w:rFonts w:hint="eastAsia" w:ascii="宋体" w:hAnsi="宋体" w:eastAsia="仿宋_GB2312" w:cs="黑体"/>
          <w:sz w:val="32"/>
          <w:highlight w:val="none"/>
          <w:lang w:val="en-US" w:eastAsia="zh-CN"/>
        </w:rPr>
        <w:t>采取产业园区选址建设模式，统筹不同类型的垃圾处理。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生活垃圾处理设施建设应当符合国家和省的有关技术标准和要求。</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三十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新建、改建、扩建建设工程应当按照标准配套建设生活垃圾分类</w:t>
      </w:r>
      <w:r>
        <w:rPr>
          <w:rFonts w:hint="eastAsia" w:ascii="宋体" w:hAnsi="宋体" w:eastAsia="仿宋_GB2312" w:cs="黑体"/>
          <w:sz w:val="32"/>
          <w:highlight w:val="none"/>
          <w:lang w:val="en-US" w:eastAsia="zh-CN"/>
        </w:rPr>
        <w:t>投放</w:t>
      </w:r>
      <w:r>
        <w:rPr>
          <w:rFonts w:hint="eastAsia" w:ascii="宋体" w:hAnsi="宋体" w:eastAsia="仿宋_GB2312" w:cs="仿宋_GB2312"/>
          <w:sz w:val="32"/>
          <w:highlight w:val="none"/>
          <w:lang w:val="en-US" w:eastAsia="zh-CN"/>
        </w:rPr>
        <w:t>、收集、转运设施</w:t>
      </w:r>
      <w:r>
        <w:rPr>
          <w:rFonts w:hint="eastAsia" w:ascii="宋体" w:hAnsi="宋体" w:eastAsia="仿宋_GB2312" w:cs="黑体"/>
          <w:sz w:val="32"/>
          <w:highlight w:val="none"/>
          <w:lang w:val="en-US" w:eastAsia="zh-CN"/>
        </w:rPr>
        <w:t>，达到规划设计要求</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配套生活垃圾分类</w:t>
      </w:r>
      <w:r>
        <w:rPr>
          <w:rFonts w:hint="eastAsia" w:ascii="宋体" w:hAnsi="宋体" w:eastAsia="仿宋_GB2312" w:cs="黑体"/>
          <w:sz w:val="32"/>
          <w:highlight w:val="none"/>
          <w:lang w:val="en-US" w:eastAsia="zh-CN"/>
        </w:rPr>
        <w:t>投放、收集、转运</w:t>
      </w:r>
      <w:r>
        <w:rPr>
          <w:rFonts w:hint="eastAsia" w:ascii="宋体" w:hAnsi="宋体" w:eastAsia="仿宋_GB2312" w:cs="仿宋_GB2312"/>
          <w:sz w:val="32"/>
          <w:highlight w:val="none"/>
          <w:lang w:val="en-US" w:eastAsia="zh-CN"/>
        </w:rPr>
        <w:t>设施应当与主体工程同时设计、同时施工、同时</w:t>
      </w:r>
      <w:r>
        <w:rPr>
          <w:rFonts w:hint="eastAsia" w:ascii="宋体" w:hAnsi="宋体" w:eastAsia="仿宋_GB2312" w:cs="仿宋_GB2312"/>
          <w:i w:val="0"/>
          <w:iCs w:val="0"/>
          <w:sz w:val="32"/>
          <w:highlight w:val="none"/>
          <w:u w:val="none"/>
          <w:lang w:val="en-US" w:eastAsia="zh-CN"/>
        </w:rPr>
        <w:t>交付</w:t>
      </w:r>
      <w:r>
        <w:rPr>
          <w:rFonts w:hint="eastAsia" w:ascii="宋体" w:hAnsi="宋体" w:eastAsia="仿宋_GB2312" w:cs="仿宋_GB2312"/>
          <w:sz w:val="32"/>
          <w:highlight w:val="none"/>
          <w:lang w:val="en-US" w:eastAsia="zh-CN"/>
        </w:rPr>
        <w:t>使用；建设工程分期建设的，配套生活垃圾处理设施应当与首期工程同时</w:t>
      </w:r>
      <w:r>
        <w:rPr>
          <w:rFonts w:hint="eastAsia" w:ascii="宋体" w:hAnsi="宋体" w:eastAsia="仿宋_GB2312" w:cs="仿宋_GB2312"/>
          <w:i w:val="0"/>
          <w:iCs w:val="0"/>
          <w:sz w:val="32"/>
          <w:highlight w:val="none"/>
          <w:u w:val="none"/>
          <w:lang w:val="en-US" w:eastAsia="zh-CN"/>
        </w:rPr>
        <w:t>交付</w:t>
      </w:r>
      <w:r>
        <w:rPr>
          <w:rFonts w:hint="eastAsia" w:ascii="宋体" w:hAnsi="宋体" w:eastAsia="仿宋_GB2312" w:cs="仿宋_GB2312"/>
          <w:sz w:val="32"/>
          <w:highlight w:val="none"/>
          <w:lang w:val="en-US" w:eastAsia="zh-CN"/>
        </w:rPr>
        <w:t>使用；配套设施建设费用纳入建设工程投资</w:t>
      </w:r>
      <w:r>
        <w:rPr>
          <w:rFonts w:hint="eastAsia" w:ascii="宋体" w:hAnsi="宋体" w:eastAsia="仿宋_GB2312" w:cs="黑体"/>
          <w:sz w:val="32"/>
          <w:highlight w:val="none"/>
          <w:lang w:val="en-US" w:eastAsia="zh-CN"/>
        </w:rPr>
        <w:t>预算</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三十</w:t>
      </w:r>
      <w:r>
        <w:rPr>
          <w:rFonts w:hint="eastAsia" w:ascii="宋体" w:hAnsi="宋体" w:eastAsia="黑体" w:cs="黑体"/>
          <w:sz w:val="32"/>
          <w:highlight w:val="none"/>
          <w:lang w:val="en-US" w:eastAsia="zh-CN"/>
        </w:rPr>
        <w:t>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任何单位和个人不得擅自关闭、闲置、拆除生活垃圾集中转运、处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w:t>
      </w:r>
      <w:r>
        <w:rPr>
          <w:rFonts w:hint="eastAsia" w:ascii="宋体" w:hAnsi="宋体" w:eastAsia="仿宋_GB2312" w:cs="黑体"/>
          <w:sz w:val="32"/>
          <w:highlight w:val="none"/>
          <w:lang w:val="en-US" w:eastAsia="zh-CN"/>
        </w:rPr>
        <w:t>、场所</w:t>
      </w:r>
      <w:r>
        <w:rPr>
          <w:rFonts w:hint="eastAsia" w:ascii="宋体" w:hAnsi="宋体" w:eastAsia="仿宋_GB2312" w:cs="仿宋_GB2312"/>
          <w:sz w:val="32"/>
          <w:highlight w:val="none"/>
          <w:lang w:val="en-US" w:eastAsia="zh-CN"/>
        </w:rPr>
        <w:t>。确需关闭、闲置、拆除的，应当经</w:t>
      </w:r>
      <w:r>
        <w:rPr>
          <w:rFonts w:hint="eastAsia" w:ascii="宋体" w:hAnsi="宋体" w:eastAsia="仿宋_GB2312" w:cs="黑体"/>
          <w:sz w:val="32"/>
          <w:highlight w:val="none"/>
          <w:lang w:val="en-US" w:eastAsia="zh-CN"/>
        </w:rPr>
        <w:t>所在地地级以上</w:t>
      </w:r>
      <w:r>
        <w:rPr>
          <w:rFonts w:hint="eastAsia" w:ascii="宋体" w:hAnsi="宋体" w:eastAsia="仿宋_GB2312" w:cs="Times New Roman"/>
          <w:i w:val="0"/>
          <w:iCs/>
          <w:sz w:val="32"/>
          <w:highlight w:val="none"/>
          <w:u w:val="none"/>
        </w:rPr>
        <w:t>市、</w:t>
      </w:r>
      <w:r>
        <w:rPr>
          <w:rFonts w:hint="eastAsia" w:ascii="宋体" w:hAnsi="宋体" w:eastAsia="仿宋_GB2312" w:cs="Times New Roman"/>
          <w:sz w:val="32"/>
          <w:highlight w:val="none"/>
        </w:rPr>
        <w:t>县级</w:t>
      </w:r>
      <w:r>
        <w:rPr>
          <w:rFonts w:hint="eastAsia" w:ascii="宋体" w:hAnsi="宋体" w:eastAsia="仿宋_GB2312" w:cs="仿宋_GB2312"/>
          <w:sz w:val="32"/>
          <w:highlight w:val="none"/>
          <w:lang w:val="en-US" w:eastAsia="zh-CN"/>
        </w:rPr>
        <w:t>人民政府环境卫生主管部门商生态环境主管部门</w:t>
      </w:r>
      <w:r>
        <w:rPr>
          <w:rFonts w:hint="eastAsia" w:ascii="宋体" w:hAnsi="宋体" w:eastAsia="仿宋_GB2312" w:cs="黑体"/>
          <w:sz w:val="32"/>
          <w:highlight w:val="none"/>
          <w:lang w:val="en-US" w:eastAsia="zh-CN"/>
        </w:rPr>
        <w:t>同意后</w:t>
      </w:r>
      <w:r>
        <w:rPr>
          <w:rFonts w:hint="eastAsia" w:ascii="宋体" w:hAnsi="宋体" w:eastAsia="仿宋_GB2312" w:cs="仿宋_GB2312"/>
          <w:sz w:val="32"/>
          <w:highlight w:val="none"/>
          <w:lang w:val="en-US" w:eastAsia="zh-CN"/>
        </w:rPr>
        <w:t>核准，采取防止污染环境的措施，并按先建后拆的原则重建、补建或者提供替代设施。</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地级以上</w:t>
      </w:r>
      <w:r>
        <w:rPr>
          <w:rFonts w:hint="eastAsia" w:ascii="宋体" w:hAnsi="宋体" w:eastAsia="仿宋_GB2312" w:cs="Times New Roman"/>
          <w:i w:val="0"/>
          <w:iCs/>
          <w:sz w:val="32"/>
          <w:highlight w:val="none"/>
          <w:u w:val="none"/>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人民政府应当根据</w:t>
      </w:r>
      <w:r>
        <w:rPr>
          <w:rFonts w:hint="eastAsia" w:ascii="宋体" w:hAnsi="宋体" w:eastAsia="仿宋_GB2312" w:cs="黑体"/>
          <w:sz w:val="32"/>
          <w:highlight w:val="none"/>
          <w:lang w:val="en-US" w:eastAsia="zh-CN"/>
        </w:rPr>
        <w:t>城乡</w:t>
      </w:r>
      <w:r>
        <w:rPr>
          <w:rFonts w:hint="eastAsia" w:ascii="宋体" w:hAnsi="宋体" w:eastAsia="仿宋_GB2312" w:cs="仿宋_GB2312"/>
          <w:sz w:val="32"/>
          <w:highlight w:val="none"/>
          <w:lang w:val="en-US" w:eastAsia="zh-CN"/>
        </w:rPr>
        <w:t>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理资金需求落实生活垃圾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理经费，并纳入本级政府财政预算。</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城镇居住地区的</w:t>
      </w:r>
      <w:r>
        <w:rPr>
          <w:rFonts w:hint="eastAsia" w:ascii="宋体" w:hAnsi="宋体" w:eastAsia="仿宋_GB2312" w:cs="仿宋_GB2312"/>
          <w:sz w:val="32"/>
          <w:highlight w:val="none"/>
          <w:lang w:val="en-US" w:eastAsia="zh-CN"/>
        </w:rPr>
        <w:t>单位</w:t>
      </w:r>
      <w:r>
        <w:rPr>
          <w:rFonts w:hint="eastAsia" w:ascii="宋体" w:hAnsi="宋体" w:eastAsia="仿宋_GB2312" w:cs="黑体"/>
          <w:sz w:val="32"/>
          <w:highlight w:val="none"/>
          <w:lang w:val="en-US" w:eastAsia="zh-CN"/>
        </w:rPr>
        <w:t>、家庭</w:t>
      </w:r>
      <w:r>
        <w:rPr>
          <w:rFonts w:hint="eastAsia" w:ascii="宋体" w:hAnsi="宋体" w:eastAsia="仿宋_GB2312" w:cs="仿宋_GB2312"/>
          <w:sz w:val="32"/>
          <w:highlight w:val="none"/>
          <w:lang w:val="en-US" w:eastAsia="zh-CN"/>
        </w:rPr>
        <w:t>和个人应当按照县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highlight w:val="none"/>
          <w:lang w:val="en-US" w:eastAsia="zh-CN"/>
        </w:rPr>
        <w:t>人民政府确定的收费标准缴纳生活垃圾处理费。</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lang w:val="en-US" w:eastAsia="zh-CN"/>
        </w:rPr>
      </w:pPr>
      <w:r>
        <w:rPr>
          <w:rFonts w:hint="eastAsia" w:ascii="宋体" w:hAnsi="宋体" w:eastAsia="仿宋_GB2312" w:cs="仿宋_GB2312"/>
          <w:i w:val="0"/>
          <w:iCs w:val="0"/>
          <w:sz w:val="32"/>
          <w:highlight w:val="none"/>
          <w:u w:val="none"/>
          <w:lang w:val="en-US" w:eastAsia="zh-CN"/>
        </w:rPr>
        <w:t>农村</w:t>
      </w:r>
      <w:r>
        <w:rPr>
          <w:rFonts w:hint="eastAsia" w:ascii="宋体" w:hAnsi="宋体" w:eastAsia="仿宋_GB2312" w:cs="黑体"/>
          <w:i w:val="0"/>
          <w:iCs w:val="0"/>
          <w:sz w:val="32"/>
          <w:highlight w:val="none"/>
          <w:u w:val="none"/>
          <w:lang w:val="en-US" w:eastAsia="zh-CN"/>
        </w:rPr>
        <w:t>居住</w:t>
      </w:r>
      <w:r>
        <w:rPr>
          <w:rFonts w:hint="eastAsia" w:ascii="宋体" w:hAnsi="宋体" w:eastAsia="仿宋_GB2312" w:cs="仿宋_GB2312"/>
          <w:i w:val="0"/>
          <w:iCs w:val="0"/>
          <w:sz w:val="32"/>
          <w:highlight w:val="none"/>
          <w:u w:val="none"/>
          <w:lang w:val="en-US" w:eastAsia="zh-CN"/>
        </w:rPr>
        <w:t>地区的生活垃圾处理费，可以通过个人缴纳、政府补贴、社会捐赠、村民委员会筹措等方式筹集。</w:t>
      </w:r>
      <w:r>
        <w:rPr>
          <w:rFonts w:hint="eastAsia" w:ascii="黑体" w:hAnsi="黑体" w:eastAsia="仿宋_GB2312" w:cs="黑体"/>
          <w:i w:val="0"/>
          <w:iCs w:val="0"/>
          <w:sz w:val="32"/>
          <w:highlight w:val="none"/>
          <w:u w:val="none"/>
          <w:lang w:val="en-US" w:eastAsia="zh-CN"/>
        </w:rPr>
        <w:t>地级以上市、县级人民政府负责</w:t>
      </w:r>
      <w:r>
        <w:rPr>
          <w:rFonts w:hint="eastAsia" w:ascii="黑体" w:hAnsi="黑体" w:cs="黑体"/>
          <w:i w:val="0"/>
          <w:iCs w:val="0"/>
          <w:sz w:val="32"/>
          <w:highlight w:val="none"/>
          <w:u w:val="none"/>
          <w:lang w:val="en-US" w:eastAsia="zh-CN"/>
        </w:rPr>
        <w:t>对</w:t>
      </w:r>
      <w:r>
        <w:rPr>
          <w:rFonts w:hint="eastAsia" w:ascii="黑体" w:hAnsi="黑体" w:eastAsia="仿宋_GB2312" w:cs="黑体"/>
          <w:i w:val="0"/>
          <w:iCs w:val="0"/>
          <w:sz w:val="32"/>
          <w:highlight w:val="none"/>
          <w:u w:val="none"/>
          <w:lang w:val="en-US" w:eastAsia="zh-CN"/>
        </w:rPr>
        <w:t>农村生活垃圾管理的经费保障。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生活垃圾处理费应当专项用于生活垃圾的</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等，不得挪作他用。</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四十二</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人民政府应当按照地域统筹、设施共享的原则，建立生活垃圾处理生态补偿机制，科学合理设置补偿原则</w:t>
      </w:r>
      <w:r>
        <w:rPr>
          <w:rFonts w:hint="eastAsia" w:ascii="宋体" w:hAnsi="宋体" w:eastAsia="仿宋_GB2312" w:cs="黑体"/>
          <w:sz w:val="32"/>
          <w:highlight w:val="none"/>
          <w:lang w:val="en-US" w:eastAsia="zh-CN"/>
        </w:rPr>
        <w:t>、补偿方式和</w:t>
      </w:r>
      <w:r>
        <w:rPr>
          <w:rFonts w:hint="eastAsia" w:ascii="宋体" w:hAnsi="宋体" w:eastAsia="仿宋_GB2312" w:cs="仿宋_GB2312"/>
          <w:sz w:val="32"/>
          <w:highlight w:val="none"/>
          <w:lang w:val="en-US" w:eastAsia="zh-CN"/>
        </w:rPr>
        <w:t>补偿标准。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生活垃圾处理生态补偿费主要用于生活垃圾处理设施周边地区环境</w:t>
      </w:r>
      <w:r>
        <w:rPr>
          <w:rFonts w:hint="eastAsia" w:ascii="宋体" w:hAnsi="宋体" w:eastAsia="仿宋_GB2312" w:cs="黑体"/>
          <w:sz w:val="32"/>
          <w:highlight w:val="none"/>
          <w:lang w:val="en-US" w:eastAsia="zh-CN"/>
        </w:rPr>
        <w:t>改善</w:t>
      </w:r>
      <w:r>
        <w:rPr>
          <w:rFonts w:hint="eastAsia" w:ascii="宋体" w:hAnsi="宋体" w:eastAsia="仿宋_GB2312" w:cs="仿宋_GB2312"/>
          <w:sz w:val="32"/>
          <w:highlight w:val="none"/>
          <w:lang w:val="en-US" w:eastAsia="zh-CN"/>
        </w:rPr>
        <w:t>、市政配套设施</w:t>
      </w:r>
      <w:r>
        <w:rPr>
          <w:rFonts w:hint="eastAsia" w:ascii="宋体" w:hAnsi="宋体" w:eastAsia="仿宋_GB2312" w:cs="黑体"/>
          <w:sz w:val="32"/>
          <w:highlight w:val="none"/>
          <w:lang w:val="en-US" w:eastAsia="zh-CN"/>
        </w:rPr>
        <w:t>和公共服务设施的</w:t>
      </w:r>
      <w:r>
        <w:rPr>
          <w:rFonts w:hint="eastAsia" w:ascii="宋体" w:hAnsi="宋体" w:eastAsia="仿宋_GB2312" w:cs="仿宋_GB2312"/>
          <w:sz w:val="32"/>
          <w:highlight w:val="none"/>
          <w:lang w:val="en-US" w:eastAsia="zh-CN"/>
        </w:rPr>
        <w:t>建设</w:t>
      </w:r>
      <w:r>
        <w:rPr>
          <w:rFonts w:hint="eastAsia" w:ascii="宋体" w:hAnsi="宋体" w:eastAsia="仿宋_GB2312" w:cs="黑体"/>
          <w:sz w:val="32"/>
          <w:highlight w:val="none"/>
          <w:lang w:val="en-US" w:eastAsia="zh-CN"/>
        </w:rPr>
        <w:t>与</w:t>
      </w:r>
      <w:r>
        <w:rPr>
          <w:rFonts w:hint="eastAsia" w:ascii="宋体" w:hAnsi="宋体" w:eastAsia="仿宋_GB2312" w:cs="仿宋_GB2312"/>
          <w:sz w:val="32"/>
          <w:highlight w:val="none"/>
          <w:lang w:val="en-US" w:eastAsia="zh-CN"/>
        </w:rPr>
        <w:t>维护</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黑体"/>
          <w:i w:val="0"/>
          <w:iCs w:val="0"/>
          <w:sz w:val="32"/>
          <w:highlight w:val="none"/>
          <w:u w:val="none"/>
          <w:lang w:val="en-US" w:eastAsia="zh-CN"/>
        </w:rPr>
        <w:t>扶持当地集体</w:t>
      </w:r>
      <w:r>
        <w:rPr>
          <w:rFonts w:hint="eastAsia" w:ascii="宋体" w:hAnsi="宋体" w:eastAsia="仿宋_GB2312" w:cs="仿宋_GB2312"/>
          <w:sz w:val="32"/>
          <w:highlight w:val="none"/>
          <w:lang w:val="en-US" w:eastAsia="zh-CN"/>
        </w:rPr>
        <w:t>经济发展等。</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第六章  监督管理</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省人民政府住房城乡建设主管部门应当建立健全城乡生活垃圾监督管理制度，对城乡生活垃圾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理情况进行监督检查。</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i w:val="0"/>
          <w:iCs w:val="0"/>
          <w:sz w:val="32"/>
          <w:highlight w:val="none"/>
          <w:u w:val="none"/>
          <w:lang w:val="en-US" w:eastAsia="zh-CN"/>
        </w:rPr>
        <w:t>地级以上</w:t>
      </w:r>
      <w:r>
        <w:rPr>
          <w:rFonts w:hint="eastAsia" w:ascii="宋体" w:hAnsi="宋体" w:eastAsia="仿宋_GB2312" w:cs="仿宋_GB2312"/>
          <w:i w:val="0"/>
          <w:iCs w:val="0"/>
          <w:sz w:val="32"/>
          <w:highlight w:val="none"/>
          <w:u w:val="none"/>
          <w:lang w:val="en-US" w:eastAsia="zh-CN"/>
        </w:rPr>
        <w:t>市、</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人民政府环境卫生主管部门应当结合生活垃圾管理责任目标和任务要求，对本行政区域内生活垃圾源头减量、投放、</w:t>
      </w:r>
      <w:r>
        <w:rPr>
          <w:rFonts w:hint="eastAsia" w:ascii="宋体" w:hAnsi="宋体" w:eastAsia="仿宋_GB2312" w:cs="仿宋_GB2312"/>
          <w:i w:val="0"/>
          <w:iCs w:val="0"/>
          <w:sz w:val="32"/>
          <w:highlight w:val="none"/>
          <w:u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情况进行监督检查。根据需要，可以向生活垃圾处理设施现场派驻监督员。</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乡镇人民政府、街道办事处应当组织村民委员会、居民委员会开展日常巡查。</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省人民政府住房城乡建设主管部门、地级以上市人民政府环境卫生主管部门应当根据国家技术标准，制定生活垃圾收集、运输和处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设施、场所建设运行规范。</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县级以上人民政府环境卫生主管部门可以委托专业机构、行业协会等对生活垃圾处理</w:t>
      </w:r>
      <w:r>
        <w:rPr>
          <w:rFonts w:hint="eastAsia" w:ascii="宋体" w:hAnsi="宋体" w:eastAsia="仿宋_GB2312" w:cs="黑体"/>
          <w:sz w:val="32"/>
          <w:highlight w:val="none"/>
          <w:lang w:val="en-US" w:eastAsia="zh-CN"/>
        </w:rPr>
        <w:t>的</w:t>
      </w:r>
      <w:r>
        <w:rPr>
          <w:rFonts w:hint="eastAsia" w:ascii="宋体" w:hAnsi="宋体" w:eastAsia="仿宋_GB2312" w:cs="仿宋_GB2312"/>
          <w:sz w:val="32"/>
          <w:highlight w:val="none"/>
          <w:lang w:val="en-US" w:eastAsia="zh-CN"/>
        </w:rPr>
        <w:t>数量、服务质量以及运营情况进行监管和评价。</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第四十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highlight w:val="none"/>
          <w:lang w:val="en-US" w:eastAsia="zh-CN"/>
        </w:rPr>
        <w:t>生态环境主管部门应当对生活垃圾集中转运、处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设施的污染物排放情况</w:t>
      </w:r>
      <w:r>
        <w:rPr>
          <w:rFonts w:hint="eastAsia" w:ascii="宋体" w:hAnsi="宋体" w:eastAsia="仿宋_GB2312" w:cs="黑体"/>
          <w:sz w:val="32"/>
          <w:highlight w:val="none"/>
          <w:lang w:val="en-US" w:eastAsia="zh-CN"/>
        </w:rPr>
        <w:t>开展</w:t>
      </w:r>
      <w:r>
        <w:rPr>
          <w:rFonts w:hint="eastAsia" w:ascii="宋体" w:hAnsi="宋体" w:eastAsia="仿宋_GB2312" w:cs="仿宋_GB2312"/>
          <w:sz w:val="32"/>
          <w:highlight w:val="none"/>
          <w:lang w:val="en-US" w:eastAsia="zh-CN"/>
        </w:rPr>
        <w:t>监测，并依法公开监测信息。</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四十</w:t>
      </w:r>
      <w:r>
        <w:rPr>
          <w:rFonts w:hint="eastAsia" w:ascii="宋体" w:hAnsi="宋体" w:eastAsia="黑体" w:cs="黑体"/>
          <w:sz w:val="32"/>
          <w:highlight w:val="none"/>
          <w:lang w:val="en-US" w:eastAsia="zh-CN"/>
        </w:rPr>
        <w:t>七</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地级以上</w:t>
      </w:r>
      <w:r>
        <w:rPr>
          <w:rFonts w:hint="eastAsia" w:ascii="宋体" w:hAnsi="宋体" w:eastAsia="仿宋_GB2312" w:cs="仿宋_GB2312"/>
          <w:sz w:val="32"/>
          <w:highlight w:val="none"/>
          <w:lang w:val="en-US" w:eastAsia="zh-CN"/>
        </w:rPr>
        <w:t>市</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人民政府应当建立生活垃圾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理信息公开制度，依法向社会公布生活垃圾源头减量、投放、</w:t>
      </w:r>
      <w:r>
        <w:rPr>
          <w:rFonts w:hint="eastAsia" w:ascii="宋体" w:hAnsi="宋体" w:eastAsia="仿宋_GB2312" w:cs="黑体"/>
          <w:sz w:val="32"/>
          <w:highlight w:val="none"/>
          <w:lang w:val="en-US" w:eastAsia="zh-CN"/>
        </w:rPr>
        <w:t>清扫、</w:t>
      </w:r>
      <w:r>
        <w:rPr>
          <w:rFonts w:hint="eastAsia" w:ascii="宋体" w:hAnsi="宋体" w:eastAsia="仿宋_GB2312" w:cs="仿宋_GB2312"/>
          <w:sz w:val="32"/>
          <w:highlight w:val="none"/>
          <w:lang w:val="en-US" w:eastAsia="zh-CN"/>
        </w:rPr>
        <w:t>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状况和生活垃圾处理费收支信息。</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生活垃圾处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单位应当向社会公开</w:t>
      </w:r>
      <w:r>
        <w:rPr>
          <w:rFonts w:hint="eastAsia" w:ascii="宋体" w:hAnsi="宋体" w:eastAsia="仿宋_GB2312" w:cs="黑体"/>
          <w:sz w:val="32"/>
          <w:highlight w:val="none"/>
          <w:lang w:val="en-US" w:eastAsia="zh-CN"/>
        </w:rPr>
        <w:t>本单位排放的</w:t>
      </w:r>
      <w:r>
        <w:rPr>
          <w:rFonts w:hint="eastAsia" w:ascii="宋体" w:hAnsi="宋体" w:eastAsia="仿宋_GB2312" w:cs="仿宋_GB2312"/>
          <w:sz w:val="32"/>
          <w:highlight w:val="none"/>
          <w:lang w:val="en-US" w:eastAsia="zh-CN"/>
        </w:rPr>
        <w:t>主要污染物名称、排放方式、排放浓度和总量、超标排放情况，以及生活垃圾处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设施的运行情况</w:t>
      </w:r>
      <w:r>
        <w:rPr>
          <w:rFonts w:hint="eastAsia" w:ascii="宋体" w:hAnsi="宋体" w:eastAsia="仿宋_GB2312" w:cs="仿宋_GB2312"/>
          <w:i w:val="0"/>
          <w:iCs w:val="0"/>
          <w:sz w:val="32"/>
          <w:highlight w:val="none"/>
          <w:u w:val="none"/>
          <w:lang w:val="en-US" w:eastAsia="zh-CN"/>
        </w:rPr>
        <w:t>、环境监测数据等，</w:t>
      </w:r>
      <w:r>
        <w:rPr>
          <w:rFonts w:hint="eastAsia" w:ascii="宋体" w:hAnsi="宋体" w:eastAsia="仿宋_GB2312" w:cs="仿宋_GB2312"/>
          <w:sz w:val="32"/>
          <w:highlight w:val="none"/>
          <w:lang w:val="en-US" w:eastAsia="zh-CN"/>
        </w:rPr>
        <w:t>接受政府监管和社会监督。</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四十</w:t>
      </w:r>
      <w:r>
        <w:rPr>
          <w:rFonts w:hint="eastAsia" w:ascii="宋体" w:hAnsi="宋体" w:eastAsia="黑体" w:cs="黑体"/>
          <w:i w:val="0"/>
          <w:iCs w:val="0"/>
          <w:sz w:val="32"/>
          <w:highlight w:val="none"/>
          <w:u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鼓励单位和个人举报生活垃圾收集、运输、处</w:t>
      </w:r>
      <w:r>
        <w:rPr>
          <w:rFonts w:hint="eastAsia" w:ascii="宋体" w:hAnsi="宋体" w:eastAsia="仿宋_GB2312" w:cs="黑体"/>
          <w:sz w:val="32"/>
          <w:highlight w:val="none"/>
          <w:lang w:val="en-US" w:eastAsia="zh-CN"/>
        </w:rPr>
        <w:t>理</w:t>
      </w:r>
      <w:r>
        <w:rPr>
          <w:rFonts w:hint="eastAsia" w:ascii="宋体" w:hAnsi="宋体" w:eastAsia="仿宋_GB2312" w:cs="仿宋_GB2312"/>
          <w:sz w:val="32"/>
          <w:highlight w:val="none"/>
          <w:lang w:val="en-US" w:eastAsia="zh-CN"/>
        </w:rPr>
        <w:t>设施的建设、运营和污染排放中的违法行为，监管单位应当依法受理和查处，并公布查处结果。</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仿宋_GB2312"/>
          <w:sz w:val="32"/>
          <w:highlight w:val="none"/>
          <w:lang w:val="en-US" w:eastAsia="zh-CN"/>
        </w:rPr>
        <w:t>监管单位对举报的违法行为进行查实并依法处理后，可以根据举报人的贡献大小，给予相应奖励。</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四十九</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黑体"/>
          <w:sz w:val="32"/>
          <w:highlight w:val="none"/>
          <w:lang w:val="en-US" w:eastAsia="zh-CN"/>
        </w:rPr>
        <w:t>任何单位和个人都应当</w:t>
      </w:r>
      <w:r>
        <w:rPr>
          <w:rFonts w:hint="eastAsia" w:ascii="宋体" w:hAnsi="宋体" w:eastAsia="仿宋_GB2312" w:cs="仿宋_GB2312"/>
          <w:sz w:val="32"/>
          <w:highlight w:val="none"/>
          <w:lang w:val="en-US" w:eastAsia="zh-CN"/>
        </w:rPr>
        <w:t>尊重</w:t>
      </w:r>
      <w:r>
        <w:rPr>
          <w:rFonts w:hint="eastAsia" w:ascii="宋体" w:hAnsi="宋体" w:eastAsia="仿宋_GB2312" w:cs="仿宋_GB2312"/>
          <w:i w:val="0"/>
          <w:iCs w:val="0"/>
          <w:sz w:val="32"/>
          <w:highlight w:val="none"/>
          <w:u w:val="none"/>
          <w:lang w:val="en-US" w:eastAsia="zh-CN"/>
        </w:rPr>
        <w:t>环</w:t>
      </w:r>
      <w:r>
        <w:rPr>
          <w:rFonts w:hint="eastAsia" w:ascii="宋体" w:hAnsi="宋体" w:eastAsia="仿宋_GB2312" w:cs="黑体"/>
          <w:i w:val="0"/>
          <w:iCs w:val="0"/>
          <w:sz w:val="32"/>
          <w:highlight w:val="none"/>
          <w:u w:val="none"/>
          <w:lang w:val="en-US" w:eastAsia="zh-CN"/>
        </w:rPr>
        <w:t>境</w:t>
      </w:r>
      <w:r>
        <w:rPr>
          <w:rFonts w:hint="eastAsia" w:ascii="宋体" w:hAnsi="宋体" w:eastAsia="仿宋_GB2312" w:cs="仿宋_GB2312"/>
          <w:i w:val="0"/>
          <w:iCs w:val="0"/>
          <w:sz w:val="32"/>
          <w:highlight w:val="none"/>
          <w:u w:val="none"/>
          <w:lang w:val="en-US" w:eastAsia="zh-CN"/>
        </w:rPr>
        <w:t>卫</w:t>
      </w:r>
      <w:r>
        <w:rPr>
          <w:rFonts w:hint="eastAsia" w:ascii="宋体" w:hAnsi="宋体" w:eastAsia="仿宋_GB2312" w:cs="黑体"/>
          <w:i w:val="0"/>
          <w:iCs w:val="0"/>
          <w:sz w:val="32"/>
          <w:highlight w:val="none"/>
          <w:u w:val="none"/>
          <w:lang w:val="en-US" w:eastAsia="zh-CN"/>
        </w:rPr>
        <w:t>生</w:t>
      </w:r>
      <w:r>
        <w:rPr>
          <w:rFonts w:hint="eastAsia" w:ascii="宋体" w:hAnsi="宋体" w:eastAsia="仿宋_GB2312" w:cs="仿宋_GB2312"/>
          <w:i w:val="0"/>
          <w:iCs w:val="0"/>
          <w:sz w:val="32"/>
          <w:highlight w:val="none"/>
          <w:u w:val="none"/>
          <w:lang w:val="en-US" w:eastAsia="zh-CN"/>
        </w:rPr>
        <w:t>工</w:t>
      </w:r>
      <w:r>
        <w:rPr>
          <w:rFonts w:hint="eastAsia" w:ascii="宋体" w:hAnsi="宋体" w:eastAsia="仿宋_GB2312" w:cs="黑体"/>
          <w:sz w:val="32"/>
          <w:highlight w:val="none"/>
          <w:lang w:val="en-US" w:eastAsia="zh-CN"/>
        </w:rPr>
        <w:t>作</w:t>
      </w:r>
      <w:r>
        <w:rPr>
          <w:rFonts w:hint="eastAsia" w:ascii="宋体" w:hAnsi="宋体" w:eastAsia="仿宋_GB2312" w:cs="仿宋_GB2312"/>
          <w:i w:val="0"/>
          <w:iCs w:val="0"/>
          <w:sz w:val="32"/>
          <w:highlight w:val="none"/>
          <w:u w:val="none"/>
          <w:lang w:val="en-US" w:eastAsia="zh-CN"/>
        </w:rPr>
        <w:t>人</w:t>
      </w:r>
      <w:r>
        <w:rPr>
          <w:rFonts w:hint="eastAsia" w:ascii="宋体" w:hAnsi="宋体" w:eastAsia="仿宋_GB2312" w:cs="黑体"/>
          <w:sz w:val="32"/>
          <w:highlight w:val="none"/>
          <w:lang w:val="en-US" w:eastAsia="zh-CN"/>
        </w:rPr>
        <w:t>员</w:t>
      </w:r>
      <w:r>
        <w:rPr>
          <w:rFonts w:hint="eastAsia" w:ascii="宋体" w:hAnsi="宋体" w:eastAsia="仿宋_GB2312" w:cs="仿宋_GB2312"/>
          <w:sz w:val="32"/>
          <w:highlight w:val="none"/>
          <w:lang w:val="en-US" w:eastAsia="zh-CN"/>
        </w:rPr>
        <w:t>及其劳动成果，</w:t>
      </w:r>
      <w:r>
        <w:rPr>
          <w:rFonts w:hint="eastAsia" w:ascii="宋体" w:hAnsi="宋体" w:eastAsia="仿宋_GB2312" w:cs="黑体"/>
          <w:sz w:val="32"/>
          <w:highlight w:val="none"/>
          <w:lang w:val="en-US" w:eastAsia="zh-CN"/>
        </w:rPr>
        <w:t>不得妨碍、阻挠其履行职责。</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县级以上人民政府应当结合实际情况，</w:t>
      </w:r>
      <w:r>
        <w:rPr>
          <w:rFonts w:hint="eastAsia" w:ascii="宋体" w:hAnsi="宋体" w:eastAsia="仿宋_GB2312" w:cs="仿宋_GB2312"/>
          <w:sz w:val="32"/>
          <w:highlight w:val="none"/>
          <w:lang w:val="en-US" w:eastAsia="zh-CN"/>
        </w:rPr>
        <w:t>改善</w:t>
      </w:r>
      <w:r>
        <w:rPr>
          <w:rFonts w:hint="eastAsia" w:ascii="宋体" w:hAnsi="宋体" w:eastAsia="仿宋_GB2312" w:cs="仿宋_GB2312"/>
          <w:i w:val="0"/>
          <w:iCs w:val="0"/>
          <w:sz w:val="32"/>
          <w:highlight w:val="none"/>
          <w:u w:val="none"/>
          <w:lang w:val="en-US" w:eastAsia="zh-CN"/>
        </w:rPr>
        <w:t>环</w:t>
      </w:r>
      <w:r>
        <w:rPr>
          <w:rFonts w:hint="eastAsia" w:ascii="宋体" w:hAnsi="宋体" w:eastAsia="仿宋_GB2312" w:cs="黑体"/>
          <w:i w:val="0"/>
          <w:iCs w:val="0"/>
          <w:sz w:val="32"/>
          <w:highlight w:val="none"/>
          <w:u w:val="none"/>
          <w:lang w:val="en-US" w:eastAsia="zh-CN"/>
        </w:rPr>
        <w:t>境</w:t>
      </w:r>
      <w:r>
        <w:rPr>
          <w:rFonts w:hint="eastAsia" w:ascii="宋体" w:hAnsi="宋体" w:eastAsia="仿宋_GB2312" w:cs="仿宋_GB2312"/>
          <w:i w:val="0"/>
          <w:iCs w:val="0"/>
          <w:sz w:val="32"/>
          <w:highlight w:val="none"/>
          <w:u w:val="none"/>
          <w:lang w:val="en-US" w:eastAsia="zh-CN"/>
        </w:rPr>
        <w:t>卫</w:t>
      </w:r>
      <w:r>
        <w:rPr>
          <w:rFonts w:hint="eastAsia" w:ascii="宋体" w:hAnsi="宋体" w:eastAsia="仿宋_GB2312" w:cs="黑体"/>
          <w:i w:val="0"/>
          <w:iCs w:val="0"/>
          <w:sz w:val="32"/>
          <w:highlight w:val="none"/>
          <w:u w:val="none"/>
          <w:lang w:val="en-US" w:eastAsia="zh-CN"/>
        </w:rPr>
        <w:t>生</w:t>
      </w:r>
      <w:r>
        <w:rPr>
          <w:rFonts w:hint="eastAsia" w:ascii="宋体" w:hAnsi="宋体" w:eastAsia="仿宋_GB2312" w:cs="黑体"/>
          <w:sz w:val="32"/>
          <w:highlight w:val="none"/>
          <w:lang w:val="en-US" w:eastAsia="zh-CN"/>
        </w:rPr>
        <w:t>工作人员</w:t>
      </w:r>
      <w:r>
        <w:rPr>
          <w:rFonts w:hint="eastAsia" w:ascii="宋体" w:hAnsi="宋体" w:eastAsia="仿宋_GB2312" w:cs="仿宋_GB2312"/>
          <w:sz w:val="32"/>
          <w:highlight w:val="none"/>
          <w:lang w:val="en-US" w:eastAsia="zh-CN"/>
        </w:rPr>
        <w:t>工作条件，保障作业安全，逐步提高劳动报酬和福利待遇，做好卫生保障和技能培训，维护合法权益。</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五十</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环境卫生行业协会应当加强行业自律，开展企业信用评价、行业技术指导和技术培训</w:t>
      </w:r>
      <w:r>
        <w:rPr>
          <w:rFonts w:hint="eastAsia" w:ascii="宋体" w:hAnsi="宋体" w:eastAsia="仿宋_GB2312" w:cs="黑体"/>
          <w:sz w:val="32"/>
          <w:highlight w:val="none"/>
          <w:lang w:val="en-US" w:eastAsia="zh-CN"/>
        </w:rPr>
        <w:t>，参与推进生活垃圾管理工作</w:t>
      </w:r>
      <w:r>
        <w:rPr>
          <w:rFonts w:hint="eastAsia" w:ascii="宋体" w:hAnsi="宋体" w:eastAsia="仿宋_GB2312" w:cs="仿宋_GB2312"/>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第七章  法律责任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五十一</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仿宋_GB2312"/>
          <w:i w:val="0"/>
          <w:iCs w:val="0"/>
          <w:sz w:val="32"/>
          <w:highlight w:val="none"/>
          <w:u w:val="none"/>
          <w:lang w:val="en-US" w:eastAsia="zh-CN"/>
        </w:rPr>
        <w:t>各</w:t>
      </w:r>
      <w:r>
        <w:rPr>
          <w:rFonts w:hint="eastAsia" w:ascii="宋体" w:hAnsi="宋体" w:eastAsia="仿宋_GB2312" w:cs="黑体"/>
          <w:sz w:val="32"/>
          <w:highlight w:val="none"/>
          <w:lang w:val="en-US" w:eastAsia="zh-CN"/>
        </w:rPr>
        <w:t>级</w:t>
      </w:r>
      <w:r>
        <w:rPr>
          <w:rFonts w:hint="eastAsia" w:ascii="宋体" w:hAnsi="宋体" w:eastAsia="仿宋_GB2312" w:cs="仿宋_GB2312"/>
          <w:sz w:val="32"/>
          <w:highlight w:val="none"/>
          <w:lang w:val="en-US" w:eastAsia="zh-CN"/>
        </w:rPr>
        <w:t>人民政府违反本条例规定，未履行生活垃圾</w:t>
      </w:r>
      <w:r>
        <w:rPr>
          <w:rFonts w:hint="eastAsia" w:ascii="宋体" w:hAnsi="宋体" w:eastAsia="仿宋_GB2312" w:cs="黑体"/>
          <w:sz w:val="32"/>
          <w:highlight w:val="none"/>
          <w:lang w:val="en-US" w:eastAsia="zh-CN"/>
        </w:rPr>
        <w:t>管</w:t>
      </w:r>
      <w:r>
        <w:rPr>
          <w:rFonts w:hint="eastAsia" w:ascii="宋体" w:hAnsi="宋体" w:eastAsia="仿宋_GB2312" w:cs="仿宋_GB2312"/>
          <w:sz w:val="32"/>
          <w:highlight w:val="none"/>
          <w:lang w:val="en-US" w:eastAsia="zh-CN"/>
        </w:rPr>
        <w:t>理职责的，由上级人民政府追究主要负责人行政责任。</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黑体"/>
          <w:sz w:val="32"/>
          <w:highlight w:val="none"/>
          <w:lang w:val="en-US" w:eastAsia="zh-CN"/>
        </w:rPr>
        <w:t>五十二</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仿宋_GB2312"/>
          <w:i w:val="0"/>
          <w:iCs w:val="0"/>
          <w:sz w:val="32"/>
          <w:highlight w:val="none"/>
          <w:u w:val="none"/>
          <w:lang w:val="en-US" w:eastAsia="zh-CN"/>
        </w:rPr>
        <w:t>省人民政府住房城乡建设主管部门和</w:t>
      </w:r>
      <w:r>
        <w:rPr>
          <w:rFonts w:hint="eastAsia" w:ascii="宋体" w:hAnsi="宋体" w:eastAsia="仿宋_GB2312" w:cs="仿宋_GB2312"/>
          <w:sz w:val="32"/>
          <w:highlight w:val="none"/>
          <w:lang w:val="en-US" w:eastAsia="zh-CN"/>
        </w:rPr>
        <w:t>县</w:t>
      </w:r>
      <w:r>
        <w:rPr>
          <w:rFonts w:hint="eastAsia" w:ascii="宋体" w:hAnsi="宋体" w:eastAsia="仿宋_GB2312" w:cs="黑体"/>
          <w:sz w:val="32"/>
          <w:highlight w:val="none"/>
          <w:lang w:val="en-US" w:eastAsia="zh-CN"/>
        </w:rPr>
        <w:t>级</w:t>
      </w:r>
      <w:r>
        <w:rPr>
          <w:rFonts w:hint="eastAsia" w:ascii="宋体" w:hAnsi="宋体" w:eastAsia="仿宋_GB2312" w:cs="黑体"/>
          <w:i w:val="0"/>
          <w:iCs w:val="0"/>
          <w:sz w:val="32"/>
          <w:highlight w:val="none"/>
          <w:u w:val="none"/>
          <w:lang w:val="en-US" w:eastAsia="zh-CN"/>
        </w:rPr>
        <w:t>以上</w:t>
      </w:r>
      <w:r>
        <w:rPr>
          <w:rFonts w:hint="eastAsia" w:ascii="宋体" w:hAnsi="宋体" w:eastAsia="仿宋_GB2312" w:cs="仿宋_GB2312"/>
          <w:sz w:val="32"/>
          <w:highlight w:val="none"/>
          <w:lang w:val="en-US" w:eastAsia="zh-CN"/>
        </w:rPr>
        <w:t>人民政府环境卫生</w:t>
      </w:r>
      <w:r>
        <w:rPr>
          <w:rFonts w:hint="eastAsia" w:ascii="宋体" w:hAnsi="宋体" w:eastAsia="仿宋_GB2312" w:cs="黑体"/>
          <w:sz w:val="32"/>
          <w:highlight w:val="none"/>
          <w:lang w:val="en-US" w:eastAsia="zh-CN"/>
        </w:rPr>
        <w:t>、农业农村等</w:t>
      </w:r>
      <w:r>
        <w:rPr>
          <w:rFonts w:hint="eastAsia" w:ascii="宋体" w:hAnsi="宋体" w:eastAsia="仿宋_GB2312" w:cs="仿宋_GB2312"/>
          <w:sz w:val="32"/>
          <w:highlight w:val="none"/>
          <w:lang w:val="en-US" w:eastAsia="zh-CN"/>
        </w:rPr>
        <w:t>主管部门</w:t>
      </w:r>
      <w:r>
        <w:rPr>
          <w:rFonts w:hint="eastAsia" w:ascii="宋体" w:hAnsi="宋体" w:eastAsia="仿宋_GB2312" w:cs="仿宋_GB2312"/>
          <w:i w:val="0"/>
          <w:iCs w:val="0"/>
          <w:sz w:val="32"/>
          <w:highlight w:val="none"/>
          <w:u w:val="none"/>
          <w:lang w:val="en-US" w:eastAsia="zh-CN"/>
        </w:rPr>
        <w:t>及</w:t>
      </w:r>
      <w:r>
        <w:rPr>
          <w:rFonts w:hint="eastAsia" w:ascii="宋体" w:hAnsi="宋体" w:eastAsia="仿宋_GB2312" w:cs="仿宋_GB2312"/>
          <w:sz w:val="32"/>
          <w:highlight w:val="none"/>
          <w:lang w:val="en-US" w:eastAsia="zh-CN"/>
        </w:rPr>
        <w:t>其</w:t>
      </w:r>
      <w:r>
        <w:rPr>
          <w:rFonts w:hint="eastAsia" w:ascii="宋体" w:hAnsi="宋体" w:eastAsia="仿宋_GB2312" w:cs="黑体"/>
          <w:sz w:val="32"/>
          <w:highlight w:val="none"/>
          <w:lang w:val="en-US" w:eastAsia="zh-CN"/>
        </w:rPr>
        <w:t>工作人员</w:t>
      </w:r>
      <w:r>
        <w:rPr>
          <w:rFonts w:hint="eastAsia" w:ascii="宋体" w:hAnsi="宋体" w:eastAsia="仿宋_GB2312" w:cs="仿宋_GB2312"/>
          <w:sz w:val="32"/>
          <w:highlight w:val="none"/>
          <w:lang w:val="en-US" w:eastAsia="zh-CN"/>
        </w:rPr>
        <w:t>违反本条例规定，</w:t>
      </w:r>
      <w:r>
        <w:rPr>
          <w:rFonts w:hint="eastAsia" w:ascii="宋体" w:hAnsi="宋体" w:eastAsia="仿宋_GB2312" w:cs="黑体"/>
          <w:sz w:val="32"/>
          <w:highlight w:val="none"/>
          <w:lang w:val="en-US" w:eastAsia="zh-CN"/>
        </w:rPr>
        <w:t>有下列情形之一</w:t>
      </w:r>
      <w:r>
        <w:rPr>
          <w:rFonts w:hint="eastAsia" w:ascii="宋体" w:hAnsi="宋体" w:eastAsia="仿宋_GB2312" w:cs="仿宋_GB2312"/>
          <w:i w:val="0"/>
          <w:iCs w:val="0"/>
          <w:sz w:val="32"/>
          <w:highlight w:val="none"/>
          <w:u w:val="none"/>
          <w:lang w:val="en-US" w:eastAsia="zh-CN"/>
        </w:rPr>
        <w:t>，</w:t>
      </w:r>
      <w:r>
        <w:rPr>
          <w:rFonts w:hint="eastAsia" w:ascii="宋体" w:hAnsi="宋体" w:eastAsia="仿宋_GB2312" w:cs="仿宋_GB2312"/>
          <w:sz w:val="32"/>
          <w:highlight w:val="none"/>
          <w:lang w:val="en-US" w:eastAsia="zh-CN"/>
        </w:rPr>
        <w:t>由本级人民政府或者上级人民政府有关部门责令改正，对直接负责的主管人员和其他直接责任人员依法给予处分</w:t>
      </w:r>
      <w:r>
        <w:rPr>
          <w:rFonts w:hint="eastAsia" w:ascii="宋体" w:hAnsi="宋体" w:eastAsia="仿宋_GB2312" w:cs="仿宋_GB2312"/>
          <w:i w:val="0"/>
          <w:iCs w:val="0"/>
          <w:sz w:val="32"/>
          <w:highlight w:val="none"/>
          <w:u w:val="none"/>
          <w:lang w:val="en-US" w:eastAsia="zh-CN"/>
        </w:rPr>
        <w:t>；构成犯罪的，依法追究刑事责任</w:t>
      </w:r>
      <w:r>
        <w:rPr>
          <w:rFonts w:hint="eastAsia" w:ascii="宋体" w:hAnsi="宋体" w:eastAsia="仿宋_GB2312" w:cs="黑体"/>
          <w:sz w:val="32"/>
          <w:highlight w:val="none"/>
          <w:lang w:val="en-US" w:eastAsia="zh-CN"/>
        </w:rPr>
        <w:t>：</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（一）违反规定核准关闭、闲置、拆除生活垃圾集中转运、处理设施</w:t>
      </w:r>
      <w:r>
        <w:rPr>
          <w:rFonts w:hint="eastAsia" w:ascii="宋体" w:hAnsi="宋体" w:cs="黑体"/>
          <w:sz w:val="32"/>
          <w:highlight w:val="none"/>
          <w:lang w:val="en-US" w:eastAsia="zh-CN"/>
        </w:rPr>
        <w:t>、场所</w:t>
      </w:r>
      <w:r>
        <w:rPr>
          <w:rFonts w:hint="eastAsia" w:ascii="宋体" w:hAnsi="宋体" w:eastAsia="仿宋_GB2312" w:cs="黑体"/>
          <w:sz w:val="32"/>
          <w:highlight w:val="none"/>
          <w:lang w:val="en-US" w:eastAsia="zh-CN"/>
        </w:rPr>
        <w:t>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（二）挪用生活垃圾管理经费或者生活垃圾处理费的；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highlight w:val="none"/>
          <w:lang w:val="en-US" w:eastAsia="zh-CN"/>
        </w:rPr>
      </w:pPr>
      <w:r>
        <w:rPr>
          <w:rFonts w:hint="eastAsia" w:ascii="宋体" w:hAnsi="宋体" w:eastAsia="仿宋_GB2312" w:cs="黑体"/>
          <w:sz w:val="32"/>
          <w:highlight w:val="none"/>
          <w:lang w:val="en-US" w:eastAsia="zh-CN"/>
        </w:rPr>
        <w:t>（三）因监管不力造成影响公众健康和重大环境安全事故发生的；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r>
        <w:rPr>
          <w:rFonts w:hint="eastAsia" w:ascii="宋体" w:hAnsi="宋体" w:eastAsia="仿宋_GB2312" w:cs="黑体"/>
          <w:sz w:val="32"/>
          <w:highlight w:val="none"/>
          <w:lang w:val="en-US" w:eastAsia="zh-CN"/>
        </w:rPr>
        <w:t>（四）其他滥用职权、玩忽职守、徇私舞弊的。</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三</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二十条第一款、第二十三条第一款规定，未按照分类规定投放生活垃圾，或者未按规定投放体积较大的废弃物品的，由县级以上人民政府环境卫生主管部门责令改正；情节严重的，对单位处五万元以上五十万元以下的罚款，对个人处一百元以上五百元以下的罚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四</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违反本条例第二十五条规定，生活垃圾分类</w:t>
      </w:r>
      <w:r>
        <w:rPr>
          <w:rFonts w:hint="eastAsia" w:ascii="黑体" w:hAnsi="黑体" w:eastAsia="仿宋_GB2312" w:cs="黑体"/>
          <w:sz w:val="32"/>
          <w:szCs w:val="22"/>
          <w:highlight w:val="none"/>
          <w:lang w:val="en-US" w:eastAsia="zh-CN"/>
        </w:rPr>
        <w:t>投放</w:t>
      </w:r>
      <w:r>
        <w:rPr>
          <w:rFonts w:hint="eastAsia" w:ascii="宋体" w:hAnsi="宋体" w:eastAsia="仿宋_GB2312" w:cs="仿宋_GB2312"/>
          <w:sz w:val="32"/>
          <w:szCs w:val="22"/>
          <w:highlight w:val="none"/>
          <w:lang w:val="en-US" w:eastAsia="zh-CN"/>
        </w:rPr>
        <w:t>管理责任人未履行管理责任的</w:t>
      </w:r>
      <w:r>
        <w:rPr>
          <w:rFonts w:hint="eastAsia" w:ascii="宋体" w:hAnsi="宋体" w:eastAsia="仿宋_GB2312" w:cs="仿宋_GB2312"/>
          <w:sz w:val="32"/>
          <w:highlight w:val="none"/>
          <w:lang w:val="en-US" w:eastAsia="zh-CN"/>
        </w:rPr>
        <w:t>，由县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highlight w:val="none"/>
          <w:lang w:val="en-US" w:eastAsia="zh-CN"/>
        </w:rPr>
        <w:t>人民政府环境卫生主管部门责令限期改正；逾期不改正的，处一千元以上一万元以下的罚款。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五</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二十八条第一款第三项、第五项规定，在运输过程中丢弃、遗撒生活垃圾或者滴漏污水，或者混合收集、运输已分类的生活垃圾的，由县级以上人民政府环境卫生主管部门责令改正，处五万元以上五十万元以下的罚款。</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szCs w:val="22"/>
          <w:highlight w:val="none"/>
          <w:lang w:val="en-US" w:eastAsia="zh-CN"/>
        </w:rPr>
      </w:pPr>
      <w:r>
        <w:rPr>
          <w:rFonts w:hint="eastAsia" w:ascii="宋体" w:hAnsi="宋体" w:eastAsia="黑体" w:cs="仿宋_GB2312"/>
          <w:sz w:val="32"/>
          <w:highlight w:val="none"/>
          <w:lang w:val="en-US" w:eastAsia="zh-CN"/>
        </w:rPr>
        <w:t>第五十</w:t>
      </w:r>
      <w:r>
        <w:rPr>
          <w:rFonts w:hint="eastAsia" w:ascii="宋体" w:hAnsi="宋体" w:eastAsia="黑体" w:cs="黑体"/>
          <w:sz w:val="32"/>
          <w:highlight w:val="none"/>
          <w:lang w:val="en-US" w:eastAsia="zh-CN"/>
        </w:rPr>
        <w:t>六</w:t>
      </w:r>
      <w:r>
        <w:rPr>
          <w:rFonts w:hint="eastAsia" w:ascii="宋体" w:hAnsi="宋体" w:eastAsia="黑体" w:cs="仿宋_GB2312"/>
          <w:sz w:val="32"/>
          <w:highlight w:val="none"/>
          <w:lang w:val="en-US" w:eastAsia="zh-CN"/>
        </w:rPr>
        <w:t>条</w:t>
      </w:r>
      <w:r>
        <w:rPr>
          <w:rFonts w:hint="eastAsia" w:ascii="宋体" w:hAnsi="宋体" w:eastAsia="仿宋_GB2312" w:cs="仿宋_GB2312"/>
          <w:sz w:val="32"/>
          <w:szCs w:val="22"/>
          <w:highlight w:val="none"/>
          <w:lang w:val="en-US" w:eastAsia="zh-CN"/>
        </w:rPr>
        <w:t xml:space="preserve">  违反本条例第三十条第二项规定，生活垃圾处理单位未按照工程技术规范、操作规程、污染控制标准处理生活垃圾或者产生的废水、废气、废渣等的，由县级以上人民政府环境卫生、生态环境等有关部门根据职责分工，责令限期改正，处三万元以上十万元以下的罚款。法律法规有处罚规定的，按照其规定处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黑体"/>
          <w:sz w:val="32"/>
          <w:szCs w:val="22"/>
          <w:highlight w:val="none"/>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五十</w:t>
      </w:r>
      <w:r>
        <w:rPr>
          <w:rFonts w:hint="eastAsia" w:ascii="宋体" w:hAnsi="宋体" w:eastAsia="黑体" w:cs="黑体"/>
          <w:sz w:val="32"/>
          <w:highlight w:val="none"/>
          <w:lang w:val="en-US" w:eastAsia="zh-CN"/>
        </w:rPr>
        <w:t>七</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w:t>
      </w:r>
      <w:r>
        <w:rPr>
          <w:rFonts w:hint="eastAsia" w:ascii="宋体" w:hAnsi="宋体" w:eastAsia="仿宋_GB2312" w:cs="仿宋_GB2312"/>
          <w:sz w:val="32"/>
          <w:szCs w:val="22"/>
          <w:highlight w:val="none"/>
          <w:lang w:val="en-US" w:eastAsia="zh-CN"/>
        </w:rPr>
        <w:t xml:space="preserve"> 违反本条例第三十八条规定，新建、改建、扩建建设项目的配套生活垃圾分类</w:t>
      </w:r>
      <w:r>
        <w:rPr>
          <w:rFonts w:hint="eastAsia" w:ascii="宋体" w:hAnsi="宋体" w:cs="仿宋_GB2312"/>
          <w:sz w:val="32"/>
          <w:szCs w:val="22"/>
          <w:highlight w:val="none"/>
          <w:lang w:val="en-US" w:eastAsia="zh-CN"/>
        </w:rPr>
        <w:t>投放</w:t>
      </w:r>
      <w:r>
        <w:rPr>
          <w:rFonts w:hint="eastAsia" w:ascii="宋体" w:hAnsi="宋体" w:eastAsia="仿宋_GB2312" w:cs="仿宋_GB2312"/>
          <w:sz w:val="32"/>
          <w:szCs w:val="22"/>
          <w:highlight w:val="none"/>
          <w:lang w:val="en-US" w:eastAsia="zh-CN"/>
        </w:rPr>
        <w:t>、收集、转运设施未达到规划设计要求，或者未与主体</w:t>
      </w:r>
      <w:r>
        <w:rPr>
          <w:rFonts w:hint="eastAsia" w:ascii="宋体" w:hAnsi="宋体" w:eastAsia="仿宋_GB2312" w:cs="仿宋_GB2312"/>
          <w:sz w:val="32"/>
          <w:highlight w:val="none"/>
          <w:lang w:val="en-US" w:eastAsia="zh-CN"/>
        </w:rPr>
        <w:t>工程</w:t>
      </w:r>
      <w:r>
        <w:rPr>
          <w:rFonts w:hint="eastAsia" w:ascii="宋体" w:hAnsi="宋体" w:eastAsia="仿宋_GB2312" w:cs="黑体"/>
          <w:sz w:val="32"/>
          <w:highlight w:val="none"/>
          <w:lang w:val="en-US" w:eastAsia="zh-CN"/>
        </w:rPr>
        <w:t>、首期工程</w:t>
      </w:r>
      <w:r>
        <w:rPr>
          <w:rFonts w:hint="eastAsia" w:ascii="宋体" w:hAnsi="宋体" w:eastAsia="仿宋_GB2312" w:cs="仿宋_GB2312"/>
          <w:sz w:val="32"/>
          <w:highlight w:val="none"/>
          <w:lang w:val="en-US" w:eastAsia="zh-CN"/>
        </w:rPr>
        <w:t>同时</w:t>
      </w:r>
      <w:r>
        <w:rPr>
          <w:rFonts w:hint="eastAsia" w:ascii="宋体" w:hAnsi="宋体" w:eastAsia="仿宋_GB2312" w:cs="仿宋_GB2312"/>
          <w:i w:val="0"/>
          <w:iCs w:val="0"/>
          <w:sz w:val="32"/>
          <w:highlight w:val="none"/>
          <w:u w:val="none"/>
          <w:lang w:val="en-US" w:eastAsia="zh-CN"/>
        </w:rPr>
        <w:t>交付</w:t>
      </w:r>
      <w:r>
        <w:rPr>
          <w:rFonts w:hint="eastAsia" w:ascii="宋体" w:hAnsi="宋体" w:eastAsia="仿宋_GB2312" w:cs="仿宋_GB2312"/>
          <w:sz w:val="32"/>
          <w:highlight w:val="none"/>
          <w:lang w:val="en-US" w:eastAsia="zh-CN"/>
        </w:rPr>
        <w:t>使用的，由县</w:t>
      </w:r>
      <w:r>
        <w:rPr>
          <w:rFonts w:hint="eastAsia" w:ascii="宋体" w:hAnsi="宋体" w:eastAsia="仿宋_GB2312" w:cs="黑体"/>
          <w:sz w:val="32"/>
          <w:highlight w:val="none"/>
          <w:lang w:val="en-US" w:eastAsia="zh-CN"/>
        </w:rPr>
        <w:t>级以上</w:t>
      </w:r>
      <w:r>
        <w:rPr>
          <w:rFonts w:hint="eastAsia" w:ascii="宋体" w:hAnsi="宋体" w:eastAsia="仿宋_GB2312" w:cs="仿宋_GB2312"/>
          <w:sz w:val="32"/>
          <w:szCs w:val="22"/>
          <w:highlight w:val="none"/>
          <w:lang w:val="en-US" w:eastAsia="zh-CN"/>
        </w:rPr>
        <w:t>人民政府</w:t>
      </w:r>
      <w:r>
        <w:rPr>
          <w:rFonts w:hint="eastAsia" w:ascii="宋体" w:hAnsi="宋体" w:eastAsia="仿宋_GB2312" w:cs="仿宋_GB2312"/>
          <w:sz w:val="32"/>
          <w:highlight w:val="none"/>
          <w:lang w:val="en-US" w:eastAsia="zh-CN"/>
        </w:rPr>
        <w:t>自然资源</w:t>
      </w:r>
      <w:r>
        <w:rPr>
          <w:rFonts w:hint="eastAsia" w:ascii="宋体" w:hAnsi="宋体" w:eastAsia="仿宋_GB2312" w:cs="黑体"/>
          <w:sz w:val="32"/>
          <w:highlight w:val="none"/>
          <w:lang w:val="en-US" w:eastAsia="zh-CN"/>
        </w:rPr>
        <w:t>、生态环境、环境卫生等有关</w:t>
      </w:r>
      <w:r>
        <w:rPr>
          <w:rFonts w:hint="eastAsia" w:ascii="宋体" w:hAnsi="宋体" w:eastAsia="仿宋_GB2312" w:cs="仿宋_GB2312"/>
          <w:sz w:val="32"/>
          <w:highlight w:val="none"/>
          <w:lang w:val="en-US" w:eastAsia="zh-CN"/>
        </w:rPr>
        <w:t>部门</w:t>
      </w:r>
      <w:r>
        <w:rPr>
          <w:rFonts w:hint="eastAsia" w:ascii="宋体" w:hAnsi="宋体" w:eastAsia="仿宋_GB2312" w:cs="黑体"/>
          <w:sz w:val="32"/>
          <w:highlight w:val="none"/>
          <w:lang w:val="en-US" w:eastAsia="zh-CN"/>
        </w:rPr>
        <w:t>根据职责分工，</w:t>
      </w:r>
      <w:r>
        <w:rPr>
          <w:rFonts w:hint="eastAsia" w:ascii="宋体" w:hAnsi="宋体" w:eastAsia="仿宋_GB2312" w:cs="仿宋_GB2312"/>
          <w:sz w:val="32"/>
          <w:highlight w:val="none"/>
          <w:lang w:val="en-US" w:eastAsia="zh-CN"/>
        </w:rPr>
        <w:t>责令限期改正，可以处三万元以上十万元以下的罚款。</w:t>
      </w:r>
      <w:r>
        <w:rPr>
          <w:rFonts w:hint="eastAsia" w:ascii="宋体" w:hAnsi="宋体" w:eastAsia="仿宋_GB2312" w:cs="黑体"/>
          <w:sz w:val="32"/>
          <w:szCs w:val="22"/>
          <w:highlight w:val="none"/>
          <w:lang w:val="en-US" w:eastAsia="zh-CN"/>
        </w:rPr>
        <w:t>法律法规有处罚规定的，按照其规定处罚。</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仿宋_GB2312" w:cs="仿宋_GB2312"/>
          <w:sz w:val="32"/>
          <w:highlight w:val="none"/>
          <w:lang w:val="en-US" w:eastAsia="zh-CN"/>
        </w:rPr>
      </w:pPr>
    </w:p>
    <w:p>
      <w:pPr>
        <w:widowControl w:val="0"/>
        <w:wordWrap/>
        <w:adjustRightInd w:val="0"/>
        <w:snapToGrid/>
        <w:spacing w:before="0" w:beforeLines="0" w:after="0" w:afterLines="0" w:line="590" w:lineRule="exact"/>
        <w:ind w:right="0"/>
        <w:jc w:val="center"/>
        <w:textAlignment w:val="auto"/>
        <w:outlineLvl w:val="9"/>
        <w:rPr>
          <w:rFonts w:hint="eastAsia" w:ascii="宋体" w:hAnsi="宋体" w:eastAsia="黑体" w:cs="仿宋_GB2312"/>
          <w:sz w:val="32"/>
          <w:highlight w:val="none"/>
          <w:lang w:val="en-US" w:eastAsia="zh-CN"/>
        </w:rPr>
      </w:pPr>
      <w:r>
        <w:rPr>
          <w:rFonts w:hint="eastAsia" w:ascii="宋体" w:hAnsi="宋体" w:eastAsia="黑体" w:cs="仿宋_GB2312"/>
          <w:sz w:val="32"/>
          <w:highlight w:val="none"/>
          <w:lang w:val="en-US" w:eastAsia="zh-CN"/>
        </w:rPr>
        <w:t>第八章  附 则</w:t>
      </w:r>
    </w:p>
    <w:p>
      <w:pPr>
        <w:widowControl w:val="0"/>
        <w:wordWrap/>
        <w:adjustRightInd w:val="0"/>
        <w:snapToGrid/>
        <w:spacing w:before="0" w:beforeLines="0" w:after="0" w:afterLines="0" w:line="590" w:lineRule="exact"/>
        <w:ind w:left="0" w:leftChars="0" w:right="0" w:firstLine="640" w:firstLineChars="200"/>
        <w:jc w:val="both"/>
        <w:textAlignment w:val="auto"/>
        <w:outlineLvl w:val="9"/>
        <w:rPr>
          <w:rFonts w:hint="eastAsia" w:ascii="宋体" w:hAnsi="宋体" w:eastAsia="黑体" w:cs="仿宋_GB2312"/>
          <w:sz w:val="32"/>
          <w:highlight w:val="none"/>
          <w:lang w:val="en-US" w:eastAsia="zh-CN"/>
        </w:rPr>
      </w:pPr>
    </w:p>
    <w:p>
      <w:pPr>
        <w:widowControl w:val="0"/>
        <w:wordWrap/>
        <w:adjustRightInd w:val="0"/>
        <w:snapToGrid/>
        <w:spacing w:before="0" w:beforeLines="0" w:after="0" w:afterLines="0" w:line="590" w:lineRule="exact"/>
        <w:ind w:left="0" w:leftChars="0" w:right="0" w:firstLine="640" w:firstLineChars="200"/>
        <w:jc w:val="left"/>
        <w:textAlignment w:val="auto"/>
        <w:outlineLvl w:val="9"/>
        <w:rPr>
          <w:rFonts w:hint="eastAsia" w:ascii="Times New Roman" w:hAnsi="Times New Roman" w:eastAsia="仿宋_GB2312" w:cs="Times New Roman"/>
          <w:sz w:val="32"/>
          <w:lang w:val="en-US" w:eastAsia="zh-CN"/>
        </w:rPr>
      </w:pPr>
      <w:r>
        <w:rPr>
          <w:rFonts w:hint="eastAsia" w:ascii="宋体" w:hAnsi="宋体" w:eastAsia="黑体" w:cs="仿宋_GB2312"/>
          <w:sz w:val="32"/>
          <w:highlight w:val="none"/>
          <w:lang w:val="en-US" w:eastAsia="zh-CN"/>
        </w:rPr>
        <w:t>第</w:t>
      </w:r>
      <w:r>
        <w:rPr>
          <w:rFonts w:hint="eastAsia" w:ascii="宋体" w:hAnsi="宋体" w:eastAsia="黑体" w:cs="仿宋_GB2312"/>
          <w:i w:val="0"/>
          <w:iCs w:val="0"/>
          <w:sz w:val="32"/>
          <w:highlight w:val="none"/>
          <w:u w:val="none"/>
          <w:lang w:val="en-US" w:eastAsia="zh-CN"/>
        </w:rPr>
        <w:t>五十</w:t>
      </w:r>
      <w:r>
        <w:rPr>
          <w:rFonts w:hint="eastAsia" w:ascii="宋体" w:hAnsi="宋体" w:eastAsia="黑体" w:cs="黑体"/>
          <w:sz w:val="32"/>
          <w:highlight w:val="none"/>
          <w:lang w:val="en-US" w:eastAsia="zh-CN"/>
        </w:rPr>
        <w:t>八</w:t>
      </w:r>
      <w:r>
        <w:rPr>
          <w:rFonts w:hint="eastAsia" w:ascii="宋体" w:hAnsi="宋体" w:eastAsia="黑体" w:cs="仿宋_GB2312"/>
          <w:sz w:val="32"/>
          <w:highlight w:val="none"/>
          <w:lang w:val="en-US" w:eastAsia="zh-CN"/>
        </w:rPr>
        <w:t>条</w:t>
      </w:r>
      <w:r>
        <w:rPr>
          <w:rFonts w:hint="eastAsia" w:ascii="宋体" w:hAnsi="宋体" w:eastAsia="仿宋_GB2312" w:cs="仿宋_GB2312"/>
          <w:sz w:val="32"/>
          <w:highlight w:val="none"/>
          <w:lang w:val="en-US" w:eastAsia="zh-CN"/>
        </w:rPr>
        <w:t xml:space="preserve">  本条例自</w:t>
      </w:r>
      <w:r>
        <w:rPr>
          <w:rFonts w:hint="eastAsia" w:ascii="宋体" w:hAnsi="宋体" w:eastAsia="仿宋_GB2312" w:cs="黑体"/>
          <w:sz w:val="32"/>
          <w:highlight w:val="none"/>
          <w:lang w:val="en-US" w:eastAsia="zh-CN"/>
        </w:rPr>
        <w:t>2021</w:t>
      </w:r>
      <w:r>
        <w:rPr>
          <w:rFonts w:hint="eastAsia" w:ascii="宋体" w:hAnsi="宋体" w:eastAsia="仿宋_GB2312" w:cs="仿宋_GB2312"/>
          <w:sz w:val="32"/>
          <w:highlight w:val="none"/>
          <w:lang w:val="en-US" w:eastAsia="zh-CN"/>
        </w:rPr>
        <w:t>年</w:t>
      </w:r>
      <w:r>
        <w:rPr>
          <w:rFonts w:hint="eastAsia" w:ascii="宋体" w:hAnsi="宋体" w:eastAsia="仿宋_GB2312" w:cs="黑体"/>
          <w:sz w:val="32"/>
          <w:szCs w:val="22"/>
          <w:highlight w:val="none"/>
          <w:lang w:val="en-US" w:eastAsia="zh-CN"/>
        </w:rPr>
        <w:t>1</w:t>
      </w:r>
      <w:r>
        <w:rPr>
          <w:rFonts w:hint="eastAsia" w:ascii="宋体" w:hAnsi="宋体" w:eastAsia="仿宋_GB2312" w:cs="仿宋_GB2312"/>
          <w:sz w:val="32"/>
          <w:highlight w:val="none"/>
          <w:lang w:val="en-US" w:eastAsia="zh-CN"/>
        </w:rPr>
        <w:t>月</w:t>
      </w:r>
      <w:r>
        <w:rPr>
          <w:rFonts w:hint="eastAsia" w:ascii="宋体" w:hAnsi="宋体" w:eastAsia="仿宋_GB2312" w:cs="黑体"/>
          <w:sz w:val="32"/>
          <w:szCs w:val="22"/>
          <w:highlight w:val="none"/>
          <w:lang w:val="en-US" w:eastAsia="zh-CN"/>
        </w:rPr>
        <w:t>1</w:t>
      </w:r>
      <w:r>
        <w:rPr>
          <w:rFonts w:hint="eastAsia" w:ascii="宋体" w:hAnsi="宋体" w:eastAsia="仿宋_GB2312" w:cs="仿宋_GB2312"/>
          <w:sz w:val="32"/>
          <w:highlight w:val="none"/>
          <w:lang w:val="en-US" w:eastAsia="zh-CN"/>
        </w:rPr>
        <w:t>日起施行。</w:t>
      </w:r>
      <w:r>
        <w:rPr>
          <w:rFonts w:hint="eastAsia" w:ascii="宋体" w:hAnsi="宋体" w:eastAsia="仿宋_GB2312" w:cs="黑体"/>
          <w:sz w:val="32"/>
          <w:highlight w:val="none"/>
          <w:lang w:val="en-US" w:eastAsia="zh-CN"/>
        </w:rPr>
        <w:t>《广东省城乡生活垃圾处理条例》同时废止。</w:t>
      </w: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pStyle w:val="7"/>
        <w:ind w:left="0" w:leftChars="0" w:firstLine="0" w:firstLineChars="0"/>
        <w:rPr>
          <w:rFonts w:hint="eastAsia" w:ascii="仿宋_GB2312" w:hAnsi="仿宋_GB2312" w:cs="仿宋_GB2312"/>
          <w:color w:val="auto"/>
          <w:lang w:val="en-US"/>
        </w:rPr>
      </w:pPr>
    </w:p>
    <w:p>
      <w:pPr>
        <w:rPr>
          <w:rFonts w:hint="eastAsia" w:ascii="仿宋_GB2312" w:hAnsi="仿宋_GB2312" w:cs="仿宋_GB2312"/>
          <w:color w:val="auto"/>
          <w:lang w:val="en-US"/>
        </w:rPr>
      </w:pPr>
    </w:p>
    <w:p>
      <w:pPr>
        <w:pStyle w:val="7"/>
        <w:rPr>
          <w:rFonts w:hint="eastAsia" w:ascii="仿宋_GB2312" w:hAnsi="仿宋_GB2312" w:cs="仿宋_GB2312"/>
          <w:color w:val="auto"/>
          <w:lang w:val="en-US"/>
        </w:rPr>
      </w:pPr>
    </w:p>
    <w:p>
      <w:pPr>
        <w:pStyle w:val="9"/>
        <w:widowControl w:val="0"/>
        <w:wordWrap/>
        <w:adjustRightInd w:val="0"/>
        <w:snapToGrid w:val="0"/>
        <w:spacing w:after="0" w:afterLines="0" w:line="590" w:lineRule="exact"/>
        <w:ind w:left="0" w:leftChars="0"/>
        <w:jc w:val="center"/>
        <w:textAlignment w:val="auto"/>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广东省查处生产销售假冒伪劣商品</w:t>
      </w:r>
    </w:p>
    <w:p>
      <w:pPr>
        <w:pStyle w:val="9"/>
        <w:widowControl w:val="0"/>
        <w:wordWrap/>
        <w:adjustRightInd w:val="0"/>
        <w:snapToGrid w:val="0"/>
        <w:spacing w:after="0" w:afterLines="0" w:line="590" w:lineRule="exact"/>
        <w:ind w:left="0" w:leftChars="0"/>
        <w:jc w:val="center"/>
        <w:textAlignment w:val="auto"/>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sz w:val="44"/>
          <w:szCs w:val="44"/>
        </w:rPr>
        <w:t>违法行为条例</w:t>
      </w:r>
    </w:p>
    <w:p>
      <w:pPr>
        <w:widowControl w:val="0"/>
        <w:wordWrap/>
        <w:adjustRightInd/>
        <w:snapToGrid/>
        <w:spacing w:line="590" w:lineRule="exact"/>
        <w:ind w:left="0" w:leftChars="0" w:right="0" w:firstLine="0" w:firstLineChars="0"/>
        <w:jc w:val="both"/>
        <w:textAlignment w:val="auto"/>
        <w:outlineLvl w:val="9"/>
        <w:rPr>
          <w:rFonts w:hint="eastAsia" w:ascii="宋体" w:hAnsi="宋体" w:eastAsia="楷体_GB2312"/>
          <w:b w:val="0"/>
          <w:bCs/>
          <w:szCs w:val="32"/>
          <w:lang w:eastAsia="zh-CN"/>
        </w:rPr>
      </w:pPr>
      <w:r>
        <w:rPr>
          <w:rFonts w:hint="eastAsia" w:ascii="宋体" w:hAnsi="宋体" w:eastAsia="楷体_GB2312"/>
          <w:b w:val="0"/>
          <w:bCs/>
          <w:szCs w:val="32"/>
          <w:lang w:val="en-US" w:eastAsia="zh-CN"/>
        </w:rPr>
        <w:t xml:space="preserve">    </w:t>
      </w:r>
      <w:r>
        <w:rPr>
          <w:rFonts w:hint="eastAsia" w:ascii="宋体" w:hAnsi="宋体" w:eastAsia="楷体_GB2312"/>
          <w:b w:val="0"/>
          <w:bCs/>
          <w:szCs w:val="32"/>
        </w:rPr>
        <w:t>（1999年9月24日广东省第九届人民代表大会常务委员会第十二次会议通过</w:t>
      </w:r>
      <w:r>
        <w:rPr>
          <w:rFonts w:hint="eastAsia" w:ascii="宋体" w:hAnsi="宋体" w:eastAsia="楷体_GB2312"/>
          <w:b w:val="0"/>
          <w:bCs/>
          <w:szCs w:val="32"/>
          <w:lang w:val="en-US" w:eastAsia="zh-CN"/>
        </w:rPr>
        <w:t xml:space="preserve">  </w:t>
      </w:r>
      <w:r>
        <w:rPr>
          <w:rFonts w:hint="eastAsia" w:ascii="宋体" w:hAnsi="宋体" w:eastAsia="楷体_GB2312"/>
          <w:b w:val="0"/>
          <w:bCs/>
          <w:szCs w:val="32"/>
        </w:rPr>
        <w:t>根据2010年7月23日广东省第十一届人民代表大会常务委员会第二十次会议《关于修改部分地方性法规的决定》</w:t>
      </w:r>
      <w:r>
        <w:rPr>
          <w:rFonts w:hint="eastAsia" w:ascii="宋体" w:hAnsi="宋体" w:eastAsia="楷体_GB2312"/>
          <w:b w:val="0"/>
          <w:bCs/>
          <w:szCs w:val="32"/>
          <w:lang w:eastAsia="zh-CN"/>
        </w:rPr>
        <w:t>第一次</w:t>
      </w:r>
      <w:r>
        <w:rPr>
          <w:rFonts w:hint="eastAsia" w:ascii="宋体" w:hAnsi="宋体" w:eastAsia="楷体_GB2312"/>
          <w:b w:val="0"/>
          <w:bCs/>
          <w:szCs w:val="32"/>
        </w:rPr>
        <w:t>修正  2012年9月28日广东省第十一届人民代表大会常务委员会第三十六次会议修订</w:t>
      </w:r>
      <w:r>
        <w:rPr>
          <w:rFonts w:hint="eastAsia" w:ascii="宋体" w:hAnsi="宋体" w:eastAsia="楷体_GB2312"/>
          <w:b w:val="0"/>
          <w:bCs/>
          <w:szCs w:val="32"/>
          <w:lang w:val="en-US" w:eastAsia="zh-CN"/>
        </w:rPr>
        <w:t xml:space="preserve">  </w:t>
      </w:r>
      <w:r>
        <w:rPr>
          <w:rFonts w:hint="eastAsia" w:ascii="宋体" w:hAnsi="宋体" w:eastAsia="楷体_GB2312"/>
          <w:b w:val="0"/>
          <w:bCs/>
          <w:szCs w:val="32"/>
        </w:rPr>
        <w:t>根据20</w:t>
      </w:r>
      <w:r>
        <w:rPr>
          <w:rFonts w:hint="eastAsia" w:ascii="宋体" w:hAnsi="宋体" w:eastAsia="楷体_GB2312"/>
          <w:b w:val="0"/>
          <w:bCs/>
          <w:szCs w:val="32"/>
          <w:lang w:val="en-US" w:eastAsia="zh-CN"/>
        </w:rPr>
        <w:t>20</w:t>
      </w:r>
      <w:r>
        <w:rPr>
          <w:rFonts w:hint="eastAsia" w:ascii="宋体" w:hAnsi="宋体" w:eastAsia="楷体_GB2312"/>
          <w:b w:val="0"/>
          <w:bCs/>
          <w:szCs w:val="32"/>
        </w:rPr>
        <w:t>年</w:t>
      </w:r>
      <w:r>
        <w:rPr>
          <w:rFonts w:hint="eastAsia" w:ascii="宋体" w:hAnsi="宋体" w:eastAsia="楷体_GB2312"/>
          <w:b w:val="0"/>
          <w:bCs/>
          <w:szCs w:val="32"/>
          <w:lang w:val="en-US" w:eastAsia="zh-CN"/>
        </w:rPr>
        <w:t>11</w:t>
      </w:r>
      <w:r>
        <w:rPr>
          <w:rFonts w:hint="eastAsia" w:ascii="宋体" w:hAnsi="宋体" w:eastAsia="楷体_GB2312"/>
          <w:b w:val="0"/>
          <w:bCs/>
          <w:szCs w:val="32"/>
        </w:rPr>
        <w:t>月</w:t>
      </w:r>
      <w:r>
        <w:rPr>
          <w:rFonts w:hint="eastAsia" w:ascii="宋体" w:hAnsi="宋体" w:eastAsia="楷体_GB2312"/>
          <w:b w:val="0"/>
          <w:bCs/>
          <w:szCs w:val="32"/>
          <w:lang w:val="en-US" w:eastAsia="zh-CN"/>
        </w:rPr>
        <w:t>27</w:t>
      </w:r>
      <w:r>
        <w:rPr>
          <w:rFonts w:hint="eastAsia" w:ascii="宋体" w:hAnsi="宋体" w:eastAsia="楷体_GB2312"/>
          <w:b w:val="0"/>
          <w:bCs/>
          <w:szCs w:val="32"/>
        </w:rPr>
        <w:t>日广东省第十</w:t>
      </w:r>
      <w:r>
        <w:rPr>
          <w:rFonts w:hint="eastAsia" w:ascii="宋体" w:hAnsi="宋体" w:eastAsia="楷体_GB2312"/>
          <w:b w:val="0"/>
          <w:bCs/>
          <w:szCs w:val="32"/>
          <w:lang w:eastAsia="zh-CN"/>
        </w:rPr>
        <w:t>三</w:t>
      </w:r>
      <w:r>
        <w:rPr>
          <w:rFonts w:hint="eastAsia" w:ascii="宋体" w:hAnsi="宋体" w:eastAsia="楷体_GB2312"/>
          <w:b w:val="0"/>
          <w:bCs/>
          <w:szCs w:val="32"/>
        </w:rPr>
        <w:t>届人民代表大会常务委员会第二十</w:t>
      </w:r>
      <w:r>
        <w:rPr>
          <w:rFonts w:hint="eastAsia" w:ascii="宋体" w:hAnsi="宋体" w:eastAsia="楷体_GB2312"/>
          <w:b w:val="0"/>
          <w:bCs/>
          <w:szCs w:val="32"/>
          <w:lang w:eastAsia="zh-CN"/>
        </w:rPr>
        <w:t>六</w:t>
      </w:r>
      <w:r>
        <w:rPr>
          <w:rFonts w:hint="eastAsia" w:ascii="宋体" w:hAnsi="宋体" w:eastAsia="楷体_GB2312"/>
          <w:b w:val="0"/>
          <w:bCs/>
          <w:szCs w:val="32"/>
        </w:rPr>
        <w:t>次会议</w:t>
      </w:r>
      <w:r>
        <w:rPr>
          <w:rFonts w:hint="eastAsia" w:ascii="宋体" w:hAnsi="宋体" w:eastAsia="楷体_GB2312"/>
          <w:b w:val="0"/>
          <w:bCs/>
          <w:szCs w:val="32"/>
          <w:lang w:eastAsia="zh-CN"/>
        </w:rPr>
        <w:t>《</w:t>
      </w:r>
      <w:r>
        <w:rPr>
          <w:rFonts w:hint="eastAsia" w:ascii="宋体" w:hAnsi="宋体" w:eastAsia="楷体_GB2312"/>
          <w:b w:val="0"/>
          <w:bCs/>
          <w:szCs w:val="32"/>
          <w:lang w:val="en-US" w:eastAsia="zh-CN"/>
        </w:rPr>
        <w:t>关于修改&lt;广东省促进科学技术进步条例&gt;等九项地方性法规的决定》第二次</w:t>
      </w:r>
      <w:r>
        <w:rPr>
          <w:rFonts w:hint="eastAsia" w:ascii="宋体" w:hAnsi="宋体" w:eastAsia="楷体_GB2312"/>
          <w:b w:val="0"/>
          <w:bCs/>
          <w:szCs w:val="32"/>
        </w:rPr>
        <w:t>修正</w:t>
      </w:r>
      <w:r>
        <w:rPr>
          <w:rFonts w:hint="eastAsia" w:ascii="宋体" w:hAnsi="宋体" w:eastAsia="楷体_GB2312"/>
          <w:b w:val="0"/>
          <w:bCs/>
          <w:szCs w:val="32"/>
          <w:lang w:eastAsia="zh-CN"/>
        </w:rPr>
        <w:t>）</w:t>
      </w:r>
    </w:p>
    <w:p>
      <w:pPr>
        <w:pStyle w:val="7"/>
        <w:rPr>
          <w:rFonts w:hint="eastAsia"/>
        </w:rPr>
      </w:pPr>
    </w:p>
    <w:p>
      <w:pPr>
        <w:pStyle w:val="9"/>
        <w:widowControl w:val="0"/>
        <w:wordWrap/>
        <w:overflowPunct w:val="0"/>
        <w:adjustRightInd w:val="0"/>
        <w:snapToGrid w:val="0"/>
        <w:spacing w:after="0" w:line="590" w:lineRule="exact"/>
        <w:ind w:left="0" w:leftChars="0" w:firstLine="0"/>
        <w:jc w:val="center"/>
        <w:textAlignment w:val="auto"/>
        <w:outlineLvl w:val="9"/>
        <w:rPr>
          <w:rFonts w:hint="eastAsia" w:ascii="宋体" w:hAnsi="宋体" w:eastAsia="楷体_GB2312"/>
          <w:bCs/>
          <w:szCs w:val="32"/>
        </w:rPr>
      </w:pPr>
      <w:r>
        <w:rPr>
          <w:rFonts w:hint="eastAsia" w:ascii="宋体" w:hAnsi="宋体" w:eastAsia="楷体_GB2312"/>
          <w:bCs/>
          <w:szCs w:val="32"/>
        </w:rPr>
        <w:t>目    录</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第一章  总则</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第二章  查处范围</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第三章  监督管理</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第一节  日常监管</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第二节  专项查处</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第三节  信用信息与分类监管</w:t>
      </w:r>
    </w:p>
    <w:p>
      <w:pPr>
        <w:pStyle w:val="9"/>
        <w:widowControl w:val="0"/>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第四节  监管工作考核与责任追究</w:t>
      </w:r>
    </w:p>
    <w:p>
      <w:pPr>
        <w:pStyle w:val="9"/>
        <w:widowControl w:val="0"/>
        <w:numPr>
          <w:ilvl w:val="0"/>
          <w:numId w:val="20"/>
        </w:numPr>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社会监督</w:t>
      </w:r>
    </w:p>
    <w:p>
      <w:pPr>
        <w:pStyle w:val="9"/>
        <w:widowControl w:val="0"/>
        <w:numPr>
          <w:ilvl w:val="0"/>
          <w:numId w:val="20"/>
        </w:numPr>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法律责任</w:t>
      </w:r>
    </w:p>
    <w:p>
      <w:pPr>
        <w:pStyle w:val="9"/>
        <w:widowControl w:val="0"/>
        <w:numPr>
          <w:ilvl w:val="0"/>
          <w:numId w:val="20"/>
        </w:numPr>
        <w:wordWrap/>
        <w:overflowPunct w:val="0"/>
        <w:adjustRightInd w:val="0"/>
        <w:snapToGrid w:val="0"/>
        <w:spacing w:after="0" w:line="590" w:lineRule="exact"/>
        <w:ind w:left="0" w:leftChars="0" w:firstLine="631"/>
        <w:jc w:val="both"/>
        <w:textAlignment w:val="auto"/>
        <w:outlineLvl w:val="9"/>
        <w:rPr>
          <w:rFonts w:hint="eastAsia" w:ascii="宋体" w:hAnsi="宋体" w:eastAsia="楷体_GB2312"/>
          <w:bCs/>
          <w:szCs w:val="32"/>
          <w:lang w:val="en-US" w:eastAsia="zh-CN"/>
        </w:rPr>
      </w:pPr>
      <w:r>
        <w:rPr>
          <w:rFonts w:hint="eastAsia" w:ascii="宋体" w:hAnsi="宋体" w:eastAsia="楷体_GB2312"/>
          <w:bCs/>
          <w:szCs w:val="32"/>
          <w:lang w:val="en-US" w:eastAsia="zh-CN"/>
        </w:rPr>
        <w:t xml:space="preserve"> 附则</w:t>
      </w:r>
    </w:p>
    <w:p>
      <w:pPr>
        <w:widowControl w:val="0"/>
        <w:wordWrap/>
        <w:adjustRightInd w:val="0"/>
        <w:spacing w:line="590" w:lineRule="exact"/>
        <w:jc w:val="center"/>
        <w:textAlignment w:val="auto"/>
        <w:rPr>
          <w:rFonts w:hint="eastAsia" w:ascii="黑体" w:hAnsi="黑体" w:eastAsia="仿宋_GB2312" w:cs="黑体"/>
          <w:b w:val="0"/>
          <w:bCs/>
          <w:szCs w:val="32"/>
          <w:lang w:val="en-US" w:eastAsia="zh-CN"/>
        </w:rPr>
      </w:pPr>
    </w:p>
    <w:p>
      <w:pPr>
        <w:widowControl w:val="0"/>
        <w:wordWrap/>
        <w:adjustRightInd w:val="0"/>
        <w:spacing w:line="590" w:lineRule="exact"/>
        <w:jc w:val="center"/>
        <w:textAlignment w:val="auto"/>
        <w:rPr>
          <w:rFonts w:hint="eastAsia" w:ascii="黑体" w:hAnsi="黑体" w:eastAsia="黑体" w:cs="黑体"/>
          <w:b w:val="0"/>
          <w:bCs/>
          <w:szCs w:val="32"/>
        </w:rPr>
      </w:pPr>
      <w:r>
        <w:rPr>
          <w:rFonts w:hint="eastAsia" w:ascii="黑体" w:hAnsi="黑体" w:eastAsia="黑体" w:cs="黑体"/>
          <w:b w:val="0"/>
          <w:bCs/>
          <w:szCs w:val="32"/>
          <w:lang w:val="en-US" w:eastAsia="zh-CN"/>
        </w:rPr>
        <w:t xml:space="preserve">第一章 </w:t>
      </w:r>
      <w:r>
        <w:rPr>
          <w:rFonts w:hint="eastAsia" w:ascii="黑体" w:hAnsi="黑体" w:eastAsia="黑体" w:cs="黑体"/>
          <w:b w:val="0"/>
          <w:bCs/>
          <w:szCs w:val="32"/>
        </w:rPr>
        <w:t xml:space="preserve"> 总</w:t>
      </w:r>
      <w:r>
        <w:rPr>
          <w:rFonts w:hint="eastAsia" w:ascii="黑体" w:hAnsi="黑体" w:eastAsia="黑体" w:cs="黑体"/>
          <w:b w:val="0"/>
          <w:bCs/>
          <w:szCs w:val="32"/>
          <w:lang w:val="en-US" w:eastAsia="zh-CN"/>
        </w:rPr>
        <w:t xml:space="preserve">  </w:t>
      </w:r>
      <w:r>
        <w:rPr>
          <w:rFonts w:hint="eastAsia" w:ascii="黑体" w:hAnsi="黑体" w:eastAsia="黑体" w:cs="黑体"/>
          <w:b w:val="0"/>
          <w:bCs/>
          <w:szCs w:val="32"/>
        </w:rPr>
        <w:t>则</w:t>
      </w:r>
    </w:p>
    <w:p>
      <w:pPr>
        <w:widowControl w:val="0"/>
        <w:wordWrap/>
        <w:adjustRightInd w:val="0"/>
        <w:spacing w:line="590" w:lineRule="exact"/>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为了加强市场监管，引导生产者、销售者诚信经营，维护市场经济秩序，保护生产者、销售者、用户和消费者的合法权益，根据有关法律、法规的规定，结合本省实际，制定本条例。</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本条例适用于本省行政区域内查处生产、销售假冒伪劣商品，</w:t>
      </w:r>
      <w:r>
        <w:rPr>
          <w:rFonts w:hint="eastAsia" w:ascii="仿宋_GB2312" w:hAnsi="仿宋_GB2312" w:eastAsia="仿宋_GB2312" w:cs="仿宋_GB2312"/>
          <w:b w:val="0"/>
          <w:bCs/>
          <w:iCs/>
          <w:szCs w:val="32"/>
        </w:rPr>
        <w:t>以及</w:t>
      </w:r>
      <w:r>
        <w:rPr>
          <w:rFonts w:hint="eastAsia" w:ascii="仿宋_GB2312" w:hAnsi="仿宋_GB2312" w:eastAsia="仿宋_GB2312" w:cs="仿宋_GB2312"/>
          <w:b w:val="0"/>
          <w:bCs/>
          <w:szCs w:val="32"/>
        </w:rPr>
        <w:t>为生产、销售假冒伪劣商品提供服务</w:t>
      </w:r>
      <w:r>
        <w:rPr>
          <w:rFonts w:hint="eastAsia" w:ascii="仿宋_GB2312" w:hAnsi="仿宋_GB2312" w:eastAsia="仿宋_GB2312" w:cs="仿宋_GB2312"/>
          <w:b w:val="0"/>
          <w:bCs/>
          <w:iCs/>
          <w:szCs w:val="32"/>
        </w:rPr>
        <w:t>的</w:t>
      </w:r>
      <w:r>
        <w:rPr>
          <w:rFonts w:hint="eastAsia" w:ascii="仿宋_GB2312" w:hAnsi="仿宋_GB2312" w:eastAsia="仿宋_GB2312" w:cs="仿宋_GB2312"/>
          <w:b w:val="0"/>
          <w:bCs/>
          <w:szCs w:val="32"/>
        </w:rPr>
        <w:t>违法行为的活动。</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查处生产、销售假冒伪劣商品违法行为，实行</w:t>
      </w:r>
      <w:r>
        <w:rPr>
          <w:rFonts w:hint="eastAsia" w:ascii="仿宋_GB2312" w:hAnsi="仿宋_GB2312" w:eastAsia="仿宋_GB2312" w:cs="仿宋_GB2312"/>
          <w:b w:val="0"/>
          <w:bCs/>
          <w:kern w:val="0"/>
          <w:szCs w:val="32"/>
        </w:rPr>
        <w:t>统一领导、分工负责、社会监督、打防结合、综合治理</w:t>
      </w:r>
      <w:r>
        <w:rPr>
          <w:rFonts w:hint="eastAsia" w:ascii="仿宋_GB2312" w:hAnsi="仿宋_GB2312" w:eastAsia="仿宋_GB2312" w:cs="仿宋_GB2312"/>
          <w:b w:val="0"/>
          <w:bCs/>
          <w:szCs w:val="32"/>
        </w:rPr>
        <w:t>的原则，坚持日常监管与专项查处相结合，重点查处食品、药品等与人体健康、生命安全密切相关的假冒伪劣商品。</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各级人民政府负责组织领导本行政区域内查处生产、销售假冒伪劣商品违法行为的工作。</w:t>
      </w:r>
    </w:p>
    <w:p>
      <w:pPr>
        <w:widowControl w:val="0"/>
        <w:wordWrap/>
        <w:adjustRightInd w:val="0"/>
        <w:spacing w:line="590" w:lineRule="exact"/>
        <w:ind w:firstLine="645"/>
        <w:textAlignment w:val="auto"/>
        <w:rPr>
          <w:rFonts w:hint="eastAsia" w:ascii="仿宋_GB2312" w:hAnsi="仿宋_GB2312" w:eastAsia="仿宋_GB2312" w:cs="仿宋_GB2312"/>
          <w:b w:val="0"/>
          <w:bCs/>
          <w:iCs/>
          <w:szCs w:val="32"/>
        </w:rPr>
      </w:pPr>
      <w:r>
        <w:rPr>
          <w:rFonts w:hint="eastAsia" w:ascii="仿宋_GB2312" w:hAnsi="仿宋_GB2312" w:eastAsia="仿宋_GB2312" w:cs="仿宋_GB2312"/>
          <w:b w:val="0"/>
          <w:bCs/>
          <w:szCs w:val="32"/>
        </w:rPr>
        <w:t>县级以上</w:t>
      </w:r>
      <w:r>
        <w:rPr>
          <w:rFonts w:hint="eastAsia" w:ascii="仿宋_GB2312" w:hAnsi="仿宋_GB2312" w:eastAsia="仿宋_GB2312" w:cs="仿宋_GB2312"/>
          <w:b w:val="0"/>
          <w:bCs/>
          <w:i w:val="0"/>
          <w:iCs w:val="0"/>
          <w:szCs w:val="32"/>
          <w:lang w:eastAsia="zh-CN"/>
        </w:rPr>
        <w:t>市场监督管理、</w:t>
      </w:r>
      <w:r>
        <w:rPr>
          <w:rFonts w:hint="eastAsia" w:ascii="仿宋_GB2312" w:hAnsi="仿宋_GB2312" w:eastAsia="仿宋_GB2312" w:cs="仿宋_GB2312"/>
          <w:b w:val="0"/>
          <w:bCs/>
          <w:i w:val="0"/>
          <w:iCs w:val="0"/>
          <w:szCs w:val="32"/>
        </w:rPr>
        <w:t>药品监督管理</w:t>
      </w:r>
      <w:r>
        <w:rPr>
          <w:rFonts w:hint="eastAsia" w:ascii="仿宋_GB2312" w:hAnsi="仿宋_GB2312" w:eastAsia="仿宋_GB2312" w:cs="仿宋_GB2312"/>
          <w:b w:val="0"/>
          <w:bCs/>
          <w:szCs w:val="32"/>
        </w:rPr>
        <w:t>、卫生</w:t>
      </w:r>
      <w:r>
        <w:rPr>
          <w:rFonts w:hint="eastAsia" w:ascii="仿宋_GB2312" w:hAnsi="仿宋_GB2312" w:eastAsia="仿宋_GB2312" w:cs="仿宋_GB2312"/>
          <w:b w:val="0"/>
          <w:bCs/>
          <w:szCs w:val="32"/>
          <w:lang w:eastAsia="zh-CN"/>
        </w:rPr>
        <w:t>健康</w:t>
      </w:r>
      <w:r>
        <w:rPr>
          <w:rFonts w:hint="eastAsia" w:ascii="仿宋_GB2312" w:hAnsi="仿宋_GB2312" w:eastAsia="仿宋_GB2312" w:cs="仿宋_GB2312"/>
          <w:b w:val="0"/>
          <w:bCs/>
          <w:szCs w:val="32"/>
        </w:rPr>
        <w:t>、农业</w:t>
      </w:r>
      <w:r>
        <w:rPr>
          <w:rFonts w:hint="eastAsia" w:ascii="仿宋_GB2312" w:hAnsi="仿宋_GB2312" w:eastAsia="仿宋_GB2312" w:cs="仿宋_GB2312"/>
          <w:b w:val="0"/>
          <w:bCs/>
          <w:szCs w:val="32"/>
          <w:lang w:eastAsia="zh-CN"/>
        </w:rPr>
        <w:t>农村</w:t>
      </w:r>
      <w:r>
        <w:rPr>
          <w:rFonts w:hint="eastAsia" w:ascii="仿宋_GB2312" w:hAnsi="仿宋_GB2312" w:eastAsia="仿宋_GB2312" w:cs="仿宋_GB2312"/>
          <w:b w:val="0"/>
          <w:bCs/>
          <w:szCs w:val="32"/>
        </w:rPr>
        <w:t>、公安等部门（以下统称监督管理部门）按照各自职责负责查处生产、销售假冒伪劣商品违法行为，</w:t>
      </w:r>
      <w:r>
        <w:rPr>
          <w:rFonts w:hint="eastAsia" w:ascii="仿宋_GB2312" w:hAnsi="仿宋_GB2312" w:eastAsia="仿宋_GB2312" w:cs="仿宋_GB2312"/>
          <w:b w:val="0"/>
          <w:bCs/>
          <w:iCs/>
          <w:szCs w:val="32"/>
        </w:rPr>
        <w:t>法律、法规规定由其他有关部门负责的，从其规定。</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税务、财政、通信管理等部门应当按照各自职责，配合监督管理部门做好查处生产、销售假冒伪劣商品违法行为的工作。</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各级人民政府应当依法保障查处生产、销售假冒伪劣商品违法行为的经费。</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生产者、销售者应当遵守法律法规，对其生产、销售的商品质量负责。</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鼓励</w:t>
      </w:r>
      <w:r>
        <w:rPr>
          <w:rFonts w:hint="eastAsia" w:ascii="仿宋_GB2312" w:hAnsi="仿宋_GB2312" w:eastAsia="仿宋_GB2312" w:cs="仿宋_GB2312"/>
          <w:b w:val="0"/>
          <w:bCs/>
          <w:kern w:val="0"/>
          <w:szCs w:val="32"/>
        </w:rPr>
        <w:t>行业协会、</w:t>
      </w:r>
      <w:r>
        <w:rPr>
          <w:rFonts w:hint="eastAsia" w:ascii="仿宋_GB2312" w:hAnsi="仿宋_GB2312" w:eastAsia="仿宋_GB2312" w:cs="仿宋_GB2312"/>
          <w:b w:val="0"/>
          <w:bCs/>
          <w:szCs w:val="32"/>
        </w:rPr>
        <w:t>消费者协会、新闻单位和其他有关组织对生产、销售假冒伪劣商品违法行为进行监督。</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鼓励</w:t>
      </w:r>
      <w:r>
        <w:rPr>
          <w:rFonts w:hint="eastAsia" w:ascii="仿宋_GB2312" w:hAnsi="仿宋_GB2312" w:eastAsia="仿宋_GB2312" w:cs="仿宋_GB2312"/>
          <w:b w:val="0"/>
          <w:bCs/>
          <w:iCs/>
          <w:szCs w:val="32"/>
        </w:rPr>
        <w:t>单位和个人对</w:t>
      </w:r>
      <w:r>
        <w:rPr>
          <w:rFonts w:hint="eastAsia" w:ascii="仿宋_GB2312" w:hAnsi="仿宋_GB2312" w:eastAsia="仿宋_GB2312" w:cs="仿宋_GB2312"/>
          <w:b w:val="0"/>
          <w:bCs/>
          <w:szCs w:val="32"/>
        </w:rPr>
        <w:t>生产、销售假冒伪劣商品，</w:t>
      </w:r>
      <w:r>
        <w:rPr>
          <w:rFonts w:hint="eastAsia" w:ascii="仿宋_GB2312" w:hAnsi="仿宋_GB2312" w:eastAsia="仿宋_GB2312" w:cs="仿宋_GB2312"/>
          <w:b w:val="0"/>
          <w:bCs/>
          <w:iCs/>
          <w:szCs w:val="32"/>
        </w:rPr>
        <w:t>以及</w:t>
      </w:r>
      <w:r>
        <w:rPr>
          <w:rFonts w:hint="eastAsia" w:ascii="仿宋_GB2312" w:hAnsi="仿宋_GB2312" w:eastAsia="仿宋_GB2312" w:cs="仿宋_GB2312"/>
          <w:b w:val="0"/>
          <w:bCs/>
          <w:szCs w:val="32"/>
        </w:rPr>
        <w:t>为生产、销售假冒伪劣商品提供服务的违法行为</w:t>
      </w:r>
      <w:r>
        <w:rPr>
          <w:rFonts w:hint="eastAsia" w:ascii="仿宋_GB2312" w:hAnsi="仿宋_GB2312" w:eastAsia="仿宋_GB2312" w:cs="仿宋_GB2312"/>
          <w:b w:val="0"/>
          <w:bCs/>
          <w:iCs/>
          <w:szCs w:val="32"/>
        </w:rPr>
        <w:t>进行监督和举报</w:t>
      </w:r>
      <w:r>
        <w:rPr>
          <w:rFonts w:hint="eastAsia" w:ascii="仿宋_GB2312" w:hAnsi="仿宋_GB2312" w:eastAsia="仿宋_GB2312" w:cs="仿宋_GB2312"/>
          <w:b w:val="0"/>
          <w:bCs/>
          <w:szCs w:val="32"/>
        </w:rPr>
        <w:t>。</w:t>
      </w:r>
    </w:p>
    <w:p>
      <w:pPr>
        <w:widowControl w:val="0"/>
        <w:wordWrap/>
        <w:adjustRightInd w:val="0"/>
        <w:spacing w:line="590" w:lineRule="exact"/>
        <w:ind w:firstLine="660"/>
        <w:textAlignment w:val="auto"/>
        <w:rPr>
          <w:rFonts w:hint="eastAsia" w:ascii="宋体" w:hAnsi="宋体" w:eastAsia="宋体" w:cs="宋体"/>
          <w:b w:val="0"/>
          <w:bCs/>
          <w:szCs w:val="32"/>
        </w:rPr>
      </w:pPr>
    </w:p>
    <w:p>
      <w:pPr>
        <w:widowControl w:val="0"/>
        <w:wordWrap/>
        <w:adjustRightInd w:val="0"/>
        <w:spacing w:line="590" w:lineRule="exact"/>
        <w:jc w:val="center"/>
        <w:textAlignment w:val="auto"/>
        <w:rPr>
          <w:rFonts w:hint="eastAsia" w:ascii="黑体" w:hAnsi="黑体" w:eastAsia="黑体" w:cs="黑体"/>
          <w:b w:val="0"/>
          <w:bCs/>
          <w:szCs w:val="32"/>
        </w:rPr>
      </w:pPr>
      <w:r>
        <w:rPr>
          <w:rFonts w:hint="eastAsia" w:ascii="黑体" w:hAnsi="黑体" w:eastAsia="黑体" w:cs="黑体"/>
          <w:b w:val="0"/>
          <w:bCs/>
          <w:szCs w:val="32"/>
        </w:rPr>
        <w:t>第二章  查处范围</w:t>
      </w:r>
    </w:p>
    <w:p>
      <w:pPr>
        <w:widowControl w:val="0"/>
        <w:wordWrap/>
        <w:adjustRightInd w:val="0"/>
        <w:spacing w:line="590" w:lineRule="exact"/>
        <w:ind w:firstLine="640" w:firstLineChars="200"/>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生产者应当建立健全商品质量管理制度，销售者应当建立商品进货查验和索证索票制度、进销台账制度，保障商品的质量。</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szCs w:val="32"/>
        </w:rPr>
      </w:pPr>
      <w:r>
        <w:rPr>
          <w:rFonts w:hint="eastAsia" w:ascii="仿宋_GB2312" w:hAnsi="仿宋_GB2312" w:eastAsia="仿宋_GB2312" w:cs="仿宋_GB2312"/>
          <w:b w:val="0"/>
          <w:bCs/>
          <w:iCs/>
          <w:szCs w:val="32"/>
        </w:rPr>
        <w:t>禁止生产、销售假冒伪劣商品；禁止为生产、销售假冒伪劣商品提供服务。</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szCs w:val="32"/>
        </w:rPr>
      </w:pPr>
      <w:r>
        <w:rPr>
          <w:rFonts w:hint="eastAsia" w:ascii="黑体" w:hAnsi="黑体" w:eastAsia="黑体" w:cs="黑体"/>
          <w:b w:val="0"/>
          <w:bCs/>
          <w:szCs w:val="32"/>
        </w:rPr>
        <w:t>第九条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iCs/>
          <w:szCs w:val="32"/>
        </w:rPr>
        <w:t>任何单位和个人不得支持、包庇、纵容生产、销售假冒伪劣商品的行为。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有下列情形之一的，为假冒伪劣商品：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（一）不符合保障人体健康和人身、财产安全的国家标准、行业标准、地方标准的；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（二）掺杂掺假，以假充真，以次充好，以旧充新，以不合格商品冒充合格商品的；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（三）未依法取得许可或者假冒许可证编号的；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（四）使用假冒伪劣原材料、零部件进行生产、加工、制作或者组装的；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（五）使用国家禁止使用的原料生产食品添加剂的；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（六）食品中有违反国家标准超范围、超限量使用的添加剂的；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（七）过期、失效、变质的；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（八）国家明令淘汰或者禁止生产、销售的；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（九）篡改生产日期、安全使用期、有效期、失效日期或者保质期的；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xml:space="preserve">（十）伪造商品产地、伪造或者冒用厂名、厂址的； </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（十一）假冒认证标志、采用国际标准产品标志、名优标志、防伪标志、地理标志产品专用标志、保健食品专用标志、商品条码等标志标识，</w:t>
      </w:r>
      <w:r>
        <w:rPr>
          <w:rFonts w:hint="eastAsia" w:ascii="仿宋_GB2312" w:hAnsi="仿宋_GB2312" w:eastAsia="仿宋_GB2312" w:cs="仿宋_GB2312"/>
          <w:b w:val="0"/>
          <w:bCs/>
          <w:kern w:val="0"/>
          <w:szCs w:val="32"/>
        </w:rPr>
        <w:t>或者假冒合格证书、检验报告、质量保证书等质量证明文件</w:t>
      </w:r>
      <w:r>
        <w:rPr>
          <w:rFonts w:hint="eastAsia" w:ascii="仿宋_GB2312" w:hAnsi="仿宋_GB2312" w:eastAsia="仿宋_GB2312" w:cs="仿宋_GB2312"/>
          <w:b w:val="0"/>
          <w:bCs/>
          <w:szCs w:val="32"/>
        </w:rPr>
        <w:t>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（十二）商品质量不符合标识、说明书表明的质量状况的；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（十三）盗版复制或者假冒注册商标、专利的；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（十四）法律、法规规定的其他假冒伪劣商品。</w:t>
      </w:r>
    </w:p>
    <w:p>
      <w:pPr>
        <w:widowControl w:val="0"/>
        <w:wordWrap/>
        <w:adjustRightInd w:val="0"/>
        <w:spacing w:line="590" w:lineRule="exact"/>
        <w:ind w:firstLine="66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使用本条例第十条所列商品提供经营性服务，或者将其作为促销赠品、有奖销售活动的奖品的，视为销售假冒伪劣商品。</w:t>
      </w:r>
    </w:p>
    <w:p>
      <w:pPr>
        <w:widowControl w:val="0"/>
        <w:wordWrap/>
        <w:adjustRightInd w:val="0"/>
        <w:spacing w:line="590" w:lineRule="exact"/>
        <w:ind w:firstLine="66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有下列情形之一的，属于为生产、销售假冒伪劣商品提供</w:t>
      </w:r>
      <w:r>
        <w:rPr>
          <w:rFonts w:hint="eastAsia" w:ascii="仿宋_GB2312" w:hAnsi="仿宋_GB2312" w:eastAsia="仿宋_GB2312" w:cs="仿宋_GB2312"/>
          <w:b w:val="0"/>
          <w:bCs/>
          <w:iCs/>
          <w:szCs w:val="32"/>
        </w:rPr>
        <w:t>服务</w:t>
      </w:r>
      <w:r>
        <w:rPr>
          <w:rFonts w:hint="eastAsia" w:ascii="仿宋_GB2312" w:hAnsi="仿宋_GB2312" w:eastAsia="仿宋_GB2312" w:cs="仿宋_GB2312"/>
          <w:b w:val="0"/>
          <w:bCs/>
          <w:szCs w:val="32"/>
        </w:rPr>
        <w:t>：</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（一）</w:t>
      </w:r>
      <w:r>
        <w:rPr>
          <w:rFonts w:hint="eastAsia" w:ascii="仿宋_GB2312" w:hAnsi="仿宋_GB2312" w:eastAsia="仿宋_GB2312" w:cs="仿宋_GB2312"/>
          <w:b w:val="0"/>
          <w:bCs/>
          <w:kern w:val="0"/>
          <w:szCs w:val="32"/>
        </w:rPr>
        <w:t>知道或者应当知道他人生产、销售假冒伪劣商品，而为其提供场地、设备、物资、资金等生产经营条件或者仓储、保管、运输及网络平台服务的</w:t>
      </w:r>
      <w:r>
        <w:rPr>
          <w:rFonts w:hint="eastAsia" w:ascii="仿宋_GB2312" w:hAnsi="仿宋_GB2312" w:eastAsia="仿宋_GB2312" w:cs="仿宋_GB2312"/>
          <w:b w:val="0"/>
          <w:bCs/>
          <w:szCs w:val="32"/>
        </w:rPr>
        <w:t>；</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（二）传授、提供生产、销售假冒伪劣商品技术和方法或者为生产假冒伪劣商品提供监制服务的；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（三）知道或者应当知道</w:t>
      </w:r>
      <w:r>
        <w:rPr>
          <w:rFonts w:hint="eastAsia" w:ascii="仿宋_GB2312" w:hAnsi="仿宋_GB2312" w:eastAsia="仿宋_GB2312" w:cs="仿宋_GB2312"/>
          <w:b w:val="0"/>
          <w:bCs/>
          <w:kern w:val="0"/>
          <w:szCs w:val="32"/>
        </w:rPr>
        <w:t>他人</w:t>
      </w:r>
      <w:r>
        <w:rPr>
          <w:rFonts w:hint="eastAsia" w:ascii="仿宋_GB2312" w:hAnsi="仿宋_GB2312" w:eastAsia="仿宋_GB2312" w:cs="仿宋_GB2312"/>
          <w:b w:val="0"/>
          <w:bCs/>
          <w:szCs w:val="32"/>
        </w:rPr>
        <w:t>生产、销售假冒伪劣商品，而以设计、制作、代理、发布或者其他方式为其提供广告服务的；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（四）知道或者应当知道</w:t>
      </w:r>
      <w:r>
        <w:rPr>
          <w:rFonts w:hint="eastAsia" w:ascii="仿宋_GB2312" w:hAnsi="仿宋_GB2312" w:eastAsia="仿宋_GB2312" w:cs="仿宋_GB2312"/>
          <w:b w:val="0"/>
          <w:bCs/>
          <w:kern w:val="0"/>
          <w:szCs w:val="32"/>
        </w:rPr>
        <w:t>他人</w:t>
      </w:r>
      <w:r>
        <w:rPr>
          <w:rFonts w:hint="eastAsia" w:ascii="仿宋_GB2312" w:hAnsi="仿宋_GB2312" w:eastAsia="仿宋_GB2312" w:cs="仿宋_GB2312"/>
          <w:b w:val="0"/>
          <w:bCs/>
          <w:szCs w:val="32"/>
        </w:rPr>
        <w:t>生产、销售假冒伪劣商品，而为其提供票据、账户、合同或者虚假证明材料的；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（五）知道或者应当知道</w:t>
      </w:r>
      <w:r>
        <w:rPr>
          <w:rFonts w:hint="eastAsia" w:ascii="仿宋_GB2312" w:hAnsi="仿宋_GB2312" w:eastAsia="仿宋_GB2312" w:cs="仿宋_GB2312"/>
          <w:b w:val="0"/>
          <w:bCs/>
          <w:kern w:val="0"/>
          <w:szCs w:val="32"/>
        </w:rPr>
        <w:t>他人</w:t>
      </w:r>
      <w:r>
        <w:rPr>
          <w:rFonts w:hint="eastAsia" w:ascii="仿宋_GB2312" w:hAnsi="仿宋_GB2312" w:eastAsia="仿宋_GB2312" w:cs="仿宋_GB2312"/>
          <w:b w:val="0"/>
          <w:bCs/>
          <w:szCs w:val="32"/>
        </w:rPr>
        <w:t>生产、销售假冒伪劣商品，而为其制作或者提供商品标识、包装、说明书的；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（六）展销会的举办者未履行审查等责任，致使假冒伪劣商品进入展销场所的；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（七）为他人隐匿、转移、销毁被查封、扣押的假冒伪劣商品的。</w:t>
      </w:r>
    </w:p>
    <w:p>
      <w:pPr>
        <w:widowControl w:val="0"/>
        <w:wordWrap/>
        <w:adjustRightInd w:val="0"/>
        <w:spacing w:line="590" w:lineRule="exact"/>
        <w:ind w:firstLine="645"/>
        <w:textAlignment w:val="auto"/>
        <w:rPr>
          <w:rFonts w:hint="eastAsia" w:ascii="宋体" w:hAnsi="宋体" w:eastAsia="宋体" w:cs="宋体"/>
          <w:b w:val="0"/>
          <w:bCs/>
          <w:szCs w:val="32"/>
        </w:rPr>
      </w:pPr>
    </w:p>
    <w:p>
      <w:pPr>
        <w:widowControl w:val="0"/>
        <w:wordWrap/>
        <w:adjustRightInd w:val="0"/>
        <w:spacing w:line="590" w:lineRule="exact"/>
        <w:jc w:val="center"/>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第三章  监督管理</w:t>
      </w:r>
    </w:p>
    <w:p>
      <w:pPr>
        <w:widowControl w:val="0"/>
        <w:wordWrap/>
        <w:adjustRightInd w:val="0"/>
        <w:spacing w:line="590" w:lineRule="exact"/>
        <w:jc w:val="center"/>
        <w:textAlignment w:val="auto"/>
        <w:rPr>
          <w:rFonts w:hint="eastAsia" w:ascii="宋体" w:hAnsi="宋体" w:eastAsia="仿宋_GB2312" w:cs="宋体"/>
          <w:b w:val="0"/>
          <w:bCs/>
          <w:szCs w:val="32"/>
        </w:rPr>
      </w:pPr>
    </w:p>
    <w:p>
      <w:pPr>
        <w:widowControl w:val="0"/>
        <w:numPr>
          <w:ilvl w:val="0"/>
          <w:numId w:val="0"/>
        </w:numPr>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val="en-US" w:eastAsia="zh-CN"/>
        </w:rPr>
        <w:t xml:space="preserve">第一节 </w:t>
      </w:r>
      <w:r>
        <w:rPr>
          <w:rFonts w:hint="eastAsia" w:ascii="宋体" w:hAnsi="宋体" w:eastAsia="宋体" w:cs="宋体"/>
          <w:b w:val="0"/>
          <w:bCs/>
          <w:szCs w:val="32"/>
        </w:rPr>
        <w:t xml:space="preserve"> 日常监管</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监督管理部门应当建立健全监督检查制度，通过巡查、抽查等方式加强日常监督，及时查处生产、销售假冒伪劣商品违法行为</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监督管理部门进行</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，应当制作</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记录，如实记载</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的情况和处理结果等内容。</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人员应当在</w:t>
      </w:r>
      <w:r>
        <w:rPr>
          <w:rFonts w:hint="eastAsia" w:ascii="仿宋_GB2312" w:hAnsi="仿宋_GB2312" w:eastAsia="仿宋_GB2312" w:cs="仿宋_GB2312"/>
          <w:b w:val="0"/>
          <w:bCs/>
          <w:kern w:val="0"/>
          <w:szCs w:val="32"/>
        </w:rPr>
        <w:t>监督检查</w:t>
      </w:r>
      <w:r>
        <w:rPr>
          <w:rFonts w:hint="eastAsia" w:ascii="仿宋_GB2312" w:hAnsi="仿宋_GB2312" w:eastAsia="仿宋_GB2312" w:cs="仿宋_GB2312"/>
          <w:b w:val="0"/>
          <w:bCs/>
          <w:szCs w:val="32"/>
        </w:rPr>
        <w:t>记录上签名。</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kern w:val="0"/>
          <w:szCs w:val="32"/>
        </w:rPr>
        <w:t>监督管理部门应当加强执法队伍的装备建设，增加现场快速检测和调查设备的配备，提高监管执法能力。</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监督管理部门</w:t>
      </w:r>
      <w:r>
        <w:rPr>
          <w:rFonts w:hint="eastAsia" w:ascii="仿宋_GB2312" w:hAnsi="仿宋_GB2312" w:eastAsia="仿宋_GB2312" w:cs="仿宋_GB2312"/>
          <w:b w:val="0"/>
          <w:bCs/>
          <w:szCs w:val="32"/>
        </w:rPr>
        <w:t>应当组织制定本行政区域监督抽查商品目录，对可能危及人体健康和人身、财产安全的商品，影响国计民生的重要商品以及消费者、有关组织反映有质量问题的商品进行抽查。监督管理部门根据监督实际、市场变化、社会需求等情况，可以对监督抽查商品目录进行调整。</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kern w:val="0"/>
          <w:szCs w:val="32"/>
        </w:rPr>
        <w:t>监督管理部门根据监督抽查的需要，可以对商品进行</w:t>
      </w:r>
      <w:r>
        <w:rPr>
          <w:rFonts w:hint="eastAsia" w:ascii="仿宋_GB2312" w:hAnsi="仿宋_GB2312" w:eastAsia="仿宋_GB2312" w:cs="仿宋_GB2312"/>
          <w:b w:val="0"/>
          <w:bCs/>
          <w:szCs w:val="32"/>
        </w:rPr>
        <w:t>检测。检测抽取样品的数量不得超过检测的合理需要，并不得收取检测费和其他任何费用。</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lang w:eastAsia="zh-CN"/>
        </w:rPr>
        <w:t>第十五条</w:t>
      </w:r>
      <w:r>
        <w:rPr>
          <w:rFonts w:hint="eastAsia" w:cs="仿宋_GB2312"/>
          <w:b w:val="0"/>
          <w:bCs/>
          <w:szCs w:val="32"/>
          <w:lang w:val="en-US" w:eastAsia="zh-CN"/>
        </w:rPr>
        <w:t xml:space="preserve">  </w:t>
      </w:r>
      <w:r>
        <w:rPr>
          <w:rFonts w:hint="eastAsia" w:ascii="仿宋_GB2312" w:hAnsi="仿宋_GB2312" w:eastAsia="仿宋_GB2312" w:cs="仿宋_GB2312"/>
          <w:b w:val="0"/>
          <w:bCs/>
          <w:szCs w:val="32"/>
        </w:rPr>
        <w:t>监督管理部门对食品、药品、儿童用品以及其他涉及人体健康、生命安全的商品的日常监督管理信息，应当及时向社会公布。</w:t>
      </w:r>
    </w:p>
    <w:p>
      <w:pPr>
        <w:widowControl w:val="0"/>
        <w:numPr>
          <w:ilvl w:val="0"/>
          <w:numId w:val="0"/>
        </w:numPr>
        <w:wordWrap/>
        <w:adjustRightInd w:val="0"/>
        <w:spacing w:line="590" w:lineRule="exact"/>
        <w:textAlignment w:val="auto"/>
        <w:rPr>
          <w:rFonts w:hint="eastAsia" w:ascii="仿宋_GB2312" w:hAnsi="仿宋_GB2312" w:eastAsia="仿宋_GB2312" w:cs="仿宋_GB2312"/>
          <w:b w:val="0"/>
          <w:bCs/>
          <w:szCs w:val="32"/>
        </w:rPr>
      </w:pPr>
      <w:r>
        <w:rPr>
          <w:rFonts w:hint="eastAsia" w:ascii="黑体" w:hAnsi="黑体" w:eastAsia="黑体" w:cs="黑体"/>
          <w:b w:val="0"/>
          <w:bCs/>
          <w:szCs w:val="32"/>
          <w:lang w:val="en-US" w:eastAsia="zh-CN"/>
        </w:rPr>
        <w:t xml:space="preserve">    </w:t>
      </w:r>
      <w:r>
        <w:rPr>
          <w:rFonts w:hint="eastAsia" w:ascii="黑体" w:hAnsi="黑体" w:eastAsia="黑体" w:cs="黑体"/>
          <w:b w:val="0"/>
          <w:bCs/>
          <w:szCs w:val="32"/>
        </w:rPr>
        <w:t>第十六条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监督管理部门应当</w:t>
      </w:r>
      <w:r>
        <w:rPr>
          <w:rFonts w:hint="eastAsia" w:ascii="仿宋_GB2312" w:hAnsi="仿宋_GB2312" w:eastAsia="仿宋_GB2312" w:cs="仿宋_GB2312"/>
          <w:b w:val="0"/>
          <w:bCs/>
          <w:szCs w:val="32"/>
        </w:rPr>
        <w:t>加强对提供网络交易平台服务网站的监管，</w:t>
      </w:r>
      <w:r>
        <w:rPr>
          <w:rFonts w:hint="eastAsia" w:ascii="仿宋_GB2312" w:hAnsi="仿宋_GB2312" w:eastAsia="仿宋_GB2312" w:cs="仿宋_GB2312"/>
          <w:b w:val="0"/>
          <w:bCs/>
          <w:kern w:val="0"/>
          <w:szCs w:val="32"/>
        </w:rPr>
        <w:t>查处销售假冒伪劣商品的网店</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运用网络交易方式销售假冒伪劣商品的，任何单位和个人可以向发生违法行为的网站的经营者住所所在地或者销售者所在地的监督管理部门投诉、举报。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需要采取措施制止违法网站继续从事违法活动的，监督管理部门应当依照有关规定，提请网站许可地通信管理部门依法责令暂时屏蔽或者停止该违法网站接入服务。</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第十七条</w:t>
      </w:r>
      <w:r>
        <w:rPr>
          <w:rFonts w:hint="eastAsia" w:ascii="黑体" w:hAnsi="黑体" w:eastAsia="黑体" w:cs="黑体"/>
          <w:b w:val="0"/>
          <w:bCs/>
          <w:szCs w:val="32"/>
          <w:lang w:val="en-US" w:eastAsia="zh-CN"/>
        </w:rPr>
        <w:t xml:space="preserve"> </w:t>
      </w:r>
      <w:r>
        <w:rPr>
          <w:rFonts w:hint="eastAsia" w:ascii="仿宋_GB2312" w:hAnsi="仿宋_GB2312" w:eastAsia="仿宋_GB2312" w:cs="仿宋_GB2312"/>
          <w:b w:val="0"/>
          <w:bCs/>
          <w:szCs w:val="32"/>
        </w:rPr>
        <w:t xml:space="preserve"> 监督管理部门应当</w:t>
      </w:r>
      <w:r>
        <w:rPr>
          <w:rFonts w:hint="eastAsia" w:ascii="仿宋_GB2312" w:hAnsi="仿宋_GB2312" w:eastAsia="仿宋_GB2312" w:cs="仿宋_GB2312"/>
          <w:b w:val="0"/>
          <w:bCs/>
          <w:kern w:val="0"/>
          <w:szCs w:val="32"/>
        </w:rPr>
        <w:t>加强跨部门、跨地区的执法协作，及时通报信息统计数据，定期进行工作交流，实施案件协查和证据互认，对重点、疑难案件实施联合执法</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监督管理部门查处案件时，可以依法行使下列职权：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（一）询问有关的生产者、销售者、提供服务者和利害关系人、证明人，并要求其提供有关资料；</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（二）检查有关的财物、场所，查阅、复制、登记保存有关的合同、原始记录、销售凭证、帐册等资料；</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（三）查封、扣押有假冒伪劣重大嫌疑的商品以及有关的原材料、半成品、工具、设备；</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（四）法律、法规规定的其他职权。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监督管理部门依法查处案件时，执法人员不得少于两名，并应当出示执法证件。</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行政执法人员依法查处案件时，有关单位和个人应当予以配合，不得拒绝和干扰；被询问的生产者、销售者、提供服务者，应当如实提供有关情况和资料。</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实施查封、扣押的，必须经县级以上监督管理部门负责人批准，对被查封、扣押的商品需要检测的，应当自查封、扣押之日起七日内送检测。</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未经实施查封的监督管理部门批准，任何单位和个人不得擅自启封、转移、使用、改动、销毁、销售被查封的物品。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涉嫌假冒伪劣的商品需要检测的，监督管理部门应当按规定抽取样品，由法定的检测机构进行检测，检测机构应当在规定的期限内作出书面检测报告；涉嫌假冒他人商标或者厂名厂址的，可由被侵权人进行鉴别。</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检测费和样品费由送检的监督管理部门在办案经费中列支或者按国家有关规定开支。</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查封、扣押的商品经检测、鉴别不属于假冒伪劣商品的，监督管理部门应当依法及时作出解除查封、扣押决定并立即退还；因监督管理部门过错造成损失的，应当依法予以赔偿。</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生产者、销售者对检测结果有异议的，可以自收到检测结果之日起十五日内向监督管理部门或者其上级部门申请复检，由受理复检的部门作出复检结论；法律、法规另有规定的，从其规定。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监督管理部门查处案件时，发现制假窝点和假货集散地的，应当予以取缔。</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第二十三条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假冒伪劣商品</w:t>
      </w:r>
      <w:r>
        <w:rPr>
          <w:rFonts w:hint="eastAsia" w:ascii="仿宋_GB2312" w:hAnsi="仿宋_GB2312" w:eastAsia="仿宋_GB2312" w:cs="仿宋_GB2312"/>
          <w:b w:val="0"/>
          <w:bCs/>
          <w:iCs/>
          <w:kern w:val="0"/>
          <w:szCs w:val="32"/>
        </w:rPr>
        <w:t>被查获公告后，违法行为人自公告之日起满</w:t>
      </w:r>
      <w:r>
        <w:rPr>
          <w:rFonts w:hint="eastAsia" w:ascii="仿宋_GB2312" w:hAnsi="仿宋_GB2312" w:eastAsia="仿宋_GB2312" w:cs="仿宋_GB2312"/>
          <w:b w:val="0"/>
          <w:bCs/>
          <w:szCs w:val="32"/>
        </w:rPr>
        <w:t>十五</w:t>
      </w:r>
      <w:r>
        <w:rPr>
          <w:rFonts w:hint="eastAsia" w:ascii="仿宋_GB2312" w:hAnsi="仿宋_GB2312" w:eastAsia="仿宋_GB2312" w:cs="仿宋_GB2312"/>
          <w:b w:val="0"/>
          <w:bCs/>
          <w:iCs/>
          <w:kern w:val="0"/>
          <w:szCs w:val="32"/>
        </w:rPr>
        <w:t>日不到监督管理</w:t>
      </w:r>
      <w:r>
        <w:rPr>
          <w:rFonts w:hint="eastAsia" w:ascii="仿宋_GB2312" w:hAnsi="仿宋_GB2312" w:eastAsia="仿宋_GB2312" w:cs="仿宋_GB2312"/>
          <w:b w:val="0"/>
          <w:bCs/>
          <w:kern w:val="0"/>
          <w:szCs w:val="32"/>
        </w:rPr>
        <w:t>部门</w:t>
      </w:r>
      <w:r>
        <w:rPr>
          <w:rFonts w:hint="eastAsia" w:ascii="仿宋_GB2312" w:hAnsi="仿宋_GB2312" w:eastAsia="仿宋_GB2312" w:cs="仿宋_GB2312"/>
          <w:b w:val="0"/>
          <w:bCs/>
          <w:iCs/>
          <w:kern w:val="0"/>
          <w:szCs w:val="32"/>
        </w:rPr>
        <w:t>接受处理的</w:t>
      </w:r>
      <w:r>
        <w:rPr>
          <w:rFonts w:hint="eastAsia" w:ascii="仿宋_GB2312" w:hAnsi="仿宋_GB2312" w:eastAsia="仿宋_GB2312" w:cs="仿宋_GB2312"/>
          <w:b w:val="0"/>
          <w:bCs/>
          <w:szCs w:val="32"/>
        </w:rPr>
        <w:t>，监督管理</w:t>
      </w:r>
      <w:r>
        <w:rPr>
          <w:rFonts w:hint="eastAsia" w:ascii="仿宋_GB2312" w:hAnsi="仿宋_GB2312" w:eastAsia="仿宋_GB2312" w:cs="仿宋_GB2312"/>
          <w:b w:val="0"/>
          <w:bCs/>
          <w:kern w:val="0"/>
          <w:szCs w:val="32"/>
        </w:rPr>
        <w:t>部门可以将假冒伪劣商品连同涉案物品予以没收，但不免除违法行为人的其他法律责任。</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监督管理部门依法查处案件，发现违法行为涉嫌犯罪的，应当在七日内移送公安机关查处，并抄送同级人民检察院和监察机关。</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公安机关依法查处案件，对未构成犯罪的违法行为，应当在</w:t>
      </w:r>
      <w:r>
        <w:rPr>
          <w:rFonts w:hint="eastAsia" w:ascii="仿宋_GB2312" w:hAnsi="仿宋_GB2312" w:eastAsia="仿宋_GB2312" w:cs="仿宋_GB2312"/>
          <w:b w:val="0"/>
          <w:bCs/>
          <w:i w:val="0"/>
          <w:iCs w:val="0"/>
          <w:szCs w:val="32"/>
          <w:lang w:eastAsia="zh-CN"/>
        </w:rPr>
        <w:t>三</w:t>
      </w:r>
      <w:r>
        <w:rPr>
          <w:rFonts w:hint="eastAsia" w:ascii="仿宋_GB2312" w:hAnsi="仿宋_GB2312" w:eastAsia="仿宋_GB2312" w:cs="仿宋_GB2312"/>
          <w:b w:val="0"/>
          <w:bCs/>
          <w:szCs w:val="32"/>
        </w:rPr>
        <w:t>日内移送有关监督管理部门查处。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接到移送的案件后，有关机关或者部门应当在案件移送书的回执上签字；决定受理的，应当将查处结果书面告知移送部门；不受理的，应当书面说明理由，并通知移送案件的部门。移送案件时，应当将调查材料和查封扣押财物一并移送，不得将涉案人员和财物分开处理。</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人民检察院和监察机关应当加强</w:t>
      </w:r>
      <w:r>
        <w:rPr>
          <w:rFonts w:hint="eastAsia" w:ascii="仿宋_GB2312" w:hAnsi="仿宋_GB2312" w:eastAsia="仿宋_GB2312" w:cs="仿宋_GB2312"/>
          <w:b w:val="0"/>
          <w:bCs/>
          <w:kern w:val="0"/>
          <w:szCs w:val="32"/>
        </w:rPr>
        <w:t>对监督管理部门移送涉嫌犯罪案件、公安机关刑事立案和侦查活动的监督</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监督管理部门应当向公安机关移送涉嫌犯罪案件而不移送的，任何单位和个人有权向人民检察院、监察机关举报。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公安机关对应当立案的案件不立案的，人民检察院应当依法进行监督。</w:t>
      </w:r>
    </w:p>
    <w:p>
      <w:pPr>
        <w:widowControl w:val="0"/>
        <w:wordWrap/>
        <w:adjustRightInd w:val="0"/>
        <w:spacing w:line="590" w:lineRule="exact"/>
        <w:ind w:firstLine="640" w:firstLineChars="200"/>
        <w:textAlignment w:val="auto"/>
        <w:rPr>
          <w:rFonts w:hint="eastAsia" w:ascii="宋体" w:hAnsi="宋体" w:eastAsia="宋体" w:cs="宋体"/>
          <w:b w:val="0"/>
          <w:bCs/>
          <w:szCs w:val="32"/>
        </w:rPr>
      </w:pPr>
    </w:p>
    <w:p>
      <w:pPr>
        <w:widowControl w:val="0"/>
        <w:numPr>
          <w:ilvl w:val="0"/>
          <w:numId w:val="0"/>
        </w:numPr>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val="en-US" w:eastAsia="zh-CN"/>
        </w:rPr>
        <w:t xml:space="preserve">第二节  </w:t>
      </w:r>
      <w:r>
        <w:rPr>
          <w:rFonts w:hint="eastAsia" w:ascii="宋体" w:hAnsi="宋体" w:eastAsia="宋体" w:cs="宋体"/>
          <w:b w:val="0"/>
          <w:bCs/>
          <w:szCs w:val="32"/>
        </w:rPr>
        <w:t>专项查处</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第二十六条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县级以上人民政府可以组织有关行政部门，对重点商品、重点市场、重点地区实施专项查处。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应当将群众反映强烈、社会危害性较大的假冒伪劣食品、药品、农药、化肥、种子、医疗器械、特种设备等作为重点查处的商品；将群众反映强烈、假冒伪劣商品充斥的集散地和制假售假严重的地区或者市场作为重点查处的区域。</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县级以上人民政府应当加强对专项查处工作的组织和协调，制定专项查处工作方案，落实工作责任制和责任追究制度。</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县级以上人民政府各有关部门应当相互配合、联合执法。</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发生严重危及生产、人体健康、生命财产安全的假冒伪劣商品事件的，县级以上人民政府应当将其列为重点案件。</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重点案件实行领导责任制。政府主要负责人是查处重点案件的第一责任人，负责督促案件的查处。</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查处重点案件时，公安机关和监察机关应当</w:t>
      </w:r>
      <w:r>
        <w:rPr>
          <w:rFonts w:hint="eastAsia" w:ascii="仿宋_GB2312" w:hAnsi="仿宋_GB2312" w:eastAsia="仿宋_GB2312" w:cs="仿宋_GB2312"/>
          <w:b w:val="0"/>
          <w:bCs/>
          <w:kern w:val="0"/>
          <w:szCs w:val="32"/>
        </w:rPr>
        <w:t>加大对有关商业贿赂等犯罪行为的查处力度。</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第二十九条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对生产、销售假冒伪劣商品的重点地区进行查处时，应当加强对大宗假冒伪劣商品批发商，以及为生产、销售假冒伪劣商品提供运输、仓储、保管等服务的单位和人员的查处。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专项查处假冒伪劣食品，应当加强对分散在社区、城乡结合部、村镇、中小学周边的各类食品批发市场、集贸市场、食品生产加工小作坊、食品摊贩、食品店、餐馆的监督检查。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专项查处假冒伪劣药品，应当重点查处生产、销售与标准规定不相符合、变质、过期失效的假药、劣药、医疗器械的行为。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专项查处假冒伪劣农业生产资料和农产品，应当</w:t>
      </w:r>
      <w:r>
        <w:rPr>
          <w:rFonts w:hint="eastAsia" w:ascii="仿宋_GB2312" w:hAnsi="仿宋_GB2312" w:eastAsia="仿宋_GB2312" w:cs="仿宋_GB2312"/>
          <w:b w:val="0"/>
          <w:bCs/>
          <w:kern w:val="0"/>
          <w:szCs w:val="32"/>
        </w:rPr>
        <w:t>加强对农资批发市场、集散地、经营门店和物流配送中心的监控巡查。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第三十一条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各级人民政府应当将本地区查处假冒伪劣商品的工作部署和查办重点案件情况报告上一级人民政府，并依法将查处情况向社会公开。</w:t>
      </w:r>
    </w:p>
    <w:p>
      <w:pPr>
        <w:widowControl w:val="0"/>
        <w:wordWrap/>
        <w:adjustRightInd w:val="0"/>
        <w:spacing w:line="590" w:lineRule="exact"/>
        <w:textAlignment w:val="auto"/>
        <w:rPr>
          <w:rFonts w:hint="eastAsia" w:ascii="宋体" w:hAnsi="宋体" w:eastAsia="宋体" w:cs="宋体"/>
          <w:b w:val="0"/>
          <w:bCs/>
          <w:szCs w:val="32"/>
        </w:rPr>
      </w:pPr>
    </w:p>
    <w:p>
      <w:pPr>
        <w:widowControl w:val="0"/>
        <w:numPr>
          <w:ilvl w:val="0"/>
          <w:numId w:val="0"/>
        </w:numPr>
        <w:tabs>
          <w:tab w:val="left" w:pos="3328"/>
          <w:tab w:val="center" w:pos="5046"/>
        </w:tabs>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val="en-US" w:eastAsia="zh-CN"/>
        </w:rPr>
        <w:t xml:space="preserve">第三节  </w:t>
      </w:r>
      <w:r>
        <w:rPr>
          <w:rFonts w:hint="eastAsia" w:ascii="宋体" w:hAnsi="宋体" w:eastAsia="宋体" w:cs="宋体"/>
          <w:b w:val="0"/>
          <w:bCs/>
          <w:szCs w:val="32"/>
        </w:rPr>
        <w:t>信用信息与分类监管</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szCs w:val="32"/>
          <w:u w:val="single"/>
        </w:rPr>
      </w:pPr>
      <w:r>
        <w:rPr>
          <w:rFonts w:hint="eastAsia" w:ascii="黑体" w:hAnsi="黑体" w:eastAsia="黑体" w:cs="黑体"/>
          <w:b w:val="0"/>
          <w:bCs/>
          <w:szCs w:val="32"/>
        </w:rPr>
        <w:t>第三十二条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监督管理部门应当</w:t>
      </w:r>
      <w:r>
        <w:rPr>
          <w:rFonts w:hint="eastAsia" w:ascii="仿宋_GB2312" w:hAnsi="仿宋_GB2312" w:eastAsia="仿宋_GB2312" w:cs="仿宋_GB2312"/>
          <w:b w:val="0"/>
          <w:bCs/>
          <w:kern w:val="0"/>
          <w:szCs w:val="32"/>
        </w:rPr>
        <w:t>建立生产者、销售者违法行为记录制度，将因生产、销售假冒伪劣商品受到行政处罚的生产者、销售者记入监管档案并加强监管。</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w:t>
      </w:r>
      <w:r>
        <w:rPr>
          <w:rFonts w:hint="eastAsia" w:ascii="仿宋_GB2312" w:hAnsi="仿宋_GB2312" w:eastAsia="仿宋_GB2312" w:cs="仿宋_GB2312"/>
          <w:b w:val="0"/>
          <w:bCs/>
          <w:kern w:val="0"/>
          <w:szCs w:val="32"/>
        </w:rPr>
        <w:t>部门应当将因生产、销售假冒伪劣商品受到行政处罚的</w:t>
      </w:r>
      <w:r>
        <w:rPr>
          <w:rFonts w:hint="eastAsia" w:ascii="仿宋_GB2312" w:hAnsi="仿宋_GB2312" w:eastAsia="仿宋_GB2312" w:cs="仿宋_GB2312"/>
          <w:b w:val="0"/>
          <w:bCs/>
          <w:iCs/>
          <w:szCs w:val="32"/>
        </w:rPr>
        <w:t>生产者、销售者</w:t>
      </w:r>
      <w:r>
        <w:rPr>
          <w:rFonts w:hint="eastAsia" w:ascii="仿宋_GB2312" w:hAnsi="仿宋_GB2312" w:eastAsia="仿宋_GB2312" w:cs="仿宋_GB2312"/>
          <w:b w:val="0"/>
          <w:bCs/>
          <w:kern w:val="0"/>
          <w:szCs w:val="32"/>
        </w:rPr>
        <w:t>及其</w:t>
      </w:r>
      <w:r>
        <w:rPr>
          <w:rFonts w:hint="eastAsia" w:ascii="仿宋_GB2312" w:hAnsi="仿宋_GB2312" w:eastAsia="仿宋_GB2312" w:cs="仿宋_GB2312"/>
          <w:b w:val="0"/>
          <w:bCs/>
          <w:iCs/>
          <w:szCs w:val="32"/>
        </w:rPr>
        <w:t>法定代表人、负责人</w:t>
      </w:r>
      <w:r>
        <w:rPr>
          <w:rFonts w:hint="eastAsia" w:ascii="仿宋_GB2312" w:hAnsi="仿宋_GB2312" w:eastAsia="仿宋_GB2312" w:cs="仿宋_GB2312"/>
          <w:b w:val="0"/>
          <w:bCs/>
          <w:kern w:val="0"/>
          <w:szCs w:val="32"/>
        </w:rPr>
        <w:t>和直接责任人员的有关信息，及时通过政务网站或者其他方式公布。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kern w:val="0"/>
          <w:szCs w:val="32"/>
        </w:rPr>
      </w:pPr>
      <w:r>
        <w:rPr>
          <w:rFonts w:hint="eastAsia" w:ascii="仿宋_GB2312" w:hAnsi="仿宋_GB2312" w:eastAsia="仿宋_GB2312" w:cs="仿宋_GB2312"/>
          <w:b w:val="0"/>
          <w:bCs/>
          <w:iCs/>
          <w:szCs w:val="32"/>
        </w:rPr>
        <w:t>公布</w:t>
      </w:r>
      <w:r>
        <w:rPr>
          <w:rFonts w:hint="eastAsia" w:ascii="仿宋_GB2312" w:hAnsi="仿宋_GB2312" w:eastAsia="仿宋_GB2312" w:cs="仿宋_GB2312"/>
          <w:b w:val="0"/>
          <w:bCs/>
          <w:iCs/>
          <w:kern w:val="0"/>
          <w:szCs w:val="32"/>
        </w:rPr>
        <w:t>事项包括违法生产者、销售者的</w:t>
      </w:r>
      <w:r>
        <w:rPr>
          <w:rFonts w:hint="eastAsia" w:ascii="仿宋_GB2312" w:hAnsi="仿宋_GB2312" w:eastAsia="仿宋_GB2312" w:cs="仿宋_GB2312"/>
          <w:b w:val="0"/>
          <w:bCs/>
          <w:iCs/>
          <w:szCs w:val="32"/>
        </w:rPr>
        <w:t>名称、字号、地址、法定代表人或者负责人</w:t>
      </w:r>
      <w:r>
        <w:rPr>
          <w:rFonts w:hint="eastAsia" w:ascii="仿宋_GB2312" w:hAnsi="仿宋_GB2312" w:eastAsia="仿宋_GB2312" w:cs="仿宋_GB2312"/>
          <w:b w:val="0"/>
          <w:bCs/>
          <w:iCs/>
          <w:kern w:val="0"/>
          <w:szCs w:val="32"/>
        </w:rPr>
        <w:t>以及直接责任人员</w:t>
      </w:r>
      <w:r>
        <w:rPr>
          <w:rFonts w:hint="eastAsia" w:ascii="仿宋_GB2312" w:hAnsi="仿宋_GB2312" w:eastAsia="仿宋_GB2312" w:cs="仿宋_GB2312"/>
          <w:b w:val="0"/>
          <w:bCs/>
          <w:iCs/>
          <w:szCs w:val="32"/>
        </w:rPr>
        <w:t>的姓名</w:t>
      </w:r>
      <w:r>
        <w:rPr>
          <w:rFonts w:hint="eastAsia" w:ascii="仿宋_GB2312" w:hAnsi="仿宋_GB2312" w:eastAsia="仿宋_GB2312" w:cs="仿宋_GB2312"/>
          <w:b w:val="0"/>
          <w:bCs/>
          <w:iCs/>
          <w:kern w:val="0"/>
          <w:szCs w:val="32"/>
        </w:rPr>
        <w:t>、职务</w:t>
      </w:r>
      <w:r>
        <w:rPr>
          <w:rFonts w:hint="eastAsia" w:ascii="仿宋_GB2312" w:hAnsi="仿宋_GB2312" w:eastAsia="仿宋_GB2312" w:cs="仿宋_GB2312"/>
          <w:b w:val="0"/>
          <w:bCs/>
          <w:iCs/>
          <w:szCs w:val="32"/>
        </w:rPr>
        <w:t>、假冒伪劣商品名称、</w:t>
      </w:r>
      <w:r>
        <w:rPr>
          <w:rFonts w:hint="eastAsia" w:ascii="仿宋_GB2312" w:hAnsi="仿宋_GB2312" w:eastAsia="仿宋_GB2312" w:cs="仿宋_GB2312"/>
          <w:b w:val="0"/>
          <w:bCs/>
          <w:iCs/>
          <w:kern w:val="0"/>
          <w:szCs w:val="32"/>
        </w:rPr>
        <w:t>违法事由、行政处罚决定、公布起止日期等信息</w:t>
      </w:r>
      <w:r>
        <w:rPr>
          <w:rFonts w:hint="eastAsia" w:ascii="仿宋_GB2312" w:hAnsi="仿宋_GB2312" w:eastAsia="仿宋_GB2312" w:cs="仿宋_GB2312"/>
          <w:b w:val="0"/>
          <w:bCs/>
          <w:i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省、地级以上市人民政府应当采取措施，建立和完善信息系统，实现部门之间案件查处情况和企业信用信息等资源的共享。</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第三十五条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监督管理部门应当</w:t>
      </w:r>
      <w:r>
        <w:rPr>
          <w:rFonts w:hint="eastAsia" w:ascii="仿宋_GB2312" w:hAnsi="仿宋_GB2312" w:eastAsia="仿宋_GB2312" w:cs="仿宋_GB2312"/>
          <w:b w:val="0"/>
          <w:bCs/>
          <w:kern w:val="0"/>
          <w:szCs w:val="32"/>
        </w:rPr>
        <w:t>按照国家和省的有关规定，根据生产者、销售者的信用信息记录等情况实施分类监管</w:t>
      </w:r>
      <w:r>
        <w:rPr>
          <w:rFonts w:hint="eastAsia" w:ascii="仿宋_GB2312" w:hAnsi="仿宋_GB2312" w:eastAsia="仿宋_GB2312" w:cs="仿宋_GB2312"/>
          <w:b w:val="0"/>
          <w:bCs/>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第三十六条</w:t>
      </w:r>
      <w:r>
        <w:rPr>
          <w:rFonts w:hint="eastAsia" w:ascii="仿宋_GB2312" w:hAnsi="仿宋_GB2312" w:eastAsia="仿宋_GB2312" w:cs="仿宋_GB2312"/>
          <w:b w:val="0"/>
          <w:bCs/>
          <w:szCs w:val="32"/>
        </w:rPr>
        <w:t xml:space="preserve"> </w:t>
      </w:r>
      <w:r>
        <w:rPr>
          <w:rFonts w:hint="eastAsia" w:ascii="仿宋_GB2312" w:hAnsi="仿宋_GB2312" w:eastAsia="仿宋_GB2312" w:cs="仿宋_GB2312"/>
          <w:b w:val="0"/>
          <w:bCs/>
          <w:szCs w:val="32"/>
          <w:lang w:val="en-US" w:eastAsia="zh-CN"/>
        </w:rPr>
        <w:t xml:space="preserve"> </w:t>
      </w:r>
      <w:r>
        <w:rPr>
          <w:rFonts w:hint="eastAsia" w:ascii="仿宋_GB2312" w:hAnsi="仿宋_GB2312" w:eastAsia="仿宋_GB2312" w:cs="仿宋_GB2312"/>
          <w:b w:val="0"/>
          <w:bCs/>
          <w:kern w:val="0"/>
          <w:szCs w:val="32"/>
        </w:rPr>
        <w:t>生产者、销售者多次违法或者违法行为情节恶劣的，监督管理部门应当将其列入重点监管对象名单。</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在日常监督检查和专项查处中，监督管理部门对列入重点监管对象名单的生产者、销售者，应当增加检查和抽检频次，并可以责令其定期报告质量管理情况。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第三十七条</w:t>
      </w:r>
      <w:r>
        <w:rPr>
          <w:rFonts w:hint="eastAsia" w:ascii="仿宋_GB2312" w:hAnsi="仿宋_GB2312" w:eastAsia="仿宋_GB2312" w:cs="仿宋_GB2312"/>
          <w:b w:val="0"/>
          <w:bCs/>
          <w:szCs w:val="32"/>
        </w:rPr>
        <w:t xml:space="preserve">  监督管理</w:t>
      </w:r>
      <w:r>
        <w:rPr>
          <w:rFonts w:hint="eastAsia" w:ascii="仿宋_GB2312" w:hAnsi="仿宋_GB2312" w:eastAsia="仿宋_GB2312" w:cs="仿宋_GB2312"/>
          <w:b w:val="0"/>
          <w:bCs/>
          <w:kern w:val="0"/>
          <w:szCs w:val="32"/>
        </w:rPr>
        <w:t>部门应当将重点监管对象名单通报同级发展改革、财政、税务、卫生</w:t>
      </w:r>
      <w:r>
        <w:rPr>
          <w:rFonts w:hint="eastAsia" w:ascii="仿宋_GB2312" w:hAnsi="仿宋_GB2312" w:eastAsia="仿宋_GB2312" w:cs="仿宋_GB2312"/>
          <w:b w:val="0"/>
          <w:bCs/>
          <w:kern w:val="0"/>
          <w:szCs w:val="32"/>
          <w:lang w:eastAsia="zh-CN"/>
        </w:rPr>
        <w:t>健康</w:t>
      </w:r>
      <w:r>
        <w:rPr>
          <w:rFonts w:hint="eastAsia" w:ascii="仿宋_GB2312" w:hAnsi="仿宋_GB2312" w:eastAsia="仿宋_GB2312" w:cs="仿宋_GB2312"/>
          <w:b w:val="0"/>
          <w:bCs/>
          <w:kern w:val="0"/>
          <w:szCs w:val="32"/>
        </w:rPr>
        <w:t>、</w:t>
      </w:r>
      <w:r>
        <w:rPr>
          <w:rFonts w:hint="eastAsia" w:ascii="仿宋_GB2312" w:hAnsi="仿宋_GB2312" w:eastAsia="仿宋_GB2312" w:cs="仿宋_GB2312"/>
          <w:b w:val="0"/>
          <w:bCs/>
          <w:kern w:val="0"/>
          <w:szCs w:val="32"/>
          <w:lang w:eastAsia="zh-CN"/>
        </w:rPr>
        <w:t>生态</w:t>
      </w:r>
      <w:r>
        <w:rPr>
          <w:rFonts w:hint="eastAsia" w:ascii="仿宋_GB2312" w:hAnsi="仿宋_GB2312" w:eastAsia="仿宋_GB2312" w:cs="仿宋_GB2312"/>
          <w:b w:val="0"/>
          <w:bCs/>
          <w:kern w:val="0"/>
          <w:szCs w:val="32"/>
        </w:rPr>
        <w:t>环</w:t>
      </w:r>
      <w:r>
        <w:rPr>
          <w:rFonts w:hint="eastAsia" w:ascii="仿宋_GB2312" w:hAnsi="仿宋_GB2312" w:eastAsia="仿宋_GB2312" w:cs="仿宋_GB2312"/>
          <w:b w:val="0"/>
          <w:bCs/>
          <w:i w:val="0"/>
          <w:iCs w:val="0"/>
          <w:kern w:val="0"/>
          <w:szCs w:val="32"/>
          <w:lang w:eastAsia="zh-CN"/>
        </w:rPr>
        <w:t>境</w:t>
      </w:r>
      <w:r>
        <w:rPr>
          <w:rFonts w:hint="eastAsia" w:ascii="仿宋_GB2312" w:hAnsi="仿宋_GB2312" w:eastAsia="仿宋_GB2312" w:cs="仿宋_GB2312"/>
          <w:b w:val="0"/>
          <w:bCs/>
          <w:kern w:val="0"/>
          <w:szCs w:val="32"/>
        </w:rPr>
        <w:t>、科技、</w:t>
      </w:r>
      <w:r>
        <w:rPr>
          <w:rFonts w:hint="eastAsia" w:ascii="仿宋_GB2312" w:hAnsi="仿宋_GB2312" w:eastAsia="仿宋_GB2312" w:cs="仿宋_GB2312"/>
          <w:b w:val="0"/>
          <w:bCs/>
          <w:i w:val="0"/>
          <w:iCs w:val="0"/>
          <w:kern w:val="0"/>
          <w:szCs w:val="32"/>
          <w:lang w:eastAsia="zh-CN"/>
        </w:rPr>
        <w:t>市场监督管理</w:t>
      </w:r>
      <w:r>
        <w:rPr>
          <w:rFonts w:hint="eastAsia" w:ascii="仿宋_GB2312" w:hAnsi="仿宋_GB2312" w:eastAsia="仿宋_GB2312" w:cs="仿宋_GB2312"/>
          <w:b w:val="0"/>
          <w:bCs/>
          <w:kern w:val="0"/>
          <w:szCs w:val="32"/>
        </w:rPr>
        <w:t>、</w:t>
      </w:r>
      <w:r>
        <w:rPr>
          <w:rFonts w:hint="eastAsia" w:ascii="仿宋_GB2312" w:hAnsi="仿宋_GB2312" w:eastAsia="仿宋_GB2312" w:cs="仿宋_GB2312"/>
          <w:b w:val="0"/>
          <w:bCs/>
          <w:i w:val="0"/>
          <w:iCs w:val="0"/>
          <w:kern w:val="0"/>
          <w:szCs w:val="32"/>
          <w:lang w:eastAsia="zh-CN"/>
        </w:rPr>
        <w:t>工业</w:t>
      </w:r>
      <w:r>
        <w:rPr>
          <w:rFonts w:hint="eastAsia" w:ascii="仿宋_GB2312" w:hAnsi="仿宋_GB2312" w:eastAsia="仿宋_GB2312" w:cs="仿宋_GB2312"/>
          <w:b w:val="0"/>
          <w:bCs/>
          <w:kern w:val="0"/>
          <w:szCs w:val="32"/>
        </w:rPr>
        <w:t>和信息化、金融等部门，供其在产业规划实施、招标采购、行政审批、进出口管理、金融信贷等相关决策时参考。</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对列入重点监管对象名单的生产者、销售者，有关部门应当依法实施限制准入的措施。</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县级以上人民政府应当加强诚信宣传教育</w:t>
      </w:r>
      <w:r>
        <w:rPr>
          <w:rFonts w:hint="eastAsia" w:ascii="仿宋_GB2312" w:hAnsi="仿宋_GB2312" w:eastAsia="仿宋_GB2312" w:cs="仿宋_GB2312"/>
          <w:b w:val="0"/>
          <w:bCs/>
          <w:kern w:val="0"/>
          <w:szCs w:val="32"/>
        </w:rPr>
        <w:t>，督促生产者、销售者严格守法、诚信经营；</w:t>
      </w:r>
      <w:r>
        <w:rPr>
          <w:rFonts w:hint="eastAsia" w:ascii="仿宋_GB2312" w:hAnsi="仿宋_GB2312" w:eastAsia="仿宋_GB2312" w:cs="仿宋_GB2312"/>
          <w:b w:val="0"/>
          <w:bCs/>
          <w:szCs w:val="32"/>
        </w:rPr>
        <w:t>鼓励和支持企业进行企业质量体系认证、产品质量认证，争创名优品牌。</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监督管理部门、认证机构应当依法将驰名商标、著名商标认定和企业产品质量认证等情况向社会公开，方便公众了解企业信用状况和商品质量状况。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对于诚信经营，没有违法纪录的生产者、销售者，相关行业协会可以给予表彰并向社会公开。</w:t>
      </w:r>
    </w:p>
    <w:p>
      <w:pPr>
        <w:widowControl w:val="0"/>
        <w:wordWrap/>
        <w:adjustRightInd w:val="0"/>
        <w:spacing w:line="590" w:lineRule="exact"/>
        <w:ind w:firstLine="615"/>
        <w:textAlignment w:val="auto"/>
        <w:rPr>
          <w:rFonts w:hint="eastAsia" w:ascii="宋体" w:hAnsi="宋体" w:eastAsia="宋体" w:cs="宋体"/>
          <w:b w:val="0"/>
          <w:bCs/>
          <w:kern w:val="0"/>
          <w:szCs w:val="32"/>
        </w:rPr>
      </w:pPr>
    </w:p>
    <w:p>
      <w:pPr>
        <w:widowControl w:val="0"/>
        <w:numPr>
          <w:ilvl w:val="0"/>
          <w:numId w:val="0"/>
        </w:numPr>
        <w:wordWrap/>
        <w:adjustRightInd w:val="0"/>
        <w:spacing w:line="590" w:lineRule="exact"/>
        <w:jc w:val="center"/>
        <w:textAlignment w:val="auto"/>
        <w:rPr>
          <w:rFonts w:hint="eastAsia" w:ascii="宋体" w:hAnsi="宋体" w:eastAsia="宋体" w:cs="宋体"/>
          <w:b w:val="0"/>
          <w:bCs/>
          <w:szCs w:val="32"/>
        </w:rPr>
      </w:pPr>
      <w:r>
        <w:rPr>
          <w:rFonts w:hint="eastAsia" w:ascii="宋体" w:hAnsi="宋体" w:eastAsia="宋体" w:cs="宋体"/>
          <w:b w:val="0"/>
          <w:bCs/>
          <w:szCs w:val="32"/>
          <w:lang w:eastAsia="zh-CN"/>
        </w:rPr>
        <w:t>第四节</w:t>
      </w:r>
      <w:r>
        <w:rPr>
          <w:rFonts w:hint="eastAsia" w:ascii="宋体" w:hAnsi="宋体" w:eastAsia="宋体" w:cs="宋体"/>
          <w:b w:val="0"/>
          <w:bCs/>
          <w:szCs w:val="32"/>
        </w:rPr>
        <w:t xml:space="preserve"> </w:t>
      </w:r>
      <w:r>
        <w:rPr>
          <w:rFonts w:hint="eastAsia" w:ascii="宋体" w:hAnsi="宋体" w:eastAsia="宋体" w:cs="宋体"/>
          <w:b w:val="0"/>
          <w:bCs/>
          <w:szCs w:val="32"/>
          <w:lang w:val="en-US" w:eastAsia="zh-CN"/>
        </w:rPr>
        <w:t xml:space="preserve"> </w:t>
      </w:r>
      <w:r>
        <w:rPr>
          <w:rFonts w:hint="eastAsia" w:ascii="宋体" w:hAnsi="宋体" w:eastAsia="宋体" w:cs="宋体"/>
          <w:b w:val="0"/>
          <w:bCs/>
          <w:szCs w:val="32"/>
        </w:rPr>
        <w:t>监管工作考核与责任追究</w:t>
      </w:r>
    </w:p>
    <w:p>
      <w:pPr>
        <w:widowControl w:val="0"/>
        <w:numPr>
          <w:ilvl w:val="0"/>
          <w:numId w:val="0"/>
        </w:numPr>
        <w:wordWrap/>
        <w:adjustRightInd w:val="0"/>
        <w:spacing w:line="590" w:lineRule="exact"/>
        <w:jc w:val="both"/>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第三十九条</w:t>
      </w:r>
      <w:r>
        <w:rPr>
          <w:rFonts w:hint="eastAsia" w:ascii="仿宋_GB2312" w:hAnsi="仿宋_GB2312" w:eastAsia="仿宋_GB2312" w:cs="仿宋_GB2312"/>
          <w:b w:val="0"/>
          <w:bCs/>
          <w:szCs w:val="32"/>
        </w:rPr>
        <w:t xml:space="preserve">  县级以上人民政府应当将查处假冒伪劣商品违法行为工作纳入</w:t>
      </w:r>
      <w:r>
        <w:rPr>
          <w:rFonts w:hint="eastAsia" w:ascii="仿宋_GB2312" w:hAnsi="仿宋_GB2312" w:eastAsia="仿宋_GB2312" w:cs="仿宋_GB2312"/>
          <w:b w:val="0"/>
          <w:bCs/>
          <w:kern w:val="0"/>
          <w:szCs w:val="32"/>
        </w:rPr>
        <w:t>社会管理综合治理考评范围，建立健全责任考核制度，</w:t>
      </w:r>
      <w:r>
        <w:rPr>
          <w:rFonts w:hint="eastAsia" w:ascii="仿宋_GB2312" w:hAnsi="仿宋_GB2312" w:eastAsia="仿宋_GB2312" w:cs="仿宋_GB2312"/>
          <w:b w:val="0"/>
          <w:bCs/>
          <w:szCs w:val="32"/>
        </w:rPr>
        <w:t>定期对其监督管理部门和下级人民政府的下列工作进行</w:t>
      </w:r>
      <w:r>
        <w:rPr>
          <w:rFonts w:hint="eastAsia" w:ascii="仿宋_GB2312" w:hAnsi="仿宋_GB2312" w:eastAsia="仿宋_GB2312" w:cs="仿宋_GB2312"/>
          <w:b w:val="0"/>
          <w:bCs/>
          <w:kern w:val="0"/>
          <w:szCs w:val="32"/>
        </w:rPr>
        <w:t>考核：</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（一）对本行政区域内生产、销售假冒伪劣商品违法行为的查处情况；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（二）对本行政区域内重点商品、重点市场、重点地区的整治情况；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（三）监管制度和执法队伍建设情况；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（四）对上级政府及其职能部门或者外地执法部门查处本行政区域内生产、销售假冒伪劣商品违法行为的支持配合情况；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（五）本行政区域内各相关部门在查处生产、销售假冒伪劣商品违法行为工作中的配合、协调情况；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（六）其他查处工作的开展情况。</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考核的标准、程序和结果应当向社会公开。</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第四十条</w:t>
      </w:r>
      <w:r>
        <w:rPr>
          <w:rFonts w:hint="eastAsia" w:ascii="仿宋_GB2312" w:hAnsi="仿宋_GB2312" w:eastAsia="仿宋_GB2312" w:cs="仿宋_GB2312"/>
          <w:b w:val="0"/>
          <w:bCs/>
          <w:szCs w:val="32"/>
        </w:rPr>
        <w:t xml:space="preserve">  对生产、销售假冒伪劣商品违法活动情况严重而又屡禁不止的地区，县级以上人民政府应当明确提出整治期限和要求，并可以直接督查、督办。</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第四十一条</w:t>
      </w:r>
      <w:r>
        <w:rPr>
          <w:rFonts w:hint="eastAsia" w:ascii="仿宋_GB2312" w:hAnsi="仿宋_GB2312" w:eastAsia="仿宋_GB2312" w:cs="仿宋_GB2312"/>
          <w:b w:val="0"/>
          <w:bCs/>
          <w:szCs w:val="32"/>
        </w:rPr>
        <w:t xml:space="preserve">  县级以上人民政府监察机关应当加强对本级人民政府监督管理部门及行政执法人员的监督，对不依法行使职权或者推诿、不履行法定义务的行为予以查处。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第四十二条</w:t>
      </w:r>
      <w:r>
        <w:rPr>
          <w:rFonts w:hint="eastAsia" w:ascii="仿宋_GB2312" w:hAnsi="仿宋_GB2312" w:eastAsia="仿宋_GB2312" w:cs="仿宋_GB2312"/>
          <w:b w:val="0"/>
          <w:bCs/>
          <w:szCs w:val="32"/>
        </w:rPr>
        <w:t xml:space="preserve">  县级以上人民政府及其监督管理部门应当加强执法队伍建设，对执法人员严格管理，严格监督，加强培训考核。</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县级以上人民政府及其监督管理部门应当建立</w:t>
      </w:r>
      <w:r>
        <w:rPr>
          <w:rFonts w:hint="eastAsia" w:ascii="仿宋_GB2312" w:hAnsi="仿宋_GB2312" w:eastAsia="仿宋_GB2312" w:cs="仿宋_GB2312"/>
          <w:b w:val="0"/>
          <w:bCs/>
          <w:kern w:val="0"/>
          <w:szCs w:val="32"/>
        </w:rPr>
        <w:t>行政执法监督制度，</w:t>
      </w:r>
      <w:r>
        <w:rPr>
          <w:rFonts w:hint="eastAsia" w:ascii="仿宋_GB2312" w:hAnsi="仿宋_GB2312" w:eastAsia="仿宋_GB2312" w:cs="仿宋_GB2312"/>
          <w:b w:val="0"/>
          <w:bCs/>
          <w:szCs w:val="32"/>
        </w:rPr>
        <w:t>对执法人员的行政执法行为进行监督检查</w:t>
      </w:r>
      <w:r>
        <w:rPr>
          <w:rFonts w:hint="eastAsia" w:ascii="仿宋_GB2312" w:hAnsi="仿宋_GB2312" w:eastAsia="仿宋_GB2312" w:cs="仿宋_GB2312"/>
          <w:b w:val="0"/>
          <w:bCs/>
          <w:kern w:val="0"/>
          <w:szCs w:val="32"/>
        </w:rPr>
        <w:t>。</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lang w:val="en-US" w:eastAsia="zh-CN"/>
        </w:rPr>
        <w:t>第四十三条</w:t>
      </w:r>
      <w:r>
        <w:rPr>
          <w:rFonts w:hint="eastAsia" w:ascii="仿宋_GB2312" w:hAnsi="仿宋_GB2312" w:eastAsia="仿宋_GB2312" w:cs="仿宋_GB2312"/>
          <w:b w:val="0"/>
          <w:bCs/>
          <w:szCs w:val="32"/>
          <w:lang w:val="en-US" w:eastAsia="zh-CN"/>
        </w:rPr>
        <w:t xml:space="preserve"> </w:t>
      </w:r>
      <w:r>
        <w:rPr>
          <w:rFonts w:hint="eastAsia" w:ascii="仿宋_GB2312" w:hAnsi="仿宋_GB2312" w:eastAsia="仿宋_GB2312" w:cs="仿宋_GB2312"/>
          <w:b w:val="0"/>
          <w:bCs/>
          <w:szCs w:val="32"/>
        </w:rPr>
        <w:t xml:space="preserve"> 县级以上人民政府及其有关部门应当建立</w:t>
      </w:r>
      <w:r>
        <w:rPr>
          <w:rFonts w:hint="eastAsia" w:ascii="仿宋_GB2312" w:hAnsi="仿宋_GB2312" w:eastAsia="仿宋_GB2312" w:cs="仿宋_GB2312"/>
          <w:b w:val="0"/>
          <w:bCs/>
          <w:kern w:val="0"/>
          <w:szCs w:val="32"/>
        </w:rPr>
        <w:t>执法责任追究制度。有下列情形之一的，应当依法追究其主要负责人、直接负责的主管人员和其他直接责任人员的责任：</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（一）监督管理</w:t>
      </w:r>
      <w:r>
        <w:rPr>
          <w:rFonts w:hint="eastAsia" w:ascii="仿宋_GB2312" w:hAnsi="仿宋_GB2312" w:eastAsia="仿宋_GB2312" w:cs="仿宋_GB2312"/>
          <w:b w:val="0"/>
          <w:bCs/>
          <w:kern w:val="0"/>
          <w:szCs w:val="32"/>
        </w:rPr>
        <w:t>部门监管不力、造成严重后果的；</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（二）监督管理</w:t>
      </w:r>
      <w:r>
        <w:rPr>
          <w:rFonts w:hint="eastAsia" w:ascii="仿宋_GB2312" w:hAnsi="仿宋_GB2312" w:eastAsia="仿宋_GB2312" w:cs="仿宋_GB2312"/>
          <w:b w:val="0"/>
          <w:bCs/>
          <w:kern w:val="0"/>
          <w:szCs w:val="32"/>
        </w:rPr>
        <w:t>部门及其他有关负有查处职责的部门，对依法应当受理的移送案件推诿或者不受理，造成严重后果的；</w:t>
      </w:r>
    </w:p>
    <w:p>
      <w:pPr>
        <w:widowControl w:val="0"/>
        <w:wordWrap/>
        <w:adjustRightInd w:val="0"/>
        <w:spacing w:line="590" w:lineRule="exact"/>
        <w:ind w:firstLine="61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（三）</w:t>
      </w:r>
      <w:r>
        <w:rPr>
          <w:rFonts w:hint="eastAsia" w:ascii="仿宋_GB2312" w:hAnsi="仿宋_GB2312" w:eastAsia="仿宋_GB2312" w:cs="仿宋_GB2312"/>
          <w:b w:val="0"/>
          <w:bCs/>
          <w:szCs w:val="32"/>
        </w:rPr>
        <w:t>滥用职权，给公民、法人和其他组织的合法权益造成损害的</w:t>
      </w:r>
      <w:r>
        <w:rPr>
          <w:rFonts w:hint="eastAsia" w:ascii="仿宋_GB2312" w:hAnsi="仿宋_GB2312" w:eastAsia="仿宋_GB2312" w:cs="仿宋_GB2312"/>
          <w:b w:val="0"/>
          <w:bCs/>
          <w:kern w:val="0"/>
          <w:szCs w:val="32"/>
        </w:rPr>
        <w:t>。</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国家工作人员与制假售假人员相互勾结，或者包庇、纵容生产、销售假冒伪劣商品违法活动的，应当依法查处。</w:t>
      </w:r>
    </w:p>
    <w:p>
      <w:pPr>
        <w:widowControl w:val="0"/>
        <w:wordWrap/>
        <w:adjustRightInd w:val="0"/>
        <w:spacing w:line="590" w:lineRule="exact"/>
        <w:textAlignment w:val="auto"/>
        <w:rPr>
          <w:rFonts w:hint="eastAsia" w:ascii="宋体" w:hAnsi="宋体" w:eastAsia="宋体" w:cs="宋体"/>
          <w:b w:val="0"/>
          <w:bCs/>
          <w:szCs w:val="32"/>
        </w:rPr>
      </w:pPr>
    </w:p>
    <w:p>
      <w:pPr>
        <w:widowControl w:val="0"/>
        <w:numPr>
          <w:ilvl w:val="0"/>
          <w:numId w:val="0"/>
        </w:numPr>
        <w:wordWrap/>
        <w:adjustRightInd w:val="0"/>
        <w:spacing w:line="590" w:lineRule="exact"/>
        <w:jc w:val="center"/>
        <w:textAlignment w:val="auto"/>
        <w:rPr>
          <w:rFonts w:hint="eastAsia" w:ascii="仿宋_GB2312" w:hAnsi="仿宋_GB2312" w:eastAsia="仿宋_GB2312" w:cs="仿宋_GB2312"/>
          <w:b w:val="0"/>
          <w:bCs/>
          <w:szCs w:val="32"/>
        </w:rPr>
      </w:pPr>
      <w:r>
        <w:rPr>
          <w:rFonts w:hint="eastAsia" w:ascii="黑体" w:hAnsi="黑体" w:eastAsia="黑体" w:cs="黑体"/>
          <w:b w:val="0"/>
          <w:bCs/>
          <w:szCs w:val="32"/>
          <w:lang w:val="en-US" w:eastAsia="zh-CN"/>
        </w:rPr>
        <w:t xml:space="preserve">第四章 </w:t>
      </w:r>
      <w:r>
        <w:rPr>
          <w:rFonts w:hint="eastAsia" w:ascii="黑体" w:hAnsi="黑体" w:eastAsia="黑体" w:cs="黑体"/>
          <w:b w:val="0"/>
          <w:bCs/>
          <w:szCs w:val="32"/>
        </w:rPr>
        <w:t xml:space="preserve"> 社会监督</w:t>
      </w:r>
    </w:p>
    <w:p>
      <w:pPr>
        <w:widowControl w:val="0"/>
        <w:wordWrap/>
        <w:adjustRightInd w:val="0"/>
        <w:spacing w:line="590" w:lineRule="exact"/>
        <w:textAlignment w:val="auto"/>
        <w:rPr>
          <w:rFonts w:hint="eastAsia" w:ascii="宋体" w:hAnsi="宋体" w:eastAsia="仿宋_GB2312" w:cs="宋体"/>
          <w:b w:val="0"/>
          <w:bCs/>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行业协会应当</w:t>
      </w:r>
      <w:r>
        <w:rPr>
          <w:rFonts w:hint="eastAsia" w:ascii="仿宋_GB2312" w:hAnsi="仿宋_GB2312" w:eastAsia="仿宋_GB2312" w:cs="仿宋_GB2312"/>
          <w:b w:val="0"/>
          <w:bCs/>
          <w:kern w:val="0"/>
          <w:szCs w:val="32"/>
        </w:rPr>
        <w:t>建立健全守信表彰、失信惩戒的行业自律机制</w:t>
      </w:r>
      <w:r>
        <w:rPr>
          <w:rFonts w:hint="eastAsia" w:ascii="仿宋_GB2312" w:hAnsi="仿宋_GB2312" w:eastAsia="仿宋_GB2312" w:cs="仿宋_GB2312"/>
          <w:b w:val="0"/>
          <w:bCs/>
          <w:szCs w:val="32"/>
        </w:rPr>
        <w:t>，指导、监督生产者、销售者的经营活动，引导其依法生产经营、履行社会责任、维护自身合法权益。</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行业协会发现行业内生产、销售假冒伪劣商品违法行为的，应当及时报告监督管理部门。</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监督管理部门应当向行业协会、生产者、销售者了解行业内商品质量的有关情况，及时发现问题并处理。</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消费者协会等保护消费者权益的组织就消费者反映的商品质量问题，有权建议有关部门负责处理，支持和协助消费者对因商品质量造成的损害向人民法院起诉。</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第四十六条</w:t>
      </w:r>
      <w:r>
        <w:rPr>
          <w:rFonts w:hint="eastAsia" w:ascii="仿宋_GB2312" w:hAnsi="仿宋_GB2312" w:eastAsia="仿宋_GB2312" w:cs="仿宋_GB2312"/>
          <w:b w:val="0"/>
          <w:bCs/>
          <w:szCs w:val="32"/>
        </w:rPr>
        <w:t xml:space="preserve"> </w:t>
      </w:r>
      <w:r>
        <w:rPr>
          <w:rStyle w:val="23"/>
          <w:rFonts w:hint="eastAsia" w:ascii="仿宋_GB2312" w:hAnsi="仿宋_GB2312" w:eastAsia="仿宋_GB2312" w:cs="仿宋_GB2312"/>
          <w:b w:val="0"/>
          <w:bCs/>
          <w:szCs w:val="32"/>
        </w:rPr>
        <w:t xml:space="preserve"> </w:t>
      </w:r>
      <w:r>
        <w:rPr>
          <w:rFonts w:hint="eastAsia" w:ascii="仿宋_GB2312" w:hAnsi="仿宋_GB2312" w:eastAsia="仿宋_GB2312" w:cs="仿宋_GB2312"/>
          <w:b w:val="0"/>
          <w:bCs/>
          <w:szCs w:val="32"/>
        </w:rPr>
        <w:t>产品质量认证机构应当依照国家规定对准许使用认证标志的商品进行认证后的跟踪检查；对不符合认证标准而使用认证标志的，要求其改正；情节严重的，取消其使用认证标志的资格。</w:t>
      </w:r>
    </w:p>
    <w:p>
      <w:pPr>
        <w:widowControl w:val="0"/>
        <w:wordWrap/>
        <w:adjustRightInd w:val="0"/>
        <w:spacing w:line="590" w:lineRule="exact"/>
        <w:ind w:firstLine="61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第四十七条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报刊、广播、电视、网络等媒体应当加大舆论监督力度，重点曝光制假窝点，假货集散地，数量巨大、情节严重的重点案件以及包庇、纵容制假售假等违法犯罪行为。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第四十八条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鼓励社会团体、基层群众性自治组织和媒体开展商品安全知识及相关法律、法规的普及宣传工作，</w:t>
      </w:r>
      <w:r>
        <w:rPr>
          <w:rFonts w:hint="eastAsia" w:ascii="仿宋_GB2312" w:hAnsi="仿宋_GB2312" w:eastAsia="仿宋_GB2312" w:cs="仿宋_GB2312"/>
          <w:b w:val="0"/>
          <w:bCs/>
          <w:kern w:val="0"/>
          <w:szCs w:val="32"/>
        </w:rPr>
        <w:t>引导消费者选择合法生产者、销售者生产、销售的商品以及有合法标识的商品</w:t>
      </w:r>
      <w:r>
        <w:rPr>
          <w:rFonts w:hint="eastAsia" w:ascii="仿宋_GB2312" w:hAnsi="仿宋_GB2312" w:eastAsia="仿宋_GB2312" w:cs="仿宋_GB2312"/>
          <w:b w:val="0"/>
          <w:bCs/>
          <w:szCs w:val="32"/>
        </w:rPr>
        <w:t>，增强消费者商品安全意识和防假辨假能力。</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第四十九条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用户和消费者有权要求生产者、销售者提供的商品符合保障人身、财产安全的要求；有权就商品质量问题，向商品的生产者、销售者查询、提出意见和进行监督，对查处生产、销售假冒伪劣商品违法行为的工作提出批评、建议。</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szCs w:val="32"/>
          <w:u w:val="single"/>
        </w:rPr>
      </w:pPr>
      <w:r>
        <w:rPr>
          <w:rFonts w:hint="eastAsia" w:ascii="仿宋_GB2312" w:hAnsi="仿宋_GB2312" w:eastAsia="仿宋_GB2312" w:cs="仿宋_GB2312"/>
          <w:b w:val="0"/>
          <w:bCs/>
          <w:szCs w:val="32"/>
        </w:rPr>
        <w:t>用户和消费者因购买、使用商品受到人身、财产损害的，享有依法获得赔偿的权利。</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鼓励和支持用户、消费者通过投诉、调解、仲裁和民事诉讼等方式维护自己的合法权益。</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任何单位和个人有权对生产、销售假冒伪劣商品的违法行为，向监督管理部门举报。鼓励和支持生产者、销售者对假冒其商品的违法行为进行调查和举报。</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举报人的合法权利受法律保护，禁止打击、报复举报人。监督管理部门应当为举报人保密。</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第五十一条</w:t>
      </w:r>
      <w:r>
        <w:rPr>
          <w:rFonts w:hint="eastAsia" w:ascii="仿宋_GB2312" w:hAnsi="仿宋_GB2312" w:eastAsia="仿宋_GB2312" w:cs="仿宋_GB2312"/>
          <w:b w:val="0"/>
          <w:bCs/>
          <w:szCs w:val="32"/>
        </w:rPr>
        <w:t xml:space="preserve">  监督管理部门应当</w:t>
      </w:r>
      <w:r>
        <w:rPr>
          <w:rFonts w:hint="eastAsia" w:ascii="仿宋_GB2312" w:hAnsi="仿宋_GB2312" w:eastAsia="仿宋_GB2312" w:cs="仿宋_GB2312"/>
          <w:b w:val="0"/>
          <w:bCs/>
          <w:kern w:val="0"/>
          <w:szCs w:val="32"/>
        </w:rPr>
        <w:t>畅通投诉举报渠道</w:t>
      </w:r>
      <w:r>
        <w:rPr>
          <w:rFonts w:hint="eastAsia" w:ascii="仿宋_GB2312" w:hAnsi="仿宋_GB2312" w:eastAsia="仿宋_GB2312" w:cs="仿宋_GB2312"/>
          <w:b w:val="0"/>
          <w:bCs/>
          <w:szCs w:val="32"/>
        </w:rPr>
        <w:t>，向社会</w:t>
      </w:r>
      <w:r>
        <w:rPr>
          <w:rFonts w:hint="eastAsia" w:ascii="仿宋_GB2312" w:hAnsi="仿宋_GB2312" w:eastAsia="仿宋_GB2312" w:cs="仿宋_GB2312"/>
          <w:b w:val="0"/>
          <w:bCs/>
          <w:kern w:val="0"/>
          <w:szCs w:val="32"/>
        </w:rPr>
        <w:t>公布举报电话、电子邮件地址</w:t>
      </w:r>
      <w:r>
        <w:rPr>
          <w:rFonts w:hint="eastAsia" w:ascii="仿宋_GB2312" w:hAnsi="仿宋_GB2312" w:eastAsia="仿宋_GB2312" w:cs="仿宋_GB2312"/>
          <w:b w:val="0"/>
          <w:bCs/>
          <w:szCs w:val="32"/>
        </w:rPr>
        <w:t>等信息。</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监督管理部门接到投诉、举报后，</w:t>
      </w:r>
      <w:r>
        <w:rPr>
          <w:rFonts w:hint="eastAsia" w:ascii="仿宋_GB2312" w:hAnsi="仿宋_GB2312" w:eastAsia="仿宋_GB2312" w:cs="仿宋_GB2312"/>
          <w:b w:val="0"/>
          <w:bCs/>
          <w:kern w:val="0"/>
          <w:szCs w:val="32"/>
        </w:rPr>
        <w:t>应当及时、完整地进行记录并妥善保存。</w:t>
      </w:r>
      <w:r>
        <w:rPr>
          <w:rFonts w:hint="eastAsia" w:ascii="仿宋_GB2312" w:hAnsi="仿宋_GB2312" w:eastAsia="仿宋_GB2312" w:cs="仿宋_GB2312"/>
          <w:b w:val="0"/>
          <w:bCs/>
          <w:szCs w:val="32"/>
        </w:rPr>
        <w:t>投诉、</w:t>
      </w:r>
      <w:r>
        <w:rPr>
          <w:rFonts w:hint="eastAsia" w:ascii="仿宋_GB2312" w:hAnsi="仿宋_GB2312" w:eastAsia="仿宋_GB2312" w:cs="仿宋_GB2312"/>
          <w:b w:val="0"/>
          <w:bCs/>
          <w:kern w:val="0"/>
          <w:szCs w:val="32"/>
        </w:rPr>
        <w:t>举报的事项属于本部门职责的，应当受理，并及时依法进行核实、处理、答复；不属于本部门职责的，应当转交有权处理的部门，并告知举报、投诉人。</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kern w:val="0"/>
          <w:szCs w:val="32"/>
        </w:rPr>
      </w:pPr>
      <w:r>
        <w:rPr>
          <w:rFonts w:hint="eastAsia" w:ascii="黑体" w:hAnsi="黑体" w:eastAsia="黑体" w:cs="黑体"/>
          <w:b w:val="0"/>
          <w:bCs/>
          <w:szCs w:val="32"/>
        </w:rPr>
        <w:t>第五十二条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案件依法查处后，</w:t>
      </w:r>
      <w:r>
        <w:rPr>
          <w:rFonts w:hint="eastAsia" w:ascii="仿宋_GB2312" w:hAnsi="仿宋_GB2312" w:eastAsia="仿宋_GB2312" w:cs="仿宋_GB2312"/>
          <w:b w:val="0"/>
          <w:bCs/>
          <w:szCs w:val="32"/>
        </w:rPr>
        <w:t>监督管理</w:t>
      </w:r>
      <w:r>
        <w:rPr>
          <w:rFonts w:hint="eastAsia" w:ascii="仿宋_GB2312" w:hAnsi="仿宋_GB2312" w:eastAsia="仿宋_GB2312" w:cs="仿宋_GB2312"/>
          <w:b w:val="0"/>
          <w:bCs/>
          <w:iCs/>
          <w:kern w:val="0"/>
          <w:szCs w:val="32"/>
        </w:rPr>
        <w:t>部门给予举报人罚没款数额</w:t>
      </w:r>
      <w:r>
        <w:rPr>
          <w:rFonts w:hint="eastAsia" w:ascii="仿宋_GB2312" w:hAnsi="仿宋_GB2312" w:eastAsia="仿宋_GB2312" w:cs="仿宋_GB2312"/>
          <w:b w:val="0"/>
          <w:bCs/>
          <w:kern w:val="0"/>
          <w:szCs w:val="32"/>
        </w:rPr>
        <w:t>百分之一以上、</w:t>
      </w:r>
      <w:r>
        <w:rPr>
          <w:rFonts w:hint="eastAsia" w:ascii="仿宋_GB2312" w:hAnsi="仿宋_GB2312" w:eastAsia="仿宋_GB2312" w:cs="仿宋_GB2312"/>
          <w:b w:val="0"/>
          <w:bCs/>
          <w:iCs/>
          <w:kern w:val="0"/>
          <w:szCs w:val="32"/>
        </w:rPr>
        <w:t>百分之十以下的奖励；没有罚没款的，给予适当奖励。奖金在办案经费中列支。</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奖励的具体办法由省人民政府另行制定。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第五十三条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生产者、销售者不得捏造、散布虚假信息，损害竞争对手的商业信誉、商品声誉。</w:t>
      </w:r>
    </w:p>
    <w:p>
      <w:pPr>
        <w:widowControl w:val="0"/>
        <w:wordWrap/>
        <w:adjustRightInd w:val="0"/>
        <w:spacing w:line="590" w:lineRule="exact"/>
        <w:ind w:firstLine="640" w:firstLineChars="200"/>
        <w:textAlignment w:val="auto"/>
        <w:rPr>
          <w:rFonts w:hint="eastAsia" w:ascii="宋体" w:hAnsi="宋体" w:eastAsia="宋体" w:cs="宋体"/>
          <w:b w:val="0"/>
          <w:bCs/>
          <w:szCs w:val="32"/>
        </w:rPr>
      </w:pPr>
    </w:p>
    <w:p>
      <w:pPr>
        <w:widowControl w:val="0"/>
        <w:wordWrap/>
        <w:adjustRightInd w:val="0"/>
        <w:spacing w:line="590" w:lineRule="exact"/>
        <w:jc w:val="center"/>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第五章  法律责任</w:t>
      </w:r>
    </w:p>
    <w:p>
      <w:pPr>
        <w:widowControl w:val="0"/>
        <w:wordWrap/>
        <w:adjustRightInd w:val="0"/>
        <w:spacing w:line="590" w:lineRule="exact"/>
        <w:textAlignment w:val="auto"/>
        <w:rPr>
          <w:rFonts w:hint="eastAsia" w:ascii="宋体" w:hAnsi="宋体" w:eastAsia="仿宋_GB2312" w:cs="宋体"/>
          <w:b w:val="0"/>
          <w:bCs/>
          <w:kern w:val="0"/>
          <w:szCs w:val="32"/>
        </w:rPr>
      </w:pP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第五十四条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生产、销售假冒伪劣商品或者为生产、销售假冒伪劣商品提供服务，构成犯罪的，依法追究刑事责任。</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第五十五条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生产、销售</w:t>
      </w:r>
      <w:r>
        <w:rPr>
          <w:rFonts w:hint="eastAsia" w:ascii="仿宋_GB2312" w:hAnsi="仿宋_GB2312" w:eastAsia="仿宋_GB2312" w:cs="仿宋_GB2312"/>
          <w:b w:val="0"/>
          <w:bCs/>
          <w:szCs w:val="32"/>
        </w:rPr>
        <w:t>本条例第十条第一、</w:t>
      </w:r>
      <w:r>
        <w:rPr>
          <w:rFonts w:hint="eastAsia" w:ascii="仿宋_GB2312" w:hAnsi="仿宋_GB2312" w:eastAsia="仿宋_GB2312" w:cs="仿宋_GB2312"/>
          <w:b w:val="0"/>
          <w:bCs/>
          <w:kern w:val="0"/>
          <w:szCs w:val="32"/>
        </w:rPr>
        <w:t>二、三、四、五、六</w:t>
      </w:r>
      <w:r>
        <w:rPr>
          <w:rFonts w:hint="eastAsia" w:ascii="仿宋_GB2312" w:hAnsi="仿宋_GB2312" w:eastAsia="仿宋_GB2312" w:cs="仿宋_GB2312"/>
          <w:b w:val="0"/>
          <w:bCs/>
          <w:szCs w:val="32"/>
        </w:rPr>
        <w:t>项所列</w:t>
      </w:r>
      <w:r>
        <w:rPr>
          <w:rFonts w:hint="eastAsia" w:ascii="仿宋_GB2312" w:hAnsi="仿宋_GB2312" w:eastAsia="仿宋_GB2312" w:cs="仿宋_GB2312"/>
          <w:b w:val="0"/>
          <w:bCs/>
          <w:kern w:val="0"/>
          <w:szCs w:val="32"/>
        </w:rPr>
        <w:t>商品的，责令停止生产、销售，没收销售收入和违法生产、销售的商品，并处以该批违法商品货值金额</w:t>
      </w:r>
      <w:r>
        <w:rPr>
          <w:rFonts w:hint="eastAsia" w:ascii="仿宋_GB2312" w:hAnsi="仿宋_GB2312" w:eastAsia="仿宋_GB2312" w:cs="仿宋_GB2312"/>
          <w:b w:val="0"/>
          <w:bCs/>
          <w:iCs/>
          <w:kern w:val="0"/>
          <w:szCs w:val="32"/>
        </w:rPr>
        <w:t>等值以上</w:t>
      </w:r>
      <w:r>
        <w:rPr>
          <w:rFonts w:hint="eastAsia" w:ascii="仿宋_GB2312" w:hAnsi="仿宋_GB2312" w:eastAsia="仿宋_GB2312" w:cs="仿宋_GB2312"/>
          <w:b w:val="0"/>
          <w:bCs/>
          <w:szCs w:val="32"/>
        </w:rPr>
        <w:t>三</w:t>
      </w:r>
      <w:r>
        <w:rPr>
          <w:rFonts w:hint="eastAsia" w:ascii="仿宋_GB2312" w:hAnsi="仿宋_GB2312" w:eastAsia="仿宋_GB2312" w:cs="仿宋_GB2312"/>
          <w:b w:val="0"/>
          <w:bCs/>
          <w:kern w:val="0"/>
          <w:szCs w:val="32"/>
        </w:rPr>
        <w:t>倍</w:t>
      </w:r>
      <w:r>
        <w:rPr>
          <w:rFonts w:hint="eastAsia" w:ascii="仿宋_GB2312" w:hAnsi="仿宋_GB2312" w:eastAsia="仿宋_GB2312" w:cs="仿宋_GB2312"/>
          <w:b w:val="0"/>
          <w:bCs/>
          <w:iCs/>
          <w:kern w:val="0"/>
          <w:szCs w:val="32"/>
        </w:rPr>
        <w:t>以下</w:t>
      </w:r>
      <w:r>
        <w:rPr>
          <w:rFonts w:hint="eastAsia" w:ascii="仿宋_GB2312" w:hAnsi="仿宋_GB2312" w:eastAsia="仿宋_GB2312" w:cs="仿宋_GB2312"/>
          <w:b w:val="0"/>
          <w:bCs/>
          <w:kern w:val="0"/>
          <w:szCs w:val="32"/>
        </w:rPr>
        <w:t>罚款。</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生产、销售本条例第十条第七项所列商品的，责令停止销售，没收违法销售的商品，并处违法销售商品货值金额二倍以下的罚款；有违法所得的，并处没收违法所得。</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生产、销售本条例第</w:t>
      </w:r>
      <w:r>
        <w:rPr>
          <w:rFonts w:hint="eastAsia" w:ascii="仿宋_GB2312" w:hAnsi="仿宋_GB2312" w:eastAsia="仿宋_GB2312" w:cs="仿宋_GB2312"/>
          <w:b w:val="0"/>
          <w:bCs/>
          <w:szCs w:val="32"/>
        </w:rPr>
        <w:t>十</w:t>
      </w:r>
      <w:r>
        <w:rPr>
          <w:rFonts w:hint="eastAsia" w:ascii="仿宋_GB2312" w:hAnsi="仿宋_GB2312" w:eastAsia="仿宋_GB2312" w:cs="仿宋_GB2312"/>
          <w:b w:val="0"/>
          <w:bCs/>
          <w:kern w:val="0"/>
          <w:szCs w:val="32"/>
        </w:rPr>
        <w:t>条第八、九、十、十一、十二项所列商品的，</w:t>
      </w:r>
      <w:r>
        <w:rPr>
          <w:rFonts w:hint="eastAsia" w:ascii="仿宋_GB2312" w:hAnsi="仿宋_GB2312" w:eastAsia="仿宋_GB2312" w:cs="仿宋_GB2312"/>
          <w:b w:val="0"/>
          <w:bCs/>
          <w:szCs w:val="32"/>
        </w:rPr>
        <w:t>责令改正，没收违法生产、销售的商品，并处违法生产、销售商品货值金额等值以下的罚款；有违法所得的，并处没收违法所得</w:t>
      </w:r>
      <w:r>
        <w:rPr>
          <w:rFonts w:hint="eastAsia" w:ascii="仿宋_GB2312" w:hAnsi="仿宋_GB2312" w:eastAsia="仿宋_GB2312" w:cs="仿宋_GB2312"/>
          <w:b w:val="0"/>
          <w:bCs/>
          <w:kern w:val="0"/>
          <w:szCs w:val="32"/>
        </w:rPr>
        <w:t>。</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生产、销售本条例第</w:t>
      </w:r>
      <w:r>
        <w:rPr>
          <w:rFonts w:hint="eastAsia" w:ascii="仿宋_GB2312" w:hAnsi="仿宋_GB2312" w:eastAsia="仿宋_GB2312" w:cs="仿宋_GB2312"/>
          <w:b w:val="0"/>
          <w:bCs/>
          <w:szCs w:val="32"/>
        </w:rPr>
        <w:t>十</w:t>
      </w:r>
      <w:r>
        <w:rPr>
          <w:rFonts w:hint="eastAsia" w:ascii="仿宋_GB2312" w:hAnsi="仿宋_GB2312" w:eastAsia="仿宋_GB2312" w:cs="仿宋_GB2312"/>
          <w:b w:val="0"/>
          <w:bCs/>
          <w:kern w:val="0"/>
          <w:szCs w:val="32"/>
        </w:rPr>
        <w:t>条第一、二、三、四、五、六、七、八、九、十、十一、十二项所列商品，法律法规对处罚另有规定的，从其规定。生产、销售本条例第</w:t>
      </w:r>
      <w:r>
        <w:rPr>
          <w:rFonts w:hint="eastAsia" w:ascii="仿宋_GB2312" w:hAnsi="仿宋_GB2312" w:eastAsia="仿宋_GB2312" w:cs="仿宋_GB2312"/>
          <w:b w:val="0"/>
          <w:bCs/>
          <w:szCs w:val="32"/>
        </w:rPr>
        <w:t>十</w:t>
      </w:r>
      <w:r>
        <w:rPr>
          <w:rFonts w:hint="eastAsia" w:ascii="仿宋_GB2312" w:hAnsi="仿宋_GB2312" w:eastAsia="仿宋_GB2312" w:cs="仿宋_GB2312"/>
          <w:b w:val="0"/>
          <w:bCs/>
          <w:kern w:val="0"/>
          <w:szCs w:val="32"/>
        </w:rPr>
        <w:t>条第十三项所列商品的，依照《中华人民共和国商标法》、《中华人民共和国专利法》、《中华人民共和国著作权法》等相关法律、法规予以处罚。</w:t>
      </w:r>
    </w:p>
    <w:p>
      <w:pPr>
        <w:pStyle w:val="18"/>
        <w:widowControl/>
        <w:numPr>
          <w:ilvl w:val="0"/>
          <w:numId w:val="0"/>
        </w:numPr>
        <w:wordWrap/>
        <w:adjustRightInd/>
        <w:snapToGrid w:val="0"/>
        <w:spacing w:before="0" w:beforeLines="0" w:beforeAutospacing="0" w:after="0" w:afterLines="0" w:afterAutospacing="0" w:line="590" w:lineRule="exact"/>
        <w:ind w:leftChars="0" w:right="0" w:firstLine="640" w:firstLineChars="200"/>
        <w:jc w:val="both"/>
        <w:textAlignment w:val="auto"/>
        <w:outlineLvl w:val="9"/>
        <w:rPr>
          <w:rFonts w:hint="eastAsia" w:ascii="仿宋_GB2312" w:hAnsi="仿宋_GB2312" w:eastAsia="仿宋_GB2312" w:cs="仿宋_GB2312"/>
          <w:b w:val="0"/>
          <w:bCs/>
          <w:i/>
          <w:iCs/>
          <w:szCs w:val="32"/>
          <w:u w:val="single"/>
        </w:rPr>
      </w:pPr>
      <w:r>
        <w:rPr>
          <w:rFonts w:hint="eastAsia" w:ascii="黑体" w:hAnsi="黑体" w:eastAsia="黑体" w:cs="黑体"/>
          <w:b w:val="0"/>
          <w:bCs/>
          <w:i w:val="0"/>
          <w:iCs w:val="0"/>
          <w:sz w:val="32"/>
          <w:szCs w:val="32"/>
        </w:rPr>
        <w:t>第五十六条</w:t>
      </w:r>
      <w:r>
        <w:rPr>
          <w:rFonts w:hint="eastAsia" w:ascii="仿宋_GB2312" w:hAnsi="仿宋_GB2312" w:eastAsia="仿宋_GB2312" w:cs="仿宋_GB2312"/>
          <w:b w:val="0"/>
          <w:bCs/>
          <w:i w:val="0"/>
          <w:iCs w:val="0"/>
          <w:sz w:val="32"/>
          <w:szCs w:val="32"/>
        </w:rPr>
        <w:t xml:space="preserve"> </w:t>
      </w:r>
      <w:r>
        <w:rPr>
          <w:rFonts w:hint="eastAsia" w:ascii="仿宋_GB2312" w:hAnsi="仿宋_GB2312" w:cs="仿宋_GB2312"/>
          <w:b w:val="0"/>
          <w:bCs/>
          <w:i w:val="0"/>
          <w:iCs w:val="0"/>
          <w:sz w:val="32"/>
          <w:szCs w:val="32"/>
          <w:lang w:val="en-US" w:eastAsia="zh-CN"/>
        </w:rPr>
        <w:t xml:space="preserve"> </w:t>
      </w:r>
      <w:r>
        <w:rPr>
          <w:rFonts w:hint="eastAsia" w:ascii="仿宋_GB2312" w:hAnsi="仿宋_GB2312" w:eastAsia="仿宋_GB2312" w:cs="仿宋_GB2312"/>
          <w:b w:val="0"/>
          <w:bCs/>
          <w:i w:val="0"/>
          <w:iCs w:val="0"/>
          <w:kern w:val="0"/>
          <w:sz w:val="32"/>
          <w:szCs w:val="32"/>
        </w:rPr>
        <w:t>生产、销售</w:t>
      </w:r>
      <w:r>
        <w:rPr>
          <w:rFonts w:hint="eastAsia" w:ascii="仿宋_GB2312" w:hAnsi="仿宋_GB2312" w:eastAsia="仿宋_GB2312" w:cs="仿宋_GB2312"/>
          <w:b w:val="0"/>
          <w:bCs/>
          <w:i w:val="0"/>
          <w:iCs w:val="0"/>
          <w:sz w:val="32"/>
          <w:szCs w:val="32"/>
        </w:rPr>
        <w:t>本条例第十条第一、</w:t>
      </w:r>
      <w:r>
        <w:rPr>
          <w:rFonts w:hint="eastAsia" w:ascii="仿宋_GB2312" w:hAnsi="仿宋_GB2312" w:eastAsia="仿宋_GB2312" w:cs="仿宋_GB2312"/>
          <w:b w:val="0"/>
          <w:bCs/>
          <w:i w:val="0"/>
          <w:iCs w:val="0"/>
          <w:kern w:val="0"/>
          <w:sz w:val="32"/>
          <w:szCs w:val="32"/>
        </w:rPr>
        <w:t>二、三、四、五、六、七、八</w:t>
      </w:r>
      <w:r>
        <w:rPr>
          <w:rFonts w:hint="eastAsia" w:ascii="仿宋_GB2312" w:hAnsi="仿宋_GB2312" w:eastAsia="仿宋_GB2312" w:cs="仿宋_GB2312"/>
          <w:b w:val="0"/>
          <w:bCs/>
          <w:i w:val="0"/>
          <w:iCs w:val="0"/>
          <w:sz w:val="32"/>
          <w:szCs w:val="32"/>
        </w:rPr>
        <w:t>项所列食品，危害人体健康、生命安全的，</w:t>
      </w:r>
      <w:r>
        <w:rPr>
          <w:rStyle w:val="65"/>
          <w:rFonts w:hint="eastAsia" w:ascii="仿宋_GB2312" w:hAnsi="仿宋_GB2312" w:eastAsia="仿宋_GB2312" w:cs="仿宋_GB2312"/>
          <w:color w:val="000000"/>
          <w:sz w:val="32"/>
          <w:szCs w:val="32"/>
          <w:lang w:val="en-US" w:eastAsia="zh-CN"/>
        </w:rPr>
        <w:t>依照《</w:t>
      </w:r>
      <w:r>
        <w:rPr>
          <w:rFonts w:hint="eastAsia" w:ascii="仿宋_GB2312" w:hAnsi="仿宋_GB2312" w:eastAsia="仿宋_GB2312" w:cs="仿宋_GB2312"/>
          <w:color w:val="000000"/>
          <w:sz w:val="32"/>
          <w:szCs w:val="32"/>
          <w:lang w:val="en-US" w:eastAsia="zh-CN"/>
        </w:rPr>
        <w:fldChar w:fldCharType="begin"/>
      </w:r>
      <w:r>
        <w:rPr>
          <w:rStyle w:val="65"/>
          <w:rFonts w:hint="eastAsia" w:ascii="仿宋_GB2312" w:hAnsi="仿宋_GB2312" w:eastAsia="仿宋_GB2312" w:cs="仿宋_GB2312"/>
          <w:color w:val="000000"/>
          <w:sz w:val="32"/>
          <w:szCs w:val="32"/>
          <w:lang w:val="en-US" w:eastAsia="zh-CN"/>
        </w:rPr>
        <w:instrText xml:space="preserve"> HYPERLINK "http://10.110.8.122:81/javascript:SLC(59774,0)" </w:instrText>
      </w:r>
      <w:r>
        <w:rPr>
          <w:rFonts w:hint="eastAsia" w:ascii="仿宋_GB2312" w:hAnsi="仿宋_GB2312" w:eastAsia="仿宋_GB2312" w:cs="仿宋_GB2312"/>
          <w:color w:val="000000"/>
          <w:sz w:val="32"/>
          <w:szCs w:val="32"/>
          <w:lang w:val="en-US" w:eastAsia="zh-CN"/>
        </w:rPr>
        <w:fldChar w:fldCharType="separate"/>
      </w:r>
      <w:r>
        <w:rPr>
          <w:rStyle w:val="65"/>
          <w:rFonts w:hint="eastAsia" w:ascii="仿宋_GB2312" w:hAnsi="仿宋_GB2312" w:eastAsia="仿宋_GB2312" w:cs="仿宋_GB2312"/>
          <w:color w:val="000000"/>
          <w:sz w:val="32"/>
          <w:szCs w:val="32"/>
          <w:lang w:val="en-US" w:eastAsia="zh-CN"/>
        </w:rPr>
        <w:t>中华人民共和国食</w:t>
      </w:r>
      <w:r>
        <w:rPr>
          <w:rFonts w:hint="eastAsia" w:ascii="仿宋_GB2312" w:hAnsi="仿宋_GB2312" w:eastAsia="仿宋_GB2312" w:cs="仿宋_GB2312"/>
          <w:color w:val="000000"/>
          <w:sz w:val="32"/>
          <w:szCs w:val="32"/>
          <w:lang w:val="en-US" w:eastAsia="zh-CN"/>
        </w:rPr>
        <w:fldChar w:fldCharType="end"/>
      </w:r>
      <w:r>
        <w:rPr>
          <w:rStyle w:val="65"/>
          <w:rFonts w:hint="eastAsia" w:ascii="仿宋_GB2312" w:hAnsi="仿宋_GB2312" w:eastAsia="仿宋_GB2312" w:cs="仿宋_GB2312"/>
          <w:color w:val="000000"/>
          <w:sz w:val="32"/>
          <w:szCs w:val="32"/>
          <w:lang w:val="en-US" w:eastAsia="zh-CN"/>
        </w:rPr>
        <w:t>品</w:t>
      </w:r>
      <w:r>
        <w:rPr>
          <w:rFonts w:hint="eastAsia" w:ascii="仿宋_GB2312" w:hAnsi="仿宋_GB2312" w:eastAsia="仿宋_GB2312" w:cs="仿宋_GB2312"/>
          <w:sz w:val="32"/>
          <w:szCs w:val="32"/>
          <w:lang w:val="en-US" w:eastAsia="zh-CN"/>
        </w:rPr>
        <w:t>安全法</w:t>
      </w:r>
      <w:r>
        <w:rPr>
          <w:rStyle w:val="65"/>
          <w:rFonts w:hint="eastAsia" w:ascii="仿宋_GB2312" w:hAnsi="仿宋_GB2312" w:eastAsia="仿宋_GB2312" w:cs="仿宋_GB2312"/>
          <w:color w:val="000000"/>
          <w:sz w:val="32"/>
          <w:szCs w:val="32"/>
          <w:lang w:val="en-US" w:eastAsia="zh-CN"/>
        </w:rPr>
        <w:t>》的规定处罚。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kern w:val="0"/>
          <w:szCs w:val="32"/>
          <w:u w:val="single"/>
        </w:rPr>
      </w:pPr>
      <w:r>
        <w:rPr>
          <w:rFonts w:hint="eastAsia" w:ascii="仿宋_GB2312" w:hAnsi="仿宋_GB2312" w:eastAsia="仿宋_GB2312" w:cs="仿宋_GB2312"/>
          <w:b w:val="0"/>
          <w:bCs/>
          <w:i w:val="0"/>
          <w:iCs w:val="0"/>
          <w:kern w:val="0"/>
          <w:szCs w:val="32"/>
        </w:rPr>
        <w:t>生产、销售</w:t>
      </w:r>
      <w:r>
        <w:rPr>
          <w:rFonts w:hint="eastAsia" w:ascii="仿宋_GB2312" w:hAnsi="仿宋_GB2312" w:eastAsia="仿宋_GB2312" w:cs="仿宋_GB2312"/>
          <w:b w:val="0"/>
          <w:bCs/>
          <w:i w:val="0"/>
          <w:iCs w:val="0"/>
          <w:szCs w:val="32"/>
        </w:rPr>
        <w:t>本条例第十条第一、</w:t>
      </w:r>
      <w:r>
        <w:rPr>
          <w:rFonts w:hint="eastAsia" w:ascii="仿宋_GB2312" w:hAnsi="仿宋_GB2312" w:eastAsia="仿宋_GB2312" w:cs="仿宋_GB2312"/>
          <w:b w:val="0"/>
          <w:bCs/>
          <w:i w:val="0"/>
          <w:iCs w:val="0"/>
          <w:kern w:val="0"/>
          <w:szCs w:val="32"/>
        </w:rPr>
        <w:t>二、三、四、七、八</w:t>
      </w:r>
      <w:r>
        <w:rPr>
          <w:rFonts w:hint="eastAsia" w:ascii="仿宋_GB2312" w:hAnsi="仿宋_GB2312" w:eastAsia="仿宋_GB2312" w:cs="仿宋_GB2312"/>
          <w:b w:val="0"/>
          <w:bCs/>
          <w:i w:val="0"/>
          <w:iCs w:val="0"/>
          <w:szCs w:val="32"/>
        </w:rPr>
        <w:t>项所列药品，危害人体健康、生命安全的，</w:t>
      </w:r>
      <w:r>
        <w:rPr>
          <w:rStyle w:val="65"/>
          <w:rFonts w:hint="eastAsia" w:ascii="仿宋_GB2312" w:hAnsi="仿宋_GB2312" w:eastAsia="仿宋_GB2312" w:cs="仿宋_GB2312"/>
          <w:color w:val="000000"/>
          <w:sz w:val="32"/>
          <w:szCs w:val="32"/>
          <w:lang w:val="en-US" w:eastAsia="zh-CN"/>
        </w:rPr>
        <w:t>依照《中华</w:t>
      </w:r>
      <w:r>
        <w:rPr>
          <w:rStyle w:val="65"/>
          <w:rFonts w:hint="eastAsia" w:ascii="仿宋_GB2312" w:hAnsi="仿宋_GB2312" w:cs="仿宋_GB2312"/>
          <w:color w:val="000000"/>
          <w:sz w:val="32"/>
          <w:szCs w:val="32"/>
          <w:lang w:val="en-US" w:eastAsia="zh-CN"/>
        </w:rPr>
        <w:t>人民</w:t>
      </w:r>
      <w:r>
        <w:rPr>
          <w:rStyle w:val="65"/>
          <w:rFonts w:hint="eastAsia" w:ascii="仿宋_GB2312" w:hAnsi="仿宋_GB2312" w:eastAsia="仿宋_GB2312" w:cs="仿宋_GB2312"/>
          <w:color w:val="000000"/>
          <w:sz w:val="32"/>
          <w:szCs w:val="32"/>
          <w:lang w:val="en-US" w:eastAsia="zh-CN"/>
        </w:rPr>
        <w:t>共和国药品管理</w:t>
      </w:r>
      <w:r>
        <w:rPr>
          <w:rFonts w:hint="eastAsia" w:ascii="仿宋_GB2312" w:hAnsi="仿宋_GB2312" w:eastAsia="仿宋_GB2312" w:cs="仿宋_GB2312"/>
          <w:sz w:val="32"/>
          <w:szCs w:val="32"/>
          <w:lang w:val="en-US" w:eastAsia="zh-CN"/>
        </w:rPr>
        <w:t>法</w:t>
      </w:r>
      <w:r>
        <w:rPr>
          <w:rStyle w:val="65"/>
          <w:rFonts w:hint="eastAsia" w:ascii="仿宋_GB2312" w:hAnsi="仿宋_GB2312" w:eastAsia="仿宋_GB2312" w:cs="仿宋_GB2312"/>
          <w:color w:val="000000"/>
          <w:sz w:val="32"/>
          <w:szCs w:val="32"/>
          <w:lang w:val="en-US" w:eastAsia="zh-CN"/>
        </w:rPr>
        <w:t>》的规定处罚。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kern w:val="0"/>
          <w:szCs w:val="32"/>
          <w:u w:val="single"/>
        </w:rPr>
      </w:pPr>
      <w:r>
        <w:rPr>
          <w:rFonts w:hint="eastAsia" w:ascii="仿宋_GB2312" w:hAnsi="仿宋_GB2312" w:eastAsia="仿宋_GB2312" w:cs="仿宋_GB2312"/>
          <w:b w:val="0"/>
          <w:bCs/>
          <w:i w:val="0"/>
          <w:iCs w:val="0"/>
          <w:kern w:val="0"/>
          <w:szCs w:val="32"/>
        </w:rPr>
        <w:t>生产、销售</w:t>
      </w:r>
      <w:r>
        <w:rPr>
          <w:rFonts w:hint="eastAsia" w:ascii="仿宋_GB2312" w:hAnsi="仿宋_GB2312" w:eastAsia="仿宋_GB2312" w:cs="仿宋_GB2312"/>
          <w:b w:val="0"/>
          <w:bCs/>
          <w:i w:val="0"/>
          <w:iCs w:val="0"/>
          <w:szCs w:val="32"/>
        </w:rPr>
        <w:t>本条例第十条第一、</w:t>
      </w:r>
      <w:r>
        <w:rPr>
          <w:rFonts w:hint="eastAsia" w:ascii="仿宋_GB2312" w:hAnsi="仿宋_GB2312" w:eastAsia="仿宋_GB2312" w:cs="仿宋_GB2312"/>
          <w:b w:val="0"/>
          <w:bCs/>
          <w:i w:val="0"/>
          <w:iCs w:val="0"/>
          <w:kern w:val="0"/>
          <w:szCs w:val="32"/>
        </w:rPr>
        <w:t>二、三、四、七、八</w:t>
      </w:r>
      <w:r>
        <w:rPr>
          <w:rFonts w:hint="eastAsia" w:ascii="仿宋_GB2312" w:hAnsi="仿宋_GB2312" w:eastAsia="仿宋_GB2312" w:cs="仿宋_GB2312"/>
          <w:b w:val="0"/>
          <w:bCs/>
          <w:i w:val="0"/>
          <w:iCs w:val="0"/>
          <w:szCs w:val="32"/>
        </w:rPr>
        <w:t>项所列其他</w:t>
      </w:r>
      <w:r>
        <w:rPr>
          <w:rFonts w:hint="eastAsia" w:ascii="仿宋_GB2312" w:hAnsi="仿宋_GB2312" w:eastAsia="仿宋_GB2312" w:cs="仿宋_GB2312"/>
          <w:b w:val="0"/>
          <w:bCs/>
          <w:i w:val="0"/>
          <w:iCs w:val="0"/>
          <w:kern w:val="0"/>
          <w:szCs w:val="32"/>
        </w:rPr>
        <w:t>商品，</w:t>
      </w:r>
      <w:r>
        <w:rPr>
          <w:rFonts w:hint="eastAsia" w:ascii="仿宋_GB2312" w:hAnsi="仿宋_GB2312" w:eastAsia="仿宋_GB2312" w:cs="仿宋_GB2312"/>
          <w:b w:val="0"/>
          <w:bCs/>
          <w:i w:val="0"/>
          <w:iCs w:val="0"/>
          <w:szCs w:val="32"/>
        </w:rPr>
        <w:t>危害人体健康、生命安全的，</w:t>
      </w:r>
      <w:r>
        <w:rPr>
          <w:rFonts w:hint="eastAsia" w:ascii="仿宋_GB2312" w:hAnsi="仿宋_GB2312" w:eastAsia="仿宋_GB2312" w:cs="仿宋_GB2312"/>
          <w:b w:val="0"/>
          <w:bCs/>
          <w:i w:val="0"/>
          <w:iCs w:val="0"/>
          <w:kern w:val="0"/>
          <w:szCs w:val="32"/>
        </w:rPr>
        <w:t>责令停止生产、销售，没收销售收入和违法生产、销售的商品；属第</w:t>
      </w:r>
      <w:r>
        <w:rPr>
          <w:rFonts w:hint="eastAsia" w:ascii="仿宋_GB2312" w:hAnsi="仿宋_GB2312" w:eastAsia="仿宋_GB2312" w:cs="仿宋_GB2312"/>
          <w:b w:val="0"/>
          <w:bCs/>
          <w:i w:val="0"/>
          <w:iCs w:val="0"/>
          <w:szCs w:val="32"/>
        </w:rPr>
        <w:t>十</w:t>
      </w:r>
      <w:r>
        <w:rPr>
          <w:rFonts w:hint="eastAsia" w:ascii="仿宋_GB2312" w:hAnsi="仿宋_GB2312" w:eastAsia="仿宋_GB2312" w:cs="仿宋_GB2312"/>
          <w:b w:val="0"/>
          <w:bCs/>
          <w:i w:val="0"/>
          <w:iCs w:val="0"/>
          <w:kern w:val="0"/>
          <w:szCs w:val="32"/>
        </w:rPr>
        <w:t>条第一</w:t>
      </w:r>
      <w:r>
        <w:rPr>
          <w:rFonts w:hint="eastAsia" w:ascii="仿宋_GB2312" w:hAnsi="仿宋_GB2312" w:eastAsia="仿宋_GB2312" w:cs="仿宋_GB2312"/>
          <w:b w:val="0"/>
          <w:bCs/>
          <w:i w:val="0"/>
          <w:iCs w:val="0"/>
          <w:szCs w:val="32"/>
        </w:rPr>
        <w:t>、</w:t>
      </w:r>
      <w:r>
        <w:rPr>
          <w:rFonts w:hint="eastAsia" w:ascii="仿宋_GB2312" w:hAnsi="仿宋_GB2312" w:eastAsia="仿宋_GB2312" w:cs="仿宋_GB2312"/>
          <w:b w:val="0"/>
          <w:bCs/>
          <w:i w:val="0"/>
          <w:iCs w:val="0"/>
          <w:kern w:val="0"/>
          <w:szCs w:val="32"/>
        </w:rPr>
        <w:t>二、三、四项的，并处以该批违法商品货值金额</w:t>
      </w:r>
      <w:r>
        <w:rPr>
          <w:rFonts w:hint="eastAsia" w:ascii="仿宋_GB2312" w:hAnsi="仿宋_GB2312" w:eastAsia="仿宋_GB2312" w:cs="仿宋_GB2312"/>
          <w:b w:val="0"/>
          <w:bCs/>
          <w:i w:val="0"/>
          <w:iCs w:val="0"/>
          <w:szCs w:val="32"/>
        </w:rPr>
        <w:t>三</w:t>
      </w:r>
      <w:r>
        <w:rPr>
          <w:rFonts w:hint="eastAsia" w:ascii="仿宋_GB2312" w:hAnsi="仿宋_GB2312" w:eastAsia="仿宋_GB2312" w:cs="仿宋_GB2312"/>
          <w:b w:val="0"/>
          <w:bCs/>
          <w:i w:val="0"/>
          <w:iCs w:val="0"/>
          <w:kern w:val="0"/>
          <w:szCs w:val="32"/>
        </w:rPr>
        <w:t>倍的罚款；属第</w:t>
      </w:r>
      <w:r>
        <w:rPr>
          <w:rFonts w:hint="eastAsia" w:ascii="仿宋_GB2312" w:hAnsi="仿宋_GB2312" w:eastAsia="仿宋_GB2312" w:cs="仿宋_GB2312"/>
          <w:b w:val="0"/>
          <w:bCs/>
          <w:i w:val="0"/>
          <w:iCs w:val="0"/>
          <w:szCs w:val="32"/>
        </w:rPr>
        <w:t>十</w:t>
      </w:r>
      <w:r>
        <w:rPr>
          <w:rFonts w:hint="eastAsia" w:ascii="仿宋_GB2312" w:hAnsi="仿宋_GB2312" w:eastAsia="仿宋_GB2312" w:cs="仿宋_GB2312"/>
          <w:b w:val="0"/>
          <w:bCs/>
          <w:i w:val="0"/>
          <w:iCs w:val="0"/>
          <w:kern w:val="0"/>
          <w:szCs w:val="32"/>
        </w:rPr>
        <w:t>条第七项的，并处以该批违法商品货值金额</w:t>
      </w:r>
      <w:r>
        <w:rPr>
          <w:rFonts w:hint="eastAsia" w:ascii="仿宋_GB2312" w:hAnsi="仿宋_GB2312" w:eastAsia="仿宋_GB2312" w:cs="仿宋_GB2312"/>
          <w:b w:val="0"/>
          <w:bCs/>
          <w:i w:val="0"/>
          <w:iCs w:val="0"/>
          <w:szCs w:val="32"/>
        </w:rPr>
        <w:t>二</w:t>
      </w:r>
      <w:r>
        <w:rPr>
          <w:rFonts w:hint="eastAsia" w:ascii="仿宋_GB2312" w:hAnsi="仿宋_GB2312" w:eastAsia="仿宋_GB2312" w:cs="仿宋_GB2312"/>
          <w:b w:val="0"/>
          <w:bCs/>
          <w:i w:val="0"/>
          <w:iCs w:val="0"/>
          <w:kern w:val="0"/>
          <w:szCs w:val="32"/>
        </w:rPr>
        <w:t>倍的罚款；属第</w:t>
      </w:r>
      <w:r>
        <w:rPr>
          <w:rFonts w:hint="eastAsia" w:ascii="仿宋_GB2312" w:hAnsi="仿宋_GB2312" w:eastAsia="仿宋_GB2312" w:cs="仿宋_GB2312"/>
          <w:b w:val="0"/>
          <w:bCs/>
          <w:i w:val="0"/>
          <w:iCs w:val="0"/>
          <w:szCs w:val="32"/>
        </w:rPr>
        <w:t>十</w:t>
      </w:r>
      <w:r>
        <w:rPr>
          <w:rFonts w:hint="eastAsia" w:ascii="仿宋_GB2312" w:hAnsi="仿宋_GB2312" w:eastAsia="仿宋_GB2312" w:cs="仿宋_GB2312"/>
          <w:b w:val="0"/>
          <w:bCs/>
          <w:i w:val="0"/>
          <w:iCs w:val="0"/>
          <w:kern w:val="0"/>
          <w:szCs w:val="32"/>
        </w:rPr>
        <w:t>条第八项的，并处以该批违法商品货值金额</w:t>
      </w:r>
      <w:r>
        <w:rPr>
          <w:rFonts w:hint="eastAsia" w:ascii="仿宋_GB2312" w:hAnsi="仿宋_GB2312" w:eastAsia="仿宋_GB2312" w:cs="仿宋_GB2312"/>
          <w:b w:val="0"/>
          <w:bCs/>
          <w:i w:val="0"/>
          <w:iCs w:val="0"/>
          <w:szCs w:val="32"/>
        </w:rPr>
        <w:t>等值</w:t>
      </w:r>
      <w:r>
        <w:rPr>
          <w:rFonts w:hint="eastAsia" w:ascii="仿宋_GB2312" w:hAnsi="仿宋_GB2312" w:eastAsia="仿宋_GB2312" w:cs="仿宋_GB2312"/>
          <w:b w:val="0"/>
          <w:bCs/>
          <w:i w:val="0"/>
          <w:iCs w:val="0"/>
          <w:kern w:val="0"/>
          <w:szCs w:val="32"/>
        </w:rPr>
        <w:t>的罚款。</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五十七</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iCs/>
          <w:szCs w:val="32"/>
        </w:rPr>
        <w:t>有本条例第十一条所列行为之一的</w:t>
      </w:r>
      <w:r>
        <w:rPr>
          <w:rFonts w:hint="eastAsia" w:ascii="仿宋_GB2312" w:hAnsi="仿宋_GB2312" w:eastAsia="仿宋_GB2312" w:cs="仿宋_GB2312"/>
          <w:b w:val="0"/>
          <w:bCs/>
          <w:kern w:val="0"/>
          <w:szCs w:val="32"/>
        </w:rPr>
        <w:t>，</w:t>
      </w:r>
      <w:r>
        <w:rPr>
          <w:rFonts w:hint="eastAsia" w:ascii="仿宋_GB2312" w:hAnsi="仿宋_GB2312" w:eastAsia="仿宋_GB2312" w:cs="仿宋_GB2312"/>
          <w:b w:val="0"/>
          <w:bCs/>
          <w:iCs/>
          <w:szCs w:val="32"/>
        </w:rPr>
        <w:t>依照本条例</w:t>
      </w:r>
      <w:r>
        <w:rPr>
          <w:rFonts w:hint="eastAsia" w:ascii="仿宋_GB2312" w:hAnsi="仿宋_GB2312" w:eastAsia="仿宋_GB2312" w:cs="仿宋_GB2312"/>
          <w:b w:val="0"/>
          <w:bCs/>
          <w:iCs/>
          <w:kern w:val="0"/>
          <w:szCs w:val="32"/>
        </w:rPr>
        <w:t>第五十五条</w:t>
      </w:r>
      <w:r>
        <w:rPr>
          <w:rFonts w:hint="eastAsia" w:ascii="仿宋_GB2312" w:hAnsi="仿宋_GB2312" w:eastAsia="仿宋_GB2312" w:cs="仿宋_GB2312"/>
          <w:b w:val="0"/>
          <w:bCs/>
          <w:i w:val="0"/>
          <w:iCs/>
          <w:kern w:val="0"/>
          <w:szCs w:val="32"/>
        </w:rPr>
        <w:t>、五十六</w:t>
      </w:r>
      <w:r>
        <w:rPr>
          <w:rFonts w:hint="eastAsia" w:ascii="仿宋_GB2312" w:hAnsi="仿宋_GB2312" w:eastAsia="仿宋_GB2312" w:cs="仿宋_GB2312"/>
          <w:b w:val="0"/>
          <w:bCs/>
          <w:i w:val="0"/>
          <w:iCs/>
          <w:szCs w:val="32"/>
        </w:rPr>
        <w:t>条</w:t>
      </w:r>
      <w:r>
        <w:rPr>
          <w:rFonts w:hint="eastAsia" w:ascii="仿宋_GB2312" w:hAnsi="仿宋_GB2312" w:eastAsia="仿宋_GB2312" w:cs="仿宋_GB2312"/>
          <w:b w:val="0"/>
          <w:bCs/>
          <w:iCs/>
          <w:szCs w:val="32"/>
        </w:rPr>
        <w:t>的规定处罚。</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五十八</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有本条例第十二条所列行为之一的，责令改正，没收服务收入，处以十万元以下罚款，服务收入在十万元以上的，处以服务收入一倍以上三倍以下罚款；法律、法规另有规定的，从其规定。</w:t>
      </w:r>
    </w:p>
    <w:p>
      <w:pPr>
        <w:widowControl w:val="0"/>
        <w:wordWrap/>
        <w:adjustRightInd w:val="0"/>
        <w:spacing w:line="590" w:lineRule="exact"/>
        <w:ind w:firstLine="705"/>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代印、代制或者提供假冒标识或者包装物的，除按照前款规定处罚外，并没收假冒标识、包装物、模具、原材料、半成品，情节严重的，没收生产设备，依法吊销许可证。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五十九</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kern w:val="0"/>
          <w:szCs w:val="32"/>
        </w:rPr>
        <w:t>生产者、销售者</w:t>
      </w:r>
      <w:r>
        <w:rPr>
          <w:rFonts w:hint="eastAsia" w:ascii="仿宋_GB2312" w:hAnsi="仿宋_GB2312" w:eastAsia="仿宋_GB2312" w:cs="仿宋_GB2312"/>
          <w:b w:val="0"/>
          <w:bCs/>
          <w:szCs w:val="32"/>
        </w:rPr>
        <w:t>违反本条例规定，被依法吊销许可证的，其单位法定代表人或者负责人以及直接责任人五年内不得从事同行业的生产经营管理活动；法律法规另有规定的，从其规定。</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违反本条例第二十条规定，擅自启封、转移、使用、改动、销毁、销售被查封物品的，处物品货值金额等值以上三倍以下的罚款；有违法所得的，并处没收违法所得。</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第六十</w:t>
      </w:r>
      <w:r>
        <w:rPr>
          <w:rFonts w:hint="eastAsia" w:ascii="黑体" w:hAnsi="黑体" w:eastAsia="黑体" w:cs="黑体"/>
          <w:b w:val="0"/>
          <w:bCs/>
          <w:i w:val="0"/>
          <w:iCs w:val="0"/>
          <w:szCs w:val="32"/>
        </w:rPr>
        <w:t>一</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违法行为人有下列情形之一的，按照法律、法规的规定，从重处罚，并可以依法责令停业整顿、关闭、吊销许可证：</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（一）大规模批量生产、销售假冒伪劣商品的；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（二）以生产、销售假冒伪劣商品为常业或者生产、销售假冒伪劣商品被查处后再犯的；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（三）以贿赂、回扣等方式推销假冒伪劣商品的；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kern w:val="0"/>
          <w:szCs w:val="32"/>
        </w:rPr>
        <w:t>（四）生产、销售假冒伪劣商品数额较大或者有其他严重情节的。</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六十二</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违法行为人有下列情形之一的，依法从轻、减轻处罚：</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（一）主动停止违法行为并召回假冒伪劣商品的；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（二）检举其他违法犯罪行为，有立功表现的；</w:t>
      </w:r>
    </w:p>
    <w:p>
      <w:pPr>
        <w:widowControl w:val="0"/>
        <w:wordWrap/>
        <w:adjustRightInd w:val="0"/>
        <w:spacing w:line="590" w:lineRule="exact"/>
        <w:ind w:firstLine="645"/>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w:t>
      </w:r>
      <w:r>
        <w:rPr>
          <w:rFonts w:hint="eastAsia" w:ascii="仿宋_GB2312" w:hAnsi="仿宋_GB2312" w:eastAsia="仿宋_GB2312" w:cs="仿宋_GB2312"/>
          <w:b w:val="0"/>
          <w:bCs/>
          <w:kern w:val="0"/>
          <w:szCs w:val="32"/>
        </w:rPr>
        <w:t>销售者有充分证据证明其不知道该商品为本条例第十条所列的商品并如实说明其进货渠道的；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（四）采取有效措施防止假冒伪劣商品造成危害的。</w:t>
      </w:r>
    </w:p>
    <w:p>
      <w:pPr>
        <w:widowControl w:val="0"/>
        <w:wordWrap/>
        <w:adjustRightInd w:val="0"/>
        <w:spacing w:line="590" w:lineRule="exact"/>
        <w:textAlignment w:val="auto"/>
        <w:rPr>
          <w:rFonts w:hint="eastAsia" w:ascii="仿宋_GB2312" w:hAnsi="仿宋_GB2312" w:eastAsia="仿宋_GB2312" w:cs="仿宋_GB2312"/>
          <w:b w:val="0"/>
          <w:bCs/>
          <w:kern w:val="0"/>
          <w:szCs w:val="32"/>
        </w:rPr>
      </w:pPr>
      <w:r>
        <w:rPr>
          <w:rFonts w:hint="eastAsia" w:ascii="仿宋_GB2312" w:hAnsi="仿宋_GB2312" w:eastAsia="仿宋_GB2312" w:cs="仿宋_GB2312"/>
          <w:b w:val="0"/>
          <w:bCs/>
          <w:szCs w:val="32"/>
        </w:rPr>
        <w:t>　　</w:t>
      </w:r>
      <w:r>
        <w:rPr>
          <w:rFonts w:hint="eastAsia" w:ascii="黑体" w:hAnsi="黑体" w:eastAsia="黑体" w:cs="黑体"/>
          <w:b w:val="0"/>
          <w:bCs/>
          <w:szCs w:val="32"/>
        </w:rPr>
        <w:t>第</w:t>
      </w:r>
      <w:r>
        <w:rPr>
          <w:rFonts w:hint="eastAsia" w:ascii="黑体" w:hAnsi="黑体" w:eastAsia="黑体" w:cs="黑体"/>
          <w:b w:val="0"/>
          <w:bCs/>
          <w:i w:val="0"/>
          <w:iCs w:val="0"/>
          <w:szCs w:val="32"/>
        </w:rPr>
        <w:t>六十三</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当事人对监督管理部门作出的处罚决定不服的，可以依法申请行政复议或者提起行政诉讼。</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六十四</w:t>
      </w:r>
      <w:r>
        <w:rPr>
          <w:rFonts w:hint="eastAsia" w:ascii="黑体" w:hAnsi="黑体" w:eastAsia="黑体" w:cs="黑体"/>
          <w:b w:val="0"/>
          <w:bCs/>
          <w:szCs w:val="32"/>
        </w:rPr>
        <w:t>条</w:t>
      </w:r>
      <w:r>
        <w:rPr>
          <w:rFonts w:hint="eastAsia" w:ascii="仿宋_GB2312" w:hAnsi="仿宋_GB2312" w:eastAsia="仿宋_GB2312" w:cs="仿宋_GB2312"/>
          <w:b w:val="0"/>
          <w:bCs/>
          <w:szCs w:val="32"/>
        </w:rPr>
        <w:t>　依法没收的假冒伪劣商品和生产工具、设备、原材料、半成品，依照有关规定处理，不得直接销售。</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val="0"/>
          <w:iCs w:val="0"/>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六十五</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消费者因购买、使用商品，其合法权益受到损害，</w:t>
      </w:r>
      <w:r>
        <w:rPr>
          <w:rFonts w:hint="eastAsia" w:ascii="仿宋_GB2312" w:hAnsi="仿宋_GB2312" w:eastAsia="仿宋_GB2312" w:cs="仿宋_GB2312"/>
          <w:b w:val="0"/>
          <w:bCs/>
          <w:szCs w:val="32"/>
          <w:lang w:eastAsia="zh-CN"/>
        </w:rPr>
        <w:t>可以</w:t>
      </w:r>
      <w:r>
        <w:rPr>
          <w:rFonts w:hint="eastAsia" w:ascii="仿宋_GB2312" w:hAnsi="仿宋_GB2312" w:eastAsia="仿宋_GB2312" w:cs="仿宋_GB2312"/>
          <w:b w:val="0"/>
          <w:bCs/>
          <w:szCs w:val="32"/>
        </w:rPr>
        <w:t>向销售者要求赔偿，</w:t>
      </w:r>
      <w:r>
        <w:rPr>
          <w:rFonts w:hint="eastAsia" w:ascii="仿宋_GB2312" w:hAnsi="仿宋_GB2312" w:eastAsia="仿宋_GB2312" w:cs="仿宋_GB2312"/>
          <w:b w:val="0"/>
          <w:bCs/>
          <w:szCs w:val="32"/>
          <w:lang w:eastAsia="zh-CN"/>
        </w:rPr>
        <w:t>也可以向生产者要求赔偿。接到消费者赔偿要求的生产</w:t>
      </w:r>
      <w:r>
        <w:rPr>
          <w:rFonts w:hint="eastAsia" w:ascii="仿宋_GB2312" w:hAnsi="仿宋_GB2312" w:eastAsia="仿宋_GB2312" w:cs="仿宋_GB2312"/>
          <w:b w:val="0"/>
          <w:bCs/>
          <w:szCs w:val="32"/>
        </w:rPr>
        <w:t>销售者</w:t>
      </w:r>
      <w:r>
        <w:rPr>
          <w:rFonts w:hint="eastAsia" w:ascii="仿宋_GB2312" w:hAnsi="仿宋_GB2312" w:eastAsia="仿宋_GB2312" w:cs="仿宋_GB2312"/>
          <w:b w:val="0"/>
          <w:bCs/>
          <w:szCs w:val="32"/>
          <w:lang w:eastAsia="zh-CN"/>
        </w:rPr>
        <w:t>，</w:t>
      </w:r>
      <w:r>
        <w:rPr>
          <w:rFonts w:hint="eastAsia" w:ascii="仿宋_GB2312" w:hAnsi="仿宋_GB2312" w:eastAsia="仿宋_GB2312" w:cs="仿宋_GB2312"/>
          <w:b w:val="0"/>
          <w:bCs/>
          <w:szCs w:val="32"/>
        </w:rPr>
        <w:t>应当首先承担赔偿责任，不得拒绝。属于生产者责任的，销售者</w:t>
      </w:r>
      <w:r>
        <w:rPr>
          <w:rFonts w:hint="eastAsia" w:ascii="仿宋_GB2312" w:hAnsi="仿宋_GB2312" w:eastAsia="仿宋_GB2312" w:cs="仿宋_GB2312"/>
          <w:b w:val="0"/>
          <w:bCs/>
          <w:szCs w:val="32"/>
          <w:lang w:eastAsia="zh-CN"/>
        </w:rPr>
        <w:t>赔偿后</w:t>
      </w:r>
      <w:r>
        <w:rPr>
          <w:rFonts w:hint="eastAsia" w:ascii="仿宋_GB2312" w:hAnsi="仿宋_GB2312" w:eastAsia="仿宋_GB2312" w:cs="仿宋_GB2312"/>
          <w:b w:val="0"/>
          <w:bCs/>
          <w:szCs w:val="32"/>
        </w:rPr>
        <w:t>有权向生产者</w:t>
      </w:r>
      <w:r>
        <w:rPr>
          <w:rFonts w:hint="eastAsia" w:ascii="仿宋_GB2312" w:hAnsi="仿宋_GB2312" w:eastAsia="仿宋_GB2312" w:cs="仿宋_GB2312"/>
          <w:b w:val="0"/>
          <w:bCs/>
          <w:i w:val="0"/>
          <w:iCs w:val="0"/>
          <w:szCs w:val="32"/>
          <w:lang w:eastAsia="zh-CN"/>
        </w:rPr>
        <w:t>；</w:t>
      </w:r>
      <w:r>
        <w:rPr>
          <w:rFonts w:hint="eastAsia" w:ascii="仿宋_GB2312" w:hAnsi="仿宋_GB2312" w:eastAsia="仿宋_GB2312" w:cs="仿宋_GB2312"/>
          <w:b w:val="0"/>
          <w:bCs/>
          <w:i w:val="0"/>
          <w:iCs w:val="0"/>
          <w:szCs w:val="32"/>
        </w:rPr>
        <w:t>属于</w:t>
      </w:r>
      <w:r>
        <w:rPr>
          <w:rFonts w:hint="eastAsia" w:ascii="仿宋_GB2312" w:hAnsi="仿宋_GB2312" w:eastAsia="仿宋_GB2312" w:cs="仿宋_GB2312"/>
          <w:b w:val="0"/>
          <w:bCs/>
          <w:i w:val="0"/>
          <w:iCs w:val="0"/>
          <w:szCs w:val="32"/>
          <w:lang w:eastAsia="zh-CN"/>
        </w:rPr>
        <w:t>销售者</w:t>
      </w:r>
      <w:r>
        <w:rPr>
          <w:rFonts w:hint="eastAsia" w:ascii="仿宋_GB2312" w:hAnsi="仿宋_GB2312" w:eastAsia="仿宋_GB2312" w:cs="仿宋_GB2312"/>
          <w:b w:val="0"/>
          <w:bCs/>
          <w:i w:val="0"/>
          <w:iCs w:val="0"/>
          <w:szCs w:val="32"/>
        </w:rPr>
        <w:t>责任的，</w:t>
      </w:r>
      <w:r>
        <w:rPr>
          <w:rFonts w:hint="eastAsia" w:ascii="仿宋_GB2312" w:hAnsi="仿宋_GB2312" w:eastAsia="仿宋_GB2312" w:cs="仿宋_GB2312"/>
          <w:b w:val="0"/>
          <w:bCs/>
          <w:i w:val="0"/>
          <w:iCs w:val="0"/>
          <w:szCs w:val="32"/>
          <w:lang w:eastAsia="zh-CN"/>
        </w:rPr>
        <w:t>生产者赔偿后有权向销售者追偿。</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六十六</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国家工作人员有下列情形之一的，由</w:t>
      </w:r>
      <w:r>
        <w:rPr>
          <w:rFonts w:hint="eastAsia" w:ascii="仿宋_GB2312" w:hAnsi="仿宋_GB2312" w:eastAsia="仿宋_GB2312" w:cs="仿宋_GB2312"/>
          <w:b w:val="0"/>
          <w:bCs/>
          <w:i w:val="0"/>
          <w:iCs w:val="0"/>
          <w:szCs w:val="32"/>
          <w:lang w:eastAsia="zh-CN"/>
        </w:rPr>
        <w:t>有关机关依法</w:t>
      </w:r>
      <w:r>
        <w:rPr>
          <w:rFonts w:hint="eastAsia" w:ascii="仿宋_GB2312" w:hAnsi="仿宋_GB2312" w:eastAsia="仿宋_GB2312" w:cs="仿宋_GB2312"/>
          <w:b w:val="0"/>
          <w:bCs/>
          <w:szCs w:val="32"/>
        </w:rPr>
        <w:t>给予处分；构成犯罪的，依法追究刑事责任：</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（一）利用职权包庇违法单位或者个人的；</w:t>
      </w:r>
    </w:p>
    <w:p>
      <w:pPr>
        <w:widowControl w:val="0"/>
        <w:wordWrap/>
        <w:adjustRightInd w:val="0"/>
        <w:spacing w:line="590" w:lineRule="exact"/>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　　（二）负有查处责任而不履行职责，或者为违法行为人通风报信，帮助其逃避查处的；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（三）对依法应当将违法行为人移交司法机关追究刑事责任而不移交或者对依法应当受理的移送案件不受理的；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（四）对应当受理的投诉、举报案件不受理或者拖延的；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（五）泄露举报人信息或者利用职权对举报人进行报复、陷害的；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i/>
          <w:iCs/>
          <w:szCs w:val="32"/>
          <w:u w:val="single"/>
        </w:rPr>
      </w:pPr>
      <w:r>
        <w:rPr>
          <w:rFonts w:hint="eastAsia" w:ascii="仿宋_GB2312" w:hAnsi="仿宋_GB2312" w:eastAsia="仿宋_GB2312" w:cs="仿宋_GB2312"/>
          <w:b w:val="0"/>
          <w:bCs/>
          <w:szCs w:val="32"/>
        </w:rPr>
        <w:t>（六）利用职权干扰和妨碍查处工作的；</w:t>
      </w: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仿宋_GB2312" w:hAnsi="仿宋_GB2312" w:eastAsia="仿宋_GB2312" w:cs="仿宋_GB2312"/>
          <w:b w:val="0"/>
          <w:bCs/>
          <w:szCs w:val="32"/>
        </w:rPr>
        <w:t>（七）滥用职权，给公民、法人和其他组织的合法权益造成损害的。</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六十七</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监督管理部门及其执法人员违法行使职权，使公民、法人和其他组织的合法权益受到损害的，应当按照《中华人民共和国国家赔偿法》的有关规定给予赔偿。</w:t>
      </w:r>
    </w:p>
    <w:p>
      <w:pPr>
        <w:widowControl w:val="0"/>
        <w:wordWrap/>
        <w:adjustRightInd w:val="0"/>
        <w:spacing w:line="590" w:lineRule="exact"/>
        <w:ind w:firstLine="66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六十八</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阻碍行政执法人员依法执行职务，未使用暴力、威胁方法的，由公安机关依照《中华人民共和国治安管理处罚法》的相关规定处罚；使用暴力、威胁方法的，依照《中华人民共和国刑法》的相关规定追究刑事责任。</w:t>
      </w:r>
    </w:p>
    <w:p>
      <w:pPr>
        <w:widowControl w:val="0"/>
        <w:wordWrap/>
        <w:adjustRightInd w:val="0"/>
        <w:spacing w:line="590" w:lineRule="exact"/>
        <w:ind w:firstLine="640" w:firstLineChars="200"/>
        <w:textAlignment w:val="auto"/>
        <w:rPr>
          <w:rFonts w:hint="eastAsia" w:ascii="宋体" w:hAnsi="宋体" w:eastAsia="宋体" w:cs="宋体"/>
          <w:b w:val="0"/>
          <w:bCs/>
          <w:kern w:val="0"/>
          <w:szCs w:val="32"/>
        </w:rPr>
      </w:pPr>
    </w:p>
    <w:p>
      <w:pPr>
        <w:widowControl w:val="0"/>
        <w:wordWrap/>
        <w:adjustRightInd w:val="0"/>
        <w:spacing w:line="590" w:lineRule="exact"/>
        <w:jc w:val="center"/>
        <w:textAlignment w:val="auto"/>
        <w:rPr>
          <w:rFonts w:hint="eastAsia" w:ascii="黑体" w:hAnsi="黑体" w:eastAsia="黑体" w:cs="黑体"/>
          <w:b w:val="0"/>
          <w:bCs/>
          <w:kern w:val="0"/>
          <w:szCs w:val="32"/>
        </w:rPr>
      </w:pPr>
      <w:r>
        <w:rPr>
          <w:rFonts w:hint="eastAsia" w:ascii="黑体" w:hAnsi="黑体" w:eastAsia="黑体" w:cs="黑体"/>
          <w:b w:val="0"/>
          <w:bCs/>
          <w:szCs w:val="32"/>
        </w:rPr>
        <w:t>第六章  附则</w:t>
      </w:r>
    </w:p>
    <w:p>
      <w:pPr>
        <w:widowControl w:val="0"/>
        <w:wordWrap/>
        <w:adjustRightInd w:val="0"/>
        <w:spacing w:line="590" w:lineRule="exact"/>
        <w:ind w:firstLine="640" w:firstLineChars="200"/>
        <w:textAlignment w:val="auto"/>
        <w:rPr>
          <w:rFonts w:hint="eastAsia" w:ascii="宋体" w:hAnsi="宋体" w:eastAsia="仿宋_GB2312" w:cs="宋体"/>
          <w:b w:val="0"/>
          <w:bCs/>
          <w:kern w:val="0"/>
          <w:szCs w:val="32"/>
        </w:rPr>
      </w:pPr>
    </w:p>
    <w:p>
      <w:pPr>
        <w:widowControl w:val="0"/>
        <w:wordWrap/>
        <w:adjustRightInd w:val="0"/>
        <w:spacing w:line="590" w:lineRule="exact"/>
        <w:ind w:firstLine="640" w:firstLineChars="200"/>
        <w:textAlignment w:val="auto"/>
        <w:rPr>
          <w:rFonts w:hint="eastAsia" w:ascii="仿宋_GB2312" w:hAnsi="仿宋_GB2312" w:eastAsia="仿宋_GB2312" w:cs="仿宋_GB2312"/>
          <w:b w:val="0"/>
          <w:bCs/>
          <w:szCs w:val="32"/>
        </w:rPr>
      </w:pPr>
      <w:r>
        <w:rPr>
          <w:rFonts w:hint="eastAsia" w:ascii="黑体" w:hAnsi="黑体" w:eastAsia="黑体" w:cs="黑体"/>
          <w:b w:val="0"/>
          <w:bCs/>
          <w:szCs w:val="32"/>
        </w:rPr>
        <w:t>第</w:t>
      </w:r>
      <w:r>
        <w:rPr>
          <w:rFonts w:hint="eastAsia" w:ascii="黑体" w:hAnsi="黑体" w:eastAsia="黑体" w:cs="黑体"/>
          <w:b w:val="0"/>
          <w:bCs/>
          <w:i w:val="0"/>
          <w:iCs w:val="0"/>
          <w:szCs w:val="32"/>
        </w:rPr>
        <w:t>六十九</w:t>
      </w:r>
      <w:r>
        <w:rPr>
          <w:rFonts w:hint="eastAsia" w:ascii="黑体" w:hAnsi="黑体" w:eastAsia="黑体" w:cs="黑体"/>
          <w:b w:val="0"/>
          <w:bCs/>
          <w:szCs w:val="32"/>
        </w:rPr>
        <w:t>条</w:t>
      </w:r>
      <w:r>
        <w:rPr>
          <w:rFonts w:hint="eastAsia" w:ascii="仿宋_GB2312" w:hAnsi="仿宋_GB2312" w:eastAsia="仿宋_GB2312" w:cs="仿宋_GB2312"/>
          <w:b w:val="0"/>
          <w:bCs/>
          <w:sz w:val="32"/>
          <w:szCs w:val="32"/>
        </w:rPr>
        <w:t xml:space="preserve">  </w:t>
      </w:r>
      <w:r>
        <w:rPr>
          <w:rFonts w:hint="eastAsia" w:ascii="仿宋_GB2312" w:hAnsi="仿宋_GB2312" w:eastAsia="仿宋_GB2312" w:cs="仿宋_GB2312"/>
          <w:b w:val="0"/>
          <w:bCs/>
          <w:szCs w:val="32"/>
        </w:rPr>
        <w:t>本条例自2012年11月1日起施行。</w:t>
      </w:r>
    </w:p>
    <w:p>
      <w:pPr>
        <w:pStyle w:val="9"/>
        <w:widowControl w:val="0"/>
        <w:wordWrap/>
        <w:adjustRightInd w:val="0"/>
        <w:snapToGrid w:val="0"/>
        <w:spacing w:after="0" w:afterLines="0" w:line="590" w:lineRule="exact"/>
        <w:ind w:left="0" w:leftChars="0" w:firstLine="707" w:firstLineChars="221"/>
        <w:textAlignment w:val="auto"/>
        <w:rPr>
          <w:rFonts w:hint="eastAsia" w:ascii="楷体_GB2312" w:hAnsi="华文中宋" w:eastAsia="楷体_GB2312"/>
          <w:b w:val="0"/>
          <w:bCs/>
          <w:szCs w:val="32"/>
        </w:rPr>
      </w:pPr>
    </w:p>
    <w:p>
      <w:pPr>
        <w:pStyle w:val="7"/>
        <w:ind w:left="0" w:leftChars="0" w:firstLine="0" w:firstLineChars="0"/>
        <w:rPr>
          <w:rFonts w:hint="eastAsia" w:ascii="仿宋_GB2312" w:hAnsi="仿宋_GB2312" w:cs="仿宋_GB2312"/>
          <w:color w:val="auto"/>
          <w:lang w:val="en-US"/>
        </w:rPr>
      </w:pPr>
    </w:p>
    <w:p>
      <w:pPr>
        <w:pStyle w:val="37"/>
        <w:widowControl w:val="0"/>
        <w:wordWrap/>
        <w:overflowPunct w:val="0"/>
        <w:spacing w:before="0" w:beforeAutospacing="0" w:after="0" w:afterAutospacing="0" w:line="560" w:lineRule="exact"/>
        <w:jc w:val="both"/>
        <w:textAlignment w:val="auto"/>
        <w:outlineLvl w:val="9"/>
        <w:rPr>
          <w:rFonts w:hint="eastAsia" w:ascii="宋体" w:hAnsi="宋体" w:eastAsia="仿宋_GB2312" w:cs="仿宋_GB2312"/>
          <w:b w:val="0"/>
          <w:bCs/>
          <w:sz w:val="32"/>
          <w:szCs w:val="32"/>
        </w:rPr>
      </w:pPr>
    </w:p>
    <w:p>
      <w:pPr>
        <w:wordWrap/>
        <w:spacing w:line="560" w:lineRule="exact"/>
        <w:textAlignment w:val="auto"/>
        <w:rPr>
          <w:rFonts w:hint="eastAsia" w:ascii="宋体" w:hAnsi="宋体" w:eastAsia="仿宋_GB2312" w:cs="仿宋_GB2312"/>
          <w:b w:val="0"/>
          <w:bCs/>
          <w:sz w:val="32"/>
          <w:szCs w:val="32"/>
        </w:rPr>
      </w:pPr>
      <w:r>
        <w:rPr>
          <w:rFonts w:hint="eastAsia" w:ascii="宋体" w:hAnsi="宋体" w:eastAsia="仿宋_GB2312" w:cs="仿宋_GB2312"/>
          <w:b w:val="0"/>
          <w:bCs/>
          <w:sz w:val="32"/>
          <w:szCs w:val="32"/>
        </w:rPr>
        <w:br w:type="page"/>
      </w:r>
    </w:p>
    <w:p>
      <w:pPr>
        <w:keepNext/>
        <w:keepLines/>
        <w:widowControl w:val="0"/>
        <w:wordWrap/>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p>
    <w:p>
      <w:pPr>
        <w:keepNext/>
        <w:keepLines/>
        <w:widowControl w:val="0"/>
        <w:wordWrap/>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广东省病媒生物预防控制管理规定</w:t>
      </w:r>
      <w:bookmarkEnd w:id="479"/>
      <w:bookmarkEnd w:id="480"/>
    </w:p>
    <w:p>
      <w:pPr>
        <w:wordWrap/>
        <w:spacing w:line="560" w:lineRule="exact"/>
        <w:textAlignment w:val="auto"/>
        <w:rPr>
          <w:rFonts w:hint="eastAsia" w:ascii="Times New Roman" w:hAnsi="Times New Roman" w:eastAsia="仿宋_GB2312" w:cs="Times New Roman"/>
          <w:sz w:val="32"/>
          <w:lang w:val="en-US" w:eastAsia="zh-CN"/>
        </w:rPr>
      </w:pPr>
    </w:p>
    <w:p>
      <w:pPr>
        <w:pStyle w:val="35"/>
        <w:widowControl w:val="0"/>
        <w:wordWrap/>
        <w:overflowPunct w:val="0"/>
        <w:adjustRightInd w:val="0"/>
        <w:snapToGrid w:val="0"/>
        <w:spacing w:beforeAutospacing="0" w:afterAutospacing="0" w:line="560" w:lineRule="exact"/>
        <w:ind w:left="640" w:leftChars="200" w:right="640" w:rightChars="200" w:firstLine="0" w:firstLineChars="0"/>
        <w:jc w:val="both"/>
        <w:textAlignment w:val="auto"/>
        <w:outlineLvl w:val="9"/>
        <w:rPr>
          <w:rFonts w:hint="eastAsia" w:ascii="楷体" w:hAnsi="楷体" w:eastAsia="楷体" w:cs="楷体"/>
          <w:b w:val="0"/>
          <w:bCs/>
          <w:sz w:val="32"/>
          <w:szCs w:val="32"/>
          <w:lang w:val="en-US" w:eastAsia="zh-CN"/>
        </w:rPr>
      </w:pPr>
      <w:r>
        <w:rPr>
          <w:rFonts w:hint="eastAsia" w:ascii="楷体" w:hAnsi="楷体" w:eastAsia="楷体" w:cs="楷体"/>
          <w:b w:val="0"/>
          <w:bCs/>
          <w:sz w:val="32"/>
          <w:szCs w:val="32"/>
        </w:rPr>
        <w:t>（20</w:t>
      </w:r>
      <w:r>
        <w:rPr>
          <w:rFonts w:hint="eastAsia" w:ascii="楷体" w:hAnsi="楷体" w:eastAsia="楷体" w:cs="楷体"/>
          <w:b w:val="0"/>
          <w:bCs/>
          <w:sz w:val="32"/>
          <w:szCs w:val="32"/>
          <w:lang w:val="en-US" w:eastAsia="zh-CN"/>
        </w:rPr>
        <w:t>12</w:t>
      </w:r>
      <w:r>
        <w:rPr>
          <w:rFonts w:hint="eastAsia" w:ascii="楷体" w:hAnsi="楷体" w:eastAsia="楷体" w:cs="楷体"/>
          <w:b w:val="0"/>
          <w:bCs/>
          <w:sz w:val="32"/>
          <w:szCs w:val="32"/>
        </w:rPr>
        <w:t>年</w:t>
      </w:r>
      <w:r>
        <w:rPr>
          <w:rFonts w:hint="eastAsia" w:ascii="楷体" w:hAnsi="楷体" w:eastAsia="楷体" w:cs="楷体"/>
          <w:b w:val="0"/>
          <w:bCs/>
          <w:sz w:val="32"/>
          <w:szCs w:val="32"/>
          <w:lang w:val="en-US" w:eastAsia="zh-CN"/>
        </w:rPr>
        <w:t>1</w:t>
      </w:r>
      <w:r>
        <w:rPr>
          <w:rFonts w:hint="eastAsia" w:ascii="楷体" w:hAnsi="楷体" w:eastAsia="楷体" w:cs="楷体"/>
          <w:b w:val="0"/>
          <w:bCs/>
          <w:sz w:val="32"/>
          <w:szCs w:val="32"/>
        </w:rPr>
        <w:t>月</w:t>
      </w:r>
      <w:r>
        <w:rPr>
          <w:rFonts w:hint="eastAsia" w:ascii="楷体" w:hAnsi="楷体" w:eastAsia="楷体" w:cs="楷体"/>
          <w:b w:val="0"/>
          <w:bCs/>
          <w:sz w:val="32"/>
          <w:szCs w:val="32"/>
          <w:lang w:val="en-US" w:eastAsia="zh-CN"/>
        </w:rPr>
        <w:t>1</w:t>
      </w:r>
      <w:r>
        <w:rPr>
          <w:rFonts w:hint="eastAsia" w:ascii="楷体" w:hAnsi="楷体" w:eastAsia="楷体" w:cs="楷体"/>
          <w:b w:val="0"/>
          <w:bCs/>
          <w:sz w:val="32"/>
          <w:szCs w:val="32"/>
        </w:rPr>
        <w:t>9日广东省人民政府以粤府令第1</w:t>
      </w:r>
      <w:r>
        <w:rPr>
          <w:rFonts w:hint="eastAsia" w:ascii="楷体" w:hAnsi="楷体" w:eastAsia="楷体" w:cs="楷体"/>
          <w:b w:val="0"/>
          <w:bCs/>
          <w:sz w:val="32"/>
          <w:szCs w:val="32"/>
          <w:lang w:val="en-US" w:eastAsia="zh-CN"/>
        </w:rPr>
        <w:t>67</w:t>
      </w:r>
      <w:r>
        <w:rPr>
          <w:rFonts w:hint="eastAsia" w:ascii="楷体" w:hAnsi="楷体" w:eastAsia="楷体" w:cs="楷体"/>
          <w:b w:val="0"/>
          <w:bCs/>
          <w:sz w:val="32"/>
          <w:szCs w:val="32"/>
        </w:rPr>
        <w:t>号公布</w:t>
      </w:r>
      <w:r>
        <w:rPr>
          <w:rFonts w:hint="eastAsia" w:ascii="楷体" w:hAnsi="楷体" w:eastAsia="楷体" w:cs="楷体"/>
          <w:b w:val="0"/>
          <w:bCs/>
          <w:sz w:val="32"/>
          <w:szCs w:val="32"/>
          <w:lang w:val="en-US" w:eastAsia="zh-CN"/>
        </w:rPr>
        <w:t xml:space="preserve"> 根据2019年12月5日《广东省人民政府关于废止和修改部分省政府规章的决定(广东省人民政府令第269号)》修改</w:t>
      </w:r>
      <w:r>
        <w:rPr>
          <w:rFonts w:hint="eastAsia" w:ascii="楷体" w:hAnsi="楷体" w:eastAsia="楷体" w:cs="楷体"/>
          <w:b w:val="0"/>
          <w:bCs/>
          <w:sz w:val="32"/>
          <w:szCs w:val="32"/>
          <w:lang w:eastAsia="zh-CN"/>
        </w:rPr>
        <w:t>）</w:t>
      </w:r>
    </w:p>
    <w:p>
      <w:pPr>
        <w:widowControl w:val="0"/>
        <w:wordWrap/>
        <w:adjustRightInd/>
        <w:snapToGrid/>
        <w:spacing w:line="560" w:lineRule="exact"/>
        <w:ind w:left="0" w:leftChars="0" w:right="0" w:firstLine="630"/>
        <w:textAlignment w:val="auto"/>
        <w:outlineLvl w:val="9"/>
        <w:rPr>
          <w:rFonts w:hint="eastAsia" w:ascii="仿宋_GB2312" w:hAnsi="仿宋_GB2312" w:eastAsia="仿宋_GB2312" w:cs="仿宋_GB2312"/>
          <w:color w:val="000000"/>
          <w:kern w:val="0"/>
          <w:sz w:val="28"/>
          <w:szCs w:val="28"/>
          <w:shd w:val="clear" w:color="auto" w:fill="FFFFFF"/>
        </w:rPr>
      </w:pPr>
      <w:r>
        <w:rPr>
          <w:rFonts w:hint="eastAsia" w:ascii="仿宋_GB2312" w:hAnsi="仿宋_GB2312" w:eastAsia="仿宋_GB2312" w:cs="仿宋_GB2312"/>
          <w:color w:val="000000"/>
          <w:kern w:val="0"/>
          <w:sz w:val="28"/>
          <w:szCs w:val="28"/>
          <w:shd w:val="clear" w:color="auto" w:fill="FFFFFF"/>
        </w:rPr>
        <w:t xml:space="preserve"> </w:t>
      </w:r>
    </w:p>
    <w:p>
      <w:pPr>
        <w:widowControl w:val="0"/>
        <w:wordWrap/>
        <w:overflowPunct w:val="0"/>
        <w:adjustRightInd/>
        <w:snapToGrid/>
        <w:spacing w:beforeAutospacing="0" w:afterAutospacing="0" w:line="560" w:lineRule="exact"/>
        <w:ind w:left="0" w:leftChars="0" w:right="0" w:firstLine="640" w:firstLineChars="200"/>
        <w:textAlignment w:val="auto"/>
        <w:outlineLvl w:val="9"/>
        <w:rPr>
          <w:rFonts w:hint="default" w:ascii="宋体" w:hAnsi="宋体" w:eastAsia="仿宋_GB2312" w:cs="仿宋_GB2312"/>
          <w:b w:val="0"/>
          <w:bCs/>
          <w:sz w:val="32"/>
          <w:szCs w:val="32"/>
          <w:lang w:val="zh-CN"/>
        </w:rPr>
      </w:pPr>
      <w:r>
        <w:rPr>
          <w:rFonts w:hint="eastAsia" w:ascii="黑体" w:hAnsi="黑体" w:eastAsia="黑体" w:cs="黑体"/>
          <w:b w:val="0"/>
          <w:bCs/>
          <w:sz w:val="32"/>
          <w:szCs w:val="32"/>
          <w:lang w:val="zh-CN"/>
        </w:rPr>
        <w:t>第一条</w:t>
      </w:r>
      <w:r>
        <w:rPr>
          <w:rFonts w:hint="default" w:ascii="宋体" w:hAnsi="宋体" w:eastAsia="仿宋_GB2312" w:cs="仿宋_GB2312"/>
          <w:b w:val="0"/>
          <w:bCs/>
          <w:sz w:val="32"/>
          <w:szCs w:val="32"/>
          <w:lang w:val="zh-CN"/>
        </w:rPr>
        <w:t>　为了预防、控制和消除病媒生物的危害，防止相关传染病发生与传播，保障人民身体健康，根据《中华人民共和国传染病防治法》和《广东省爱国卫生工作条例》等有关法律、法规，结合本省实际，制定本规定。</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第二条　</w:t>
      </w:r>
      <w:r>
        <w:rPr>
          <w:rFonts w:hint="default" w:ascii="宋体" w:hAnsi="宋体" w:eastAsia="仿宋_GB2312" w:cs="仿宋_GB2312"/>
          <w:b w:val="0"/>
          <w:bCs/>
          <w:sz w:val="32"/>
          <w:szCs w:val="32"/>
          <w:lang w:val="zh-CN"/>
        </w:rPr>
        <w:t>本省行政区域内任何单位和个人应当遵守本规定。</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本规定所称病媒生物，是指能够将病原体从人或者其他动物传播给人的、危害人类健康的鼠、蚊、蝇、蟑螂、蚤类等生物。</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第三条</w:t>
      </w:r>
      <w:r>
        <w:rPr>
          <w:rFonts w:hint="default" w:ascii="宋体" w:hAnsi="宋体" w:eastAsia="仿宋_GB2312" w:cs="仿宋_GB2312"/>
          <w:b w:val="0"/>
          <w:bCs/>
          <w:sz w:val="32"/>
          <w:szCs w:val="32"/>
          <w:lang w:val="zh-CN"/>
        </w:rPr>
        <w:t>　各级人民政府应当根据本行政区域的实际情况，制定近期和远期病媒生物预防控制规划，实行目标管理和部门分工负责制，使病媒生物预防控制工作逐步达到国家规定控制标准。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第四条</w:t>
      </w:r>
      <w:r>
        <w:rPr>
          <w:rFonts w:hint="default" w:ascii="宋体" w:hAnsi="宋体" w:eastAsia="仿宋_GB2312" w:cs="仿宋_GB2312"/>
          <w:b w:val="0"/>
          <w:bCs/>
          <w:sz w:val="32"/>
          <w:szCs w:val="32"/>
          <w:lang w:val="zh-CN"/>
        </w:rPr>
        <w:t>　各级爱国卫生运动委员会在同级人民政府领导下，负责病媒生物预防控制的组织协调和指导工作。各级爱国卫生运动委员会办公室负责本规定的实施。</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黑体" w:hAnsi="黑体" w:eastAsia="黑体" w:cs="黑体"/>
          <w:b w:val="0"/>
          <w:bCs/>
          <w:sz w:val="32"/>
          <w:szCs w:val="32"/>
          <w:lang w:val="zh-CN"/>
        </w:rPr>
        <w:t>　　第五条　</w:t>
      </w:r>
      <w:r>
        <w:rPr>
          <w:rFonts w:hint="default" w:ascii="宋体" w:hAnsi="宋体" w:eastAsia="仿宋_GB2312" w:cs="仿宋_GB2312"/>
          <w:b w:val="0"/>
          <w:bCs/>
          <w:sz w:val="32"/>
          <w:szCs w:val="32"/>
          <w:lang w:val="zh-CN"/>
        </w:rPr>
        <w:t>在各级爱国卫生运动委员会的统一组织下，各级疾病预防控制机构负责病媒生物预防控制技术指导和病媒生物密度监测工作。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第六条</w:t>
      </w:r>
      <w:r>
        <w:rPr>
          <w:rFonts w:hint="default" w:ascii="宋体" w:hAnsi="宋体" w:eastAsia="仿宋_GB2312" w:cs="仿宋_GB2312"/>
          <w:b w:val="0"/>
          <w:bCs/>
          <w:sz w:val="32"/>
          <w:szCs w:val="32"/>
          <w:lang w:val="zh-CN"/>
        </w:rPr>
        <w:t>　县级以上人民政府卫生、文化、教育等部门和新闻部门应当做好病媒生物预防控制的宣传教育工作，农业行政主管部门负责农区的灭鼠工作。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县级以上人民政府市场监督管理部门，应当依法加强对食品生产经营单位病媒生物预防控制工作的监督管理。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县级以上人民政府各部门应当加强对本系统所属单位病媒生物预防控制工作的督促和管理。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第七条</w:t>
      </w:r>
      <w:r>
        <w:rPr>
          <w:rFonts w:hint="default" w:ascii="宋体" w:hAnsi="宋体" w:eastAsia="仿宋_GB2312" w:cs="仿宋_GB2312"/>
          <w:b w:val="0"/>
          <w:bCs/>
          <w:sz w:val="32"/>
          <w:szCs w:val="32"/>
          <w:lang w:val="zh-CN"/>
        </w:rPr>
        <w:t>　居民委员会应当负责组织辖区内单位和个人开展病媒生物预防控制工作。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村民委员会应当积极组织创建卫生村活动，开展以管垃圾、管粪便、改厕、改畜圈、改造环境为重点的环境卫生治理，有计划地组织群众开展病媒生物预防控制活动，使其逐步达到省规定的要求。</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第八条　</w:t>
      </w:r>
      <w:r>
        <w:rPr>
          <w:rFonts w:hint="default" w:ascii="宋体" w:hAnsi="宋体" w:eastAsia="仿宋_GB2312" w:cs="仿宋_GB2312"/>
          <w:b w:val="0"/>
          <w:bCs/>
          <w:sz w:val="32"/>
          <w:szCs w:val="32"/>
          <w:lang w:val="zh-CN"/>
        </w:rPr>
        <w:t>各级人民政府应当对公共环境病媒生物预防控制所需必要经费予以安排。</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单位和居民住户的病媒生物预防控制费用，由各自负担。</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物业租赁和待建工地等其他场所的病媒生物预防控制费用，由其管理单位或者使用单位负担。</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第九条　</w:t>
      </w:r>
      <w:r>
        <w:rPr>
          <w:rFonts w:hint="default" w:ascii="宋体" w:hAnsi="宋体" w:eastAsia="仿宋_GB2312" w:cs="仿宋_GB2312"/>
          <w:b w:val="0"/>
          <w:bCs/>
          <w:sz w:val="32"/>
          <w:szCs w:val="32"/>
          <w:lang w:val="zh-CN"/>
        </w:rPr>
        <w:t>病媒生物预防控制是全社会的共同责任，任何单位和个人都有防范和杀灭病媒生物以及控制其孳生场所的义务，对违反本规定的行为有权制止和举报。</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第十条</w:t>
      </w:r>
      <w:r>
        <w:rPr>
          <w:rFonts w:hint="default" w:ascii="宋体" w:hAnsi="宋体" w:eastAsia="仿宋_GB2312" w:cs="仿宋_GB2312"/>
          <w:b w:val="0"/>
          <w:bCs/>
          <w:sz w:val="32"/>
          <w:szCs w:val="32"/>
          <w:lang w:val="zh-CN"/>
        </w:rPr>
        <w:t>　病媒生物预防控制应当采取改造环境、控制病媒生物孳生地、防范及杀灭等综合防治措施。</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城乡规划、建设和旧城区改造，以及各类建筑工程设计和施工，应当同时规划建设防治病媒生物的卫生基础设施，配套建设符合卫生要求的垃圾收集设施和公厕，建筑物管线、市政管井和下水道系统应当设有防范病媒生物侵害的设施。</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第十一条　</w:t>
      </w:r>
      <w:r>
        <w:rPr>
          <w:rFonts w:hint="default" w:ascii="宋体" w:hAnsi="宋体" w:eastAsia="仿宋_GB2312" w:cs="仿宋_GB2312"/>
          <w:b w:val="0"/>
          <w:bCs/>
          <w:sz w:val="32"/>
          <w:szCs w:val="32"/>
          <w:lang w:val="zh-CN"/>
        </w:rPr>
        <w:t>单位和个人除应当执行国家和省有关环境卫生管理规定外，还应当做好以下防治工作：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（一）经常清疏下水道、沟渠，平整洼地，清除室内外积水，控制蚊虫孳生；</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（二）垃圾等易招引、孳生苍蝇的物质应当有容器装载并加盖，日产日清；</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（三）管好人和禽、畜粪便，粪池、粪缸应当严密封盖，住宅区栽种花木不得施用未经发酵的有机肥；</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（四）完善防蚊、防蝇、防鼠设施，堵鼠洞，填缝补隙以防蟑螂藏匿孳生；</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（五）参与所在地居民委员会或者村民委员会组织的病媒生物预防控制活动。</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第十二条</w:t>
      </w:r>
      <w:r>
        <w:rPr>
          <w:rFonts w:hint="default" w:ascii="宋体" w:hAnsi="宋体" w:eastAsia="仿宋_GB2312" w:cs="仿宋_GB2312"/>
          <w:b w:val="0"/>
          <w:bCs/>
          <w:sz w:val="32"/>
          <w:szCs w:val="32"/>
          <w:lang w:val="zh-CN"/>
        </w:rPr>
        <w:t>　食品生产经营者应当设置相应的防蝇、防鼠等设施，并采取措施消除苍蝇、老鼠、蟑螂等病媒生物及其孳生条件，病媒生物的密度应当符合国家规定要求。</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第十三条</w:t>
      </w:r>
      <w:r>
        <w:rPr>
          <w:rFonts w:hint="default" w:ascii="宋体" w:hAnsi="宋体" w:eastAsia="仿宋_GB2312" w:cs="仿宋_GB2312"/>
          <w:b w:val="0"/>
          <w:bCs/>
          <w:sz w:val="32"/>
          <w:szCs w:val="32"/>
          <w:lang w:val="zh-CN"/>
        </w:rPr>
        <w:t>　废品收购、建筑工地和集贸市场、禽畜饲养场、花卉市场等易招引或者孳生病媒生物的行业和场所，其经营管理者或者开办者应当完善和落实防范、杀灭病媒生物措施，并有专人负责病媒生物预防控制工作。</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第十四条</w:t>
      </w:r>
      <w:r>
        <w:rPr>
          <w:rFonts w:hint="default" w:ascii="宋体" w:hAnsi="宋体" w:eastAsia="仿宋_GB2312" w:cs="仿宋_GB2312"/>
          <w:b w:val="0"/>
          <w:bCs/>
          <w:sz w:val="32"/>
          <w:szCs w:val="32"/>
          <w:lang w:val="zh-CN"/>
        </w:rPr>
        <w:t>　城镇病媒生物预防控制工作主要指标应当符合本省病媒生物预防控制标准。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第十五条</w:t>
      </w:r>
      <w:r>
        <w:rPr>
          <w:rFonts w:hint="default" w:ascii="宋体" w:hAnsi="宋体" w:eastAsia="仿宋_GB2312" w:cs="仿宋_GB2312"/>
          <w:b w:val="0"/>
          <w:bCs/>
          <w:sz w:val="32"/>
          <w:szCs w:val="32"/>
          <w:lang w:val="zh-CN"/>
        </w:rPr>
        <w:t>　凡开设病媒生物预防控制有偿服务机构或者增加此类经营项目的，应当经县级以上市场监督管理部门注册登记，依法领取营业执照或者变更经营范围后方可营业，并在领取营业执照后10个工作日内向所在地同级爱国卫生运动委员会办公室备案。</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开展异地病媒生物预防控制有偿服务，还应当向服务所在地县级以上爱国卫生运动委员会办公室备案。</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第十六条</w:t>
      </w:r>
      <w:r>
        <w:rPr>
          <w:rFonts w:hint="default" w:ascii="宋体" w:hAnsi="宋体" w:eastAsia="仿宋_GB2312" w:cs="仿宋_GB2312"/>
          <w:b w:val="0"/>
          <w:bCs/>
          <w:sz w:val="32"/>
          <w:szCs w:val="32"/>
          <w:lang w:val="zh-CN"/>
        </w:rPr>
        <w:t>　省爱国卫生运动委员会办公室对已备案的、具备以下条件的病媒生物预防控制有偿服务机构，应当在其门户网站进行公示，方便需要服务的单位和个人选择和监督：</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（一）有合法的工商、税务登记证明；</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（二）有完整的病媒生物预防控制操作规程；</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（三）有与业务量相适应的专业知识和技能培训合格的技术人员；</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（四）有符合要求的经营场所、库房、专用药物与器械；</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（五）收费合理。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第十七条</w:t>
      </w:r>
      <w:r>
        <w:rPr>
          <w:rFonts w:hint="default" w:ascii="宋体" w:hAnsi="宋体" w:eastAsia="仿宋_GB2312" w:cs="仿宋_GB2312"/>
          <w:b w:val="0"/>
          <w:bCs/>
          <w:sz w:val="32"/>
          <w:szCs w:val="32"/>
          <w:lang w:val="zh-CN"/>
        </w:rPr>
        <w:t>　县级以上爱国卫生运动委员会办公室应当对本行政区域内的病媒生物预防控制有偿服务机构的服务内容、使用药物种类和工作质量等情况加强监督管理。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第十八条</w:t>
      </w:r>
      <w:r>
        <w:rPr>
          <w:rFonts w:hint="default" w:ascii="宋体" w:hAnsi="宋体" w:eastAsia="仿宋_GB2312" w:cs="仿宋_GB2312"/>
          <w:b w:val="0"/>
          <w:bCs/>
          <w:sz w:val="32"/>
          <w:szCs w:val="32"/>
          <w:lang w:val="zh-CN"/>
        </w:rPr>
        <w:t>　凡在本省生产、销售、使用的灭鼠、卫生杀虫药物和器械，应当符合国家和省的有关规定与标准。</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禁止生产、销售、使用国家禁用的灭鼠、卫生杀虫药物和器械。</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第十九条　</w:t>
      </w:r>
      <w:r>
        <w:rPr>
          <w:rFonts w:hint="default" w:ascii="宋体" w:hAnsi="宋体" w:eastAsia="仿宋_GB2312" w:cs="仿宋_GB2312"/>
          <w:b w:val="0"/>
          <w:bCs/>
          <w:sz w:val="32"/>
          <w:szCs w:val="32"/>
          <w:lang w:val="zh-CN"/>
        </w:rPr>
        <w:t>违反本规定第十一条规定的，由县级以上卫生行政部门或者政府指定的行政部门给予警告、限期整改或者罚款：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（一）单位、住户的下水道、沟渠、容器积水孳生蚊幼虫的，给予警告，并限期清理；逾期不改的，对单位处以500元以上1000元以下的罚款；住户处以50元以上100元以下的罚款。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（二）单位、住户堆积垃圾或者粪池、粪缸不密封而孳生蝇蛆的，给予警告，并限期清理；逾期不改的，对单位处以500元以上1000元以下的罚款，住户处以50元以上100元以下的罚款。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（三）单位室内病媒生物密度超过本省病媒生物预防控制标准的，给予警告，并限期除害；逾期不改的，处以罚款500元以上1000元以下的罚款。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第二十条</w:t>
      </w:r>
      <w:r>
        <w:rPr>
          <w:rFonts w:hint="default" w:ascii="宋体" w:hAnsi="宋体" w:eastAsia="仿宋_GB2312" w:cs="仿宋_GB2312"/>
          <w:b w:val="0"/>
          <w:bCs/>
          <w:sz w:val="32"/>
          <w:szCs w:val="32"/>
          <w:lang w:val="zh-CN"/>
        </w:rPr>
        <w:t>　违反本规定第十二条，食品生产经营者未设置相应的防蝇、防鼠等设施的，或者苍蝇、老鼠、蟑螂等病媒生物的密度不符合国家规定要求的，由县级以上卫生行政部门或者政府指定的行政部门责令其改正；逾期不改的，处以1000元以上5000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　第二十一条</w:t>
      </w:r>
      <w:r>
        <w:rPr>
          <w:rFonts w:hint="default" w:ascii="宋体" w:hAnsi="宋体" w:eastAsia="仿宋_GB2312" w:cs="仿宋_GB2312"/>
          <w:b w:val="0"/>
          <w:bCs/>
          <w:sz w:val="32"/>
          <w:szCs w:val="32"/>
          <w:lang w:val="zh-CN"/>
        </w:rPr>
        <w:t>　违反本规定第十三条，废品收购、建筑工地和集贸市场、禽畜饲养场、花卉市场的经营管理者或者开办者未完善和落实防范、杀灭病媒生物措施的，由县级以上卫生行政部门或者政府指定的行政部门责令其改正；逾期不改的，处以1000元以上5000元以下的罚款。</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第二十二条</w:t>
      </w:r>
      <w:r>
        <w:rPr>
          <w:rFonts w:hint="default" w:ascii="宋体" w:hAnsi="宋体" w:eastAsia="仿宋_GB2312" w:cs="仿宋_GB2312"/>
          <w:b w:val="0"/>
          <w:bCs/>
          <w:sz w:val="32"/>
          <w:szCs w:val="32"/>
          <w:lang w:val="zh-CN"/>
        </w:rPr>
        <w:t>　病媒生物预防控制有偿服务机构提供有偿服务，效果未达到本省病媒生物预防控制标准或者合同要求的，接受服务单位可以依法追究提供有偿服务机构的民事责任。</w:t>
      </w:r>
    </w:p>
    <w:p>
      <w:pPr>
        <w:widowControl w:val="0"/>
        <w:wordWrap/>
        <w:overflowPunct w:val="0"/>
        <w:adjustRightInd/>
        <w:snapToGrid/>
        <w:spacing w:beforeAutospacing="0" w:afterAutospacing="0" w:line="560" w:lineRule="exact"/>
        <w:ind w:left="0" w:leftChars="0" w:right="0"/>
        <w:textAlignment w:val="auto"/>
        <w:outlineLvl w:val="9"/>
        <w:rPr>
          <w:rFonts w:hint="default" w:ascii="宋体" w:hAnsi="宋体" w:eastAsia="仿宋_GB2312" w:cs="仿宋_GB2312"/>
          <w:b w:val="0"/>
          <w:bCs/>
          <w:sz w:val="32"/>
          <w:szCs w:val="32"/>
          <w:lang w:val="zh-CN"/>
        </w:rPr>
      </w:pPr>
      <w:r>
        <w:rPr>
          <w:rFonts w:hint="default" w:ascii="宋体" w:hAnsi="宋体" w:eastAsia="仿宋_GB2312" w:cs="仿宋_GB2312"/>
          <w:b w:val="0"/>
          <w:bCs/>
          <w:sz w:val="32"/>
          <w:szCs w:val="32"/>
          <w:lang w:val="zh-CN"/>
        </w:rPr>
        <w:t>　　</w:t>
      </w:r>
      <w:r>
        <w:rPr>
          <w:rFonts w:hint="default" w:ascii="黑体" w:hAnsi="黑体" w:eastAsia="黑体" w:cs="黑体"/>
          <w:b w:val="0"/>
          <w:bCs/>
          <w:sz w:val="32"/>
          <w:szCs w:val="32"/>
          <w:lang w:val="zh-CN"/>
        </w:rPr>
        <w:t>第二十三条</w:t>
      </w:r>
      <w:r>
        <w:rPr>
          <w:rFonts w:hint="default" w:ascii="宋体" w:hAnsi="宋体" w:eastAsia="仿宋_GB2312" w:cs="仿宋_GB2312"/>
          <w:b w:val="0"/>
          <w:bCs/>
          <w:sz w:val="32"/>
          <w:szCs w:val="32"/>
          <w:lang w:val="zh-CN"/>
        </w:rPr>
        <w:t>　有关行政管理部门及其工作人员违反本规定，滥用职权、玩忽职守、徇私舞弊的，由其主管部门对直接负责的主管人员和其他直接责任人员依法给予处分；构成犯罪的，依法追究刑事责任。</w:t>
      </w:r>
    </w:p>
    <w:p>
      <w:pPr>
        <w:widowControl w:val="0"/>
        <w:wordWrap/>
        <w:overflowPunct w:val="0"/>
        <w:adjustRightInd/>
        <w:snapToGrid/>
        <w:spacing w:beforeAutospacing="0" w:afterAutospacing="0" w:line="560" w:lineRule="exact"/>
        <w:ind w:left="0" w:leftChars="0" w:right="0" w:firstLine="640"/>
        <w:textAlignment w:val="auto"/>
        <w:outlineLvl w:val="9"/>
        <w:rPr>
          <w:rFonts w:hint="default" w:ascii="宋体" w:hAnsi="宋体" w:eastAsia="仿宋_GB2312" w:cs="仿宋_GB2312"/>
          <w:b w:val="0"/>
          <w:bCs/>
          <w:sz w:val="32"/>
          <w:szCs w:val="32"/>
          <w:lang w:val="zh-CN"/>
        </w:rPr>
      </w:pPr>
      <w:r>
        <w:rPr>
          <w:rFonts w:hint="default" w:ascii="黑体" w:hAnsi="黑体" w:eastAsia="黑体" w:cs="黑体"/>
          <w:b w:val="0"/>
          <w:bCs/>
          <w:sz w:val="32"/>
          <w:szCs w:val="32"/>
          <w:lang w:val="zh-CN"/>
        </w:rPr>
        <w:t>第二十四条</w:t>
      </w:r>
      <w:r>
        <w:rPr>
          <w:rFonts w:hint="default" w:ascii="宋体" w:hAnsi="宋体" w:eastAsia="仿宋_GB2312" w:cs="仿宋_GB2312"/>
          <w:b w:val="0"/>
          <w:bCs/>
          <w:sz w:val="32"/>
          <w:szCs w:val="32"/>
          <w:lang w:val="zh-CN"/>
        </w:rPr>
        <w:t>　本规定自2012年3月1日起施行。1994年12月19日广东省人民政府公布的《广东省除“四害”管理规定》（粤府〔1994〕146号）同时废止。</w:t>
      </w:r>
    </w:p>
    <w:p>
      <w:pPr>
        <w:pStyle w:val="4"/>
        <w:rPr>
          <w:rFonts w:hint="default" w:ascii="宋体" w:hAnsi="宋体" w:eastAsia="仿宋_GB2312" w:cs="仿宋_GB2312"/>
          <w:b w:val="0"/>
          <w:bCs/>
          <w:sz w:val="32"/>
          <w:szCs w:val="32"/>
          <w:lang w:val="zh-CN"/>
        </w:rPr>
      </w:pPr>
    </w:p>
    <w:p>
      <w:pPr>
        <w:rPr>
          <w:rFonts w:hint="default" w:ascii="宋体" w:hAnsi="宋体" w:eastAsia="仿宋_GB2312" w:cs="仿宋_GB2312"/>
          <w:b w:val="0"/>
          <w:bCs/>
          <w:sz w:val="32"/>
          <w:szCs w:val="32"/>
          <w:lang w:val="zh-CN"/>
        </w:rPr>
      </w:pPr>
    </w:p>
    <w:p>
      <w:pPr>
        <w:pStyle w:val="4"/>
        <w:rPr>
          <w:rFonts w:hint="default" w:ascii="宋体" w:hAnsi="宋体" w:eastAsia="仿宋_GB2312" w:cs="仿宋_GB2312"/>
          <w:b w:val="0"/>
          <w:bCs/>
          <w:sz w:val="32"/>
          <w:szCs w:val="32"/>
          <w:lang w:val="zh-CN"/>
        </w:rPr>
      </w:pPr>
    </w:p>
    <w:p>
      <w:pPr>
        <w:rPr>
          <w:rFonts w:hint="default" w:ascii="宋体" w:hAnsi="宋体" w:eastAsia="仿宋_GB2312" w:cs="仿宋_GB2312"/>
          <w:b w:val="0"/>
          <w:bCs/>
          <w:sz w:val="32"/>
          <w:szCs w:val="32"/>
          <w:lang w:val="zh-CN"/>
        </w:rPr>
      </w:pPr>
    </w:p>
    <w:p>
      <w:pPr>
        <w:pStyle w:val="4"/>
        <w:rPr>
          <w:rFonts w:hint="default" w:ascii="宋体" w:hAnsi="宋体" w:eastAsia="仿宋_GB2312" w:cs="仿宋_GB2312"/>
          <w:b w:val="0"/>
          <w:bCs/>
          <w:sz w:val="32"/>
          <w:szCs w:val="32"/>
          <w:lang w:val="zh-CN"/>
        </w:rPr>
      </w:pPr>
    </w:p>
    <w:p>
      <w:pPr>
        <w:rPr>
          <w:rFonts w:hint="default" w:ascii="宋体" w:hAnsi="宋体" w:eastAsia="仿宋_GB2312" w:cs="仿宋_GB2312"/>
          <w:b w:val="0"/>
          <w:bCs/>
          <w:sz w:val="32"/>
          <w:szCs w:val="32"/>
          <w:lang w:val="zh-CN"/>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 w:val="0"/>
          <w:bCs/>
          <w:kern w:val="44"/>
          <w:sz w:val="44"/>
          <w:szCs w:val="44"/>
          <w:lang w:val="en-US" w:eastAsia="zh-CN" w:bidi="ar-SA"/>
        </w:rPr>
      </w:pPr>
      <w:r>
        <w:rPr>
          <w:rFonts w:hint="eastAsia" w:ascii="Times New Roman" w:hAnsi="Times New Roman" w:eastAsia="宋体" w:cs="Times New Roman"/>
          <w:b w:val="0"/>
          <w:bCs/>
          <w:kern w:val="44"/>
          <w:sz w:val="44"/>
          <w:szCs w:val="44"/>
          <w:lang w:val="en-US" w:eastAsia="zh-CN" w:bidi="ar-SA"/>
        </w:rPr>
        <w:t>广东省人民政府关于印发广东省疫苗</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 w:val="0"/>
          <w:bCs/>
          <w:kern w:val="44"/>
          <w:sz w:val="44"/>
          <w:szCs w:val="44"/>
          <w:lang w:val="en-US" w:eastAsia="zh-CN" w:bidi="ar-SA"/>
        </w:rPr>
      </w:pPr>
      <w:r>
        <w:rPr>
          <w:rFonts w:hint="eastAsia" w:ascii="Times New Roman" w:hAnsi="Times New Roman" w:eastAsia="宋体" w:cs="Times New Roman"/>
          <w:b w:val="0"/>
          <w:bCs/>
          <w:kern w:val="44"/>
          <w:sz w:val="44"/>
          <w:szCs w:val="44"/>
          <w:lang w:val="en-US" w:eastAsia="zh-CN" w:bidi="ar-SA"/>
        </w:rPr>
        <w:t>安全事件应急预案（试行）的通知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 w:val="0"/>
          <w:bCs/>
          <w:kern w:val="44"/>
          <w:sz w:val="44"/>
          <w:szCs w:val="44"/>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b w:val="0"/>
          <w:bCs/>
          <w:kern w:val="2"/>
          <w:sz w:val="32"/>
          <w:szCs w:val="32"/>
          <w:lang w:val="en-US" w:eastAsia="zh-CN" w:bidi="ar-SA"/>
        </w:rPr>
      </w:pPr>
      <w:r>
        <w:rPr>
          <w:rFonts w:hint="eastAsia" w:ascii="楷体" w:hAnsi="楷体" w:eastAsia="楷体" w:cs="楷体"/>
          <w:b w:val="0"/>
          <w:bCs/>
          <w:kern w:val="2"/>
          <w:sz w:val="32"/>
          <w:szCs w:val="32"/>
          <w:lang w:val="en-US" w:eastAsia="zh-CN" w:bidi="ar-SA"/>
        </w:rPr>
        <w:t>粤府函〔2019〕430号</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color w:val="424242"/>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现将《广东省疫苗安全事件应急预案（试行）》印发给你们，请认真组织实施。实施过程中遇到的问题，请径向省药监局反映。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广东省人民政府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2019年12月30日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广东省疫苗安全事件应急预案（试行）</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目录</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　总则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1.1　编制目的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1.2　编制依据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1.3　适用范围</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1.4　分级标准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1.5　处置原则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　组织体系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　应急指挥体系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2.1.1　省疫苗安全事件应急指挥部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2.1.2　应急指挥部办公室</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　现场指挥机构（工作组）职责和组成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2.1.3.1　综合协调组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2.1.3.2　事件调查组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2.1.3.3　危害控制组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2.1.3.4　医疗救治组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2.1.3.5　应急保障组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2.1.3.6　宣传报道组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2.2　专家组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2.3　技术支撑机构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　监测、预警、报告和评估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　监测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3.1.1　报告责任主体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3.1.2　疫苗安全事件信息内容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3.2　预警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　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3.3.1　报告程序和时限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3.3.2　报告内容和方式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3.4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　分级响应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　Ⅰ级响应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　Ⅱ级响应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　Ⅲ级响应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　IV级响应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4.5　响应结束</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　信息发布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4.6.1　发布原则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4.6.2　发布要求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4.6.3　发布形式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　风险沟通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5.1　沟通目的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5.2　沟通原则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5.3　沟通方式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　后期处置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6.1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6.2　工作总结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6.3　善后与恢复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　保障措施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7.1　信息保障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7.2　人员及技术保障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7.3　物质和经费保障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7.4　应急演练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7.5　应急宣传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8　预案实施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附件1疫苗安全事件分级标准和响应级别</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附件2疫苗安全重大信息报告表（初报）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附件3疫苗安全重大信息报告表（续报）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附件4疫苗安全突发事件信息报告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附件5较大疫苗安全事件应急处置流程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附件6一般疫苗安全事件应急处置流程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　总则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1.1　编制目的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为建立健全我省疫苗安全事件应急处置机制，有效预防、积极应对疫苗安全事件，高效组织应急处置工作，最大限度降低疫苗安全事件危害，保障公众健康和生命安全，维护正常的社会经济秩序，结合我省实际，制定本预案。</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1.2　编制依据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中华人民共和国突发事件应对法》《中华人民共和国药品管理法》《中华人民共和国疫苗管理法》《疫苗流通和预防接种管理条例》《关于改革和完善疫苗管理体制的意见》《市场监管突发事件应急管理办法》《药品和医疗器械安全突发事件应急预案（试行）》《疫苗质量安全事件应急预案（试行）》《全国疑似预防接种异常反应监测方案》等法律法规及有关规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1.3　适用范围</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本预案所称的疫苗安全事件，是指发生疫苗疑似预防接种反应、群体不良事件，经组织调查后怀疑与疫苗质量有关，或者日常监督检查和风险监测中发现的疫苗安全信息，以及其他严重影响公众健康的疫苗安全事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本预案适用于涉及我省行政区域内突发或省外发生涉及我省的疫苗安全事件应急处置的防范应对、应急处置工作。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1.4　分级标准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疫苗安全事件分为特别重大、重大、较大和一般4个级别，依次对应Ⅰ、Ⅱ、Ⅲ、Ⅳ级响应（具体标准见附件1）。</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1.5　处置原则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遵循统一领导、分级负责、预防为主、快速反应、协同应对、依法规范、科学处置的原则。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　组织体系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　应急指挥体系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全省疫苗安全事件应急指挥体系由省、市、县（区）各级应急指挥部及其办公室组成，按照分级负责的原则，负责组织、协调和指导相应事件等级的疫苗安全应急处置工作。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省级应急指挥部负责应对本行政区域较大及以上疫苗安全事件；设区的市级指挥部负责应对本行政区域一般疫苗安全事件。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2.1.1　省疫苗安全事件应急指挥部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指挥长：分管副省长</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副指挥长：省政府分管副秘书长，省药监局、卫生健康委主要负责同志。</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成员：省委宣传部、政法委、外办、台办，省教育厅、公安厅、民政厅、司法厅、财政厅、卫生健康委、市场监管局、港澳办、粮食和储备局、药监局，海关总署广东分署、省通信管理局、广东银保监局等单位分管负责同志及省疫苗生产企业自律共治小组负责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指挥长可根据实际情况抽调省有关单位分管负责同志作为成员。</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各成员单位根据应急响应级别，按照省指挥部的统一部署，依职责配合做好疫苗安全突发事件应急处置工作。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省委宣传部：负责指导疫苗安全事件宣传报道和舆论引导工作。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省委政法委：负责指导、协调、督促政法机关依法办理疫苗安全犯罪案件。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省教育厅：负责协助省有关部门对学校（含托幼机构）学生在校疫苗安全事件原因进行调查以及组织应急处置工作。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省公安厅：负责事发地治安秩序维护工作；周边道路交通管制、保障应急救援道路畅通和城市公共客运通行；做好涉嫌犯罪案件的侦查工作，依法严厉打击危害疫苗安全犯罪行为。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省民政厅：负责做好受疫苗安全事件影响导致生活困难且符合社会救助条件人群的基本生活救助工作。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省司法厅：负责疫苗安全事件省政府决策的法律顾问工作。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省财政厅：负责疫苗安全事件应急救援、应急处置的资金保障。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省卫生健康委：负责组织协调相关医疗机构、疾病预防控制机构和接种单位，开展疫苗安全事件患者医疗救治。</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省委外办、台办，省港澳办：负责协助有关监管部门对涉外、涉港澳台的疫苗安全事件进行应急处置。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省市场监管局：负责对疫苗安全事件所涉及的商标侵权等违法行为进行调查处理，并采取必要的应急处置措施。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省粮食和储备局：负责落实省级重要物资和应急储备物资动用计划和指令。</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负责省指挥部办公室日常工作；负责收集和上报疫苗安全事件信息；协调有关部门（单位）开展应急处置工作；控制突发事件所涉及的相关疫苗；负责对疫苗质量安全事件进行调查处理和相关技术鉴定等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海关总署广东分署：负责协调省内海关及时向有关部门通报疫苗安全事件涉及的进出口环节情况，对辖区内国境口岸区域发生的进出口疫苗安全事件中违法行为进行调查处理；组织开展相关检测，依法采取必要的应急处置措施；开展相关疫苗安全事件风险评估；提交事件发生原因、处置过程和风险评估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通信管理局：根据药品监督管理、卫生健康主管及网信等部门出具的书面认定意见，配合依法查处疫苗安全事件中涉及的违法违规互联网站和应用；负责组织协调各电信运营企业支持做好应急指挥通信保障工作，保障应急指挥系统通信畅通。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广东银保监局：负责督促省内各保险机构及时开展疫苗安全相关保险理赔。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省疫苗生产企业自律共治小组：负责指导疫苗上市许可持有人制订、实施疫苗安全事件应急预案，开展疫苗安全相关教育；协助有关监管部门开展事件调查处理。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2.1.2　应急指挥部办公室</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省应急指挥部办公室设在省药监局，该局主要负责同志兼任办公室主任。职责如下：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（1）承担省应急指挥部日常工作，组织落实省应急指挥部的各项工作部署，建立疫苗安全事件应急处置发文、会商、信息发布、专家组管理和工作督查等工作机制。</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（2）检查督促相关地区和部门做好各项应急处置工作，及时有效控制危害，防止事态蔓延扩大。</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（3）收集汇总分析各相关部门疫苗安全事件应急处置信息，及时向省指挥部报告、通报应急处置工作情况。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（4）组织协调全省疫苗安全事件的预防、预警和应急处置工作，组织相关宣传培训和演练。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（5）组织修订疫苗安全事件应急预案。</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（6）组织建立和管理疫苗安全事件应急处置专家组。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（7）完成省指挥部交办的其他任务。</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市、县级设立相应的疫苗安全事件应急指挥部及其办公室，负责组织、协调和指导本行政区域疫苗安全事件的应急工作。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　现场指挥机构（工作组）职责和组成：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一般及较大疫苗安全事件后，事发地人民政府设立由本级人民政府负责同志、相关部门负责同志组成的现场指挥机构，统一组织、指挥、协调突发事件现场应急处置工作。现场指挥机构可根据应急处置需要设立综合协调组、事件调查组、危害控制组、医疗救治组、应急保障组和宣传报道组，并可视情况调整其设置及人员组成，也可吸收市、县级指挥部人员和专家、应急处置队伍负责人、事件发生单位负责人等参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2.1.3.1　综合协调组：由药品监督管理部门牵头，卫生健康、财政等部门配合。负责现场指挥机构日常工作；收集、整理、上报疫苗质量安全事件处置信息；组织召开专家组会议；协调提供必要的经费保障；经现场指挥机构授权，发布处置工作动态；承担现场指挥机构交办的其他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2.1.3.2　事件调查组：由药品监督管理部门牵头，政法、公安、卫生健康等部门配合。负责调查疫苗安全事件的发生原因，评估事件影响，做出调查结论，提出防范意见；对涉嫌犯罪的，由省公安厅负责督促、指导涉案地公安机关立案侦办，查清事实，依法追究刑事责任。根据实际需要，事件调查组可设置在事发地或派员赴现场开展调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2.1.3.3　危害控制组：由药品监督管理部门牵头，负责组派应急队伍，监督、指导事发地政府有关部门召回、下架、封存涉事疫苗、原料及相关产品，严格控制流通渠道，防止危害蔓延扩大。</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2.1.3.4　医疗救治组：由卫生健康部门牵头，负责组织协调相关医疗机构，调派医疗救治和公共卫生专家，实施疫苗安全事件患者救治，协助有关部门对事件现场进行卫生处理，组织省级应急医药储备调拨和保障，加强疫苗使用管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2.1.3.5　应急保障组：由粮食和储备、药品监督管理、财政等部门牵头，提供应急救援资金及协助征用交通工具，负责协调组织调运应急救援设施，妥善安置受影响人群，维护应急现场安全和救援秩序，加强治安管理，维护社会稳定，负责出入境应急设备、物资通关保障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2.1.3.6　宣传报道组：由宣传部门牵头，药品监督管理、卫生健康、通信管理等部门配合，涉外、涉港澳台时包括外办、台办、港澳办等部门。根据现场指挥机构发布的信息，组织协调新闻媒体做好疫苗安全事件应急处置的新闻报道，积极引导舆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2.2　专家组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较大及以上级别疫苗安全事件发生后，省药监局牵头从省药品专家库中遴选相关专家成立省疫苗安全应急专家组。完善相关咨询机制，为较大及以上级别疫苗安全事件应急工作提供技术支持。</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2.3　技术支撑机构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直属单位或受委托单位依职责开展应急抽样、检验检测、数据和信息收集与分析工作。根据授权或委托，组织开展事件的性质、发展趋势、危害影响等评估研判。省药监局直属单位应指定相关科室负责疫苗安全事件应急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　监测、预警、报告和评估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　监测</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管理部门依职责开展日常疫苗安全监督检查、抽样检验、风险监测、舆情监测等工作，收集、分析和研判可能导致疫苗安全事件的风险隐患信息，必要时向有关部门和地区通报，有关监管部门依法采取有效控制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上市许可持有人、疫苗委托储存配送企业应当依法落实疫苗安全主体责任，建立健全风险监测防控措施，定期开展自查，认真排查和消除疫苗安全风险隐患。疾病预防控制机构和预防接种单位加强疫苗接种规范管理，加强接种人员专业培训，提升预防接种服务水平。出现疫苗安全事件隐患时，要立即报告当地药品监管部门和相关业务监管部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3.1.1　报告责任主体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（1）发生疫苗安全突发事件的疾病预防控制机构、接种单位；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（2）AEFI（疑似预防接种异常反应）监测机构；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（3）各级药品监督管理部门；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（4）其他单位和个人。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3.1.2　疫苗安全事件信息内容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（1）发生疑似疫苗预防接种异常反应，经组织调查怀疑与疫苗有关的信息；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（2）日常监督检查和风险监测中发现的疫苗安全事件信息；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（3）上级领导对疫苗安全事件作出的批示；</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（4）上级部门交办或督办的疫苗安全事件信息；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（5）国内外有关部门通报的疫苗安全事件信息；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（6）群众投诉举报反映的疫苗安全事件信息；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（7）属于或可能形成疫苗安全事件的舆情信息；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（8）其他渠道获取的疫苗安全事件信息。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3.2　预警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药品监管、卫生健康等疫苗安全事件应急部门应发挥专家组和技术支撑机构作用，对疫苗安全事件相关危险因素进行分析，对可能危害公众健康的风险因素、风险级别、影响范围、紧急程度和可能存在的危害提出分析评估意见。可能发生疫苗安全事件或接收到有关信息，应通过指挥部办公室发布疫苗风险预警或指导信息，通知下一级应急部门和可能发生事件单位采取针对性防范措施。同时，针对可能发生事件的特点、危害程度和发展态势，指令应急处置队伍和有关单位进入待命状态，视情派出工作组进行现场督导，检查预防性处置措施执行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　报告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3.3.1　报告程序和时限</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初报。疑似疫苗安全事件发生后，各地级以上市药品监督管理部门要尽快掌握情况，及时上报突发事件信息。特别重大及重大级别疫苗安全事件，应在获知相关信息后30分钟内电话报告、1小时内书面报告；较大级别疫苗安全突发事件，应在获知相关信息后6小时内书面报告省药监局；其他突发事件可能涉及疫苗安全的，应在获知相关信息后24小时内书面上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省药监局应对接报的一般疫苗安全事件信息进行跟踪和协调，对达到较大及以上级别疫苗安全事件，应及时向国家药品监督管理局、省人民政府报告初步情况，并及时书面报告详细情况。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续报。初报后，各地级以上市药品监督管理部门要加强相关情况的跟踪核实，组织分析研判，根据事件发展、应急处置等情况，及时续报有关信息。特别重大及重大疫苗安全事件每天至少上报一次信息，在处置过程中取得重大进展或可确定关键性信息的，应在24小时内上报进展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（3）终报。应于突发事件处置结束后7个工作日内上报。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核报。接到要求核报的信息，事发地药品监督管理部门要迅速核实，按时限要求反馈相关情况。原则上，对国家药品监督管理局和省委、省政府要求核报的信息，需在20分钟内电话反馈；明确要求上报书面信息的，需在50分钟内上报。对省药监局要求核报的信息，需在30分钟内电话反馈；明确要求上报书面信息的，需在1小时内反馈。</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3.3.2　报告内容和方式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向国家药品监督管理局报告疫苗安全事件信息的，以《疫苗安全重大信息报告表》（附件2、3）形式报送，分为初报和续报。初报后，根据事件发展和应急处置等情况，及时续报。初报内容包括事件发生时间、地点、当前状况、危害程度、先期处置、发展趋势等。续报内容包括事件进展、后续应对措施、调查详情、原因分析等。</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向省人民政府报告疫苗安全事件信息的，以《疫苗安全突发事件信息报告》（附件4）形式报送。</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事件信息报告一般采取传真形式。报送信息时，可先通过电话、短信等形式先行报告事件主要情况，后续及时报送相关书面材料，报告时应确保信息核收无误。涉密信息的报告按保密有关规定处理。</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3.4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发生后，药品监督管理部门依法组织开展事件评估，初步判定是否为疫苗安全事件，并核定事件级别，将相关情况报同级指挥部，由指挥部向同级人民政府提出启动应急响应建议。评估内容主要包括：</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（1）可能导致的健康危害及涉及范围，是否已造成健康危害后果及严重程度；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（2）事件影响范围及严重程度；</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（3）事件发展蔓延趋势。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　分级响应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　I级响应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特别重大疫苗安全事件，按照国务院及国家疫苗管理部际联席会议部署要求，在国家药品监督管理局统一指挥下，省药监局应及时请示省人民政府成立省应急指挥部，由省应急指挥部启动I级响应，做好应急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4.1.1　省应急指挥部收到国家药品监督管理局通知或通报后，第一时间通知本行政区域内的各级药品监督管理部门和卫生健康部门、疾病预防控制机构、相关疫苗经营使用单位立即停止采购、配送和使用涉事疫苗；组织对涉事疫苗进行就地封存、核查采购和配送渠道、追踪流向并进行汇总统计；对本行政区域内相关疫苗不良事件进行统计。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4.1.2　事发地在本省行政区域内的，省药监局协调相关单位，按照国家药品监督管理局的部署要求落实工作；协调卫生健康部门对病人开展医疗救治；依法对本行政区域内的涉事疫苗采取紧急控制措施。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　Ⅱ级响应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发生重大疫苗安全事件，在国家药品监督管理局统一指挥下，省药监局应及时请示省人民政府成立省应急指挥部，由省应急指挥部启动Ⅱ级响应，立即按程序开展处置工作。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4.2.1　省应急指挥部收到国家药品监督管理局通知或通报后，第一时间通知本行政区域内的各级药品监督管理部门和卫生健康部门、省级药品集中采购平台、疾病预防控制机构、相关疫苗配送企业、接种单位立即停止采购、配送和使用涉事疫苗；组织对涉事疫苗进行就地封存、核查疫苗采购和配送渠道、追踪流向并进行汇总统计；对本行政区域内相关疫苗不良事件进行统计。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4.2.2　事发地在本省行政区域内的，省药监局协调相关单位，按照国家药品监督管理局的部署和要求落实工作；协调卫生健康部门对病人开展医疗救治；依法对本行政区域内的涉事疫苗采取紧急控制措施。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　Ⅲ级响应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发生较大疫苗安全事件，省药监局应及时请示省人民政府成立省应急指挥部，由省应急指挥部启动Ⅲ级响应。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4.3.1　省应急指挥部办公室及时将有关情况报告国家药品监督管理局、省人民政府，并及时续报有关情况。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4.3.2　省应急指挥部各成员单位和现场指挥机构每日将工作信息报省应急指挥部办公室，重大紧急情况应即时报送。省应急指挥部办公室每日编发《疫苗安全突发事件信息报告》，报送国家药品监督管理局及省委、省政府，分送省应急指挥部各成员单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4.3.3　省应急指挥部定期召开会议，通报工作进展情况，研究部署应急处置工作重大事项。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4.3.4　根据患者救治情况，医疗救治组协调省卫生健康委派出省级医疗队，赶赴事发地指导医疗救治工作。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4.3.5　根据事件情况，派出工作组、专家组到事发地指导处置；省应急指挥部负责人视情赶赴事发地现场指挥。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4.3.6　对事发地在我省、涉事疫苗上市许可持有人在外省的，省药监局及时通报涉事疫苗上市许可持有人所在地的省药品监督管理部门并提出应急处置要求。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4.3.7　危害控制组核实涉事疫苗的品种及生产批号，指导疾病预防控制机构、疫苗配送企业和接种单位依法采取就地封存、核查疫苗采购和配送渠道、追踪流向及汇总统计等紧急控制措施；组织对相关疫苗进行抽样送检。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4.3.8　根据调查进展情况，事件调查组适时组织召开专家组会议，对事件性质、原因进行研判，作出研判结论。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4.3.9　新闻宣传组及时向社会发布警示信息，设立并对外公布咨询电话；制订新闻报道方案，及时、客观、准确地发布事件信息；密切关注社会及网络舆情，做好舆论引导工作。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4.3.10　密切关注社会动态，做好疫苗接种者亲属安抚、信访接访等工作，确保社会稳定。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4.3.11　地级以上市药品监督管理部门采取以下措施：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事发地药品监督管理部门收到省药监局通知或通报后，第一时间通知本行政区域内的各级药品监督管理部门、疾病预防控制机构、疫苗配送企业和接种单位；协调相关部门对事件进行现场核实，包括发生的时间、地点，疫苗的名称和生产批号，不良事件表现，事件涉及的病例数和死亡病例数；协调卫生健康部门对病人开展医疗救治；组织对疫苗的生产、配送、使用进行现场调查；依法对本行政区域内的涉事疫苗采取紧急控制措施，组织对涉事疫苗进行就地封存、核查疫苗采购和配送渠道、流向追踪并进行汇总统计；相关信息及时报告省药监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上市许可持有人所在地药品监督管理部门协助组织对相关药品的生产、流通环节开展现场调查；监督企业召回涉事疫苗；按照省药监局要求，组织对疫苗上市许可持有人的涉事疫苗留样进行抽样送检。相关信息及时报告省药监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　IV级响应</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发生一般疫苗安全事件，事发地市级药品监督管理部门应及时请示市人民政府成立市级应急指挥部，启动Ⅳ级响应，并向上逐级报告事件处置情况，省药监局对事件进行密切跟踪并对处置给予指导和支持。</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4.4.1　市应急指挥部及时将有关情况报告省人民政府、省药监局，并及时续报有关情况。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4.4.2　市应急指挥部各成员单位、各工作组于每日将工作信息报综合协调组，重大紧急情况应即时报送。综合协调组每日编发《疫苗安全突发事件信息报告》，报送省委、省政府及省药监局，分送市指挥部各成员单位。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4.4.3　市应急指挥部定期召开会议，通报工作进展情况，研究部署应急处置工作重大事项。</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4.4.4　根据患者救治情况，医疗救治组协调派出医疗专家赶赴事发地指导医疗救治工作。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4.4.5　根据事件情况，派出事件调查组、专家组到事发地指导处置；应急指挥部负责人视情赶赴事发地现场指挥。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4.4.6　对事发地在我省、涉事疫苗上市许可持有人在外省的，省药监局及时通报涉事疫苗上市许可持有人所在地的省药品监督管理部门并提出应急处置要求。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4.4.7　危害控制组核实涉事疫苗的品种及生产批号，指导相关部门、医疗机构和生产经营单位依法采取封存、溯源、流向追踪等紧急控制措施；组织对相关疫苗进行抽样送检。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4.4.8　根据调查进展情况，事件调查组适时组织召开专家组会议，对事件性质、原因进行研判，作出研判结论。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4.4.9　新闻宣传组及时向社会发布警示信息，设立并对外公布咨询电话；制订新闻报道方案，及时、客观、准确地发布事件信息；密切关注社会及网络舆情，做好舆论引导工作。 </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4.4.10　密切关注社会动态，做好疫苗接种者亲属安抚、信访接访等工作，确保社会稳定。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4.5　响应结束</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事件原因调查清楚、安全隐患或相关危害因素得到消除或处置结束后，由宣布启动应急响应的指挥部宣布应急响应结束，解除应急状态。上级应急指挥部要与下级应急指挥部做好各项工作交接，负责指导下级应急指挥部做好后续工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　信息发布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4.6.1　发布原则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坚持实事求是、及时准确、科学公正的原则。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4.6.2　发布要求</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Ⅰ级响应由国务院以及国家疫苗管理部际联席会议统筹发布相关信息。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Ⅱ级响应由国家药品监督管理局发布相关信息。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Ⅲ级响应、Ⅳ级响应由宣布启动应急响应的指挥部按预案要求发布相关信息。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未经授权，其他单位及个人无权发布疫苗安全事件信息。</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4.6.3　发布形式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信息发布包括授权发布、组织报道、接受记者采访、举行新闻发布会、重点新闻网站或政府网站报道等形式。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　风险沟通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5.1　沟通目的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回应社会关切，加强正面引导，避免谣言传播，营造良好的舆论环境。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5.2　沟通原则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遵循积极准备、及时主动、信息真实、口径一致、注重关切的基本原则。</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5.3　沟通方式</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I级响应按照国务院及国家疫苗管理部际联席会议要求，国家药品监督管理局做好相应风险沟通；Ⅱ级响应由国家药品监督管理局指定专人对外进行风险沟通；Ⅲ级、Ⅳ级响应分别按照省人民政府和各地级以上市人民政府的预案要求对外进行风险沟通。沟通方式包括新闻发布会、电视访谈、书面采访等。</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　后期处置</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6.1　事件评估</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各级指挥部办公室按规定及时对疫苗安全事件做出客观、真实、全面的调查评估，包括事件的起因、性质、影响、后果、责任等基本情况，事件结论及风险评估情况。</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6.2　工作总结</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疫苗安全事件应急处置结束后，各级指挥部要及时对事件发生的经过、采取的主要措施、处置工作情况、原因分析、主要做法进行总结，并提出改进措施。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6.3　善后与恢复</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指挥部根据疫苗安全事件危害程度及造成的损失，提出善后处理意见，并报同级人民政府批准。事发地人民政府负责组织善后处置工作，包括受害及受影响人员的处置、慰问、医疗救治、赔（补）偿、征用物资和救援费用补偿等事项，尽快消除影响，恢复生产经营秩序，确保社会稳定。</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　保障措施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7.1　信息保障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各级疫苗安全事件信息监测机构要建立健全信息收集、报送体系，密切关注苗头性、倾向性问题，确保事件发生时信息报送准确、及时。发现发布不实信息、散布谣言等情况，应及时通报相关部门。</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7.2　人员及技术保障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各级药品监督管理、卫生健康部门要加强应急处置能力建设，提升快速应对能力和技术水平。健全专家队伍，为事件调查、风险评估等相关技术工作提供人才保障。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7.3　物质和经费保障</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疫苗安全事件应急处置所需设施、设备和物质的储备与调用应当得到保障。疫苗安全事件应急处置、产品抽样及检验等所需经费应当列入年度财政预算，保障应急资金。</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7.4　应急演练</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省药监局、卫生健康委牵头定期组织重大疫苗安全事件应急演练，不断完善应急预案。各级药品监督管理、卫生健康部门每年要有计划地组织相关人员进行疫苗安全应急管理培训。</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7.5　应急宣传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通过广播、电视、网络等多种形式，广泛宣传疫苗安全应急管理法律法规和相关常识，增强公众的社会责任感和自我保护能力。</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8　预案实施</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（1）本预案由省人民政府组织制定，由省药监局负责解释，并根据相关法律法规和政策规定，以及实施过程中发现的问题及时进行修订。</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default" w:ascii="宋体" w:hAnsi="宋体" w:eastAsia="仿宋_GB2312" w:cs="仿宋_GB2312"/>
          <w:b w:val="0"/>
          <w:bCs/>
          <w:kern w:val="2"/>
          <w:sz w:val="32"/>
          <w:szCs w:val="32"/>
          <w:lang w:val="zh-CN" w:eastAsia="zh-CN" w:bidi="ar-SA"/>
        </w:rPr>
      </w:pPr>
      <w:r>
        <w:rPr>
          <w:rFonts w:hint="eastAsia" w:ascii="宋体" w:hAnsi="宋体" w:eastAsia="仿宋_GB2312" w:cs="仿宋_GB2312"/>
          <w:b w:val="0"/>
          <w:bCs/>
          <w:kern w:val="2"/>
          <w:sz w:val="32"/>
          <w:szCs w:val="32"/>
          <w:lang w:val="zh-CN" w:eastAsia="zh-CN" w:bidi="ar-SA"/>
        </w:rPr>
        <w:t>　　（2）本预案自发布之日起施行，试行期2年。</w:t>
      </w:r>
    </w:p>
    <w:p>
      <w:pPr>
        <w:pStyle w:val="4"/>
        <w:rPr>
          <w:rFonts w:hint="default"/>
          <w:lang w:val="zh-CN"/>
        </w:rPr>
      </w:pPr>
    </w:p>
    <w:p>
      <w:pPr>
        <w:rPr>
          <w:rFonts w:hint="default"/>
          <w:lang w:val="zh-CN"/>
        </w:rPr>
      </w:pPr>
    </w:p>
    <w:p>
      <w:pPr>
        <w:pStyle w:val="4"/>
        <w:rPr>
          <w:rFonts w:hint="default"/>
          <w:lang w:val="zh-CN"/>
        </w:rPr>
      </w:pPr>
    </w:p>
    <w:p>
      <w:pPr>
        <w:rPr>
          <w:rFonts w:hint="default"/>
          <w:lang w:val="zh-CN"/>
        </w:rPr>
      </w:pPr>
    </w:p>
    <w:p>
      <w:pPr>
        <w:pStyle w:val="4"/>
        <w:rPr>
          <w:rFonts w:hint="default"/>
          <w:lang w:val="zh-CN"/>
        </w:rPr>
      </w:pPr>
    </w:p>
    <w:p>
      <w:pPr>
        <w:rPr>
          <w:rFonts w:hint="default"/>
          <w:lang w:val="zh-CN"/>
        </w:rPr>
      </w:pPr>
    </w:p>
    <w:p>
      <w:pPr>
        <w:rPr>
          <w:rFonts w:hint="default"/>
          <w:lang w:val="zh-CN"/>
        </w:rPr>
      </w:pPr>
    </w:p>
    <w:p>
      <w:pPr>
        <w:wordWrap/>
        <w:spacing w:line="560" w:lineRule="exact"/>
        <w:textAlignment w:val="auto"/>
        <w:rPr>
          <w:rFonts w:hint="default" w:ascii="Calibri" w:hAnsi="Calibri" w:eastAsia="宋体" w:cs="Times New Roman"/>
          <w:sz w:val="21"/>
          <w:lang w:val="en-US" w:eastAsia="zh-CN"/>
        </w:rPr>
      </w:pPr>
      <w:r>
        <w:rPr>
          <w:rFonts w:hint="default" w:ascii="Calibri" w:hAnsi="Calibri" w:eastAsia="宋体" w:cs="Times New Roman"/>
          <w:sz w:val="21"/>
          <w:lang w:val="en-US" w:eastAsia="zh-CN"/>
        </w:rPr>
        <w:br w:type="page"/>
      </w:r>
    </w:p>
    <w:p>
      <w:pPr>
        <w:widowControl w:val="0"/>
        <w:wordWrap/>
        <w:adjustRightInd/>
        <w:snapToGrid/>
        <w:spacing w:line="560" w:lineRule="exact"/>
        <w:ind w:left="0" w:leftChars="0" w:right="0" w:firstLine="0" w:firstLineChars="0"/>
        <w:jc w:val="center"/>
        <w:textAlignment w:val="auto"/>
        <w:outlineLvl w:val="0"/>
        <w:rPr>
          <w:rFonts w:hint="eastAsia" w:ascii="Times New Roman" w:hAnsi="Times New Roman" w:eastAsia="宋体" w:cs="Times New Roman"/>
          <w:bCs/>
          <w:kern w:val="44"/>
          <w:sz w:val="44"/>
          <w:szCs w:val="44"/>
          <w:lang w:val="en-US" w:eastAsia="zh-CN" w:bidi="ar-SA"/>
        </w:rPr>
      </w:pPr>
      <w:bookmarkStart w:id="481" w:name="_Toc403"/>
      <w:bookmarkStart w:id="482" w:name="_Toc15205"/>
      <w:bookmarkStart w:id="483" w:name="_Toc6116"/>
      <w:bookmarkStart w:id="484" w:name="_Toc18349"/>
      <w:bookmarkStart w:id="485" w:name="_Toc28680"/>
      <w:bookmarkStart w:id="486" w:name="_Toc1797"/>
      <w:bookmarkStart w:id="487" w:name="_Toc3937"/>
      <w:bookmarkStart w:id="488" w:name="_Toc29270"/>
      <w:bookmarkStart w:id="489" w:name="_Toc29723"/>
      <w:bookmarkStart w:id="490" w:name="_Toc13298"/>
      <w:bookmarkStart w:id="491" w:name="_Toc21211"/>
      <w:r>
        <w:rPr>
          <w:rFonts w:hint="eastAsia" w:ascii="Times New Roman" w:hAnsi="Times New Roman" w:eastAsia="宋体" w:cs="Times New Roman"/>
          <w:bCs/>
          <w:kern w:val="44"/>
          <w:sz w:val="44"/>
          <w:szCs w:val="44"/>
          <w:lang w:val="en-US" w:eastAsia="zh-CN" w:bidi="ar-SA"/>
        </w:rPr>
        <w:t>广东省突发事件应急补偿管理暂行办法</w:t>
      </w:r>
      <w:bookmarkEnd w:id="481"/>
    </w:p>
    <w:p>
      <w:pPr>
        <w:widowControl w:val="0"/>
        <w:wordWrap/>
        <w:adjustRightInd/>
        <w:snapToGrid/>
        <w:spacing w:line="560" w:lineRule="exact"/>
        <w:textAlignment w:val="auto"/>
        <w:rPr>
          <w:rFonts w:hint="eastAsia" w:ascii="仿宋_GB2312" w:hAnsi="Times New Roman" w:eastAsia="仿宋_GB2312" w:cs="Times New Roman"/>
          <w:sz w:val="32"/>
          <w:szCs w:val="32"/>
        </w:rPr>
      </w:pPr>
    </w:p>
    <w:p>
      <w:pPr>
        <w:widowControl w:val="0"/>
        <w:wordWrap/>
        <w:adjustRightInd/>
        <w:snapToGrid/>
        <w:spacing w:line="560" w:lineRule="exact"/>
        <w:jc w:val="center"/>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粤府办〔2012〕127号</w:t>
      </w:r>
    </w:p>
    <w:p>
      <w:pPr>
        <w:widowControl w:val="0"/>
        <w:wordWrap/>
        <w:adjustRightInd/>
        <w:snapToGrid/>
        <w:spacing w:line="560" w:lineRule="exact"/>
        <w:jc w:val="both"/>
        <w:textAlignment w:val="auto"/>
        <w:rPr>
          <w:rFonts w:hint="eastAsia" w:ascii="仿宋_GB2312" w:hAnsi="宋体" w:eastAsia="仿宋_GB2312" w:cs="Times New Roman"/>
          <w:kern w:val="2"/>
          <w:sz w:val="32"/>
          <w:szCs w:val="24"/>
          <w:lang w:val="en-US" w:eastAsia="zh-CN" w:bidi="ar-SA"/>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第一章　总则</w:t>
      </w:r>
    </w:p>
    <w:p>
      <w:pPr>
        <w:widowControl w:val="0"/>
        <w:wordWrap/>
        <w:adjustRightInd/>
        <w:snapToGrid/>
        <w:spacing w:line="560" w:lineRule="exact"/>
        <w:textAlignment w:val="auto"/>
        <w:rPr>
          <w:rFonts w:hint="eastAsia" w:ascii="仿宋_GB2312" w:hAnsi="Times New Roman" w:eastAsia="仿宋_GB2312" w:cs="Times New Roman"/>
          <w:sz w:val="32"/>
          <w:szCs w:val="32"/>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w:t>
      </w:r>
      <w:r>
        <w:rPr>
          <w:rFonts w:hint="eastAsia" w:ascii="黑体" w:hAnsi="黑体" w:eastAsia="黑体" w:cs="黑体"/>
          <w:sz w:val="32"/>
          <w:szCs w:val="32"/>
        </w:rPr>
        <w:t>第一条</w:t>
      </w:r>
      <w:r>
        <w:rPr>
          <w:rFonts w:hint="eastAsia" w:ascii="仿宋_GB2312" w:hAnsi="Times New Roman" w:eastAsia="仿宋_GB2312" w:cs="Times New Roman"/>
          <w:sz w:val="32"/>
          <w:szCs w:val="32"/>
        </w:rPr>
        <w:t>　为规范突发事件应急补偿管理，根据《中华人民共和国突发事件应对法》、《广东省突发事件应对条例》等有关法律、法规规定，制定本办法。</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第二条</w:t>
      </w:r>
      <w:r>
        <w:rPr>
          <w:rFonts w:hint="eastAsia" w:ascii="仿宋_GB2312" w:hAnsi="Times New Roman" w:eastAsia="仿宋_GB2312" w:cs="Times New Roman"/>
          <w:sz w:val="32"/>
          <w:szCs w:val="32"/>
        </w:rPr>
        <w:t>　本办法适用于本省行政区域内突发事件应急处置后的应急补偿行为，以及由省政府统一部署、组织实施的支援省外地区突发事件应急处置后的补偿行为。</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本办法所称突发事件，是指突然发生，造成或者可能造成严重社会危害，需要采取应急处置措施予以应对的自然灾害、事故灾难、公共卫生事件和社会安全事件。</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本办法所称应急补偿，是指突发事件发生时，各级人民政府因实施应急征用或采取突发事件应对措施对公民、法人和其他组织造成财产毁损、灭失而依法进行的补偿。</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第三条</w:t>
      </w:r>
      <w:r>
        <w:rPr>
          <w:rFonts w:hint="eastAsia" w:ascii="仿宋_GB2312" w:hAnsi="Times New Roman" w:eastAsia="仿宋_GB2312" w:cs="Times New Roman"/>
          <w:sz w:val="32"/>
          <w:szCs w:val="32"/>
        </w:rPr>
        <w:t>　依法实施应急征用或者采取突发事件应对措施的县级以上人民政府是应急补偿的责任主体，财产被征用或者因突发事件应对措施而造成财产毁损、灭失的公民、法人和其他组织是应急补偿的受偿主体（以下简称受偿人）。</w:t>
      </w:r>
    </w:p>
    <w:p>
      <w:pPr>
        <w:widowControl w:val="0"/>
        <w:wordWrap/>
        <w:adjustRightInd/>
        <w:snapToGrid/>
        <w:spacing w:line="560" w:lineRule="exact"/>
        <w:textAlignment w:val="auto"/>
        <w:rPr>
          <w:rFonts w:hint="eastAsia" w:ascii="仿宋_GB2312" w:hAnsi="Times New Roman" w:eastAsia="仿宋_GB2312" w:cs="Times New Roman"/>
          <w:sz w:val="32"/>
          <w:szCs w:val="32"/>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第四条</w:t>
      </w:r>
      <w:r>
        <w:rPr>
          <w:rFonts w:hint="eastAsia" w:ascii="仿宋_GB2312" w:hAnsi="Times New Roman" w:eastAsia="仿宋_GB2312" w:cs="Times New Roman"/>
          <w:sz w:val="32"/>
          <w:szCs w:val="32"/>
        </w:rPr>
        <w:t>　应急补偿应遵循以下原则：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（一）合法合理补偿。补偿应符合相关法律、法规规定。补偿价值应与被征用财产在征用期间的使用价值相当，或者与因应急征用和突发事件应对措施而造成的财产损失相当。</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（二）补偿直接损失。仅补偿与应急征用或者突发事件应对措施有直接因果关系的财产损失，不包括精神损失等非物质层面损失和突发事件直接造成的财产损失。</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（三）补偿实际损失。仅补偿已经发生的实际损失，不包括预计发生的损失。按规定应由保险公司负责理赔的，不纳入政府突发事件应急补偿范围。</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第五条</w:t>
      </w:r>
      <w:r>
        <w:rPr>
          <w:rFonts w:hint="eastAsia" w:ascii="仿宋_GB2312" w:hAnsi="Times New Roman" w:eastAsia="仿宋_GB2312" w:cs="Times New Roman"/>
          <w:sz w:val="32"/>
          <w:szCs w:val="32"/>
        </w:rPr>
        <w:t>　应急补偿资金按照分级负担、分级管理原则，由各级人民政府通过财政资金安排、社会捐赠、慈善募集等方式，多渠道筹集解决。</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部门职责</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w:t>
      </w:r>
      <w:r>
        <w:rPr>
          <w:rFonts w:hint="eastAsia" w:ascii="黑体" w:hAnsi="黑体" w:eastAsia="黑体" w:cs="黑体"/>
          <w:sz w:val="32"/>
          <w:szCs w:val="32"/>
        </w:rPr>
        <w:t>第六条</w:t>
      </w:r>
      <w:r>
        <w:rPr>
          <w:rFonts w:hint="eastAsia" w:ascii="仿宋_GB2312" w:hAnsi="Times New Roman" w:eastAsia="仿宋_GB2312" w:cs="Times New Roman"/>
          <w:sz w:val="32"/>
          <w:szCs w:val="32"/>
        </w:rPr>
        <w:t>　应急响应结束后，有关单位应认真做好应急补偿工作。</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按照“谁实施应急征用、谁确定补偿单位”的原则，由有关人民政府确定应急补偿单位（以下简称补偿单位）。当地应急管理办公室（以下简称应急办）应及时对补偿工作提出建议，指导并监督补偿单位开展应急补偿工作。</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（二）补偿单位负责受理并审核相关公民、法人和其他组织的应急补偿要求，向同级财政部门提交应急补偿方案，组织应急补偿资金的发放。</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（三）财政部门根据同级人民政府的决定，负责筹集应急补偿资金，审核同级补偿单位提交的应急补偿方案，按规定安排资金，监督应急补偿资金的发放。</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（四）各级监察、审计部门负责对应急补偿资金的使用管理实施监督检查。</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（五）根据行政决策、执行与监督相分离的原则，各级财政部门不得作为补偿单位。</w:t>
      </w:r>
    </w:p>
    <w:p>
      <w:pPr>
        <w:widowControl w:val="0"/>
        <w:wordWrap/>
        <w:adjustRightInd/>
        <w:snapToGrid/>
        <w:spacing w:line="560" w:lineRule="exact"/>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补偿方式与标准</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第七条</w:t>
      </w:r>
      <w:r>
        <w:rPr>
          <w:rFonts w:hint="eastAsia" w:ascii="仿宋_GB2312" w:hAnsi="Times New Roman" w:eastAsia="仿宋_GB2312" w:cs="Times New Roman"/>
          <w:sz w:val="32"/>
          <w:szCs w:val="32"/>
        </w:rPr>
        <w:t>　应急补偿采取货币补偿方式。补偿单位或者财政部门可在与受偿人充分协商的基础上按规定委托具有资产评估资质的中介机构进行财产损失评估。</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第八条</w:t>
      </w:r>
      <w:r>
        <w:rPr>
          <w:rFonts w:hint="eastAsia" w:ascii="仿宋_GB2312" w:hAnsi="Times New Roman" w:eastAsia="仿宋_GB2312" w:cs="Times New Roman"/>
          <w:sz w:val="32"/>
          <w:szCs w:val="32"/>
        </w:rPr>
        <w:t>　县级以上人民政府依法实施应急征用行为，应参照本行政区域同类资产的市场租赁价格给予被征用财产的公民、法人和其他组织租金补偿。</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第九条</w:t>
      </w:r>
      <w:r>
        <w:rPr>
          <w:rFonts w:hint="eastAsia" w:ascii="仿宋_GB2312" w:hAnsi="Times New Roman" w:eastAsia="仿宋_GB2312" w:cs="Times New Roman"/>
          <w:sz w:val="32"/>
          <w:szCs w:val="32"/>
        </w:rPr>
        <w:t>　财产因被征用或因突发事件应急措施导致毁损、灭失的，按下列情况分别处理：</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（一）财产毁损但经维修能够恢复使用功能的，补偿金按必要维修费用支出并综合考虑财产保险等因素确定。</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（二）财产无法维修或经维修无法恢复使用功能、灭失或维修费用超过财产毁损前价值的，补偿金额应在综合考虑财产重置成本、综合成新率、净残值和保险赔偿金等因素后确定。</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第十条</w:t>
      </w:r>
      <w:r>
        <w:rPr>
          <w:rFonts w:hint="eastAsia" w:ascii="仿宋_GB2312" w:hAnsi="Times New Roman" w:eastAsia="仿宋_GB2312" w:cs="Times New Roman"/>
          <w:sz w:val="32"/>
          <w:szCs w:val="32"/>
        </w:rPr>
        <w:t>　法律、法规对补偿标准另有规定的，从其规定。</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补偿程序</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第十一条</w:t>
      </w:r>
      <w:r>
        <w:rPr>
          <w:rFonts w:hint="eastAsia" w:ascii="仿宋_GB2312" w:hAnsi="Times New Roman" w:eastAsia="仿宋_GB2312" w:cs="Times New Roman"/>
          <w:sz w:val="32"/>
          <w:szCs w:val="32"/>
        </w:rPr>
        <w:t>　应急响应结束后，相关人民政府应当在两个工作日内确定补偿单位，督促相关部门按规定将征用财产及时返还被征用人，并将财产征用、返还、毁损和灭失情况书面报送补偿单位。</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第十二条</w:t>
      </w:r>
      <w:r>
        <w:rPr>
          <w:rFonts w:hint="eastAsia" w:ascii="仿宋_GB2312" w:hAnsi="Times New Roman" w:eastAsia="仿宋_GB2312" w:cs="Times New Roman"/>
          <w:sz w:val="32"/>
          <w:szCs w:val="32"/>
        </w:rPr>
        <w:t>　补偿单位应在应急响应结束之日起7个工作日内书面通知相关受偿人提交申请补偿所需的材料，并在当地政府门户网站和主流媒体上予以公告。</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受偿人应在知道或应当知道补偿通知之日起1年内，向补偿单位书面提出应急补偿要求。逾期未提出补偿要求且无正当理由的，视同放弃受偿权利。</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受偿人应提交的材料包括：应急处置征用令、征用财产清单、财产返还情况、财产损毁或灭失情况、补偿金额及计算依据、补偿单位要求提供的其他材料。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第十三条</w:t>
      </w:r>
      <w:r>
        <w:rPr>
          <w:rFonts w:hint="eastAsia" w:ascii="仿宋_GB2312" w:hAnsi="Times New Roman" w:eastAsia="仿宋_GB2312" w:cs="Times New Roman"/>
          <w:sz w:val="32"/>
          <w:szCs w:val="32"/>
        </w:rPr>
        <w:t>　补偿单位应自收到应急补偿要求之日起5个工作日内进行处理：</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（一）材料齐全且表述清楚的，应予以受理，并书面出具受理回执。</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（二）材料不齐或者表述不清楚的，应书面告知受偿人在合理期限内更正或补充。</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（三）决定不予受理的，应书面告知受偿人并充分说明理由。</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第十四条</w:t>
      </w:r>
      <w:r>
        <w:rPr>
          <w:rFonts w:hint="eastAsia" w:ascii="仿宋_GB2312" w:hAnsi="Times New Roman" w:eastAsia="仿宋_GB2312" w:cs="Times New Roman"/>
          <w:sz w:val="32"/>
          <w:szCs w:val="32"/>
        </w:rPr>
        <w:t>　补偿单位应在补偿申请受理之日起45个工作日内完成审核，并拟定补偿方案，书面报送同级财政部门。</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补偿单位提交的材料应包括：安排应急补偿资金的书面申请书、应急处置征用令、征用财产清单、政府应急措施、应急措施与财产毁损灭失的关联情况、认定财产损失的标准和依据、资产评估报告书、补偿金额、社会捐资情况和明细清单以及财政部门要求提交的其他材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第十五条</w:t>
      </w:r>
      <w:r>
        <w:rPr>
          <w:rFonts w:hint="eastAsia" w:ascii="仿宋_GB2312" w:hAnsi="Times New Roman" w:eastAsia="仿宋_GB2312" w:cs="Times New Roman"/>
          <w:sz w:val="32"/>
          <w:szCs w:val="32"/>
        </w:rPr>
        <w:t>　财政部门收到补偿方案后，应当在30个工作日内完成核准，并批复补偿单位。</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因特殊原因需适当延长工作时限的，应通知补偿单位并由补偿单位书面告知受偿人。</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第十六条</w:t>
      </w:r>
      <w:r>
        <w:rPr>
          <w:rFonts w:hint="eastAsia" w:ascii="仿宋_GB2312" w:hAnsi="Times New Roman" w:eastAsia="仿宋_GB2312" w:cs="Times New Roman"/>
          <w:sz w:val="32"/>
          <w:szCs w:val="32"/>
        </w:rPr>
        <w:t>　补偿单位应在收到财政部门批复之日起2个工作日内将补偿方案在本级政府门户网站上公示5个工作日。</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公示期间有异议或投诉的，由补偿单位按规定处理。</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第十七条</w:t>
      </w:r>
      <w:r>
        <w:rPr>
          <w:rFonts w:hint="eastAsia" w:ascii="仿宋_GB2312" w:hAnsi="Times New Roman" w:eastAsia="仿宋_GB2312" w:cs="Times New Roman"/>
          <w:sz w:val="32"/>
          <w:szCs w:val="32"/>
        </w:rPr>
        <w:t>　补偿单位应当在补偿方案公示结束后3个工作日内作出补偿决定，并书面通知受偿人。</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第十八条</w:t>
      </w:r>
      <w:r>
        <w:rPr>
          <w:rFonts w:hint="eastAsia" w:ascii="仿宋_GB2312" w:hAnsi="Times New Roman" w:eastAsia="仿宋_GB2312" w:cs="Times New Roman"/>
          <w:sz w:val="32"/>
          <w:szCs w:val="32"/>
        </w:rPr>
        <w:t>　补偿单位在补偿工作完成后应将补偿情况向同级财政部门、应急办备案。</w:t>
      </w:r>
    </w:p>
    <w:p>
      <w:pPr>
        <w:widowControl w:val="0"/>
        <w:wordWrap/>
        <w:adjustRightInd/>
        <w:snapToGrid/>
        <w:spacing w:line="560" w:lineRule="exact"/>
        <w:jc w:val="center"/>
        <w:textAlignment w:val="auto"/>
        <w:rPr>
          <w:rFonts w:hint="eastAsia" w:ascii="仿宋_GB2312" w:hAnsi="Times New Roman" w:eastAsia="仿宋_GB2312" w:cs="Times New Roman"/>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资金管理</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第十九条</w:t>
      </w:r>
      <w:r>
        <w:rPr>
          <w:rFonts w:hint="eastAsia" w:ascii="仿宋_GB2312" w:hAnsi="Times New Roman" w:eastAsia="仿宋_GB2312" w:cs="Times New Roman"/>
          <w:sz w:val="32"/>
          <w:szCs w:val="32"/>
        </w:rPr>
        <w:t>　应急补偿资金纳入国库集中支付范围，实行国库集中支付管理。补偿单位应在补偿公示结束5个工作日内将补偿资金直接支付到受偿人提供的银行账户，并将应急补偿资金使用情况及时报告本级财政部门。</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第六章　监督检查</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第二十条</w:t>
      </w:r>
      <w:r>
        <w:rPr>
          <w:rFonts w:hint="eastAsia" w:ascii="仿宋_GB2312" w:hAnsi="Times New Roman" w:eastAsia="仿宋_GB2312" w:cs="Times New Roman"/>
          <w:sz w:val="32"/>
          <w:szCs w:val="32"/>
        </w:rPr>
        <w:t>　受偿人应确保应急补偿申请资料真实、准确、完整，不得提供虚假资料。</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第二十一条</w:t>
      </w:r>
      <w:r>
        <w:rPr>
          <w:rFonts w:hint="eastAsia" w:ascii="仿宋_GB2312" w:hAnsi="Times New Roman" w:eastAsia="仿宋_GB2312" w:cs="Times New Roman"/>
          <w:sz w:val="32"/>
          <w:szCs w:val="32"/>
        </w:rPr>
        <w:t>　补偿单位应当按规定公开包括损失情况、补偿标准、补偿金额等在内的应急补偿信息，提高透明度，自觉接受有关部门以及社会的监督。</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　第二十二条</w:t>
      </w:r>
      <w:r>
        <w:rPr>
          <w:rFonts w:hint="eastAsia" w:ascii="仿宋_GB2312" w:hAnsi="Times New Roman" w:eastAsia="仿宋_GB2312" w:cs="Times New Roman"/>
          <w:sz w:val="32"/>
          <w:szCs w:val="32"/>
        </w:rPr>
        <w:t>　对弄虚作假、挤占、截留、挪用财政资金以及重复申请套取应急补偿资金等行为，按照《财政违法行为处罚处分条例》（国务院令第427号）予以处理并追究相关单位、人员法律责任。</w:t>
      </w:r>
    </w:p>
    <w:p>
      <w:pPr>
        <w:widowControl w:val="0"/>
        <w:wordWrap/>
        <w:adjustRightInd/>
        <w:snapToGrid/>
        <w:spacing w:line="560" w:lineRule="exact"/>
        <w:jc w:val="center"/>
        <w:textAlignment w:val="auto"/>
        <w:rPr>
          <w:rFonts w:hint="eastAsia" w:ascii="黑体" w:hAnsi="黑体" w:eastAsia="黑体" w:cs="黑体"/>
          <w:sz w:val="32"/>
          <w:szCs w:val="32"/>
        </w:rPr>
      </w:pPr>
    </w:p>
    <w:p>
      <w:pPr>
        <w:widowControl w:val="0"/>
        <w:wordWrap/>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　附　则</w:t>
      </w:r>
    </w:p>
    <w:p>
      <w:pPr>
        <w:pStyle w:val="3"/>
        <w:rPr>
          <w:rFonts w:hint="eastAsia"/>
        </w:rPr>
      </w:pP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第二十三条</w:t>
      </w:r>
      <w:r>
        <w:rPr>
          <w:rFonts w:hint="eastAsia" w:ascii="仿宋_GB2312" w:hAnsi="Times New Roman" w:eastAsia="仿宋_GB2312" w:cs="Times New Roman"/>
          <w:sz w:val="32"/>
          <w:szCs w:val="32"/>
        </w:rPr>
        <w:t>　基本支出由财政全额保障的机关事业单位的应急补偿，不适用本办法。</w:t>
      </w:r>
    </w:p>
    <w:p>
      <w:pPr>
        <w:widowControl w:val="0"/>
        <w:wordWrap/>
        <w:adjustRightInd/>
        <w:snapToGrid/>
        <w:spacing w:line="56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w:t>
      </w:r>
      <w:r>
        <w:rPr>
          <w:rFonts w:hint="eastAsia" w:ascii="黑体" w:hAnsi="黑体" w:eastAsia="黑体" w:cs="黑体"/>
          <w:sz w:val="32"/>
          <w:szCs w:val="32"/>
        </w:rPr>
        <w:t>第二十四条</w:t>
      </w:r>
      <w:r>
        <w:rPr>
          <w:rFonts w:hint="eastAsia" w:ascii="仿宋_GB2312" w:hAnsi="Times New Roman" w:eastAsia="仿宋_GB2312" w:cs="Times New Roman"/>
          <w:sz w:val="32"/>
          <w:szCs w:val="32"/>
        </w:rPr>
        <w:t>　本办法由省财政厅负责解释。</w:t>
      </w:r>
    </w:p>
    <w:p>
      <w:pPr>
        <w:widowControl w:val="0"/>
        <w:wordWrap/>
        <w:adjustRightInd/>
        <w:snapToGrid/>
        <w:spacing w:line="560" w:lineRule="exact"/>
        <w:ind w:firstLine="640"/>
        <w:textAlignment w:val="auto"/>
        <w:rPr>
          <w:rFonts w:hint="eastAsia" w:ascii="仿宋_GB2312" w:hAnsi="Times New Roman" w:eastAsia="仿宋_GB2312" w:cs="Times New Roman"/>
          <w:sz w:val="32"/>
          <w:szCs w:val="32"/>
        </w:rPr>
      </w:pPr>
      <w:r>
        <w:rPr>
          <w:rFonts w:hint="eastAsia" w:ascii="黑体" w:hAnsi="黑体" w:eastAsia="黑体" w:cs="黑体"/>
          <w:sz w:val="32"/>
          <w:szCs w:val="32"/>
        </w:rPr>
        <w:t>第二十五条</w:t>
      </w:r>
      <w:r>
        <w:rPr>
          <w:rFonts w:hint="eastAsia" w:ascii="仿宋_GB2312" w:hAnsi="Times New Roman" w:eastAsia="仿宋_GB2312" w:cs="Times New Roman"/>
          <w:sz w:val="32"/>
          <w:szCs w:val="32"/>
        </w:rPr>
        <w:t>　本办法自2013年1月1日开始实施。</w:t>
      </w:r>
    </w:p>
    <w:p>
      <w:pPr>
        <w:pStyle w:val="4"/>
        <w:ind w:firstLine="640"/>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4"/>
        <w:rPr>
          <w:rFonts w:hint="eastAsia"/>
        </w:rPr>
      </w:pPr>
    </w:p>
    <w:p>
      <w:pPr>
        <w:rPr>
          <w:rFonts w:hint="eastAsia"/>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b w:val="0"/>
          <w:bCs/>
          <w:i w:val="0"/>
          <w:caps w:val="0"/>
          <w:color w:val="424242"/>
          <w:spacing w:val="0"/>
          <w:sz w:val="44"/>
          <w:szCs w:val="44"/>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b w:val="0"/>
          <w:bCs/>
          <w:i w:val="0"/>
          <w:caps w:val="0"/>
          <w:color w:val="424242"/>
          <w:spacing w:val="0"/>
          <w:sz w:val="44"/>
          <w:szCs w:val="44"/>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424242"/>
          <w:spacing w:val="0"/>
          <w:sz w:val="44"/>
          <w:szCs w:val="44"/>
        </w:rPr>
      </w:pPr>
      <w:r>
        <w:rPr>
          <w:rStyle w:val="23"/>
          <w:rFonts w:hint="eastAsia" w:ascii="宋体" w:hAnsi="宋体" w:eastAsia="宋体" w:cs="宋体"/>
          <w:b w:val="0"/>
          <w:bCs/>
          <w:i w:val="0"/>
          <w:caps w:val="0"/>
          <w:color w:val="424242"/>
          <w:spacing w:val="0"/>
          <w:sz w:val="44"/>
          <w:szCs w:val="44"/>
          <w:shd w:val="clear" w:color="0A0000" w:fill="FFFFFF"/>
        </w:rPr>
        <w:t>广东省医疗纠纷预防与处理办法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640" w:leftChars="200" w:right="640" w:rightChars="200" w:firstLine="0"/>
        <w:jc w:val="both"/>
        <w:textAlignment w:val="auto"/>
        <w:rPr>
          <w:rFonts w:hint="eastAsia" w:ascii="仿宋" w:hAnsi="仿宋" w:eastAsia="仿宋" w:cs="仿宋"/>
          <w:i w:val="0"/>
          <w:caps w:val="0"/>
          <w:color w:val="424242"/>
          <w:spacing w:val="0"/>
          <w:sz w:val="32"/>
          <w:szCs w:val="32"/>
          <w:shd w:val="clear" w:color="070000" w:fill="FFFFFF"/>
        </w:rPr>
      </w:pPr>
      <w:r>
        <w:rPr>
          <w:rFonts w:hint="eastAsia" w:ascii="仿宋" w:hAnsi="仿宋" w:eastAsia="仿宋" w:cs="仿宋"/>
          <w:i w:val="0"/>
          <w:caps w:val="0"/>
          <w:color w:val="424242"/>
          <w:spacing w:val="0"/>
          <w:sz w:val="32"/>
          <w:szCs w:val="32"/>
          <w:shd w:val="clear" w:color="070000" w:fill="FFFFFF"/>
        </w:rPr>
        <w:t> </w:t>
      </w:r>
      <w:r>
        <w:rPr>
          <w:rFonts w:hint="eastAsia" w:ascii="仿宋" w:hAnsi="仿宋" w:eastAsia="仿宋" w:cs="仿宋"/>
          <w:i w:val="0"/>
          <w:caps w:val="0"/>
          <w:color w:val="424242"/>
          <w:spacing w:val="0"/>
          <w:sz w:val="32"/>
          <w:szCs w:val="32"/>
          <w:shd w:val="clear" w:color="070000" w:fill="FFFFFF"/>
        </w:rPr>
        <w:br w:type="textWrapping"/>
      </w:r>
      <w:r>
        <w:rPr>
          <w:rFonts w:hint="eastAsia" w:ascii="楷体" w:hAnsi="楷体" w:eastAsia="楷体" w:cs="楷体"/>
          <w:i w:val="0"/>
          <w:caps w:val="0"/>
          <w:color w:val="424242"/>
          <w:spacing w:val="0"/>
          <w:sz w:val="32"/>
          <w:szCs w:val="32"/>
          <w:shd w:val="clear" w:color="070000" w:fill="FFFFFF"/>
        </w:rPr>
        <w:t>（2013年1月14日广东省人民政府第十一届110次常务会议通过  2013年4月2日广东省人民政府令第186号公布  根据2017年5月17日广东省人民政府第十二届102次常务会议《广东省人民政府关于废止和修改部分省政府规章的决定》修改）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第一章　总则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第一条</w:t>
      </w:r>
      <w:r>
        <w:rPr>
          <w:rFonts w:hint="eastAsia" w:ascii="仿宋" w:hAnsi="仿宋" w:eastAsia="仿宋" w:cs="仿宋"/>
          <w:i w:val="0"/>
          <w:caps w:val="0"/>
          <w:color w:val="424242"/>
          <w:spacing w:val="0"/>
          <w:sz w:val="32"/>
          <w:szCs w:val="32"/>
          <w:shd w:val="clear" w:color="070000" w:fill="FFFFFF"/>
        </w:rPr>
        <w:t>　为了预防与处理医疗纠纷，保护医患双方当事人的合法权益，维护医疗秩序，根据《中华人民共和国侵权责任法》、《中华人民共和国人民调解法》、《医疗事故处理条例》等有关法律法规，结合本省实际，制定本办法。</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第二条</w:t>
      </w:r>
      <w:r>
        <w:rPr>
          <w:rStyle w:val="23"/>
          <w:rFonts w:hint="eastAsia" w:ascii="仿宋" w:hAnsi="仿宋" w:eastAsia="仿宋" w:cs="仿宋"/>
          <w:i w:val="0"/>
          <w:caps w:val="0"/>
          <w:color w:val="424242"/>
          <w:spacing w:val="0"/>
          <w:sz w:val="32"/>
          <w:szCs w:val="32"/>
          <w:shd w:val="clear" w:color="080000" w:fill="FFFFFF"/>
        </w:rPr>
        <w:t>　</w:t>
      </w:r>
      <w:r>
        <w:rPr>
          <w:rFonts w:hint="eastAsia" w:ascii="仿宋" w:hAnsi="仿宋" w:eastAsia="仿宋" w:cs="仿宋"/>
          <w:i w:val="0"/>
          <w:caps w:val="0"/>
          <w:color w:val="424242"/>
          <w:spacing w:val="0"/>
          <w:sz w:val="32"/>
          <w:szCs w:val="32"/>
          <w:shd w:val="clear" w:color="070000" w:fill="FFFFFF"/>
        </w:rPr>
        <w:t>本省行政区域内医疗纠纷的预防与处理，适用本办法。</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本办法所称医疗纠纷，是指医患双方当事人之间因医疗机构及其医务人员在医疗过程中实施的医疗、预防、保健等执业行为而引发的争议。</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第三条</w:t>
      </w:r>
      <w:r>
        <w:rPr>
          <w:rFonts w:hint="eastAsia" w:ascii="仿宋" w:hAnsi="仿宋" w:eastAsia="仿宋" w:cs="仿宋"/>
          <w:i w:val="0"/>
          <w:caps w:val="0"/>
          <w:color w:val="424242"/>
          <w:spacing w:val="0"/>
          <w:sz w:val="32"/>
          <w:szCs w:val="32"/>
          <w:shd w:val="clear" w:color="070000" w:fill="FFFFFF"/>
        </w:rPr>
        <w:t>　医疗纠纷的预防与处理，应当坚持预防为主、公平合理、及时便民、依法处理的原则。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第四条</w:t>
      </w:r>
      <w:r>
        <w:rPr>
          <w:rFonts w:hint="eastAsia" w:ascii="仿宋" w:hAnsi="仿宋" w:eastAsia="仿宋" w:cs="仿宋"/>
          <w:i w:val="0"/>
          <w:caps w:val="0"/>
          <w:color w:val="424242"/>
          <w:spacing w:val="0"/>
          <w:sz w:val="32"/>
          <w:szCs w:val="32"/>
          <w:shd w:val="clear" w:color="070000" w:fill="FFFFFF"/>
        </w:rPr>
        <w:t>　县级以上人民政府应当加强对医疗纠纷预防与处理工作的领导，督促有关部门依法履行职责，协调解决医疗纠纷预防与处理工作中的重大问题。</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医疗机构所在地、患者居住地乡镇人民政府、街道办事处应当配合县级以上人民政府及相关部门做好医疗纠纷的处理工作。</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第五条</w:t>
      </w:r>
      <w:r>
        <w:rPr>
          <w:rFonts w:hint="eastAsia" w:ascii="仿宋" w:hAnsi="仿宋" w:eastAsia="仿宋" w:cs="仿宋"/>
          <w:i w:val="0"/>
          <w:caps w:val="0"/>
          <w:color w:val="424242"/>
          <w:spacing w:val="0"/>
          <w:sz w:val="32"/>
          <w:szCs w:val="32"/>
          <w:shd w:val="clear" w:color="070000" w:fill="FFFFFF"/>
        </w:rPr>
        <w:t>　县级以上人民政府卫生行政部门应当规范医疗机构执业准入，加强对医疗机构及其医务人员的监督管理，督促医疗机构提高医疗服务质量、保障医疗安全，做好医疗纠纷预防与处理工作。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县级以上人民政府司法行政部门应当履行职责，加强对医疗纠纷人民调解工作的指导，促进医疗纠纷人民调解工作规范化建设。</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县级以上人民政府公安机关应当维护医疗机构的治安秩序，加强对医疗机构内部治安保卫工作的监督指导，依法打击侵害医务人员、患者人身安全和扰乱医疗机构秩序的违法犯罪行为。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县级以上人民政府价格主管部门应当加强医疗服务价格监督管理，规范医疗服务价格行为。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保险监督管理机构应当加强对相关保险工作的监督管理。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县级以上人民政府人力资源与社会保障、财政、民政等部门在各自职责范围内，做好医疗纠纷预防与处理工作。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第六条</w:t>
      </w:r>
      <w:r>
        <w:rPr>
          <w:rFonts w:hint="eastAsia" w:ascii="仿宋" w:hAnsi="仿宋" w:eastAsia="仿宋" w:cs="仿宋"/>
          <w:i w:val="0"/>
          <w:caps w:val="0"/>
          <w:color w:val="424242"/>
          <w:spacing w:val="0"/>
          <w:sz w:val="32"/>
          <w:szCs w:val="32"/>
          <w:shd w:val="clear" w:color="070000" w:fill="FFFFFF"/>
        </w:rPr>
        <w:t>　新闻媒体应当遵守有关法律、法规、规章和职业道德，履行社会责任，客观公正报道医疗纠纷。</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第七条</w:t>
      </w:r>
      <w:r>
        <w:rPr>
          <w:rFonts w:hint="eastAsia" w:ascii="仿宋" w:hAnsi="仿宋" w:eastAsia="仿宋" w:cs="仿宋"/>
          <w:i w:val="0"/>
          <w:caps w:val="0"/>
          <w:color w:val="424242"/>
          <w:spacing w:val="0"/>
          <w:sz w:val="32"/>
          <w:szCs w:val="32"/>
          <w:shd w:val="clear" w:color="070000" w:fill="FFFFFF"/>
        </w:rPr>
        <w:t>　医患双方当事人在医疗纠纷发生后，可以选择下列途径解决：</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（一）自行协商解决，但第二十九条第三款规定的除外；</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（二）向医疗纠纷人民调解委员会或者医患纠纷人民调解委员会（以下简称医调委）申请调解；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（三）向卫生行政部门申请行政处理；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（四）向人民法院提起诉讼；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（五）法律、法规、规章规定的其他途径。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有条件的地级以上市可以试行医疗纠纷仲裁。</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第八条</w:t>
      </w:r>
      <w:r>
        <w:rPr>
          <w:rFonts w:hint="eastAsia" w:ascii="仿宋" w:hAnsi="仿宋" w:eastAsia="仿宋" w:cs="仿宋"/>
          <w:i w:val="0"/>
          <w:caps w:val="0"/>
          <w:color w:val="424242"/>
          <w:spacing w:val="0"/>
          <w:sz w:val="32"/>
          <w:szCs w:val="32"/>
          <w:shd w:val="clear" w:color="070000" w:fill="FFFFFF"/>
        </w:rPr>
        <w:t>　医调委是依法设立的专业性人民调解组织。</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地级以上市人民政府司法行政部门应当指导当地设立医调委，县级人民政府司法行政部门应当指导当地根据实际需要设立医调委，负责本行政区域内医疗纠纷的人民调解工作。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县级以上人民政府司法行政部门应当对本行政区域内医调委的设立情况进行统计，并及时向社会公布医调委的名称、负责人、地址和电话。</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县级以上人民政府对医疗纠纷人民调解工作所需经费、人员、办公场地等给予必要的支持和保障。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各级司法行政部门和卫生行政部门应当加强沟通与协作，加强对医疗纠纷人民调解工作的指导。</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有条件的市、县、区人民政府可以对医调委的设立及开展医疗纠纷人民调解工作采取政府购买服务的方式。</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第九条</w:t>
      </w:r>
      <w:r>
        <w:rPr>
          <w:rFonts w:hint="eastAsia" w:ascii="仿宋" w:hAnsi="仿宋" w:eastAsia="仿宋" w:cs="仿宋"/>
          <w:i w:val="0"/>
          <w:caps w:val="0"/>
          <w:color w:val="424242"/>
          <w:spacing w:val="0"/>
          <w:sz w:val="32"/>
          <w:szCs w:val="32"/>
          <w:shd w:val="clear" w:color="070000" w:fill="FFFFFF"/>
        </w:rPr>
        <w:t>　鼓励和支持医疗机构参加医疗责任保险，鼓励患者参加医疗意外保险。</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卫生行政部门应当引导医疗机构参加医疗责任保险。</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第十条</w:t>
      </w:r>
      <w:r>
        <w:rPr>
          <w:rFonts w:hint="eastAsia" w:ascii="仿宋" w:hAnsi="仿宋" w:eastAsia="仿宋" w:cs="仿宋"/>
          <w:i w:val="0"/>
          <w:caps w:val="0"/>
          <w:color w:val="424242"/>
          <w:spacing w:val="0"/>
          <w:sz w:val="32"/>
          <w:szCs w:val="32"/>
          <w:shd w:val="clear" w:color="070000" w:fill="FFFFFF"/>
        </w:rPr>
        <w:t>　鼓励境内外公民、法人和其他组织依法捐赠财产或者设立医疗风险基金，资助本省医疗机构开展医疗救助和医调委开展医疗纠纷调解工作。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接受捐助的医疗机构或者医调委应当每半年一次向社会公布接受社会捐助、资助的具体情况，接受社会监督。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第二章　医疗纠纷的预防</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第十一条</w:t>
      </w:r>
      <w:r>
        <w:rPr>
          <w:rFonts w:hint="eastAsia" w:ascii="仿宋" w:hAnsi="仿宋" w:eastAsia="仿宋" w:cs="仿宋"/>
          <w:i w:val="0"/>
          <w:caps w:val="0"/>
          <w:color w:val="424242"/>
          <w:spacing w:val="0"/>
          <w:sz w:val="32"/>
          <w:szCs w:val="32"/>
          <w:shd w:val="clear" w:color="070000" w:fill="FFFFFF"/>
        </w:rPr>
        <w:t>　卫生行政部门应当加强对医疗机构和医护人员执业准入及其执业行为的监督，及时查处医疗机构的违法违规行为，采取有效措施提高医疗水平，维护医患双方当事人的合法权益。</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第十二条</w:t>
      </w:r>
      <w:r>
        <w:rPr>
          <w:rFonts w:hint="eastAsia" w:ascii="仿宋" w:hAnsi="仿宋" w:eastAsia="仿宋" w:cs="仿宋"/>
          <w:i w:val="0"/>
          <w:caps w:val="0"/>
          <w:color w:val="424242"/>
          <w:spacing w:val="0"/>
          <w:sz w:val="32"/>
          <w:szCs w:val="32"/>
          <w:shd w:val="clear" w:color="070000" w:fill="FFFFFF"/>
        </w:rPr>
        <w:t>　县级以上人民政府卫生行政部门行使下列监督管理职责：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（一）负责医疗机构的设置审批、执业登记和校验；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（二）检查指导医疗机构的执业活动；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（三）负责组织对医疗机构的评审；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（四）督促医疗机构建立完善有关制度；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（五）对违反本办法的行为给予行政处罚。</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第十三条</w:t>
      </w:r>
      <w:r>
        <w:rPr>
          <w:rFonts w:hint="eastAsia" w:ascii="仿宋" w:hAnsi="仿宋" w:eastAsia="仿宋" w:cs="仿宋"/>
          <w:i w:val="0"/>
          <w:caps w:val="0"/>
          <w:color w:val="424242"/>
          <w:spacing w:val="0"/>
          <w:sz w:val="32"/>
          <w:szCs w:val="32"/>
          <w:shd w:val="clear" w:color="070000" w:fill="FFFFFF"/>
        </w:rPr>
        <w:t>　医疗机构执业应当遵守有关法律、法规、规章和医疗技术规范，按照核准登记的诊疗科目开展诊疗活动。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医疗机构应当加强对医务人员医疗卫生管理法律、法规、规章和诊疗护理规范、常规的培训和医疗服务职业道德教育。</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医疗机构应当按照规定公开医疗服务信息，并通过多种途径向患者及其近亲属以及社会公众宣传医疗卫生法律、法规和规章。</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第十四条</w:t>
      </w:r>
      <w:r>
        <w:rPr>
          <w:rFonts w:hint="eastAsia" w:ascii="仿宋" w:hAnsi="仿宋" w:eastAsia="仿宋" w:cs="仿宋"/>
          <w:i w:val="0"/>
          <w:caps w:val="0"/>
          <w:color w:val="424242"/>
          <w:spacing w:val="0"/>
          <w:sz w:val="32"/>
          <w:szCs w:val="32"/>
          <w:shd w:val="clear" w:color="070000" w:fill="FFFFFF"/>
        </w:rPr>
        <w:t>　医疗机构应当建立健全医务人员医疗质量监控和评价制度、医疗安全责任制度、医疗纠纷处理制度和内部责任追究制度。</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第十五条</w:t>
      </w:r>
      <w:r>
        <w:rPr>
          <w:rFonts w:hint="eastAsia" w:ascii="仿宋" w:hAnsi="仿宋" w:eastAsia="仿宋" w:cs="仿宋"/>
          <w:i w:val="0"/>
          <w:caps w:val="0"/>
          <w:color w:val="424242"/>
          <w:spacing w:val="0"/>
          <w:sz w:val="32"/>
          <w:szCs w:val="32"/>
          <w:shd w:val="clear" w:color="070000" w:fill="FFFFFF"/>
        </w:rPr>
        <w:t>　医疗机构及其医务人员在医疗活动中应当向患者及其近亲属做好解释与沟通工作。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医疗机构应当建立健全医患沟通机制，设置统一投诉窗口和接待场所，公布投诉电话，在显著位置公布医疗纠纷的解决途径、程序以及医调委等相关机构的职责、地址和联系方式，及时解答和处理有关问题。</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卫生行政部门接到患者或者其近亲属对医疗机构的投诉，应当自收到投诉之日起10日内进行审查，作出是否受理的书面决定并告知投诉人。对决定受理的，应当及时组织调查并将处理结果告知投诉人；对不予受理的，应当书面通知投诉人并说明理由。</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第十六条</w:t>
      </w:r>
      <w:r>
        <w:rPr>
          <w:rFonts w:hint="eastAsia" w:ascii="仿宋" w:hAnsi="仿宋" w:eastAsia="仿宋" w:cs="仿宋"/>
          <w:i w:val="0"/>
          <w:caps w:val="0"/>
          <w:color w:val="424242"/>
          <w:spacing w:val="0"/>
          <w:sz w:val="32"/>
          <w:szCs w:val="32"/>
          <w:shd w:val="clear" w:color="070000" w:fill="FFFFFF"/>
        </w:rPr>
        <w:t>　医务人员应当履行下列义务，预防医疗纠纷的发生：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（一）遵守卫生法律、法规、规章和诊疗护理规范，不断提高专业技术水平。</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（二）遵守职业道德，关心、爱护、尊重患者，保护患者的隐私。</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（三）在避免对患者产生不利后果的前提下，应当如实告知患者病情、医疗措施、医疗风险及医疗费用等情况，及时解答其咨询；如实告知患者可能会对其产生不利后果的，应当及时告知其近亲属。</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四）需要实施手术、特殊检查、特殊治疗、实验性临床医疗的，应当及时向患者说明医疗风险、替代医疗方案等情况，并取得患者的书面同意；无法或者不宜向患者说明的，应当向患者的近亲属说明，并取得其书面同意；因抢救生命垂危的患者等紧急情况，无法取得患者或者其近亲属书面同意的，经医疗机构负责人或者授权的负责人批准，可以立即实施相应的医疗措施。</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第十七条</w:t>
      </w:r>
      <w:r>
        <w:rPr>
          <w:rFonts w:hint="eastAsia" w:ascii="仿宋" w:hAnsi="仿宋" w:eastAsia="仿宋" w:cs="仿宋"/>
          <w:i w:val="0"/>
          <w:caps w:val="0"/>
          <w:color w:val="424242"/>
          <w:spacing w:val="0"/>
          <w:sz w:val="32"/>
          <w:szCs w:val="32"/>
          <w:shd w:val="clear" w:color="070000" w:fill="FFFFFF"/>
        </w:rPr>
        <w:t>　医疗机构应当按照国务院卫生行政部门的规定要求，书写并妥善保管病历资料。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因抢救急危患者，未能及时书写病历的，有关医务人员应当在抢救结束后6小时内据实补记，并加以注明。</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不得丢失、隐匿、伪造或者销毁病历资料。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第十八条</w:t>
      </w:r>
      <w:r>
        <w:rPr>
          <w:rFonts w:hint="eastAsia" w:ascii="仿宋" w:hAnsi="仿宋" w:eastAsia="仿宋" w:cs="仿宋"/>
          <w:i w:val="0"/>
          <w:caps w:val="0"/>
          <w:color w:val="424242"/>
          <w:spacing w:val="0"/>
          <w:sz w:val="32"/>
          <w:szCs w:val="32"/>
          <w:shd w:val="clear" w:color="070000" w:fill="FFFFFF"/>
        </w:rPr>
        <w:t>　患者及其近亲属或者其委托人有权复印或者复制门（急）诊病历、入院记录、体温单、医嘱单、化验单（检验报告）、医学影像检查资料、特殊检查同意书、手术同意书、手术及麻醉记录单、病理资料、护理记录以及国务院卫生行政部门规定的其他病历资料。复印或者复制时应当有患者及其近亲属或者其委托人在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发生医疗纠纷时，死亡病例讨论记录、疑难病例讨论记录、上级医师查房记录、会诊意见、病程记录应当在医患双方在场的情况下封存和启封。封存的病历资料可以是复印件，由医疗机构保管。纠纷处理完结6个月后医疗机构可以启封封存的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患者及其近亲属或者其委托人复印或者复制病历资料的，医疗机构应当提供复印或者复制服务，并在复印或者复制的病历资料上加盖证明印记。</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医疗机构应患者及其近亲属或者委托人的要求，为其复印或者复制病历资料，可以收取工本费</w:t>
      </w:r>
      <w:r>
        <w:rPr>
          <w:rFonts w:hint="eastAsia" w:ascii="仿宋" w:hAnsi="仿宋" w:eastAsia="仿宋" w:cs="仿宋"/>
          <w:i w:val="0"/>
          <w:caps w:val="0"/>
          <w:color w:val="424242"/>
          <w:spacing w:val="0"/>
          <w:sz w:val="32"/>
          <w:szCs w:val="32"/>
          <w:shd w:val="clear" w:color="070000" w:fill="FFFFFF"/>
          <w:lang w:eastAsia="zh-CN"/>
        </w:rPr>
        <w:t>。</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第十九条</w:t>
      </w:r>
      <w:r>
        <w:rPr>
          <w:rFonts w:hint="eastAsia" w:ascii="仿宋" w:hAnsi="仿宋" w:eastAsia="仿宋" w:cs="仿宋"/>
          <w:i w:val="0"/>
          <w:caps w:val="0"/>
          <w:color w:val="424242"/>
          <w:spacing w:val="0"/>
          <w:sz w:val="32"/>
          <w:szCs w:val="32"/>
          <w:shd w:val="clear" w:color="070000" w:fill="FFFFFF"/>
        </w:rPr>
        <w:t>　医患双方当事人未能确定死因或者对死因有异议的，应当在患者死亡后48小时内进行尸检；具备尸体冻存条件的，可以延长至7日。尸检应当经死者近亲属同意并签字，无正当理由拒绝签字的，医疗机构可以邀请医调委、居委会或者村委会、公安机关、卫生行政部门等第三方人员签字见证。</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拒绝或者拖延尸检，超过规定时间，影响死因判定的，由拒绝或者拖延的一方承担责任。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医患双方当事人可以请法医病理学人员参加尸检，也可以委派代表观察尸检过程。</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第二十条</w:t>
      </w:r>
      <w:r>
        <w:rPr>
          <w:rFonts w:hint="eastAsia" w:ascii="仿宋" w:hAnsi="仿宋" w:eastAsia="仿宋" w:cs="仿宋"/>
          <w:i w:val="0"/>
          <w:caps w:val="0"/>
          <w:color w:val="424242"/>
          <w:spacing w:val="0"/>
          <w:sz w:val="32"/>
          <w:szCs w:val="32"/>
          <w:shd w:val="clear" w:color="070000" w:fill="FFFFFF"/>
        </w:rPr>
        <w:t>　患者在医疗机构内死亡的，尸体应当在2小时内移放太平间，存放时间不得超过24小时。医疗机构没有设置太平间的，应当在2小时内将尸体移送殡仪馆。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患者在医疗机构内死亡的，由医疗机构通知殡仪馆，殡仪馆应当及时到医疗机构按照有关规定接收、运送尸体。</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违反本条第一款规定逾期未处理的尸体，经医疗机构所在地卫生行政部门批准，并报经同级公安部门备案后，由医疗机构按照本条第二款规定处理。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尸体应当按照国家和省的规定处理。涉及医疗纠纷的，尸体在殡仪馆的保存费用由医患双方按照责任比例依法承担。</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第二十一条</w:t>
      </w:r>
      <w:r>
        <w:rPr>
          <w:rFonts w:hint="eastAsia" w:ascii="仿宋" w:hAnsi="仿宋" w:eastAsia="仿宋" w:cs="仿宋"/>
          <w:i w:val="0"/>
          <w:caps w:val="0"/>
          <w:color w:val="424242"/>
          <w:spacing w:val="0"/>
          <w:sz w:val="32"/>
          <w:szCs w:val="32"/>
          <w:shd w:val="clear" w:color="070000" w:fill="FFFFFF"/>
        </w:rPr>
        <w:t>　患者及其近亲属应当遵守下列规定：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（一）尊重医务人员；</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（二）如实向医务人员告知与诊疗活动有关的病情、病史等情况，配合医务人员进行必要的检查、治疗和护理；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（三）按时支付医疗费用；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（四）配合医疗机构根据病情要求其转诊或者出院的安排；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（五）不得强行要求医疗机构作出超出其救治能力和执业范围的医疗行为。</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第二十二条</w:t>
      </w:r>
      <w:r>
        <w:rPr>
          <w:rFonts w:hint="eastAsia" w:ascii="仿宋" w:hAnsi="仿宋" w:eastAsia="仿宋" w:cs="仿宋"/>
          <w:i w:val="0"/>
          <w:caps w:val="0"/>
          <w:color w:val="424242"/>
          <w:spacing w:val="0"/>
          <w:sz w:val="32"/>
          <w:szCs w:val="32"/>
          <w:shd w:val="clear" w:color="070000" w:fill="FFFFFF"/>
        </w:rPr>
        <w:t>　患者及其近亲属和其他关系人不得有下列行为：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（一）实施暴力或者以暴力相威胁、要挟医疗机构，或者在医疗机构寻衅滋事；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（二）盗窃、抢夺、故意损毁、隐匿医疗机构的公私财物及病历、档案等重要资料；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（三）聚众闹事、围堵医疗机构，强占或者冲击医疗机构办公、诊疗场所；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（四）在医疗机构焚烧纸钱、摆设灵堂、摆放花圈、违规停尸、拉横幅、张贴标语或者大字报，以及散发传单、制造噪音、泼洒污秽物等；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（五）抢夺尸体或者拒绝将尸体移送太平间或者殡仪馆；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（六）侮辱、威胁、恐吓、谩骂、殴打医务人员，故意伤害医务人员，以及非法限制医疗机构工作人员和医务人员的人身自由；</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（七）非法携带易燃、易爆危险物品和管制器具进入医疗机构；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（八）其他扰乱医疗机构正常秩序和威胁医务人员人身安全的行为。</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第二十三条</w:t>
      </w:r>
      <w:r>
        <w:rPr>
          <w:rFonts w:hint="eastAsia" w:ascii="仿宋" w:hAnsi="仿宋" w:eastAsia="仿宋" w:cs="仿宋"/>
          <w:i w:val="0"/>
          <w:caps w:val="0"/>
          <w:color w:val="424242"/>
          <w:spacing w:val="0"/>
          <w:sz w:val="32"/>
          <w:szCs w:val="32"/>
          <w:shd w:val="clear" w:color="070000" w:fill="FFFFFF"/>
        </w:rPr>
        <w:t>　医疗机构应当制定医疗纠纷应急处置预案，并报其执业登记的卫生行政部门和所在地公安机关备案。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第三章　医疗纠纷的处理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r>
        <w:rPr>
          <w:rStyle w:val="23"/>
          <w:rFonts w:hint="eastAsia" w:ascii="黑体" w:hAnsi="黑体" w:eastAsia="黑体" w:cs="黑体"/>
          <w:b w:val="0"/>
          <w:bCs/>
          <w:i w:val="0"/>
          <w:caps w:val="0"/>
          <w:color w:val="424242"/>
          <w:spacing w:val="0"/>
          <w:sz w:val="32"/>
          <w:szCs w:val="32"/>
          <w:shd w:val="clear" w:color="0A0000" w:fill="FFFFFF"/>
        </w:rPr>
        <w:t>第一节　一般规定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第二十四条</w:t>
      </w:r>
      <w:r>
        <w:rPr>
          <w:rFonts w:hint="eastAsia" w:ascii="仿宋" w:hAnsi="仿宋" w:eastAsia="仿宋" w:cs="仿宋"/>
          <w:i w:val="0"/>
          <w:caps w:val="0"/>
          <w:color w:val="424242"/>
          <w:spacing w:val="0"/>
          <w:sz w:val="32"/>
          <w:szCs w:val="32"/>
          <w:shd w:val="clear" w:color="070000" w:fill="FFFFFF"/>
        </w:rPr>
        <w:t>　医疗纠纷发生后，各级卫生行政部门及医疗机构应当按照国务院卫生行政部门制定的重大医疗纠纷报告制度及时报告，不得瞒报、缓报、谎报。</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第二十五条</w:t>
      </w:r>
      <w:r>
        <w:rPr>
          <w:rFonts w:hint="eastAsia" w:ascii="仿宋" w:hAnsi="仿宋" w:eastAsia="仿宋" w:cs="仿宋"/>
          <w:i w:val="0"/>
          <w:caps w:val="0"/>
          <w:color w:val="424242"/>
          <w:spacing w:val="0"/>
          <w:sz w:val="32"/>
          <w:szCs w:val="32"/>
          <w:shd w:val="clear" w:color="070000" w:fill="FFFFFF"/>
        </w:rPr>
        <w:t>　医疗纠纷发生后，医疗机构应当根据医疗纠纷的实际情况，采取以下措施进行处理：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（一）告知患者或者其近亲属有关医疗纠纷处理的办法和程序；患者或者其近亲属要求协商解决的，应当告知其推举不超过5名代表参加协商，并确定1名主要代表。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（二）应患方要求，在医患双方共同在场的情况下，按照本办法第十八条规定封存和启封相关病历资料。</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（三）患者在医疗机构内死亡的，应当按照本办法第二十条规定进行尸体处理。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（四）必要时组织专家讨论，并将讨论意见反馈患者或者其近亲属。</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（五）配合卫生行政部门、公安机关、医调委等部门、机构做好调查工作。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（六）医疗纠纷处理完毕后，医疗机构应当向患者或者其近亲属提交书面答复。</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处理医疗纠纷需要启动应急预案的，应当按照预案规定采取相应措施，防止事态扩大。</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第二十六条</w:t>
      </w:r>
      <w:r>
        <w:rPr>
          <w:rFonts w:hint="eastAsia" w:ascii="仿宋" w:hAnsi="仿宋" w:eastAsia="仿宋" w:cs="仿宋"/>
          <w:i w:val="0"/>
          <w:caps w:val="0"/>
          <w:color w:val="424242"/>
          <w:spacing w:val="0"/>
          <w:sz w:val="32"/>
          <w:szCs w:val="32"/>
          <w:shd w:val="clear" w:color="070000" w:fill="FFFFFF"/>
        </w:rPr>
        <w:t>　卫生行政部门接到医疗纠纷报告后，应当责令医疗机构立即采取有效措施，必要时派人赶赴现场指导、协调处理工作，引导医患双方当事人依法妥善解决医疗纠纷。</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第二十七条</w:t>
      </w:r>
      <w:r>
        <w:rPr>
          <w:rFonts w:hint="eastAsia" w:ascii="仿宋" w:hAnsi="仿宋" w:eastAsia="仿宋" w:cs="仿宋"/>
          <w:i w:val="0"/>
          <w:caps w:val="0"/>
          <w:color w:val="424242"/>
          <w:spacing w:val="0"/>
          <w:sz w:val="32"/>
          <w:szCs w:val="32"/>
          <w:shd w:val="clear" w:color="070000" w:fill="FFFFFF"/>
        </w:rPr>
        <w:t>　医疗机构发现患者或者其近亲属和其他关系人有本办法第二十二条规定情形，经劝说无效的，应当立即向所在地公安机关报警。</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公安机关接到警情后，应当按照有关规定予以处理：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（一）立即组织警力赶赴现场，开展教育疏导，甄别身份，制止过激行为；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（二）及时将扰乱正常医疗秩序等违反社会治安管理的医疗纠纷参与人员带离现场调查，维护医疗秩序；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（三）依法处理现场发生的违法犯罪行为；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（四）对患者在医疗机构内死亡，其家属阻碍将尸体移放太平间或者殡仪馆的，现场民警应当配合卫生、民政等部门和殡仪馆，做好尸体处置事宜。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第二十八条</w:t>
      </w:r>
      <w:r>
        <w:rPr>
          <w:rFonts w:hint="eastAsia" w:ascii="仿宋" w:hAnsi="仿宋" w:eastAsia="仿宋" w:cs="仿宋"/>
          <w:i w:val="0"/>
          <w:caps w:val="0"/>
          <w:color w:val="424242"/>
          <w:spacing w:val="0"/>
          <w:sz w:val="32"/>
          <w:szCs w:val="32"/>
          <w:shd w:val="clear" w:color="070000" w:fill="FFFFFF"/>
        </w:rPr>
        <w:t>　殡仪馆接到医疗机构通知后，应当迅速安排车辆和人员到达现场，按照规定办理接收尸体手续，并移送尸体到殡仪馆。其主管的民政行政部门应当督促其履行职责，卫生行政部门、公安机关及医疗机构等应当配合做好相关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第二节　解决机制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第二十九条</w:t>
      </w:r>
      <w:r>
        <w:rPr>
          <w:rFonts w:hint="eastAsia" w:ascii="仿宋" w:hAnsi="仿宋" w:eastAsia="仿宋" w:cs="仿宋"/>
          <w:i w:val="0"/>
          <w:caps w:val="0"/>
          <w:color w:val="424242"/>
          <w:spacing w:val="0"/>
          <w:sz w:val="32"/>
          <w:szCs w:val="32"/>
          <w:shd w:val="clear" w:color="070000" w:fill="FFFFFF"/>
        </w:rPr>
        <w:t>　发生医疗纠纷后，医患双方当事人可以自行协商解决。医患双方当事人应当认真听取对方意见，核实相关信息材料，实事求是，协商解决。</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医疗机构需要赔偿或者补偿的，医患双方当事人可以达成书面协议。</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医疗纠纷赔付金额1万元以上的，公立医疗机构应当采取本办法第七条第一款第二项至第五项及第二款规定的途径解决，不得与患者或者其近亲属自行协商处理。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第三十条</w:t>
      </w:r>
      <w:r>
        <w:rPr>
          <w:rFonts w:hint="eastAsia" w:ascii="仿宋" w:hAnsi="仿宋" w:eastAsia="仿宋" w:cs="仿宋"/>
          <w:i w:val="0"/>
          <w:caps w:val="0"/>
          <w:color w:val="424242"/>
          <w:spacing w:val="0"/>
          <w:sz w:val="32"/>
          <w:szCs w:val="32"/>
          <w:shd w:val="clear" w:color="070000" w:fill="FFFFFF"/>
        </w:rPr>
        <w:t>　发生医疗纠纷后，医患双方当事人按照就近原则，可以申请医调委调解；医疗纠纷发生地的医调委也可以主动调解。医患双方当事人一方明确拒绝调解的，不得调解。</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医调委调解医疗纠纷，不得收取任何费用。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第三十一条</w:t>
      </w:r>
      <w:r>
        <w:rPr>
          <w:rFonts w:hint="eastAsia" w:ascii="仿宋" w:hAnsi="仿宋" w:eastAsia="仿宋" w:cs="仿宋"/>
          <w:i w:val="0"/>
          <w:caps w:val="0"/>
          <w:color w:val="424242"/>
          <w:spacing w:val="0"/>
          <w:sz w:val="32"/>
          <w:szCs w:val="32"/>
          <w:shd w:val="clear" w:color="070000" w:fill="FFFFFF"/>
        </w:rPr>
        <w:t>　医调委调解医疗纠纷应当坚持医患双方当事人自愿、平等的原则，不违反法律、法规、规章和国家政策；尊重医患双方当事人的权利，不得因调解而阻止医患双方当事人依法通过行政、司法、仲裁等途径维护其合法权益。</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　第三十二条</w:t>
      </w:r>
      <w:r>
        <w:rPr>
          <w:rFonts w:hint="eastAsia" w:ascii="仿宋" w:hAnsi="仿宋" w:eastAsia="仿宋" w:cs="仿宋"/>
          <w:i w:val="0"/>
          <w:caps w:val="0"/>
          <w:color w:val="424242"/>
          <w:spacing w:val="0"/>
          <w:sz w:val="32"/>
          <w:szCs w:val="32"/>
          <w:shd w:val="clear" w:color="070000" w:fill="FFFFFF"/>
        </w:rPr>
        <w:t>　医调委的人民调解员应当为人公道、品行良好，具有医疗、法律专业知识和调解工作经验，热心于人民调解工作。</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人民调解员对调解中获悉的患者及医务人员的隐私或者医疗机构的商业秘密有保密义务。</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县级以上人民政府司法行政部门应当定期对人民调解员进行业务培训。培训不得收取任何费用。</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第三十三条</w:t>
      </w:r>
      <w:r>
        <w:rPr>
          <w:rFonts w:hint="eastAsia" w:ascii="仿宋" w:hAnsi="仿宋" w:eastAsia="仿宋" w:cs="仿宋"/>
          <w:i w:val="0"/>
          <w:caps w:val="0"/>
          <w:color w:val="424242"/>
          <w:spacing w:val="0"/>
          <w:sz w:val="32"/>
          <w:szCs w:val="32"/>
          <w:shd w:val="clear" w:color="070000" w:fill="FFFFFF"/>
        </w:rPr>
        <w:t>　医调委应当建立由相关医学、药学、心理、保险和法律等专家组成的专家库，为医疗纠纷的调查、评估和调解提供技术咨询。</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第三十四条</w:t>
      </w:r>
      <w:r>
        <w:rPr>
          <w:rFonts w:hint="eastAsia" w:ascii="仿宋" w:hAnsi="仿宋" w:eastAsia="仿宋" w:cs="仿宋"/>
          <w:i w:val="0"/>
          <w:caps w:val="0"/>
          <w:color w:val="424242"/>
          <w:spacing w:val="0"/>
          <w:sz w:val="32"/>
          <w:szCs w:val="32"/>
          <w:shd w:val="clear" w:color="070000" w:fill="FFFFFF"/>
        </w:rPr>
        <w:t>　对当事人提出的医疗纠纷调解申请，医调委应当在3个工作日内予以审查。决定受理的，及时答复当事人；不予受理的，应当书面通知当事人并说明理由。</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医调委受理调解申请后，应当告知医患双方当事人在调解中享有的权利和承担的义务。</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第三十五条</w:t>
      </w:r>
      <w:r>
        <w:rPr>
          <w:rFonts w:hint="eastAsia" w:ascii="仿宋" w:hAnsi="仿宋" w:eastAsia="仿宋" w:cs="仿宋"/>
          <w:i w:val="0"/>
          <w:caps w:val="0"/>
          <w:color w:val="424242"/>
          <w:spacing w:val="0"/>
          <w:sz w:val="32"/>
          <w:szCs w:val="32"/>
          <w:shd w:val="clear" w:color="070000" w:fill="FFFFFF"/>
        </w:rPr>
        <w:t>　有以下情形之一的医疗纠纷调解申请，医调委不予受理；已经受理的，终止调解：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（一）一方当事人向人民法院提起诉讼的；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（二）一方当事人提出行政处理申请，卫生行政部门已经受理的；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（三）一方当事人拒绝医调委调解的；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（四）法律、法规规定只能由专门机关管辖处理的，或者法律、法规禁止采用人民调解方式解决的。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终止调解的，应当书面通知当事人并说明理由。</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第三十六条</w:t>
      </w:r>
      <w:r>
        <w:rPr>
          <w:rFonts w:hint="eastAsia" w:ascii="仿宋" w:hAnsi="仿宋" w:eastAsia="仿宋" w:cs="仿宋"/>
          <w:i w:val="0"/>
          <w:caps w:val="0"/>
          <w:color w:val="424242"/>
          <w:spacing w:val="0"/>
          <w:sz w:val="32"/>
          <w:szCs w:val="32"/>
          <w:shd w:val="clear" w:color="070000" w:fill="FFFFFF"/>
        </w:rPr>
        <w:t>　医调委受理医疗纠纷调解申请后，可以指定1名或者数名人民调解员进行调解，也可以由当事人选择1名或者数名人民调解员进行调解。必要时，在征得当事人同意后，可以邀请人大代表、政协委员或者有关社会组织的人员参与调解。当事人对人民调解员提出合理回避要求的，经医调委审查后，应当予以更换。</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医调委或者其指导管理机关及其负责人认为有应当回避情形的，可以直接作出回避决定；人民调解员认为有应当回避情形的，应当向医调委提出回避。</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　第三十七条</w:t>
      </w:r>
      <w:r>
        <w:rPr>
          <w:rFonts w:hint="eastAsia" w:ascii="仿宋" w:hAnsi="仿宋" w:eastAsia="仿宋" w:cs="仿宋"/>
          <w:i w:val="0"/>
          <w:caps w:val="0"/>
          <w:color w:val="424242"/>
          <w:spacing w:val="0"/>
          <w:sz w:val="32"/>
          <w:szCs w:val="32"/>
          <w:shd w:val="clear" w:color="070000" w:fill="FFFFFF"/>
        </w:rPr>
        <w:t>　医调委受理医疗纠纷调解申请后，人民调解员应当分别向医患双方当事人、有关专家了解相关事实和情况；根据需要向有关方面调查、核实医疗纠纷情况时，有关单位或者个人应当予以配合。</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第三十八条</w:t>
      </w:r>
      <w:r>
        <w:rPr>
          <w:rFonts w:hint="eastAsia" w:ascii="仿宋" w:hAnsi="仿宋" w:eastAsia="仿宋" w:cs="仿宋"/>
          <w:i w:val="0"/>
          <w:caps w:val="0"/>
          <w:color w:val="424242"/>
          <w:spacing w:val="0"/>
          <w:sz w:val="32"/>
          <w:szCs w:val="32"/>
          <w:shd w:val="clear" w:color="070000" w:fill="FFFFFF"/>
        </w:rPr>
        <w:t>　医患双方当事人申请医调委调解，对赔付金额10万元以上未达成一致意见的，应当先行共同委托依照国家和省有关规定设立的机构进行鉴定，明确责任。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第三十九条</w:t>
      </w:r>
      <w:r>
        <w:rPr>
          <w:rFonts w:hint="eastAsia" w:ascii="仿宋" w:hAnsi="仿宋" w:eastAsia="仿宋" w:cs="仿宋"/>
          <w:i w:val="0"/>
          <w:caps w:val="0"/>
          <w:color w:val="424242"/>
          <w:spacing w:val="0"/>
          <w:sz w:val="32"/>
          <w:szCs w:val="32"/>
          <w:shd w:val="clear" w:color="070000" w:fill="FFFFFF"/>
        </w:rPr>
        <w:t>　医调委应当自受理调解申请之日起30日内调解终结。</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因特殊情况需要延长调解期限的，医调委和医患双方当事人可以约定延长的期限；超过约定期限仍未达成调解协议的，视为调解不成。</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调解不成的，应当书面告知当事人并说明理由。</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第四十条</w:t>
      </w:r>
      <w:r>
        <w:rPr>
          <w:rFonts w:hint="eastAsia" w:ascii="仿宋" w:hAnsi="仿宋" w:eastAsia="仿宋" w:cs="仿宋"/>
          <w:i w:val="0"/>
          <w:caps w:val="0"/>
          <w:color w:val="424242"/>
          <w:spacing w:val="0"/>
          <w:sz w:val="32"/>
          <w:szCs w:val="32"/>
          <w:shd w:val="clear" w:color="070000" w:fill="FFFFFF"/>
        </w:rPr>
        <w:t>　经调解解决的医疗纠纷，应当制作调解协议书。调解协议书由医患双方当事人签名、盖章或者按指印，经调解人员签名并加盖医调委印章后生效。</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医患双方当事人同意对人民调解协议书进行司法确认的，医调委应当协助当事人进行司法确认。经过司法确认有效的调解协议，一方当事人拒绝履行或者未全部履行的，对方当事人可以向人民法院申请强制执行。</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第四十一条</w:t>
      </w:r>
      <w:r>
        <w:rPr>
          <w:rFonts w:hint="eastAsia" w:ascii="仿宋" w:hAnsi="仿宋" w:eastAsia="仿宋" w:cs="仿宋"/>
          <w:i w:val="0"/>
          <w:caps w:val="0"/>
          <w:color w:val="424242"/>
          <w:spacing w:val="0"/>
          <w:sz w:val="32"/>
          <w:szCs w:val="32"/>
          <w:shd w:val="clear" w:color="070000" w:fill="FFFFFF"/>
        </w:rPr>
        <w:t>　医疗纠纷发生后，当事人可以按照《医疗事故处理条例》向医疗机构所在地的县级以上人民政府卫生行政部门申请行政处理。</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确定为医疗事故的，卫生行政部门应医患双方当事人的请求，可以进行医疗事故赔偿调解。经调解成功的，应当制作调解书，双方当事人应当履行；调解不成或者经调解达成协议后一方不履行协议的，卫生行政部门不再调解。</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卫生行政部门在行政处理过程中发现医疗机构及其医务人员有违法行为的，应当依法作出处分或者行政处罚。</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第四十二条</w:t>
      </w:r>
      <w:r>
        <w:rPr>
          <w:rFonts w:hint="eastAsia" w:ascii="仿宋" w:hAnsi="仿宋" w:eastAsia="仿宋" w:cs="仿宋"/>
          <w:i w:val="0"/>
          <w:caps w:val="0"/>
          <w:color w:val="424242"/>
          <w:spacing w:val="0"/>
          <w:sz w:val="32"/>
          <w:szCs w:val="32"/>
          <w:shd w:val="clear" w:color="070000" w:fill="FFFFFF"/>
        </w:rPr>
        <w:t>　医患双方当事人应当自觉履行调解协议。当事人之间就调解协议的履行或者调解协议的内容发生争议的，可以向人民法院提起诉讼。</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医患双方当事人也可以就医疗纠纷直接向人民法院提起诉讼。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第四章　医疗责任保险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仿宋" w:hAnsi="仿宋" w:eastAsia="仿宋" w:cs="仿宋"/>
          <w:i w:val="0"/>
          <w:caps w:val="0"/>
          <w:color w:val="424242"/>
          <w:spacing w:val="0"/>
          <w:sz w:val="32"/>
          <w:szCs w:val="32"/>
          <w:shd w:val="clear" w:color="080000" w:fill="FFFFFF"/>
        </w:rPr>
        <w:t>　</w:t>
      </w:r>
      <w:r>
        <w:rPr>
          <w:rStyle w:val="23"/>
          <w:rFonts w:hint="eastAsia" w:ascii="黑体" w:hAnsi="黑体" w:eastAsia="黑体" w:cs="黑体"/>
          <w:b w:val="0"/>
          <w:bCs/>
          <w:i w:val="0"/>
          <w:caps w:val="0"/>
          <w:color w:val="424242"/>
          <w:spacing w:val="0"/>
          <w:sz w:val="32"/>
          <w:szCs w:val="32"/>
          <w:shd w:val="clear" w:color="0A0000" w:fill="FFFFFF"/>
        </w:rPr>
        <w:t>第四十三条</w:t>
      </w:r>
      <w:r>
        <w:rPr>
          <w:rFonts w:hint="eastAsia" w:ascii="仿宋" w:hAnsi="仿宋" w:eastAsia="仿宋" w:cs="仿宋"/>
          <w:i w:val="0"/>
          <w:caps w:val="0"/>
          <w:color w:val="424242"/>
          <w:spacing w:val="0"/>
          <w:sz w:val="32"/>
          <w:szCs w:val="32"/>
          <w:shd w:val="clear" w:color="070000" w:fill="FFFFFF"/>
        </w:rPr>
        <w:t>　公立医疗机构按照国家和省的有关规定参加医疗责任保险。</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鼓励非公立医疗机构自愿参加医疗责任保险。</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第四十四条</w:t>
      </w:r>
      <w:r>
        <w:rPr>
          <w:rFonts w:hint="eastAsia" w:ascii="仿宋" w:hAnsi="仿宋" w:eastAsia="仿宋" w:cs="仿宋"/>
          <w:i w:val="0"/>
          <w:caps w:val="0"/>
          <w:color w:val="424242"/>
          <w:spacing w:val="0"/>
          <w:sz w:val="32"/>
          <w:szCs w:val="32"/>
          <w:shd w:val="clear" w:color="070000" w:fill="FFFFFF"/>
        </w:rPr>
        <w:t>　医疗责任保险的承保机构应当遵循保本微利原则，合理厘定保险费率，并根据不同的医疗机构历年医疗纠纷赔偿情况实施费率浮动制度。</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第四十五条</w:t>
      </w:r>
      <w:r>
        <w:rPr>
          <w:rFonts w:hint="eastAsia" w:ascii="仿宋" w:hAnsi="仿宋" w:eastAsia="仿宋" w:cs="仿宋"/>
          <w:i w:val="0"/>
          <w:caps w:val="0"/>
          <w:color w:val="424242"/>
          <w:spacing w:val="0"/>
          <w:sz w:val="32"/>
          <w:szCs w:val="32"/>
          <w:shd w:val="clear" w:color="070000" w:fill="FFFFFF"/>
        </w:rPr>
        <w:t>　医疗责任保险的承保机构应当通过招标等方式确定。</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第四十六条</w:t>
      </w:r>
      <w:r>
        <w:rPr>
          <w:rFonts w:hint="eastAsia" w:ascii="仿宋" w:hAnsi="仿宋" w:eastAsia="仿宋" w:cs="仿宋"/>
          <w:i w:val="0"/>
          <w:caps w:val="0"/>
          <w:color w:val="424242"/>
          <w:spacing w:val="0"/>
          <w:sz w:val="32"/>
          <w:szCs w:val="32"/>
          <w:shd w:val="clear" w:color="070000" w:fill="FFFFFF"/>
        </w:rPr>
        <w:t>　参加医疗责任保险的医疗机构，其医疗责任保险保费支出，从医疗机构业务费中列支，按照规定计入医疗成本。按照收入支出两条线管理的医疗机构，保险费用由财政列支。</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医疗机构不得因参加医疗责任保险而提高现有收费标准或者变相增加患方的负担。</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第四十七条</w:t>
      </w:r>
      <w:r>
        <w:rPr>
          <w:rFonts w:hint="eastAsia" w:ascii="仿宋" w:hAnsi="仿宋" w:eastAsia="仿宋" w:cs="仿宋"/>
          <w:i w:val="0"/>
          <w:caps w:val="0"/>
          <w:color w:val="424242"/>
          <w:spacing w:val="0"/>
          <w:sz w:val="32"/>
          <w:szCs w:val="32"/>
          <w:shd w:val="clear" w:color="070000" w:fill="FFFFFF"/>
        </w:rPr>
        <w:t>　医疗责任保险的承保机构依据保险合同，承担医疗机构因医疗纠纷产生的赔偿责任。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医疗纠纷发生后，医疗责任保险的承保机构应当按照保险合同约定及时参与医疗纠纷的处理；需要保险理赔的，医疗机构、患者或者其近亲属应当配合并如实向医疗责任保险的承保机构提供医疗纠纷情况。</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医疗责任保险的承保机构应当按照保险合同约定，将双方当事人依法自行协商达成的赔偿或者补偿金额在1万元以内的协议、医调委调解达成的协议、卫生行政部门的行政调解协议、人民法院作出的生效调解书或者判决书，作为医疗责任保险理赔的依据之一，及时支付赔偿或者补偿款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第五章　法律责任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第四十八条</w:t>
      </w:r>
      <w:r>
        <w:rPr>
          <w:rFonts w:hint="eastAsia" w:ascii="仿宋" w:hAnsi="仿宋" w:eastAsia="仿宋" w:cs="仿宋"/>
          <w:i w:val="0"/>
          <w:caps w:val="0"/>
          <w:color w:val="424242"/>
          <w:spacing w:val="0"/>
          <w:sz w:val="32"/>
          <w:szCs w:val="32"/>
          <w:shd w:val="clear" w:color="070000" w:fill="FFFFFF"/>
        </w:rPr>
        <w:t>　医疗机构有下列情形之一的，由县级以上人民政府卫生行政部门予以警告、责令其改正；情节严重的，依法吊销医疗机构执业许可证，对负有直接责任的主管人员和其他直接责任人员依法予以处分；构成犯罪的，依法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（一）违反本办法第十三条第一款规定，诊疗活动超出核准登记范围的；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（二）违反本办法第十三条第二款规定，未对医务人员进行医疗卫生管理法律、法规、规章和诊疗护理规范、常规的培训和医疗服务职业道德教育的；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（三）违反本办法第十四条规定，未建立医务人员医疗质量监控和评价制度、医疗安全责任制度、医疗纠纷处理制度和内部责任追究制度的；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（四）违反本办法第十七条第一款规定，未按照国务院卫生行政部门的规定要求，书写并妥善保管病历资料的；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（五）违反本办法第十八条第二款规定，未按照规定封存和启封病历资料的；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（六）违反本办法第十八条第三款规定，未按照规定提供病历资料复印或者复制服务，并在复印或者复制的病历资料上加盖证明印记的；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（七）违反本办法第二十三条规定，未制定医疗纠纷应急处置预案，并报其执业登记的卫生行政部门和所在地公安机关备案的；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（八）违反本办法第二十九条第三款规定，公立医疗机构与患者或者及其近亲属自行协商处理赔付金额1万元以上的医疗纠纷的。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第四十九条</w:t>
      </w:r>
      <w:r>
        <w:rPr>
          <w:rFonts w:hint="eastAsia" w:ascii="仿宋" w:hAnsi="仿宋" w:eastAsia="仿宋" w:cs="仿宋"/>
          <w:i w:val="0"/>
          <w:caps w:val="0"/>
          <w:color w:val="424242"/>
          <w:spacing w:val="0"/>
          <w:sz w:val="32"/>
          <w:szCs w:val="32"/>
          <w:shd w:val="clear" w:color="070000" w:fill="FFFFFF"/>
        </w:rPr>
        <w:t>　医务人员有下列情形之一的，由县级以上人民政府卫生行政部门予以警告、责令改正；情节严重，损害患者身体健康或者造成患者死亡的，依法吊销其执业证书；构成犯罪的，依法追究刑事责任：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（一）违反本办法第十六条第一项规定，未遵守卫生法律、法规、规章和诊疗护理规范的；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（二）违反本办法第十六条第三项规定，未按照规定如实告知患者病情、医疗措施、医疗风险及医疗费用等情况的；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（三）违反本办法第十六条第四项规定，未按照规定取得患者或者其近亲属同意实施手术、特殊检查、特殊治疗、实验性临床医疗的；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（四）违反本办法第十七条第三款规定，丢失、隐匿、伪造或者销毁病历资料的。</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第五十条</w:t>
      </w:r>
      <w:r>
        <w:rPr>
          <w:rFonts w:hint="eastAsia" w:ascii="仿宋" w:hAnsi="仿宋" w:eastAsia="仿宋" w:cs="仿宋"/>
          <w:i w:val="0"/>
          <w:caps w:val="0"/>
          <w:color w:val="424242"/>
          <w:spacing w:val="0"/>
          <w:sz w:val="32"/>
          <w:szCs w:val="32"/>
          <w:shd w:val="clear" w:color="070000" w:fill="FFFFFF"/>
        </w:rPr>
        <w:t>　患者及其近亲属和其他关系人违反本办法第二十二条规定的，由县级以上人民政府公安机关依法处罚；构成犯罪的，依法追究刑事责任。</w:t>
      </w: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　　第五十一条</w:t>
      </w:r>
      <w:r>
        <w:rPr>
          <w:rFonts w:hint="eastAsia" w:ascii="仿宋" w:hAnsi="仿宋" w:eastAsia="仿宋" w:cs="仿宋"/>
          <w:i w:val="0"/>
          <w:caps w:val="0"/>
          <w:color w:val="424242"/>
          <w:spacing w:val="0"/>
          <w:sz w:val="32"/>
          <w:szCs w:val="32"/>
          <w:shd w:val="clear" w:color="070000" w:fill="FFFFFF"/>
        </w:rPr>
        <w:t>　医调委的人民调解员在医疗纠纷调解工作中，严重失职或者违法违纪的，由聘任单位撤换，由有权机关给予处分；构成犯罪的，依法追究刑事责任。</w:t>
      </w:r>
      <w:r>
        <w:rPr>
          <w:rFonts w:hint="eastAsia" w:ascii="仿宋" w:hAnsi="仿宋" w:eastAsia="仿宋" w:cs="仿宋"/>
          <w:i w:val="0"/>
          <w:caps w:val="0"/>
          <w:color w:val="424242"/>
          <w:spacing w:val="0"/>
          <w:sz w:val="32"/>
          <w:szCs w:val="32"/>
          <w:shd w:val="clear" w:color="070000" w:fill="FFFFFF"/>
        </w:rPr>
        <w:br w:type="textWrapping"/>
      </w: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第五十二条</w:t>
      </w:r>
      <w:r>
        <w:rPr>
          <w:rFonts w:hint="eastAsia" w:ascii="仿宋" w:hAnsi="仿宋" w:eastAsia="仿宋" w:cs="仿宋"/>
          <w:i w:val="0"/>
          <w:caps w:val="0"/>
          <w:color w:val="424242"/>
          <w:spacing w:val="0"/>
          <w:sz w:val="32"/>
          <w:szCs w:val="32"/>
          <w:shd w:val="clear" w:color="070000" w:fill="FFFFFF"/>
        </w:rPr>
        <w:t>　县级以上人民政府卫生、司法行政、公安、民政等部门和保险监督管理机构及其工作人员在医疗纠纷预防与处理工作中，违反本办法规定，有下列行为之一的，由其主管部门或者监察机关对负有直接责任的主管人员和其他直接责任人员依法给予处分；构成犯罪的，依法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（一）未按照本办法规定履行职责的；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（二）玩忽职守、滥用职权、徇私舞弊的。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r>
        <w:rPr>
          <w:rFonts w:hint="eastAsia" w:ascii="仿宋" w:hAnsi="仿宋" w:eastAsia="仿宋" w:cs="仿宋"/>
          <w:i w:val="0"/>
          <w:caps w:val="0"/>
          <w:color w:val="424242"/>
          <w:spacing w:val="0"/>
          <w:sz w:val="32"/>
          <w:szCs w:val="32"/>
          <w:shd w:val="clear" w:color="070000" w:fill="FFFFFF"/>
        </w:rPr>
        <w:br w:type="textWrapping"/>
      </w:r>
      <w:r>
        <w:rPr>
          <w:rStyle w:val="23"/>
          <w:rFonts w:hint="eastAsia" w:ascii="黑体" w:hAnsi="黑体" w:eastAsia="黑体" w:cs="黑体"/>
          <w:b w:val="0"/>
          <w:bCs/>
          <w:i w:val="0"/>
          <w:caps w:val="0"/>
          <w:color w:val="424242"/>
          <w:spacing w:val="0"/>
          <w:sz w:val="32"/>
          <w:szCs w:val="32"/>
          <w:shd w:val="clear" w:color="0A0000" w:fill="FFFFFF"/>
        </w:rPr>
        <w:t>第六章　附则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黑体" w:hAnsi="黑体" w:eastAsia="黑体" w:cs="黑体"/>
          <w:b w:val="0"/>
          <w:bCs/>
          <w:i w:val="0"/>
          <w:caps w:val="0"/>
          <w:color w:val="424242"/>
          <w:spacing w:val="0"/>
          <w:sz w:val="32"/>
          <w:szCs w:val="32"/>
          <w:shd w:val="clear" w:color="0A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　</w:t>
      </w:r>
      <w:r>
        <w:rPr>
          <w:rStyle w:val="23"/>
          <w:rFonts w:hint="eastAsia" w:ascii="黑体" w:hAnsi="黑体" w:eastAsia="黑体" w:cs="黑体"/>
          <w:b w:val="0"/>
          <w:bCs/>
          <w:i w:val="0"/>
          <w:caps w:val="0"/>
          <w:color w:val="424242"/>
          <w:spacing w:val="0"/>
          <w:sz w:val="32"/>
          <w:szCs w:val="32"/>
          <w:shd w:val="clear" w:color="0A0000" w:fill="FFFFFF"/>
        </w:rPr>
        <w:t>　第五十三条</w:t>
      </w:r>
      <w:r>
        <w:rPr>
          <w:rFonts w:hint="eastAsia" w:ascii="仿宋" w:hAnsi="仿宋" w:eastAsia="仿宋" w:cs="仿宋"/>
          <w:i w:val="0"/>
          <w:caps w:val="0"/>
          <w:color w:val="424242"/>
          <w:spacing w:val="0"/>
          <w:sz w:val="32"/>
          <w:szCs w:val="32"/>
          <w:shd w:val="clear" w:color="070000" w:fill="FFFFFF"/>
        </w:rPr>
        <w:t>　本办法自2013年6月1日起施行。</w:t>
      </w:r>
    </w:p>
    <w:p>
      <w:pPr>
        <w:wordWrap/>
        <w:adjustRightInd/>
        <w:snapToGrid/>
        <w:spacing w:line="560" w:lineRule="exact"/>
        <w:textAlignment w:val="auto"/>
        <w:rPr>
          <w:rFonts w:hint="eastAsia" w:ascii="仿宋" w:hAnsi="仿宋" w:eastAsia="仿宋" w:cs="仿宋"/>
          <w:sz w:val="32"/>
          <w:szCs w:val="32"/>
        </w:rPr>
      </w:pPr>
    </w:p>
    <w:p>
      <w:pPr>
        <w:pStyle w:val="4"/>
        <w:rPr>
          <w:rFonts w:hint="eastAsia"/>
        </w:rPr>
      </w:pPr>
      <w:r>
        <w:rPr>
          <w:rFonts w:hint="eastAsia" w:ascii="宋体" w:hAnsi="宋体" w:eastAsia="宋体" w:cs="宋体"/>
          <w:color w:val="000000"/>
          <w:sz w:val="44"/>
          <w:szCs w:val="44"/>
          <w:lang w:val="en-US" w:eastAsia="zh-CN"/>
        </w:rPr>
        <w:br w:type="page"/>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广东省人民政府办公厅转发省卫生健康委、</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人力资源社会保障厅、财政厅关于做好</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color w:val="424242"/>
        </w:rPr>
      </w:pPr>
      <w:r>
        <w:rPr>
          <w:rFonts w:hint="eastAsia" w:ascii="Times New Roman" w:hAnsi="Times New Roman" w:eastAsia="宋体" w:cs="Times New Roman"/>
          <w:bCs/>
          <w:kern w:val="44"/>
          <w:sz w:val="44"/>
          <w:szCs w:val="44"/>
          <w:lang w:val="en-US" w:eastAsia="zh-CN" w:bidi="ar-SA"/>
        </w:rPr>
        <w:t>一线医务人员及其家属保障工作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若干措施的通知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粤府办〔2020〕4号</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微软雅黑" w:hAnsi="微软雅黑" w:eastAsia="微软雅黑" w:cs="微软雅黑"/>
          <w:i w:val="0"/>
          <w:caps w:val="0"/>
          <w:color w:val="424242"/>
          <w:spacing w:val="0"/>
          <w:sz w:val="27"/>
          <w:szCs w:val="27"/>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省卫生健康委、人力资源社会保障厅、财政厅《关于做好一线医务人员及其家属保障工作的若干措施》已经省人民政府同意，现转发给你们，请认真贯彻执行。实施中遇到的问题，请径向省卫生健康委、人力资源社会保障厅、财政厅反映。</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广东省人民政府办公厅</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2020年2月18日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firstLine="640" w:firstLineChars="20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为深入贯彻落实习近平总书记重要讲话和重要指示批示精神，切实改善一线医务人员工作条件，及时有效为一线医务人员解除后顾之忧，使他们更好地投入新型冠状病毒肺炎疫情防控工作，根据《国务院办公厅转发国家卫生健康委、人力资源社会保障部、财政部关于改善一线医务人员工作条件切实关心医务人员身心健康若干措施的通知》（国办发〔2020〕4号）和《国务院应对新型冠状病毒肺炎疫情联防联控机制关于全力做好一线医务人员及其家属保障工作的通知》（肺炎机制发〔2020〕23号）要求，结合我省实际情况，提出以下措施。</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一、加强生活保障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一）以适当形式开展对一线医务人员慰问活动，深入了解一线医务人员尤其是援助湖北医疗队队员及其家属生活保障方面较集中较突出的困难和需求，及时反馈相关单位研究解决。（省卫生健康委、教育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（二）安排落实一线医务人员的专项慰问资金，并通过困难职工帮扶基金加大对一线医务人员及其家属的支持帮扶力度。（省总工会牵头，各地级以上市政府负责）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（三）开展形式多样的关爱公益活动，定期组织免费提供食品配送、家政服务等，协调落实一线医务人员家庭基本生活用品供给保障。（省总工会、妇联、工商联、农业农村厅牵头，各地级以上市政府负责）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二、加强心理保障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（四）组建心理救援专家组，制定紧急心理危机干预和心理疏导工作方案，安排专家对一线医务人员及其家属心理辅导工作进行技术培训指导。（省卫生健康委牵头，各地级以上市政府负责）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五）组建心理辅导志愿者队伍，建立健全一线医务人员及其家属谈心台账，安排志愿工作者以适当形式开展心理辅导，关心了解存在困难，汇总登记需求情况。（团省委、省教育厅牵头，各地级以上市政府负责）   </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六）拓宽咨询服务渠道，通过粤省事小程序、12355青年心理咨询热线、12351职工热线、12320卫生在线、市级健康APP平台、粤工惠APP平台等，为一线医务人员及其家属提供24小时心理咨询等服务。（省总工会、省卫生健康委、团省委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三、加强人文保障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七）为一线医务人员提供必要的隔离休息场所，保障医务人员充足的睡眠。优化医疗人员调配、合理分工排班，尽量不安排双职工的医务工作者同时到一线工作，对家有老人和孩子需要照顾的医务人员，要尽可能使其兼顾家庭。（省卫生健康委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（八）畅通一线医务人员和家属通讯联络及网络沟通渠道，协调落实疫情防控期间减免一线医务人员电话费等费用。（省卫生健康委牵头，省通信管理局、各地级以上市政府负责）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四、加强安全保障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（九）协调保险公司签订协议，向全省一线医务工作者和援助湖北医疗队队员捐赠新冠肺炎综合保险保障。（省卫生健康委、广东银保监局牵头）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各级新冠肺炎防控指挥部要根据卫生健康部门提出的物资需求，做好物资调拨计划，并由各级医疗机构做好对一线医务人员及其家属口罩等防护用品的配给，优先保障辖区内定点收治医院及援助湖北医疗队队员防护用品的供应。（省工业和信息化厅、卫生健康委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一）对有交通出行困难的医护人员及其家属提供必要的帮助。各城市交通运输主管部门要指导行业协会或出租汽车企业发挥“党员示范车”“星级文明示范车队”“爱心送考车队”等先进作用，组建应急保障医护人员车队，利用全国交通运输服务统一热线12328或本地电召平台设立专线服务。鼓励有条件的网约车平台提供专门定制服务，为一线医务人员出行提供保障。（省交通运输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（十二）将依法防控普法宣传挂图、宣传视频、广播音频等推送到各医疗机构和防控场所，营造良好的疫情防控法治氛围，积极维护医务人员人身安全和人格尊严。（省司法厅牵头，各地级以上市政府负责）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（十三）保障医务人员安全，维护良好医疗秩序，严厉打击侵犯医务人员安全、扰乱医疗秩序的行为，对构成犯罪的，依法追究刑事责任。（省公安厅牵头，各地级以上市政府负责）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五、其他方面保障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（十四）对参与救治新冠肺炎患者作出突出贡献的一线医务人员，其子女入学教育享受相应优待政策，具体由省教育厅会省卫生健康委研究制定。（省教育厅、卫生健康委牵头）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（十五）按照《中共广东省委办公厅 广东省人民政府办公厅印发〈关于激励医务防疫人员在打赢疫情防控阻击战中担当作为的若干措施〉的通知》（粤委办发电〔2020〕22号）要求，落实对医务防疫人员的各项激励措施。（省卫生健康委、人力资源社会保障厅、财政厅牵头，各地级以上市政府负责）</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（十六）加大典型人物、事迹的发掘和宣传力度，及时表彰，弘扬正气，传播正能量，增强一线医务人员及其家属荣誉感。（省政府新闻办牵头）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各地级以上市卫生健康部门要组建专人专班，以高度负责的态度落实一线医务人员及其家属的保障工作，采取务实、贴心、到位的举措，帮助他们解决实际困难。相关落实情况要及时报省卫生健康委。</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广东省人民政府办公厅关于一视同仁</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0" w:lineRule="atLeast"/>
        <w:ind w:left="0" w:right="0"/>
        <w:jc w:val="center"/>
        <w:textAlignment w:val="auto"/>
        <w:outlineLvl w:val="9"/>
        <w:rPr>
          <w:rFonts w:hint="eastAsia" w:ascii="Times New Roman" w:hAnsi="Times New Roman" w:eastAsia="宋体" w:cs="Times New Roman"/>
          <w:bCs/>
          <w:kern w:val="44"/>
          <w:sz w:val="44"/>
          <w:szCs w:val="44"/>
          <w:lang w:val="en-US" w:eastAsia="zh-CN" w:bidi="ar-SA"/>
        </w:rPr>
      </w:pPr>
      <w:r>
        <w:rPr>
          <w:rFonts w:hint="eastAsia" w:ascii="Times New Roman" w:hAnsi="Times New Roman" w:eastAsia="宋体" w:cs="Times New Roman"/>
          <w:bCs/>
          <w:kern w:val="44"/>
          <w:sz w:val="44"/>
          <w:szCs w:val="44"/>
          <w:lang w:val="en-US" w:eastAsia="zh-CN" w:bidi="ar-SA"/>
        </w:rPr>
        <w:t>做好疫情防控有关工作的通知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firstLine="2880" w:firstLineChars="900"/>
        <w:jc w:val="both"/>
        <w:rPr>
          <w:rFonts w:hint="eastAsia" w:ascii="楷体" w:hAnsi="楷体" w:eastAsia="楷体" w:cs="楷体"/>
          <w:color w:val="424242"/>
          <w:sz w:val="32"/>
          <w:szCs w:val="32"/>
        </w:rPr>
      </w:pPr>
      <w:r>
        <w:rPr>
          <w:rFonts w:hint="eastAsia" w:ascii="楷体" w:hAnsi="楷体" w:eastAsia="楷体" w:cs="楷体"/>
          <w:i w:val="0"/>
          <w:caps w:val="0"/>
          <w:color w:val="424242"/>
          <w:spacing w:val="0"/>
          <w:sz w:val="32"/>
          <w:szCs w:val="32"/>
          <w:shd w:val="clear" w:color="auto" w:fill="FFFFFF"/>
        </w:rPr>
        <w:t>粤办函〔2020〕66号</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新冠肺炎疫情发生以来，在习近平总书记、党中央的坚强领导下，各地、各部门认真落实省委、省政府有关部署要求，依法、科学、有序开展疫情防控工作，经过不懈努力，全省疫情防控持续向好态势不断拓展。为不断巩固疫情防控持续向好形势，各地、各部门要抓紧抓实抓细常态化疫情防控，着力提高工作针对性、精准度和有效性，坚持一视同仁做好疫情防控有关工作，切实保障在粤中外人士的生命安全和身体健康。经省人民政府同意，现就有关事项通知如下：</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一、要依法依规、严格执行无差别的健康服务管理措施，对所有在粤的中国公民和外国侨民一视同仁，对所有国家在华侨民一视同仁。</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二、坚持人文关怀，在实施疫情防控措施和健康管理服务时，充分考虑中外人士的合理关切，提供必要的保障和服务，切实保障其合法权益。</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三、督促引导在粤的中国公民和外国侨民认真履行义务，积极配合各级政府和有关部门实施防疫抗疫措施；对违反法律法规的人员依法依规追究其法律责任。</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四、在开展疫情防控工作中，坚决反对任何针对特定人群的差异性做法，对歧视性言行零容忍。</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五、加强对社区、商场、公园、旅店、商业楼宇等场所的管理，不得因国籍、种族、性别、肤色等原因，限制或拒绝特定人群出入。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六、一视同仁为在粤的中国公民和外国侨民提供搭乘地铁、公交车、出租车等公共交通工具，以及理发、购物、餐饮和依法依规租赁房屋等日常生活服务，不得因国籍、种族、性别、肤色等原因，限制或拒绝为特定人群提供服务。</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七、加强对医疗机构的管理，不得因国籍、种族、性别、肤色等原因，对特定人群就医采取区别对待和歧视性做法。</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八、尊重和保护外国在华外交领事人员的外交领事特权与豁免，并为其履行外交领事职责提供便利。</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九、加强宣传教育和沟通解释，引导在粤的中外人士通过权威媒体渠道了解疫情防控信息，理性看待，正确判断，保持理性，明辨是非。</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　　十、省政府外办要进一步做好24小时多语种热线电话咨询服务，积极为在粤外国人反映涉疫情防控的合理诉求提供协助。</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firstLine="5120" w:firstLineChars="160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省政府办公厅</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right="0" w:firstLine="4800" w:firstLineChars="1500"/>
        <w:jc w:val="both"/>
        <w:textAlignment w:val="auto"/>
        <w:outlineLvl w:val="9"/>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2020年4月28日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80" w:lineRule="exact"/>
        <w:ind w:left="0" w:right="0"/>
        <w:jc w:val="both"/>
        <w:textAlignment w:val="auto"/>
        <w:outlineLvl w:val="9"/>
        <w:rPr>
          <w:rFonts w:hint="eastAsia" w:ascii="仿宋_GB2312" w:hAnsi="Times New Roman" w:eastAsia="仿宋_GB2312" w:cs="Times New Roman"/>
          <w:kern w:val="2"/>
          <w:sz w:val="32"/>
          <w:szCs w:val="32"/>
          <w:lang w:val="en-US" w:eastAsia="zh-CN" w:bidi="ar-SA"/>
        </w:rPr>
      </w:pPr>
    </w:p>
    <w:p>
      <w:pPr>
        <w:rPr>
          <w:rFonts w:hint="eastAsia" w:ascii="方正小标宋_GBK" w:hAnsi="方正小标宋_GBK" w:eastAsia="方正小标宋_GBK" w:cs="方正小标宋_GBK"/>
          <w:b w:val="0"/>
          <w:bCs/>
          <w:sz w:val="32"/>
          <w:szCs w:val="32"/>
          <w:lang w:val="en-US" w:eastAsia="zh-CN"/>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widowControl w:val="0"/>
        <w:spacing w:line="640" w:lineRule="exact"/>
        <w:jc w:val="both"/>
        <w:rPr>
          <w:rFonts w:hint="eastAsia" w:ascii="方正小标宋_GBK" w:hAnsi="方正小标宋_GBK" w:eastAsia="方正小标宋_GBK" w:cs="方正小标宋_GBK"/>
          <w:b w:val="0"/>
          <w:bCs/>
          <w:kern w:val="2"/>
          <w:sz w:val="32"/>
          <w:szCs w:val="32"/>
          <w:lang w:val="en-US" w:eastAsia="zh-CN" w:bidi="ar-SA"/>
        </w:rPr>
      </w:pPr>
    </w:p>
    <w:p>
      <w:pPr>
        <w:rPr>
          <w:rFonts w:hint="eastAsia" w:ascii="Times New Roman" w:hAnsi="Times New Roman" w:eastAsia="宋体" w:cs="Times New Roman"/>
          <w:bCs/>
          <w:kern w:val="44"/>
          <w:sz w:val="44"/>
          <w:szCs w:val="44"/>
          <w:lang w:val="en-US" w:eastAsia="zh-CN" w:bidi="ar-SA"/>
        </w:rPr>
      </w:pPr>
      <w:bookmarkStart w:id="492" w:name="_Toc13765"/>
      <w:bookmarkStart w:id="493" w:name="_Toc3520"/>
      <w:bookmarkStart w:id="494" w:name="_Toc22678"/>
      <w:bookmarkStart w:id="495" w:name="_Toc394"/>
      <w:bookmarkStart w:id="496" w:name="_Toc23021"/>
      <w:bookmarkStart w:id="497" w:name="_Toc31313"/>
      <w:bookmarkStart w:id="498" w:name="_Toc15217"/>
      <w:bookmarkStart w:id="499" w:name="_Toc23386"/>
      <w:bookmarkStart w:id="500" w:name="_Toc15711"/>
      <w:r>
        <w:rPr>
          <w:rFonts w:hint="eastAsia" w:ascii="Times New Roman" w:hAnsi="Times New Roman" w:eastAsia="宋体" w:cs="Times New Roman"/>
          <w:bCs/>
          <w:kern w:val="44"/>
          <w:sz w:val="44"/>
          <w:szCs w:val="44"/>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01" w:name="_Toc26806"/>
      <w:r>
        <w:rPr>
          <w:rFonts w:hint="eastAsia" w:ascii="Times New Roman" w:hAnsi="Times New Roman" w:eastAsia="宋体" w:cs="Times New Roman"/>
          <w:bCs/>
          <w:kern w:val="44"/>
          <w:sz w:val="44"/>
          <w:szCs w:val="44"/>
          <w:lang w:val="en-US" w:eastAsia="zh-CN" w:bidi="ar-SA"/>
        </w:rPr>
        <w:t>广东省突发公共事件总体应急预案</w:t>
      </w:r>
      <w:bookmarkEnd w:id="492"/>
      <w:bookmarkEnd w:id="493"/>
      <w:bookmarkEnd w:id="494"/>
      <w:bookmarkEnd w:id="495"/>
      <w:bookmarkEnd w:id="496"/>
      <w:bookmarkEnd w:id="497"/>
      <w:bookmarkEnd w:id="498"/>
      <w:bookmarkEnd w:id="499"/>
      <w:bookmarkEnd w:id="500"/>
      <w:bookmarkEnd w:id="501"/>
    </w:p>
    <w:p>
      <w:pPr>
        <w:widowControl w:val="0"/>
        <w:wordWrap/>
        <w:adjustRightInd w:val="0"/>
        <w:snapToGrid/>
        <w:spacing w:line="560" w:lineRule="exact"/>
        <w:ind w:left="0" w:leftChars="0" w:right="0" w:firstLine="640" w:firstLineChars="200"/>
        <w:jc w:val="both"/>
        <w:textAlignment w:val="auto"/>
        <w:outlineLvl w:val="9"/>
        <w:rPr>
          <w:rFonts w:hint="eastAsia" w:ascii="宋体" w:hAnsi="宋体" w:cs="Times New Roman"/>
        </w:rPr>
      </w:pP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　 总则</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1.1　编制目的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提高广东省各级政府保障公共安全和处置突发公共事件的能力，最大限度预防和减少突发公共事件及其造成的损害，保障公众生命财产安全，维护社会安全和稳定，促进广东省经济社会全面、协调和可持续发展，为建设经济强省、文化大省、法治社会、和谐广东提供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1.3　分类分级</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本预案所称突发公共事件是指突然发生，造成或者可能造成重大人员伤亡、财产损失、生态环境破坏和严重社会危害，危及公共安全的紧急事件。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根据突发公共事件的起因、性质、机理和发生过程，突发公共事件主要分为以下四类：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自然灾害。主要包括水旱灾害，台风、严寒、高温、雷电、灰霾、冰雹、大雾、大风、沙尘暴等气象灾害，火山、地震灾害，山体崩塌、滑坡、泥石流等地质灾害，风暴潮、海啸、赤潮等海洋灾害，重大生物灾害和森林草原火灾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事故灾难。主要包括民航、铁路、公路、水运等交通运输事故，工矿商贸企业、建设工程、公共场所及机关、事业单位发生的各类安全事故，造成重大影响和损失的供水、供电、供油、供气，通信、信息网络、特种设备等安全事故，环境污染和生态破坏事故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（3）公共卫生事件。主要包括传染病疫情、群体性不明原因疾病、食品安全和职业危害，动物疫情，以及其他严重影响公众健康和生命安全的事件。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（4）社会安全事件。主要包括恐怖袭击事件、经济安全事件和涉外突发事件等。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各类突发公共事件按照其性质、严重程度、可控性和影响范围等因素，一般分为四级：Ⅰ级（特别重大）、Ⅱ级（重大）、Ⅲ级（较大）和Ⅳ级（一般）。</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1.4　适用范围</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本预案主要适用于涉及跨地级以上市行政区划的，或超出事发地地级以上市人民政府处置能力的特别重大、重大突发公共事件的应对工作。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本预案指导广东省的突发公共事件应对工作。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1.5　工作原则</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（1）以人为本，减少危害。切实履行政府的社会管理和公共服务职能，把保障公众健康和生命财产安全作为首要任务，最大限度地减少突发公共事件及其造成的人员伤亡和危害。</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预防为主，依法规范。坚持预防与应急相结合，常态与非常态相结合，把预防危害性突发公共事件作为应急管理工作的基础和中心环节，防患于未然；完善工作机制，形成工作合力，将应急工作纳入规范化、制度化和法制化轨道，提高对突发公共事件全过程的综合管理和紧急处置能力。</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统一领导，分级负责。在省委、省政府的统一领导下，建立健全分类管理、分级负责、条块结合、属地为主的应急管理体制。实行在党委领导下的行政领导责任制，提高各级人民政府对处置本行政区域内重大突发公共事件实施统一指挥和协调的能力，加强部门之间的配合，充分发挥专业应急指挥机构的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平战结合，协同应对。要做好应对突发公共事件的各项准备，将日常工作和应急救援工作结合起来，加强培训演练，提高快速反应能力。重视提高广大群众的危机意识，依靠公众力量，充分发挥乡镇、社区、企事业单位、社会团体和志愿者队伍的作用，形成统一指挥、功能齐全、反应灵敏、协同有序、运转高效的应急管理机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依靠科技，提高素质。要积极运用高新技术，改进和提高预警、预防和应急处置的技术与手段，充分发挥专家和专业人员的作用，提高应对突发公共事件的专业化水平和指挥能力，完善决策执行机制，避免发生次生、衍生事件。加强宣传和培训教育工作，提高公众自救、互救和应对各类突发公共事件的综合素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1.6　应急预案体系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广东省突发公共事件应急预案体系包括：</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（1）突发公共事件总体应急预案。总体应急预案是广东省应急预案体系的总纲，是省人民政府应对各类特别重大、重大突发公共事件的规范性文件。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（2）突发公共事件专项应急预案。专项应急预案主要是省人民政府及其有关部门为应对某一类型或某几种类型突发公共事件而制订的应急预案。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（3）突发公共事件部门应急预案。部门应急预案是省人民政府有关部门根据总体应急预案、专项应急预案和部门职责，为应对突发公共事件制订的预案。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（4）突发公共事件地方应急预案。具体包括：各地级以上市人民政府制订的突发公共事件总体应急预案、专项应急预案和部门应急预案；各县（市、区）、镇人民政府制订的突发公共事件应急预案。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（5）企事业单位根据有关法律法规制订的应急预案。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（6）举办大型会展和文化体育等重大活动，主办单位应当制订应急预案。</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各类预案将根据实际情况变化，不断补充、完善。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　 组织体系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2.1　领导机构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政府是广东省突发公共事件应急管理工作的最高行政领导机构，在省长的领导下，由省政府常务会议和省相关突发公共事件应急指挥机构负责突发公共事件的应急管理工作；必要时，派出省政府工作组指导有关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省政府按照“精简、统一、高效”的原则，设立广东省突发公共事件应急委员会（以下简称省应急委员会），作为广东省突发公共事件应急领导机构。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2.2　办事机构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省府办公厅内设省政府应急管理办公室，履行值守应急、信息汇总和综合协调职责，发挥运转枢纽作用。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2.3　工作机构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省应急委员会对外下设5个应急指挥机构：省自然灾害应急领导小组、省安全生产委员会、省突发公共卫生事件应急指挥部、省社会安全事件应急领导小组、省防震抗震救灾工作领导小组。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省各应急指挥机构的主要职责：按照省应急委员会的部署和要求，落实本系统内各项应急措施。</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2.4　地方机构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各级人民政府是本行政区域内突发公共事件应急管理工作的行政领导机构，负责本行政区域内各类突发公共事件的应对工作。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2.5　专家组</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省政府和各应急管理机构建立各类专业人才库，根据实际需要聘请有关专家组成专家组，为应急管理提供决策咨询和建议，必要时参加突发公共事件的应急处置工作。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　 运行机制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3.1　预测与预警</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各地、各有关部门要针对各种可能发生的突发公共事件，完善预测预警机制，开展风险分析，做到早发现、早报告、早处置。</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3.1.1　预警级别</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预测分析结果，对可能发生和可以预警的突发公共事件进行预警。预警级别依据突发公共事件可能造成的危害程度、紧急程度和发展态势，可分为Ⅰ级（特别严重）、Ⅱ级（严重）、Ⅲ级（较重）、Ⅳ级（一般）四级预警，分别以红色、橙色、黄色和蓝色表示。</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3.1.2　预警信息发布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预警信息包括可能发生的突发公共事件的类别、起始时间、可能影响范围、预警级别、警示事项、相关措施和发布机关等。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预警信息的发布、调整和解除可通过广播、电视、报刊、通信、信息网络、警报器、宣传车或组织人员逐户通知等方式进行；对老、幼、病、残、孕等特殊人群以及学校等特殊场所和警报盲区，应当采取有针对性的公告方式。</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　应急处置</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3.2.1　信息报告发生较大、重大、特别重大突发公共事件时，各地级以上市人民政府、省有关部门应立即如实向省政府报告，特别重大、重大突发公共事件及其先期处置的相关情况，要在事件发生后的两小时内报省政府应急办，同时通报有关地区和部门，并及时反馈后续处置情况。</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3.2.2　先期处置突发公共事件发生后，事发地地级以上市人民政府或者省有关部门在报告突发公共事件信息的同时，要根据职责和规定的权限启动相关应急预案，及时、有效地进行处置，控制事态。</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3.2.3　应急响应对于先期处置未能有效控制事态的重大、特别重大突发公共事件，要及时启动相关预案，由省政府相关应急指挥机构或省政府工作组统一指挥或指导有关地区、部门开展处置工作。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现场应急指挥机构，负责现场的应急处置工作。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需要多个省有关部门共同参与处置的突发公共事件，由该类突发公共事件的业务主管部门牵头，其他部门予以协助。</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3.2.4　应急结束特别重大、重大突发公共事件应急处置工作结束，或者相关危险因素消除后，现场应急指挥机构予以撤销。</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 恢复与重建</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3.3.1　善后处置要积极稳妥、深入细致地做好善后处置工作。对突发公共事件中的伤亡人员、应急处置工作人员以及紧急调集、征用有关单位及个人的物资，要按照规定给予抚恤、补助或补偿，并提供心理及司法援助。有关部门要做好疫病防治和环境污染消除工作，使社区尽快恢复正常的生产和生活秩序。保险监管部门要督促有关保险机构及时做好有关单位和个人的理赔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3.3.2　调查与评估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对特别重大、重大突发公共事件的起因、性质、影响、责任、经验教训和恢复重建等问题进行调查评估。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3.3.3　恢复重建根据受灾地区恢复重建计划，组织实施恢复重建工作。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3.4　信息发布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突发公共事件的信息发布应当及时、准确、客观、全面。在事件发生后的第一时间要向社会发布简要信息，随后发布初步核实情况、政府应对措施和公众防范措施等，并根据事件处置情况做好后续信息发布工作。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信息发布形式主要包括授权发布、散发新闻稿、组织报道、接受记者采访、举行新闻发布会等。</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　 应急保障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有关部门要按照职责分工和相关预案要求，根据平战结合的原则，切实做好应对突发公共事件的人力、物力、财力、交通运输、医疗卫生及通信保障等工作，保证应急救援工作和恢复重建工作的顺利进行，以及灾区群众的基本生活需要。</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4.1　人力资源</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公安（消防）、医疗卫生、地震救援、海上搜救、矿山救护、森林消防、防洪抢险、核与辐射、环境监控、危险化学品事故救援，铁路事故、民航事故、基础信息网络和重要信息系统事故处置，以及地质、水、电、油、气等工程抢险救援队伍是应急救援的专业队伍和骨干力量。各级人民政府、各有关单位要加强应急救援队伍的业务培训及应急演练，建立联动协调机制，提高装备水平；动员社会团体、企事业单位以及志愿者等各种社会力量参与应急救援工作；增进国际间的交流与合作。要加强以乡镇和社区为单位的公众应急能力建设，发挥其在应对突发公共事件中的重要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中国人民解放军和中国人民武装警察部队是处置突发公共事件的骨干和突击力量，按照国家有关规定参加应急处置工作。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4.2　财力保障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保证所需突发公共事件应急准备和救援工作资金。对受突发公共事件影响较大的行业、企事业单位和个人，要及时研究提出相应的补偿或救助政策。要对突发公共事件应急保障资金的使用和效果进行监管和评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鼓励自然人、法人或者其他组织（包括国际组织）按照《中华人民共和国公益事业捐赠法》等有关法律、法规的规定进行捐赠和援助。</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4.3　物资保障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建立健广东省重要应急物资监测网络、预警体系和应急物资生产、储备、调拨及紧急配送体系，完善应急工作程序，确保应急所需物资和生活用品的及时供应，并加强对物资储备的监督管理，及时予以补充和更新。</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各级人民政府应根据有关法律、法规和应急预案的规定，做好物资储备工作。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4.4　基本生活保障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要做好受灾群众的基本生活保障工作，确保灾区群众有饭吃、有水喝、有衣穿、有住处，有病能得到及时医治。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4.5　医疗卫生保障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卫生部门负责组建医疗卫生应急专业技术队伍，根据需要及时赴现场救援，并指导和协助当地医疗救治、疾病预防控制等卫生应急工作，及时为受灾地区提供药品、器械等卫生和医疗设备。必要时，组织动员红十字会等社会卫生力量参与医疗卫生救助工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4.6　交通运输保障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要保证紧急情况下应急交通工具的优先安排、优先调度、优先放行，确保运输安全畅通；要依法建立紧急情况社会交通运输工具的征用程序，确保抢险救灾物资和人员能够及时、安全运达。</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根据应急处置需要，对事故现场及相关通道实行交通管制，开设应急救援“绿色通道”，保证应急救援工作的顺利开展。</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4.7　治安维护</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要加强对重点地区、重点场所、重点人群、重要物资设备的防范保护，维持现场秩序，依法严厉打击违法犯罪活动。必要时，依法采取有效管制措施，控制事态，维护社会秩序。</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4.8　人员防护</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要指定或建立与人口密度、城市规模相适应的应急避险场所，完善紧急疏散管理办法和程序，明确各级责任人，确保在紧急情况下公众安全、有序的转移或疏散。</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要采取必要的防护措施，严格按照程序开展应急救援工作，确保人员安全。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4.9　通信保障</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建立健全应急通信、应急广播电视保障工作体系，完善公用通信网，建立有线和无线相结合、基础电信网络与机动通信系统相配套的应急通信系统，确保通信畅通。</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4.10　公共设施</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有关部门要按照职责分工，分别负责或协调煤、电、油、气、水的供给以及废水、废气、固体废弃物等有害物质的监测和处理。</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4.11　科技支撑</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要积极开展公共安全领域的科学研究；加大公共安全监测、预测、预警、预防和应急处置技术研发的投入，不断改进技术装备，建立健全公共安全应急技术平台，提高广东省公共安全科技水平；注意发挥企业在公共安全领域的研发作用。</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　 监督管理</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5.1　预案演练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各地、各有关部门要结合实际，有计划、有重点地组织有关部门对相关预案进行演练。</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5.2　宣传和培训</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宣传、教育、文化、广电、新闻出版等有关部门要通过图书、报刊、音像制品和电子出版物、广播、电视、网络等，广泛宣传应急法律法规和预防、避险、自救、互救、减灾等常识，增强公众的忧患意识、社会责任意识和自救、互救能力。各有关方面要有计划地对应急救援和管理人员进行培训，提高其专业技能。</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5.3　责任与奖惩</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突发公共事件应急处置工作实行行政领导负责制和责任追究制。</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对在突发公共事件应急管理工作中做出突出贡献的先进集体和个人要给予表彰和奖励。</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对迟报、谎报、瞒报和漏报突发公共事件重要情况或者在应急管理工作中有其他失职、渎职行为的有关责任人，要依法依规给予行政处分；构成犯罪的，依法追究其刑事责任。</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6.　 附则</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6.1　预案管理</w:t>
      </w:r>
    </w:p>
    <w:p>
      <w:pPr>
        <w:widowControl w:val="0"/>
        <w:wordWrap/>
        <w:adjustRightInd w:val="0"/>
        <w:snapToGrid/>
        <w:spacing w:line="560" w:lineRule="exact"/>
        <w:ind w:left="0" w:leftChars="0" w:right="0" w:firstLine="640" w:firstLineChars="200"/>
        <w:jc w:val="both"/>
        <w:textAlignment w:val="auto"/>
        <w:outlineLvl w:val="9"/>
        <w:rPr>
          <w:rFonts w:hint="eastAsia" w:ascii="仿宋" w:hAnsi="仿宋" w:eastAsia="仿宋" w:cs="仿宋"/>
        </w:rPr>
      </w:pPr>
      <w:r>
        <w:rPr>
          <w:rFonts w:hint="eastAsia" w:ascii="仿宋" w:hAnsi="仿宋" w:eastAsia="仿宋" w:cs="仿宋"/>
        </w:rPr>
        <w:t>根据实际情况的变化，及时修订本预案。</w:t>
      </w:r>
    </w:p>
    <w:p>
      <w:pPr>
        <w:ind w:firstLine="640" w:firstLineChars="200"/>
        <w:rPr>
          <w:rFonts w:hint="eastAsia" w:ascii="仿宋" w:hAnsi="仿宋" w:eastAsia="仿宋" w:cs="仿宋"/>
        </w:rPr>
      </w:pPr>
      <w:r>
        <w:rPr>
          <w:rFonts w:hint="eastAsia" w:ascii="仿宋" w:hAnsi="仿宋" w:eastAsia="仿宋" w:cs="仿宋"/>
        </w:rPr>
        <w:t>本预案自发布之日起实施。</w:t>
      </w:r>
    </w:p>
    <w:p>
      <w:pPr>
        <w:keepNext/>
        <w:keepLines/>
        <w:widowControl w:val="0"/>
        <w:spacing w:line="700" w:lineRule="exact"/>
        <w:jc w:val="center"/>
        <w:outlineLvl w:val="0"/>
        <w:rPr>
          <w:rFonts w:hint="eastAsia" w:ascii="宋体" w:hAnsi="宋体" w:eastAsia="宋体" w:cs="Times New Roman"/>
          <w:bCs/>
          <w:kern w:val="44"/>
          <w:sz w:val="44"/>
          <w:szCs w:val="44"/>
          <w:lang w:val="en-US" w:eastAsia="zh-CN" w:bidi="ar-SA"/>
        </w:rPr>
      </w:pPr>
    </w:p>
    <w:p>
      <w:pPr>
        <w:widowControl w:val="0"/>
        <w:wordWrap/>
        <w:adjustRightInd/>
        <w:snapToGrid/>
        <w:spacing w:line="560" w:lineRule="exact"/>
        <w:ind w:right="0" w:firstLine="560" w:firstLineChars="200"/>
        <w:jc w:val="both"/>
        <w:textAlignment w:val="auto"/>
        <w:outlineLvl w:val="9"/>
        <w:rPr>
          <w:rFonts w:hint="eastAsia" w:ascii="仿宋_GB2312" w:hAnsi="仿宋_GB2312" w:eastAsia="仿宋_GB2312" w:cs="仿宋_GB2312"/>
          <w:color w:val="000000"/>
          <w:kern w:val="0"/>
          <w:sz w:val="28"/>
          <w:szCs w:val="28"/>
          <w:lang w:val="en-US" w:eastAsia="zh-CN"/>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widowControl w:val="0"/>
        <w:spacing w:line="640" w:lineRule="exact"/>
        <w:jc w:val="both"/>
        <w:rPr>
          <w:rFonts w:hint="eastAsia" w:ascii="仿宋_GB2312" w:hAnsi="仿宋_GB2312" w:eastAsia="仿宋_GB2312" w:cs="仿宋_GB2312"/>
          <w:color w:val="000000"/>
          <w:kern w:val="0"/>
          <w:sz w:val="28"/>
          <w:szCs w:val="28"/>
          <w:lang w:val="en-US" w:eastAsia="zh-CN" w:bidi="ar-SA"/>
        </w:rPr>
      </w:pPr>
    </w:p>
    <w:p>
      <w:pPr>
        <w:rPr>
          <w:rFonts w:hint="eastAsia" w:ascii="Times New Roman" w:hAnsi="Times New Roman" w:eastAsia="宋体" w:cs="Times New Roman"/>
          <w:bCs/>
          <w:kern w:val="44"/>
          <w:sz w:val="44"/>
          <w:szCs w:val="44"/>
          <w:lang w:val="en-US" w:eastAsia="zh-CN" w:bidi="ar-SA"/>
        </w:rPr>
      </w:pPr>
      <w:bookmarkStart w:id="502" w:name="_Toc12344"/>
      <w:bookmarkStart w:id="503" w:name="_Toc15146"/>
      <w:bookmarkStart w:id="504" w:name="_Toc16208"/>
      <w:bookmarkStart w:id="505" w:name="_Toc25012"/>
      <w:bookmarkStart w:id="506" w:name="_Toc6943"/>
      <w:bookmarkStart w:id="507" w:name="_Toc27063"/>
      <w:bookmarkStart w:id="508" w:name="_Toc5507"/>
      <w:bookmarkStart w:id="509" w:name="_Toc25823"/>
      <w:bookmarkStart w:id="510" w:name="_Toc825"/>
      <w:bookmarkStart w:id="511" w:name="_Toc20823"/>
      <w:r>
        <w:rPr>
          <w:rFonts w:hint="eastAsia" w:ascii="Times New Roman" w:hAnsi="Times New Roman" w:eastAsia="宋体" w:cs="Times New Roman"/>
          <w:bCs/>
          <w:kern w:val="44"/>
          <w:sz w:val="44"/>
          <w:szCs w:val="44"/>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12" w:name="_Toc3541"/>
      <w:r>
        <w:rPr>
          <w:rFonts w:hint="eastAsia" w:ascii="Times New Roman" w:hAnsi="Times New Roman" w:eastAsia="宋体" w:cs="Times New Roman"/>
          <w:bCs/>
          <w:kern w:val="44"/>
          <w:sz w:val="44"/>
          <w:szCs w:val="44"/>
          <w:lang w:val="en-US" w:eastAsia="zh-CN" w:bidi="ar-SA"/>
        </w:rPr>
        <w:t>广东省推出防控新型冠状病毒感染的肺炎疫情一级响应16条措施</w:t>
      </w:r>
      <w:bookmarkEnd w:id="502"/>
      <w:bookmarkEnd w:id="503"/>
      <w:bookmarkEnd w:id="504"/>
      <w:bookmarkEnd w:id="505"/>
      <w:bookmarkEnd w:id="506"/>
      <w:bookmarkEnd w:id="507"/>
      <w:bookmarkEnd w:id="508"/>
      <w:bookmarkEnd w:id="509"/>
      <w:bookmarkEnd w:id="510"/>
      <w:bookmarkEnd w:id="512"/>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一、健全防控机制。健全党委政府主要领导负总责、分管领导具体负责，成立工作专班跟进处置，制定行动方案统筹应对，统一口径上报和发布信息的突发事件处置“四个一”机制，有序组织应对处置工作。</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二、强化联防联控。加强部门间信息互通和措施互动，迅速形成防控合力，定期会商研判疫情发展趋势，商定防控政策、应对预案和重大措施，统筹协调指导各地各部门落实疫情防控、医疗救治、科研攻关、外事沟通、宣传发动、物资保障等各项措施，组织对各地落实情况进行督导检查。</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三、严防疫情传播。实行最大限度减少公众聚集活动的管制措施，立即停止存在明显交叉感染风险的公众聚集活动。根据疫情防控需要，可以临时征用房屋、交通工具以及相关设施设备。</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四、加强病例管理。对传染病病人、疑似病人采取就地隔离、就地观察、就地治疗措施。对密切接触者采取有效隔离措施，并实施医学观察。</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五、实施交通检疫。民航、铁路、交通运输部门与卫生健康、公安部门要在机场、码头、火车站、省际长途汽车客运站设立联合检疫站，对所有来往人员进行体温检测，对病人、疑似病人及其密切接触者实施临时隔离、留验，并向地方卫生健康行政部门指定机构移交。加强出入境口岸的检验检疫。</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六、全力救治患者。强化定点医院及后备医院能力建设。按照“集中病例、集中专家、集中资源、集中救治”的原则，建立完善医疗救治运行机制，将确诊病例集中安排在定点医疗机构救治，竭尽全力救治患者，确保将病死率降至最低。</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七、保护医务人员。实行最周密的医务人员安全防护措施，保护医务人员健康安全。严格落实防止院内感染的各项措施，所有医务人员和进入医院的人员须佩戴口罩。相关部门加强对医疗废弃物全过程规范管理，防止二次污染及传染。</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八、聚焦重点人群。加强病人、疑似病人、密切接触者的管理。严格相关地区来粤人员监测筛查。密切关注老年人群，做好各地乡镇敬老院等疫情防控准备。做好返校师生和返岗人员的健康提示和健康管理。</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九、联合科学攻关。组织协调应急技术攻关，追踪病源、摸清新型冠状病毒感染的肺炎流行病学特征，确定病原及其生物学特性，研究提出有效防治措施，将研究成果迅速应用于临床。</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十、注重人文关怀。对患者和被隔离群众落实人文关怀，及时提供心理健康疏导。</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一、强化环境整治。深入开展爱国卫生运动，全面清理重点部位、重点地带、重点场所的环境卫生，清除病媒孳生地。强化农贸市场环境整治，严格落实活禽经营市场“一日一清洗、一周一大扫除、一月一休市、活禽零存栏”（“1110”）制度。</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十二、开展群防群控。深入发动群众，街道、乡（镇）以及居委会、村委会全力协助卫生健康行政部门协调有关单位、医疗机构，做好疫情信息的收集、报告、人员隔离及公共卫生措施的实施工作。</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十三、规范信息发布。实行严格的疫情报告、信息发布和舆情管控，加强舆情引导，及时公开透明发布疫情和防控工作信息，科学解疑释惑，客观回应社会关切。</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十四、加强科普宣传。全面开展防治知识宣传引导，提高全民防护意识和居民健康素养。</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十五、做好物资保障。落实负压救护车、负压病房、治疗药物、消杀药品、检测试剂、医疗器械、防护用品等各项保障。</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十六、维护社会稳定。加强急需用品的生产调配，保障商品供应，平抑物价，防止哄抢。严厉打击造谣传谣、哄抬物价、囤积居奇、造假售假等违法犯罪和扰乱社会治安的行为。</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广东省防控新型冠状病毒感染的肺炎疫情工作领导小组办公室</w:t>
      </w:r>
    </w:p>
    <w:p>
      <w:pPr>
        <w:widowControl w:val="0"/>
        <w:wordWrap/>
        <w:adjustRightInd/>
        <w:snapToGrid/>
        <w:spacing w:line="580" w:lineRule="exact"/>
        <w:ind w:right="0" w:firstLine="4480" w:firstLineChars="1400"/>
        <w:jc w:val="right"/>
        <w:textAlignment w:val="auto"/>
        <w:outlineLvl w:val="9"/>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32"/>
          <w:szCs w:val="32"/>
          <w:lang w:val="en-US" w:eastAsia="zh-CN"/>
        </w:rPr>
        <w:t>2020年1月24日</w:t>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p>
    <w:p>
      <w:pPr>
        <w:rPr>
          <w:rFonts w:hint="eastAsia" w:ascii="Times New Roman" w:hAnsi="Times New Roman" w:cs="Times New Roman"/>
          <w:lang w:val="en-US" w:eastAsia="zh-CN"/>
        </w:rPr>
      </w:pPr>
    </w:p>
    <w:p>
      <w:pPr>
        <w:keepNext/>
        <w:keepLines/>
        <w:widowControl w:val="0"/>
        <w:wordWrap/>
        <w:adjustRightInd/>
        <w:snapToGrid/>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513" w:name="_Toc24251"/>
      <w:bookmarkStart w:id="514" w:name="_Toc22809"/>
      <w:bookmarkStart w:id="515" w:name="_Toc11952"/>
      <w:bookmarkStart w:id="516" w:name="_Toc19108"/>
      <w:bookmarkStart w:id="517" w:name="_Toc25925"/>
      <w:bookmarkStart w:id="518" w:name="_Toc2427"/>
      <w:bookmarkStart w:id="519" w:name="_Toc27342"/>
      <w:bookmarkStart w:id="520" w:name="_Toc8864"/>
      <w:bookmarkStart w:id="521" w:name="_Toc21286"/>
      <w:r>
        <w:rPr>
          <w:rFonts w:hint="eastAsia" w:ascii="Times New Roman" w:hAnsi="Times New Roman" w:eastAsia="宋体" w:cs="Times New Roman"/>
          <w:bCs/>
          <w:kern w:val="44"/>
          <w:sz w:val="44"/>
          <w:szCs w:val="44"/>
          <w:lang w:val="en-US" w:eastAsia="zh-CN" w:bidi="ar-SA"/>
        </w:rPr>
        <w:br w:type="page"/>
      </w:r>
      <w:bookmarkEnd w:id="511"/>
      <w:bookmarkEnd w:id="513"/>
      <w:bookmarkEnd w:id="514"/>
      <w:bookmarkEnd w:id="515"/>
      <w:bookmarkEnd w:id="516"/>
      <w:bookmarkEnd w:id="517"/>
      <w:bookmarkEnd w:id="518"/>
      <w:bookmarkEnd w:id="519"/>
      <w:bookmarkEnd w:id="520"/>
      <w:bookmarkEnd w:id="521"/>
      <w:bookmarkStart w:id="522" w:name="_Toc13331"/>
      <w:bookmarkStart w:id="523" w:name="_Toc5174"/>
      <w:bookmarkStart w:id="524" w:name="_Toc26268"/>
      <w:bookmarkStart w:id="525" w:name="_Toc15784"/>
      <w:bookmarkStart w:id="526" w:name="_Toc16931"/>
      <w:bookmarkStart w:id="527" w:name="_Toc17842"/>
      <w:bookmarkStart w:id="528" w:name="_Toc26522"/>
      <w:bookmarkStart w:id="529" w:name="_Toc21733"/>
      <w:bookmarkStart w:id="530" w:name="_Toc14980"/>
      <w:bookmarkStart w:id="531" w:name="_Toc3737"/>
      <w:r>
        <w:rPr>
          <w:rFonts w:hint="eastAsia" w:ascii="Times New Roman" w:hAnsi="Times New Roman" w:eastAsia="宋体" w:cs="Times New Roman"/>
          <w:bCs/>
          <w:kern w:val="44"/>
          <w:sz w:val="44"/>
          <w:szCs w:val="44"/>
          <w:lang w:val="en-US" w:eastAsia="zh-CN" w:bidi="ar-SA"/>
        </w:rPr>
        <w:t>广东省新型冠状病毒感染的肺炎疫情</w:t>
      </w:r>
      <w:bookmarkEnd w:id="522"/>
    </w:p>
    <w:p>
      <w:pPr>
        <w:keepNext/>
        <w:keepLines/>
        <w:widowControl w:val="0"/>
        <w:wordWrap/>
        <w:adjustRightInd/>
        <w:snapToGrid/>
        <w:spacing w:line="560" w:lineRule="exact"/>
        <w:jc w:val="center"/>
        <w:textAlignment w:val="auto"/>
        <w:outlineLvl w:val="0"/>
        <w:rPr>
          <w:rFonts w:hint="eastAsia" w:ascii="Times New Roman" w:hAnsi="Times New Roman" w:eastAsia="宋体" w:cs="Times New Roman"/>
          <w:bCs/>
          <w:kern w:val="44"/>
          <w:sz w:val="44"/>
          <w:szCs w:val="44"/>
          <w:lang w:val="en-US" w:eastAsia="zh-CN" w:bidi="ar-SA"/>
        </w:rPr>
      </w:pPr>
      <w:bookmarkStart w:id="532" w:name="_Toc20733"/>
      <w:r>
        <w:rPr>
          <w:rFonts w:hint="eastAsia" w:ascii="Times New Roman" w:hAnsi="Times New Roman" w:eastAsia="宋体" w:cs="Times New Roman"/>
          <w:bCs/>
          <w:kern w:val="44"/>
          <w:sz w:val="44"/>
          <w:szCs w:val="44"/>
          <w:lang w:val="en-US" w:eastAsia="zh-CN" w:bidi="ar-SA"/>
        </w:rPr>
        <w:t>防控指挥部办公室通告</w:t>
      </w:r>
      <w:bookmarkEnd w:id="532"/>
    </w:p>
    <w:p>
      <w:pPr>
        <w:widowControl w:val="0"/>
        <w:wordWrap/>
        <w:adjustRightInd/>
        <w:snapToGrid/>
        <w:spacing w:line="560" w:lineRule="exact"/>
        <w:ind w:right="0"/>
        <w:jc w:val="center"/>
        <w:textAlignment w:val="auto"/>
        <w:outlineLvl w:val="0"/>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right="0"/>
        <w:jc w:val="center"/>
        <w:textAlignment w:val="auto"/>
        <w:outlineLvl w:val="0"/>
        <w:rPr>
          <w:rFonts w:hint="eastAsia" w:ascii="楷体" w:hAnsi="楷体" w:eastAsia="楷体" w:cs="楷体"/>
          <w:color w:val="000000"/>
          <w:kern w:val="0"/>
          <w:sz w:val="32"/>
          <w:szCs w:val="32"/>
          <w:lang w:val="en-US" w:eastAsia="zh-CN"/>
        </w:rPr>
      </w:pPr>
      <w:bookmarkStart w:id="533" w:name="_Toc6658"/>
      <w:r>
        <w:rPr>
          <w:rFonts w:hint="eastAsia" w:ascii="楷体" w:hAnsi="楷体" w:eastAsia="楷体" w:cs="楷体"/>
          <w:color w:val="000000"/>
          <w:kern w:val="0"/>
          <w:sz w:val="32"/>
          <w:szCs w:val="32"/>
          <w:lang w:val="en-US" w:eastAsia="zh-CN"/>
        </w:rPr>
        <w:t>粤防疫指办通〔2020〕2号</w:t>
      </w:r>
      <w:bookmarkEnd w:id="533"/>
    </w:p>
    <w:p>
      <w:pPr>
        <w:widowControl w:val="0"/>
        <w:wordWrap/>
        <w:adjustRightInd/>
        <w:snapToGrid/>
        <w:spacing w:line="560" w:lineRule="exact"/>
        <w:ind w:right="0" w:firstLine="560" w:firstLineChars="200"/>
        <w:jc w:val="center"/>
        <w:textAlignment w:val="auto"/>
        <w:outlineLvl w:val="9"/>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w:t>
      </w:r>
      <w:r>
        <w:rPr>
          <w:rFonts w:hint="eastAsia" w:ascii="仿宋_GB2312" w:hAnsi="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为进一步落实国家对新型冠状病毒感染的肺炎疫情防控工作的部署，全面落实省突发公共卫生事件一级响应，加强公共场所管理，切断病毒传播途径，切实防止新型冠状病毒感染的肺炎疫情传播扩散，依照《中华人民共和国传染病防治法》《中华人民共和国突发事件应对法》《突发公共卫生事件应急条例》《公共场所卫生管理条例》等规定，结合国家已发布的《预防新型冠状病毒感染的肺炎口罩使用指南》，现就我省公共场所实施佩戴口罩的控制措施要求事项通告如下：</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一、实施范围</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（一）宾馆（酒店）、旅店、招待所、饭馆、咖啡馆、酒吧、茶座；</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（二）公共浴室、理发店、美容店；</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（三）影剧院、卡拉OK厅、录像厅（室）、游艺厅（室）、舞厅、音乐厅；</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（四）体育场（馆）、游泳场（馆），景区、宗教场所、商业街、步行街；</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（五）超市、农（集）贸市场、商场（店）、书店；</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（六）候诊室、候车（机、船）室、高速公路服务区、公共交通工具（含网约车、出租车）；</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（七）展览馆、博物馆、美术馆、图书馆；</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（八）其他人群密集或密闭的公共场所。</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二、实施要求</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各公共场所经营者、管理者应当要求进入其场所的人员佩戴口罩后方可进入其经营的公共场所，并在场所入口处设置醒目、清晰的佩戴口罩的提示；对未佩戴口罩进入场所者应当予以劝阻，对不听劝阻的人员依据《中华人民共和国传染病防治法》和《公共场所卫生管理条例》的规定向相关主管部门报告，由各相关主管部门按照各自职责依法处理。阻碍突发事件应急处理工作人员执行职务，触犯《中华人民共和国治安管理处罚法》，构成违反治安管理行为的，由公安机关依法予以处罚；构成犯罪的，依法追究刑事责任。</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三、口罩佩戴原则</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基本原则是科学合理佩戴，规范使用，有效防护。具体如下：</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（一）个人独处、自己开车或独自到公园散步等感染风险较低时，不需要佩戴口罩。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（二）在非疫区空旷且通风场所不需要佩戴口罩，进入人员密集或密闭公共场所需要佩戴口罩。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（三）在疫情高发地区空旷且通风场所建议佩戴一次性使用医用口罩；进入人员密集或密闭公共场所佩戴医用外科口罩或颗粒物防护口罩。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（四）有疑似症状到医院就诊时，需佩戴不含呼气阀的颗粒物防护口罩或医用防护口罩。</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（五）有呼吸道基础疾病患者需在医生指导下使用防护口罩。年龄极小的婴幼儿不能戴口罩，易引起窒息。</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（六）棉纱口罩、海绵口罩和活性炭口罩对预防病毒感染无保护作用。</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本通告自发布之日起施行，终止日期另行通告。原粤防疫指办通〔2020〕1号废止。</w:t>
      </w:r>
    </w:p>
    <w:p>
      <w:pPr>
        <w:widowControl w:val="0"/>
        <w:wordWrap/>
        <w:adjustRightInd/>
        <w:snapToGrid/>
        <w:spacing w:line="560" w:lineRule="exact"/>
        <w:ind w:left="0" w:leftChars="0" w:right="0" w:firstLine="0" w:firstLineChars="0"/>
        <w:jc w:val="left"/>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left="0" w:leftChars="0" w:right="0" w:firstLine="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广东省新型冠状病毒感染的</w:t>
      </w:r>
    </w:p>
    <w:p>
      <w:pPr>
        <w:widowControl w:val="0"/>
        <w:wordWrap/>
        <w:adjustRightInd/>
        <w:snapToGrid/>
        <w:spacing w:line="560" w:lineRule="exact"/>
        <w:ind w:left="0" w:leftChars="0" w:right="0" w:firstLine="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肺炎疫情防控指挥部办公室</w:t>
      </w:r>
    </w:p>
    <w:p>
      <w:pPr>
        <w:widowControl w:val="0"/>
        <w:wordWrap/>
        <w:adjustRightInd/>
        <w:snapToGrid/>
        <w:spacing w:line="560" w:lineRule="exact"/>
        <w:ind w:left="0" w:leftChars="0" w:right="0" w:firstLine="640" w:firstLineChars="0"/>
        <w:jc w:val="right"/>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2020年2月5日</w:t>
      </w:r>
    </w:p>
    <w:p>
      <w:pPr>
        <w:pStyle w:val="4"/>
        <w:ind w:firstLine="640"/>
        <w:rPr>
          <w:rFonts w:hint="eastAsia"/>
          <w:lang w:val="en-US" w:eastAsia="zh-CN"/>
        </w:rPr>
      </w:pPr>
    </w:p>
    <w:p>
      <w:pPr>
        <w:rPr>
          <w:rFonts w:hint="eastAsia"/>
          <w:lang w:val="en-US" w:eastAsia="zh-CN"/>
        </w:rPr>
      </w:pPr>
    </w:p>
    <w:p>
      <w:pPr>
        <w:pStyle w:val="4"/>
        <w:rPr>
          <w:rFonts w:hint="eastAsia"/>
          <w:lang w:val="en-US" w:eastAsia="zh-CN"/>
        </w:rPr>
      </w:pPr>
    </w:p>
    <w:p>
      <w:pPr>
        <w:rPr>
          <w:rFonts w:hint="eastAsia"/>
          <w:lang w:val="en-US" w:eastAsia="zh-CN"/>
        </w:rPr>
      </w:pP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375" w:afterAutospacing="0" w:line="0" w:lineRule="atLeast"/>
        <w:ind w:left="0" w:right="0" w:firstLine="0"/>
        <w:jc w:val="center"/>
        <w:textAlignment w:val="auto"/>
        <w:outlineLvl w:val="0"/>
        <w:rPr>
          <w:rFonts w:hint="eastAsia" w:ascii="宋体" w:hAnsi="宋体" w:eastAsia="宋体" w:cs="宋体"/>
          <w:b w:val="0"/>
          <w:bCs w:val="0"/>
          <w:i w:val="0"/>
          <w:caps w:val="0"/>
          <w:color w:val="2D66A5"/>
          <w:spacing w:val="0"/>
          <w:sz w:val="44"/>
          <w:szCs w:val="44"/>
          <w:shd w:val="clear" w:color="auto" w:fill="FFFFFF"/>
        </w:rPr>
      </w:pPr>
      <w:r>
        <w:rPr>
          <w:rFonts w:hint="eastAsia" w:ascii="宋体" w:hAnsi="宋体" w:eastAsia="宋体" w:cs="宋体"/>
          <w:b w:val="0"/>
          <w:bCs w:val="0"/>
          <w:i w:val="0"/>
          <w:caps w:val="0"/>
          <w:color w:val="2D66A5"/>
          <w:spacing w:val="0"/>
          <w:sz w:val="44"/>
          <w:szCs w:val="44"/>
          <w:shd w:val="clear" w:color="auto" w:fill="FFFFFF"/>
        </w:rPr>
        <w:t>印发《关于应对疫情影响加大对中小企业支持力度的若干政策措施》的通知</w:t>
      </w:r>
    </w:p>
    <w:p>
      <w:pPr>
        <w:rPr>
          <w:rFonts w:hint="eastAsia"/>
        </w:rPr>
      </w:pP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各地级以上市党委和人民政府,省委各部委,省直各单位,省各人民团体,省法院,省检察院,中直驻粤各单位:</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《关于应对疫情影响加大对中小企业支持力度的若干政策措施》已经省委、省政府同意,现印发给你们,请认真组织实施。实施过程中遇到的问题,请径向省工业和信息化厅反映。</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广东省工业和信息化厅　　　广东省地方金融监管局</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广东省政务服务数据管理局　　　广东省发展改革委</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广东省财政厅　　　　广东省人力资源和社会保障厅</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广东省农业农村厅　　　　　　　　　广东省国资委</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国家税务总局广东省税务局</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2020年3月23日</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exact"/>
        <w:ind w:left="0" w:right="0"/>
        <w:textAlignment w:val="auto"/>
        <w:outlineLvl w:val="9"/>
        <w:rPr>
          <w:color w:val="424242"/>
        </w:rPr>
      </w:pPr>
      <w:r>
        <w:rPr>
          <w:rFonts w:hint="eastAsia" w:ascii="宋体" w:hAnsi="宋体" w:eastAsia="宋体" w:cs="宋体"/>
          <w:i w:val="0"/>
          <w:caps w:val="0"/>
          <w:color w:val="424242"/>
          <w:spacing w:val="0"/>
          <w:sz w:val="27"/>
          <w:szCs w:val="27"/>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rStyle w:val="23"/>
          <w:rFonts w:hint="eastAsia" w:ascii="宋体" w:hAnsi="宋体" w:eastAsia="宋体" w:cs="宋体"/>
          <w:i w:val="0"/>
          <w:caps w:val="0"/>
          <w:color w:val="424242"/>
          <w:spacing w:val="0"/>
          <w:sz w:val="30"/>
          <w:szCs w:val="30"/>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rStyle w:val="23"/>
          <w:rFonts w:hint="eastAsia" w:ascii="宋体" w:hAnsi="宋体" w:eastAsia="宋体" w:cs="宋体"/>
          <w:i w:val="0"/>
          <w:caps w:val="0"/>
          <w:color w:val="424242"/>
          <w:spacing w:val="0"/>
          <w:sz w:val="30"/>
          <w:szCs w:val="30"/>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rStyle w:val="23"/>
          <w:rFonts w:hint="eastAsia" w:ascii="宋体" w:hAnsi="宋体" w:eastAsia="宋体" w:cs="宋体"/>
          <w:i w:val="0"/>
          <w:caps w:val="0"/>
          <w:color w:val="424242"/>
          <w:spacing w:val="0"/>
          <w:sz w:val="30"/>
          <w:szCs w:val="30"/>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jc w:val="center"/>
        <w:rPr>
          <w:color w:val="424242"/>
          <w:sz w:val="44"/>
          <w:szCs w:val="44"/>
        </w:rPr>
      </w:pPr>
      <w:r>
        <w:rPr>
          <w:rStyle w:val="23"/>
          <w:rFonts w:hint="eastAsia" w:ascii="宋体" w:hAnsi="宋体" w:eastAsia="宋体" w:cs="宋体"/>
          <w:i w:val="0"/>
          <w:caps w:val="0"/>
          <w:color w:val="424242"/>
          <w:spacing w:val="0"/>
          <w:sz w:val="44"/>
          <w:szCs w:val="44"/>
          <w:shd w:val="clear" w:color="auto" w:fill="FFFFFF"/>
        </w:rPr>
        <w:t>关于应对疫情影响加大对中小企业支持力度的若干政策措施</w:t>
      </w:r>
    </w:p>
    <w:p>
      <w:pPr>
        <w:pStyle w:val="18"/>
        <w:widowControl/>
        <w:pBdr>
          <w:top w:val="none" w:color="auto" w:sz="0" w:space="0"/>
          <w:left w:val="none" w:color="auto" w:sz="0" w:space="0"/>
          <w:bottom w:val="none" w:color="auto" w:sz="0" w:space="0"/>
          <w:right w:val="none" w:color="auto" w:sz="0" w:space="0"/>
        </w:pBdr>
        <w:wordWrap w:val="0"/>
        <w:spacing w:before="150" w:beforeAutospacing="0" w:after="150" w:afterAutospacing="0" w:line="315" w:lineRule="atLeast"/>
        <w:ind w:left="0" w:right="0"/>
        <w:rPr>
          <w:color w:val="424242"/>
        </w:rPr>
      </w:pPr>
      <w:r>
        <w:rPr>
          <w:rFonts w:hint="eastAsia" w:ascii="宋体" w:hAnsi="宋体" w:eastAsia="宋体" w:cs="宋体"/>
          <w:i w:val="0"/>
          <w:caps w:val="0"/>
          <w:color w:val="424242"/>
          <w:spacing w:val="0"/>
          <w:sz w:val="27"/>
          <w:szCs w:val="27"/>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宋体" w:hAnsi="宋体" w:eastAsia="宋体" w:cs="宋体"/>
          <w:i w:val="0"/>
          <w:caps w:val="0"/>
          <w:color w:val="424242"/>
          <w:spacing w:val="0"/>
          <w:sz w:val="27"/>
          <w:szCs w:val="27"/>
          <w:shd w:val="clear" w:color="auto" w:fill="FFFFFF"/>
        </w:rPr>
        <w:t>　　</w:t>
      </w:r>
      <w:r>
        <w:rPr>
          <w:rFonts w:hint="eastAsia" w:ascii="仿宋_GB2312" w:hAnsi="仿宋_GB2312" w:eastAsia="仿宋_GB2312" w:cs="仿宋_GB2312"/>
          <w:i w:val="0"/>
          <w:caps w:val="0"/>
          <w:color w:val="424242"/>
          <w:spacing w:val="0"/>
          <w:sz w:val="32"/>
          <w:szCs w:val="32"/>
          <w:shd w:val="clear" w:color="auto" w:fill="FFFFFF"/>
        </w:rPr>
        <w:t>为深入贯彻习近平总书记重要讲话和重要指示批示精神,统筹推进新冠肺炎疫情防控和经济社会发展工作,支持我省中小企业应对疫情影响,保持平稳健康发展,现制定以下政策措施。</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一、大力支持中小企业复工复产</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1.保障复工复产防控物资。各地要加强口罩、防护服、消毒用品、测温仪等防控物资的市场供应,保障中小企业的防控物资需求。鼓励有条件的地市集中采购防控物资向中小企业提供。</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取消超出防疫必要的复工复产条件和要求。各地不得对中小企业复工复产设置歧视性条件,不得擅自下发推迟企业复工时间的文件,要立即对本地出台的不合理限制性措施进行修订和清理,取消超出防疫必要、不切实际的复工条件和要求,尽快推动中小企业复工复产。</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3.拓宽招工渠道。鼓励企业和行业协会、商会“点对点”组织专车、专列等方式帮助异地务工人员返粤返岗,各地可给予一定补助。实施线上“南粤春暖”活动,引导劳动者选择网上服务平台、微信公众号等非接触式途径,确保求职就业不停歇。对生产、配送疫情防控急需物资,在疫情防控期间新招用员工的企业,按每人不超过1000元标准给予一次性吸纳就业补助。人力资源服务机构为重点用工企业、高新技术企业介绍员工,符合条件的可按每人400元标准给予职业介绍补贴。</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二、阶段性降低中小企业运营成本</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4.降低用工成本。对不裁员、少减员的企业返还失业保险费,按企业及其职工上年度实际缴纳失业保险费总额的50%予以返还。对职工因疫情接受治疗或被医学观察隔离期间企业所支付的工资待遇,按照不超过该职工基本养老保险缴费工资基数的50%补贴企业。</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5.降低租金成本。国有资产类经营用房对受疫情影响较大不能正常经营的民营承租企业免收第一个月租金,减半收取第二、三个月租金,确保减免租金落到实际经营承租户。鼓励有条件的国有单位适当延长租金减免时限。对疫情防控期间为承租的中小企业减免租金的创业孵化示范基地、示范园区,各地可给予一定运营补贴。</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6.降低税费成本。疫情防控期间,准许企业延期申报纳税。对符合延期缴纳税款条件的企业,准许延长不超过3个月的税款缴纳期限。对纳税确有困难的企业,依法合理予以减免房产税、城镇土地使用税。落实好自2020年3月1日至5月31日,小规模纳税人增值税征收率由3%降至1%的政策。</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7.降低社保成本。自2020年2月1日至6月30日,阶段性免征中小企业养老、失业、工伤保险单位缴费。2020年2月至6月,职工医保统筹基金累计结余可支付月数大于6个月的统筹地区,职工医保单位缴费部分可减半征收;减半征收政策结束后,符合粤府〔2020〕12号文降费条件的统筹地区,可继续执行阶段性降费政策至2021年4月30日。对受疫情影响不能按时缴纳社保费的企业,允许延期至疫情解除后3个月内缴费,期间不加收滞纳金;受疫情影响生产出现严重困难的企业,可申请缓缴社保费,缓缴执行期为2020年内,缓缴期限原则上不超过6个月,缓缴期间免收滞纳金。</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8.降低水电气成本。自2020年2月1日至6月30日,督促中石油、中海油、中石化等气源供应企业执行国家政策降低气源价格;省内天然气管道运输价格下调10%;城镇燃气企业天然气购销价差下调10%;全省除高耗能行业外的工商业用户的电费统一按照原到户电价水平的95%结算;鼓励各市结合当地情况,适当下调这一期间当地非居民用水价格。</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9.实施住房公积金阶段性支持政策。2020年6月30日前,企业与职工充分协商的前提下,可自愿缴存住房公积金。</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10.加大工会经费返还补助力度。自2020年1月1日至2021年12月31日,对小微企业工会经费实行全额返还。对有困难的中型企业工会,县级以上工会安排专项资金予以回拨补助。</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三、缓解中小企业融资困难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11.纾解现金流压力。对于2020年1月25日以来到期的困难中小企业贷款本金,银行业金融机构应根据企业延期还本申请,通过贷款展期、续贷等方式,给予企业一定期限的临时性延期还本安排,还本日期最长可延至2020年6月30日。对于2020年1月25日至6月30日中小企业需支付的贷款利息,银行业金融机构应根据企业延期付息申请,给予企业一定期限的延期付息安排,贷款付息日期最长可延至2020年6月30日,免收罚息。</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12.加大贷款支持力度。银行业金融机构应积极对接中小企业融资需求,建立绿色通道,简化贷款审批流程,适度下放审批权限,应贷尽贷快贷。要改进绩效考评、尽职免责等内部资源配置和政策安排,努力提高小微企业信用贷款、中长期贷款占比和“首贷率”。鼓励支持国有大型银行2020年上半年普惠型小微企业贷款同比增长30%以上。</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13.用好中国人民银行专项再贷款。对纳入全国性和地方性疫情防控重点保障名单的企业提供利率上限不超过一年期LPR减100个基点的优惠利率信贷支持,并通过配套的财政贴息,确保相关企业的实际融资成本降至1.6%以下。落实下调支农、支小再贷款利率0.25个百分点至2.5%的政策。</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14.利用供应链融资。在全省推广政府采购项下融资业务和应收账款融资业务,鼓励政府采购管理部门、核心企业等与中征应收账款融资服务平台和广东省中小企业融资平台进行系统对接,引导金融机构依托上述平台批量在线开展相关融资业务,金融机构在办理政府采购项下融资业务时原则上不得要求供应商提供担保。省财政对通过中征应收账款融资服务平台和广东省中小企业融资平台在线确认账款、支持我省上游中小企业融资的核心企业,按不超过实际年化融资额的1%给予奖励。</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15.优化小额贷款服务。各项监管指标优良、积极参与疫情防控的小额贷款公司,经省地方金融监管局批准,其融资余额可放宽至不超过净资产的5倍,单户贷款余额上限上调为不超过注册资本的5%且不超过1000万元。鼓励对受疫情影响企业和个人下调贷款利率、延期或展期贷款1-3个月、免除1-3个月罚息和增加信用贷款及中长期贷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16.加大知识产权质押融资力度。用好知识产权质押融资风险补偿基金和专项资金,支持企业通过专利权、商标权质押获得资金支持。鼓励银行提前放款后续完成知识产权质押登记,组织评估机构提供公益性融资评估服务。提速知识产权质押融资登记服务,将办理时间压缩至1个工作日。推广“知识产权快融贷”服务,支持具有知识产权资产的企业获得低至3.15%的纯信用贷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17.支持担保融资和租赁融资。省融资再担保公司对纳入国家融资担保基金支持范围内的融资担保业务免收再担保费,省财政对其业务实际代偿损失给予一定比例的补偿,对江门、惠州、肇庆市和粤东粤西粤北地区政府性融资担保机构开展的单户担保金额1000万元及以下、平均年化担保费率不超过1.5%的小微企业融资担保业务,省财政对有关保费给予不超过0.5%的财政补助。鼓励融资租赁公司对受疫情影响较大的承租企业通过延长租赁期、变更还款方式等调整还款计划,酌情减免不超过6个月的租金利息,免收租金罚息。</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18.充分发挥广东省中小企业融资平台功能。在广东省中小企业融资平台开设疫情防控金融服务专区,归集、整合疫情防控各项金融支持服务政策,为疫情防控相关企业和受疫情影响较大企业智能对接金融机构专项融资产品,量身订做一揽子、一站式专属融资服务。构建企业受疫情影响评估模型,对企业受疫情影响进行正负向评估,引导金融机构对正向企业给予专项贷款支持,对信用良好的负向企业给予利息减免、无还本续贷等支持。</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四、强化中小企业服务保障</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19.加大科技型中小企业支持力度。进一步优化、简化科技创新券管理流程,依托第三方平台“华转网”实现全程线上操作、即兑即付。将疫情防控科技攻关所需的实验动物研究开发、检验检疫、材料测试等纳入创新券支持范围。提高对科技型中小企业和创新者的支持比例,珠三角地区由30%提高到40%,粤东粤西粤北地区由35%提高到45%。对已进入省级科技信贷风险准备金池的科技型企业,支持合作银行根据实际情况予以展期,贷款展期后继续享受省级科技信贷风险补偿政策。</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20.加大生产型外贸中小企业支持力度。完成技术改造的加工贸易制造业企业,除统一享受省财政技术改造事后奖补政策外,各地市政府根据其年度进出口规模和增长情况给予技术改造奖励。省政府设立加工贸易企业融资风险补偿资金池,由金融机构提供无抵押优惠利率贷款。支持港澳台资加工贸易企业扎根广东,推动解决企业的土地历史遗留问题,开辟绿色通道,依法加快办理企业不动产登记,盘活企业资产。</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21.加大文旅体中小企业支持力度。政府采购、购买服务等适当向文旅体企业倾斜。鼓励文旅体企业线上线下融合创新,研发新产品、新技术,增加高端文旅体产品供给,推广线上消费、体验消费、智能消费等消费新模式。</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22.加大清欠工作力度。加快清理政府部门、国有企业拖欠民营企业中小企业账款,做到应清尽清。政府部门、国有企业向民营企业中小企业购买产品服务、发包工程等,须按时足额支付合同款项,严禁新增拖欠民营企业中小企业账款。</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23.降低违约风险。2020年12月31日前,各地贸促会根据实际情况,免费为受疫情直接影响的企业出具与不可抗力相关的事实性证明。各地法院应当依法妥善审理涉企相关合同纠纷,由于疫情影响致使合同不能履行的,依照法律法规有关不可抗力等规定进行审理。</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24.慎用强制措施。坚持谦抑慎刑司法理念,对受疫情影响较大的中小企业涉及司法查封、扣押、冻结等强制措施的,要慎重使用,对企业相关人员慎重采取羁押强制措施,最大限度减少对企业正常生产经营活动的影响。</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25.加大法律服务力度。组织省中小企业律师服务团通过12348热线、“粤省事”法律服务专区及其他方式为企业免费提供法律咨询。挑选一批律师所免费为中小企业提供法治体检、纠纷化解、参与诉讼、出具法律意见等专项服务,由省律师协会在抗疫情专项公益基金中对律师服务费予以补贴。公证、仲裁等服务窗口开通绿色通道,对受疫情影响的企业,实行案件优先受理专人负责办理,部分事项实行减、免、缓收费制度。</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26.加强政务服务保障。利用“粤商通”平台提供一站式涉企政务信息服务,提供企业员工健康申报、国资物业租金减免、法律咨询、融资对接、网上招聘等服务。发挥中小企业诉求响应平台作用,推动各地各部门建立快速响应机制,及时解决中小企业疫情期间的突出问题。发布工业互联网、大数据、人工智能等软件产品和服务目录清单,通过减免费用等措施鼓励中小企业提升数字化能力。充分发挥“网上中博会”作用,为中小企业免费发布企业、产品信息,设立“抗击疫情”专栏,发布扶持政策,展示相关产品、智能技术及服务,线上线下相结合为中小企业拓展市场。</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本文件适用于工业和信息化部等四部门印发《中小企业划型标准规定》(工信部联企业〔2011〕300号)确定的中小企业,包括中型、小型和微型企业。各项政策措施除有明确规定的时限以外,执行至2020年12月31日。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附件:政策措施分工表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附件</w:t>
      </w:r>
    </w:p>
    <w:p>
      <w:pPr>
        <w:pStyle w:val="18"/>
        <w:widowControl/>
        <w:pBdr>
          <w:top w:val="none" w:color="auto" w:sz="0" w:space="0"/>
          <w:left w:val="none" w:color="auto" w:sz="0" w:space="0"/>
          <w:bottom w:val="none" w:color="auto" w:sz="0" w:space="0"/>
          <w:right w:val="none" w:color="auto" w:sz="0" w:space="0"/>
        </w:pBdr>
        <w:wordWrap w:val="0"/>
        <w:adjustRightInd/>
        <w:snapToGrid/>
        <w:spacing w:before="150" w:beforeAutospacing="0" w:after="15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i w:val="0"/>
          <w:caps w:val="0"/>
          <w:color w:val="424242"/>
          <w:spacing w:val="0"/>
          <w:sz w:val="32"/>
          <w:szCs w:val="32"/>
          <w:shd w:val="clear" w:color="auto" w:fill="FFFFFF"/>
        </w:rPr>
        <w:t>政策措施分工表</w:t>
      </w:r>
    </w:p>
    <w:tbl>
      <w:tblPr>
        <w:tblStyle w:val="20"/>
        <w:tblW w:w="9059"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
      <w:tblGrid>
        <w:gridCol w:w="886"/>
        <w:gridCol w:w="3876"/>
        <w:gridCol w:w="429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single" w:color="000000" w:sz="8" w:space="0"/>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color w:val="424242"/>
                <w:sz w:val="32"/>
                <w:szCs w:val="32"/>
              </w:rPr>
              <w:t>序号</w:t>
            </w:r>
          </w:p>
        </w:tc>
        <w:tc>
          <w:tcPr>
            <w:tcW w:w="3876" w:type="dxa"/>
            <w:tcBorders>
              <w:top w:val="single" w:color="000000" w:sz="8" w:space="0"/>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color w:val="424242"/>
                <w:sz w:val="32"/>
                <w:szCs w:val="32"/>
              </w:rPr>
              <w:t>政策措施</w:t>
            </w:r>
          </w:p>
        </w:tc>
        <w:tc>
          <w:tcPr>
            <w:tcW w:w="4297" w:type="dxa"/>
            <w:tcBorders>
              <w:top w:val="single" w:color="000000" w:sz="8" w:space="0"/>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Style w:val="23"/>
                <w:rFonts w:hint="eastAsia" w:ascii="仿宋_GB2312" w:hAnsi="仿宋_GB2312" w:eastAsia="仿宋_GB2312" w:cs="仿宋_GB2312"/>
                <w:color w:val="424242"/>
                <w:sz w:val="32"/>
                <w:szCs w:val="32"/>
              </w:rPr>
              <w:t>责任单位</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保障复工复产防控物资</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取消超出防疫必要的复工复产条件和要求</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3</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拓宽招工渠道</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省人力资源社会保障厅、省教育厅、省工商联,各地级以上市人民政府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4</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降低用工成本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省人力资源社会保障厅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5</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降低租金成本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省国资委、省财政厅、省人力资源社会保障厅,各地级以上市人民政府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6</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降低税费成本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省财政厅、省税务局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7</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降低社保成本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省人力资源社会保障厅、省医保局、省税务局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8</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降低水电气成本</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省发展改革委,各地级以上市人民政府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9</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实施住房公积金阶段性支持政策</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省住房城乡建设厅,各地级以上市人民政府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10</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加大工会经费返还补助力度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省总工会</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11</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纾解现金流压力</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广东银保监局、人民银行广州分行</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12</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加大贷款支持力度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广东银保监局、人民银行广州分行</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13</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用好中国人民银行专项再贷款</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人民银行广州分行、省地方金融监管局、省工业和信息化厅、省财政厅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14</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利用供应链融资</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人民银行广州分行、省地方金融监管局、省工业和信息化厅、省财政厅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15</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优化小额贷款服务</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省地方金融监管局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16</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加大知识产权质押融资力度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省市场监管局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17</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支持担保融资和租赁融资</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省工业和信息化厅、省财政厅、省地方金融监管局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18</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充分发挥广东省中小企业融资平台功能</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省地方金融监管局</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19</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加大科技型中小企业支持力度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省科技厅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20</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加大生产型外贸中小企业支持力度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省商务厅、省工业和信息化厅、省财政厅、省自然资源厅,各地级以上市人民政府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21</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加大文旅体中小企业支持力度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省文化和旅游厅、省体育局、省财政厅</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22</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加大清欠工作力度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省工业和信息化厅、省财政厅、省国资委,各地级以上市人民政府</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23</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降低违约风险</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省贸促会、省法院</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24</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慎用强制措施</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省委政法委</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25</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加大法律服务力度</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省司法厅、省工商联</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886" w:type="dxa"/>
            <w:tcBorders>
              <w:top w:val="nil"/>
              <w:left w:val="single" w:color="000000" w:sz="8" w:space="0"/>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center"/>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26</w:t>
            </w:r>
          </w:p>
        </w:tc>
        <w:tc>
          <w:tcPr>
            <w:tcW w:w="3876"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加强政务服务保障</w:t>
            </w:r>
          </w:p>
        </w:tc>
        <w:tc>
          <w:tcPr>
            <w:tcW w:w="4297" w:type="dxa"/>
            <w:tcBorders>
              <w:top w:val="nil"/>
              <w:left w:val="nil"/>
              <w:bottom w:val="single" w:color="000000" w:sz="8" w:space="0"/>
              <w:right w:val="single" w:color="000000" w:sz="8" w:space="0"/>
            </w:tcBorders>
            <w:tcMar>
              <w:top w:w="75" w:type="dxa"/>
              <w:left w:w="150" w:type="dxa"/>
              <w:bottom w:w="75" w:type="dxa"/>
              <w:right w:w="150" w:type="dxa"/>
            </w:tcMar>
            <w:vAlign w:val="center"/>
          </w:tcPr>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0" w:afterAutospacing="0" w:line="560" w:lineRule="exact"/>
              <w:ind w:left="0" w:right="0"/>
              <w:jc w:val="left"/>
              <w:textAlignment w:val="auto"/>
              <w:rPr>
                <w:rFonts w:hint="eastAsia" w:ascii="仿宋_GB2312" w:hAnsi="仿宋_GB2312" w:eastAsia="仿宋_GB2312" w:cs="仿宋_GB2312"/>
                <w:color w:val="424242"/>
                <w:sz w:val="32"/>
                <w:szCs w:val="32"/>
              </w:rPr>
            </w:pPr>
            <w:r>
              <w:rPr>
                <w:rFonts w:hint="eastAsia" w:ascii="仿宋_GB2312" w:hAnsi="仿宋_GB2312" w:eastAsia="仿宋_GB2312" w:cs="仿宋_GB2312"/>
                <w:color w:val="424242"/>
                <w:sz w:val="32"/>
                <w:szCs w:val="32"/>
              </w:rPr>
              <w:t>省政务服务数据管理局、省工业和信息化厅,各地级以上市人民政府</w:t>
            </w:r>
          </w:p>
        </w:tc>
      </w:tr>
    </w:tbl>
    <w:p>
      <w:pPr>
        <w:widowControl w:val="0"/>
        <w:wordWrap/>
        <w:adjustRightInd/>
        <w:snapToGrid/>
        <w:spacing w:line="0" w:lineRule="atLeast"/>
        <w:jc w:val="both"/>
        <w:textAlignment w:val="auto"/>
        <w:outlineLvl w:val="9"/>
        <w:rPr>
          <w:rFonts w:hint="eastAsia" w:ascii="Times New Roman" w:hAnsi="Times New Roman" w:eastAsia="宋体" w:cs="Times New Roman"/>
          <w:bCs/>
          <w:kern w:val="44"/>
          <w:sz w:val="44"/>
          <w:szCs w:val="44"/>
          <w:lang w:val="en-US" w:eastAsia="zh-CN" w:bidi="ar-SA"/>
        </w:rPr>
      </w:pPr>
      <w:bookmarkStart w:id="534" w:name="_Toc19746"/>
      <w:r>
        <w:rPr>
          <w:rFonts w:hint="eastAsia" w:ascii="Times New Roman" w:hAnsi="Times New Roman" w:eastAsia="宋体" w:cs="Times New Roman"/>
          <w:bCs/>
          <w:kern w:val="44"/>
          <w:sz w:val="44"/>
          <w:szCs w:val="44"/>
          <w:lang w:val="en-US" w:eastAsia="zh-CN" w:bidi="ar-SA"/>
        </w:rPr>
        <w:t>广东省住房和城乡建设厅关于进一步加强城市生活垃圾、污水及市容环境卫生管理工作的</w:t>
      </w:r>
      <w:bookmarkEnd w:id="534"/>
    </w:p>
    <w:p>
      <w:pPr>
        <w:widowControl w:val="0"/>
        <w:wordWrap/>
        <w:adjustRightInd/>
        <w:snapToGrid/>
        <w:spacing w:line="0" w:lineRule="atLeast"/>
        <w:jc w:val="center"/>
        <w:textAlignment w:val="auto"/>
        <w:outlineLvl w:val="0"/>
        <w:rPr>
          <w:rFonts w:hint="eastAsia" w:ascii="Times New Roman" w:hAnsi="Times New Roman" w:eastAsia="宋体" w:cs="Times New Roman"/>
          <w:b w:val="0"/>
          <w:lang w:val="en-US" w:eastAsia="zh-CN"/>
        </w:rPr>
      </w:pPr>
      <w:bookmarkStart w:id="535" w:name="_Toc16667"/>
      <w:r>
        <w:rPr>
          <w:rFonts w:hint="eastAsia" w:ascii="Times New Roman" w:hAnsi="Times New Roman" w:eastAsia="宋体" w:cs="Times New Roman"/>
          <w:bCs/>
          <w:kern w:val="44"/>
          <w:sz w:val="44"/>
          <w:szCs w:val="44"/>
          <w:lang w:val="en-US" w:eastAsia="zh-CN" w:bidi="ar-SA"/>
        </w:rPr>
        <w:t>紧急通知</w:t>
      </w:r>
      <w:bookmarkEnd w:id="523"/>
      <w:bookmarkEnd w:id="524"/>
      <w:bookmarkEnd w:id="525"/>
      <w:bookmarkEnd w:id="526"/>
      <w:bookmarkEnd w:id="527"/>
      <w:bookmarkEnd w:id="528"/>
      <w:bookmarkEnd w:id="529"/>
      <w:bookmarkEnd w:id="530"/>
      <w:bookmarkEnd w:id="531"/>
      <w:bookmarkEnd w:id="535"/>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jc w:val="center"/>
        <w:rPr>
          <w:rFonts w:hint="eastAsia" w:ascii="楷体" w:hAnsi="楷体" w:eastAsia="楷体" w:cs="楷体"/>
        </w:rPr>
      </w:pPr>
      <w:r>
        <w:rPr>
          <w:rFonts w:hint="eastAsia" w:ascii="楷体" w:hAnsi="楷体" w:eastAsia="楷体" w:cs="楷体"/>
        </w:rPr>
        <w:t>粤建城〔2020〕18号</w:t>
      </w:r>
    </w:p>
    <w:p>
      <w:pPr>
        <w:widowControl w:val="0"/>
        <w:wordWrap/>
        <w:adjustRightInd/>
        <w:snapToGrid/>
        <w:spacing w:line="58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各地级以上市生活垃圾、污水、环卫主管部门：</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为坚决贯彻落实习近平总书记关于新型冠状病毒感染的肺炎疫情的重要指示精神，迅速落实省委、省政府有关全国、全省“一盘棋”应急响应机制，进一步加强对城市生活垃圾、污水及市容环境卫生的管理，维护好城市环境卫生，全力做好新型冠状病毒感染的肺炎疫情的防控工作，现就有关要求紧急通知如下：</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一、加强生活垃圾收运处理管理</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加强对生活垃圾的清扫、收集、运输、处理全过程的监督检查，及时对生活垃圾进行无害化处理，严格禁止医疗废弃物混入生活垃圾处理系统。要确保生活垃圾及时清运，并合理安排生活垃圾收运路线，尽量避开人流密集区域，缩短交接时间，防止跑冒滴漏，做到定时、定点和密闭化收运。加强对生活垃圾收集转运设施、运输工具、处置场所等的消杀处理。生活垃圾填埋场要及时覆盖，严防生活垃圾散落、飞扬、露天堆放。严格做好生活垃圾处理设施场所封闭，禁止一切无关人员进入。</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二、加强生活污水管理</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加强排污口及排水单元管控，做好水厂运行监测。会同其他相关部门，加强联合执法监督。严禁污水直排，对企事业单位等产生的非生活污水进入市政污水收集设施情况进行排查评估，经评估认定不能被城镇污水处理厂有效处理或可能影响城镇污水处理厂出水稳定达标的，要限期退出。严禁在市政排水管网上私搭乱接，杜绝通过雨水口、雨水管网违法排污。</w:t>
      </w:r>
    </w:p>
    <w:p>
      <w:pPr>
        <w:widowControl w:val="0"/>
        <w:wordWrap/>
        <w:adjustRightInd/>
        <w:snapToGrid/>
        <w:spacing w:line="560" w:lineRule="exact"/>
        <w:ind w:right="0"/>
        <w:textAlignment w:val="auto"/>
        <w:outlineLvl w:val="9"/>
        <w:rPr>
          <w:rFonts w:hint="eastAsia" w:ascii="黑体" w:hAnsi="黑体" w:eastAsia="黑体" w:cs="黑体"/>
          <w:sz w:val="32"/>
          <w:szCs w:val="32"/>
        </w:rPr>
      </w:pPr>
      <w:r>
        <w:rPr>
          <w:rFonts w:hint="eastAsia" w:ascii="黑体" w:hAnsi="黑体" w:eastAsia="黑体" w:cs="黑体"/>
          <w:sz w:val="32"/>
          <w:szCs w:val="32"/>
        </w:rPr>
        <w:t>　　三、加大清扫保洁力度</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提升环卫清扫清运作业水平，加强城市清洁，改善城市环境。提升道路清扫率，特别是要做好重点部位、卫生死角的环境卫生工作，最大程度上抑制病毒的生存，减少病毒的滋生、传播。通过提高机械化清扫率，提高保洁效率和质量。采取机械化清扫联合作业模式，实施道路冲刷、清洗、吸扫联合作业。市区主次干道和具备机扫条件的支路以机械化清扫为主，人工拾扫为辅。</w:t>
      </w:r>
    </w:p>
    <w:p>
      <w:pPr>
        <w:widowControl w:val="0"/>
        <w:wordWrap/>
        <w:adjustRightInd/>
        <w:snapToGrid/>
        <w:spacing w:line="560" w:lineRule="exact"/>
        <w:ind w:right="0"/>
        <w:textAlignment w:val="auto"/>
        <w:outlineLvl w:val="9"/>
        <w:rPr>
          <w:rFonts w:hint="eastAsia" w:ascii="黑体" w:hAnsi="黑体" w:eastAsia="黑体" w:cs="黑体"/>
          <w:sz w:val="32"/>
          <w:szCs w:val="32"/>
        </w:rPr>
      </w:pPr>
      <w:r>
        <w:rPr>
          <w:rFonts w:hint="eastAsia" w:ascii="黑体" w:hAnsi="黑体" w:eastAsia="黑体" w:cs="黑体"/>
          <w:sz w:val="32"/>
          <w:szCs w:val="32"/>
        </w:rPr>
        <w:t>　　四、加强重点部位环境卫生管理</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改善集贸市场环境卫生状况，做到摊位布局合理，防止病毒传播和交叉感染。集贸市场内应配备清洁工具、消毒器具、药品和垃圾箱等，并请专业消杀公司或设专人负责清洁和消毒，确保每天至少一次消杀、作业无死角。及时清理集贸市场产生的垃圾，清洗市场摊位及地面油污尘垢。集贸市场应采取有效措施加强自然通风，减少病毒感染。</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五、加强环卫人员作业防护</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要采取积极有效措施，做好环卫人员的安全防护工作。为作业人员配备必备的劳动安全防护用品，对其工作、休息环境及劳动工具设备及时消毒。尤其接触生活垃圾、污水的操作人员应按规定做好自身防护，工作时要戴好手套、口罩，必要时穿好防护服。</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各地要加强对城市生活垃圾、污水及市容环境卫生的管理，加强检查、监控、督导，积极配合生态环境、卫生健康等部门做好相关工作，确保市容环境整洁卫生，并做好舆情监控和信息报送相关工作。</w:t>
      </w:r>
    </w:p>
    <w:p>
      <w:pPr>
        <w:widowControl w:val="0"/>
        <w:wordWrap/>
        <w:adjustRightInd/>
        <w:snapToGrid/>
        <w:spacing w:line="560" w:lineRule="exact"/>
        <w:ind w:right="0"/>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right"/>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rPr>
        <w:t>广东省住房和城乡建设厅</w:t>
      </w:r>
    </w:p>
    <w:p>
      <w:pPr>
        <w:widowControl w:val="0"/>
        <w:wordWrap/>
        <w:adjustRightInd/>
        <w:snapToGrid/>
        <w:spacing w:line="560" w:lineRule="exact"/>
        <w:ind w:right="0" w:firstLine="4480" w:firstLineChars="1400"/>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2020年1月23日</w:t>
      </w:r>
    </w:p>
    <w:p>
      <w:pPr>
        <w:widowControl w:val="0"/>
        <w:wordWrap/>
        <w:adjustRightInd/>
        <w:snapToGrid/>
        <w:spacing w:line="560" w:lineRule="exact"/>
        <w:ind w:right="0" w:firstLine="6240" w:firstLineChars="260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firstLine="6240" w:firstLineChars="260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36" w:name="_Toc2311"/>
      <w:bookmarkStart w:id="537" w:name="_Toc25675"/>
      <w:bookmarkStart w:id="538" w:name="_Toc15923"/>
      <w:bookmarkStart w:id="539" w:name="_Toc1425"/>
      <w:bookmarkStart w:id="540" w:name="_Toc28592"/>
      <w:bookmarkStart w:id="541" w:name="_Toc923"/>
      <w:bookmarkStart w:id="542" w:name="_Toc32589"/>
      <w:bookmarkStart w:id="543" w:name="_Toc27673"/>
      <w:bookmarkStart w:id="544" w:name="_Toc26137"/>
      <w:bookmarkStart w:id="545" w:name="_Toc9371"/>
      <w:bookmarkStart w:id="546" w:name="_Toc6298"/>
      <w:r>
        <w:rPr>
          <w:rFonts w:hint="eastAsia" w:ascii="Times New Roman" w:hAnsi="Times New Roman" w:eastAsia="宋体" w:cs="Times New Roman"/>
          <w:bCs/>
          <w:kern w:val="44"/>
          <w:sz w:val="44"/>
          <w:szCs w:val="44"/>
          <w:lang w:val="en-US" w:eastAsia="zh-CN" w:bidi="ar-SA"/>
        </w:rPr>
        <w:t>广东省住房和城乡建设厅关于加强废弃口罩</w:t>
      </w:r>
      <w:bookmarkEnd w:id="536"/>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47" w:name="_Toc21676"/>
      <w:r>
        <w:rPr>
          <w:rFonts w:hint="eastAsia" w:ascii="Times New Roman" w:hAnsi="Times New Roman" w:eastAsia="宋体" w:cs="Times New Roman"/>
          <w:bCs/>
          <w:kern w:val="44"/>
          <w:sz w:val="44"/>
          <w:szCs w:val="44"/>
          <w:lang w:val="en-US" w:eastAsia="zh-CN" w:bidi="ar-SA"/>
        </w:rPr>
        <w:t>管理做好新型冠状病毒感染的肺炎防范</w:t>
      </w:r>
      <w:bookmarkEnd w:id="547"/>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48" w:name="_Toc6830"/>
      <w:r>
        <w:rPr>
          <w:rFonts w:hint="eastAsia" w:ascii="Times New Roman" w:hAnsi="Times New Roman" w:eastAsia="宋体" w:cs="Times New Roman"/>
          <w:bCs/>
          <w:kern w:val="44"/>
          <w:sz w:val="44"/>
          <w:szCs w:val="44"/>
          <w:lang w:val="en-US" w:eastAsia="zh-CN" w:bidi="ar-SA"/>
        </w:rPr>
        <w:t>有关工作的紧急通知</w:t>
      </w:r>
      <w:bookmarkEnd w:id="537"/>
      <w:bookmarkEnd w:id="538"/>
      <w:bookmarkEnd w:id="539"/>
      <w:bookmarkEnd w:id="540"/>
      <w:bookmarkEnd w:id="541"/>
      <w:bookmarkEnd w:id="542"/>
      <w:bookmarkEnd w:id="543"/>
      <w:bookmarkEnd w:id="544"/>
      <w:bookmarkEnd w:id="545"/>
      <w:bookmarkEnd w:id="546"/>
      <w:bookmarkEnd w:id="548"/>
    </w:p>
    <w:p>
      <w:pPr>
        <w:jc w:val="center"/>
        <w:rPr>
          <w:rFonts w:hint="eastAsia" w:ascii="楷体" w:hAnsi="楷体" w:eastAsia="楷体" w:cs="楷体"/>
        </w:rPr>
      </w:pPr>
    </w:p>
    <w:p>
      <w:pPr>
        <w:jc w:val="center"/>
        <w:rPr>
          <w:rFonts w:hint="eastAsia" w:ascii="楷体" w:hAnsi="楷体" w:eastAsia="楷体" w:cs="楷体"/>
        </w:rPr>
      </w:pPr>
      <w:r>
        <w:rPr>
          <w:rFonts w:hint="eastAsia" w:ascii="楷体" w:hAnsi="楷体" w:eastAsia="楷体" w:cs="楷体"/>
        </w:rPr>
        <w:t>粤建城函〔2020〕14号</w:t>
      </w:r>
    </w:p>
    <w:p>
      <w:pPr>
        <w:jc w:val="center"/>
        <w:rPr>
          <w:rFonts w:hint="eastAsia" w:ascii="楷体" w:hAnsi="楷体" w:eastAsia="楷体" w:cs="楷体"/>
        </w:rPr>
      </w:pPr>
    </w:p>
    <w:p>
      <w:pPr>
        <w:widowControl w:val="0"/>
        <w:wordWrap/>
        <w:adjustRightInd/>
        <w:snapToGrid/>
        <w:spacing w:line="560" w:lineRule="exact"/>
        <w:ind w:right="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各地级以上市环卫主管部门：</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坚决贯彻落实习近平总书记关于新型冠状病毒感染的肺炎疫情重要指示精神，切实落实省委、省政府有关工作部署，积极做好应对新型冠状病毒感染的肺炎疫情，确保废弃口罩得到安全有效处理，有效切断病毒传播途径，坚决遏制疫情蔓延，现就应急防控期间规范废弃口罩处置工作有关要求通知如下：</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一、规范废弃口罩投放</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当前全省各地口罩用量增加，为防止废弃口罩随意丢弃产生二次污染，分区域分类规范废 弃口罩投放。</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（一）在医疗机构时，应将废弃口罩直接投入医疗废物垃圾袋中，作为医疗废物收集处置。</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（二）对于普通人日常使用口罩，按照生活垃圾分类的要求，可以直接丢入“其他垃圾”桶，严禁回收及分拣。</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对于存在发热、咳嗽、咳痰、打喷嚏症状的人，或接触过此类人群的人，可将废弃口罩丢入垃圾袋，再使用5%的84消毒液按照1:99配比后，撒至口罩上进行处理。如无消毒液可使用密封袋或保鲜袋，将废弃口罩密封后丢入“其他垃圾”桶。</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（四）对于疑似新型冠状病毒感染的肺炎患者及其护理人员，应在就诊或接受调查处置时，将使用过的口罩作为感染性医疗废物进行收集处置。</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二、规范废弃口罩收运处置</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加强收集管理。加强对生活垃圾投放点管理，及时对垃圾投放点和收集站进行消杀。各地根据自身实际情况或疫情防控需要，可在居民小区、机关企事业单位、公共场所和商圈等人员密集场所的原有垃圾分类投放点增设专门垃圾收集容器，用于收集废弃口罩。收集容器应内设塑料袋，避免废弃口罩投放时与容器直接接触。废弃口罩经过消杀后，按“其他垃圾”处理。</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及时清运消杀。各地要严格按照清洁运输的要求，对生活垃圾及时清运、日产日清。加强垃圾中转（压缩）站等管理，严格作业流程，强化标准化管理，定期开展清洗、消杀、除臭工作。加强垃圾运输车消杀，垃圾运输车必须密闭，在垃圾中转处理后要对垃圾运输车进行消杀。</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（三）规范分类处置。医疗机构收集的废弃口罩按照医疗废物管理，由专业处理机构进行集中处置，严禁医疗废物混入生活垃圾收运系统。其他区域收集的废弃口罩按照其他垃圾进行无害化处理。</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三、暂停实施特定区域生活垃圾分类</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对各地指定的新型冠状病毒感染的肺炎定点收治机构或病区、集中隔离观察点、居家隔离观察点（户）产生的其它生活垃圾（除应纳入医疗废物管理范畴的垃圾外），暂停实施生活垃圾分类，由各地安排专车收运，直送生活垃圾处理厂（场）处置。</w:t>
      </w:r>
    </w:p>
    <w:p>
      <w:pPr>
        <w:widowControl w:val="0"/>
        <w:wordWrap/>
        <w:adjustRightInd/>
        <w:snapToGrid/>
        <w:spacing w:line="560" w:lineRule="exact"/>
        <w:ind w:right="0" w:firstLine="640" w:firstLineChars="200"/>
        <w:textAlignment w:val="auto"/>
        <w:outlineLvl w:val="9"/>
        <w:rPr>
          <w:rFonts w:hint="eastAsia" w:ascii="黑体" w:hAnsi="黑体" w:eastAsia="黑体" w:cs="黑体"/>
          <w:kern w:val="0"/>
          <w:sz w:val="32"/>
          <w:szCs w:val="32"/>
        </w:rPr>
      </w:pPr>
      <w:r>
        <w:rPr>
          <w:rFonts w:hint="eastAsia" w:ascii="黑体" w:hAnsi="黑体" w:eastAsia="黑体" w:cs="黑体"/>
          <w:kern w:val="0"/>
          <w:sz w:val="32"/>
          <w:szCs w:val="32"/>
        </w:rPr>
        <w:t>四、加强环卫作业人员的健康防护</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地要做好收集、转运、处理的环卫作业人员及生活垃圾焚烧厂现场工作人员自身防护措施，相关人员在作业时要佩戴口罩和手套等防护用具。要积极开展从业人员安全意识、防护用具和作业程序的专业培训，增强环卫工人自我保护意识，做好作业工具和场所的消毒灭菌工作，确保日常环卫作业健康安全。</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文件适用时间为新型冠状病毒感染肺炎疫情应急防控期间。</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kern w:val="0"/>
          <w:sz w:val="32"/>
          <w:szCs w:val="32"/>
        </w:rPr>
      </w:pPr>
    </w:p>
    <w:p>
      <w:pPr>
        <w:widowControl w:val="0"/>
        <w:wordWrap/>
        <w:adjustRightInd/>
        <w:snapToGrid/>
        <w:spacing w:line="560" w:lineRule="exact"/>
        <w:ind w:right="0" w:firstLine="4160" w:firstLineChars="1300"/>
        <w:jc w:val="right"/>
        <w:textAlignment w:val="auto"/>
        <w:outlineLvl w:val="9"/>
        <w:rPr>
          <w:rFonts w:hint="eastAsia" w:ascii="仿宋" w:hAnsi="仿宋" w:eastAsia="仿宋" w:cs="仿宋"/>
          <w:kern w:val="0"/>
          <w:sz w:val="32"/>
          <w:szCs w:val="32"/>
        </w:rPr>
      </w:pPr>
      <w:r>
        <w:rPr>
          <w:rFonts w:hint="eastAsia" w:ascii="仿宋" w:hAnsi="仿宋" w:eastAsia="仿宋" w:cs="仿宋"/>
          <w:kern w:val="0"/>
          <w:sz w:val="32"/>
          <w:szCs w:val="32"/>
        </w:rPr>
        <w:t>广东省住房和城乡建设厅</w:t>
      </w:r>
    </w:p>
    <w:p>
      <w:pPr>
        <w:widowControl w:val="0"/>
        <w:wordWrap/>
        <w:adjustRightInd/>
        <w:snapToGrid/>
        <w:spacing w:line="560" w:lineRule="exact"/>
        <w:ind w:right="0" w:firstLine="5760" w:firstLineChars="1800"/>
        <w:jc w:val="right"/>
        <w:textAlignment w:val="auto"/>
        <w:outlineLvl w:val="9"/>
        <w:rPr>
          <w:rFonts w:hint="eastAsia" w:ascii="仿宋" w:hAnsi="仿宋" w:eastAsia="仿宋" w:cs="仿宋"/>
          <w:kern w:val="0"/>
          <w:sz w:val="24"/>
          <w:szCs w:val="24"/>
        </w:rPr>
      </w:pPr>
      <w:r>
        <w:rPr>
          <w:rFonts w:hint="eastAsia" w:ascii="仿宋" w:hAnsi="仿宋" w:eastAsia="仿宋" w:cs="仿宋"/>
          <w:kern w:val="0"/>
          <w:sz w:val="32"/>
          <w:szCs w:val="32"/>
        </w:rPr>
        <w:t>2020年1月29日　</w:t>
      </w:r>
      <w:r>
        <w:rPr>
          <w:rFonts w:hint="eastAsia" w:ascii="仿宋" w:hAnsi="仿宋" w:eastAsia="仿宋" w:cs="仿宋"/>
          <w:kern w:val="0"/>
          <w:sz w:val="28"/>
          <w:szCs w:val="28"/>
        </w:rPr>
        <w:t>　</w:t>
      </w:r>
      <w:r>
        <w:rPr>
          <w:rFonts w:hint="eastAsia" w:ascii="仿宋" w:hAnsi="仿宋" w:eastAsia="仿宋" w:cs="仿宋"/>
          <w:kern w:val="0"/>
          <w:sz w:val="24"/>
          <w:szCs w:val="24"/>
        </w:rPr>
        <w:t>　</w:t>
      </w:r>
    </w:p>
    <w:p>
      <w:pPr>
        <w:widowControl w:val="0"/>
        <w:wordWrap/>
        <w:adjustRightInd/>
        <w:snapToGrid/>
        <w:spacing w:line="560" w:lineRule="exact"/>
        <w:ind w:right="0" w:firstLine="480" w:firstLineChars="200"/>
        <w:textAlignment w:val="auto"/>
        <w:outlineLvl w:val="9"/>
        <w:rPr>
          <w:rFonts w:hint="eastAsia" w:ascii="Times New Roman" w:hAnsi="宋体" w:cs="Times New Roman"/>
          <w:kern w:val="0"/>
          <w:sz w:val="24"/>
          <w:szCs w:val="24"/>
        </w:rPr>
      </w:pPr>
    </w:p>
    <w:p>
      <w:pPr>
        <w:widowControl w:val="0"/>
        <w:wordWrap/>
        <w:adjustRightInd/>
        <w:snapToGrid/>
        <w:spacing w:line="560" w:lineRule="exact"/>
        <w:ind w:right="0"/>
        <w:jc w:val="center"/>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center"/>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center"/>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textAlignment w:val="auto"/>
        <w:outlineLvl w:val="9"/>
        <w:rPr>
          <w:rFonts w:hint="eastAsia" w:ascii="Times New Roman" w:hAnsi="Times New Roman" w:cs="Times New Roman"/>
          <w:sz w:val="24"/>
          <w:szCs w:val="24"/>
        </w:rPr>
      </w:pPr>
    </w:p>
    <w:p>
      <w:pPr>
        <w:rPr>
          <w:rFonts w:hint="eastAsia" w:ascii="Times New Roman" w:hAnsi="Times New Roman" w:eastAsia="宋体" w:cs="Times New Roman"/>
          <w:bCs/>
          <w:kern w:val="44"/>
          <w:sz w:val="44"/>
          <w:szCs w:val="44"/>
          <w:lang w:val="en-US" w:eastAsia="zh-CN" w:bidi="ar-SA"/>
        </w:rPr>
      </w:pPr>
      <w:bookmarkStart w:id="549" w:name="_Toc32458"/>
      <w:bookmarkStart w:id="550" w:name="_Toc16858"/>
      <w:bookmarkStart w:id="551" w:name="_Toc31003"/>
      <w:bookmarkStart w:id="552" w:name="_Toc24192"/>
      <w:bookmarkStart w:id="553" w:name="_Toc23075"/>
      <w:bookmarkStart w:id="554" w:name="_Toc20036"/>
      <w:bookmarkStart w:id="555" w:name="_Toc24351"/>
      <w:bookmarkStart w:id="556" w:name="_Toc22894"/>
      <w:bookmarkStart w:id="557" w:name="_Toc4915"/>
      <w:bookmarkStart w:id="558" w:name="_Toc11913"/>
      <w:r>
        <w:rPr>
          <w:rFonts w:hint="eastAsia" w:ascii="Times New Roman" w:hAnsi="Times New Roman" w:eastAsia="宋体" w:cs="Times New Roman"/>
          <w:bCs/>
          <w:kern w:val="44"/>
          <w:sz w:val="44"/>
          <w:szCs w:val="44"/>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59" w:name="_Toc21579"/>
      <w:r>
        <w:rPr>
          <w:rFonts w:hint="eastAsia" w:ascii="Times New Roman" w:hAnsi="Times New Roman" w:eastAsia="宋体" w:cs="Times New Roman"/>
          <w:bCs/>
          <w:kern w:val="44"/>
          <w:sz w:val="44"/>
          <w:szCs w:val="44"/>
          <w:lang w:val="en-US" w:eastAsia="zh-CN" w:bidi="ar-SA"/>
        </w:rPr>
        <w:t>广东省住房和城乡建设厅关于印发新型冠状</w:t>
      </w:r>
      <w:bookmarkEnd w:id="559"/>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60" w:name="_Toc12600"/>
      <w:r>
        <w:rPr>
          <w:rFonts w:hint="eastAsia" w:ascii="Times New Roman" w:hAnsi="Times New Roman" w:eastAsia="宋体" w:cs="Times New Roman"/>
          <w:bCs/>
          <w:kern w:val="44"/>
          <w:sz w:val="44"/>
          <w:szCs w:val="44"/>
          <w:lang w:val="en-US" w:eastAsia="zh-CN" w:bidi="ar-SA"/>
        </w:rPr>
        <w:t>病毒感染肺炎疫情防控工作指引的通知</w:t>
      </w:r>
      <w:bookmarkEnd w:id="549"/>
      <w:bookmarkEnd w:id="550"/>
      <w:bookmarkEnd w:id="551"/>
      <w:bookmarkEnd w:id="552"/>
      <w:bookmarkEnd w:id="553"/>
      <w:bookmarkEnd w:id="554"/>
      <w:bookmarkEnd w:id="555"/>
      <w:bookmarkEnd w:id="556"/>
      <w:bookmarkEnd w:id="557"/>
      <w:bookmarkEnd w:id="558"/>
      <w:bookmarkEnd w:id="560"/>
    </w:p>
    <w:p>
      <w:pPr>
        <w:widowControl w:val="0"/>
        <w:wordWrap/>
        <w:adjustRightInd/>
        <w:snapToGrid/>
        <w:spacing w:line="560" w:lineRule="exact"/>
        <w:ind w:right="0" w:firstLine="3920" w:firstLineChars="1400"/>
        <w:jc w:val="both"/>
        <w:textAlignment w:val="auto"/>
        <w:outlineLvl w:val="9"/>
        <w:rPr>
          <w:rFonts w:hint="eastAsia" w:ascii="仿宋_GB2312" w:hAnsi="仿宋_GB2312" w:eastAsia="仿宋_GB2312" w:cs="仿宋_GB2312"/>
          <w:color w:val="000000"/>
          <w:kern w:val="0"/>
          <w:sz w:val="28"/>
          <w:szCs w:val="28"/>
          <w:lang w:val="en-US" w:eastAsia="zh-CN"/>
        </w:rPr>
      </w:pPr>
    </w:p>
    <w:p>
      <w:pPr>
        <w:widowControl w:val="0"/>
        <w:wordWrap/>
        <w:adjustRightInd/>
        <w:snapToGrid/>
        <w:spacing w:line="560" w:lineRule="exact"/>
        <w:ind w:right="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各地级以上市住房和城乡建设、城市管理和综合执法主管部门，广州、深圳、佛山、惠州、东莞、中山市交通运输局，佛山、东莞市轨道交通局，广州、深圳、珠海、河源、东莞、中山、阳江、湛江、茂名市水务局，清远市水利局，广州市林业和园林局，佛山、河源、东莞市环保局：</w:t>
      </w:r>
    </w:p>
    <w:p>
      <w:pPr>
        <w:widowControl w:val="0"/>
        <w:wordWrap/>
        <w:adjustRightInd/>
        <w:snapToGrid/>
        <w:spacing w:line="560" w:lineRule="exact"/>
        <w:ind w:right="0" w:firstLine="640" w:firstLineChars="20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为坚决贯彻落实习近平总书记关于新型冠状病毒感染肺炎疫情防控工作的重要指示精神，切实落实省委、省政府有关工作部署，我厅制定了全省住房城乡建设系统疫情防控工作指引。现印发给你们，请按照属地党委、政府的统一安排，全力配合当地卫生健康部门，结合住建系统实际，认真贯彻落实。</w:t>
      </w:r>
    </w:p>
    <w:p>
      <w:pPr>
        <w:widowControl w:val="0"/>
        <w:wordWrap/>
        <w:adjustRightInd/>
        <w:snapToGrid/>
        <w:spacing w:line="560" w:lineRule="exact"/>
        <w:ind w:right="0" w:firstLine="640" w:firstLineChars="200"/>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一、切实加强组织领导。</w:t>
      </w:r>
      <w:r>
        <w:rPr>
          <w:rFonts w:hint="eastAsia" w:ascii="仿宋_GB2312" w:hAnsi="仿宋_GB2312" w:eastAsia="仿宋_GB2312" w:cs="仿宋_GB2312"/>
          <w:color w:val="000000"/>
          <w:kern w:val="0"/>
          <w:sz w:val="32"/>
          <w:szCs w:val="32"/>
          <w:lang w:val="en-US" w:eastAsia="zh-CN"/>
        </w:rPr>
        <w:t>要以习近平总书记的重要指示精神为根本遵循，把人民群众生命安全和身体健康放在第一位，把疫情防控工作作为当前压倒一切的重要政治任务来抓紧抓实。要充分认识疫情形势的严峻性、危害性、艰巨性，切实增强责任感、紧迫感和使命感。各级主管部门要按照省防控工作领导小组（指挥部）的要求，迅速成立指挥部或工作专班，制订工作方案，完善工作机制，查找工作漏洞，䃼齐工作短板，根据疫情变化，即时研究对策，督促指导有关各方落实主体责任，配合做好联防联控联治工作。</w:t>
      </w:r>
    </w:p>
    <w:p>
      <w:pPr>
        <w:widowControl w:val="0"/>
        <w:numPr>
          <w:ilvl w:val="0"/>
          <w:numId w:val="0"/>
        </w:numPr>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二、认真落实宣传责任。</w:t>
      </w:r>
      <w:r>
        <w:rPr>
          <w:rFonts w:hint="eastAsia" w:ascii="仿宋_GB2312" w:hAnsi="仿宋_GB2312" w:eastAsia="仿宋_GB2312" w:cs="仿宋_GB2312"/>
          <w:color w:val="000000"/>
          <w:kern w:val="0"/>
          <w:sz w:val="32"/>
          <w:szCs w:val="32"/>
          <w:lang w:val="en-US" w:eastAsia="zh-CN"/>
        </w:rPr>
        <w:t>疫情瞬息万变，要密切关注国家、省和属地发布的最新动态，通过有效途径，运用大数据技术信息等手段，迅速将党中央、国务院的决策部署，省防控工作领导小组（指挥部）的要求，及时传达到各区域内的每一个房屋市政工程参建单位、市政环卫单位、相关物业服务企业、房屋市政和城市轨道交通工程在建工地等。横向到边，纵向到底，做到全方位、全覆盖，无死角、无盲区。要督促企业认真落实主体责任，有效防止疫情传播。</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三、加强来粤人员管护。</w:t>
      </w:r>
      <w:r>
        <w:rPr>
          <w:rFonts w:hint="eastAsia" w:ascii="仿宋_GB2312" w:hAnsi="仿宋_GB2312" w:eastAsia="仿宋_GB2312" w:cs="仿宋_GB2312"/>
          <w:color w:val="000000"/>
          <w:kern w:val="0"/>
          <w:sz w:val="32"/>
          <w:szCs w:val="32"/>
          <w:lang w:val="en-US" w:eastAsia="zh-CN"/>
        </w:rPr>
        <w:t>迅速对全省32000多个在建工地、各地市政环卫单位以及相关物业服务企业开展排查，摸清底数，精确到人。突出重点，对目前已在疫区休假的从业人员登记造册，由所在企业负责逐一进行联系，要求其在未收到企业通知前，暂缓返回广东，并及时将情况报告属地卫生健康部门。对节日期间未停工的工程项目，所有在岗人员都要每日进行体温检测并作记录，特别要确保近期出入过疫区的人员自行居家健康监测不少于14天，未发现疑似症状方可上岗，误工费用按有关规定严格执行，不得进行变通。</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四、加强在建工地监测。</w:t>
      </w:r>
      <w:r>
        <w:rPr>
          <w:rFonts w:hint="eastAsia" w:ascii="仿宋_GB2312" w:hAnsi="仿宋_GB2312" w:eastAsia="仿宋_GB2312" w:cs="仿宋_GB2312"/>
          <w:color w:val="000000"/>
          <w:kern w:val="0"/>
          <w:sz w:val="32"/>
          <w:szCs w:val="32"/>
          <w:lang w:val="en-US" w:eastAsia="zh-CN"/>
        </w:rPr>
        <w:t>按照全省重大突发公共卫生事件一级响应机制，督促各地在每一个工作场所特别是工地现场、工人生活区等设置体温检测点，确保对入场作业人员进行体温测试；按时配发口罩，确保有限空间作业人员按规定佩戴；严格控制外来人员随意进入工作场所，严禁从业人员携带野生动物和家禽家畜进入工作场所，抵制食用野生动物；要求从业人员外出时做足防疫措施，尽量减少到通风不畅和人流密集场所活动。不参加聚集性活动，加强工地疫情监测，对所有在建工地从业人员实行疫情日报制度。</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五、做好节后复工预案。</w:t>
      </w:r>
      <w:r>
        <w:rPr>
          <w:rFonts w:hint="eastAsia" w:ascii="仿宋_GB2312" w:hAnsi="仿宋_GB2312" w:eastAsia="仿宋_GB2312" w:cs="仿宋_GB2312"/>
          <w:color w:val="000000"/>
          <w:kern w:val="0"/>
          <w:sz w:val="32"/>
          <w:szCs w:val="32"/>
          <w:lang w:val="en-US" w:eastAsia="zh-CN"/>
        </w:rPr>
        <w:t>鼓励和支持建筑施工企业在条件许可的情况下延迟开工。督促工程建设各方主体针对房屋市政工程从业人员流动性大、异地务工人员多的特点，采取严密的复工应对措施，制定周密的工作预案，预案应包括根据疫情变化，加强对从业人员的疫情监测和防控，强化工地饮食、环境卫生管理，确保开工后对从业人员每日进行体温检测，建立假期与疫区相关人员接触情况报告台账，明确突发事件应急处置措施等。协助房屋市政工程建设企事业单位提前与当地卫生健康部门协商，明确收治医院，一旦发现从业人员出现疑似症状，要第一时间隔离观察，及时送院诊治，并对密切接触者采取防护措施，做到早发现、早报告、早隔离、早处置。</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六、广泛开展爱国卫生运动。</w:t>
      </w:r>
      <w:r>
        <w:rPr>
          <w:rFonts w:hint="eastAsia" w:ascii="仿宋_GB2312" w:hAnsi="仿宋_GB2312" w:eastAsia="仿宋_GB2312" w:cs="仿宋_GB2312"/>
          <w:color w:val="000000"/>
          <w:kern w:val="0"/>
          <w:sz w:val="32"/>
          <w:szCs w:val="32"/>
          <w:lang w:val="en-US" w:eastAsia="zh-CN"/>
        </w:rPr>
        <w:t>配合当地卫生健康部门实行联防联控，加强部门、上下、社区协作，深入开展爱国卫生运动，实施工地生活区等从业人员聚集区环境卫生整治，落实通风、消毒和清洁措施，清除病媒孳生。提高个人文明素养，戴口罩，勤洗手，不随地吐痰，咳嗽或打喷嚏时捂住鼻子，将肉蛋食物彻底煮熟等，提高自我保护意识和能力。</w:t>
      </w:r>
    </w:p>
    <w:p>
      <w:pPr>
        <w:widowControl w:val="0"/>
        <w:wordWrap/>
        <w:adjustRightInd/>
        <w:snapToGrid/>
        <w:spacing w:line="560" w:lineRule="exact"/>
        <w:ind w:right="0" w:firstLine="640" w:firstLineChars="200"/>
        <w:jc w:val="both"/>
        <w:textAlignment w:val="auto"/>
        <w:outlineLvl w:val="9"/>
        <w:rPr>
          <w:rFonts w:hint="eastAsia" w:ascii="仿宋" w:hAnsi="仿宋" w:eastAsia="仿宋" w:cs="仿宋"/>
          <w:color w:val="000000"/>
          <w:kern w:val="0"/>
          <w:sz w:val="32"/>
          <w:szCs w:val="32"/>
          <w:lang w:val="en-US" w:eastAsia="zh-CN"/>
        </w:rPr>
      </w:pPr>
      <w:r>
        <w:rPr>
          <w:rFonts w:hint="eastAsia" w:ascii="黑体" w:hAnsi="黑体" w:eastAsia="黑体" w:cs="黑体"/>
          <w:kern w:val="0"/>
          <w:sz w:val="32"/>
          <w:szCs w:val="32"/>
          <w:lang w:val="en-US" w:eastAsia="zh-CN"/>
        </w:rPr>
        <w:t>七、强化城市公园防控。</w:t>
      </w:r>
      <w:r>
        <w:rPr>
          <w:rFonts w:hint="eastAsia" w:ascii="仿宋" w:hAnsi="仿宋" w:eastAsia="仿宋" w:cs="仿宋"/>
          <w:color w:val="000000"/>
          <w:kern w:val="0"/>
          <w:sz w:val="32"/>
          <w:szCs w:val="32"/>
          <w:lang w:val="en-US" w:eastAsia="zh-CN"/>
        </w:rPr>
        <w:t>进一步加大对城市公园室外区域及办公场所的清扫、保洁及消毒力度，为作业人员及时配备必备的劳动安全防护用品，对其工作、休息环境及劳动工具设备及时消毒。疫情结束前，严防在公园内开展群聚性聚会、跳广场舞等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八、加强环卫行业管理。</w:t>
      </w:r>
      <w:r>
        <w:rPr>
          <w:rFonts w:hint="eastAsia" w:ascii="仿宋_GB2312" w:hAnsi="仿宋_GB2312" w:eastAsia="仿宋_GB2312" w:cs="仿宋_GB2312"/>
          <w:color w:val="000000"/>
          <w:kern w:val="0"/>
          <w:sz w:val="32"/>
          <w:szCs w:val="32"/>
          <w:lang w:val="en-US" w:eastAsia="zh-CN"/>
        </w:rPr>
        <w:t>及时对生活垃圾进行无害化处理，严格禁止医疗废弃物混入生活垃圾处理系统；加强供水水质监测，严防供水水质污染；加强排污口及排水单元管控，做好水厂运行监测，严禁污水直排；对生活垃圾运输工具和处置场所以及城市公厕等及时消毒，加强市容环境卫生管理；妥善做好医疗机构等相关场所生活垃圾处置工作，确保环卫工作在作业服务中防护安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九、做好物业小区管控。</w:t>
      </w:r>
      <w:r>
        <w:rPr>
          <w:rFonts w:hint="eastAsia" w:ascii="仿宋_GB2312" w:hAnsi="仿宋_GB2312" w:eastAsia="仿宋_GB2312" w:cs="仿宋_GB2312"/>
          <w:color w:val="000000"/>
          <w:kern w:val="0"/>
          <w:sz w:val="32"/>
          <w:szCs w:val="32"/>
          <w:lang w:val="en-US" w:eastAsia="zh-CN"/>
        </w:rPr>
        <w:t>督导各物业服务企业切实加强物业服务区域和从业人员的疫情防控，门卫、保洁等岗位人员必须佩戴口罩，身体不适的要立即停岗隔离观察；认真做好小区出入口、楼栋大堂、箱式电梯等人员流动场所的环境清洁和卫生消毒工作，增加清洁消毒频次，切实减少交叉感染风险；加强物业管理区域秩序维护，完善外地车辆、人员进出小区管理制度，做到防控无盲区；配合属地卫生健康部门做好重点观察人群的登记和报告工作。督促各房地产开发企业、中介机构暂停举办集中宣传、促销等公众聚集活动。</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黑体" w:hAnsi="黑体" w:eastAsia="黑体" w:cs="黑体"/>
          <w:kern w:val="0"/>
          <w:sz w:val="32"/>
          <w:szCs w:val="32"/>
          <w:lang w:val="en-US" w:eastAsia="zh-CN"/>
        </w:rPr>
        <w:t>十、加强应急值守。</w:t>
      </w:r>
      <w:r>
        <w:rPr>
          <w:rFonts w:hint="eastAsia" w:ascii="仿宋_GB2312" w:hAnsi="仿宋_GB2312" w:eastAsia="仿宋_GB2312" w:cs="仿宋_GB2312"/>
          <w:color w:val="000000"/>
          <w:kern w:val="0"/>
          <w:sz w:val="32"/>
          <w:szCs w:val="32"/>
          <w:lang w:val="en-US" w:eastAsia="zh-CN"/>
        </w:rPr>
        <w:t>严格落实领导带班，值班人员24小时在岗值班值守制度，时刻保持响应状态。各地主管部门要向社会公开举报电话号码，对未按规定执行的进行严肃处理。要做好信息报送，落实每日一报制度，各地级以上市住建系统各主管部门每天下午16点前填写《全省住房城乡建设系统疫情防控信息情况表》（见附件），并报送我厅工程质量安全监管处（邮箱：aqglc@126.com）。</w:t>
      </w: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p>
    <w:p>
      <w:pPr>
        <w:widowControl w:val="0"/>
        <w:wordWrap/>
        <w:adjustRightInd/>
        <w:snapToGrid/>
        <w:spacing w:line="560" w:lineRule="exact"/>
        <w:ind w:right="0" w:firstLine="4480" w:firstLineChars="14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 xml:space="preserve">  广东省住房和城乡建设厅</w:t>
      </w:r>
    </w:p>
    <w:p>
      <w:pPr>
        <w:widowControl w:val="0"/>
        <w:wordWrap/>
        <w:adjustRightInd/>
        <w:snapToGrid/>
        <w:spacing w:line="560" w:lineRule="exact"/>
        <w:ind w:right="0"/>
        <w:textAlignment w:val="auto"/>
        <w:outlineLvl w:val="9"/>
        <w:rPr>
          <w:rFonts w:hint="eastAsia" w:ascii="Times New Roman" w:hAnsi="Times New Roman" w:cs="Times New Roman"/>
          <w:sz w:val="32"/>
          <w:szCs w:val="32"/>
        </w:rPr>
      </w:pP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cs="仿宋_GB2312"/>
          <w:color w:val="000000"/>
          <w:kern w:val="0"/>
          <w:sz w:val="32"/>
          <w:szCs w:val="32"/>
          <w:lang w:val="en-US" w:eastAsia="zh-CN"/>
        </w:rPr>
        <w:t xml:space="preserve">                            </w:t>
      </w:r>
      <w:r>
        <w:rPr>
          <w:rFonts w:hint="eastAsia" w:ascii="仿宋_GB2312" w:hAnsi="仿宋_GB2312" w:eastAsia="仿宋_GB2312" w:cs="仿宋_GB2312"/>
          <w:color w:val="000000"/>
          <w:kern w:val="0"/>
          <w:sz w:val="32"/>
          <w:szCs w:val="32"/>
          <w:lang w:val="en-US" w:eastAsia="zh-CN"/>
        </w:rPr>
        <w:t>2020年1月27日　</w:t>
      </w:r>
    </w:p>
    <w:p>
      <w:pPr>
        <w:keepNext/>
        <w:keepLines/>
        <w:widowControl w:val="0"/>
        <w:wordWrap/>
        <w:adjustRightInd/>
        <w:snapToGrid/>
        <w:spacing w:line="560" w:lineRule="exact"/>
        <w:jc w:val="center"/>
        <w:textAlignment w:val="auto"/>
        <w:outlineLvl w:val="0"/>
        <w:rPr>
          <w:rFonts w:hint="eastAsia" w:ascii="Times New Roman" w:hAnsi="Times New Roman" w:eastAsia="宋体" w:cs="Times New Roman"/>
          <w:bCs/>
          <w:kern w:val="44"/>
          <w:sz w:val="32"/>
          <w:szCs w:val="32"/>
          <w:lang w:val="en-US" w:eastAsia="zh-CN" w:bidi="ar-SA"/>
        </w:rPr>
      </w:pPr>
      <w:bookmarkStart w:id="561" w:name="_Toc27408"/>
    </w:p>
    <w:p>
      <w:pPr>
        <w:widowControl w:val="0"/>
        <w:wordWrap/>
        <w:adjustRightInd/>
        <w:snapToGrid/>
        <w:spacing w:line="560" w:lineRule="exact"/>
        <w:textAlignment w:val="auto"/>
        <w:rPr>
          <w:rFonts w:hint="eastAsia" w:ascii="Times New Roman" w:hAnsi="Times New Roman" w:cs="Times New Roman"/>
          <w:sz w:val="32"/>
          <w:szCs w:val="32"/>
          <w:lang w:val="en-US" w:eastAsia="zh-CN"/>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widowControl w:val="0"/>
        <w:spacing w:line="640" w:lineRule="exact"/>
        <w:jc w:val="both"/>
        <w:rPr>
          <w:rFonts w:hint="eastAsia" w:ascii="Times New Roman" w:hAnsi="Times New Roman" w:eastAsia="仿宋_GB2312" w:cs="Times New Roman"/>
          <w:kern w:val="2"/>
          <w:sz w:val="32"/>
          <w:szCs w:val="24"/>
          <w:lang w:val="en-US" w:eastAsia="zh-CN" w:bidi="ar-SA"/>
        </w:rPr>
      </w:pPr>
    </w:p>
    <w:p>
      <w:pPr>
        <w:rPr>
          <w:rFonts w:hint="eastAsia" w:ascii="Times New Roman" w:hAnsi="Times New Roman" w:eastAsia="宋体" w:cs="Times New Roman"/>
          <w:bCs/>
          <w:kern w:val="44"/>
          <w:sz w:val="44"/>
          <w:szCs w:val="44"/>
          <w:lang w:val="en-US" w:eastAsia="zh-CN" w:bidi="ar-SA"/>
        </w:rPr>
      </w:pPr>
      <w:bookmarkStart w:id="562" w:name="_Toc2521"/>
      <w:bookmarkStart w:id="563" w:name="_Toc29330"/>
      <w:bookmarkStart w:id="564" w:name="_Toc11267"/>
      <w:bookmarkStart w:id="565" w:name="_Toc6829"/>
      <w:bookmarkStart w:id="566" w:name="_Toc10606"/>
      <w:bookmarkStart w:id="567" w:name="_Toc20423"/>
      <w:bookmarkStart w:id="568" w:name="_Toc4789"/>
      <w:bookmarkStart w:id="569" w:name="_Toc17296"/>
      <w:bookmarkStart w:id="570" w:name="_Toc26607"/>
      <w:r>
        <w:rPr>
          <w:rFonts w:hint="eastAsia" w:ascii="Times New Roman" w:hAnsi="Times New Roman" w:eastAsia="宋体" w:cs="Times New Roman"/>
          <w:bCs/>
          <w:kern w:val="44"/>
          <w:sz w:val="44"/>
          <w:szCs w:val="44"/>
          <w:lang w:val="en-US" w:eastAsia="zh-CN" w:bidi="ar-SA"/>
        </w:rPr>
        <w:br w:type="page"/>
      </w:r>
    </w:p>
    <w:p>
      <w:pPr>
        <w:wordWrap/>
        <w:adjustRightInd/>
        <w:snapToGrid/>
        <w:spacing w:afterAutospacing="0" w:line="560" w:lineRule="exact"/>
        <w:jc w:val="center"/>
        <w:textAlignment w:val="auto"/>
        <w:outlineLvl w:val="0"/>
        <w:rPr>
          <w:rFonts w:hint="eastAsia" w:ascii="宋体" w:hAnsi="宋体" w:eastAsia="宋体" w:cs="宋体"/>
          <w:bCs/>
          <w:kern w:val="44"/>
          <w:sz w:val="44"/>
          <w:szCs w:val="44"/>
          <w:lang w:val="en-US" w:eastAsia="zh-CN" w:bidi="ar-SA"/>
        </w:rPr>
      </w:pPr>
      <w:bookmarkStart w:id="571" w:name="_Toc14098"/>
      <w:r>
        <w:rPr>
          <w:rFonts w:hint="eastAsia" w:ascii="宋体" w:hAnsi="宋体" w:eastAsia="宋体" w:cs="宋体"/>
          <w:bCs/>
          <w:kern w:val="44"/>
          <w:sz w:val="44"/>
          <w:szCs w:val="44"/>
          <w:lang w:val="en-US" w:eastAsia="zh-CN" w:bidi="ar-SA"/>
        </w:rPr>
        <w:t>广东省住房和城乡建设厅关于印发《广东省</w:t>
      </w:r>
    </w:p>
    <w:p>
      <w:pPr>
        <w:wordWrap/>
        <w:adjustRightInd/>
        <w:snapToGrid/>
        <w:spacing w:afterAutospacing="0" w:line="560" w:lineRule="exact"/>
        <w:jc w:val="center"/>
        <w:textAlignment w:val="auto"/>
        <w:outlineLvl w:val="0"/>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物业管理区域新型冠状病毒感染的肺炎疫情</w:t>
      </w:r>
    </w:p>
    <w:p>
      <w:pPr>
        <w:wordWrap/>
        <w:adjustRightInd/>
        <w:snapToGrid/>
        <w:spacing w:afterAutospacing="0" w:line="560" w:lineRule="exact"/>
        <w:jc w:val="center"/>
        <w:textAlignment w:val="auto"/>
        <w:outlineLvl w:val="0"/>
        <w:rPr>
          <w:rFonts w:hint="eastAsia" w:ascii="宋体" w:hAnsi="宋体" w:eastAsia="宋体" w:cs="宋体"/>
          <w:bCs/>
          <w:kern w:val="44"/>
          <w:sz w:val="44"/>
          <w:szCs w:val="44"/>
          <w:lang w:val="en-US" w:eastAsia="zh-CN" w:bidi="ar-SA"/>
        </w:rPr>
      </w:pPr>
      <w:r>
        <w:rPr>
          <w:rFonts w:hint="eastAsia" w:ascii="宋体" w:hAnsi="宋体" w:eastAsia="宋体" w:cs="宋体"/>
          <w:bCs/>
          <w:kern w:val="44"/>
          <w:sz w:val="44"/>
          <w:szCs w:val="44"/>
          <w:lang w:val="en-US" w:eastAsia="zh-CN" w:bidi="ar-SA"/>
        </w:rPr>
        <w:t>防控工作指引（试行）》的通知</w:t>
      </w:r>
      <w:bookmarkEnd w:id="571"/>
    </w:p>
    <w:p>
      <w:pPr>
        <w:wordWrap/>
        <w:adjustRightInd/>
        <w:snapToGrid/>
        <w:spacing w:afterAutospacing="0" w:line="560" w:lineRule="exact"/>
        <w:textAlignment w:val="auto"/>
        <w:rPr>
          <w:rFonts w:hint="eastAsia" w:ascii="仿宋" w:hAnsi="仿宋" w:eastAsia="仿宋" w:cs="仿宋"/>
          <w:bCs/>
          <w:kern w:val="44"/>
          <w:sz w:val="32"/>
          <w:szCs w:val="32"/>
          <w:lang w:val="en-US" w:eastAsia="zh-CN" w:bidi="ar-SA"/>
        </w:rPr>
      </w:pPr>
    </w:p>
    <w:p>
      <w:pPr>
        <w:jc w:val="center"/>
        <w:rPr>
          <w:rFonts w:hint="eastAsia" w:ascii="楷体" w:hAnsi="楷体" w:eastAsia="楷体" w:cs="楷体"/>
          <w:lang w:val="en-US" w:eastAsia="zh-CN"/>
        </w:rPr>
      </w:pPr>
      <w:r>
        <w:rPr>
          <w:rFonts w:hint="eastAsia" w:ascii="楷体" w:hAnsi="楷体" w:eastAsia="楷体" w:cs="楷体"/>
        </w:rPr>
        <w:t>粤建电发〔2020〕7号</w:t>
      </w:r>
    </w:p>
    <w:p>
      <w:pPr>
        <w:pStyle w:val="3"/>
        <w:rPr>
          <w:rFonts w:hint="eastAsia" w:ascii="仿宋" w:hAnsi="仿宋" w:eastAsia="仿宋" w:cs="仿宋"/>
          <w:bCs/>
          <w:kern w:val="44"/>
          <w:sz w:val="32"/>
          <w:szCs w:val="32"/>
          <w:lang w:val="en-US" w:eastAsia="zh-CN" w:bidi="ar-SA"/>
        </w:rPr>
      </w:pPr>
    </w:p>
    <w:p>
      <w:pPr>
        <w:jc w:val="center"/>
        <w:rPr>
          <w:rFonts w:hint="eastAsia"/>
          <w:lang w:val="en-US" w:eastAsia="zh-CN"/>
        </w:rPr>
      </w:pPr>
      <w:r>
        <w:rPr>
          <w:rFonts w:hint="eastAsia"/>
          <w:lang w:val="en-US" w:eastAsia="zh-CN"/>
        </w:rPr>
        <w:t>各地级以上市住房</w:t>
      </w:r>
      <w:r>
        <w:rPr>
          <w:rFonts w:hint="eastAsia" w:ascii="楷体" w:hAnsi="楷体" w:eastAsia="楷体" w:cs="楷体"/>
          <w:lang w:val="en-US" w:eastAsia="zh-CN"/>
        </w:rPr>
        <w:t>城乡</w:t>
      </w:r>
      <w:r>
        <w:rPr>
          <w:rFonts w:hint="eastAsia"/>
          <w:lang w:val="en-US" w:eastAsia="zh-CN"/>
        </w:rPr>
        <w:t>建设局，各物业管理协会、物业服务企业：</w:t>
      </w:r>
    </w:p>
    <w:p>
      <w:pPr>
        <w:pStyle w:val="3"/>
        <w:rPr>
          <w:rFonts w:hint="eastAsia"/>
          <w:lang w:val="en-US" w:eastAsia="zh-CN"/>
        </w:rPr>
      </w:pPr>
      <w:r>
        <w:rPr>
          <w:rFonts w:hint="eastAsia"/>
          <w:lang w:val="en-US" w:eastAsia="zh-CN"/>
        </w:rPr>
        <w:t>　　为进一步做好物业管理区域新型冠状病毒感染的肺炎疫情防控工作，依据《中华人民共和国突发事件应对法》《中华人民共和国传染病防治法》等法律法规，结合当前实际，我厅会同省疫情防控指挥部办公室疫情防控组组织有关专家研究制定了《广东省物业管理区域新型冠状病毒感染的肺炎疫情防控工作指引（试行）》，现印发给你们，请参照执行。</w:t>
      </w:r>
    </w:p>
    <w:p>
      <w:pPr>
        <w:pStyle w:val="3"/>
        <w:rPr>
          <w:rFonts w:hint="eastAsia"/>
          <w:lang w:val="en-US" w:eastAsia="zh-CN"/>
        </w:rPr>
      </w:pPr>
    </w:p>
    <w:p>
      <w:pPr>
        <w:pStyle w:val="3"/>
        <w:jc w:val="right"/>
        <w:rPr>
          <w:rFonts w:hint="eastAsia"/>
          <w:lang w:val="en-US" w:eastAsia="zh-CN"/>
        </w:rPr>
      </w:pPr>
      <w:r>
        <w:rPr>
          <w:rFonts w:hint="eastAsia"/>
          <w:lang w:val="en-US" w:eastAsia="zh-CN"/>
        </w:rPr>
        <w:t xml:space="preserve">广东省住房和城乡建设厅 </w:t>
      </w:r>
    </w:p>
    <w:p>
      <w:pPr>
        <w:pStyle w:val="3"/>
        <w:jc w:val="right"/>
        <w:rPr>
          <w:rFonts w:hint="eastAsia"/>
          <w:lang w:val="en-US" w:eastAsia="zh-CN"/>
        </w:rPr>
      </w:pPr>
      <w:r>
        <w:rPr>
          <w:rFonts w:hint="eastAsia"/>
          <w:lang w:val="en-US" w:eastAsia="zh-CN"/>
        </w:rPr>
        <w:t>2020年2月4日　　</w:t>
      </w:r>
    </w:p>
    <w:p>
      <w:pPr>
        <w:pStyle w:val="3"/>
        <w:rPr>
          <w:rFonts w:hint="eastAsia"/>
          <w:lang w:val="en-US" w:eastAsia="zh-CN"/>
        </w:rPr>
      </w:pPr>
    </w:p>
    <w:p>
      <w:pPr>
        <w:rPr>
          <w:rFonts w:hint="eastAsia"/>
          <w:lang w:val="en-US" w:eastAsia="zh-CN"/>
        </w:rPr>
      </w:pPr>
      <w:r>
        <w:rPr>
          <w:rFonts w:hint="eastAsia"/>
          <w:lang w:val="en-US" w:eastAsia="zh-CN"/>
        </w:rPr>
        <w:br w:type="page"/>
      </w:r>
    </w:p>
    <w:p>
      <w:pPr>
        <w:pStyle w:val="3"/>
        <w:jc w:val="center"/>
        <w:rPr>
          <w:rFonts w:hint="eastAsia"/>
          <w:lang w:val="en-US" w:eastAsia="zh-CN"/>
        </w:rPr>
      </w:pPr>
      <w:r>
        <w:rPr>
          <w:rFonts w:hint="eastAsia"/>
          <w:lang w:val="en-US" w:eastAsia="zh-CN"/>
        </w:rPr>
        <w:t>广东省物业管理区域新型冠状病毒感染的</w:t>
      </w:r>
    </w:p>
    <w:p>
      <w:pPr>
        <w:pStyle w:val="3"/>
        <w:jc w:val="center"/>
        <w:rPr>
          <w:rFonts w:hint="eastAsia"/>
          <w:lang w:val="en-US" w:eastAsia="zh-CN"/>
        </w:rPr>
      </w:pPr>
      <w:r>
        <w:rPr>
          <w:rFonts w:hint="eastAsia"/>
          <w:lang w:val="en-US" w:eastAsia="zh-CN"/>
        </w:rPr>
        <w:t>肺炎疫情防控工作指引（试行）</w:t>
      </w:r>
    </w:p>
    <w:p>
      <w:pPr>
        <w:pStyle w:val="3"/>
        <w:rPr>
          <w:rFonts w:hint="eastAsia"/>
          <w:lang w:val="en-US" w:eastAsia="zh-CN"/>
        </w:rPr>
      </w:pPr>
    </w:p>
    <w:p>
      <w:pPr>
        <w:pStyle w:val="18"/>
        <w:widowControl/>
        <w:wordWrap/>
        <w:adjustRightInd/>
        <w:snapToGrid/>
        <w:spacing w:before="0" w:beforeAutospacing="0" w:afterAutospacing="0"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为贯彻落实习近平总书记关于防控新型冠状病毒感染的肺炎疫情的重要指示精神和党中央、国务院决策部署，切实落实省委、省政府有关工作安排，根据应对新型冠状病毒感染的肺炎疫情联防联控工作要求制定本指引。</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一、总则</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（一）本指引适用于新型冠状病毒感染的肺炎疫情防控期间物业管理区域疫情防控工作。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（二）物业服务企业管理的项目按此指引执行，社区代管或业主大会自管项目，可参照本指引执行。</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（三）各市房地产行政主管部门负责监督指导物业服务企业落实本指引的各项要求。</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二、出入口设置及防护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对物业管理区域实施封闭管理。限制非本小区业主或使用人及车辆进入物业管理区域（包括但不限于快递员、外卖员等人群及其车辆）。快递公司、外卖等所配送的物品应送至指定存放区域进行临时存放，由客户自行领取。各出入口应设置防控卡点，防控卡点实行24小时人员值班制度。无门卫值守的出入口暂时关闭。</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加强人员（车辆）出入管理。人员（车辆）出入口卡点标识醒目，每个卡点配备至少1个快速红外体温探测仪，所有进入区域范围内的人员须测量体温，对体温超过37.3摄氏度的，来访人员实施劝返，本小区业主或使用人劝其回家自我隔离观察，及时向社区居委会报告，并协助做好相关处置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信息登记录入工作。根据物业管理区域规模合理确定卡点防控人数，便捷、快速做好来访人姓名、体温、联系方式、是否来自疫情地区或近期接触疫情地区人员、到访住址、进出时间等基本信息登记。未经到访业主或使用人同意，来访人员不得进入。</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四）做好防控人员自我防护。防控人员穿戴整齐，佩戴登记人员标识，穿着符合要求的口罩、手套、防护服等护具。与接触人员之间保持1米以上距离，保持勤洗手、多饮水，坚持在进食前、如厕后用洗手液、流动水严格按照六步法洗手。触碰眼睛前必须先洗手。</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三、重点人群防护服务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做好重点人群防护工作。积极配合政府和相关部门做好疫情联防联控工作，重点加强对疫情地区来粤人员以及家庭成员在疫情地区工作生活、近期有在疫情地区活动经历以及有疑似肺炎症状人员的观察，配合做好提醒、报告和隔离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协助做好特殊群体服务。在保障防护安全的前提下，与残疾人、独居老人、行动不便的住户或其他有特殊需求的住户进行定期沟通，了解特殊群体的需求和困难，及时向社区居委会和有关行政部门报告情况，协助特殊群体做好疫情防范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四、重点公共区域防护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（一）关闭人员聚集场所。疫情期间，关闭小区会所、图书馆、棋牌室、老人活动室、儿童活动室等人员聚集场所。</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做好公共区域清洁消毒工作。加强楼栋大堂、走廊、停车场、楼梯间等公共区域的清洁消毒管理，保持室内空气流通，每日通风2-3次，每次不少于30分钟；空气湿度大时，可采用换气净化器或其他通风装置协助进行通风。楼栋大堂、走廊、楼梯间等每日使用有效氯浓度为250-500mg/L的消毒液喷洒消毒1-2次。出入口不宜设置地毯，确需铺设地毯的，应每日使用清水冲洗，并使用有效氯浓度为250-500mg/L的消毒液喷洒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（三）做好常触部件消毒工作。认真做好出入口门把手、可视门禁系统面板、各楼层通道门拉手、楼梯扶手等常触部件的消毒工作，每日使用有效氯浓度为250-500mg/L的消毒液或浓度为75%的医用酒精擦拭消毒2-4次。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五、重点设施设备防护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（一）认真做好电梯防护。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1.电梯轿厢每日使用有效氯浓度为250-500mg/L的消毒液喷洒消毒不少于4次，并做好消毒记录。电梯轿厢通风系统应处于常开状态，并确保正常使用。</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2.电梯按键、轿厢扶手、轿厢壁等应保持清洁卫生，每日使用有效氯浓度为250-500mg/L的消毒液或浓度为75%的医用酒精进行擦拭不少于4次，轿厢壁和电梯门的擦拭高度不少于1.6米。电梯厅、电梯轿厢内外的控制面板（按键）可贴膜保护，可每两小时在保护膜上喷洒酒精消毒，发现破损及时更换。</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3.在大堂电梯门口和轿厢内外张贴告示，提醒乘客乘坐电梯时戴好口罩，尽量避免身体皮肤直接接触按键；乘坐电梯时，即使无其他乘客同时乘坐电梯，也勿取下口罩。建议在大堂电梯门口安装抽纸（干纸巾和湿纸巾均可）或非接触式快速手消毒液。</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4.电梯维保维修后，应先对电梯轿厢内及相应的外呼部位进行消毒后再投入使用；维修现场有维修材料要处理的，应先消毒再收纳；纸质维修维保单的填写与确认不紧急的可后补，必须签字确认的，双方都应佩戴手套填写、交接。</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5.有疫情病例的建筑，所有电梯轿厢、井道、层站和电梯机房，应全面消毒后再使用。</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（二）做好中央空调防护。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1.疫情期间建议停止集中式中央空调的使用，并封闭内循环的风口，尽量采用直接开窗通风。</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2.因各种原因必须使用集中式中央空调的，有外窗的房间，使用过程中宜适当使外窗保持一定的开度；无外窗且没有设置机械排风的房间，可采用增加设置双向节能换气机的方式来增加房间的新风量。空调通风系统宜按全新风工况运行，防止回风带来的交叉污染。新风吸入口区域应定期检查，确保新风吸入口周边无污染、无杂物。</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3.疫情期间应增加空调通风系统中的空气处理设备的清洁消毒或更换频次，空气过滤器、表面式冷却器、加热器、加湿器、凝结水盘等易集聚灰层和滋生细菌的部件应及时消毒或更换；空调系统的所有过滤器，宜每周清洗或更换一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4.中央空调系统正常使用时，若出现疫情或有疑似病例，不要停止风机运行，立即撤离人员，对排风支管封闭，运行一段时间后关闭新风排风系统。中央空调系统和整个环境进行消毒处理，经过专家评价合格后，方可重新使用。</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日常活动设施消毒工作。公共座椅、健身器材、儿童娱乐设施等室外日常活动设施要保持清洁卫生，每日至少消毒1-2次，使用有效氯浓度为250-500mg/L的消毒液或浓度为75%的医用酒精进行擦拭。地面用有效氯浓度为250-500mg/L的消毒液进行喷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仿宋" w:hAnsi="仿宋" w:eastAsia="仿宋" w:cs="仿宋"/>
          <w:b/>
          <w:sz w:val="32"/>
          <w:szCs w:val="32"/>
        </w:rPr>
        <w:t>　</w:t>
      </w:r>
      <w:r>
        <w:rPr>
          <w:rStyle w:val="23"/>
          <w:rFonts w:hint="eastAsia" w:ascii="黑体" w:hAnsi="黑体" w:eastAsia="黑体" w:cs="黑体"/>
          <w:b w:val="0"/>
          <w:bCs w:val="0"/>
          <w:sz w:val="32"/>
          <w:szCs w:val="32"/>
        </w:rPr>
        <w:t>六、环境卫生清洁防护</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及时对垃圾及收集容器消毒。对果皮箱、垃圾桶等垃圾收集容器，应每天清理、收集垃圾2次以上。对垃圾量大的收集点，要随满随清。收集容器每天用水清洗一次，并用有效氯浓度为1000-2000mg/L的消毒液消毒一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规范废弃口罩投放。有条件的小区应增设专门垃圾收集容器，用于收集废弃口罩。收集容器应内设塑料袋，避免废弃口罩投放时与容器直接接触。废弃口罩用有效氯浓度为500-1000mg/L的消毒液喷洒或浇洒垃圾至完全湿润，然后扎紧塑料袋口，按“其他垃圾”处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做好垃圾转运站、环卫工具房消毒。垃圾转运站每次作业完成后，用水全面冲洗一次，再用有效氯浓度为1000-2000mg/L的消毒液对墙面、地面、站台、压缩装置、周围环境喷洒消毒一次，喷药量为200-300mL/平方米。每次作业完成后，用水将手推车、垃圾运输车等环卫工具冲洗一次，再用有效氯浓度为1000-2000mg/L的消毒液对环卫工具喷洒消毒一次。</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四）做好卫生间保洁工作。保持卫生间良好通风，必要时应安装排气设施，强制排气。保洁员每天要对卫生间全面冲洗一次，并随时保洁；每天用有效氯浓度为1000-2000mg/L的消毒液全面喷洒消毒二次，喷药量为200-300mL/平方米，采用有效氯浓度为1000mg/L的消毒液对门把手、水阀等部位进行擦拭，对地面、蹲位等进行湿拖，并对清洁工具进行浸泡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五）减少化粪池清掏作业。疫情期间原则上不进行化粪池清掏作业，确有必要清掏的，现场工作人员需在原有操作规范的基础上，佩戴一次性医用外科口罩或N95医用防护口罩，穿戴防护服、鞋套，清理完成后快速将现场清理干净，用有效氯浓度为500-1000mg/L的消毒液或75%酒精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（六）加强排水沟清洁。排水沟每日至少消毒1-2次，用有效氯浓度为250-500mg/L的消毒液进行喷洒。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七）加强污水管道检查。疫情期间应对污水管道进行全面的检查，如发现有破损应立即维修。加强对小区住户卫生间清洁消毒的提醒，即居民卫生间地漏口非排水时用盖子遮挡，并每周一次将一杯清水（约500mL）倒进排水口，然后倒入有效氯浓度为2500mg/L的消毒液10mL（一茶匙），30分钟后再倒入一杯清水。</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八）加强清洁人员防护。清洁人员在作业时需穿着工作服（或防护服装），佩戴口罩和手套等护具。作业完成后要及时洗手，换洗工作服，保持个人卫生。建立每日健康检查制度，一旦发现清洁人员有发热、咳嗽等症状，立即停岗隔离观察。</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七、疫情社区防护工作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发现病例立即上报。物业管理区域发现新型冠状病毒感染的肺炎疑似病例或暴露病例时，物业服务企业应立即上报属地疾控中心和社区居委会，患病人应立即隔离，在疾控部门指导下确定密切接触人员，并对相关环境实施消毒。</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依规范做好清洁消毒。消毒人员应在疾控部门指导下做好个人卫生防护，消毒完成后及时清洁双手。疑似病例和密接人员的生活用品和随身物品可采用有效氯浓度为500-1000mg/L的消毒液擦拭或浸泡消毒。疑似病例的排泄物和呕吐物可用含固态过氧乙酸应急呕吐包覆盖包裹，或用干毛巾覆盖后喷洒有效氯浓度为10000mg/L的消毒液至湿润。污物污染的台面和地面应及时消毒，可用有效氯浓度为1000-2000mg/L的消毒液擦拭或拖拭，消毒范围为呕吐物周围2米，作用30分钟。建议擦拭2遍。</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依部署做好后续防控工作。对于已发生疫情或疑似疫情的物业管理区域，物业服务企业要严格遵照卫生健康部门工作要求，配合做好各类清洁消毒工作，严格按照地方政府和卫生健康、应急管理等部门有关工作部署，迅速做好隔离防控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八、企业内部防护管理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加强员工防护管理。物业服务企业应加强内部员工的疫情知识培训和自我防护知识培训。加强员工身体检查，建立员工体温测量登记册，每日对员工体温测量2次并登记。员工体温超过37.3摄氏度的立即停岗隔离观察，并及时上报社区居委会。对在疫情地区停留过的员工、与疫情地区人员有亲密接触的员工的信息应进行报备，并按卫生健康部门的要求隔离观察，同时做好登记、追踪、观察等工作，确认无异常后方可上岗。员工上岗前应正确佩戴符合卫生要求的口罩；口罩原则上一次性使用，并按要求进行更换，医用防护用品紧缺情况下，普通岗位可视清洁程度适当延长使用时间，或采用其他防护口罩。鼓励员工错峰上班或者自驾车上班，尽量减少上下班时段的人员接触。</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加强员工宿舍管理。员工宿舍每日消毒。对于需要隔离而不能自行隔离的员工，依项目情况设立隔离观察区。观察区宜设置在适当位置，并有独立出入口为宜；观察区应配置备用防护、消毒用品2套以上；隔离区工作人员按照特殊岗位人员进行个人防护；隔离区垃圾统一收集，在没有出现疑似病例或确诊病例前按其他垃圾处理；应及时通报被隔离区人员的情况，但不得泄露其个人信息；隔离区按重点区域消毒作业。</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三）多渠道筹集防护物资。物业服务企业应多渠道、多方式筹集物质，确保清洁消毒物资充足，清洁消毒工作到位。确实存在物资短缺的，应及时向社区居委会及卫生健康、住建等有关部门报告。物业服务企业可积极向小区业主请求帮助，拓展物资筹集渠道。疫情防控过程中的各项支出费用，应做好登记，以备后续处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w:t>
      </w:r>
      <w:r>
        <w:rPr>
          <w:rStyle w:val="23"/>
          <w:rFonts w:hint="eastAsia" w:ascii="黑体" w:hAnsi="黑体" w:eastAsia="黑体" w:cs="黑体"/>
          <w:b w:val="0"/>
          <w:bCs w:val="0"/>
          <w:sz w:val="32"/>
          <w:szCs w:val="32"/>
        </w:rPr>
        <w:t>九、疫情防控宣传工作</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（一）加强疫情知识宣传。物业服务企业应通过短信、微信、朋友圈、公告栏、宣传栏等方式，及时向业主或使用人宣传疫情防控要求，普及疫情防控知识。</w:t>
      </w:r>
    </w:p>
    <w:p>
      <w:pPr>
        <w:pStyle w:val="18"/>
        <w:widowControl/>
        <w:wordWrap/>
        <w:adjustRightInd/>
        <w:snapToGrid/>
        <w:spacing w:before="0" w:beforeAutospacing="0" w:afterAutospacing="0" w:line="560" w:lineRule="exact"/>
        <w:jc w:val="left"/>
        <w:textAlignment w:val="auto"/>
        <w:rPr>
          <w:rFonts w:hint="eastAsia" w:ascii="仿宋" w:hAnsi="仿宋" w:eastAsia="仿宋" w:cs="仿宋"/>
          <w:sz w:val="32"/>
          <w:szCs w:val="32"/>
        </w:rPr>
      </w:pPr>
      <w:r>
        <w:rPr>
          <w:rFonts w:hint="eastAsia" w:ascii="仿宋" w:hAnsi="仿宋" w:eastAsia="仿宋" w:cs="仿宋"/>
          <w:sz w:val="32"/>
          <w:szCs w:val="32"/>
        </w:rPr>
        <w:t>　　（二）及时通报疫情情况。物业服务区域及周边发生疫情后，物业服务企业应积极协助社区居委会和有关部门及时向业主和使用人通报疫情情况和下一步防控要求。物业服务企业通报的疫情信息必须真实准确、来源可靠，不得擅自捏造、传播不实疫情信息。</w:t>
      </w:r>
    </w:p>
    <w:p>
      <w:pPr>
        <w:pStyle w:val="18"/>
        <w:widowControl/>
        <w:wordWrap/>
        <w:adjustRightInd/>
        <w:snapToGrid/>
        <w:spacing w:before="0" w:beforeAutospacing="0" w:afterAutospacing="0" w:line="560" w:lineRule="exact"/>
        <w:textAlignment w:val="auto"/>
        <w:rPr>
          <w:rFonts w:hint="eastAsia" w:ascii="仿宋" w:hAnsi="仿宋" w:eastAsia="仿宋" w:cs="仿宋"/>
          <w:sz w:val="32"/>
          <w:szCs w:val="32"/>
        </w:rPr>
      </w:pPr>
    </w:p>
    <w:p>
      <w:pPr>
        <w:wordWrap/>
        <w:adjustRightInd/>
        <w:snapToGrid/>
        <w:spacing w:afterAutospacing="0" w:line="560" w:lineRule="exact"/>
        <w:textAlignment w:val="auto"/>
        <w:rPr>
          <w:rFonts w:hint="eastAsia" w:ascii="Times New Roman" w:hAnsi="Times New Roman" w:eastAsia="宋体" w:cs="Times New Roman"/>
          <w:bCs/>
          <w:kern w:val="44"/>
          <w:sz w:val="44"/>
          <w:szCs w:val="44"/>
          <w:lang w:val="en-US" w:eastAsia="zh-CN" w:bidi="ar-SA"/>
        </w:rPr>
      </w:pPr>
      <w:r>
        <w:rPr>
          <w:rFonts w:hint="eastAsia" w:ascii="仿宋" w:hAnsi="仿宋" w:eastAsia="仿宋" w:cs="仿宋"/>
          <w:bCs/>
          <w:kern w:val="44"/>
          <w:sz w:val="32"/>
          <w:szCs w:val="32"/>
          <w:lang w:val="en-US" w:eastAsia="zh-CN" w:bidi="ar-SA"/>
        </w:rPr>
        <w:br w:type="page"/>
      </w: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72" w:name="_Toc25046"/>
      <w:r>
        <w:rPr>
          <w:rFonts w:hint="eastAsia" w:ascii="Times New Roman" w:hAnsi="Times New Roman" w:eastAsia="宋体" w:cs="Times New Roman"/>
          <w:bCs/>
          <w:kern w:val="44"/>
          <w:sz w:val="44"/>
          <w:szCs w:val="44"/>
          <w:lang w:val="en-US" w:eastAsia="zh-CN" w:bidi="ar-SA"/>
        </w:rPr>
        <w:t>广东省人力资源和社会保障厅关于积极应对新型冠状病毒感染肺炎疫情做好劳动关系</w:t>
      </w:r>
      <w:bookmarkEnd w:id="572"/>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73" w:name="_Toc13822"/>
      <w:r>
        <w:rPr>
          <w:rFonts w:hint="eastAsia" w:ascii="Times New Roman" w:hAnsi="Times New Roman" w:eastAsia="宋体" w:cs="Times New Roman"/>
          <w:bCs/>
          <w:kern w:val="44"/>
          <w:sz w:val="44"/>
          <w:szCs w:val="44"/>
          <w:lang w:val="en-US" w:eastAsia="zh-CN" w:bidi="ar-SA"/>
        </w:rPr>
        <w:t>相关工作的通知</w:t>
      </w:r>
      <w:bookmarkEnd w:id="561"/>
      <w:bookmarkEnd w:id="562"/>
      <w:bookmarkEnd w:id="563"/>
      <w:bookmarkEnd w:id="564"/>
      <w:bookmarkEnd w:id="565"/>
      <w:bookmarkEnd w:id="566"/>
      <w:bookmarkEnd w:id="567"/>
      <w:bookmarkEnd w:id="568"/>
      <w:bookmarkEnd w:id="569"/>
      <w:bookmarkEnd w:id="570"/>
      <w:bookmarkEnd w:id="573"/>
    </w:p>
    <w:p>
      <w:pPr>
        <w:widowControl w:val="0"/>
        <w:wordWrap/>
        <w:adjustRightInd/>
        <w:snapToGrid/>
        <w:spacing w:line="560" w:lineRule="exact"/>
        <w:ind w:right="0"/>
        <w:jc w:val="left"/>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各地级以上市人力资源和社会保障局：</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为做好新型冠状病毒感染的肺炎疫情防控工作，妥善处理好疫情防控期间劳动关系问题，维护职工合法权益，保障企业正常生产经营秩序，促进劳动关系和谐稳定，根据《人力资源社会保障部办公厅关于妥善处理新型冠状病毒感染的肺炎疫情防控期间劳动关系问题的通知》（人社厅发明电〔2020〕5号）精神，现就有关工作通知如下：</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黑体" w:hAnsi="黑体" w:eastAsia="黑体" w:cs="黑体"/>
          <w:sz w:val="32"/>
          <w:szCs w:val="32"/>
          <w:lang w:eastAsia="zh-CN"/>
        </w:rPr>
        <w:t>　</w:t>
      </w:r>
      <w:r>
        <w:rPr>
          <w:rFonts w:hint="eastAsia" w:ascii="黑体" w:hAnsi="黑体" w:eastAsia="黑体" w:cs="黑体"/>
          <w:sz w:val="32"/>
          <w:szCs w:val="32"/>
        </w:rPr>
        <w:t>一、全力维护劳动关系稳定</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企业不得依据劳动合同法第四十条、四十一条与在隔离治疗期间或医学观察期间以及因政府实施隔离措施或采取其他紧急措施不能提供正常劳动的新型冠状病毒感染的肺炎患者、疑似病人、密切接触者解除劳动合同。在职工隔离治疗期间或医学观察、政府实施隔离措施或采取其他紧急措施期间劳动合同到期的，分别顺延至职工医疗期期满、医学观察期期满、隔离期期满或者政府采取的紧急措施结束。</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二、保障职工工资报酬权益</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对新型冠状病毒感染的肺炎患者、疑似病人、密切接触者在其隔离治疗期间或医学观察期间以及因政府实施隔离措施或采取其他紧急措施导致不能提供正常劳动的职工，企业应当视同提供正常劳动并支付职工正常工作时间工资。</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黑体" w:hAnsi="黑体" w:eastAsia="黑体" w:cs="黑体"/>
          <w:sz w:val="32"/>
          <w:szCs w:val="32"/>
          <w:lang w:eastAsia="zh-CN"/>
        </w:rPr>
        <w:t>　</w:t>
      </w:r>
      <w:r>
        <w:rPr>
          <w:rFonts w:hint="eastAsia" w:ascii="黑体" w:hAnsi="黑体" w:eastAsia="黑体" w:cs="黑体"/>
          <w:sz w:val="32"/>
          <w:szCs w:val="32"/>
        </w:rPr>
        <w:t>三、合理安排未返粤复工职工休息休假</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对于因疫情未及时返粤复工的职工，经与职工协商一致，企业可以优先考虑安排职工带薪年休假。其中，职工累计工作已满1年不满10年的，年休假5天；已满10年不满20年的，年休假10天；已满20年的，年休假15天。职工在带薪年休假期间享受与正常工作期间相同的工资收入。</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四、保障企业正常生产经营秩序</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企业因受疫情影响导致生产经营困难的，可以通过与职工协商一致采取调整薪酬、轮岗轮休、缩短工时、待岗等方式稳定工作岗位，尽量不裁员或者少裁员。鼓励受疫情影响的企业采取集中工作、集中休息方式保持正常生产经营。符合条件的企业，可按规定享受稳岗补贴。</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五、保障职工停工停产期间待遇</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企业因受疫情影响导致停工停产的，未超过一个工资支付周期（最长三十日）的，应当按照正常工作时间支付工资。超过一个工资支付周期的，可以根据职工提供的劳动，按照双方新约定的标准支付工资；企业没有安排职工工作的，应当按照不低于当地最低工资标准的80%支付职工生活费，生活费发放至企业复工、复产或者解除劳动关系。</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六、加强劳动人事争议预防调处</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引导受疫情影响的当事人通过粤省事微信小程序申请先行调解，通过电话调解、在线视频调解等非接触即时沟通方式，异地化解纠纷，减少当事人往返和聚集次数。因受疫情影响造成当事人不能在法定仲裁时效期间申请劳动人事争议仲裁的，仲裁时效中止。从中止时效的原因消除之日起，仲裁时效期间继续计算。受疫情影响的当事人或代理人，无法到仲裁机构参加庭审的，可以向仲裁机构申请延期开庭审理。因受疫情影响导致劳动人事争议仲裁机构难以按法定时限审理案件的，可相应顺延审理期限。</w:t>
      </w:r>
    </w:p>
    <w:p>
      <w:pPr>
        <w:widowControl w:val="0"/>
        <w:wordWrap/>
        <w:adjustRightInd/>
        <w:snapToGrid/>
        <w:spacing w:line="560" w:lineRule="exact"/>
        <w:ind w:right="0"/>
        <w:jc w:val="left"/>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七、做好服务指导和监测处置工作</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人力资源社会保障部门要落实属地责任，加强对受疫情影响企业的劳动用工指导，加大劳动关系风险预测预警力度，切实维护职工合法权益。要结合疫情防控工作要求，加强对用工密集、人员流动性大的企业的用工监测，有效防范和处置突发情况。</w:t>
      </w:r>
    </w:p>
    <w:p>
      <w:pPr>
        <w:widowControl w:val="0"/>
        <w:wordWrap/>
        <w:adjustRightInd/>
        <w:snapToGrid/>
        <w:spacing w:line="560" w:lineRule="exact"/>
        <w:ind w:right="0" w:firstLine="420"/>
        <w:jc w:val="left"/>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广东省人力资源和社会保障厅</w:t>
      </w:r>
    </w:p>
    <w:p>
      <w:pPr>
        <w:widowControl w:val="0"/>
        <w:wordWrap/>
        <w:adjustRightInd/>
        <w:snapToGrid/>
        <w:spacing w:line="560" w:lineRule="exact"/>
        <w:ind w:right="0" w:firstLine="4800" w:firstLineChars="15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2020年1月25日</w:t>
      </w: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28"/>
          <w:szCs w:val="28"/>
        </w:rPr>
      </w:pPr>
    </w:p>
    <w:p>
      <w:pPr>
        <w:widowControl w:val="0"/>
        <w:wordWrap/>
        <w:adjustRightInd/>
        <w:snapToGrid/>
        <w:spacing w:line="560" w:lineRule="exact"/>
        <w:ind w:right="0"/>
        <w:jc w:val="left"/>
        <w:textAlignment w:val="auto"/>
        <w:outlineLvl w:val="9"/>
        <w:rPr>
          <w:rFonts w:hint="eastAsia" w:ascii="Times New Roman" w:hAnsi="Times New Roman" w:cs="Times New Roman"/>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widowControl w:val="0"/>
        <w:wordWrap/>
        <w:adjustRightInd/>
        <w:snapToGrid/>
        <w:spacing w:line="560" w:lineRule="exact"/>
        <w:ind w:right="0"/>
        <w:jc w:val="center"/>
        <w:textAlignment w:val="auto"/>
        <w:outlineLvl w:val="9"/>
        <w:rPr>
          <w:rFonts w:hint="eastAsia" w:ascii="方正小标宋_GBK" w:hAnsi="方正小标宋_GBK" w:eastAsia="方正小标宋_GBK" w:cs="方正小标宋_GBK"/>
          <w:sz w:val="24"/>
          <w:szCs w:val="24"/>
        </w:rPr>
      </w:pPr>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74" w:name="_Toc24535"/>
      <w:bookmarkStart w:id="575" w:name="_Toc2631"/>
      <w:bookmarkStart w:id="576" w:name="_Toc29322"/>
      <w:bookmarkStart w:id="577" w:name="_Toc354"/>
      <w:bookmarkStart w:id="578" w:name="_Toc28953"/>
      <w:bookmarkStart w:id="579" w:name="_Toc29192"/>
      <w:bookmarkStart w:id="580" w:name="_Toc1982"/>
      <w:bookmarkStart w:id="581" w:name="_Toc15030"/>
      <w:bookmarkStart w:id="582" w:name="_Toc22655"/>
      <w:bookmarkStart w:id="583" w:name="_Toc7745"/>
      <w:r>
        <w:rPr>
          <w:rFonts w:hint="eastAsia" w:ascii="Times New Roman" w:hAnsi="Times New Roman" w:eastAsia="宋体" w:cs="Times New Roman"/>
          <w:bCs/>
          <w:kern w:val="44"/>
          <w:sz w:val="44"/>
          <w:szCs w:val="44"/>
          <w:lang w:val="en-US" w:eastAsia="zh-CN" w:bidi="ar-SA"/>
        </w:rPr>
        <w:t>广东省人力资源和社会保障厅 广东省财政厅</w:t>
      </w:r>
      <w:r>
        <w:rPr>
          <w:rFonts w:hint="eastAsia" w:eastAsia="宋体" w:cs="Times New Roman"/>
          <w:bCs/>
          <w:kern w:val="44"/>
          <w:sz w:val="44"/>
          <w:szCs w:val="44"/>
          <w:lang w:val="en-US" w:eastAsia="zh-CN" w:bidi="ar-SA"/>
        </w:rPr>
        <w:t xml:space="preserve"> </w:t>
      </w:r>
      <w:r>
        <w:rPr>
          <w:rFonts w:hint="eastAsia" w:ascii="Times New Roman" w:hAnsi="Times New Roman" w:eastAsia="宋体" w:cs="Times New Roman"/>
          <w:bCs/>
          <w:kern w:val="44"/>
          <w:sz w:val="44"/>
          <w:szCs w:val="44"/>
          <w:lang w:val="en-US" w:eastAsia="zh-CN" w:bidi="ar-SA"/>
        </w:rPr>
        <w:t xml:space="preserve">  广东省卫生健康委员会转发人力资源社会保障部 财政部 国家卫生健康委关于因履行工作</w:t>
      </w:r>
      <w:bookmarkEnd w:id="574"/>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84" w:name="_Toc17484"/>
      <w:r>
        <w:rPr>
          <w:rFonts w:hint="eastAsia" w:ascii="Times New Roman" w:hAnsi="Times New Roman" w:eastAsia="宋体" w:cs="Times New Roman"/>
          <w:bCs/>
          <w:kern w:val="44"/>
          <w:sz w:val="44"/>
          <w:szCs w:val="44"/>
          <w:lang w:val="en-US" w:eastAsia="zh-CN" w:bidi="ar-SA"/>
        </w:rPr>
        <w:t>职责感染新型冠状病毒肺炎的医护及相关</w:t>
      </w:r>
      <w:bookmarkEnd w:id="584"/>
    </w:p>
    <w:p>
      <w:pPr>
        <w:keepNext/>
        <w:keepLines/>
        <w:widowControl w:val="0"/>
        <w:spacing w:line="700" w:lineRule="exact"/>
        <w:jc w:val="center"/>
        <w:outlineLvl w:val="0"/>
        <w:rPr>
          <w:rFonts w:hint="eastAsia" w:ascii="Times New Roman" w:hAnsi="Times New Roman" w:eastAsia="宋体" w:cs="Times New Roman"/>
          <w:bCs/>
          <w:kern w:val="44"/>
          <w:sz w:val="44"/>
          <w:szCs w:val="44"/>
          <w:lang w:val="en-US" w:eastAsia="zh-CN" w:bidi="ar-SA"/>
        </w:rPr>
      </w:pPr>
      <w:bookmarkStart w:id="585" w:name="_Toc12833"/>
      <w:r>
        <w:rPr>
          <w:rFonts w:hint="eastAsia" w:ascii="Times New Roman" w:hAnsi="Times New Roman" w:eastAsia="宋体" w:cs="Times New Roman"/>
          <w:bCs/>
          <w:kern w:val="44"/>
          <w:sz w:val="44"/>
          <w:szCs w:val="44"/>
          <w:lang w:val="en-US" w:eastAsia="zh-CN" w:bidi="ar-SA"/>
        </w:rPr>
        <w:t>工作人员有关保障问题的通知</w:t>
      </w:r>
      <w:bookmarkEnd w:id="575"/>
      <w:bookmarkEnd w:id="576"/>
      <w:bookmarkEnd w:id="577"/>
      <w:bookmarkEnd w:id="578"/>
      <w:bookmarkEnd w:id="579"/>
      <w:bookmarkEnd w:id="580"/>
      <w:bookmarkEnd w:id="581"/>
      <w:bookmarkEnd w:id="582"/>
      <w:bookmarkEnd w:id="583"/>
      <w:bookmarkEnd w:id="585"/>
    </w:p>
    <w:p>
      <w:pPr>
        <w:widowControl w:val="0"/>
        <w:wordWrap/>
        <w:adjustRightInd/>
        <w:snapToGrid/>
        <w:spacing w:line="580" w:lineRule="exact"/>
        <w:ind w:right="0" w:firstLine="420"/>
        <w:jc w:val="center"/>
        <w:textAlignment w:val="auto"/>
        <w:outlineLvl w:val="9"/>
        <w:rPr>
          <w:rFonts w:hint="eastAsia" w:ascii="楷体" w:hAnsi="楷体" w:eastAsia="楷体" w:cs="楷体"/>
          <w:sz w:val="32"/>
          <w:szCs w:val="32"/>
        </w:rPr>
      </w:pPr>
    </w:p>
    <w:p>
      <w:pPr>
        <w:widowControl w:val="0"/>
        <w:wordWrap/>
        <w:adjustRightInd/>
        <w:snapToGrid/>
        <w:spacing w:line="580" w:lineRule="exact"/>
        <w:ind w:right="0" w:firstLine="420"/>
        <w:jc w:val="center"/>
        <w:textAlignment w:val="auto"/>
        <w:outlineLvl w:val="9"/>
        <w:rPr>
          <w:rFonts w:hint="eastAsia" w:ascii="仿宋_GB2312" w:hAnsi="仿宋_GB2312" w:eastAsia="仿宋_GB2312" w:cs="仿宋_GB2312"/>
          <w:sz w:val="28"/>
          <w:szCs w:val="28"/>
        </w:rPr>
      </w:pPr>
      <w:r>
        <w:rPr>
          <w:rFonts w:hint="eastAsia" w:ascii="楷体" w:hAnsi="楷体" w:eastAsia="楷体" w:cs="楷体"/>
          <w:sz w:val="32"/>
          <w:szCs w:val="32"/>
        </w:rPr>
        <w:t>粤人社函〔2020〕17号</w:t>
      </w:r>
    </w:p>
    <w:p>
      <w:pPr>
        <w:widowControl w:val="0"/>
        <w:wordWrap/>
        <w:adjustRightInd/>
        <w:snapToGrid/>
        <w:spacing w:line="580" w:lineRule="exact"/>
        <w:ind w:right="0" w:firstLine="420"/>
        <w:jc w:val="left"/>
        <w:textAlignment w:val="auto"/>
        <w:outlineLvl w:val="9"/>
        <w:rPr>
          <w:rFonts w:hint="eastAsia" w:ascii="仿宋_GB2312" w:hAnsi="仿宋_GB2312" w:eastAsia="仿宋_GB2312" w:cs="仿宋_GB2312"/>
          <w:sz w:val="28"/>
          <w:szCs w:val="28"/>
        </w:rPr>
      </w:pPr>
    </w:p>
    <w:p>
      <w:pPr>
        <w:widowControl w:val="0"/>
        <w:wordWrap/>
        <w:adjustRightInd/>
        <w:snapToGrid/>
        <w:spacing w:line="560" w:lineRule="exact"/>
        <w:ind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各地级以上市人力资源和社会保障局、财政局、卫生健康委（局）：</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现将《人力资源社会保障部 财政部 国家卫生健康委关于因履行工作职责感染新型冠状病毒肺炎的医护及相关工作人员有关保障问题的通知》（人社部函〔2020〕11号）转发给你们，并结合我省实际提出以下意见，请一并贯彻执行。</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 一、切实做好工伤认定工作。</w:t>
      </w:r>
      <w:r>
        <w:rPr>
          <w:rFonts w:hint="eastAsia" w:ascii="仿宋_GB2312" w:hAnsi="仿宋_GB2312" w:eastAsia="仿宋_GB2312" w:cs="仿宋_GB2312"/>
          <w:sz w:val="32"/>
          <w:szCs w:val="32"/>
        </w:rPr>
        <w:t>对于参与新型冠状病毒感染的肺炎疫情防控处置的医护、防疫等有关工作人员因履行工作职责而感染新型冠状病毒肺炎的，应参照《广东省工伤保险条例》第九条第一项规定认定为工伤。对于用人单位指派到湖北省出差（工作）的职工感染新型冠状病毒肺炎的，应参照《广东省工伤保险条例》第十条第四项规定视同工伤。因新型冠状病毒感染的肺炎疫情防控处置和救治等特殊原因的，用人单位申请工伤认定时限予以适当延长。</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 xml:space="preserve"> 二、切实做好工伤医疗救治工作。</w:t>
      </w:r>
      <w:r>
        <w:rPr>
          <w:rFonts w:hint="eastAsia" w:ascii="仿宋_GB2312" w:hAnsi="仿宋_GB2312" w:eastAsia="仿宋_GB2312" w:cs="仿宋_GB2312"/>
          <w:sz w:val="32"/>
          <w:szCs w:val="32"/>
        </w:rPr>
        <w:t>依法保障工伤职工享受工伤医疗救治等工伤保险待遇权利。对于感染新型冠状病毒肺炎的工伤职工救治使用的国家卫生健康委《新型冠状病毒感染的肺炎诊疗方案》所涵盖的药品和诊疗项目以及其使用有关住院服务设施费用，纳入工伤保险基金支付范围。根据《广东省工伤保险条例》第二十一条第四款规定，工伤职工在认定工伤前已由基本医疗保险基金按照规定支付的医疗费用，在认定工伤后由工伤保险基金按照规定向基本医疗保险基金结算。</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rPr>
        <w:t>三、切实做好工伤保险服务工作。</w:t>
      </w:r>
      <w:r>
        <w:rPr>
          <w:rFonts w:hint="eastAsia" w:ascii="仿宋_GB2312" w:hAnsi="仿宋_GB2312" w:eastAsia="仿宋_GB2312" w:cs="仿宋_GB2312"/>
          <w:sz w:val="32"/>
          <w:szCs w:val="32"/>
        </w:rPr>
        <w:t>各地区人力资源社会保障部门遇有感染新型冠状病毒肺炎相关的工伤申报案件，要开通绿色通道，提供优先服务，缩短办理时限，积极主动指导相关单位依法及时落实工伤保险待遇，并请及时向省人力资源社会保障厅报告有关处理情况。</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lang w:val="en-US" w:eastAsia="zh-CN"/>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widowControl w:val="0"/>
        <w:wordWrap/>
        <w:adjustRightInd/>
        <w:snapToGrid/>
        <w:spacing w:line="560" w:lineRule="exact"/>
        <w:ind w:right="0" w:firstLine="3296" w:firstLineChars="1030"/>
        <w:jc w:val="righ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广东省人力资源和社会保障厅</w:t>
      </w:r>
      <w:r>
        <w:rPr>
          <w:rFonts w:hint="eastAsia" w:ascii="仿宋_GB2312" w:hAnsi="仿宋_GB2312" w:eastAsia="仿宋_GB2312" w:cs="仿宋_GB2312"/>
          <w:sz w:val="32"/>
          <w:szCs w:val="32"/>
          <w:lang w:val="en-US" w:eastAsia="zh-CN"/>
        </w:rPr>
        <w:t xml:space="preserve">     </w:t>
      </w:r>
    </w:p>
    <w:p>
      <w:pPr>
        <w:widowControl w:val="0"/>
        <w:wordWrap/>
        <w:adjustRightInd/>
        <w:snapToGrid/>
        <w:spacing w:line="560" w:lineRule="exact"/>
        <w:ind w:right="0" w:firstLine="5532" w:firstLineChars="1729"/>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广东省财政厅</w:t>
      </w:r>
    </w:p>
    <w:p>
      <w:pPr>
        <w:widowControl w:val="0"/>
        <w:wordWrap/>
        <w:adjustRightInd/>
        <w:snapToGrid/>
        <w:spacing w:line="560" w:lineRule="exact"/>
        <w:ind w:right="0" w:firstLine="420"/>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广东省卫生健康委员会</w:t>
      </w:r>
    </w:p>
    <w:p>
      <w:pPr>
        <w:widowControl w:val="0"/>
        <w:wordWrap/>
        <w:adjustRightInd/>
        <w:snapToGrid/>
        <w:spacing w:line="560" w:lineRule="exact"/>
        <w:ind w:right="0" w:firstLine="5120" w:firstLineChars="1600"/>
        <w:jc w:val="right"/>
        <w:textAlignment w:val="auto"/>
        <w:outlineLvl w:val="9"/>
        <w:rPr>
          <w:rFonts w:hint="eastAsia" w:ascii="宋体" w:hAnsi="宋体" w:eastAsia="宋体" w:cs="宋体"/>
          <w:b w:val="0"/>
          <w:bCs w:val="0"/>
          <w:color w:val="auto"/>
          <w:kern w:val="44"/>
          <w:sz w:val="44"/>
          <w:szCs w:val="44"/>
          <w:lang w:val="en-US" w:eastAsia="zh-CN" w:bidi="ar-SA"/>
        </w:rPr>
      </w:pPr>
      <w:r>
        <w:rPr>
          <w:rFonts w:hint="eastAsia" w:ascii="仿宋_GB2312" w:hAnsi="仿宋_GB2312" w:eastAsia="仿宋_GB2312" w:cs="仿宋_GB2312"/>
          <w:sz w:val="32"/>
          <w:szCs w:val="32"/>
        </w:rPr>
        <w:t>2020年1月24日</w:t>
      </w:r>
    </w:p>
    <w:p>
      <w:pPr>
        <w:pStyle w:val="4"/>
        <w:spacing w:before="0" w:after="0" w:line="700" w:lineRule="exact"/>
        <w:jc w:val="center"/>
        <w:rPr>
          <w:rFonts w:hint="eastAsia" w:ascii="Times New Roman" w:hAnsi="Times New Roman" w:eastAsia="宋体" w:cs="Times New Roman"/>
          <w:b w:val="0"/>
          <w:lang w:val="en-US" w:eastAsia="zh-CN"/>
        </w:rPr>
      </w:pPr>
      <w:r>
        <w:rPr>
          <w:rFonts w:hint="eastAsia" w:ascii="宋体" w:hAnsi="宋体" w:eastAsia="宋体" w:cs="宋体"/>
          <w:b w:val="0"/>
          <w:bCs w:val="0"/>
          <w:color w:val="auto"/>
          <w:kern w:val="44"/>
          <w:sz w:val="44"/>
          <w:szCs w:val="44"/>
          <w:lang w:val="en-US" w:eastAsia="zh-CN" w:bidi="ar-SA"/>
        </w:rPr>
        <w:br w:type="page"/>
      </w:r>
      <w:bookmarkStart w:id="586" w:name="_Toc14047"/>
      <w:bookmarkStart w:id="587" w:name="_Toc1650"/>
      <w:bookmarkStart w:id="588" w:name="_Toc4812"/>
      <w:bookmarkStart w:id="589" w:name="_Toc10935"/>
      <w:bookmarkStart w:id="590" w:name="_Toc16691"/>
      <w:bookmarkStart w:id="591" w:name="_Toc1055"/>
      <w:bookmarkStart w:id="592" w:name="_Toc9617"/>
      <w:bookmarkStart w:id="593" w:name="_Toc4981"/>
      <w:bookmarkStart w:id="594" w:name="_Toc14216"/>
      <w:bookmarkStart w:id="595" w:name="_Toc28387"/>
      <w:r>
        <w:rPr>
          <w:rFonts w:hint="eastAsia" w:ascii="宋体" w:hAnsi="宋体" w:eastAsia="宋体" w:cs="宋体"/>
          <w:b w:val="0"/>
          <w:bCs w:val="0"/>
          <w:color w:val="auto"/>
          <w:kern w:val="44"/>
          <w:sz w:val="44"/>
          <w:szCs w:val="44"/>
          <w:lang w:val="en-US" w:eastAsia="zh-CN" w:bidi="ar-SA"/>
        </w:rPr>
        <w:t>广东省防控新型冠状病毒感染的肺炎疫情工作领导小组办公室</w:t>
      </w:r>
      <w:r>
        <w:rPr>
          <w:rFonts w:hint="eastAsia" w:ascii="Times New Roman" w:hAnsi="Times New Roman" w:eastAsia="宋体" w:cs="Times New Roman"/>
          <w:b w:val="0"/>
          <w:lang w:val="en-US" w:eastAsia="zh-CN"/>
        </w:rPr>
        <w:t>关于印发广东省新型冠状病毒感染的肺炎重点场所预防控制工作指引的通知</w:t>
      </w:r>
      <w:bookmarkEnd w:id="586"/>
      <w:bookmarkEnd w:id="587"/>
      <w:bookmarkEnd w:id="588"/>
      <w:bookmarkEnd w:id="589"/>
      <w:bookmarkEnd w:id="590"/>
      <w:bookmarkEnd w:id="591"/>
      <w:bookmarkEnd w:id="592"/>
      <w:bookmarkEnd w:id="593"/>
      <w:bookmarkEnd w:id="594"/>
      <w:bookmarkEnd w:id="595"/>
    </w:p>
    <w:p>
      <w:pPr>
        <w:widowControl w:val="0"/>
        <w:wordWrap/>
        <w:adjustRightInd/>
        <w:snapToGrid/>
        <w:spacing w:line="560" w:lineRule="exact"/>
        <w:ind w:right="0" w:firstLine="2656" w:firstLineChars="830"/>
        <w:jc w:val="both"/>
        <w:textAlignment w:val="auto"/>
        <w:outlineLvl w:val="9"/>
        <w:rPr>
          <w:rFonts w:hint="eastAsia" w:ascii="楷体" w:hAnsi="楷体" w:eastAsia="楷体" w:cs="楷体"/>
          <w:bCs/>
          <w:kern w:val="44"/>
          <w:sz w:val="32"/>
          <w:szCs w:val="32"/>
          <w:lang w:val="en-US" w:eastAsia="zh-CN" w:bidi="ar-SA"/>
        </w:rPr>
      </w:pPr>
    </w:p>
    <w:p>
      <w:pPr>
        <w:widowControl w:val="0"/>
        <w:wordWrap/>
        <w:adjustRightInd/>
        <w:snapToGrid/>
        <w:spacing w:line="560" w:lineRule="exact"/>
        <w:ind w:right="0" w:firstLine="2656" w:firstLineChars="830"/>
        <w:jc w:val="both"/>
        <w:textAlignment w:val="auto"/>
        <w:outlineLvl w:val="9"/>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（粤卫函〔2020〕4号）</w:t>
      </w: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各地级以上市防控新型冠状病毒感染的肺炎疫情工作领导小组、省防控新型冠状病毒感染的肺炎疫情工作领导小组相关成员单位：</w:t>
      </w:r>
    </w:p>
    <w:p>
      <w:pPr>
        <w:widowControl w:val="0"/>
        <w:wordWrap/>
        <w:adjustRightInd/>
        <w:snapToGrid/>
        <w:spacing w:line="560" w:lineRule="exact"/>
        <w:ind w:right="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前，多地报告新型冠状病毒感染的肺炎确诊病例和疑似病例，疫情防控形势非常严峻。我省启动了重大突发公共卫生事件一级响应。为贯彻落实党中央国务院、省委省政府的部署，我办制定了公共场所、公共交通工具、小学及托幼机构、大专院校、职业技术学校及初高级中学、企事业等集体单位、养老院、普通家庭等10种重点场所预防控制指引。现印发给你们，请参照执行。</w:t>
      </w:r>
    </w:p>
    <w:p>
      <w:pPr>
        <w:widowControl w:val="0"/>
        <w:wordWrap/>
        <w:adjustRightInd/>
        <w:snapToGrid/>
        <w:spacing w:line="560" w:lineRule="exact"/>
        <w:ind w:right="0" w:firstLine="420"/>
        <w:jc w:val="both"/>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left="2240" w:leftChars="200" w:right="0" w:hanging="1600" w:hangingChars="500"/>
        <w:jc w:val="both"/>
        <w:textAlignment w:val="auto"/>
        <w:outlineLvl w:val="9"/>
        <w:rPr>
          <w:rFonts w:hint="eastAsia" w:ascii="仿宋_GB2312" w:hAnsi="仿宋_GB2312" w:cs="仿宋_GB2312"/>
          <w:sz w:val="32"/>
          <w:szCs w:val="32"/>
          <w:lang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"http://wsjkw.gd.gov.cn/attachment/0/385/385668/2881153.docx" \t "http://wsjkw.gd.gov.cn/zwgk_bmwj/content/_blank"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1.普通家庭新型冠状病毒感染的肺炎预防控制</w:t>
      </w:r>
      <w:r>
        <w:rPr>
          <w:rFonts w:hint="eastAsia" w:ascii="仿宋_GB2312" w:hAnsi="仿宋_GB2312" w:cs="仿宋_GB2312"/>
          <w:sz w:val="32"/>
          <w:szCs w:val="32"/>
          <w:lang w:eastAsia="zh-CN"/>
        </w:rPr>
        <w:t>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cs="仿宋_GB2312"/>
          <w:sz w:val="32"/>
          <w:szCs w:val="32"/>
          <w:lang w:eastAsia="zh-CN"/>
        </w:rPr>
      </w:pPr>
      <w:r>
        <w:rPr>
          <w:rFonts w:hint="eastAsia" w:ascii="仿宋_GB2312" w:hAnsi="仿宋_GB2312" w:cs="仿宋_GB2312"/>
          <w:sz w:val="32"/>
          <w:szCs w:val="32"/>
          <w:lang w:val="en-US" w:eastAsia="zh-CN"/>
        </w:rPr>
        <w:t xml:space="preserve">          2.</w:t>
      </w:r>
      <w:r>
        <w:rPr>
          <w:rFonts w:hint="eastAsia" w:ascii="仿宋_GB2312" w:hAnsi="仿宋_GB2312" w:eastAsia="仿宋_GB2312" w:cs="仿宋_GB2312"/>
          <w:sz w:val="32"/>
          <w:szCs w:val="32"/>
        </w:rPr>
        <w:t>公共场所新型冠状病毒感染的肺炎预防控制</w:t>
      </w:r>
      <w:r>
        <w:rPr>
          <w:rFonts w:hint="eastAsia" w:ascii="仿宋_GB2312" w:hAnsi="仿宋_GB2312" w:cs="仿宋_GB2312"/>
          <w:sz w:val="32"/>
          <w:szCs w:val="32"/>
          <w:lang w:eastAsia="zh-CN"/>
        </w:rPr>
        <w:t>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cs="仿宋_GB2312"/>
          <w:sz w:val="32"/>
          <w:szCs w:val="32"/>
          <w:lang w:eastAsia="zh-CN"/>
        </w:rPr>
      </w:pPr>
      <w:r>
        <w:rPr>
          <w:rFonts w:hint="eastAsia" w:ascii="仿宋_GB2312" w:hAnsi="仿宋_GB2312" w:cs="仿宋_GB2312"/>
          <w:sz w:val="32"/>
          <w:szCs w:val="32"/>
          <w:lang w:val="en-US" w:eastAsia="zh-CN"/>
        </w:rPr>
        <w:t xml:space="preserve">          3.</w:t>
      </w:r>
      <w:r>
        <w:rPr>
          <w:rFonts w:hint="eastAsia" w:ascii="仿宋_GB2312" w:hAnsi="仿宋_GB2312" w:eastAsia="仿宋_GB2312" w:cs="仿宋_GB2312"/>
          <w:sz w:val="32"/>
          <w:szCs w:val="32"/>
        </w:rPr>
        <w:t>公共场所新型冠状病毒感染的肺炎预防控制</w:t>
      </w:r>
      <w:r>
        <w:rPr>
          <w:rFonts w:hint="eastAsia" w:ascii="仿宋_GB2312" w:hAnsi="仿宋_GB2312" w:cs="仿宋_GB2312"/>
          <w:sz w:val="32"/>
          <w:szCs w:val="32"/>
          <w:lang w:eastAsia="zh-CN"/>
        </w:rPr>
        <w:t>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4.</w:t>
      </w:r>
      <w:r>
        <w:rPr>
          <w:rFonts w:hint="eastAsia" w:ascii="仿宋_GB2312" w:hAnsi="仿宋_GB2312" w:eastAsia="仿宋_GB2312" w:cs="仿宋_GB2312"/>
          <w:sz w:val="32"/>
          <w:szCs w:val="32"/>
        </w:rPr>
        <w:t>火车站、高铁站、地铁站、汽车客运站、飞机场和</w:t>
      </w:r>
    </w:p>
    <w:p>
      <w:pPr>
        <w:widowControl w:val="0"/>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港口码头新型冠状病毒感染的肺炎预防控制指引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 xml:space="preserve">          5.</w:t>
      </w:r>
      <w:r>
        <w:rPr>
          <w:rFonts w:hint="eastAsia" w:ascii="仿宋_GB2312" w:hAnsi="仿宋_GB2312" w:eastAsia="仿宋_GB2312" w:cs="仿宋_GB2312"/>
          <w:sz w:val="32"/>
          <w:szCs w:val="32"/>
        </w:rPr>
        <w:t>小学及托幼机构新型冠状病毒感染的肺炎预防控</w:t>
      </w:r>
      <w:r>
        <w:rPr>
          <w:rFonts w:hint="eastAsia" w:ascii="仿宋_GB2312" w:hAnsi="仿宋_GB2312" w:cs="仿宋_GB2312"/>
          <w:sz w:val="32"/>
          <w:szCs w:val="32"/>
          <w:lang w:val="en-US" w:eastAsia="zh-CN"/>
        </w:rPr>
        <w:t xml:space="preserve">    </w:t>
      </w:r>
    </w:p>
    <w:p>
      <w:pPr>
        <w:widowControl w:val="0"/>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制指引</w:t>
      </w:r>
    </w:p>
    <w:p>
      <w:pPr>
        <w:widowControl w:val="0"/>
        <w:wordWrap/>
        <w:adjustRightInd/>
        <w:snapToGrid/>
        <w:spacing w:line="560" w:lineRule="exact"/>
        <w:ind w:left="1920" w:leftChars="0" w:right="0" w:hanging="1920" w:hangingChars="60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6.</w:t>
      </w:r>
      <w:r>
        <w:rPr>
          <w:rFonts w:hint="eastAsia" w:ascii="仿宋_GB2312" w:hAnsi="仿宋_GB2312" w:eastAsia="仿宋_GB2312" w:cs="仿宋_GB2312"/>
          <w:sz w:val="32"/>
          <w:szCs w:val="32"/>
        </w:rPr>
        <w:t>大专院校、职业技术学校及初高级中学新型冠状病毒感染的肺炎预防控制指引</w:t>
      </w:r>
    </w:p>
    <w:p>
      <w:pPr>
        <w:widowControl w:val="0"/>
        <w:wordWrap/>
        <w:adjustRightInd/>
        <w:snapToGrid/>
        <w:spacing w:line="560" w:lineRule="exact"/>
        <w:ind w:left="1920" w:leftChars="0" w:right="0" w:hanging="1920" w:hangingChars="60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 xml:space="preserve">          7.</w:t>
      </w:r>
      <w:r>
        <w:rPr>
          <w:rFonts w:hint="eastAsia" w:ascii="仿宋_GB2312" w:hAnsi="仿宋_GB2312" w:eastAsia="仿宋_GB2312" w:cs="仿宋_GB2312"/>
          <w:sz w:val="32"/>
          <w:szCs w:val="32"/>
        </w:rPr>
        <w:t>企事业等集体单位新型冠状病毒感染的肺炎预防控制指引</w:t>
      </w:r>
    </w:p>
    <w:p>
      <w:pPr>
        <w:widowControl w:val="0"/>
        <w:wordWrap/>
        <w:adjustRightInd/>
        <w:snapToGrid/>
        <w:spacing w:line="560" w:lineRule="exact"/>
        <w:ind w:left="1920" w:leftChars="0" w:right="0" w:hanging="1920" w:hangingChars="6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 xml:space="preserve">          8.</w:t>
      </w:r>
      <w:r>
        <w:rPr>
          <w:rFonts w:hint="eastAsia" w:ascii="仿宋_GB2312" w:hAnsi="仿宋_GB2312" w:eastAsia="仿宋_GB2312" w:cs="仿宋_GB2312"/>
          <w:sz w:val="32"/>
          <w:szCs w:val="32"/>
        </w:rPr>
        <w:t>养老机构新型冠状病毒感染的肺炎预防控制指引</w:t>
      </w:r>
    </w:p>
    <w:p>
      <w:pPr>
        <w:widowControl w:val="0"/>
        <w:wordWrap/>
        <w:adjustRightInd/>
        <w:snapToGrid/>
        <w:spacing w:line="560" w:lineRule="exact"/>
        <w:ind w:left="0" w:leftChars="0" w:right="0" w:firstLine="0" w:firstLine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r>
        <w:rPr>
          <w:rFonts w:hint="eastAsia" w:ascii="仿宋_GB2312" w:hAnsi="仿宋_GB2312" w:cs="仿宋_GB2312"/>
          <w:sz w:val="32"/>
          <w:szCs w:val="32"/>
          <w:lang w:val="en-US" w:eastAsia="zh-CN"/>
        </w:rPr>
        <w:t xml:space="preserve">          9.</w:t>
      </w:r>
      <w:r>
        <w:rPr>
          <w:rFonts w:hint="eastAsia" w:ascii="仿宋_GB2312" w:hAnsi="仿宋_GB2312" w:eastAsia="仿宋_GB2312" w:cs="仿宋_GB2312"/>
          <w:sz w:val="32"/>
          <w:szCs w:val="32"/>
        </w:rPr>
        <w:t>畜禽养殖、运输、屠宰场所新型冠状病毒感染的肺</w:t>
      </w:r>
    </w:p>
    <w:p>
      <w:pPr>
        <w:widowControl w:val="0"/>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炎预防控制指引</w:t>
      </w:r>
    </w:p>
    <w:p>
      <w:pPr>
        <w:widowControl w:val="0"/>
        <w:numPr>
          <w:ilvl w:val="0"/>
          <w:numId w:val="0"/>
        </w:numPr>
        <w:wordWrap/>
        <w:adjustRightInd/>
        <w:snapToGrid/>
        <w:spacing w:line="560" w:lineRule="exact"/>
        <w:ind w:left="0" w:leftChars="0" w:right="0"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11.</w:t>
      </w:r>
      <w:r>
        <w:rPr>
          <w:rFonts w:hint="eastAsia" w:ascii="仿宋_GB2312" w:hAnsi="仿宋_GB2312" w:eastAsia="仿宋_GB2312" w:cs="仿宋_GB2312"/>
          <w:sz w:val="32"/>
          <w:szCs w:val="32"/>
        </w:rPr>
        <w:t>农贸交易市场预防新型冠状病毒感染的肺炎疫情</w:t>
      </w:r>
    </w:p>
    <w:p>
      <w:pPr>
        <w:widowControl w:val="0"/>
        <w:numPr>
          <w:ilvl w:val="0"/>
          <w:numId w:val="0"/>
        </w:numPr>
        <w:wordWrap/>
        <w:adjustRightInd/>
        <w:snapToGrid/>
        <w:spacing w:line="560" w:lineRule="exact"/>
        <w:ind w:left="0" w:leftChars="0" w:right="0" w:firstLine="1920" w:firstLineChars="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预防控制指引</w:t>
      </w:r>
    </w:p>
    <w:p>
      <w:pPr>
        <w:widowControl w:val="0"/>
        <w:wordWrap/>
        <w:adjustRightInd/>
        <w:snapToGrid/>
        <w:spacing w:line="560" w:lineRule="exact"/>
        <w:ind w:right="0" w:firstLine="1600" w:firstLineChars="500"/>
        <w:jc w:val="both"/>
        <w:textAlignment w:val="auto"/>
        <w:outlineLvl w:val="9"/>
        <w:rPr>
          <w:rFonts w:hint="eastAsia" w:ascii="仿宋_GB2312" w:hAnsi="仿宋_GB2312" w:eastAsia="仿宋_GB2312" w:cs="仿宋_GB2312"/>
          <w:sz w:val="32"/>
          <w:szCs w:val="32"/>
        </w:rPr>
      </w:pPr>
    </w:p>
    <w:p>
      <w:pPr>
        <w:widowControl w:val="0"/>
        <w:wordWrap/>
        <w:adjustRightInd/>
        <w:snapToGrid/>
        <w:spacing w:line="560" w:lineRule="exact"/>
        <w:ind w:right="0" w:firstLine="1600" w:firstLineChars="500"/>
        <w:jc w:val="both"/>
        <w:textAlignment w:val="auto"/>
        <w:outlineLvl w:val="9"/>
        <w:rPr>
          <w:rFonts w:hint="eastAsia" w:ascii="仿宋_GB2312" w:hAnsi="仿宋_GB2312" w:eastAsia="仿宋_GB2312" w:cs="仿宋_GB2312"/>
          <w:sz w:val="32"/>
          <w:szCs w:val="32"/>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ind w:firstLine="2560" w:firstLineChars="8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省防控新型冠状病毒感染的肺炎疫情工作</w:t>
      </w:r>
    </w:p>
    <w:p>
      <w:pPr>
        <w:widowControl w:val="0"/>
        <w:spacing w:line="640" w:lineRule="exact"/>
        <w:ind w:firstLine="4160" w:firstLineChars="13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领导小组办公室</w:t>
      </w:r>
    </w:p>
    <w:p>
      <w:pPr>
        <w:widowControl w:val="0"/>
        <w:spacing w:line="640" w:lineRule="exact"/>
        <w:ind w:firstLine="4160" w:firstLineChars="13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2020年1月25日</w:t>
      </w: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widowControl w:val="0"/>
        <w:spacing w:line="640" w:lineRule="exact"/>
        <w:jc w:val="both"/>
        <w:rPr>
          <w:rFonts w:hint="eastAsia" w:ascii="仿宋_GB2312" w:hAnsi="仿宋_GB2312" w:eastAsia="仿宋_GB2312" w:cs="仿宋_GB2312"/>
          <w:kern w:val="2"/>
          <w:sz w:val="32"/>
          <w:szCs w:val="32"/>
          <w:lang w:val="en-US" w:eastAsia="zh-CN" w:bidi="ar-SA"/>
        </w:rPr>
      </w:pP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br w:type="page"/>
      </w:r>
    </w:p>
    <w:p>
      <w:pPr>
        <w:widowControl w:val="0"/>
        <w:spacing w:line="640" w:lineRule="exact"/>
        <w:jc w:val="both"/>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附件1</w:t>
      </w:r>
    </w:p>
    <w:p>
      <w:pPr>
        <w:pStyle w:val="3"/>
        <w:rPr>
          <w:rFonts w:hint="eastAsia"/>
          <w:lang w:val="en-US" w:eastAsia="zh-CN"/>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普通家庭新型冠状病毒感染的肺炎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仿宋_GB2312" w:cs="Times New Roman"/>
          <w:kern w:val="2"/>
          <w:sz w:val="32"/>
          <w:szCs w:val="24"/>
          <w:lang w:val="en-US" w:eastAsia="zh-CN" w:bidi="ar-SA"/>
        </w:rPr>
      </w:pP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一、家居环境</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Times New Roman" w:cs="Times New Roman"/>
          <w:sz w:val="32"/>
        </w:rPr>
      </w:pPr>
      <w:r>
        <w:rPr>
          <w:rFonts w:hint="default" w:ascii="Times New Roman" w:hAnsi="Times New Roman" w:eastAsia="仿宋_GB2312" w:cs="Times New Roman"/>
          <w:sz w:val="32"/>
        </w:rPr>
        <w:t>每天开窗通风，不能自然通风的可采用排气扇等机械通风；每天清洁家居，保持家居环境和物品清洁卫生。</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二、个人卫生</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（一）什么情况戴口罩：到医院必须戴口罩。到人群密集通风不良的公共场所，农贸市场，乘坐公共交通工具建议戴口罩。</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（二）尽量避免到人群密集通风不良的公共场所，与别人谈话时尽量保持1米以上距离，回家后请第一时间用洗手液和流动水洗手或用含醇的手消毒剂进行手卫生。到医院回来尽量先洗澡，换洗衣物。</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（三）尽量避免与活禽接触，不购买、宰杀、接触野生动物。</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四）注意咳嗽礼仪和手卫生。咳嗽、吐痰或者打喷嚏时用纸巾遮掩口鼻或采用肘护，在接触呼吸道分泌物后应立即使用流动水和洗手液洗手。餐前便后、擦眼睛前后、接触宠物或家禽后、接触病人前后等应及时洗手。</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（五）毛巾采用一人一巾一用原则，使用后悬挂于通风干燥处。</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color w:val="FF0000"/>
          <w:sz w:val="32"/>
        </w:rPr>
      </w:pPr>
      <w:r>
        <w:rPr>
          <w:rFonts w:hint="default" w:ascii="Times New Roman" w:hAnsi="Times New Roman" w:eastAsia="仿宋_GB2312" w:cs="Times New Roman"/>
          <w:sz w:val="32"/>
        </w:rPr>
        <w:t>（六）设置套有塑料袋并加盖的垃圾桶，用过的纸巾、口罩等放置到加盖垃圾桶里，每天清理，清理时扎紧塑料袋口，再投放到分类垃圾桶里。</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Times New Roman" w:cs="Times New Roman"/>
          <w:sz w:val="32"/>
        </w:rPr>
      </w:pPr>
      <w:r>
        <w:rPr>
          <w:rFonts w:hint="default" w:ascii="Times New Roman" w:hAnsi="Times New Roman" w:eastAsia="仿宋_GB2312" w:cs="Times New Roman"/>
          <w:sz w:val="32"/>
        </w:rPr>
        <w:t>（七）若有发热、咳嗽、乏力等呼吸道症状，并且近期有与野生动物或发热咳嗽病人接触史，请戴上一次性医用口罩及时到医院就诊。</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三、日常清洁及预防性消毒</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环境及物品以清洁为主，预防性消毒为辅，应避免过度消毒，受到污染时随时进行清洁消毒。消毒方法如下：</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（一）餐饮具和茶具：首选物理消毒，煮沸15-30min，或按说明书使用高温消毒箱（柜）消毒；也可使用含氯消毒剂（有效氯浓度250 mg/L～500 mg/L）浸泡30 min后，再用清水漂洗干净。</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（二）物体表面：对台面、门把手、电话机、开关、热水壶把手、洗手盆、坐便器等经常接触的物体表面，可使用含氯消毒剂（有效氯浓度250 mg/L～500 mg/L）擦拭，作用30min，再用清水擦净。</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（三）地面：可使用含氯消毒剂（有效氯浓度250 mg/L～500 mg/L）用拖布湿式拖拭，作用30min，再用清水洗净。</w:t>
      </w:r>
    </w:p>
    <w:p>
      <w:pPr>
        <w:widowControl w:val="0"/>
        <w:wordWrap/>
        <w:adjustRightInd/>
        <w:snapToGrid/>
        <w:spacing w:line="560" w:lineRule="exact"/>
        <w:ind w:left="0" w:leftChars="0" w:right="0" w:firstLine="640" w:firstLineChars="200"/>
        <w:jc w:val="both"/>
        <w:textAlignment w:val="auto"/>
        <w:rPr>
          <w:rFonts w:hint="default" w:ascii="Times New Roman" w:hAnsi="Times New Roman" w:eastAsia="仿宋_GB2312" w:cs="Times New Roman"/>
          <w:sz w:val="32"/>
        </w:rPr>
      </w:pPr>
      <w:r>
        <w:rPr>
          <w:rFonts w:hint="default" w:ascii="Times New Roman" w:hAnsi="Times New Roman" w:eastAsia="仿宋_GB2312" w:cs="Times New Roman"/>
          <w:sz w:val="32"/>
        </w:rPr>
        <w:t>（四）普通织物：对毛巾、衣物、被罩等可使用含氯消毒剂（有效氯浓度250 mg/L～500 mg/L）浸泡30min，再用清水漂洗干净。（注意：含氯消毒剂对织物有漂白作用），或采用其它衣物消毒液按说明书使用。</w:t>
      </w:r>
    </w:p>
    <w:p>
      <w:pPr>
        <w:widowControl w:val="0"/>
        <w:wordWrap/>
        <w:adjustRightInd/>
        <w:snapToGrid/>
        <w:spacing w:beforeLines="0" w:afterLines="0" w:line="560" w:lineRule="exact"/>
        <w:ind w:left="0" w:leftChars="0" w:right="0" w:firstLine="640" w:firstLineChars="200"/>
        <w:jc w:val="both"/>
        <w:textAlignment w:val="auto"/>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四、常见消毒剂及配制使用</w:t>
      </w:r>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596" w:name="_Toc24189"/>
      <w:bookmarkStart w:id="597" w:name="_Toc16024"/>
      <w:bookmarkStart w:id="598" w:name="_Toc42"/>
      <w:bookmarkStart w:id="599" w:name="_Toc10733"/>
      <w:bookmarkStart w:id="600" w:name="_Toc22442"/>
      <w:bookmarkStart w:id="601" w:name="_Toc5928"/>
      <w:bookmarkStart w:id="602" w:name="_Toc12990"/>
      <w:bookmarkStart w:id="603" w:name="_Toc31019"/>
      <w:bookmarkStart w:id="604" w:name="_Toc2745"/>
      <w:r>
        <w:rPr>
          <w:rFonts w:hint="default" w:ascii="Times New Roman" w:hAnsi="Times New Roman" w:eastAsia="仿宋_GB2312" w:cs="Times New Roman"/>
          <w:sz w:val="32"/>
        </w:rPr>
        <w:t>（一）有效氯浓度500 mg/L的含氯消毒剂配制方法：</w:t>
      </w:r>
      <w:bookmarkEnd w:id="596"/>
      <w:bookmarkEnd w:id="597"/>
      <w:bookmarkEnd w:id="598"/>
      <w:bookmarkEnd w:id="599"/>
      <w:bookmarkEnd w:id="600"/>
      <w:bookmarkEnd w:id="601"/>
      <w:bookmarkEnd w:id="602"/>
      <w:bookmarkEnd w:id="603"/>
      <w:bookmarkEnd w:id="604"/>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05" w:name="_Toc30797"/>
      <w:bookmarkStart w:id="606" w:name="_Toc22312"/>
      <w:bookmarkStart w:id="607" w:name="_Toc28764"/>
      <w:bookmarkStart w:id="608" w:name="_Toc22717"/>
      <w:bookmarkStart w:id="609" w:name="_Toc21329"/>
      <w:bookmarkStart w:id="610" w:name="_Toc17611"/>
      <w:bookmarkStart w:id="611" w:name="_Toc746"/>
      <w:bookmarkStart w:id="612" w:name="_Toc9457"/>
      <w:bookmarkStart w:id="613" w:name="_Toc5085"/>
      <w:r>
        <w:rPr>
          <w:rFonts w:hint="default" w:ascii="Times New Roman" w:hAnsi="Times New Roman" w:eastAsia="仿宋_GB2312" w:cs="Times New Roman"/>
          <w:sz w:val="32"/>
        </w:rPr>
        <w:t>1</w:t>
      </w:r>
      <w:r>
        <w:rPr>
          <w:rFonts w:hint="eastAsia" w:ascii="仿宋_GB2312" w:hAnsi="仿宋_GB2312" w:eastAsia="仿宋_GB2312" w:cs="仿宋_GB2312"/>
          <w:sz w:val="32"/>
        </w:rPr>
        <w:t>.</w:t>
      </w:r>
      <w:r>
        <w:rPr>
          <w:rFonts w:hint="default" w:ascii="Times New Roman" w:hAnsi="Times New Roman" w:eastAsia="仿宋_GB2312" w:cs="Times New Roman"/>
          <w:sz w:val="32"/>
        </w:rPr>
        <w:t>使用84消毒液（有效氯含量5%）：按消毒液：水为1:100比例稀释；</w:t>
      </w:r>
      <w:bookmarkEnd w:id="605"/>
      <w:bookmarkEnd w:id="606"/>
      <w:bookmarkEnd w:id="607"/>
      <w:bookmarkEnd w:id="608"/>
      <w:bookmarkEnd w:id="609"/>
      <w:bookmarkEnd w:id="610"/>
      <w:bookmarkEnd w:id="611"/>
      <w:bookmarkEnd w:id="612"/>
      <w:bookmarkEnd w:id="613"/>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14" w:name="_Hlk30708993"/>
      <w:bookmarkStart w:id="615" w:name="_Toc24607"/>
      <w:bookmarkStart w:id="616" w:name="_Toc26284"/>
      <w:bookmarkStart w:id="617" w:name="_Toc2535"/>
      <w:bookmarkStart w:id="618" w:name="_Toc20465"/>
      <w:bookmarkStart w:id="619" w:name="_Toc18693"/>
      <w:bookmarkStart w:id="620" w:name="_Toc18040"/>
      <w:bookmarkStart w:id="621" w:name="_Toc18321"/>
      <w:bookmarkStart w:id="622" w:name="_Toc16265"/>
      <w:bookmarkStart w:id="623" w:name="_Toc5539"/>
      <w:r>
        <w:rPr>
          <w:rFonts w:hint="default" w:ascii="Times New Roman" w:hAnsi="Times New Roman" w:eastAsia="仿宋_GB2312" w:cs="Times New Roman"/>
          <w:sz w:val="32"/>
        </w:rPr>
        <w:t>2</w:t>
      </w:r>
      <w:r>
        <w:rPr>
          <w:rFonts w:hint="eastAsia" w:ascii="仿宋_GB2312" w:hAnsi="仿宋_GB2312" w:eastAsia="仿宋_GB2312" w:cs="仿宋_GB2312"/>
          <w:sz w:val="32"/>
        </w:rPr>
        <w:t>.</w:t>
      </w:r>
      <w:r>
        <w:rPr>
          <w:rFonts w:hint="default" w:ascii="Times New Roman" w:hAnsi="Times New Roman" w:eastAsia="仿宋_GB2312" w:cs="Times New Roman"/>
          <w:sz w:val="32"/>
        </w:rPr>
        <w:t>消毒粉（有效氯含量12-13%，20克/包）</w:t>
      </w:r>
      <w:bookmarkEnd w:id="614"/>
      <w:r>
        <w:rPr>
          <w:rFonts w:hint="default" w:ascii="Times New Roman" w:hAnsi="Times New Roman" w:eastAsia="仿宋_GB2312" w:cs="Times New Roman"/>
          <w:sz w:val="32"/>
        </w:rPr>
        <w:t>：1包消毒粉加4.8升水；</w:t>
      </w:r>
      <w:bookmarkEnd w:id="615"/>
      <w:bookmarkEnd w:id="616"/>
      <w:bookmarkEnd w:id="617"/>
      <w:bookmarkEnd w:id="618"/>
      <w:bookmarkEnd w:id="619"/>
      <w:bookmarkEnd w:id="620"/>
      <w:bookmarkEnd w:id="621"/>
      <w:bookmarkEnd w:id="622"/>
      <w:bookmarkEnd w:id="623"/>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24" w:name="_Toc7279"/>
      <w:bookmarkStart w:id="625" w:name="_Toc14478"/>
      <w:bookmarkStart w:id="626" w:name="_Toc9337"/>
      <w:bookmarkStart w:id="627" w:name="_Toc480"/>
      <w:bookmarkStart w:id="628" w:name="_Toc30725"/>
      <w:bookmarkStart w:id="629" w:name="_Toc16094"/>
      <w:bookmarkStart w:id="630" w:name="_Toc1581"/>
      <w:bookmarkStart w:id="631" w:name="_Toc17621"/>
      <w:bookmarkStart w:id="632" w:name="_Toc1176"/>
      <w:r>
        <w:rPr>
          <w:rFonts w:hint="default" w:ascii="Times New Roman" w:hAnsi="Times New Roman" w:eastAsia="仿宋_GB2312" w:cs="Times New Roman"/>
          <w:sz w:val="32"/>
        </w:rPr>
        <w:t>3</w:t>
      </w:r>
      <w:r>
        <w:rPr>
          <w:rFonts w:hint="eastAsia" w:ascii="仿宋_GB2312" w:hAnsi="仿宋_GB2312" w:eastAsia="仿宋_GB2312" w:cs="仿宋_GB2312"/>
          <w:sz w:val="32"/>
        </w:rPr>
        <w:t>.</w:t>
      </w:r>
      <w:r>
        <w:rPr>
          <w:rFonts w:hint="default" w:ascii="Times New Roman" w:hAnsi="Times New Roman" w:eastAsia="仿宋_GB2312" w:cs="Times New Roman"/>
          <w:sz w:val="32"/>
        </w:rPr>
        <w:t>含氯泡腾片（有效氯含量480mg/片-580mg/片）：1片溶于1升水。</w:t>
      </w:r>
      <w:bookmarkEnd w:id="624"/>
      <w:bookmarkEnd w:id="625"/>
      <w:bookmarkEnd w:id="626"/>
      <w:bookmarkEnd w:id="627"/>
      <w:bookmarkEnd w:id="628"/>
      <w:bookmarkEnd w:id="629"/>
      <w:bookmarkEnd w:id="630"/>
      <w:bookmarkEnd w:id="631"/>
      <w:bookmarkEnd w:id="632"/>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33" w:name="_Toc22703"/>
      <w:bookmarkStart w:id="634" w:name="_Toc28224"/>
      <w:bookmarkStart w:id="635" w:name="_Toc21994"/>
      <w:bookmarkStart w:id="636" w:name="_Toc20268"/>
      <w:bookmarkStart w:id="637" w:name="_Toc5960"/>
      <w:bookmarkStart w:id="638" w:name="_Toc6037"/>
      <w:bookmarkStart w:id="639" w:name="_Toc22727"/>
      <w:bookmarkStart w:id="640" w:name="_Toc7187"/>
      <w:bookmarkStart w:id="641" w:name="_Toc12002"/>
      <w:r>
        <w:rPr>
          <w:rFonts w:hint="default" w:ascii="Times New Roman" w:hAnsi="Times New Roman" w:eastAsia="仿宋_GB2312" w:cs="Times New Roman"/>
          <w:sz w:val="32"/>
        </w:rPr>
        <w:t>（二）75%乙醇消毒液：直接使用。</w:t>
      </w:r>
      <w:bookmarkEnd w:id="633"/>
      <w:bookmarkEnd w:id="634"/>
      <w:bookmarkEnd w:id="635"/>
      <w:bookmarkEnd w:id="636"/>
      <w:bookmarkEnd w:id="637"/>
      <w:bookmarkEnd w:id="638"/>
      <w:bookmarkEnd w:id="639"/>
      <w:bookmarkEnd w:id="640"/>
      <w:bookmarkEnd w:id="641"/>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bookmarkStart w:id="642" w:name="_Toc1767"/>
      <w:bookmarkStart w:id="643" w:name="_Toc21208"/>
      <w:bookmarkStart w:id="644" w:name="_Toc13449"/>
      <w:bookmarkStart w:id="645" w:name="_Toc2382"/>
      <w:bookmarkStart w:id="646" w:name="_Toc15377"/>
      <w:bookmarkStart w:id="647" w:name="_Toc14473"/>
      <w:bookmarkStart w:id="648" w:name="_Toc19861"/>
      <w:bookmarkStart w:id="649" w:name="_Toc12547"/>
      <w:bookmarkStart w:id="650" w:name="_Toc3477"/>
      <w:r>
        <w:rPr>
          <w:rFonts w:hint="default" w:ascii="Times New Roman" w:hAnsi="Times New Roman" w:eastAsia="仿宋_GB2312" w:cs="Times New Roman"/>
          <w:sz w:val="32"/>
        </w:rPr>
        <w:t>（三）其他消毒剂按产品标签标识以杀灭肠道致病菌的浓度进行配制和使用。</w:t>
      </w:r>
      <w:bookmarkEnd w:id="642"/>
      <w:bookmarkEnd w:id="643"/>
      <w:bookmarkEnd w:id="644"/>
      <w:bookmarkEnd w:id="645"/>
      <w:bookmarkEnd w:id="646"/>
      <w:bookmarkEnd w:id="647"/>
      <w:bookmarkEnd w:id="648"/>
      <w:bookmarkEnd w:id="649"/>
      <w:bookmarkEnd w:id="650"/>
    </w:p>
    <w:p>
      <w:pPr>
        <w:widowControl w:val="0"/>
        <w:wordWrap/>
        <w:adjustRightInd/>
        <w:snapToGrid/>
        <w:spacing w:beforeLines="0" w:afterLines="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24"/>
          <w:lang w:val="en-US" w:eastAsia="zh-CN" w:bidi="ar-SA"/>
        </w:rPr>
      </w:pPr>
      <w:r>
        <w:rPr>
          <w:rFonts w:hint="default" w:ascii="Times New Roman" w:hAnsi="Times New Roman" w:eastAsia="黑体" w:cs="Times New Roman"/>
          <w:kern w:val="2"/>
          <w:sz w:val="32"/>
          <w:szCs w:val="24"/>
          <w:lang w:val="en-US" w:eastAsia="zh-CN" w:bidi="ar-SA"/>
        </w:rPr>
        <w:t>五、注意事项</w:t>
      </w:r>
    </w:p>
    <w:p>
      <w:pPr>
        <w:widowControl w:val="0"/>
        <w:wordWrap/>
        <w:adjustRightInd/>
        <w:snapToGrid/>
        <w:spacing w:line="560" w:lineRule="exact"/>
        <w:ind w:left="0" w:leftChars="0" w:right="0" w:firstLine="640" w:firstLineChars="200"/>
        <w:jc w:val="both"/>
        <w:textAlignment w:val="auto"/>
        <w:outlineLvl w:val="9"/>
        <w:rPr>
          <w:rFonts w:hint="default" w:ascii="Times New Roman" w:hAnsi="Times New Roman" w:eastAsia="仿宋_GB2312" w:cs="Times New Roman"/>
          <w:sz w:val="32"/>
        </w:rPr>
      </w:pPr>
      <w:r>
        <w:rPr>
          <w:rFonts w:hint="default" w:ascii="Times New Roman" w:hAnsi="Times New Roman" w:eastAsia="仿宋_GB2312" w:cs="Times New Roman"/>
          <w:sz w:val="32"/>
        </w:rPr>
        <w:t>（一）含氯消毒剂有皮肤黏膜刺激性，配置和使用时建议佩戴口罩和手套，儿童请勿触碰。</w:t>
      </w:r>
    </w:p>
    <w:p>
      <w:pPr>
        <w:wordWrap/>
        <w:adjustRightInd/>
        <w:snapToGrid/>
        <w:spacing w:line="560" w:lineRule="exact"/>
        <w:ind w:firstLine="640" w:firstLineChars="200"/>
        <w:textAlignment w:val="auto"/>
        <w:outlineLvl w:val="9"/>
        <w:rPr>
          <w:rFonts w:ascii="Times New Roman" w:hAnsi="Times New Roman" w:cs="Times New Roman"/>
        </w:rPr>
      </w:pPr>
      <w:r>
        <w:rPr>
          <w:rFonts w:hint="default" w:ascii="Times New Roman" w:hAnsi="Times New Roman" w:eastAsia="仿宋_GB2312" w:cs="Times New Roman"/>
          <w:sz w:val="32"/>
        </w:rPr>
        <w:t>（二）乙醇消毒液使用应远离火源。</w:t>
      </w: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spacing w:line="640" w:lineRule="exact"/>
        <w:jc w:val="both"/>
        <w:outlineLvl w:val="9"/>
        <w:rPr>
          <w:rFonts w:hint="eastAsia" w:ascii="仿宋_GB2312" w:hAnsi="仿宋_GB2312" w:eastAsia="仿宋_GB2312" w:cs="仿宋_GB2312"/>
          <w:kern w:val="2"/>
          <w:sz w:val="32"/>
          <w:szCs w:val="24"/>
          <w:lang w:val="en-US" w:eastAsia="zh-CN" w:bidi="ar-SA"/>
        </w:rPr>
      </w:pPr>
    </w:p>
    <w:p>
      <w:pPr>
        <w:widowControl w:val="0"/>
        <w:wordWrap/>
        <w:adjustRightInd/>
        <w:snapToGrid/>
        <w:spacing w:before="0" w:after="0" w:line="560" w:lineRule="exact"/>
        <w:ind w:left="0" w:leftChars="0" w:right="0" w:firstLine="0" w:firstLineChars="0"/>
        <w:jc w:val="both"/>
        <w:textAlignment w:val="auto"/>
        <w:outlineLvl w:val="9"/>
        <w:rPr>
          <w:rFonts w:hint="default" w:ascii="Times New Roman" w:hAnsi="Times New Roman" w:eastAsia="宋体" w:cs="Times New Roman"/>
          <w:b w:val="0"/>
          <w:bCs/>
          <w:kern w:val="2"/>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br w:type="page"/>
      </w:r>
    </w:p>
    <w:p>
      <w:pPr>
        <w:widowControl w:val="0"/>
        <w:wordWrap/>
        <w:adjustRightInd/>
        <w:snapToGrid/>
        <w:spacing w:before="0" w:after="0" w:line="560" w:lineRule="exact"/>
        <w:ind w:left="0" w:leftChars="0" w:right="0" w:firstLine="0" w:firstLineChars="0"/>
        <w:jc w:val="both"/>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附件2</w:t>
      </w:r>
    </w:p>
    <w:p>
      <w:pPr>
        <w:widowControl w:val="0"/>
        <w:wordWrap/>
        <w:adjustRightInd/>
        <w:snapToGrid/>
        <w:spacing w:line="560" w:lineRule="exact"/>
        <w:ind w:left="0" w:leftChars="0" w:right="0" w:firstLine="0" w:firstLineChars="0"/>
        <w:jc w:val="both"/>
        <w:textAlignment w:val="auto"/>
        <w:outlineLvl w:val="9"/>
        <w:rPr>
          <w:rFonts w:hint="eastAsia" w:ascii="Times New Roman" w:hAnsi="Times New Roman" w:cs="Times New Roman"/>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公共场所新型冠状病毒感染的肺炎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idowControl w:val="0"/>
        <w:wordWrap/>
        <w:adjustRightInd/>
        <w:snapToGrid/>
        <w:spacing w:beforeLines="0" w:afterLines="0" w:line="560" w:lineRule="exact"/>
        <w:ind w:left="0" w:leftChars="0" w:right="0" w:firstLine="640" w:firstLineChars="200"/>
        <w:jc w:val="both"/>
        <w:textAlignment w:val="auto"/>
        <w:outlineLvl w:val="9"/>
        <w:rPr>
          <w:rFonts w:hint="default" w:ascii="Times New Roman" w:hAnsi="Times New Roman" w:eastAsia="黑体" w:cs="Times New Roman"/>
          <w:kern w:val="2"/>
          <w:sz w:val="32"/>
          <w:szCs w:val="24"/>
          <w:lang w:val="en-US" w:eastAsia="zh-CN" w:bidi="ar-SA"/>
        </w:rPr>
      </w:pP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一、预防控制措施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（一）保持公共场所内空气流通。保证空调系统或排气扇运转正常，定期清洗空调滤网，加强开窗通风换气。</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（二）保持环境卫生清洁，及时清理垃圾。</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（三）公共场所进出口处和洗手间要配备足够的洗手液，洗手间保证水龙头等供水设施正常工作。</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（四）公用物品及公共接触物品或部位要加强清洗和消毒。</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（五）加强宣传教育，设置新型冠状病毒感染的肺炎相关防控知识宣传栏。利用各种显示屏宣传新型冠状病毒和冬春季传染病防控。</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（六）建议在入口处使用快速红外体温探测仪对进入人员检测体温。</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（七）在门口提供一次性口罩，供进入人员使用。</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八）公共场所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snapToGrid w:val="0"/>
          <w:color w:val="auto"/>
          <w:kern w:val="0"/>
          <w:sz w:val="32"/>
          <w:szCs w:val="32"/>
          <w:lang w:val="en-US" w:eastAsia="zh-CN"/>
        </w:rPr>
        <w:t>（九）取消非必需的室内外群众性活动</w:t>
      </w:r>
      <w:r>
        <w:rPr>
          <w:rFonts w:hint="default" w:ascii="Times New Roman" w:hAnsi="Times New Roman" w:eastAsia="仿宋_GB2312" w:cs="Times New Roman"/>
          <w:kern w:val="0"/>
          <w:sz w:val="32"/>
          <w:szCs w:val="32"/>
          <w:lang w:val="en-US" w:eastAsia="zh-CN"/>
        </w:rPr>
        <w:t>。</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（十）限制人流密集、流动性大且通风不良的室内公共场所（如商场、影院、网吧、KTV等）开放。应做到以下几点：</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1</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进入人员要戴口罩，在门口提供一次性口罩。</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2</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在入口处使用快速红外体温探测仪。发现发热症状病人，如是14天内从疫区来粤人员，给他戴上口罩，通知120急救车将病人转运到定点收治医院。如是其他地方的人员，劝导到就近发热门诊就诊。</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3</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严格执行网吧管理规定，严禁未成年人进入网吧，必要时控制网吧人员密度。</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4</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强制通风，开窗或使用排气扇换气。</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5</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kern w:val="0"/>
          <w:sz w:val="32"/>
          <w:szCs w:val="32"/>
          <w:lang w:val="en-US" w:eastAsia="zh-CN"/>
        </w:rPr>
        <w:t>每天使用消毒剂对物体表面（地面、桌椅、电脑键盘、鼠标、麦克风等人体常接触的物体）进行消毒。</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二、日常清洁及预防性消毒</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环境及物品以清洁为主，预防性消毒为辅，应避免过度消毒，受到污染时随时进行清洁消毒。消毒方法如下：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（一）物体表面：</w:t>
      </w:r>
      <w:r>
        <w:rPr>
          <w:rFonts w:hint="default" w:ascii="Times New Roman" w:hAnsi="Times New Roman" w:eastAsia="仿宋_GB2312" w:cs="Times New Roman"/>
          <w:sz w:val="32"/>
          <w:szCs w:val="32"/>
        </w:rPr>
        <w:t>对台面、门把手、电话机、开关、热水壶把手、洗手盆、坐便器等经常接触的物体表面，可使用含氯消毒剂（有效氯浓度250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eastAsia" w:ascii="楷体_GB2312" w:hAnsi="楷体_GB2312" w:eastAsia="楷体_GB2312" w:cs="楷体_GB2312"/>
          <w:sz w:val="32"/>
          <w:szCs w:val="32"/>
        </w:rPr>
        <w:t>（二）地面：</w:t>
      </w:r>
      <w:r>
        <w:rPr>
          <w:rFonts w:hint="default" w:ascii="Times New Roman" w:hAnsi="Times New Roman" w:eastAsia="仿宋_GB2312" w:cs="Times New Roman"/>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三、常见消毒剂及配制使用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51" w:name="_Toc29451"/>
      <w:bookmarkStart w:id="652" w:name="_Toc7854"/>
      <w:bookmarkStart w:id="653" w:name="_Toc17137"/>
      <w:bookmarkStart w:id="654" w:name="_Toc5725"/>
      <w:bookmarkStart w:id="655" w:name="_Toc12739"/>
      <w:bookmarkStart w:id="656" w:name="_Toc10993"/>
      <w:bookmarkStart w:id="657" w:name="_Toc18681"/>
      <w:bookmarkStart w:id="658" w:name="_Toc12154"/>
      <w:bookmarkStart w:id="659" w:name="_Toc28929"/>
      <w:r>
        <w:rPr>
          <w:rFonts w:hint="default" w:ascii="Times New Roman" w:hAnsi="Times New Roman" w:eastAsia="仿宋_GB2312" w:cs="Times New Roman"/>
          <w:sz w:val="32"/>
          <w:szCs w:val="32"/>
        </w:rPr>
        <w:t>（一）有效氯浓度500 mg/L的含氯消毒剂配制方法：</w:t>
      </w:r>
      <w:bookmarkEnd w:id="651"/>
      <w:bookmarkEnd w:id="652"/>
      <w:bookmarkEnd w:id="653"/>
      <w:bookmarkEnd w:id="654"/>
      <w:bookmarkEnd w:id="655"/>
      <w:bookmarkEnd w:id="656"/>
      <w:bookmarkEnd w:id="657"/>
      <w:bookmarkEnd w:id="658"/>
      <w:bookmarkEnd w:id="659"/>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60" w:name="_Toc23659"/>
      <w:bookmarkStart w:id="661" w:name="_Toc6070"/>
      <w:bookmarkStart w:id="662" w:name="_Toc192"/>
      <w:bookmarkStart w:id="663" w:name="_Toc7178"/>
      <w:bookmarkStart w:id="664" w:name="_Toc5296"/>
      <w:bookmarkStart w:id="665" w:name="_Toc13206"/>
      <w:bookmarkStart w:id="666" w:name="_Toc11985"/>
      <w:bookmarkStart w:id="667" w:name="_Toc7825"/>
      <w:bookmarkStart w:id="668" w:name="_Toc2757"/>
      <w:r>
        <w:rPr>
          <w:rFonts w:hint="default" w:ascii="Times New Roman" w:hAnsi="Times New Roman" w:eastAsia="仿宋_GB2312" w:cs="Times New Roman"/>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84消毒液（有效氯含量5%）：按消毒液：水为1:100比例稀释；</w:t>
      </w:r>
      <w:bookmarkEnd w:id="660"/>
      <w:bookmarkEnd w:id="661"/>
      <w:bookmarkEnd w:id="662"/>
      <w:bookmarkEnd w:id="663"/>
      <w:bookmarkEnd w:id="664"/>
      <w:bookmarkEnd w:id="665"/>
      <w:bookmarkEnd w:id="666"/>
      <w:bookmarkEnd w:id="667"/>
      <w:bookmarkEnd w:id="668"/>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69" w:name="_Toc15873"/>
      <w:bookmarkStart w:id="670" w:name="_Toc9867"/>
      <w:bookmarkStart w:id="671" w:name="_Toc7729"/>
      <w:bookmarkStart w:id="672" w:name="_Toc28095"/>
      <w:bookmarkStart w:id="673" w:name="_Toc24997"/>
      <w:bookmarkStart w:id="674" w:name="_Toc27822"/>
      <w:bookmarkStart w:id="675" w:name="_Toc5587"/>
      <w:bookmarkStart w:id="676" w:name="_Toc15084"/>
      <w:r>
        <w:rPr>
          <w:rFonts w:hint="default" w:ascii="Times New Roman" w:hAnsi="Times New Roman" w:eastAsia="仿宋_GB2312" w:cs="Times New Roman"/>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消毒粉（有效氯含量12-13%，20克/包）：1包消毒粉加4.8升水；</w:t>
      </w:r>
      <w:bookmarkEnd w:id="669"/>
      <w:bookmarkEnd w:id="670"/>
      <w:bookmarkEnd w:id="671"/>
      <w:bookmarkEnd w:id="672"/>
      <w:bookmarkEnd w:id="673"/>
      <w:bookmarkEnd w:id="674"/>
      <w:bookmarkEnd w:id="675"/>
      <w:bookmarkEnd w:id="676"/>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77" w:name="_Toc26092"/>
      <w:bookmarkStart w:id="678" w:name="_Toc20237"/>
      <w:bookmarkStart w:id="679" w:name="_Toc16196"/>
      <w:bookmarkStart w:id="680" w:name="_Toc11444"/>
      <w:bookmarkStart w:id="681" w:name="_Toc14573"/>
      <w:bookmarkStart w:id="682" w:name="_Toc27951"/>
      <w:bookmarkStart w:id="683" w:name="_Toc13694"/>
      <w:bookmarkStart w:id="684" w:name="_Toc28651"/>
      <w:bookmarkStart w:id="685" w:name="_Toc5470"/>
      <w:r>
        <w:rPr>
          <w:rFonts w:hint="default" w:ascii="Times New Roman" w:hAnsi="Times New Roman" w:eastAsia="仿宋_GB2312" w:cs="Times New Roman"/>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含氯泡腾片（有效氯含量480mg/片-580mg/片）：1片溶于1升水。</w:t>
      </w:r>
      <w:bookmarkEnd w:id="677"/>
      <w:bookmarkEnd w:id="678"/>
      <w:bookmarkEnd w:id="679"/>
      <w:bookmarkEnd w:id="680"/>
      <w:bookmarkEnd w:id="681"/>
      <w:bookmarkEnd w:id="682"/>
      <w:bookmarkEnd w:id="683"/>
      <w:bookmarkEnd w:id="684"/>
      <w:bookmarkEnd w:id="685"/>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86" w:name="_Toc26624"/>
      <w:bookmarkStart w:id="687" w:name="_Toc12157"/>
      <w:bookmarkStart w:id="688" w:name="_Toc1934"/>
      <w:bookmarkStart w:id="689" w:name="_Toc18328"/>
      <w:bookmarkStart w:id="690" w:name="_Toc12371"/>
      <w:bookmarkStart w:id="691" w:name="_Toc21698"/>
      <w:bookmarkStart w:id="692" w:name="_Toc23299"/>
      <w:bookmarkStart w:id="693" w:name="_Toc1946"/>
      <w:bookmarkStart w:id="694" w:name="_Toc11539"/>
      <w:r>
        <w:rPr>
          <w:rFonts w:hint="default" w:ascii="Times New Roman" w:hAnsi="Times New Roman" w:eastAsia="仿宋_GB2312" w:cs="Times New Roman"/>
          <w:sz w:val="32"/>
          <w:szCs w:val="32"/>
        </w:rPr>
        <w:t>（二）75%乙醇消毒液：直接使用。</w:t>
      </w:r>
      <w:bookmarkEnd w:id="686"/>
      <w:bookmarkEnd w:id="687"/>
      <w:bookmarkEnd w:id="688"/>
      <w:bookmarkEnd w:id="689"/>
      <w:bookmarkEnd w:id="690"/>
      <w:bookmarkEnd w:id="691"/>
      <w:bookmarkEnd w:id="692"/>
      <w:bookmarkEnd w:id="693"/>
      <w:bookmarkEnd w:id="694"/>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bookmarkStart w:id="695" w:name="_Toc12395"/>
      <w:bookmarkStart w:id="696" w:name="_Toc24597"/>
      <w:bookmarkStart w:id="697" w:name="_Toc315"/>
      <w:bookmarkStart w:id="698" w:name="_Toc20573"/>
      <w:bookmarkStart w:id="699" w:name="_Toc31769"/>
      <w:bookmarkStart w:id="700" w:name="_Toc5939"/>
      <w:bookmarkStart w:id="701" w:name="_Toc6944"/>
      <w:bookmarkStart w:id="702" w:name="_Toc13654"/>
      <w:bookmarkStart w:id="703" w:name="_Toc12851"/>
      <w:r>
        <w:rPr>
          <w:rFonts w:hint="default" w:ascii="Times New Roman" w:hAnsi="Times New Roman" w:eastAsia="仿宋_GB2312" w:cs="Times New Roman"/>
          <w:sz w:val="32"/>
          <w:szCs w:val="32"/>
        </w:rPr>
        <w:t>（三）其他消毒剂按产品标签标识以杀灭肠道致病菌的浓度进行配制和使用。</w:t>
      </w:r>
      <w:bookmarkEnd w:id="695"/>
      <w:bookmarkEnd w:id="696"/>
      <w:bookmarkEnd w:id="697"/>
      <w:bookmarkEnd w:id="698"/>
      <w:bookmarkEnd w:id="699"/>
      <w:bookmarkEnd w:id="700"/>
      <w:bookmarkEnd w:id="701"/>
      <w:bookmarkEnd w:id="702"/>
      <w:bookmarkEnd w:id="703"/>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四、注意事项</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kern w:val="2"/>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bookmarkStart w:id="704" w:name="_Toc233645385"/>
      <w:bookmarkStart w:id="705" w:name="_Toc320795570"/>
      <w:bookmarkStart w:id="706" w:name="_Toc320776600"/>
      <w:r>
        <w:rPr>
          <w:rFonts w:hint="eastAsia" w:ascii="仿宋_GB2312" w:hAnsi="仿宋_GB2312" w:eastAsia="仿宋_GB2312" w:cs="仿宋_GB2312"/>
          <w:b w:val="0"/>
          <w:bCs/>
          <w:kern w:val="2"/>
          <w:sz w:val="32"/>
          <w:szCs w:val="32"/>
          <w:lang w:val="en-US" w:eastAsia="zh-CN" w:bidi="ar-SA"/>
        </w:rPr>
        <w:br w:type="page"/>
      </w:r>
    </w:p>
    <w:p>
      <w:pPr>
        <w:widowControl w:val="0"/>
        <w:spacing w:before="0" w:beforeLines="0" w:after="0" w:afterLines="0" w:line="600" w:lineRule="exact"/>
        <w:ind w:left="0" w:leftChars="0" w:right="67" w:rightChars="21" w:firstLine="0" w:firstLineChars="0"/>
        <w:jc w:val="left"/>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附件3</w:t>
      </w:r>
    </w:p>
    <w:p>
      <w:pPr>
        <w:outlineLvl w:val="9"/>
        <w:rPr>
          <w:rFonts w:hint="eastAsia" w:ascii="Times New Roman" w:hAnsi="Times New Roman" w:cs="Times New Roman"/>
        </w:rPr>
      </w:pPr>
    </w:p>
    <w:bookmarkEnd w:id="704"/>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公共交通工具新型冠状病毒感染的肺炎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bookmarkEnd w:id="705"/>
      <w:bookmarkEnd w:id="706"/>
    </w:p>
    <w:p>
      <w:pPr>
        <w:wordWrap/>
        <w:adjustRightInd/>
        <w:snapToGrid/>
        <w:spacing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rPr>
      </w:pPr>
    </w:p>
    <w:p>
      <w:pPr>
        <w:widowControl w:val="0"/>
        <w:numPr>
          <w:ilvl w:val="0"/>
          <w:numId w:val="21"/>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黑体" w:cs="Times New Roman"/>
          <w:snapToGrid w:val="0"/>
          <w:kern w:val="0"/>
          <w:sz w:val="32"/>
          <w:szCs w:val="32"/>
          <w:lang w:val="en-US" w:eastAsia="zh-CN"/>
        </w:rPr>
      </w:pPr>
      <w:r>
        <w:rPr>
          <w:rFonts w:hint="default" w:ascii="Times New Roman" w:hAnsi="Times New Roman" w:eastAsia="黑体" w:cs="Times New Roman"/>
          <w:snapToGrid w:val="0"/>
          <w:kern w:val="0"/>
          <w:sz w:val="32"/>
          <w:szCs w:val="32"/>
          <w:lang w:val="en-US" w:eastAsia="zh-CN"/>
        </w:rPr>
        <w:t>预防控制措施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（一）非空调车的车窗应尽量打开，保持车内良好通风状态；密闭的空调车要开启换气扇及空调排风装置，以增加空气流通。</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（二）保持车站、车厢内的卫生整洁，及时打扫卫生和清理垃圾。</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（三）司机和乘务人员要戴一次性口罩（每4小时换一次），在上车入口提供一次性口罩。</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（四）自觉有发热、咳嗽、乏力的人员建议不乘坐公共交通工具，普通乘客建议戴一次性口罩（每4小时换一次）。</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（五）增加车站、车厢内清洁消毒频次，指派专人进行清洁消毒工作的督导检查，做好清洁消毒工作记录和标识。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六）司机等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（七）做好司乘人员工作与轮休安排，确保司乘人员得到足够休息。</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（八）加强健康教育。设置新型冠状病毒感染的肺炎相关防控知识宣传栏。利用各种显示屏宣传新型冠状病毒和冬春季传染病防控。</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二、日常清洁及预防性消毒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（一）表面：可使用含氯消毒剂（有效氯浓度250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（二）地面：可使用含氯消毒剂（有效氯浓度250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三、常见消毒剂及配制使用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07" w:name="_Toc28096"/>
      <w:bookmarkStart w:id="708" w:name="_Toc15796"/>
      <w:bookmarkStart w:id="709" w:name="_Toc2203"/>
      <w:bookmarkStart w:id="710" w:name="_Toc27721"/>
      <w:bookmarkStart w:id="711" w:name="_Toc9208"/>
      <w:bookmarkStart w:id="712" w:name="_Toc316"/>
      <w:bookmarkStart w:id="713" w:name="_Toc5046"/>
      <w:bookmarkStart w:id="714" w:name="_Toc28613"/>
      <w:bookmarkStart w:id="715" w:name="_Toc8671"/>
      <w:r>
        <w:rPr>
          <w:rFonts w:hint="default" w:ascii="Times New Roman" w:hAnsi="Times New Roman" w:eastAsia="仿宋_GB2312" w:cs="Times New Roman"/>
          <w:snapToGrid w:val="0"/>
          <w:kern w:val="0"/>
          <w:sz w:val="32"/>
          <w:szCs w:val="32"/>
        </w:rPr>
        <w:t>（一）有效氯浓度500 mg/L的含氯消毒剂配制方法：</w:t>
      </w:r>
      <w:bookmarkEnd w:id="707"/>
      <w:bookmarkEnd w:id="708"/>
      <w:bookmarkEnd w:id="709"/>
      <w:bookmarkEnd w:id="710"/>
      <w:bookmarkEnd w:id="711"/>
      <w:bookmarkEnd w:id="712"/>
      <w:bookmarkEnd w:id="713"/>
      <w:bookmarkEnd w:id="714"/>
      <w:bookmarkEnd w:id="715"/>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16" w:name="_Toc18188"/>
      <w:bookmarkStart w:id="717" w:name="_Toc26707"/>
      <w:bookmarkStart w:id="718" w:name="_Toc26744"/>
      <w:bookmarkStart w:id="719" w:name="_Toc28194"/>
      <w:bookmarkStart w:id="720" w:name="_Toc12487"/>
      <w:bookmarkStart w:id="721" w:name="_Toc18684"/>
      <w:bookmarkStart w:id="722" w:name="_Toc23584"/>
      <w:bookmarkStart w:id="723" w:name="_Toc29405"/>
      <w:bookmarkStart w:id="724" w:name="_Toc23178"/>
      <w:r>
        <w:rPr>
          <w:rFonts w:hint="default" w:ascii="Times New Roman" w:hAnsi="Times New Roman" w:eastAsia="仿宋_GB2312" w:cs="Times New Roman"/>
          <w:snapToGrid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84消毒液（有效氯含量5%）：按消毒液：水为1:100比例稀释；</w:t>
      </w:r>
      <w:bookmarkEnd w:id="716"/>
      <w:bookmarkEnd w:id="717"/>
      <w:bookmarkEnd w:id="718"/>
      <w:bookmarkEnd w:id="719"/>
      <w:bookmarkEnd w:id="720"/>
      <w:bookmarkEnd w:id="721"/>
      <w:bookmarkEnd w:id="722"/>
      <w:bookmarkEnd w:id="723"/>
      <w:bookmarkEnd w:id="724"/>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25" w:name="_Toc8169"/>
      <w:bookmarkStart w:id="726" w:name="_Toc7350"/>
      <w:bookmarkStart w:id="727" w:name="_Toc18453"/>
      <w:bookmarkStart w:id="728" w:name="_Toc23348"/>
      <w:bookmarkStart w:id="729" w:name="_Toc26824"/>
      <w:bookmarkStart w:id="730" w:name="_Toc23173"/>
      <w:bookmarkStart w:id="731" w:name="_Toc29486"/>
      <w:bookmarkStart w:id="732" w:name="_Toc10853"/>
      <w:bookmarkStart w:id="733" w:name="_Toc13591"/>
      <w:r>
        <w:rPr>
          <w:rFonts w:hint="default" w:ascii="Times New Roman" w:hAnsi="Times New Roman" w:eastAsia="仿宋_GB2312" w:cs="Times New Roman"/>
          <w:snapToGrid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消毒粉（有效氯含量12-13%，20克/包）：1包消毒粉加4.8升水；</w:t>
      </w:r>
      <w:bookmarkEnd w:id="725"/>
      <w:bookmarkEnd w:id="726"/>
      <w:bookmarkEnd w:id="727"/>
      <w:bookmarkEnd w:id="728"/>
      <w:bookmarkEnd w:id="729"/>
      <w:bookmarkEnd w:id="730"/>
      <w:bookmarkEnd w:id="731"/>
      <w:bookmarkEnd w:id="732"/>
      <w:bookmarkEnd w:id="733"/>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34" w:name="_Toc18539"/>
      <w:bookmarkStart w:id="735" w:name="_Toc29039"/>
      <w:bookmarkStart w:id="736" w:name="_Toc28410"/>
      <w:bookmarkStart w:id="737" w:name="_Toc24274"/>
      <w:bookmarkStart w:id="738" w:name="_Toc3678"/>
      <w:bookmarkStart w:id="739" w:name="_Toc30868"/>
      <w:bookmarkStart w:id="740" w:name="_Toc3123"/>
      <w:bookmarkStart w:id="741" w:name="_Toc6069"/>
      <w:bookmarkStart w:id="742" w:name="_Toc30025"/>
      <w:r>
        <w:rPr>
          <w:rFonts w:hint="default" w:ascii="Times New Roman" w:hAnsi="Times New Roman" w:eastAsia="仿宋_GB2312" w:cs="Times New Roman"/>
          <w:snapToGrid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含氯泡腾片（有效氯含量480mg/片-580mg/片）：1片溶于1升水。</w:t>
      </w:r>
      <w:bookmarkEnd w:id="734"/>
      <w:bookmarkEnd w:id="735"/>
      <w:bookmarkEnd w:id="736"/>
      <w:bookmarkEnd w:id="737"/>
      <w:bookmarkEnd w:id="738"/>
      <w:bookmarkEnd w:id="739"/>
      <w:bookmarkEnd w:id="740"/>
      <w:bookmarkEnd w:id="741"/>
      <w:bookmarkEnd w:id="742"/>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43" w:name="_Toc27784"/>
      <w:bookmarkStart w:id="744" w:name="_Toc27216"/>
      <w:bookmarkStart w:id="745" w:name="_Toc20258"/>
      <w:bookmarkStart w:id="746" w:name="_Toc9797"/>
      <w:bookmarkStart w:id="747" w:name="_Toc19294"/>
      <w:bookmarkStart w:id="748" w:name="_Toc4412"/>
      <w:bookmarkStart w:id="749" w:name="_Toc11210"/>
      <w:bookmarkStart w:id="750" w:name="_Toc63"/>
      <w:bookmarkStart w:id="751" w:name="_Toc24488"/>
      <w:r>
        <w:rPr>
          <w:rFonts w:hint="default" w:ascii="Times New Roman" w:hAnsi="Times New Roman" w:eastAsia="仿宋_GB2312" w:cs="Times New Roman"/>
          <w:snapToGrid w:val="0"/>
          <w:kern w:val="0"/>
          <w:sz w:val="32"/>
          <w:szCs w:val="32"/>
        </w:rPr>
        <w:t>（二）75%乙醇消毒液：直接使用。</w:t>
      </w:r>
      <w:bookmarkEnd w:id="743"/>
      <w:bookmarkEnd w:id="744"/>
      <w:bookmarkEnd w:id="745"/>
      <w:bookmarkEnd w:id="746"/>
      <w:bookmarkEnd w:id="747"/>
      <w:bookmarkEnd w:id="748"/>
      <w:bookmarkEnd w:id="749"/>
      <w:bookmarkEnd w:id="750"/>
      <w:bookmarkEnd w:id="751"/>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bookmarkStart w:id="752" w:name="_Toc31675"/>
      <w:bookmarkStart w:id="753" w:name="_Toc12992"/>
      <w:bookmarkStart w:id="754" w:name="_Toc18584"/>
      <w:bookmarkStart w:id="755" w:name="_Toc2122"/>
      <w:bookmarkStart w:id="756" w:name="_Toc25145"/>
      <w:bookmarkStart w:id="757" w:name="_Toc18581"/>
      <w:bookmarkStart w:id="758" w:name="_Toc8373"/>
      <w:bookmarkStart w:id="759" w:name="_Toc4017"/>
      <w:bookmarkStart w:id="760" w:name="_Toc189"/>
      <w:r>
        <w:rPr>
          <w:rFonts w:hint="default" w:ascii="Times New Roman" w:hAnsi="Times New Roman" w:eastAsia="仿宋_GB2312" w:cs="Times New Roman"/>
          <w:snapToGrid w:val="0"/>
          <w:kern w:val="0"/>
          <w:sz w:val="32"/>
          <w:szCs w:val="32"/>
        </w:rPr>
        <w:t>（三）其他消毒剂按产品标签标识以杀灭肠道致病菌的浓度进行配制和使用。</w:t>
      </w:r>
      <w:bookmarkEnd w:id="752"/>
      <w:bookmarkEnd w:id="753"/>
      <w:bookmarkEnd w:id="754"/>
      <w:bookmarkEnd w:id="755"/>
      <w:bookmarkEnd w:id="756"/>
      <w:bookmarkEnd w:id="757"/>
      <w:bookmarkEnd w:id="758"/>
      <w:bookmarkEnd w:id="759"/>
      <w:bookmarkEnd w:id="760"/>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四、注意事项</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outlineLvl w:val="9"/>
        <w:rPr>
          <w:rFonts w:hint="eastAsia" w:ascii="仿宋_GB2312" w:hAnsi="仿宋_GB2312" w:eastAsia="仿宋_GB2312" w:cs="仿宋_GB2312"/>
          <w:sz w:val="32"/>
        </w:rPr>
      </w:pPr>
      <w:r>
        <w:rPr>
          <w:rFonts w:hint="eastAsia" w:ascii="仿宋_GB2312" w:hAnsi="仿宋_GB2312" w:eastAsia="仿宋_GB2312" w:cs="仿宋_GB2312"/>
          <w:sz w:val="32"/>
        </w:rPr>
        <w:br w:type="page"/>
      </w:r>
    </w:p>
    <w:p>
      <w:pPr>
        <w:widowControl w:val="0"/>
        <w:wordWrap/>
        <w:adjustRightInd/>
        <w:snapToGrid/>
        <w:spacing w:line="540" w:lineRule="exact"/>
        <w:ind w:left="0" w:leftChars="0" w:right="0" w:firstLine="0" w:firstLineChars="0"/>
        <w:jc w:val="left"/>
        <w:textAlignment w:val="auto"/>
        <w:outlineLvl w:val="9"/>
        <w:rPr>
          <w:rFonts w:hint="eastAsia" w:ascii="仿宋_GB2312" w:hAnsi="仿宋_GB2312" w:eastAsia="仿宋_GB2312" w:cs="仿宋_GB2312"/>
          <w:sz w:val="32"/>
        </w:rPr>
      </w:pPr>
      <w:r>
        <w:rPr>
          <w:rFonts w:hint="eastAsia" w:ascii="仿宋_GB2312" w:hAnsi="仿宋_GB2312" w:eastAsia="仿宋_GB2312" w:cs="仿宋_GB2312"/>
          <w:sz w:val="32"/>
        </w:rPr>
        <w:t>附件4</w:t>
      </w:r>
    </w:p>
    <w:p>
      <w:pPr>
        <w:widowControl w:val="0"/>
        <w:wordWrap/>
        <w:adjustRightInd/>
        <w:snapToGrid/>
        <w:spacing w:beforeLines="0" w:afterLines="0" w:line="540" w:lineRule="exact"/>
        <w:ind w:left="0" w:leftChars="0" w:right="0" w:firstLine="0" w:firstLineChars="0"/>
        <w:jc w:val="both"/>
        <w:textAlignment w:val="auto"/>
        <w:outlineLvl w:val="9"/>
        <w:rPr>
          <w:rFonts w:hint="default" w:ascii="Times New Roman" w:hAnsi="Times New Roman" w:eastAsia="黑体" w:cs="Times New Roman"/>
          <w:kern w:val="2"/>
          <w:sz w:val="32"/>
          <w:szCs w:val="24"/>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火车站、高铁站、地铁站、汽车客运站、</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飞机场和港口码头新型冠状病毒感染的</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肺炎预防控制指引</w:t>
      </w:r>
    </w:p>
    <w:p>
      <w:pPr>
        <w:adjustRightInd w:val="0"/>
        <w:snapToGrid w:val="0"/>
        <w:spacing w:beforeLines="0" w:afterLines="0" w:line="600" w:lineRule="exact"/>
        <w:ind w:firstLine="640" w:firstLineChars="200"/>
        <w:outlineLvl w:val="9"/>
        <w:rPr>
          <w:rFonts w:hint="eastAsia" w:ascii="Times New Roman" w:hAnsi="Times New Roman" w:eastAsia="Times New Roman" w:cs="Times New Roman"/>
          <w:sz w:val="32"/>
        </w:rPr>
      </w:pP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为做好新型冠状病毒感染的肺炎疫情防控工作，最大程度减少新型冠状病毒对公众健康造成的危害，防止疫情通过火车站（含高铁站）、地铁站、汽车客运站、飞机场和港口码头传播，保障广大人民群众身体健康和生命安全，维护正常的运输生产秩序，特制订本消毒指引。</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一、通风换气，保持空气流通</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非空调公共交通等候室、购票厅等及公共交通工具的窗户应尽量打开，保持室（车）内良好的通风状态。</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密闭的空调等候室及公共交通工具可调节新风装置，加大新风量和换气量或开启换气扇以增加空气流通。对初效滤网应每周清洁消毒一次，可浸泡于有效氯含量为250mg/L～500mg/L的消毒液中30min后，用清水冲净晾干后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二、清理清洁，保持卫生整洁</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公共交通等候室、购票厅等公共交通服务场所及公共交通工具车厢内应保持卫生整洁，及时打扫卫生和清理垃圾。</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bidi="ar-SA"/>
        </w:rPr>
      </w:pP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黑体" w:cs="Times New Roman"/>
          <w:snapToGrid w:val="0"/>
          <w:kern w:val="0"/>
          <w:sz w:val="32"/>
          <w:szCs w:val="32"/>
        </w:rPr>
      </w:pPr>
      <w:r>
        <w:rPr>
          <w:rFonts w:hint="default" w:ascii="Times New Roman" w:hAnsi="Times New Roman" w:eastAsia="黑体" w:cs="Times New Roman"/>
          <w:snapToGrid w:val="0"/>
          <w:kern w:val="0"/>
          <w:sz w:val="32"/>
          <w:szCs w:val="32"/>
        </w:rPr>
        <w:t>三、加强设施设备配置</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（一）入口处使用快速红外体温探测仪对人员检测体温。</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（二）进出口处和洗手间要配备足够的洗手液，洗手间保证水龙头等供水设施正常工作。</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（三）在门口提供一次性口罩，供进入人员使用。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黑体" w:cs="Times New Roman"/>
          <w:snapToGrid w:val="0"/>
          <w:kern w:val="0"/>
          <w:sz w:val="32"/>
          <w:szCs w:val="32"/>
        </w:rPr>
      </w:pPr>
      <w:r>
        <w:rPr>
          <w:rFonts w:hint="default" w:ascii="Times New Roman" w:hAnsi="Times New Roman" w:eastAsia="黑体" w:cs="Times New Roman"/>
          <w:snapToGrid w:val="0"/>
          <w:kern w:val="0"/>
          <w:sz w:val="32"/>
          <w:szCs w:val="32"/>
        </w:rPr>
        <w:t>四、加强宣传教育</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设置新型冠状病毒感染的肺炎相关防控知识宣传栏。利用各种显示屏宣传新型冠状病毒和冬春季传染病防控。</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五、公共场所工作人员要实行健康监测</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建立工作人员体温监测登记本，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六、规范作业，重点部位擦拭消毒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对等候室和公共交通工具的高频接触部位，例如门把手、座椅扶手、电梯开关、电梯扶手、方向盘、地铁车厢内扶杆、掉环拉手等重点部位，应严格按以下消毒作业方法进行消毒。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七、增加频次，专人督导检查</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新型冠状病毒感染的肺炎疫情时期需增加等候室、临时隔离室和车厢内清洁消毒频次（至少每天一次），指派专人进行清洁消毒工作的检查，并做好清洁消毒工作记录和标识。</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szCs w:val="32"/>
        </w:rPr>
      </w:pPr>
      <w:r>
        <w:rPr>
          <w:rFonts w:hint="default" w:ascii="Times New Roman" w:hAnsi="Times New Roman" w:eastAsia="黑体" w:cs="Times New Roman"/>
          <w:snapToGrid w:val="0"/>
          <w:kern w:val="0"/>
          <w:sz w:val="32"/>
          <w:szCs w:val="32"/>
        </w:rPr>
        <w:t>八、消毒作业方法</w:t>
      </w:r>
    </w:p>
    <w:p>
      <w:pPr>
        <w:widowControl w:val="0"/>
        <w:wordWrap/>
        <w:adjustRightInd/>
        <w:snapToGrid/>
        <w:spacing w:beforeAutospacing="0" w:afterAutospacing="0" w:line="560" w:lineRule="exact"/>
        <w:ind w:left="0" w:leftChars="0" w:right="0" w:firstLine="640" w:firstLineChars="200"/>
        <w:textAlignment w:val="auto"/>
        <w:outlineLvl w:val="9"/>
        <w:rPr>
          <w:rFonts w:hint="eastAsia" w:ascii="楷体_GB2312" w:hAnsi="楷体_GB2312" w:eastAsia="楷体_GB2312" w:cs="楷体_GB2312"/>
          <w:snapToGrid w:val="0"/>
          <w:kern w:val="0"/>
          <w:sz w:val="32"/>
          <w:szCs w:val="32"/>
        </w:rPr>
      </w:pPr>
      <w:r>
        <w:rPr>
          <w:rFonts w:hint="eastAsia" w:ascii="楷体_GB2312" w:hAnsi="楷体_GB2312" w:eastAsia="楷体_GB2312" w:cs="楷体_GB2312"/>
          <w:snapToGrid w:val="0"/>
          <w:kern w:val="0"/>
          <w:sz w:val="32"/>
          <w:szCs w:val="32"/>
        </w:rPr>
        <w:t>（一）日常消毒</w:t>
      </w:r>
      <w:r>
        <w:rPr>
          <w:rFonts w:hint="eastAsia" w:ascii="楷体_GB2312" w:hAnsi="楷体_GB2312" w:eastAsia="楷体_GB2312" w:cs="楷体_GB2312"/>
          <w:snapToGrid w:val="0"/>
          <w:kern w:val="0"/>
          <w:sz w:val="32"/>
          <w:szCs w:val="32"/>
          <w:lang w:eastAsia="zh-CN"/>
        </w:rPr>
        <w:t>。</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由保洁人员进行，使用含氯消毒剂（有效氯浓度500 mg/L）擦拭重点部位，每天1次。</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楷体_GB2312" w:hAnsi="楷体_GB2312" w:eastAsia="楷体_GB2312" w:cs="楷体_GB2312"/>
          <w:snapToGrid w:val="0"/>
          <w:kern w:val="0"/>
          <w:sz w:val="32"/>
          <w:szCs w:val="32"/>
        </w:rPr>
      </w:pPr>
      <w:r>
        <w:rPr>
          <w:rFonts w:hint="default" w:ascii="楷体_GB2312" w:hAnsi="楷体_GB2312" w:eastAsia="楷体_GB2312" w:cs="楷体_GB2312"/>
          <w:snapToGrid w:val="0"/>
          <w:kern w:val="0"/>
          <w:sz w:val="32"/>
          <w:szCs w:val="32"/>
        </w:rPr>
        <w:t>（二）随时消毒</w:t>
      </w:r>
      <w:r>
        <w:rPr>
          <w:rFonts w:hint="default" w:ascii="楷体_GB2312" w:hAnsi="楷体_GB2312" w:eastAsia="楷体_GB2312" w:cs="楷体_GB2312"/>
          <w:snapToGrid w:val="0"/>
          <w:kern w:val="0"/>
          <w:sz w:val="32"/>
          <w:szCs w:val="32"/>
          <w:lang w:eastAsia="zh-CN"/>
        </w:rPr>
        <w:t>。</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公共交通工具在运营途中发现新型冠状病毒感染的肺炎疑似病例时，跟班工作人员在疾控部门指导下实施。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消毒人员做好个人卫生防护，消毒完成后及时消毒双手。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根据疾控部门的指导确定消毒范围，对疑似病例的生活用品（包括餐具、洗漱用品、痰罐等）、排泄物、呕吐物（含口鼻分泌物、脓液、痂皮等）等，用应急呕吐包覆盖包裹，或用干毛巾覆盖后喷洒10000mg/L含氯消毒剂至湿润；对疑似病例座位及其前后三排座位用有效氯1000mg/L-2000mg/L含氯消毒剂进行喷雾处理或2-3遍的擦拭消毒。具体方法由疾控中心对相关人员进行培训。</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卫生间消毒：可使用含氯消毒剂（有效氯浓度2000mg/L）喷雾（洒）消毒。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4</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填写并保存随时消毒处理记录（附表）。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楷体_GB2312" w:hAnsi="楷体_GB2312" w:eastAsia="楷体_GB2312" w:cs="楷体_GB2312"/>
          <w:snapToGrid w:val="0"/>
          <w:kern w:val="0"/>
          <w:sz w:val="32"/>
          <w:szCs w:val="32"/>
        </w:rPr>
      </w:pPr>
      <w:r>
        <w:rPr>
          <w:rFonts w:hint="default" w:ascii="楷体_GB2312" w:hAnsi="楷体_GB2312" w:eastAsia="楷体_GB2312" w:cs="楷体_GB2312"/>
          <w:snapToGrid w:val="0"/>
          <w:kern w:val="0"/>
          <w:sz w:val="32"/>
          <w:szCs w:val="32"/>
        </w:rPr>
        <w:t>（三）终末消毒</w:t>
      </w:r>
      <w:r>
        <w:rPr>
          <w:rFonts w:hint="default" w:ascii="楷体_GB2312" w:hAnsi="楷体_GB2312" w:eastAsia="楷体_GB2312" w:cs="楷体_GB2312"/>
          <w:snapToGrid w:val="0"/>
          <w:kern w:val="0"/>
          <w:sz w:val="32"/>
          <w:szCs w:val="32"/>
          <w:lang w:eastAsia="zh-CN"/>
        </w:rPr>
        <w:t>。</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该交通工具到达终点后，疾控部门按照《疫源地消毒总则》（GB 19193-2015）要求，在交通工具维护维修点或站台对病人曾就座的厢体实施终末消毒。</w:t>
      </w:r>
    </w:p>
    <w:p>
      <w:pPr>
        <w:widowControl w:val="0"/>
        <w:wordWrap/>
        <w:adjustRightInd/>
        <w:snapToGrid/>
        <w:spacing w:beforeLines="0" w:beforeAutospacing="0" w:afterLines="0" w:afterAutospacing="0" w:line="560" w:lineRule="exact"/>
        <w:ind w:left="0" w:leftChars="0" w:right="0" w:firstLine="0" w:firstLineChars="0"/>
        <w:jc w:val="center"/>
        <w:textAlignment w:val="auto"/>
        <w:outlineLvl w:val="9"/>
        <w:rPr>
          <w:rFonts w:hint="eastAsia" w:ascii="方正小标宋简体" w:hAnsi="方正小标宋简体" w:eastAsia="方正小标宋简体" w:cs="方正小标宋简体"/>
          <w:kern w:val="2"/>
          <w:sz w:val="32"/>
          <w:szCs w:val="32"/>
          <w:lang w:val="en-US" w:eastAsia="zh-CN" w:bidi="ar-SA"/>
        </w:rPr>
      </w:pPr>
      <w:r>
        <w:rPr>
          <w:rFonts w:hint="eastAsia" w:ascii="方正小标宋简体" w:hAnsi="方正小标宋简体" w:eastAsia="方正小标宋简体" w:cs="方正小标宋简体"/>
          <w:kern w:val="2"/>
          <w:sz w:val="32"/>
          <w:szCs w:val="32"/>
          <w:lang w:val="en-US" w:eastAsia="zh-CN" w:bidi="ar-SA"/>
        </w:rPr>
        <w:t>随时（应急）消毒工作记录</w:t>
      </w:r>
    </w:p>
    <w:p>
      <w:pPr>
        <w:widowControl w:val="0"/>
        <w:wordWrap/>
        <w:adjustRightInd/>
        <w:snapToGrid/>
        <w:spacing w:beforeLines="0" w:beforeAutospacing="0" w:afterLines="0" w:afterAutospacing="0" w:line="560" w:lineRule="exact"/>
        <w:ind w:firstLine="0" w:firstLineChars="0"/>
        <w:jc w:val="center"/>
        <w:textAlignment w:val="auto"/>
        <w:outlineLvl w:val="9"/>
        <w:rPr>
          <w:rFonts w:hint="eastAsia" w:ascii="Times New Roman" w:hAnsi="Times New Roman" w:eastAsia="Times New Roman" w:cs="Times New Roman"/>
          <w:kern w:val="2"/>
          <w:sz w:val="32"/>
          <w:szCs w:val="32"/>
          <w:lang w:val="en-US" w:eastAsia="zh-CN" w:bidi="ar-SA"/>
        </w:rPr>
      </w:pP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班次 ：            组号 ：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事由：</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通知单位：         通知人：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通知时间：</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接报人：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接报时间：</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32"/>
          <w:szCs w:val="32"/>
          <w:u w:val="single"/>
        </w:rPr>
      </w:pPr>
      <w:r>
        <w:rPr>
          <w:rFonts w:hint="eastAsia" w:ascii="Times New Roman" w:hAnsi="Times New Roman" w:cs="Times New Roman"/>
          <w:sz w:val="32"/>
          <w:szCs w:val="32"/>
        </w:rPr>
        <w:t xml:space="preserve">消毒位置：     </w:t>
      </w:r>
      <w:r>
        <w:rPr>
          <w:rFonts w:hint="eastAsia" w:ascii="Times New Roman" w:hAnsi="Times New Roman" w:cs="Times New Roman"/>
          <w:sz w:val="32"/>
          <w:szCs w:val="32"/>
          <w:lang w:val="en-US" w:eastAsia="zh-CN"/>
        </w:rPr>
        <w:t xml:space="preserve"> </w:t>
      </w:r>
      <w:r>
        <w:rPr>
          <w:rFonts w:hint="eastAsia" w:ascii="Times New Roman" w:hAnsi="Times New Roman" w:cs="Times New Roman"/>
          <w:sz w:val="32"/>
          <w:szCs w:val="32"/>
        </w:rPr>
        <w:t xml:space="preserve">   车厢号：             疑似病例座位号：</w:t>
      </w:r>
    </w:p>
    <w:p>
      <w:pPr>
        <w:widowControl w:val="0"/>
        <w:wordWrap/>
        <w:adjustRightInd/>
        <w:snapToGrid/>
        <w:spacing w:beforeAutospacing="0" w:afterAutospacing="0" w:line="560" w:lineRule="exact"/>
        <w:ind w:right="0"/>
        <w:textAlignment w:val="auto"/>
        <w:outlineLvl w:val="9"/>
        <w:rPr>
          <w:rFonts w:hint="eastAsia" w:ascii="Times New Roman" w:hAnsi="Times New Roman" w:eastAsia="Times New Roman" w:cs="Times New Roman"/>
          <w:sz w:val="28"/>
        </w:rPr>
      </w:pPr>
      <w:r>
        <w:rPr>
          <w:rFonts w:hint="eastAsia" w:ascii="Times New Roman" w:hAnsi="Times New Roman" w:cs="Times New Roman"/>
          <w:sz w:val="32"/>
          <w:szCs w:val="32"/>
        </w:rPr>
        <w:t>前后三排座位号：</w:t>
      </w:r>
    </w:p>
    <w:tbl>
      <w:tblPr>
        <w:tblStyle w:val="2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690"/>
        <w:gridCol w:w="1963"/>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消毒起止时间</w:t>
            </w:r>
          </w:p>
        </w:tc>
        <w:tc>
          <w:tcPr>
            <w:tcW w:w="1690"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对象</w:t>
            </w:r>
          </w:p>
        </w:tc>
        <w:tc>
          <w:tcPr>
            <w:tcW w:w="1963"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消毒配制</w:t>
            </w:r>
          </w:p>
        </w:tc>
        <w:tc>
          <w:tcPr>
            <w:tcW w:w="3626" w:type="dxa"/>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center"/>
              <w:textAlignment w:val="auto"/>
              <w:outlineLvl w:val="9"/>
              <w:rPr>
                <w:rFonts w:hint="eastAsia" w:ascii="Times New Roman" w:hAnsi="Times New Roman" w:eastAsia="Times New Roman" w:cs="Times New Roman"/>
                <w:sz w:val="24"/>
              </w:rPr>
            </w:pPr>
            <w:r>
              <w:rPr>
                <w:rFonts w:hint="eastAsia" w:ascii="Times New Roman" w:hAnsi="宋体" w:cs="Times New Roman"/>
                <w:sz w:val="24"/>
              </w:rPr>
              <w:t>消毒方法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时分</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至时分</w:t>
            </w:r>
          </w:p>
        </w:tc>
        <w:tc>
          <w:tcPr>
            <w:tcW w:w="1690"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地面</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车厢壁</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物体表面</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w:t>
            </w:r>
            <w:r>
              <w:rPr>
                <w:rFonts w:hint="eastAsia" w:ascii="Times New Roman" w:hAnsi="Times New Roman" w:eastAsia="Times New Roman" w:cs="Times New Roman"/>
                <w:sz w:val="21"/>
              </w:rPr>
              <w:t xml:space="preserve"> </w:t>
            </w:r>
            <w:r>
              <w:rPr>
                <w:rFonts w:hint="eastAsia" w:ascii="Times New Roman" w:hAnsi="宋体" w:eastAsia="宋体" w:cs="Times New Roman"/>
                <w:sz w:val="21"/>
              </w:rPr>
              <w:t>）</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8"/>
              </w:rPr>
            </w:pPr>
            <w:r>
              <w:rPr>
                <w:rFonts w:hint="eastAsia" w:ascii="Times New Roman" w:hAnsi="Times New Roman" w:eastAsia="Times New Roman" w:cs="Times New Roman"/>
                <w:sz w:val="22"/>
              </w:rPr>
              <w:t>1</w:t>
            </w:r>
            <w:r>
              <w:rPr>
                <w:rFonts w:hint="eastAsia" w:ascii="Times New Roman" w:hAnsi="宋体" w:cs="Times New Roman"/>
                <w:sz w:val="22"/>
              </w:rPr>
              <w:t>包消毒粉</w:t>
            </w:r>
            <w:r>
              <w:rPr>
                <w:rFonts w:hint="eastAsia" w:ascii="Times New Roman" w:hAnsi="Times New Roman" w:eastAsia="Times New Roman" w:cs="Times New Roman"/>
                <w:sz w:val="22"/>
              </w:rPr>
              <w:t>+4.8</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□500mg/L</w:t>
            </w:r>
            <w:r>
              <w:rPr>
                <w:rFonts w:hint="eastAsia" w:ascii="Times New Roman" w:hAnsi="Times New Roman" w:cs="Times New Roman"/>
                <w:sz w:val="22"/>
              </w:rPr>
              <w:t>含氯消毒剂</w:t>
            </w:r>
          </w:p>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w:t>
            </w:r>
            <w:r>
              <w:rPr>
                <w:rFonts w:hint="eastAsia" w:ascii="Times New Roman" w:hAnsi="Times New Roman" w:cs="Times New Roman"/>
                <w:sz w:val="22"/>
              </w:rPr>
              <w:t>擦拭□喷洒消毒60分钟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1"/>
              </w:rPr>
            </w:pPr>
          </w:p>
        </w:tc>
        <w:tc>
          <w:tcPr>
            <w:tcW w:w="1690"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8"/>
              </w:rPr>
            </w:pPr>
            <w:r>
              <w:rPr>
                <w:rFonts w:hint="eastAsia" w:ascii="Times New Roman" w:hAnsi="Times New Roman" w:eastAsia="Times New Roman" w:cs="Times New Roman"/>
                <w:sz w:val="22"/>
              </w:rPr>
              <w:t>1</w:t>
            </w:r>
            <w:r>
              <w:rPr>
                <w:rFonts w:hint="eastAsia" w:ascii="Times New Roman" w:hAnsi="宋体" w:cs="Times New Roman"/>
                <w:sz w:val="22"/>
              </w:rPr>
              <w:t>包消毒粉</w:t>
            </w:r>
            <w:r>
              <w:rPr>
                <w:rFonts w:hint="eastAsia" w:ascii="Times New Roman" w:hAnsi="Times New Roman" w:eastAsia="Times New Roman" w:cs="Times New Roman"/>
                <w:sz w:val="22"/>
              </w:rPr>
              <w:t>+2.4</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□1000mg/L</w:t>
            </w:r>
            <w:r>
              <w:rPr>
                <w:rFonts w:hint="eastAsia" w:ascii="Times New Roman" w:hAnsi="Times New Roman" w:cs="Times New Roman"/>
                <w:sz w:val="22"/>
              </w:rPr>
              <w:t>含氯消毒剂</w:t>
            </w:r>
          </w:p>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w:t>
            </w:r>
            <w:r>
              <w:rPr>
                <w:rFonts w:hint="eastAsia" w:ascii="Times New Roman" w:hAnsi="Times New Roman" w:cs="Times New Roman"/>
                <w:sz w:val="22"/>
              </w:rPr>
              <w:t>擦拭  □喷洒消毒60分钟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781"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时分</w:t>
            </w:r>
          </w:p>
          <w:p>
            <w:pPr>
              <w:widowControl w:val="0"/>
              <w:wordWrap/>
              <w:spacing w:line="400" w:lineRule="exact"/>
              <w:ind w:right="0"/>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至时分</w:t>
            </w:r>
          </w:p>
        </w:tc>
        <w:tc>
          <w:tcPr>
            <w:tcW w:w="169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宋体" w:eastAsia="宋体"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座位</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卫生间</w:t>
            </w:r>
          </w:p>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其他（</w:t>
            </w:r>
            <w:r>
              <w:rPr>
                <w:rFonts w:hint="eastAsia" w:ascii="Times New Roman" w:hAnsi="Times New Roman" w:eastAsia="Times New Roman" w:cs="Times New Roman"/>
                <w:sz w:val="21"/>
              </w:rPr>
              <w:t xml:space="preserve"> </w:t>
            </w:r>
            <w:r>
              <w:rPr>
                <w:rFonts w:hint="eastAsia" w:ascii="Times New Roman" w:hAnsi="宋体" w:eastAsia="宋体" w:cs="Times New Roman"/>
                <w:sz w:val="21"/>
              </w:rPr>
              <w:t>）</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32"/>
              </w:rPr>
            </w:pPr>
            <w:r>
              <w:rPr>
                <w:rFonts w:hint="eastAsia" w:ascii="Times New Roman" w:hAnsi="Times New Roman" w:eastAsia="Times New Roman" w:cs="Times New Roman"/>
                <w:sz w:val="22"/>
              </w:rPr>
              <w:t>2</w:t>
            </w:r>
            <w:r>
              <w:rPr>
                <w:rFonts w:hint="eastAsia" w:ascii="Times New Roman" w:hAnsi="宋体" w:cs="Times New Roman"/>
                <w:sz w:val="22"/>
              </w:rPr>
              <w:t>包消毒粉</w:t>
            </w:r>
            <w:r>
              <w:rPr>
                <w:rFonts w:hint="eastAsia" w:ascii="Times New Roman" w:hAnsi="Times New Roman" w:eastAsia="Times New Roman" w:cs="Times New Roman"/>
                <w:sz w:val="22"/>
              </w:rPr>
              <w:t>+2.4</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□2000mg/L</w:t>
            </w:r>
            <w:r>
              <w:rPr>
                <w:rFonts w:hint="eastAsia" w:ascii="Times New Roman" w:hAnsi="Times New Roman" w:cs="Times New Roman"/>
                <w:sz w:val="22"/>
              </w:rPr>
              <w:t>含氯消毒剂</w:t>
            </w:r>
          </w:p>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w:t>
            </w:r>
            <w:r>
              <w:rPr>
                <w:rFonts w:hint="eastAsia" w:ascii="Times New Roman" w:hAnsi="Times New Roman" w:cs="Times New Roman"/>
                <w:sz w:val="22"/>
              </w:rPr>
              <w:t>擦拭  □喷洒消毒60分钟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21"/>
              </w:rPr>
            </w:pPr>
          </w:p>
        </w:tc>
        <w:tc>
          <w:tcPr>
            <w:tcW w:w="169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呕吐物、稀便</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32"/>
              </w:rPr>
            </w:pPr>
            <w:r>
              <w:rPr>
                <w:rFonts w:hint="eastAsia" w:ascii="Times New Roman" w:hAnsi="Times New Roman" w:eastAsia="Times New Roman" w:cs="Times New Roman"/>
                <w:sz w:val="22"/>
              </w:rPr>
              <w:t>10</w:t>
            </w:r>
            <w:r>
              <w:rPr>
                <w:rFonts w:hint="eastAsia" w:ascii="Times New Roman" w:hAnsi="宋体" w:cs="Times New Roman"/>
                <w:sz w:val="22"/>
              </w:rPr>
              <w:t>包消毒粉</w:t>
            </w:r>
            <w:r>
              <w:rPr>
                <w:rFonts w:hint="eastAsia" w:ascii="Times New Roman" w:hAnsi="Times New Roman" w:eastAsia="Times New Roman" w:cs="Times New Roman"/>
                <w:sz w:val="22"/>
              </w:rPr>
              <w:t>+2.4</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□10000mg/L</w:t>
            </w:r>
            <w:r>
              <w:rPr>
                <w:rFonts w:hint="eastAsia" w:ascii="Times New Roman" w:hAnsi="Times New Roman" w:cs="Times New Roman"/>
                <w:sz w:val="22"/>
              </w:rPr>
              <w:t>含氯消毒剂按粪、药比例1:2搅匀，消毒2小时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1"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时分</w:t>
            </w:r>
          </w:p>
          <w:p>
            <w:pPr>
              <w:widowControl w:val="0"/>
              <w:wordWrap/>
              <w:spacing w:line="400" w:lineRule="exact"/>
              <w:ind w:right="0"/>
              <w:textAlignment w:val="auto"/>
              <w:outlineLvl w:val="9"/>
              <w:rPr>
                <w:rFonts w:hint="eastAsia" w:ascii="Times New Roman" w:hAnsi="Times New Roman" w:eastAsia="Times New Roman" w:cs="Times New Roman"/>
                <w:sz w:val="21"/>
              </w:rPr>
            </w:pPr>
            <w:r>
              <w:rPr>
                <w:rFonts w:hint="eastAsia" w:ascii="Times New Roman" w:hAnsi="宋体" w:eastAsia="宋体" w:cs="Times New Roman"/>
                <w:sz w:val="21"/>
              </w:rPr>
              <w:t>至时分</w:t>
            </w:r>
          </w:p>
        </w:tc>
        <w:tc>
          <w:tcPr>
            <w:tcW w:w="1690"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1"/>
              </w:rPr>
            </w:pPr>
            <w:r>
              <w:rPr>
                <w:rFonts w:hint="eastAsia" w:ascii="Times New Roman" w:hAnsi="Times New Roman" w:eastAsia="Times New Roman" w:cs="Times New Roman"/>
                <w:sz w:val="21"/>
              </w:rPr>
              <w:t>□</w:t>
            </w:r>
            <w:r>
              <w:rPr>
                <w:rFonts w:hint="eastAsia" w:ascii="Times New Roman" w:hAnsi="宋体" w:eastAsia="宋体" w:cs="Times New Roman"/>
                <w:sz w:val="21"/>
              </w:rPr>
              <w:t>衣服、纺织品</w:t>
            </w:r>
          </w:p>
        </w:tc>
        <w:tc>
          <w:tcPr>
            <w:tcW w:w="1963"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center"/>
              <w:textAlignment w:val="auto"/>
              <w:outlineLvl w:val="9"/>
              <w:rPr>
                <w:rFonts w:hint="eastAsia" w:ascii="Times New Roman" w:hAnsi="Times New Roman" w:eastAsia="Times New Roman" w:cs="Times New Roman"/>
                <w:sz w:val="32"/>
              </w:rPr>
            </w:pPr>
            <w:r>
              <w:rPr>
                <w:rFonts w:hint="eastAsia" w:ascii="Times New Roman" w:hAnsi="Times New Roman" w:eastAsia="Times New Roman" w:cs="Times New Roman"/>
                <w:sz w:val="22"/>
              </w:rPr>
              <w:t>1</w:t>
            </w:r>
            <w:r>
              <w:rPr>
                <w:rFonts w:hint="eastAsia" w:ascii="Times New Roman" w:hAnsi="宋体" w:cs="Times New Roman"/>
                <w:sz w:val="22"/>
              </w:rPr>
              <w:t>包消毒粉</w:t>
            </w:r>
            <w:r>
              <w:rPr>
                <w:rFonts w:hint="eastAsia" w:ascii="Times New Roman" w:hAnsi="Times New Roman" w:eastAsia="Times New Roman" w:cs="Times New Roman"/>
                <w:sz w:val="22"/>
              </w:rPr>
              <w:t>+4.8</w:t>
            </w:r>
            <w:r>
              <w:rPr>
                <w:rFonts w:hint="eastAsia" w:ascii="Times New Roman" w:hAnsi="宋体" w:cs="Times New Roman"/>
                <w:sz w:val="22"/>
              </w:rPr>
              <w:t>升水</w:t>
            </w:r>
          </w:p>
        </w:tc>
        <w:tc>
          <w:tcPr>
            <w:tcW w:w="3626" w:type="dxa"/>
            <w:tcBorders>
              <w:top w:val="single" w:color="auto" w:sz="4" w:space="0"/>
              <w:left w:val="single" w:color="auto" w:sz="4" w:space="0"/>
              <w:bottom w:val="single" w:color="auto" w:sz="4" w:space="0"/>
              <w:right w:val="single" w:color="auto" w:sz="4" w:space="0"/>
              <w:tl2br w:val="nil"/>
              <w:tr2bl w:val="nil"/>
            </w:tcBorders>
            <w:vAlign w:val="center"/>
          </w:tcPr>
          <w:p>
            <w:pPr>
              <w:widowControl w:val="0"/>
              <w:wordWrap/>
              <w:spacing w:line="400" w:lineRule="exact"/>
              <w:ind w:right="0"/>
              <w:jc w:val="left"/>
              <w:textAlignment w:val="auto"/>
              <w:outlineLvl w:val="9"/>
              <w:rPr>
                <w:rFonts w:hint="eastAsia" w:ascii="Times New Roman" w:hAnsi="Times New Roman" w:eastAsia="Times New Roman" w:cs="Times New Roman"/>
                <w:sz w:val="22"/>
              </w:rPr>
            </w:pPr>
            <w:r>
              <w:rPr>
                <w:rFonts w:hint="eastAsia" w:ascii="Times New Roman" w:hAnsi="Times New Roman" w:eastAsia="Times New Roman" w:cs="Times New Roman"/>
                <w:sz w:val="22"/>
              </w:rPr>
              <w:t>□500mg/L</w:t>
            </w:r>
            <w:r>
              <w:rPr>
                <w:rFonts w:hint="eastAsia" w:ascii="Times New Roman" w:hAnsi="Times New Roman" w:cs="Times New Roman"/>
                <w:sz w:val="22"/>
              </w:rPr>
              <w:t>含氯消毒剂浸泡，消毒30分钟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9060" w:type="dxa"/>
            <w:gridSpan w:val="4"/>
            <w:tcBorders>
              <w:top w:val="single" w:color="auto" w:sz="4" w:space="0"/>
              <w:left w:val="single" w:color="auto" w:sz="4" w:space="0"/>
              <w:bottom w:val="single" w:color="auto" w:sz="4" w:space="0"/>
              <w:right w:val="single" w:color="auto" w:sz="4" w:space="0"/>
              <w:tl2br w:val="nil"/>
              <w:tr2bl w:val="nil"/>
            </w:tcBorders>
            <w:vAlign w:val="top"/>
          </w:tcPr>
          <w:p>
            <w:pPr>
              <w:widowControl w:val="0"/>
              <w:wordWrap/>
              <w:spacing w:line="400" w:lineRule="exact"/>
              <w:ind w:right="0"/>
              <w:jc w:val="left"/>
              <w:textAlignment w:val="auto"/>
              <w:outlineLvl w:val="9"/>
              <w:rPr>
                <w:rFonts w:hint="eastAsia" w:ascii="Times New Roman" w:hAnsi="Times New Roman" w:eastAsia="Times New Roman" w:cs="Times New Roman"/>
                <w:sz w:val="28"/>
              </w:rPr>
            </w:pPr>
            <w:r>
              <w:rPr>
                <w:rFonts w:hint="eastAsia" w:ascii="Times New Roman" w:hAnsi="宋体" w:cs="Times New Roman"/>
                <w:sz w:val="28"/>
              </w:rPr>
              <w:t>交通工具运行状态：</w:t>
            </w:r>
          </w:p>
        </w:tc>
      </w:tr>
    </w:tbl>
    <w:p>
      <w:pPr>
        <w:widowControl w:val="0"/>
        <w:wordWrap/>
        <w:spacing w:line="400" w:lineRule="exact"/>
        <w:ind w:right="0"/>
        <w:textAlignment w:val="auto"/>
        <w:outlineLvl w:val="9"/>
        <w:rPr>
          <w:rFonts w:hint="eastAsia" w:ascii="Times New Roman" w:hAnsi="Times New Roman" w:eastAsia="Times New Roman" w:cs="Times New Roman"/>
          <w:sz w:val="24"/>
          <w:u w:val="single"/>
        </w:rPr>
      </w:pPr>
      <w:r>
        <w:rPr>
          <w:rFonts w:hint="eastAsia" w:ascii="Times New Roman" w:hAnsi="宋体" w:cs="Times New Roman"/>
          <w:sz w:val="24"/>
        </w:rPr>
        <w:t>消毒人员：</w:t>
      </w:r>
    </w:p>
    <w:p>
      <w:pPr>
        <w:widowControl w:val="0"/>
        <w:wordWrap/>
        <w:spacing w:line="400" w:lineRule="exact"/>
        <w:ind w:right="0"/>
        <w:textAlignment w:val="auto"/>
        <w:outlineLvl w:val="9"/>
        <w:rPr>
          <w:rFonts w:hint="eastAsia" w:ascii="Times New Roman" w:hAnsi="Times New Roman" w:eastAsia="Times New Roman" w:cs="Times New Roman"/>
          <w:sz w:val="24"/>
          <w:u w:val="single"/>
        </w:rPr>
      </w:pPr>
      <w:r>
        <w:rPr>
          <w:rFonts w:hint="eastAsia" w:ascii="Times New Roman" w:hAnsi="宋体" w:cs="Times New Roman"/>
          <w:sz w:val="24"/>
        </w:rPr>
        <w:t>交表日期：收表人：</w:t>
      </w:r>
    </w:p>
    <w:p>
      <w:pPr>
        <w:widowControl w:val="0"/>
        <w:wordWrap/>
        <w:spacing w:line="400" w:lineRule="exact"/>
        <w:ind w:right="0"/>
        <w:textAlignment w:val="auto"/>
        <w:outlineLvl w:val="9"/>
        <w:rPr>
          <w:rFonts w:hint="eastAsia" w:ascii="Times New Roman" w:hAnsi="Times New Roman" w:eastAsia="Times New Roman" w:cs="Times New Roman"/>
          <w:sz w:val="28"/>
        </w:rPr>
      </w:pPr>
      <w:r>
        <w:rPr>
          <w:rFonts w:hint="eastAsia" w:ascii="Times New Roman" w:hAnsi="宋体" w:cs="Times New Roman"/>
          <w:sz w:val="24"/>
        </w:rPr>
        <w:t>注：以上含氯消毒剂浓度配制以有效氯含量</w:t>
      </w:r>
      <w:r>
        <w:rPr>
          <w:rFonts w:hint="eastAsia" w:ascii="Times New Roman" w:hAnsi="Times New Roman" w:eastAsia="Times New Roman" w:cs="Times New Roman"/>
          <w:sz w:val="24"/>
        </w:rPr>
        <w:t>12-13%</w:t>
      </w:r>
      <w:r>
        <w:rPr>
          <w:rFonts w:hint="eastAsia" w:ascii="Times New Roman" w:hAnsi="宋体" w:cs="Times New Roman"/>
          <w:sz w:val="24"/>
        </w:rPr>
        <w:t>，</w:t>
      </w:r>
      <w:r>
        <w:rPr>
          <w:rFonts w:hint="eastAsia" w:ascii="Times New Roman" w:hAnsi="Times New Roman" w:eastAsia="Times New Roman" w:cs="Times New Roman"/>
          <w:sz w:val="24"/>
        </w:rPr>
        <w:t>20</w:t>
      </w:r>
      <w:r>
        <w:rPr>
          <w:rFonts w:hint="eastAsia" w:ascii="Times New Roman" w:hAnsi="宋体" w:cs="Times New Roman"/>
          <w:sz w:val="24"/>
        </w:rPr>
        <w:t>克</w:t>
      </w:r>
      <w:r>
        <w:rPr>
          <w:rFonts w:hint="eastAsia" w:ascii="Times New Roman" w:hAnsi="Times New Roman" w:eastAsia="Times New Roman" w:cs="Times New Roman"/>
          <w:sz w:val="24"/>
        </w:rPr>
        <w:t>/</w:t>
      </w:r>
      <w:r>
        <w:rPr>
          <w:rFonts w:hint="eastAsia" w:ascii="Times New Roman" w:hAnsi="宋体" w:cs="Times New Roman"/>
          <w:sz w:val="24"/>
        </w:rPr>
        <w:t>包的含氯消毒粉为例。</w:t>
      </w:r>
    </w:p>
    <w:p>
      <w:pPr>
        <w:outlineLvl w:val="9"/>
        <w:rPr>
          <w:rFonts w:ascii="Times New Roman" w:hAnsi="Times New Roman" w:cs="Times New Roman"/>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outlineLvl w:val="9"/>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p>
      <w:pPr>
        <w:widowControl w:val="0"/>
        <w:wordWrap/>
        <w:adjustRightInd/>
        <w:snapToGrid/>
        <w:spacing w:line="560" w:lineRule="exact"/>
        <w:ind w:left="0" w:leftChars="0" w:right="0" w:firstLine="0" w:firstLineChars="0"/>
        <w:textAlignment w:val="auto"/>
        <w:outlineLvl w:val="9"/>
        <w:rPr>
          <w:rFonts w:hint="eastAsia" w:ascii="宋体" w:hAnsi="宋体" w:eastAsia="宋体" w:cs="宋体"/>
          <w:sz w:val="32"/>
          <w:szCs w:val="32"/>
        </w:rPr>
      </w:pPr>
      <w:r>
        <w:rPr>
          <w:rFonts w:hint="eastAsia" w:ascii="宋体" w:hAnsi="宋体" w:eastAsia="宋体" w:cs="宋体"/>
          <w:sz w:val="32"/>
          <w:szCs w:val="32"/>
        </w:rPr>
        <w:t>附件5</w:t>
      </w:r>
    </w:p>
    <w:p>
      <w:pPr>
        <w:widowControl w:val="0"/>
        <w:wordWrap/>
        <w:adjustRightInd/>
        <w:snapToGrid/>
        <w:spacing w:beforeLines="0" w:afterLines="0" w:line="560" w:lineRule="exact"/>
        <w:ind w:left="0" w:leftChars="0" w:right="0" w:firstLine="0" w:firstLineChars="0"/>
        <w:jc w:val="both"/>
        <w:textAlignment w:val="auto"/>
        <w:outlineLvl w:val="9"/>
        <w:rPr>
          <w:rFonts w:hint="default" w:ascii="仿宋_GB2312" w:hAnsi="宋体" w:eastAsia="仿宋_GB2312" w:cs="Times New Roman"/>
          <w:kern w:val="2"/>
          <w:sz w:val="32"/>
          <w:szCs w:val="24"/>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小学及托幼机构新型冠状病毒感染的肺炎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ordWrap/>
        <w:adjustRightInd/>
        <w:snapToGrid/>
        <w:spacing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一、日常预防控制工作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（一）根据教育行政部门的部署，制定本单位传染病防控应急预案，建立领导责任制。并将责任分解到部门、单位和个人。</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（二）每学年开学后应即组织校医、园医或负责学校和托幼机构卫生工作的人员学习冬春季呼吸道传染病防控知识。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（三）落实晨检制度，发现发热、咳嗽等呼吸道症状的学生和幼儿，立即电话通知其家长领返回家，尽早到医院或社区卫生服务中心就诊治疗。</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（四）做好因病缺勤及病因登记追踪制度，发现呼吸道传染病病例异常增多要及时报告当地疾病预防控制机构和教育行政部门。</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五）加强各类学习、生活、娱乐、工作场所（如教室、音乐室、舞蹈室、阅览室、保育室、宿舍、教研室）的卫生与通风，保持空气流通，保持室内外环境卫生整洁。公共上课场所（如音乐室、舞蹈室、电脑室）要求一批学生进去消毒一次。</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（六）加强师生健康知识教育，教育学生打喷嚏时要主动掩住口鼻，及时洗手，提高防病意识。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（七）落实手部卫生，设置充足的洗手水龙头，配备洗手液或肥皂供师生使用，托幼机构由保育员每日落实幼儿勤洗手，推行六步洗手法。</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（八）在冬春呼吸道传染病的流行季节，集体性活动尽量安排在室外进行。</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二、出现发热、乏力、干咳及胸闷等</w:t>
      </w:r>
      <w:bookmarkStart w:id="761" w:name="_Hlk30575798"/>
      <w:r>
        <w:rPr>
          <w:rFonts w:hint="default" w:ascii="Times New Roman" w:hAnsi="Times New Roman" w:eastAsia="黑体" w:cs="Times New Roman"/>
          <w:snapToGrid w:val="0"/>
          <w:spacing w:val="0"/>
          <w:kern w:val="0"/>
          <w:sz w:val="32"/>
          <w:szCs w:val="32"/>
          <w:lang w:val="en-US" w:eastAsia="zh-CN"/>
        </w:rPr>
        <w:t>疑似</w:t>
      </w:r>
      <w:bookmarkEnd w:id="761"/>
      <w:r>
        <w:rPr>
          <w:rFonts w:hint="default" w:ascii="Times New Roman" w:hAnsi="Times New Roman" w:eastAsia="黑体" w:cs="Times New Roman"/>
          <w:snapToGrid w:val="0"/>
          <w:spacing w:val="0"/>
          <w:kern w:val="0"/>
          <w:sz w:val="32"/>
          <w:szCs w:val="32"/>
          <w:lang w:val="en-US" w:eastAsia="zh-CN"/>
        </w:rPr>
        <w:t>新型冠状病毒感染患者时</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除做好上述日常防控措施外，还须实施：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（一）疑似患者应立即戴上口罩就医。</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bookmarkStart w:id="762" w:name="_Hlk30575096"/>
      <w:r>
        <w:rPr>
          <w:rFonts w:hint="default" w:ascii="Times New Roman" w:hAnsi="Times New Roman" w:eastAsia="仿宋_GB2312" w:cs="Times New Roman"/>
          <w:snapToGrid w:val="0"/>
          <w:spacing w:val="0"/>
          <w:kern w:val="0"/>
          <w:sz w:val="32"/>
          <w:szCs w:val="32"/>
          <w:lang w:val="en-US" w:eastAsia="zh-CN"/>
        </w:rPr>
        <w:t>（二）尽快向当地疾病预防控制机构报告。</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bookmarkStart w:id="763" w:name="_Hlk30576305"/>
      <w:r>
        <w:rPr>
          <w:rFonts w:hint="default" w:ascii="Times New Roman" w:hAnsi="Times New Roman" w:eastAsia="仿宋_GB2312" w:cs="Times New Roman"/>
          <w:snapToGrid w:val="0"/>
          <w:spacing w:val="0"/>
          <w:kern w:val="0"/>
          <w:sz w:val="32"/>
          <w:szCs w:val="32"/>
          <w:lang w:val="en-US" w:eastAsia="zh-CN"/>
        </w:rPr>
        <w:t>（三）若被诊断为新型冠状病毒的肺炎患者，其密切接触者应接受14天隔离医学观察。</w:t>
      </w:r>
    </w:p>
    <w:bookmarkEnd w:id="762"/>
    <w:bookmarkEnd w:id="763"/>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（四）避免举办全校或全园性的室内集会等活动。</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（五）实施晨检和午检制度，发现发热、咳嗽等疑似新型冠状病毒感染症状立即电话其家长领返，尽早到医院或社区卫生服务中心诊治。</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（六）学校和托幼机构由专人负责与离校或离园的学生进行家访联系，了解其每日健康状况。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（七）根据疾病预防控制机构的要求实行日报和零报告制度，掌握病例学生每日增减情况。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（八）引导师生假期尽量不要前往疾病正在流行的地区，非去不可的要做好预防措施。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（九）学校要在当地疾病预防控制机构的指导下加强教室、寝室等的消毒与通风。配合卫生健康部门做好疫情处理等工作。</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bidi="ar-SA"/>
        </w:rPr>
      </w:pPr>
      <w:r>
        <w:rPr>
          <w:rFonts w:hint="default" w:ascii="Times New Roman" w:hAnsi="Times New Roman" w:eastAsia="仿宋_GB2312" w:cs="Times New Roman"/>
          <w:snapToGrid w:val="0"/>
          <w:spacing w:val="0"/>
          <w:kern w:val="0"/>
          <w:sz w:val="32"/>
          <w:szCs w:val="32"/>
          <w:lang w:val="en-US" w:eastAsia="zh-CN" w:bidi="ar-SA"/>
        </w:rPr>
        <w:t>（十）提前掌握学生假期有无到过疫区，如到过疫区，还没返粤的，请其推迟返粤时间。如已返粤的，请其到隔离留验场所隔离自离开疫区14天。</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eastAsia" w:ascii="楷体_GB2312" w:hAnsi="楷体_GB2312" w:eastAsia="楷体_GB2312" w:cs="楷体_GB2312"/>
          <w:snapToGrid w:val="0"/>
          <w:spacing w:val="0"/>
          <w:kern w:val="0"/>
          <w:sz w:val="32"/>
          <w:szCs w:val="32"/>
        </w:rPr>
        <w:t>（一）表面：</w:t>
      </w:r>
      <w:r>
        <w:rPr>
          <w:rFonts w:hint="default" w:ascii="Times New Roman" w:hAnsi="Times New Roman" w:eastAsia="仿宋_GB2312" w:cs="Times New Roman"/>
          <w:snapToGrid w:val="0"/>
          <w:spacing w:val="0"/>
          <w:kern w:val="0"/>
          <w:sz w:val="32"/>
          <w:szCs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rPr>
      </w:pPr>
      <w:r>
        <w:rPr>
          <w:rFonts w:hint="default" w:ascii="楷体_GB2312" w:hAnsi="楷体_GB2312" w:eastAsia="楷体_GB2312" w:cs="楷体_GB2312"/>
          <w:snapToGrid w:val="0"/>
          <w:spacing w:val="0"/>
          <w:kern w:val="0"/>
          <w:sz w:val="32"/>
          <w:szCs w:val="32"/>
        </w:rPr>
        <w:t>（二）地面：</w:t>
      </w:r>
      <w:r>
        <w:rPr>
          <w:rFonts w:hint="default" w:ascii="Times New Roman" w:hAnsi="Times New Roman" w:eastAsia="仿宋_GB2312" w:cs="Times New Roman"/>
          <w:snapToGrid w:val="0"/>
          <w:spacing w:val="0"/>
          <w:kern w:val="0"/>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楷体_GB2312" w:hAnsi="楷体_GB2312" w:eastAsia="楷体_GB2312" w:cs="楷体_GB2312"/>
          <w:snapToGrid w:val="0"/>
          <w:spacing w:val="0"/>
          <w:kern w:val="0"/>
          <w:sz w:val="32"/>
          <w:szCs w:val="32"/>
        </w:rPr>
      </w:pPr>
      <w:r>
        <w:rPr>
          <w:rFonts w:hint="default" w:ascii="楷体_GB2312" w:hAnsi="楷体_GB2312" w:eastAsia="楷体_GB2312" w:cs="楷体_GB2312"/>
          <w:snapToGrid w:val="0"/>
          <w:spacing w:val="0"/>
          <w:kern w:val="0"/>
          <w:sz w:val="32"/>
          <w:szCs w:val="32"/>
        </w:rPr>
        <w:t>（一）有效氯浓度500 mg/L的含氯消毒剂配制方法：</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bookmarkStart w:id="764" w:name="_Toc5712"/>
      <w:bookmarkStart w:id="765" w:name="_Toc28722"/>
      <w:bookmarkStart w:id="766" w:name="_Toc8673"/>
      <w:bookmarkStart w:id="767" w:name="_Toc11599"/>
      <w:bookmarkStart w:id="768" w:name="_Toc13700"/>
      <w:bookmarkStart w:id="769" w:name="_Toc28312"/>
      <w:bookmarkStart w:id="770" w:name="_Toc10818"/>
      <w:bookmarkStart w:id="771" w:name="_Toc17367"/>
      <w:bookmarkStart w:id="772" w:name="_Toc7949"/>
      <w:r>
        <w:rPr>
          <w:rFonts w:hint="default" w:ascii="Times New Roman" w:hAnsi="Times New Roman" w:eastAsia="仿宋_GB2312" w:cs="Times New Roman"/>
          <w:snapToGrid w:val="0"/>
          <w:spacing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84消毒液（有效氯含量5%）：按消毒液：水为1:100比例稀释；</w:t>
      </w:r>
      <w:bookmarkEnd w:id="764"/>
      <w:bookmarkEnd w:id="765"/>
      <w:bookmarkEnd w:id="766"/>
      <w:bookmarkEnd w:id="767"/>
      <w:bookmarkEnd w:id="768"/>
      <w:bookmarkEnd w:id="769"/>
      <w:bookmarkEnd w:id="770"/>
      <w:bookmarkEnd w:id="771"/>
      <w:bookmarkEnd w:id="772"/>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bookmarkStart w:id="773" w:name="_Toc26831"/>
      <w:bookmarkStart w:id="774" w:name="_Toc15651"/>
      <w:bookmarkStart w:id="775" w:name="_Toc25927"/>
      <w:bookmarkStart w:id="776" w:name="_Toc86"/>
      <w:bookmarkStart w:id="777" w:name="_Toc26735"/>
      <w:bookmarkStart w:id="778" w:name="_Toc3898"/>
      <w:bookmarkStart w:id="779" w:name="_Toc633"/>
      <w:bookmarkStart w:id="780" w:name="_Toc20568"/>
      <w:bookmarkStart w:id="781" w:name="_Toc31896"/>
      <w:r>
        <w:rPr>
          <w:rFonts w:hint="default" w:ascii="Times New Roman" w:hAnsi="Times New Roman" w:eastAsia="仿宋_GB2312" w:cs="Times New Roman"/>
          <w:snapToGrid w:val="0"/>
          <w:spacing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消毒粉（有效氯含量12-13%，20克/包）：1包消毒粉加4.8升水；</w:t>
      </w:r>
      <w:bookmarkEnd w:id="773"/>
      <w:bookmarkEnd w:id="774"/>
      <w:bookmarkEnd w:id="775"/>
      <w:bookmarkEnd w:id="776"/>
      <w:bookmarkEnd w:id="777"/>
      <w:bookmarkEnd w:id="778"/>
      <w:bookmarkEnd w:id="779"/>
      <w:bookmarkEnd w:id="780"/>
      <w:bookmarkEnd w:id="781"/>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bookmarkStart w:id="782" w:name="_Toc15180"/>
      <w:bookmarkStart w:id="783" w:name="_Toc13303"/>
      <w:bookmarkStart w:id="784" w:name="_Toc10418"/>
      <w:bookmarkStart w:id="785" w:name="_Toc9490"/>
      <w:bookmarkStart w:id="786" w:name="_Toc18621"/>
      <w:bookmarkStart w:id="787" w:name="_Toc1826"/>
      <w:bookmarkStart w:id="788" w:name="_Toc2564"/>
      <w:bookmarkStart w:id="789" w:name="_Toc13556"/>
      <w:bookmarkStart w:id="790" w:name="_Toc17841"/>
      <w:r>
        <w:rPr>
          <w:rFonts w:hint="default" w:ascii="Times New Roman" w:hAnsi="Times New Roman" w:eastAsia="仿宋_GB2312" w:cs="Times New Roman"/>
          <w:snapToGrid w:val="0"/>
          <w:spacing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含氯泡腾片（有效氯含量480mg/片-580mg/片）：1片溶于1升水。</w:t>
      </w:r>
      <w:bookmarkEnd w:id="782"/>
      <w:bookmarkEnd w:id="783"/>
      <w:bookmarkEnd w:id="784"/>
      <w:bookmarkEnd w:id="785"/>
      <w:bookmarkEnd w:id="786"/>
      <w:bookmarkEnd w:id="787"/>
      <w:bookmarkEnd w:id="788"/>
      <w:bookmarkEnd w:id="789"/>
      <w:bookmarkEnd w:id="790"/>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楷体_GB2312" w:hAnsi="楷体_GB2312" w:eastAsia="楷体_GB2312" w:cs="楷体_GB2312"/>
          <w:snapToGrid w:val="0"/>
          <w:spacing w:val="0"/>
          <w:kern w:val="0"/>
          <w:sz w:val="32"/>
          <w:szCs w:val="32"/>
        </w:rPr>
      </w:pPr>
      <w:r>
        <w:rPr>
          <w:rFonts w:hint="default" w:ascii="楷体_GB2312" w:hAnsi="楷体_GB2312" w:eastAsia="楷体_GB2312" w:cs="楷体_GB2312"/>
          <w:snapToGrid w:val="0"/>
          <w:spacing w:val="0"/>
          <w:kern w:val="0"/>
          <w:sz w:val="32"/>
          <w:szCs w:val="32"/>
        </w:rPr>
        <w:t>（二）75%乙醇消毒液：直接使用。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rPr>
      </w:pPr>
      <w:bookmarkStart w:id="791" w:name="_Toc12282"/>
      <w:bookmarkStart w:id="792" w:name="_Toc19010"/>
      <w:bookmarkStart w:id="793" w:name="_Toc4095"/>
      <w:bookmarkStart w:id="794" w:name="_Toc27542"/>
      <w:bookmarkStart w:id="795" w:name="_Toc24647"/>
      <w:bookmarkStart w:id="796" w:name="_Toc9785"/>
      <w:bookmarkStart w:id="797" w:name="_Toc6404"/>
      <w:bookmarkStart w:id="798" w:name="_Toc14758"/>
      <w:bookmarkStart w:id="799" w:name="_Toc14613"/>
      <w:r>
        <w:rPr>
          <w:rFonts w:hint="default" w:ascii="Times New Roman" w:hAnsi="Times New Roman" w:eastAsia="仿宋_GB2312" w:cs="Times New Roman"/>
          <w:snapToGrid w:val="0"/>
          <w:spacing w:val="0"/>
          <w:kern w:val="0"/>
          <w:sz w:val="32"/>
          <w:szCs w:val="32"/>
        </w:rPr>
        <w:t>（三）其他消毒剂按产品标签标识以杀灭肠道致病菌的浓度进行配制和使用。</w:t>
      </w:r>
      <w:bookmarkEnd w:id="791"/>
      <w:bookmarkEnd w:id="792"/>
      <w:bookmarkEnd w:id="793"/>
      <w:bookmarkEnd w:id="794"/>
      <w:bookmarkEnd w:id="795"/>
      <w:bookmarkEnd w:id="796"/>
      <w:bookmarkEnd w:id="797"/>
      <w:bookmarkEnd w:id="798"/>
      <w:bookmarkEnd w:id="799"/>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五、注意事项</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spacing w:val="0"/>
          <w:kern w:val="0"/>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br w:type="page"/>
      </w:r>
    </w:p>
    <w:p>
      <w:pPr>
        <w:widowControl w:val="0"/>
        <w:wordWrap/>
        <w:adjustRightInd/>
        <w:snapToGrid/>
        <w:spacing w:before="0" w:beforeLines="0" w:after="0" w:afterLines="0" w:line="560" w:lineRule="exact"/>
        <w:ind w:left="0" w:leftChars="0" w:right="0" w:firstLine="0" w:firstLineChars="0"/>
        <w:jc w:val="both"/>
        <w:textAlignment w:val="auto"/>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附件6</w:t>
      </w:r>
    </w:p>
    <w:p>
      <w:pPr>
        <w:widowControl w:val="0"/>
        <w:wordWrap/>
        <w:adjustRightInd/>
        <w:snapToGrid/>
        <w:spacing w:line="560" w:lineRule="exact"/>
        <w:ind w:left="0" w:leftChars="0" w:right="0" w:firstLine="0" w:firstLineChars="0"/>
        <w:jc w:val="both"/>
        <w:textAlignment w:val="auto"/>
        <w:outlineLvl w:val="9"/>
        <w:rPr>
          <w:rFonts w:hint="eastAsia" w:ascii="Times New Roman" w:hAnsi="Times New Roman" w:cs="Times New Roman"/>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大专院校、职业技术学校及初高级中学新型</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冠状病毒感染的肺炎预防控制指引</w:t>
      </w:r>
    </w:p>
    <w:p>
      <w:pPr>
        <w:wordWrap/>
        <w:adjustRightInd/>
        <w:snapToGrid/>
        <w:spacing w:line="560" w:lineRule="exact"/>
        <w:ind w:left="0" w:leftChars="0" w:right="0" w:firstLine="640" w:firstLineChars="200"/>
        <w:jc w:val="center"/>
        <w:textAlignment w:val="auto"/>
        <w:outlineLvl w:val="9"/>
        <w:rPr>
          <w:rFonts w:hint="default" w:ascii="Times New Roman" w:hAnsi="Times New Roman" w:eastAsia="Times New Roman" w:cs="Times New Roman"/>
          <w:snapToGrid w:val="0"/>
          <w:spacing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一、日常预防控制工作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（一）开展多种形式的健康宣教，普及呼吸道传染病的防控知识，教育学生打喷嚏时要主动掩住口鼻，及时洗手，提高防病意识。</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（二）搞好学校各类场所环境卫生，加强通风，保持空气流通。</w:t>
      </w:r>
    </w:p>
    <w:p>
      <w:pPr>
        <w:widowControl w:val="0"/>
        <w:numPr>
          <w:ilvl w:val="0"/>
          <w:numId w:val="22"/>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公共上课场所（如音乐室、舞蹈室、电脑室）要求一批学生进去消毒一次。</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（四）减少不必要的校内各种大型师生集会和大型会议等活动。</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（五）开展手部卫生教育，各类场所应配备洗手龙头及洗手液。</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（六）若有老师或学生出现发热、咳嗽等呼吸道感染症状，应戴口罩并及时就医，避免带病上课。</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（七）学校校医室要储备一定数量的医用口罩、一次性手套、洗手液和感冒药品。要有专人落实晨午检制度、因病缺课登记追踪制度。</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（八）建立健全校内有关部门和人员、学校与家长、学校与当地医疗机构及教育行政部门的联系机制，完善信息收集报送渠道，保证信息畅通。</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bidi="ar-SA"/>
        </w:rPr>
      </w:pPr>
      <w:r>
        <w:rPr>
          <w:rFonts w:hint="default" w:ascii="Times New Roman" w:hAnsi="Times New Roman" w:eastAsia="仿宋_GB2312" w:cs="Times New Roman"/>
          <w:snapToGrid w:val="0"/>
          <w:spacing w:val="0"/>
          <w:kern w:val="0"/>
          <w:sz w:val="32"/>
          <w:szCs w:val="32"/>
          <w:lang w:val="en-US" w:eastAsia="zh-CN" w:bidi="ar-SA"/>
        </w:rPr>
        <w:t>（九）提前掌握学生假期有无到过疫区，如到过疫区，还没返粤的，请其推迟返粤时间。如已返粤的，请其到隔离留验场所隔离自离开疫区14天。</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rPr>
      </w:pPr>
      <w:r>
        <w:rPr>
          <w:rFonts w:hint="default" w:ascii="Times New Roman" w:hAnsi="Times New Roman" w:eastAsia="黑体" w:cs="Times New Roman"/>
          <w:snapToGrid w:val="0"/>
          <w:spacing w:val="0"/>
          <w:kern w:val="0"/>
          <w:sz w:val="32"/>
          <w:szCs w:val="32"/>
          <w:lang w:val="en-US" w:eastAsia="zh-CN"/>
        </w:rPr>
        <w:t>二、出现发热、乏力、干咳及胸闷等疑似新型冠状病毒感染患者时</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除做好上述日常防控措施外，还须实施：</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1</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疑似患者应立即戴上口罩就医。</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2</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及时报告当地疾病预防控制机构和教育行政部门。</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default" w:ascii="Times New Roman" w:hAnsi="Times New Roman" w:eastAsia="仿宋_GB2312" w:cs="Times New Roman"/>
          <w:snapToGrid w:val="0"/>
          <w:spacing w:val="0"/>
          <w:kern w:val="0"/>
          <w:sz w:val="32"/>
          <w:szCs w:val="32"/>
          <w:lang w:val="en-US" w:eastAsia="zh-CN"/>
        </w:rPr>
        <w:t>3</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若被诊断为新型冠状病毒的肺炎患者，其密切接触者应接受14天隔离医学观察。</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4</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启动以班级为单位的晨午检制度。</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5</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学校由专人负责离校学生的家访联系，了解其每日健康状况。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6</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根据疾病预防控制机构的要求实行日报和零报告制度，掌握每日现症学生增减情况。</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7</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配合卫生健康部门做好疫情的处理等工作。</w:t>
      </w:r>
    </w:p>
    <w:p>
      <w:pPr>
        <w:widowControl w:val="0"/>
        <w:numPr>
          <w:ilvl w:val="0"/>
          <w:numId w:val="0"/>
        </w:numPr>
        <w:wordWrap/>
        <w:adjustRightInd/>
        <w:snapToGrid/>
        <w:spacing w:before="0" w:beforeLines="0" w:beforeAutospacing="0" w:after="0" w:afterLines="0" w:afterAutospacing="0" w:line="560" w:lineRule="exact"/>
        <w:ind w:left="0" w:leftChars="0" w:right="0" w:firstLine="640" w:firstLineChars="200"/>
        <w:jc w:val="left"/>
        <w:textAlignment w:val="auto"/>
        <w:outlineLvl w:val="9"/>
        <w:rPr>
          <w:rFonts w:hint="default" w:ascii="Times New Roman" w:hAnsi="Times New Roman" w:eastAsia="黑体" w:cs="Times New Roman"/>
          <w:snapToGrid w:val="0"/>
          <w:spacing w:val="0"/>
          <w:kern w:val="0"/>
          <w:sz w:val="32"/>
          <w:szCs w:val="32"/>
          <w:lang w:val="en-US" w:eastAsia="zh-CN"/>
        </w:rPr>
      </w:pPr>
      <w:r>
        <w:rPr>
          <w:rFonts w:hint="eastAsia" w:ascii="Times New Roman" w:hAnsi="Times New Roman" w:eastAsia="仿宋_GB2312" w:cs="Times New Roman"/>
          <w:snapToGrid w:val="0"/>
          <w:spacing w:val="0"/>
          <w:kern w:val="0"/>
          <w:sz w:val="32"/>
          <w:szCs w:val="32"/>
          <w:lang w:val="en-US" w:eastAsia="zh-CN"/>
        </w:rPr>
        <w:t>8</w:t>
      </w:r>
      <w:r>
        <w:rPr>
          <w:rFonts w:hint="eastAsia" w:ascii="仿宋_GB2312" w:hAnsi="仿宋_GB2312" w:eastAsia="仿宋_GB2312" w:cs="仿宋_GB2312"/>
          <w:kern w:val="0"/>
          <w:sz w:val="32"/>
          <w:szCs w:val="32"/>
          <w:lang w:val="en-US" w:eastAsia="zh-CN"/>
        </w:rPr>
        <w:t>.</w:t>
      </w:r>
      <w:r>
        <w:rPr>
          <w:rFonts w:hint="default" w:ascii="Times New Roman" w:hAnsi="Times New Roman" w:eastAsia="仿宋_GB2312" w:cs="Times New Roman"/>
          <w:snapToGrid w:val="0"/>
          <w:spacing w:val="0"/>
          <w:kern w:val="0"/>
          <w:sz w:val="32"/>
          <w:szCs w:val="32"/>
          <w:lang w:val="en-US" w:eastAsia="zh-CN"/>
        </w:rPr>
        <w:t>学校要在当地疾病预防控制机构的指导下，对教室、寝室及公共教室如电脑、视听、图书馆等的消毒与通风。</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eastAsia" w:ascii="楷体_GB2312" w:hAnsi="楷体_GB2312" w:eastAsia="楷体_GB2312" w:cs="楷体_GB2312"/>
          <w:snapToGrid w:val="0"/>
          <w:spacing w:val="0"/>
          <w:kern w:val="0"/>
          <w:sz w:val="32"/>
          <w:szCs w:val="32"/>
        </w:rPr>
        <w:t>（一）表面：</w:t>
      </w:r>
      <w:r>
        <w:rPr>
          <w:rFonts w:hint="default" w:ascii="Times New Roman" w:hAnsi="Times New Roman" w:eastAsia="仿宋_GB2312" w:cs="Times New Roman"/>
          <w:snapToGrid w:val="0"/>
          <w:spacing w:val="0"/>
          <w:kern w:val="0"/>
          <w:sz w:val="32"/>
          <w:szCs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楷体_GB2312" w:hAnsi="楷体_GB2312" w:eastAsia="楷体_GB2312" w:cs="楷体_GB2312"/>
          <w:snapToGrid w:val="0"/>
          <w:spacing w:val="0"/>
          <w:kern w:val="0"/>
          <w:sz w:val="32"/>
          <w:szCs w:val="32"/>
        </w:rPr>
        <w:t>（二）地面：</w:t>
      </w:r>
      <w:r>
        <w:rPr>
          <w:rFonts w:hint="default" w:ascii="Times New Roman" w:hAnsi="Times New Roman" w:eastAsia="仿宋_GB2312" w:cs="Times New Roman"/>
          <w:snapToGrid w:val="0"/>
          <w:spacing w:val="0"/>
          <w:kern w:val="0"/>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00" w:name="_Toc22577"/>
      <w:bookmarkStart w:id="801" w:name="_Toc26539"/>
      <w:bookmarkStart w:id="802" w:name="_Toc16831"/>
      <w:bookmarkStart w:id="803" w:name="_Toc18386"/>
      <w:bookmarkStart w:id="804" w:name="_Toc26447"/>
      <w:bookmarkStart w:id="805" w:name="_Toc8956"/>
      <w:bookmarkStart w:id="806" w:name="_Toc7479"/>
      <w:bookmarkStart w:id="807" w:name="_Toc15219"/>
      <w:bookmarkStart w:id="808" w:name="_Toc16484"/>
      <w:r>
        <w:rPr>
          <w:rFonts w:hint="default" w:ascii="Times New Roman" w:hAnsi="Times New Roman" w:eastAsia="仿宋_GB2312" w:cs="Times New Roman"/>
          <w:snapToGrid w:val="0"/>
          <w:spacing w:val="0"/>
          <w:kern w:val="0"/>
          <w:sz w:val="32"/>
          <w:szCs w:val="32"/>
        </w:rPr>
        <w:t>（一）有效氯浓度500 mg/L的含氯消毒剂配制方法：</w:t>
      </w:r>
      <w:bookmarkEnd w:id="800"/>
      <w:bookmarkEnd w:id="801"/>
      <w:bookmarkEnd w:id="802"/>
      <w:bookmarkEnd w:id="803"/>
      <w:bookmarkEnd w:id="804"/>
      <w:bookmarkEnd w:id="805"/>
      <w:bookmarkEnd w:id="806"/>
      <w:bookmarkEnd w:id="807"/>
      <w:bookmarkEnd w:id="808"/>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09" w:name="_Toc28085"/>
      <w:bookmarkStart w:id="810" w:name="_Toc12144"/>
      <w:bookmarkStart w:id="811" w:name="_Toc25742"/>
      <w:bookmarkStart w:id="812" w:name="_Toc12115"/>
      <w:bookmarkStart w:id="813" w:name="_Toc24352"/>
      <w:bookmarkStart w:id="814" w:name="_Toc5145"/>
      <w:bookmarkStart w:id="815" w:name="_Toc5491"/>
      <w:bookmarkStart w:id="816" w:name="_Toc22706"/>
      <w:bookmarkStart w:id="817" w:name="_Toc21311"/>
      <w:r>
        <w:rPr>
          <w:rFonts w:hint="default" w:ascii="Times New Roman" w:hAnsi="Times New Roman" w:eastAsia="仿宋_GB2312" w:cs="Times New Roman"/>
          <w:snapToGrid w:val="0"/>
          <w:spacing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84消毒液（有效氯含量5%）：按消毒液：水为1:100比例稀释；</w:t>
      </w:r>
      <w:bookmarkEnd w:id="809"/>
      <w:bookmarkEnd w:id="810"/>
      <w:bookmarkEnd w:id="811"/>
      <w:bookmarkEnd w:id="812"/>
      <w:bookmarkEnd w:id="813"/>
      <w:bookmarkEnd w:id="814"/>
      <w:bookmarkEnd w:id="815"/>
      <w:bookmarkEnd w:id="816"/>
      <w:bookmarkEnd w:id="817"/>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18" w:name="_Toc6685"/>
      <w:bookmarkStart w:id="819" w:name="_Toc15038"/>
      <w:bookmarkStart w:id="820" w:name="_Toc3732"/>
      <w:bookmarkStart w:id="821" w:name="_Toc30864"/>
      <w:bookmarkStart w:id="822" w:name="_Toc14912"/>
      <w:bookmarkStart w:id="823" w:name="_Toc7227"/>
      <w:bookmarkStart w:id="824" w:name="_Toc13403"/>
      <w:bookmarkStart w:id="825" w:name="_Toc29048"/>
      <w:bookmarkStart w:id="826" w:name="_Toc24894"/>
      <w:r>
        <w:rPr>
          <w:rFonts w:hint="default" w:ascii="Times New Roman" w:hAnsi="Times New Roman" w:eastAsia="仿宋_GB2312" w:cs="Times New Roman"/>
          <w:snapToGrid w:val="0"/>
          <w:spacing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消毒粉（有效氯含量12-13%，20克/包）：1包消毒粉加4.8升水；</w:t>
      </w:r>
      <w:bookmarkEnd w:id="818"/>
      <w:bookmarkEnd w:id="819"/>
      <w:bookmarkEnd w:id="820"/>
      <w:bookmarkEnd w:id="821"/>
      <w:bookmarkEnd w:id="822"/>
      <w:bookmarkEnd w:id="823"/>
      <w:bookmarkEnd w:id="824"/>
      <w:bookmarkEnd w:id="825"/>
      <w:bookmarkEnd w:id="826"/>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27" w:name="_Toc18938"/>
      <w:bookmarkStart w:id="828" w:name="_Toc26488"/>
      <w:bookmarkStart w:id="829" w:name="_Toc24872"/>
      <w:bookmarkStart w:id="830" w:name="_Toc9280"/>
      <w:bookmarkStart w:id="831" w:name="_Toc8745"/>
      <w:bookmarkStart w:id="832" w:name="_Toc19235"/>
      <w:bookmarkStart w:id="833" w:name="_Toc8004"/>
      <w:bookmarkStart w:id="834" w:name="_Toc10532"/>
      <w:bookmarkStart w:id="835" w:name="_Toc13621"/>
      <w:r>
        <w:rPr>
          <w:rFonts w:hint="default" w:ascii="Times New Roman" w:hAnsi="Times New Roman" w:eastAsia="仿宋_GB2312" w:cs="Times New Roman"/>
          <w:snapToGrid w:val="0"/>
          <w:spacing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spacing w:val="0"/>
          <w:kern w:val="0"/>
          <w:sz w:val="32"/>
          <w:szCs w:val="32"/>
        </w:rPr>
        <w:t>含氯泡腾片（有效氯含量480mg/片-580mg/片）：1片溶于1升水。</w:t>
      </w:r>
      <w:bookmarkEnd w:id="827"/>
      <w:bookmarkEnd w:id="828"/>
      <w:bookmarkEnd w:id="829"/>
      <w:bookmarkEnd w:id="830"/>
      <w:bookmarkEnd w:id="831"/>
      <w:bookmarkEnd w:id="832"/>
      <w:bookmarkEnd w:id="833"/>
      <w:bookmarkEnd w:id="834"/>
      <w:bookmarkEnd w:id="835"/>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bookmarkStart w:id="836" w:name="_Toc30238"/>
      <w:bookmarkStart w:id="837" w:name="_Toc1308"/>
      <w:bookmarkStart w:id="838" w:name="_Toc1830"/>
      <w:bookmarkStart w:id="839" w:name="_Toc17213"/>
      <w:bookmarkStart w:id="840" w:name="_Toc30032"/>
      <w:bookmarkStart w:id="841" w:name="_Toc20166"/>
      <w:bookmarkStart w:id="842" w:name="_Toc27485"/>
      <w:bookmarkStart w:id="843" w:name="_Toc28544"/>
      <w:bookmarkStart w:id="844" w:name="_Toc14964"/>
      <w:r>
        <w:rPr>
          <w:rFonts w:hint="default" w:ascii="Times New Roman" w:hAnsi="Times New Roman" w:eastAsia="仿宋_GB2312" w:cs="Times New Roman"/>
          <w:snapToGrid w:val="0"/>
          <w:spacing w:val="0"/>
          <w:kern w:val="0"/>
          <w:sz w:val="32"/>
          <w:szCs w:val="32"/>
        </w:rPr>
        <w:t>（二）75%乙醇消毒液：直接使用。</w:t>
      </w:r>
      <w:bookmarkEnd w:id="836"/>
      <w:bookmarkEnd w:id="837"/>
      <w:bookmarkEnd w:id="838"/>
      <w:bookmarkEnd w:id="839"/>
      <w:bookmarkEnd w:id="840"/>
      <w:bookmarkEnd w:id="841"/>
      <w:bookmarkEnd w:id="842"/>
      <w:bookmarkEnd w:id="843"/>
      <w:bookmarkEnd w:id="844"/>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spacing w:val="0"/>
          <w:kern w:val="0"/>
          <w:sz w:val="32"/>
          <w:szCs w:val="32"/>
        </w:rPr>
      </w:pPr>
      <w:bookmarkStart w:id="845" w:name="_Toc23090"/>
      <w:bookmarkStart w:id="846" w:name="_Toc4140"/>
      <w:bookmarkStart w:id="847" w:name="_Toc6407"/>
      <w:bookmarkStart w:id="848" w:name="_Toc1183"/>
      <w:bookmarkStart w:id="849" w:name="_Toc18489"/>
      <w:bookmarkStart w:id="850" w:name="_Toc23270"/>
      <w:bookmarkStart w:id="851" w:name="_Toc1793"/>
      <w:bookmarkStart w:id="852" w:name="_Toc5206"/>
      <w:bookmarkStart w:id="853" w:name="_Toc32092"/>
      <w:r>
        <w:rPr>
          <w:rFonts w:hint="default" w:ascii="Times New Roman" w:hAnsi="Times New Roman" w:eastAsia="仿宋_GB2312" w:cs="Times New Roman"/>
          <w:snapToGrid w:val="0"/>
          <w:spacing w:val="0"/>
          <w:kern w:val="0"/>
          <w:sz w:val="32"/>
          <w:szCs w:val="32"/>
        </w:rPr>
        <w:t>（三）其他消毒剂按产品标签标识以杀灭肠道致病菌的浓度进行配制和使用。</w:t>
      </w:r>
      <w:bookmarkEnd w:id="845"/>
      <w:bookmarkEnd w:id="846"/>
      <w:bookmarkEnd w:id="847"/>
      <w:bookmarkEnd w:id="848"/>
      <w:bookmarkEnd w:id="849"/>
      <w:bookmarkEnd w:id="850"/>
      <w:bookmarkEnd w:id="851"/>
      <w:bookmarkEnd w:id="852"/>
      <w:bookmarkEnd w:id="853"/>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spacing w:val="0"/>
          <w:kern w:val="0"/>
          <w:sz w:val="32"/>
          <w:szCs w:val="32"/>
          <w:lang w:val="en-US" w:eastAsia="zh-CN" w:bidi="ar-SA"/>
        </w:rPr>
      </w:pPr>
      <w:r>
        <w:rPr>
          <w:rFonts w:hint="default" w:ascii="Times New Roman" w:hAnsi="Times New Roman" w:eastAsia="黑体" w:cs="Times New Roman"/>
          <w:snapToGrid w:val="0"/>
          <w:spacing w:val="0"/>
          <w:kern w:val="0"/>
          <w:sz w:val="32"/>
          <w:szCs w:val="32"/>
          <w:lang w:val="en-US" w:eastAsia="zh-CN" w:bidi="ar-SA"/>
        </w:rPr>
        <w:t>五、注意事项</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spacing w:val="0"/>
          <w:kern w:val="0"/>
          <w:sz w:val="32"/>
          <w:szCs w:val="32"/>
        </w:rPr>
      </w:pPr>
      <w:r>
        <w:rPr>
          <w:rFonts w:hint="default" w:ascii="Times New Roman" w:hAnsi="Times New Roman" w:eastAsia="仿宋_GB2312" w:cs="Times New Roman"/>
          <w:snapToGrid w:val="0"/>
          <w:spacing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ascii="Times New Roman" w:hAnsi="Times New Roman" w:cs="Times New Roman"/>
          <w:sz w:val="32"/>
          <w:szCs w:val="32"/>
        </w:rPr>
      </w:pPr>
      <w:r>
        <w:rPr>
          <w:rFonts w:hint="default" w:ascii="Times New Roman" w:hAnsi="Times New Roman" w:eastAsia="仿宋_GB2312" w:cs="Times New Roman"/>
          <w:snapToGrid w:val="0"/>
          <w:spacing w:val="0"/>
          <w:kern w:val="0"/>
          <w:sz w:val="32"/>
          <w:szCs w:val="32"/>
        </w:rPr>
        <w:t>（二）乙醇消毒液使用应远离火源。</w:t>
      </w:r>
    </w:p>
    <w:p>
      <w:pPr>
        <w:outlineLvl w:val="9"/>
        <w:rPr>
          <w:rFonts w:ascii="Times New Roman" w:hAnsi="Times New Roman" w:cs="Times New Roman"/>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wordWrap/>
        <w:adjustRightInd/>
        <w:snapToGrid/>
        <w:spacing w:line="560" w:lineRule="exact"/>
        <w:ind w:left="0" w:leftChars="0" w:right="0" w:firstLine="0" w:firstLineChars="0"/>
        <w:textAlignment w:val="auto"/>
        <w:outlineLvl w:val="9"/>
        <w:rPr>
          <w:rFonts w:hint="eastAsia" w:ascii="仿宋_GB2312" w:hAnsi="仿宋_GB2312" w:eastAsia="仿宋_GB2312" w:cs="仿宋_GB2312"/>
          <w:sz w:val="32"/>
          <w:szCs w:val="32"/>
        </w:rPr>
      </w:pPr>
    </w:p>
    <w:p>
      <w:pPr>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val="0"/>
        <w:wordWrap/>
        <w:adjustRightInd/>
        <w:snapToGrid/>
        <w:spacing w:line="560" w:lineRule="exact"/>
        <w:ind w:left="0" w:leftChars="0" w:right="0" w:firstLine="0" w:firstLine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附件7</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企事业等集体单位新型冠状病毒</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感染的肺炎预防控制指引</w:t>
      </w:r>
    </w:p>
    <w:p>
      <w:pPr>
        <w:wordWrap/>
        <w:adjustRightInd/>
        <w:snapToGrid/>
        <w:spacing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32"/>
          <w:lang w:val="en-US" w:eastAsia="zh-CN"/>
        </w:rPr>
      </w:pPr>
      <w:r>
        <w:rPr>
          <w:rFonts w:hint="default" w:ascii="Times New Roman" w:hAnsi="Times New Roman" w:eastAsia="黑体" w:cs="Times New Roman"/>
          <w:snapToGrid w:val="0"/>
          <w:kern w:val="0"/>
          <w:sz w:val="32"/>
          <w:szCs w:val="32"/>
          <w:lang w:val="en-US" w:eastAsia="zh-CN"/>
        </w:rPr>
        <w:t>一、日常预防控制工作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（一）利用单位宣传栏开展新型冠状病毒和呼吸道传染病防治知识健康宣教。</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（二）确保工作环境清洁卫生，保持室内空气流通。使用空调系统的单位，要定期清洗空调。每天开启门窗，通风换气。开空调时，可同时开排气扇。定期用消毒水为办公室设备、门把手和电梯按钮进行消毒。</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（三）开展手部卫生教育，各类场所配备洗手龙头、洗手液、抹手纸或干手机。倡导员工养成经常洗手的好习惯。</w:t>
      </w:r>
    </w:p>
    <w:p>
      <w:pPr>
        <w:widowControl w:val="0"/>
        <w:numPr>
          <w:ilvl w:val="0"/>
          <w:numId w:val="0"/>
        </w:numPr>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（四）减少不必要的各种大型集会和大型会议等活动。</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（五）推广健康的生活方式，有条件的单位安排做工间操。尽量不加班。</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（六）建立员工的病假记录制度。有员工出现发热、咳嗽等呼吸道症状应劝其不上班，并尽早到医院或社区卫生服务中心就诊治疗。</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32"/>
          <w:lang w:val="en-US" w:eastAsia="zh-CN"/>
        </w:rPr>
      </w:pPr>
      <w:r>
        <w:rPr>
          <w:rFonts w:hint="default" w:ascii="Times New Roman" w:hAnsi="Times New Roman" w:eastAsia="黑体" w:cs="Times New Roman"/>
          <w:snapToGrid w:val="0"/>
          <w:kern w:val="0"/>
          <w:sz w:val="32"/>
          <w:szCs w:val="32"/>
          <w:lang w:val="en-US" w:eastAsia="zh-CN"/>
        </w:rPr>
        <w:t>二、出现发热、乏力、干咳及胸闷等疑似新型冠状病毒感染患者时</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（一）疑似患者应立即戴上口罩就医。</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（二）及时联系当地疾病预防控制中心请求指导处理，并协助开展相关调查处置工作。</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（三）若被诊断为新型冠状病毒的肺炎患者，其密切接触者应接受14天医学观察。</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（四）根据有关部门建议，实行轮休制度、休假等减少人员密集的措施。</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（五）停止或减少使用中央空调，并清洗消毒，保持室内空气流通。</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（六）启动晨检制度和健康申报制度。</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eastAsia" w:ascii="楷体_GB2312" w:hAnsi="楷体_GB2312" w:eastAsia="楷体_GB2312" w:cs="楷体_GB2312"/>
          <w:snapToGrid w:val="0"/>
          <w:kern w:val="0"/>
          <w:sz w:val="32"/>
          <w:szCs w:val="32"/>
        </w:rPr>
        <w:t>（一）表面：</w:t>
      </w:r>
      <w:r>
        <w:rPr>
          <w:rFonts w:hint="default" w:ascii="Times New Roman" w:hAnsi="Times New Roman" w:eastAsia="仿宋_GB2312" w:cs="Times New Roman"/>
          <w:snapToGrid w:val="0"/>
          <w:kern w:val="0"/>
          <w:sz w:val="32"/>
          <w:szCs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楷体_GB2312" w:hAnsi="楷体_GB2312" w:eastAsia="楷体_GB2312" w:cs="楷体_GB2312"/>
          <w:snapToGrid w:val="0"/>
          <w:kern w:val="0"/>
          <w:sz w:val="32"/>
          <w:szCs w:val="32"/>
        </w:rPr>
        <w:t>（二）地面：</w:t>
      </w:r>
      <w:r>
        <w:rPr>
          <w:rFonts w:hint="default" w:ascii="Times New Roman" w:hAnsi="Times New Roman" w:eastAsia="仿宋_GB2312" w:cs="Times New Roman"/>
          <w:snapToGrid w:val="0"/>
          <w:kern w:val="0"/>
          <w:sz w:val="32"/>
          <w:szCs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54" w:name="_Toc2205"/>
      <w:bookmarkStart w:id="855" w:name="_Toc28835"/>
      <w:bookmarkStart w:id="856" w:name="_Toc30921"/>
      <w:bookmarkStart w:id="857" w:name="_Toc5991"/>
      <w:bookmarkStart w:id="858" w:name="_Toc29018"/>
      <w:bookmarkStart w:id="859" w:name="_Toc21503"/>
      <w:bookmarkStart w:id="860" w:name="_Toc6120"/>
      <w:bookmarkStart w:id="861" w:name="_Toc28662"/>
      <w:bookmarkStart w:id="862" w:name="_Toc12991"/>
      <w:r>
        <w:rPr>
          <w:rFonts w:hint="default" w:ascii="Times New Roman" w:hAnsi="Times New Roman" w:eastAsia="仿宋_GB2312" w:cs="Times New Roman"/>
          <w:snapToGrid w:val="0"/>
          <w:kern w:val="0"/>
          <w:sz w:val="32"/>
          <w:szCs w:val="32"/>
        </w:rPr>
        <w:t>（一）有效氯浓度500 mg/L的含氯消毒剂配制方法：</w:t>
      </w:r>
      <w:bookmarkEnd w:id="854"/>
      <w:bookmarkEnd w:id="855"/>
      <w:bookmarkEnd w:id="856"/>
      <w:bookmarkEnd w:id="857"/>
      <w:bookmarkEnd w:id="858"/>
      <w:bookmarkEnd w:id="859"/>
      <w:bookmarkEnd w:id="860"/>
      <w:bookmarkEnd w:id="861"/>
      <w:bookmarkEnd w:id="862"/>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63" w:name="_Toc17580"/>
      <w:bookmarkStart w:id="864" w:name="_Toc6896"/>
      <w:bookmarkStart w:id="865" w:name="_Toc22486"/>
      <w:bookmarkStart w:id="866" w:name="_Toc25883"/>
      <w:bookmarkStart w:id="867" w:name="_Toc15097"/>
      <w:bookmarkStart w:id="868" w:name="_Toc12038"/>
      <w:bookmarkStart w:id="869" w:name="_Toc12790"/>
      <w:bookmarkStart w:id="870" w:name="_Toc31472"/>
      <w:bookmarkStart w:id="871" w:name="_Toc17777"/>
      <w:r>
        <w:rPr>
          <w:rFonts w:hint="default" w:ascii="Times New Roman" w:hAnsi="Times New Roman" w:eastAsia="仿宋_GB2312" w:cs="Times New Roman"/>
          <w:snapToGrid w:val="0"/>
          <w:kern w:val="0"/>
          <w:sz w:val="32"/>
          <w:szCs w:val="32"/>
        </w:rPr>
        <w:t>1</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84消毒液（有效氯含量5%）：按消毒液：水为1:100比例稀释；</w:t>
      </w:r>
      <w:bookmarkEnd w:id="863"/>
      <w:bookmarkEnd w:id="864"/>
      <w:bookmarkEnd w:id="865"/>
      <w:bookmarkEnd w:id="866"/>
      <w:bookmarkEnd w:id="867"/>
      <w:bookmarkEnd w:id="868"/>
      <w:bookmarkEnd w:id="869"/>
      <w:bookmarkEnd w:id="870"/>
      <w:bookmarkEnd w:id="871"/>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72" w:name="_Toc11633"/>
      <w:bookmarkStart w:id="873" w:name="_Toc24334"/>
      <w:bookmarkStart w:id="874" w:name="_Toc14636"/>
      <w:bookmarkStart w:id="875" w:name="_Toc24590"/>
      <w:bookmarkStart w:id="876" w:name="_Toc14191"/>
      <w:bookmarkStart w:id="877" w:name="_Toc23847"/>
      <w:bookmarkStart w:id="878" w:name="_Toc17990"/>
      <w:bookmarkStart w:id="879" w:name="_Toc20894"/>
      <w:r>
        <w:rPr>
          <w:rFonts w:hint="default" w:ascii="Times New Roman" w:hAnsi="Times New Roman" w:eastAsia="仿宋_GB2312" w:cs="Times New Roman"/>
          <w:snapToGrid w:val="0"/>
          <w:kern w:val="0"/>
          <w:sz w:val="32"/>
          <w:szCs w:val="32"/>
        </w:rPr>
        <w:t>2</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消毒粉（有效氯含量12-13%，20克/包）：1包消毒粉加4.8升水；</w:t>
      </w:r>
      <w:bookmarkEnd w:id="872"/>
      <w:bookmarkEnd w:id="873"/>
      <w:bookmarkEnd w:id="874"/>
      <w:bookmarkEnd w:id="875"/>
      <w:bookmarkEnd w:id="876"/>
      <w:bookmarkEnd w:id="877"/>
      <w:bookmarkEnd w:id="878"/>
      <w:bookmarkEnd w:id="879"/>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80" w:name="_Toc6272"/>
      <w:bookmarkStart w:id="881" w:name="_Toc10280"/>
      <w:bookmarkStart w:id="882" w:name="_Toc1316"/>
      <w:bookmarkStart w:id="883" w:name="_Toc24060"/>
      <w:bookmarkStart w:id="884" w:name="_Toc2799"/>
      <w:bookmarkStart w:id="885" w:name="_Toc19598"/>
      <w:bookmarkStart w:id="886" w:name="_Toc13526"/>
      <w:bookmarkStart w:id="887" w:name="_Toc18348"/>
      <w:bookmarkStart w:id="888" w:name="_Toc28374"/>
      <w:r>
        <w:rPr>
          <w:rFonts w:hint="default" w:ascii="Times New Roman" w:hAnsi="Times New Roman" w:eastAsia="仿宋_GB2312" w:cs="Times New Roman"/>
          <w:snapToGrid w:val="0"/>
          <w:kern w:val="0"/>
          <w:sz w:val="32"/>
          <w:szCs w:val="32"/>
        </w:rPr>
        <w:t>3</w:t>
      </w:r>
      <w:r>
        <w:rPr>
          <w:rFonts w:hint="eastAsia" w:ascii="仿宋_GB2312" w:hAnsi="仿宋_GB2312" w:eastAsia="仿宋_GB2312" w:cs="仿宋_GB2312"/>
          <w:sz w:val="32"/>
          <w:szCs w:val="32"/>
        </w:rPr>
        <w:t>.</w:t>
      </w:r>
      <w:r>
        <w:rPr>
          <w:rFonts w:hint="default" w:ascii="Times New Roman" w:hAnsi="Times New Roman" w:eastAsia="仿宋_GB2312" w:cs="Times New Roman"/>
          <w:snapToGrid w:val="0"/>
          <w:kern w:val="0"/>
          <w:sz w:val="32"/>
          <w:szCs w:val="32"/>
        </w:rPr>
        <w:t>含氯泡腾片（有效氯含量480mg/片-580mg/片）：1片溶于1升水。</w:t>
      </w:r>
      <w:bookmarkEnd w:id="880"/>
      <w:bookmarkEnd w:id="881"/>
      <w:bookmarkEnd w:id="882"/>
      <w:bookmarkEnd w:id="883"/>
      <w:bookmarkEnd w:id="884"/>
      <w:bookmarkEnd w:id="885"/>
      <w:bookmarkEnd w:id="886"/>
      <w:bookmarkEnd w:id="887"/>
      <w:bookmarkEnd w:id="888"/>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89" w:name="_Toc14411"/>
      <w:bookmarkStart w:id="890" w:name="_Toc21002"/>
      <w:bookmarkStart w:id="891" w:name="_Toc12512"/>
      <w:bookmarkStart w:id="892" w:name="_Toc25529"/>
      <w:bookmarkStart w:id="893" w:name="_Toc9969"/>
      <w:bookmarkStart w:id="894" w:name="_Toc29411"/>
      <w:bookmarkStart w:id="895" w:name="_Toc26331"/>
      <w:bookmarkStart w:id="896" w:name="_Toc12905"/>
      <w:bookmarkStart w:id="897" w:name="_Toc11425"/>
      <w:r>
        <w:rPr>
          <w:rFonts w:hint="default" w:ascii="Times New Roman" w:hAnsi="Times New Roman" w:eastAsia="仿宋_GB2312" w:cs="Times New Roman"/>
          <w:snapToGrid w:val="0"/>
          <w:kern w:val="0"/>
          <w:sz w:val="32"/>
          <w:szCs w:val="32"/>
        </w:rPr>
        <w:t>（二）75%乙醇消毒液：直接使用。</w:t>
      </w:r>
      <w:bookmarkEnd w:id="889"/>
      <w:bookmarkEnd w:id="890"/>
      <w:bookmarkEnd w:id="891"/>
      <w:bookmarkEnd w:id="892"/>
      <w:bookmarkEnd w:id="893"/>
      <w:bookmarkEnd w:id="894"/>
      <w:bookmarkEnd w:id="895"/>
      <w:bookmarkEnd w:id="896"/>
      <w:bookmarkEnd w:id="897"/>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bookmarkStart w:id="898" w:name="_Toc11916"/>
      <w:bookmarkStart w:id="899" w:name="_Toc27322"/>
      <w:bookmarkStart w:id="900" w:name="_Toc26877"/>
      <w:bookmarkStart w:id="901" w:name="_Toc27541"/>
      <w:bookmarkStart w:id="902" w:name="_Toc25527"/>
      <w:bookmarkStart w:id="903" w:name="_Toc22348"/>
      <w:bookmarkStart w:id="904" w:name="_Toc13997"/>
      <w:bookmarkStart w:id="905" w:name="_Toc5781"/>
      <w:bookmarkStart w:id="906" w:name="_Toc20472"/>
      <w:r>
        <w:rPr>
          <w:rFonts w:hint="default" w:ascii="Times New Roman" w:hAnsi="Times New Roman" w:eastAsia="仿宋_GB2312" w:cs="Times New Roman"/>
          <w:snapToGrid w:val="0"/>
          <w:kern w:val="0"/>
          <w:sz w:val="32"/>
          <w:szCs w:val="32"/>
        </w:rPr>
        <w:t>（三）其他消毒剂按产品标签标识以杀灭肠道致病菌的浓度进行配制和使用。</w:t>
      </w:r>
      <w:bookmarkEnd w:id="898"/>
      <w:bookmarkEnd w:id="899"/>
      <w:bookmarkEnd w:id="900"/>
      <w:bookmarkEnd w:id="901"/>
      <w:bookmarkEnd w:id="902"/>
      <w:bookmarkEnd w:id="903"/>
      <w:bookmarkEnd w:id="904"/>
      <w:bookmarkEnd w:id="905"/>
      <w:bookmarkEnd w:id="906"/>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kern w:val="0"/>
          <w:sz w:val="32"/>
          <w:szCs w:val="32"/>
          <w:lang w:val="en-US" w:eastAsia="zh-CN" w:bidi="ar-SA"/>
        </w:rPr>
      </w:pPr>
      <w:r>
        <w:rPr>
          <w:rFonts w:hint="default" w:ascii="Times New Roman" w:hAnsi="Times New Roman" w:eastAsia="黑体" w:cs="Times New Roman"/>
          <w:snapToGrid w:val="0"/>
          <w:kern w:val="0"/>
          <w:sz w:val="32"/>
          <w:szCs w:val="32"/>
          <w:lang w:val="en-US" w:eastAsia="zh-CN" w:bidi="ar-SA"/>
        </w:rPr>
        <w:t>五、注意事项</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（一）含氯消毒剂有皮肤黏膜刺激性，配置和使用时建议佩戴口罩和手套，儿童请勿触碰。</w:t>
      </w:r>
    </w:p>
    <w:p>
      <w:pPr>
        <w:widowControl w:val="0"/>
        <w:wordWrap/>
        <w:adjustRightInd/>
        <w:snapToGrid/>
        <w:spacing w:beforeAutospacing="0" w:afterAutospacing="0" w:line="560" w:lineRule="exact"/>
        <w:ind w:left="0" w:leftChars="0" w:right="0" w:firstLine="640" w:firstLineChars="200"/>
        <w:jc w:val="both"/>
        <w:textAlignment w:val="auto"/>
        <w:outlineLvl w:val="9"/>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（二）乙醇消毒液使用应远离火源。</w:t>
      </w: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32"/>
          <w:lang w:val="en-US" w:eastAsia="zh-CN" w:bidi="ar-SA"/>
        </w:rPr>
      </w:pPr>
    </w:p>
    <w:p>
      <w:pPr>
        <w:outlineLvl w:val="9"/>
        <w:rPr>
          <w:rFonts w:hint="eastAsia" w:ascii="仿宋_GB2312" w:hAnsi="仿宋_GB2312" w:eastAsia="仿宋_GB2312" w:cs="仿宋_GB2312"/>
          <w:b w:val="0"/>
          <w:bCs/>
          <w:kern w:val="2"/>
          <w:sz w:val="32"/>
          <w:szCs w:val="32"/>
          <w:lang w:val="en-US" w:eastAsia="zh-CN" w:bidi="ar-SA"/>
        </w:rPr>
      </w:pPr>
      <w:bookmarkStart w:id="907" w:name="_Hlk30518470"/>
      <w:r>
        <w:rPr>
          <w:rFonts w:hint="eastAsia" w:ascii="仿宋_GB2312" w:hAnsi="仿宋_GB2312" w:eastAsia="仿宋_GB2312" w:cs="仿宋_GB2312"/>
          <w:b w:val="0"/>
          <w:bCs/>
          <w:kern w:val="2"/>
          <w:sz w:val="32"/>
          <w:szCs w:val="32"/>
          <w:lang w:val="en-US" w:eastAsia="zh-CN" w:bidi="ar-SA"/>
        </w:rPr>
        <w:br w:type="page"/>
      </w:r>
    </w:p>
    <w:p>
      <w:pPr>
        <w:widowControl w:val="0"/>
        <w:snapToGrid w:val="0"/>
        <w:spacing w:before="0" w:beforeLines="0" w:after="0" w:afterLines="0" w:line="600" w:lineRule="exact"/>
        <w:ind w:left="0" w:leftChars="0" w:right="67" w:rightChars="21" w:firstLine="0" w:firstLineChars="0"/>
        <w:jc w:val="left"/>
        <w:outlineLvl w:val="9"/>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附件8</w:t>
      </w:r>
    </w:p>
    <w:p>
      <w:pPr>
        <w:outlineLvl w:val="9"/>
        <w:rPr>
          <w:rFonts w:hint="default" w:ascii="Times New Roman" w:hAnsi="Times New Roman" w:cs="Times New Roman"/>
          <w:sz w:val="32"/>
          <w:szCs w:val="32"/>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养老机构新型冠状病毒感染的肺炎</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预防控制指引</w:t>
      </w:r>
    </w:p>
    <w:p>
      <w:pPr>
        <w:widowControl w:val="0"/>
        <w:wordWrap/>
        <w:adjustRightInd/>
        <w:snapToGrid/>
        <w:spacing w:before="0" w:beforeLines="0" w:after="0" w:afterLines="0" w:line="560" w:lineRule="exact"/>
        <w:ind w:left="0" w:leftChars="0" w:right="0" w:firstLine="880" w:firstLineChars="200"/>
        <w:jc w:val="center"/>
        <w:textAlignment w:val="auto"/>
        <w:outlineLvl w:val="9"/>
        <w:rPr>
          <w:rFonts w:hint="default" w:ascii="Times New Roman" w:hAnsi="Times New Roman" w:eastAsia="Times New Roman" w:cs="Times New Roman"/>
          <w:b w:val="0"/>
          <w:bCs/>
          <w:snapToGrid w:val="0"/>
          <w:kern w:val="0"/>
          <w:sz w:val="44"/>
          <w:szCs w:val="32"/>
          <w:lang w:val="en-US" w:eastAsia="zh-CN" w:bidi="ar-SA"/>
        </w:rPr>
      </w:pPr>
    </w:p>
    <w:bookmarkEnd w:id="907"/>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黑体" w:cs="Times New Roman"/>
          <w:snapToGrid w:val="0"/>
          <w:color w:val="auto"/>
          <w:kern w:val="0"/>
          <w:sz w:val="32"/>
          <w:szCs w:val="24"/>
          <w:lang w:val="en-US" w:eastAsia="zh-CN"/>
        </w:rPr>
        <w:t>一、日常预防控制工作</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（一）对工作人员和护养老人加强新型冠状病毒肺炎和冬春季呼吸道传染病防控的知识教育。</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（二）建立晨检制度和健康申报制度。建立老人和工作人员的健康档案。</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（三）工作人员一旦出现发热、咳嗽等呼吸道感染症状，应立即停止工作，尽早去医院就诊治疗。</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（四）建立探访人员登记制度，如探访人员有发热、咳嗽等呼吸道感染症状，应拒绝其探访。</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（五）确保环境清洁卫生，定期用消毒水为老人住所、厕所、休息聊天场所、活动器械等抹洗消毒。经常将老人的被褥衣服晒太阳。</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（六）尽量开启门窗，保持室内空气流通，使用空调系统的单位，要定期清洗空调。开空调时，可同时开排气扇。</w:t>
      </w:r>
    </w:p>
    <w:p>
      <w:pPr>
        <w:widowControl w:val="0"/>
        <w:wordWrap/>
        <w:adjustRightInd/>
        <w:snapToGrid/>
        <w:spacing w:before="0" w:beforeAutospacing="0" w:after="0" w:afterAutospacing="0" w:line="560" w:lineRule="exact"/>
        <w:ind w:left="0" w:leftChars="0" w:right="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Times New Roman" w:cs="Times New Roman"/>
          <w:snapToGrid w:val="0"/>
          <w:color w:val="auto"/>
          <w:kern w:val="0"/>
          <w:sz w:val="32"/>
          <w:szCs w:val="24"/>
          <w:lang w:val="en-US" w:eastAsia="zh-CN"/>
        </w:rPr>
        <w:t xml:space="preserve">    </w:t>
      </w:r>
      <w:r>
        <w:rPr>
          <w:rFonts w:hint="default" w:ascii="Times New Roman" w:hAnsi="Times New Roman" w:eastAsia="仿宋_GB2312" w:cs="Times New Roman"/>
          <w:snapToGrid w:val="0"/>
          <w:color w:val="auto"/>
          <w:kern w:val="0"/>
          <w:sz w:val="32"/>
          <w:szCs w:val="24"/>
          <w:lang w:val="en-US" w:eastAsia="zh-CN"/>
        </w:rPr>
        <w:t>（七）设置适合老年人的洗手设施，提供洗手液、抹手纸或干手机。倡导老人养成经常洗手的好习惯。</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仿宋_GB2312" w:cs="Times New Roman"/>
          <w:snapToGrid w:val="0"/>
          <w:color w:val="auto"/>
          <w:kern w:val="0"/>
          <w:sz w:val="32"/>
          <w:szCs w:val="24"/>
          <w:lang w:val="en-US" w:eastAsia="zh-CN"/>
        </w:rPr>
        <w:t>（八）准备隔离后备房间（设置在人流不密集、通风、有独立厕所的房间），提供给急性发热、咳嗽的老人隔离治疗使用。有症状的老人应及时予以隔离，避免传染给其他老人。</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rPr>
      </w:pPr>
      <w:r>
        <w:rPr>
          <w:rFonts w:hint="default" w:ascii="Times New Roman" w:hAnsi="Times New Roman" w:eastAsia="黑体" w:cs="Times New Roman"/>
          <w:snapToGrid w:val="0"/>
          <w:color w:val="auto"/>
          <w:kern w:val="0"/>
          <w:sz w:val="32"/>
          <w:szCs w:val="24"/>
          <w:lang w:val="en-US" w:eastAsia="zh-CN"/>
        </w:rPr>
        <w:t>二、出现发热、乏力、干咳及胸闷等疑似新型冠状病毒感染患者时</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除做好上述日常防控措施外，还须实施：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（一）疑似患者应立即戴上口罩就医。</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（二）及时联系当地疾病预防控制中心请求指导，并协助开展相关调查处置工作。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（三）若被诊断为新型冠状病毒的肺炎患者，其密切接触者应接受14天医学观察。</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（四）暂停探访工作。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（五）减少不必要的聚会、聚餐等群体性活动。建议不安排集中用餐，可以安排老人在各自房间用餐。</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（六）落实晨检制度和健康申报制度，加强空气流通、环境清洁等工作。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（七）养老院要在当地疾病预防控制机构的指导下，对餐厅、卧室、公共活动室等场所进行消毒。</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bidi="ar-SA"/>
        </w:rPr>
      </w:pPr>
      <w:r>
        <w:rPr>
          <w:rFonts w:hint="default" w:ascii="Times New Roman" w:hAnsi="Times New Roman" w:eastAsia="黑体" w:cs="Times New Roman"/>
          <w:snapToGrid w:val="0"/>
          <w:color w:val="auto"/>
          <w:kern w:val="0"/>
          <w:sz w:val="32"/>
          <w:szCs w:val="24"/>
          <w:lang w:val="en-US" w:eastAsia="zh-CN" w:bidi="ar-SA"/>
        </w:rPr>
        <w:t>三、日常清洁及预防性消毒</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以清洁为主，预防性消毒为辅，应避免过度消毒，受到污染时随时进行清洁消毒。消毒方法如下：</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eastAsia" w:ascii="楷体_GB2312" w:hAnsi="楷体_GB2312" w:eastAsia="楷体_GB2312" w:cs="楷体_GB2312"/>
          <w:snapToGrid w:val="0"/>
          <w:color w:val="auto"/>
          <w:kern w:val="0"/>
          <w:sz w:val="32"/>
        </w:rPr>
        <w:t>（一）表面：</w:t>
      </w:r>
      <w:r>
        <w:rPr>
          <w:rFonts w:hint="default" w:ascii="Times New Roman" w:hAnsi="Times New Roman" w:eastAsia="仿宋_GB2312" w:cs="Times New Roman"/>
          <w:snapToGrid w:val="0"/>
          <w:color w:val="auto"/>
          <w:kern w:val="0"/>
          <w:sz w:val="32"/>
        </w:rPr>
        <w:t>可使用含氯消毒剂（有效氯浓度250 mg/L～500 mg/L）擦拭，作用30min，再用清水擦净。</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楷体_GB2312" w:hAnsi="楷体_GB2312" w:eastAsia="楷体_GB2312" w:cs="楷体_GB2312"/>
          <w:snapToGrid w:val="0"/>
          <w:color w:val="auto"/>
          <w:kern w:val="0"/>
          <w:sz w:val="32"/>
        </w:rPr>
        <w:t>（二）地面：</w:t>
      </w:r>
      <w:r>
        <w:rPr>
          <w:rFonts w:hint="default" w:ascii="Times New Roman" w:hAnsi="Times New Roman" w:eastAsia="仿宋_GB2312" w:cs="Times New Roman"/>
          <w:snapToGrid w:val="0"/>
          <w:color w:val="auto"/>
          <w:kern w:val="0"/>
          <w:sz w:val="32"/>
        </w:rPr>
        <w:t>可使用含氯消毒剂（有效氯浓度250 mg/L～500 mg/L）用拖布湿式拖拭，作用30min，再用清水洗净。</w:t>
      </w:r>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bidi="ar-SA"/>
        </w:rPr>
      </w:pPr>
      <w:r>
        <w:rPr>
          <w:rFonts w:hint="default" w:ascii="Times New Roman" w:hAnsi="Times New Roman" w:eastAsia="黑体" w:cs="Times New Roman"/>
          <w:snapToGrid w:val="0"/>
          <w:color w:val="auto"/>
          <w:kern w:val="0"/>
          <w:sz w:val="32"/>
          <w:szCs w:val="24"/>
          <w:lang w:val="en-US" w:eastAsia="zh-CN" w:bidi="ar-SA"/>
        </w:rPr>
        <w:t>四、常见消毒剂及配制使用</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08" w:name="_Toc7420"/>
      <w:bookmarkStart w:id="909" w:name="_Toc2376"/>
      <w:bookmarkStart w:id="910" w:name="_Toc9637"/>
      <w:bookmarkStart w:id="911" w:name="_Toc31346"/>
      <w:bookmarkStart w:id="912" w:name="_Toc30663"/>
      <w:bookmarkStart w:id="913" w:name="_Toc22033"/>
      <w:bookmarkStart w:id="914" w:name="_Toc3919"/>
      <w:bookmarkStart w:id="915" w:name="_Toc21246"/>
      <w:bookmarkStart w:id="916" w:name="_Toc31158"/>
      <w:r>
        <w:rPr>
          <w:rFonts w:hint="default" w:ascii="Times New Roman" w:hAnsi="Times New Roman" w:eastAsia="仿宋_GB2312" w:cs="Times New Roman"/>
          <w:snapToGrid w:val="0"/>
          <w:color w:val="auto"/>
          <w:kern w:val="0"/>
          <w:sz w:val="32"/>
        </w:rPr>
        <w:t>（一）有效氯浓度500 mg/L的含氯消毒剂配制方法：</w:t>
      </w:r>
      <w:bookmarkEnd w:id="908"/>
      <w:bookmarkEnd w:id="909"/>
      <w:bookmarkEnd w:id="910"/>
      <w:bookmarkEnd w:id="911"/>
      <w:bookmarkEnd w:id="912"/>
      <w:bookmarkEnd w:id="913"/>
      <w:bookmarkEnd w:id="914"/>
      <w:bookmarkEnd w:id="915"/>
      <w:bookmarkEnd w:id="916"/>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17" w:name="_Toc20872"/>
      <w:bookmarkStart w:id="918" w:name="_Toc20528"/>
      <w:bookmarkStart w:id="919" w:name="_Toc19252"/>
      <w:bookmarkStart w:id="920" w:name="_Toc3618"/>
      <w:bookmarkStart w:id="921" w:name="_Toc7958"/>
      <w:bookmarkStart w:id="922" w:name="_Toc25238"/>
      <w:bookmarkStart w:id="923" w:name="_Toc1067"/>
      <w:bookmarkStart w:id="924" w:name="_Toc13640"/>
      <w:bookmarkStart w:id="925" w:name="_Toc23620"/>
      <w:r>
        <w:rPr>
          <w:rFonts w:hint="default" w:ascii="Times New Roman" w:hAnsi="Times New Roman" w:eastAsia="仿宋_GB2312" w:cs="Times New Roman"/>
          <w:snapToGrid w:val="0"/>
          <w:color w:val="auto"/>
          <w:kern w:val="0"/>
          <w:sz w:val="32"/>
        </w:rPr>
        <w:t>1</w:t>
      </w:r>
      <w:r>
        <w:rPr>
          <w:rFonts w:hint="eastAsia" w:ascii="仿宋_GB2312" w:hAnsi="仿宋_GB2312" w:eastAsia="仿宋_GB2312" w:cs="仿宋_GB2312"/>
          <w:sz w:val="32"/>
        </w:rPr>
        <w:t>.</w:t>
      </w:r>
      <w:r>
        <w:rPr>
          <w:rFonts w:hint="default" w:ascii="Times New Roman" w:hAnsi="Times New Roman" w:eastAsia="仿宋_GB2312" w:cs="Times New Roman"/>
          <w:snapToGrid w:val="0"/>
          <w:color w:val="auto"/>
          <w:kern w:val="0"/>
          <w:sz w:val="32"/>
        </w:rPr>
        <w:t>84消毒液（有效氯含量5%）：按消毒液：水为1:100比例稀释；</w:t>
      </w:r>
      <w:bookmarkEnd w:id="917"/>
      <w:bookmarkEnd w:id="918"/>
      <w:bookmarkEnd w:id="919"/>
      <w:bookmarkEnd w:id="920"/>
      <w:bookmarkEnd w:id="921"/>
      <w:bookmarkEnd w:id="922"/>
      <w:bookmarkEnd w:id="923"/>
      <w:bookmarkEnd w:id="924"/>
      <w:bookmarkEnd w:id="925"/>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26" w:name="_Toc24641"/>
      <w:bookmarkStart w:id="927" w:name="_Toc14733"/>
      <w:bookmarkStart w:id="928" w:name="_Toc26884"/>
      <w:bookmarkStart w:id="929" w:name="_Toc29159"/>
      <w:bookmarkStart w:id="930" w:name="_Toc1874"/>
      <w:bookmarkStart w:id="931" w:name="_Toc945"/>
      <w:bookmarkStart w:id="932" w:name="_Toc220"/>
      <w:bookmarkStart w:id="933" w:name="_Toc4342"/>
      <w:bookmarkStart w:id="934" w:name="_Toc26436"/>
      <w:r>
        <w:rPr>
          <w:rFonts w:hint="default" w:ascii="Times New Roman" w:hAnsi="Times New Roman" w:eastAsia="仿宋_GB2312" w:cs="Times New Roman"/>
          <w:snapToGrid w:val="0"/>
          <w:color w:val="auto"/>
          <w:kern w:val="0"/>
          <w:sz w:val="32"/>
        </w:rPr>
        <w:t>2</w:t>
      </w:r>
      <w:r>
        <w:rPr>
          <w:rFonts w:hint="eastAsia" w:ascii="仿宋_GB2312" w:hAnsi="仿宋_GB2312" w:eastAsia="仿宋_GB2312" w:cs="仿宋_GB2312"/>
          <w:sz w:val="32"/>
        </w:rPr>
        <w:t>.</w:t>
      </w:r>
      <w:r>
        <w:rPr>
          <w:rFonts w:hint="default" w:ascii="Times New Roman" w:hAnsi="Times New Roman" w:eastAsia="仿宋_GB2312" w:cs="Times New Roman"/>
          <w:snapToGrid w:val="0"/>
          <w:color w:val="auto"/>
          <w:kern w:val="0"/>
          <w:sz w:val="32"/>
        </w:rPr>
        <w:t>消毒粉（有效氯含量12-13%，20克/包）：1包消毒粉加4.8升水；</w:t>
      </w:r>
      <w:bookmarkEnd w:id="926"/>
      <w:bookmarkEnd w:id="927"/>
      <w:bookmarkEnd w:id="928"/>
      <w:bookmarkEnd w:id="929"/>
      <w:bookmarkEnd w:id="930"/>
      <w:bookmarkEnd w:id="931"/>
      <w:bookmarkEnd w:id="932"/>
      <w:bookmarkEnd w:id="933"/>
      <w:bookmarkEnd w:id="934"/>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35" w:name="_Toc11829"/>
      <w:bookmarkStart w:id="936" w:name="_Toc26310"/>
      <w:bookmarkStart w:id="937" w:name="_Toc28286"/>
      <w:bookmarkStart w:id="938" w:name="_Toc18429"/>
      <w:bookmarkStart w:id="939" w:name="_Toc21162"/>
      <w:bookmarkStart w:id="940" w:name="_Toc29898"/>
      <w:bookmarkStart w:id="941" w:name="_Toc16127"/>
      <w:bookmarkStart w:id="942" w:name="_Toc3239"/>
      <w:bookmarkStart w:id="943" w:name="_Toc13076"/>
      <w:r>
        <w:rPr>
          <w:rFonts w:hint="default" w:ascii="Times New Roman" w:hAnsi="Times New Roman" w:eastAsia="仿宋_GB2312" w:cs="Times New Roman"/>
          <w:snapToGrid w:val="0"/>
          <w:color w:val="auto"/>
          <w:kern w:val="0"/>
          <w:sz w:val="32"/>
        </w:rPr>
        <w:t>3</w:t>
      </w:r>
      <w:r>
        <w:rPr>
          <w:rFonts w:hint="eastAsia" w:ascii="仿宋_GB2312" w:hAnsi="仿宋_GB2312" w:eastAsia="仿宋_GB2312" w:cs="仿宋_GB2312"/>
          <w:sz w:val="32"/>
        </w:rPr>
        <w:t>.</w:t>
      </w:r>
      <w:r>
        <w:rPr>
          <w:rFonts w:hint="default" w:ascii="Times New Roman" w:hAnsi="Times New Roman" w:eastAsia="仿宋_GB2312" w:cs="Times New Roman"/>
          <w:snapToGrid w:val="0"/>
          <w:color w:val="auto"/>
          <w:kern w:val="0"/>
          <w:sz w:val="32"/>
        </w:rPr>
        <w:t>含氯泡腾片（有效氯含量480mg/片-580mg/片）：1片溶于1升水。</w:t>
      </w:r>
      <w:bookmarkEnd w:id="935"/>
      <w:bookmarkEnd w:id="936"/>
      <w:bookmarkEnd w:id="937"/>
      <w:bookmarkEnd w:id="938"/>
      <w:bookmarkEnd w:id="939"/>
      <w:bookmarkEnd w:id="940"/>
      <w:bookmarkEnd w:id="941"/>
      <w:bookmarkEnd w:id="942"/>
      <w:bookmarkEnd w:id="943"/>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44" w:name="_Toc23820"/>
      <w:bookmarkStart w:id="945" w:name="_Toc16363"/>
      <w:bookmarkStart w:id="946" w:name="_Toc4212"/>
      <w:bookmarkStart w:id="947" w:name="_Toc19519"/>
      <w:bookmarkStart w:id="948" w:name="_Toc30173"/>
      <w:bookmarkStart w:id="949" w:name="_Toc20511"/>
      <w:bookmarkStart w:id="950" w:name="_Toc24017"/>
      <w:bookmarkStart w:id="951" w:name="_Toc4529"/>
      <w:bookmarkStart w:id="952" w:name="_Toc23185"/>
      <w:r>
        <w:rPr>
          <w:rFonts w:hint="default" w:ascii="Times New Roman" w:hAnsi="Times New Roman" w:eastAsia="仿宋_GB2312" w:cs="Times New Roman"/>
          <w:snapToGrid w:val="0"/>
          <w:color w:val="auto"/>
          <w:kern w:val="0"/>
          <w:sz w:val="32"/>
        </w:rPr>
        <w:t>（二）75%乙醇消毒液：直接使用。</w:t>
      </w:r>
      <w:bookmarkEnd w:id="944"/>
      <w:bookmarkEnd w:id="945"/>
      <w:bookmarkEnd w:id="946"/>
      <w:bookmarkEnd w:id="947"/>
      <w:bookmarkEnd w:id="948"/>
      <w:bookmarkEnd w:id="949"/>
      <w:bookmarkEnd w:id="950"/>
      <w:bookmarkEnd w:id="951"/>
      <w:bookmarkEnd w:id="952"/>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bookmarkStart w:id="953" w:name="_Toc15546"/>
      <w:bookmarkStart w:id="954" w:name="_Toc31538"/>
      <w:bookmarkStart w:id="955" w:name="_Toc26758"/>
      <w:bookmarkStart w:id="956" w:name="_Toc31513"/>
      <w:bookmarkStart w:id="957" w:name="_Toc27713"/>
      <w:bookmarkStart w:id="958" w:name="_Toc12391"/>
      <w:bookmarkStart w:id="959" w:name="_Toc24155"/>
      <w:bookmarkStart w:id="960" w:name="_Toc22939"/>
      <w:bookmarkStart w:id="961" w:name="_Toc13921"/>
      <w:r>
        <w:rPr>
          <w:rFonts w:hint="default" w:ascii="Times New Roman" w:hAnsi="Times New Roman" w:eastAsia="仿宋_GB2312" w:cs="Times New Roman"/>
          <w:snapToGrid w:val="0"/>
          <w:color w:val="auto"/>
          <w:kern w:val="0"/>
          <w:sz w:val="32"/>
        </w:rPr>
        <w:t>（三）其他消毒剂按产品标签标识以杀灭肠道致病菌的浓度进行配制和使用。</w:t>
      </w:r>
      <w:bookmarkEnd w:id="953"/>
      <w:bookmarkEnd w:id="954"/>
      <w:bookmarkEnd w:id="955"/>
      <w:bookmarkEnd w:id="956"/>
      <w:bookmarkEnd w:id="957"/>
      <w:bookmarkEnd w:id="958"/>
      <w:bookmarkEnd w:id="959"/>
      <w:bookmarkEnd w:id="960"/>
      <w:bookmarkEnd w:id="961"/>
    </w:p>
    <w:p>
      <w:pPr>
        <w:widowControl w:val="0"/>
        <w:wordWrap/>
        <w:adjustRightInd/>
        <w:snapToGrid/>
        <w:spacing w:beforeLines="0" w:beforeAutospacing="0" w:afterLines="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auto"/>
          <w:kern w:val="0"/>
          <w:sz w:val="32"/>
          <w:szCs w:val="24"/>
          <w:lang w:val="en-US" w:eastAsia="zh-CN" w:bidi="ar-SA"/>
        </w:rPr>
      </w:pPr>
      <w:r>
        <w:rPr>
          <w:rFonts w:hint="default" w:ascii="Times New Roman" w:hAnsi="Times New Roman" w:eastAsia="黑体" w:cs="Times New Roman"/>
          <w:snapToGrid w:val="0"/>
          <w:color w:val="auto"/>
          <w:kern w:val="0"/>
          <w:sz w:val="32"/>
          <w:szCs w:val="24"/>
          <w:lang w:val="en-US" w:eastAsia="zh-CN" w:bidi="ar-SA"/>
        </w:rPr>
        <w:t>五、注意事项</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（一）含氯消毒剂有皮肤黏膜刺激性，配置和使用时建议佩戴口罩和手套，儿童请勿触碰。</w:t>
      </w:r>
    </w:p>
    <w:p>
      <w:pPr>
        <w:widowControl w:val="0"/>
        <w:wordWrap/>
        <w:adjustRightInd/>
        <w:snapToGrid/>
        <w:spacing w:beforeAutospacing="0" w:afterAutospacing="0" w:line="560" w:lineRule="exact"/>
        <w:ind w:firstLine="640" w:firstLineChars="200"/>
        <w:textAlignment w:val="auto"/>
        <w:outlineLvl w:val="9"/>
        <w:rPr>
          <w:rFonts w:hint="default" w:ascii="Times New Roman" w:hAnsi="Times New Roman" w:eastAsia="仿宋_GB2312" w:cs="Times New Roman"/>
          <w:snapToGrid w:val="0"/>
          <w:color w:val="auto"/>
          <w:kern w:val="0"/>
          <w:sz w:val="32"/>
        </w:rPr>
      </w:pPr>
      <w:r>
        <w:rPr>
          <w:rFonts w:hint="default" w:ascii="Times New Roman" w:hAnsi="Times New Roman" w:eastAsia="仿宋_GB2312" w:cs="Times New Roman"/>
          <w:snapToGrid w:val="0"/>
          <w:color w:val="auto"/>
          <w:kern w:val="0"/>
          <w:sz w:val="32"/>
        </w:rPr>
        <w:t>（二）乙醇消毒液使用应远离火源。</w:t>
      </w: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widowControl w:val="0"/>
        <w:spacing w:line="640" w:lineRule="exact"/>
        <w:jc w:val="both"/>
        <w:outlineLvl w:val="9"/>
        <w:rPr>
          <w:rFonts w:ascii="仿宋_GB2312" w:hAnsi="宋体" w:eastAsia="仿宋_GB2312" w:cs="Times New Roman"/>
          <w:kern w:val="2"/>
          <w:sz w:val="32"/>
          <w:szCs w:val="24"/>
          <w:lang w:val="en-US" w:eastAsia="zh-CN" w:bidi="ar-SA"/>
        </w:rPr>
      </w:pPr>
    </w:p>
    <w:p>
      <w:pPr>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widowControl w:val="0"/>
        <w:wordWrap/>
        <w:adjustRightInd/>
        <w:snapToGrid/>
        <w:spacing w:line="560" w:lineRule="exact"/>
        <w:ind w:left="0" w:leftChars="0" w:right="0" w:firstLine="0" w:firstLine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附件9</w:t>
      </w:r>
    </w:p>
    <w:p>
      <w:pPr>
        <w:widowControl w:val="0"/>
        <w:wordWrap/>
        <w:adjustRightInd/>
        <w:snapToGrid/>
        <w:spacing w:beforeLines="0" w:afterLines="0" w:line="560" w:lineRule="exact"/>
        <w:ind w:left="0" w:leftChars="0" w:right="0" w:firstLine="0" w:firstLineChars="0"/>
        <w:jc w:val="both"/>
        <w:textAlignment w:val="auto"/>
        <w:outlineLvl w:val="9"/>
        <w:rPr>
          <w:rFonts w:hint="default" w:ascii="Times New Roman" w:hAnsi="Times New Roman" w:eastAsia="仿宋_GB2312" w:cs="Times New Roman"/>
          <w:kern w:val="2"/>
          <w:sz w:val="32"/>
          <w:szCs w:val="32"/>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畜禽养殖、运输、屠宰场所新型冠状病毒</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感染的肺炎预防控制指引</w:t>
      </w:r>
    </w:p>
    <w:p>
      <w:pPr>
        <w:wordWrap/>
        <w:adjustRightInd/>
        <w:snapToGrid/>
        <w:spacing w:line="560" w:lineRule="exact"/>
        <w:ind w:left="0" w:leftChars="0" w:right="0" w:firstLine="640" w:firstLineChars="200"/>
        <w:textAlignment w:val="auto"/>
        <w:outlineLvl w:val="9"/>
        <w:rPr>
          <w:rFonts w:hint="default" w:ascii="Times New Roman" w:hAnsi="Times New Roman" w:eastAsia="Times New Roman" w:cs="Times New Roman"/>
          <w:snapToGrid w:val="0"/>
          <w:kern w:val="0"/>
          <w:sz w:val="32"/>
        </w:rPr>
      </w:pP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24"/>
          <w:lang w:val="en-US" w:eastAsia="zh-CN"/>
        </w:rPr>
      </w:pPr>
      <w:r>
        <w:rPr>
          <w:rFonts w:hint="default" w:ascii="Times New Roman" w:hAnsi="Times New Roman" w:eastAsia="黑体" w:cs="Times New Roman"/>
          <w:snapToGrid w:val="0"/>
          <w:color w:val="000000"/>
          <w:kern w:val="0"/>
          <w:sz w:val="32"/>
          <w:szCs w:val="24"/>
          <w:lang w:val="en-US" w:eastAsia="zh-CN"/>
        </w:rPr>
        <w:t>一、一般措施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（一）保持工作场所清洁卫生，应定期进行清洁、消毒，尤其是活禽畜类相关场所，垃圾、粪便集中进行无害化处理。</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（二）保持工作环境中空气流通。保持室内空气流通，每天开窗换气两次，每次至少10分钟，或使用排气扇保持空气流通。</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（三）发现不明原因病、死禽畜时要及时向农业农村部门报告，不自行处理病、死禽畜。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（四）不购进、不运输、不销售来源不明或非法捕获的野生动物及其制品，尽量避免野生动物与家禽、家畜接触。</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（五）从事禽畜养殖、分拣、运送、销售、宰杀等人员做好个人防护，穿戴口罩、工作帽、工作服、长筒胶鞋、橡胶手套等防护用品。</w:t>
      </w:r>
    </w:p>
    <w:p>
      <w:pPr>
        <w:widowControl w:val="0"/>
        <w:wordWrap/>
        <w:adjustRightInd/>
        <w:snapToGrid/>
        <w:spacing w:before="0" w:beforeAutospacing="0" w:after="0" w:afterAutospacing="0" w:line="560" w:lineRule="exact"/>
        <w:ind w:left="0" w:leftChars="0" w:right="0" w:firstLine="640" w:firstLineChars="200"/>
        <w:jc w:val="both"/>
        <w:textAlignment w:val="auto"/>
        <w:outlineLvl w:val="9"/>
        <w:rPr>
          <w:rFonts w:hint="default" w:ascii="Times New Roman" w:hAnsi="Times New Roman" w:eastAsia="Times New Roman" w:cs="Times New Roman"/>
          <w:snapToGrid w:val="0"/>
          <w:color w:val="000000"/>
          <w:kern w:val="0"/>
          <w:sz w:val="32"/>
          <w:szCs w:val="24"/>
          <w:lang w:val="en-US" w:eastAsia="zh-CN"/>
        </w:rPr>
      </w:pPr>
      <w:r>
        <w:rPr>
          <w:rFonts w:hint="default" w:ascii="Times New Roman" w:hAnsi="Times New Roman" w:eastAsia="黑体" w:cs="Times New Roman"/>
          <w:snapToGrid w:val="0"/>
          <w:color w:val="000000"/>
          <w:kern w:val="0"/>
          <w:sz w:val="32"/>
          <w:szCs w:val="24"/>
          <w:lang w:val="en-US" w:eastAsia="zh-CN"/>
        </w:rPr>
        <w:t>二、出现病、死禽畜时</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（一）任何单位和个人不得抛弃、收购、贩卖、屠宰加工病、死畜禽。</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（二）发现</w:t>
      </w:r>
      <w:bookmarkStart w:id="962" w:name="_Hlk30519561"/>
      <w:r>
        <w:rPr>
          <w:rFonts w:hint="default" w:ascii="Times New Roman" w:hAnsi="Times New Roman" w:eastAsia="仿宋_GB2312" w:cs="Times New Roman"/>
          <w:snapToGrid w:val="0"/>
          <w:kern w:val="0"/>
          <w:sz w:val="32"/>
        </w:rPr>
        <w:t>病、死禽畜</w:t>
      </w:r>
      <w:bookmarkEnd w:id="962"/>
      <w:r>
        <w:rPr>
          <w:rFonts w:hint="default" w:ascii="Times New Roman" w:hAnsi="Times New Roman" w:eastAsia="仿宋_GB2312" w:cs="Times New Roman"/>
          <w:snapToGrid w:val="0"/>
          <w:kern w:val="0"/>
          <w:sz w:val="32"/>
        </w:rPr>
        <w:t>要及时向畜牧兽医部门报告，并按照要求妥善处理病死禽畜。</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（三）如果发现有禽畜类大量生病或死亡等异常情况，立即关闭工作场所，并及时向当地畜牧兽医部门报告。</w:t>
      </w:r>
    </w:p>
    <w:p>
      <w:pPr>
        <w:widowControl w:val="0"/>
        <w:wordWrap/>
        <w:adjustRightInd/>
        <w:snapToGrid/>
        <w:spacing w:beforeAutospacing="0" w:afterAutospacing="0" w:line="560" w:lineRule="exact"/>
        <w:ind w:left="0" w:leftChars="0" w:right="0" w:firstLine="640" w:firstLineChars="200"/>
        <w:textAlignment w:val="auto"/>
        <w:outlineLvl w:val="9"/>
        <w:rPr>
          <w:rFonts w:hint="default" w:ascii="Times New Roman" w:hAnsi="Times New Roman" w:eastAsia="Times New Roman" w:cs="Times New Roman"/>
          <w:snapToGrid w:val="0"/>
          <w:color w:val="000000"/>
          <w:kern w:val="0"/>
          <w:sz w:val="32"/>
        </w:rPr>
      </w:pPr>
      <w:r>
        <w:rPr>
          <w:rFonts w:hint="default" w:ascii="Times New Roman" w:hAnsi="Times New Roman" w:eastAsia="黑体" w:cs="Times New Roman"/>
          <w:snapToGrid w:val="0"/>
          <w:color w:val="000000"/>
          <w:kern w:val="0"/>
          <w:sz w:val="32"/>
        </w:rPr>
        <w:t>三、消毒</w:t>
      </w:r>
    </w:p>
    <w:p>
      <w:pPr>
        <w:widowControl w:val="0"/>
        <w:wordWrap/>
        <w:adjustRightInd/>
        <w:snapToGrid/>
        <w:spacing w:beforeAutospacing="0" w:afterAutospacing="0" w:line="560" w:lineRule="exact"/>
        <w:textAlignment w:val="auto"/>
        <w:outlineLvl w:val="9"/>
        <w:rPr>
          <w:rFonts w:hint="default" w:ascii="Times New Roman" w:hAnsi="Times New Roman" w:eastAsia="仿宋_GB2312" w:cs="Times New Roman"/>
          <w:snapToGrid w:val="0"/>
          <w:kern w:val="0"/>
          <w:sz w:val="32"/>
        </w:rPr>
      </w:pPr>
      <w:r>
        <w:rPr>
          <w:rFonts w:hint="default" w:ascii="Times New Roman" w:hAnsi="Times New Roman" w:eastAsia="仿宋_GB2312" w:cs="Times New Roman"/>
          <w:snapToGrid w:val="0"/>
          <w:kern w:val="0"/>
          <w:sz w:val="32"/>
        </w:rPr>
        <w:t>主要对清洁后的台面、地面进行消毒，可用10%含氯消毒粉按1袋（规格20克/袋）加入10斤水中，搅拌混匀，用喷壶喷洒，或擦拭或拖地，作用半小时再清洗。</w:t>
      </w: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spacing w:line="640" w:lineRule="exact"/>
        <w:jc w:val="both"/>
        <w:outlineLvl w:val="9"/>
        <w:rPr>
          <w:rFonts w:hint="default" w:ascii="Times New Roman" w:hAnsi="Times New Roman" w:eastAsia="仿宋_GB2312" w:cs="Times New Roman"/>
          <w:snapToGrid w:val="0"/>
          <w:kern w:val="0"/>
          <w:sz w:val="32"/>
          <w:szCs w:val="24"/>
          <w:lang w:val="en-US" w:eastAsia="zh-CN" w:bidi="ar-SA"/>
        </w:rPr>
      </w:pPr>
    </w:p>
    <w:p>
      <w:pPr>
        <w:widowControl w:val="0"/>
        <w:wordWrap/>
        <w:adjustRightInd/>
        <w:snapToGrid/>
        <w:spacing w:line="560" w:lineRule="exact"/>
        <w:ind w:left="0" w:leftChars="0" w:right="0" w:firstLine="0" w:firstLineChars="0"/>
        <w:jc w:val="left"/>
        <w:textAlignment w:val="auto"/>
        <w:outlineLvl w:val="9"/>
        <w:rPr>
          <w:rFonts w:hint="eastAsia" w:ascii="Times New Roman" w:hAnsi="Times New Roman" w:eastAsia="黑体" w:cs="Times New Roman"/>
          <w:sz w:val="32"/>
        </w:rPr>
      </w:pPr>
    </w:p>
    <w:p>
      <w:pPr>
        <w:outlineLvl w:val="9"/>
        <w:rPr>
          <w:rFonts w:hint="eastAsia" w:ascii="Times New Roman" w:hAnsi="Times New Roman" w:eastAsia="黑体" w:cs="Times New Roman"/>
          <w:sz w:val="32"/>
        </w:rPr>
      </w:pPr>
      <w:r>
        <w:rPr>
          <w:rFonts w:hint="eastAsia" w:ascii="Times New Roman" w:hAnsi="Times New Roman" w:eastAsia="黑体" w:cs="Times New Roman"/>
          <w:sz w:val="32"/>
        </w:rPr>
        <w:br w:type="page"/>
      </w:r>
    </w:p>
    <w:p>
      <w:pPr>
        <w:widowControl w:val="0"/>
        <w:wordWrap/>
        <w:adjustRightInd/>
        <w:snapToGrid/>
        <w:spacing w:line="560" w:lineRule="exact"/>
        <w:ind w:left="0" w:leftChars="0" w:right="0" w:firstLine="0" w:firstLineChars="0"/>
        <w:jc w:val="left"/>
        <w:textAlignment w:val="auto"/>
        <w:outlineLvl w:val="9"/>
        <w:rPr>
          <w:rFonts w:hint="eastAsia" w:ascii="Times New Roman" w:hAnsi="Times New Roman" w:eastAsia="黑体" w:cs="Times New Roman"/>
          <w:sz w:val="32"/>
        </w:rPr>
      </w:pPr>
      <w:r>
        <w:rPr>
          <w:rFonts w:hint="eastAsia" w:ascii="Times New Roman" w:hAnsi="Times New Roman" w:eastAsia="黑体" w:cs="Times New Roman"/>
          <w:sz w:val="32"/>
        </w:rPr>
        <w:t>附件10</w:t>
      </w:r>
    </w:p>
    <w:p>
      <w:pPr>
        <w:widowControl w:val="0"/>
        <w:wordWrap/>
        <w:adjustRightInd/>
        <w:snapToGrid/>
        <w:spacing w:beforeLines="0" w:afterLines="0" w:line="560" w:lineRule="exact"/>
        <w:ind w:left="0" w:leftChars="0" w:right="0" w:firstLine="0" w:firstLineChars="0"/>
        <w:jc w:val="both"/>
        <w:textAlignment w:val="auto"/>
        <w:outlineLvl w:val="9"/>
        <w:rPr>
          <w:rFonts w:hint="eastAsia" w:ascii="仿宋_GB2312" w:hAnsi="宋体" w:eastAsia="仿宋_GB2312" w:cs="Times New Roman"/>
          <w:kern w:val="2"/>
          <w:sz w:val="32"/>
          <w:szCs w:val="24"/>
          <w:lang w:val="en-US" w:eastAsia="zh-CN" w:bidi="ar-SA"/>
        </w:rPr>
      </w:pP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农贸交易市场预防新型冠状病毒感染的</w:t>
      </w:r>
    </w:p>
    <w:p>
      <w:pPr>
        <w:widowControl w:val="0"/>
        <w:spacing w:before="0" w:beforeLines="0" w:after="0" w:afterLines="0" w:line="600" w:lineRule="exact"/>
        <w:ind w:left="0" w:leftChars="0" w:right="67" w:rightChars="21" w:firstLine="0" w:firstLineChars="0"/>
        <w:jc w:val="center"/>
        <w:outlineLvl w:val="9"/>
        <w:rPr>
          <w:rFonts w:hint="eastAsia" w:ascii="宋体" w:hAnsi="宋体" w:eastAsia="宋体" w:cs="宋体"/>
          <w:b w:val="0"/>
          <w:bCs/>
          <w:kern w:val="2"/>
          <w:sz w:val="44"/>
          <w:szCs w:val="32"/>
          <w:lang w:val="en-US" w:eastAsia="zh-CN" w:bidi="ar-SA"/>
        </w:rPr>
      </w:pPr>
      <w:r>
        <w:rPr>
          <w:rFonts w:hint="eastAsia" w:ascii="宋体" w:hAnsi="宋体" w:eastAsia="宋体" w:cs="宋体"/>
          <w:b w:val="0"/>
          <w:bCs/>
          <w:kern w:val="2"/>
          <w:sz w:val="44"/>
          <w:szCs w:val="32"/>
          <w:lang w:val="en-US" w:eastAsia="zh-CN" w:bidi="ar-SA"/>
        </w:rPr>
        <w:t>肺炎疫情预防控制指引</w:t>
      </w:r>
    </w:p>
    <w:p>
      <w:pPr>
        <w:outlineLvl w:val="9"/>
        <w:rPr>
          <w:rFonts w:hint="eastAsia" w:ascii="Times New Roman" w:hAnsi="Times New Roman" w:cs="Times New Roman"/>
        </w:rPr>
      </w:pP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为做好新型冠状病毒感染的肺炎疫情防控工作，最大程度减少新型冠状病毒对公众健康造成的危害，防止疫情通过农贸市场、花鸟虫鱼交易市场、活禽（畜）交易市场传播，保障广大人民群众身体健康和生命安全，参照禽流感防控模式，“一日一清洁消毒、一周一大扫除、一月一大清洁”的防控措施，特制定本指引。</w:t>
      </w:r>
    </w:p>
    <w:p>
      <w:pPr>
        <w:spacing w:line="560" w:lineRule="exact"/>
        <w:ind w:firstLine="640" w:firstLineChars="200"/>
        <w:textAlignment w:val="auto"/>
        <w:outlineLvl w:val="9"/>
        <w:rPr>
          <w:rFonts w:hint="eastAsia" w:ascii="黑体" w:hAnsi="黑体" w:eastAsia="黑体" w:cs="黑体"/>
        </w:rPr>
      </w:pPr>
      <w:r>
        <w:rPr>
          <w:rFonts w:hint="eastAsia" w:ascii="黑体" w:hAnsi="黑体" w:eastAsia="黑体" w:cs="黑体"/>
        </w:rPr>
        <w:t>一、清洁消毒</w:t>
      </w:r>
    </w:p>
    <w:p>
      <w:pPr>
        <w:spacing w:line="560" w:lineRule="exact"/>
        <w:ind w:firstLine="320" w:firstLineChars="100"/>
        <w:textAlignment w:val="auto"/>
        <w:outlineLvl w:val="9"/>
        <w:rPr>
          <w:rFonts w:hint="eastAsia" w:ascii="Times New Roman" w:hAnsi="Times New Roman" w:cs="Times New Roman"/>
        </w:rPr>
      </w:pPr>
      <w:r>
        <w:rPr>
          <w:rFonts w:hint="eastAsia" w:ascii="Times New Roman" w:hAnsi="Times New Roman" w:cs="Times New Roman"/>
        </w:rPr>
        <w:t>（一）一日一清洁。</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以清洁为主，消毒为辅。售卖活体动物（禽类、海产品、野生动物等）市场经营者在每日收市后，必须做到“三清一消”。</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1.清除：必须把档口内鱼鳞，内脏、粪便、鸡毛、下脚料、其它垃圾等污物清除干净；</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2.清洁：用水将台面、地面、下水沟渠和店面周边地面清扫清洗干净；</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3.消毒：主要对清洁后的台面、屠宰工具、砧板用具、笼具、档口地面进行消毒（具体方法按本指引中“一（四）”操作）。</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4.清洗：用清水把消毒后的器具、台面、砧板等冲洗干净。</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（二）一周一大扫除，清洁与消毒并重。</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农贸交易市场经营者每周收市后，要进行大扫除和消毒。</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1.在“一日一清洁消毒”的基础上，重点对清空后的舍具、笼具、喂食具、鱼池（箱）、运输工具等进行彻底清扫；</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2.对下水道、店面周边地面、排泄物进行彻底大扫除，不留死角；</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3.清洗干净后进行全面喷洒消毒（具体方法按本指引中一（四）操作）；</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4.消毒剂作用30min后用清水冲洗干净。</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（三）一月一大清洁，清洁消毒要彻底。</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市场经营者在每月应进行一次彻底的清洁消毒</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1.有活禽（畜）清空存栏，实现零存栏；</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2.彻底清除粪便、垃圾和杂物；</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3.疏通下水道，并把档口地面、墙面、店面周边环境清洗干净；</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4.全面大清洗后，进行彻底消毒。</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（四）消毒剂配制、使用及作用时间。</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用10%含氯消毒粉按1袋（规格20 g/袋）加入5000ml水中，搅拌混匀，用喷壶或喷雾器喷洒，作用半小时。</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（五）个人防护要求。</w:t>
      </w:r>
    </w:p>
    <w:p>
      <w:pPr>
        <w:spacing w:line="560" w:lineRule="exact"/>
        <w:textAlignment w:val="auto"/>
        <w:outlineLvl w:val="9"/>
        <w:rPr>
          <w:rFonts w:hint="eastAsia" w:ascii="Times New Roman" w:hAnsi="Times New Roman" w:cs="Times New Roman"/>
        </w:rPr>
      </w:pPr>
      <w:r>
        <w:rPr>
          <w:rFonts w:hint="eastAsia" w:ascii="Times New Roman" w:hAnsi="Times New Roman" w:cs="Times New Roman"/>
        </w:rPr>
        <w:t>在进行清洗消毒时，要穿长筒水鞋、戴口罩、防水长手套，做好个人卫生防护。要注意场所通风（必要时采用机械通风）。清洗消毒结束后，将围裙、工作衣、用具等用按上述要求配制的消毒液浸泡半小时，用清水洗净晾干。</w:t>
      </w:r>
    </w:p>
    <w:p>
      <w:pPr>
        <w:spacing w:line="560" w:lineRule="exact"/>
        <w:ind w:firstLine="640" w:firstLineChars="200"/>
        <w:textAlignment w:val="auto"/>
        <w:outlineLvl w:val="9"/>
        <w:rPr>
          <w:rFonts w:hint="eastAsia" w:ascii="黑体" w:hAnsi="黑体" w:eastAsia="黑体" w:cs="黑体"/>
        </w:rPr>
      </w:pPr>
      <w:r>
        <w:rPr>
          <w:rFonts w:hint="eastAsia" w:ascii="黑体" w:hAnsi="黑体" w:eastAsia="黑体" w:cs="黑体"/>
        </w:rPr>
        <w:t>二、灭鼠除虫</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一）抓源头管好垃圾。市场管理者承担市场灭鼠除害的主体责任，确保市场鼠、蚊、蝇、蟑螂（病媒生物）控制水平达到国家标准要求。加强农贸市场垃圾管理，要求垃圾运输车和手推式垃圾收集车等密闭存放、运输，提高垃圾收集、运输、处理水平。</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二）安装防鼠、防蚊和防蝇设施。市场管理者要完善农贸市场病媒生物防制设施；市场地面硬底化，沟渠要疏通，坑洼地面要填平，墙洞地缝要堵抹，下水道和沟渠要密闭，下水道口要安装防鼠设施；加工、销售、存放直接入口食品场所的房间要配备纱窗、纱门、风帘机、纱罩、玻璃柜等防蝇设施；市场内及周边要按相关要求安置毒鼠屋。</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（三）控制病媒生物密度。每半月投放毒鼠饵料1次，减少鼠密度；每周巡查一次清除各类小容器积水，检查市场内花卉店铺积水，减少蚊虫孳生。每天清理垃圾，减少蝇类密度。</w:t>
      </w:r>
    </w:p>
    <w:p>
      <w:pPr>
        <w:spacing w:line="560" w:lineRule="exact"/>
        <w:ind w:firstLine="640" w:firstLineChars="200"/>
        <w:textAlignment w:val="auto"/>
        <w:outlineLvl w:val="9"/>
        <w:rPr>
          <w:rFonts w:hint="eastAsia" w:ascii="黑体" w:hAnsi="黑体" w:eastAsia="黑体" w:cs="黑体"/>
        </w:rPr>
      </w:pPr>
      <w:r>
        <w:rPr>
          <w:rFonts w:hint="eastAsia" w:ascii="黑体" w:hAnsi="黑体" w:eastAsia="黑体" w:cs="黑体"/>
        </w:rPr>
        <w:t>三、措施落实</w:t>
      </w:r>
    </w:p>
    <w:p>
      <w:pPr>
        <w:spacing w:line="560" w:lineRule="exact"/>
        <w:ind w:firstLine="640" w:firstLineChars="200"/>
        <w:textAlignment w:val="auto"/>
        <w:outlineLvl w:val="9"/>
        <w:rPr>
          <w:rFonts w:hint="eastAsia" w:ascii="Times New Roman" w:hAnsi="Times New Roman" w:cs="Times New Roman"/>
        </w:rPr>
      </w:pPr>
      <w:r>
        <w:rPr>
          <w:rFonts w:hint="eastAsia" w:ascii="Times New Roman" w:hAnsi="Times New Roman" w:cs="Times New Roman"/>
        </w:rPr>
        <w:t>（一）日常的清洁消毒工作由农贸交易市场经营者实施，对大型农贸交易市场的消毒工作可委托专业消杀公司进行。市场监管部门要加强监管，做到实施清洁消毒有计划、有记录。疾控部门要做好消毒与个人防护的技术指导工作。</w:t>
      </w:r>
    </w:p>
    <w:p>
      <w:pPr>
        <w:spacing w:line="560" w:lineRule="exact"/>
        <w:ind w:firstLine="640" w:firstLineChars="200"/>
        <w:textAlignment w:val="auto"/>
        <w:outlineLvl w:val="9"/>
        <w:rPr>
          <w:rFonts w:hint="eastAsia" w:ascii="宋体" w:hAnsi="宋体" w:eastAsia="宋体" w:cs="宋体"/>
          <w:b w:val="0"/>
          <w:bCs w:val="0"/>
          <w:color w:val="auto"/>
          <w:kern w:val="44"/>
          <w:sz w:val="44"/>
          <w:szCs w:val="44"/>
          <w:lang w:val="en-US" w:eastAsia="zh-CN" w:bidi="ar-SA"/>
        </w:rPr>
      </w:pPr>
      <w:r>
        <w:rPr>
          <w:rFonts w:hint="eastAsia" w:ascii="Times New Roman" w:hAnsi="Times New Roman" w:cs="Times New Roman"/>
          <w:lang w:eastAsia="zh-CN"/>
        </w:rPr>
        <w:t>（二）</w:t>
      </w:r>
      <w:r>
        <w:rPr>
          <w:rFonts w:hint="eastAsia" w:ascii="Times New Roman" w:hAnsi="Times New Roman" w:cs="Times New Roman"/>
        </w:rPr>
        <w:t>病媒生物密度控制可采用购买专业有害生物防制公司服务与市场管理者协同相结合的方法，重点是清理卫生死角，消除鼠蝇蚊蟑等病媒生物孳生场所。</w:t>
      </w:r>
    </w:p>
    <w:p>
      <w:pPr>
        <w:outlineLvl w:val="9"/>
        <w:rPr>
          <w:rFonts w:hint="eastAsia" w:ascii="宋体" w:hAnsi="宋体" w:eastAsia="宋体" w:cs="宋体"/>
          <w:b w:val="0"/>
          <w:bCs w:val="0"/>
          <w:color w:val="auto"/>
          <w:kern w:val="44"/>
          <w:sz w:val="44"/>
          <w:szCs w:val="44"/>
          <w:lang w:val="en-US" w:eastAsia="zh-CN" w:bidi="ar-SA"/>
        </w:rPr>
      </w:pPr>
      <w:r>
        <w:rPr>
          <w:rFonts w:hint="eastAsia" w:ascii="宋体" w:hAnsi="宋体" w:eastAsia="宋体" w:cs="宋体"/>
          <w:b w:val="0"/>
          <w:bCs w:val="0"/>
          <w:color w:val="auto"/>
          <w:kern w:val="44"/>
          <w:sz w:val="44"/>
          <w:szCs w:val="44"/>
          <w:lang w:val="en-US" w:eastAsia="zh-CN" w:bidi="ar-SA"/>
        </w:rPr>
        <w:br w:type="page"/>
      </w:r>
    </w:p>
    <w:p>
      <w:pPr>
        <w:keepNext/>
        <w:keepLines/>
        <w:widowControl w:val="0"/>
        <w:wordWrap/>
        <w:spacing w:before="0" w:beforeLines="0" w:after="0" w:line="560" w:lineRule="exact"/>
        <w:jc w:val="center"/>
        <w:textAlignment w:val="auto"/>
        <w:outlineLvl w:val="0"/>
        <w:rPr>
          <w:rFonts w:hint="eastAsia" w:ascii="宋体" w:hAnsi="宋体" w:eastAsia="宋体" w:cs="宋体"/>
          <w:b w:val="0"/>
          <w:bCs w:val="0"/>
          <w:color w:val="auto"/>
          <w:kern w:val="0"/>
          <w:sz w:val="44"/>
          <w:szCs w:val="44"/>
          <w:lang w:val="en-US" w:eastAsia="zh-CN" w:bidi="ar-SA"/>
        </w:rPr>
      </w:pPr>
      <w:bookmarkStart w:id="963" w:name="_Toc14768"/>
      <w:r>
        <w:rPr>
          <w:rFonts w:hint="eastAsia" w:ascii="宋体" w:hAnsi="宋体" w:eastAsia="宋体" w:cs="宋体"/>
          <w:b w:val="0"/>
          <w:bCs w:val="0"/>
          <w:color w:val="auto"/>
          <w:kern w:val="44"/>
          <w:sz w:val="44"/>
          <w:szCs w:val="44"/>
          <w:lang w:val="en-US" w:eastAsia="zh-CN" w:bidi="ar-SA"/>
        </w:rPr>
        <w:t>广东省市场监管领域防控新型冠状病毒感染的肺炎疫情工作领导小组办公室关于强化食品经营监管做好疫情防控的</w:t>
      </w:r>
      <w:bookmarkEnd w:id="963"/>
      <w:bookmarkStart w:id="964" w:name="_Toc18507"/>
      <w:r>
        <w:rPr>
          <w:rFonts w:hint="eastAsia" w:ascii="宋体" w:hAnsi="宋体" w:eastAsia="宋体" w:cs="宋体"/>
          <w:b w:val="0"/>
          <w:bCs w:val="0"/>
          <w:color w:val="auto"/>
          <w:kern w:val="44"/>
          <w:sz w:val="44"/>
          <w:szCs w:val="44"/>
          <w:lang w:val="en-US" w:eastAsia="zh-CN" w:bidi="ar-SA"/>
        </w:rPr>
        <w:t>公告</w:t>
      </w:r>
      <w:bookmarkEnd w:id="482"/>
      <w:bookmarkEnd w:id="483"/>
      <w:bookmarkEnd w:id="484"/>
      <w:bookmarkEnd w:id="485"/>
      <w:bookmarkEnd w:id="486"/>
      <w:bookmarkEnd w:id="487"/>
      <w:bookmarkEnd w:id="488"/>
      <w:bookmarkEnd w:id="489"/>
      <w:bookmarkEnd w:id="490"/>
      <w:bookmarkEnd w:id="491"/>
      <w:bookmarkEnd w:id="964"/>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p>
    <w:p>
      <w:pPr>
        <w:widowControl w:val="0"/>
        <w:wordWrap/>
        <w:adjustRightInd/>
        <w:snapToGrid/>
        <w:spacing w:line="560" w:lineRule="exact"/>
        <w:ind w:right="0"/>
        <w:jc w:val="center"/>
        <w:textAlignment w:val="auto"/>
        <w:outlineLvl w:val="9"/>
        <w:rPr>
          <w:rFonts w:hint="eastAsia" w:ascii="楷体" w:hAnsi="楷体" w:eastAsia="楷体" w:cs="楷体"/>
          <w:color w:val="000000"/>
          <w:kern w:val="0"/>
          <w:sz w:val="32"/>
          <w:szCs w:val="32"/>
          <w:lang w:val="en-US" w:eastAsia="zh-CN"/>
        </w:rPr>
      </w:pPr>
      <w:r>
        <w:rPr>
          <w:rFonts w:hint="eastAsia" w:ascii="楷体" w:hAnsi="楷体" w:eastAsia="楷体" w:cs="楷体"/>
          <w:color w:val="000000"/>
          <w:kern w:val="0"/>
          <w:sz w:val="32"/>
          <w:szCs w:val="32"/>
          <w:lang w:val="en-US" w:eastAsia="zh-CN"/>
        </w:rPr>
        <w:t>2020年防控第3号</w:t>
      </w:r>
    </w:p>
    <w:p>
      <w:pPr>
        <w:widowControl w:val="0"/>
        <w:wordWrap/>
        <w:spacing w:before="0" w:beforeLines="0" w:after="0" w:line="560" w:lineRule="exact"/>
        <w:jc w:val="both"/>
        <w:textAlignment w:val="auto"/>
        <w:rPr>
          <w:rFonts w:hint="eastAsia" w:ascii="仿宋_GB2312" w:hAnsi="宋体" w:eastAsia="仿宋_GB2312" w:cs="Times New Roman"/>
          <w:color w:val="auto"/>
          <w:kern w:val="2"/>
          <w:sz w:val="32"/>
          <w:szCs w:val="24"/>
          <w:lang w:val="en-US" w:eastAsia="zh-CN" w:bidi="ar-SA"/>
        </w:rPr>
      </w:pP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rPr>
        <w:t>为贯彻党中央、国务院关于新型冠状病毒感染的肺炎疫情防控工作的决策部署和省委、省政府的工作部署，保障食品质量安全，现将疫</w:t>
      </w:r>
      <w:r>
        <w:rPr>
          <w:rFonts w:hint="eastAsia" w:ascii="仿宋_GB2312" w:hAnsi="仿宋_GB2312" w:eastAsia="仿宋_GB2312" w:cs="仿宋_GB2312"/>
          <w:color w:val="000000"/>
          <w:kern w:val="0"/>
          <w:sz w:val="32"/>
          <w:szCs w:val="32"/>
          <w:lang w:val="en-US" w:eastAsia="zh-CN" w:bidi="ar-SA"/>
        </w:rPr>
        <w:t>情防控期间关于强化食品经营监管，做好疫情防控工作八项措施公告如下：</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  一、禁止所有食品经营者、食用农产品销售者在任何场所以任何方式经营野生动物。</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  二、禁止餐饮服务提供者为年例、美食节、农村集体聚餐等聚集性餐饮活动提供服务；禁止餐饮服务从业人员外出承接上述聚餐服务。</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  三、食品经营者、食用农产品销售者必须严格实行健康监测，严禁有发热、感冒、咳嗽等呼吸道感染症状的员工上岗，严禁让未经筛查合格的有疾病流行地区旅行史的员工上岗。</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  四、严禁加工经营病死、毒死或者死因不明的禽、畜及其制品；严禁销售过期、腐败变质、掺假掺杂等食品。</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  五、禁止商场、超市、糕点店、水果店提供食品“试吃”服务。</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  六、食品经营者、食用农产品销售者必须严格落实进货查验制度，确保所经营的食品来源可溯、合法合规。</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  七、商场超市等食品销售经营者销售直接入口散装食品的，应当设置隔离设施以确保食品不被消费者直接触及，并有明显的禁止消费者触摸的标识。</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  八、商场超市、餐饮服务提供者必须每天对经营场所进行彻底消毒，保持经营场所空气流通。</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  社会各界发现违法食品经营行为的，欢迎拨打12345、12315热线举报。</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  特此公告。</w:t>
      </w: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SA"/>
        </w:rPr>
      </w:pPr>
    </w:p>
    <w:p>
      <w:pPr>
        <w:widowControl w:val="0"/>
        <w:wordWrap/>
        <w:adjustRightInd/>
        <w:snapToGrid/>
        <w:spacing w:line="560" w:lineRule="exact"/>
        <w:ind w:right="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w:t>
      </w:r>
      <w:r>
        <w:rPr>
          <w:rFonts w:hint="eastAsia" w:ascii="仿宋_GB2312" w:hAnsi="仿宋_GB2312" w:eastAsia="宋体" w:cs="仿宋_GB2312"/>
          <w:color w:val="000000"/>
          <w:kern w:val="0"/>
          <w:sz w:val="32"/>
          <w:szCs w:val="32"/>
          <w:lang w:val="en-US" w:eastAsia="zh-CN" w:bidi="ar-SA"/>
        </w:rPr>
        <w:t xml:space="preserve">         </w:t>
      </w:r>
      <w:r>
        <w:rPr>
          <w:rFonts w:hint="eastAsia" w:ascii="仿宋_GB2312" w:hAnsi="仿宋_GB2312" w:eastAsia="仿宋_GB2312" w:cs="仿宋_GB2312"/>
          <w:color w:val="000000"/>
          <w:kern w:val="0"/>
          <w:sz w:val="32"/>
          <w:szCs w:val="32"/>
          <w:lang w:val="en-US" w:eastAsia="zh-CN" w:bidi="ar-SA"/>
        </w:rPr>
        <w:t>广东省市场监管领域防控新型冠状病毒感染</w:t>
      </w:r>
    </w:p>
    <w:p>
      <w:pPr>
        <w:widowControl w:val="0"/>
        <w:wordWrap/>
        <w:adjustRightInd/>
        <w:snapToGrid/>
        <w:spacing w:line="560" w:lineRule="exact"/>
        <w:ind w:right="0" w:firstLine="2880" w:firstLineChars="900"/>
        <w:jc w:val="left"/>
        <w:textAlignment w:val="auto"/>
        <w:outlineLvl w:val="9"/>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的肺炎疫情工作领导小组办公室</w:t>
      </w:r>
      <w:r>
        <w:rPr>
          <w:rFonts w:hint="eastAsia" w:ascii="仿宋_GB2312" w:hAnsi="仿宋_GB2312" w:eastAsia="仿宋_GB2312" w:cs="仿宋_GB2312"/>
          <w:color w:val="000000"/>
          <w:kern w:val="0"/>
          <w:sz w:val="32"/>
          <w:szCs w:val="32"/>
          <w:lang w:val="en-US" w:eastAsia="zh-CN" w:bidi="ar-SA"/>
        </w:rPr>
        <w:br w:type="textWrapping"/>
      </w:r>
      <w:r>
        <w:rPr>
          <w:rFonts w:hint="eastAsia" w:ascii="仿宋_GB2312" w:hAnsi="仿宋_GB2312" w:eastAsia="仿宋_GB2312" w:cs="仿宋_GB2312"/>
          <w:color w:val="000000"/>
          <w:kern w:val="0"/>
          <w:sz w:val="32"/>
          <w:szCs w:val="32"/>
          <w:lang w:val="en-US" w:eastAsia="zh-CN" w:bidi="ar-SA"/>
        </w:rPr>
        <w:t>  </w:t>
      </w:r>
      <w:r>
        <w:rPr>
          <w:rFonts w:hint="eastAsia" w:ascii="仿宋_GB2312" w:hAnsi="仿宋_GB2312" w:eastAsia="宋体" w:cs="仿宋_GB2312"/>
          <w:color w:val="000000"/>
          <w:kern w:val="0"/>
          <w:sz w:val="32"/>
          <w:szCs w:val="32"/>
          <w:lang w:val="en-US" w:eastAsia="zh-CN" w:bidi="ar-SA"/>
        </w:rPr>
        <w:t xml:space="preserve">                        </w:t>
      </w:r>
      <w:r>
        <w:rPr>
          <w:rFonts w:hint="eastAsia" w:ascii="仿宋_GB2312" w:hAnsi="仿宋_GB2312" w:eastAsia="仿宋_GB2312" w:cs="仿宋_GB2312"/>
          <w:color w:val="000000"/>
          <w:kern w:val="0"/>
          <w:sz w:val="32"/>
          <w:szCs w:val="32"/>
          <w:lang w:val="en-US" w:eastAsia="zh-CN" w:bidi="ar-SA"/>
        </w:rPr>
        <w:t>2020年1月30日</w:t>
      </w:r>
    </w:p>
    <w:p>
      <w:pPr>
        <w:widowControl w:val="0"/>
        <w:wordWrap/>
        <w:spacing w:before="0" w:beforeLines="0" w:after="0" w:line="560" w:lineRule="exact"/>
        <w:jc w:val="both"/>
        <w:textAlignment w:val="auto"/>
        <w:rPr>
          <w:rFonts w:hint="eastAsia" w:ascii="仿宋_GB2312" w:hAnsi="仿宋_GB2312" w:eastAsia="仿宋_GB2312" w:cs="仿宋_GB2312"/>
          <w:color w:val="000000"/>
          <w:kern w:val="0"/>
          <w:sz w:val="32"/>
          <w:szCs w:val="32"/>
          <w:lang w:val="en-US" w:eastAsia="zh-CN" w:bidi="ar-SA"/>
        </w:rPr>
      </w:pPr>
    </w:p>
    <w:p>
      <w:pPr>
        <w:wordWrap/>
        <w:spacing w:line="560" w:lineRule="exact"/>
        <w:textAlignment w:val="auto"/>
        <w:rPr>
          <w:rFonts w:hint="default" w:ascii="Calibri" w:hAnsi="Calibri" w:eastAsia="宋体" w:cs="Times New Roman"/>
          <w:sz w:val="21"/>
          <w:lang w:val="en-US" w:eastAsia="zh-CN"/>
        </w:rPr>
      </w:pPr>
      <w:r>
        <w:rPr>
          <w:rFonts w:hint="default" w:ascii="Calibri" w:hAnsi="Calibri" w:eastAsia="宋体" w:cs="Times New Roman"/>
          <w:sz w:val="21"/>
          <w:lang w:val="en-US" w:eastAsia="zh-CN"/>
        </w:rPr>
        <w:br w:type="page"/>
      </w:r>
    </w:p>
    <w:p>
      <w:pPr>
        <w:pStyle w:val="4"/>
        <w:widowControl w:val="0"/>
        <w:wordWrap/>
        <w:adjustRightInd/>
        <w:snapToGrid/>
        <w:spacing w:before="0" w:after="0" w:line="560" w:lineRule="exact"/>
        <w:jc w:val="both"/>
        <w:textAlignment w:val="auto"/>
        <w:rPr>
          <w:rFonts w:hint="default" w:ascii="Times New Roman" w:hAnsi="Times New Roman" w:eastAsia="宋体" w:cs="Times New Roman"/>
          <w:b w:val="0"/>
          <w:lang w:val="zh-CN" w:eastAsia="zh-CN"/>
        </w:rPr>
      </w:pPr>
      <w:bookmarkStart w:id="965" w:name="_Toc7357"/>
      <w:bookmarkStart w:id="966" w:name="_Toc10803"/>
      <w:bookmarkStart w:id="967" w:name="_Toc13934"/>
      <w:bookmarkStart w:id="968" w:name="_Toc3046"/>
      <w:bookmarkStart w:id="969" w:name="_Toc28271"/>
      <w:bookmarkStart w:id="970" w:name="_Toc19189"/>
      <w:bookmarkStart w:id="971" w:name="_Toc11827"/>
      <w:bookmarkStart w:id="972" w:name="_Toc21327"/>
      <w:bookmarkStart w:id="973" w:name="_Toc25804"/>
      <w:bookmarkStart w:id="974" w:name="_Toc14538"/>
      <w:bookmarkStart w:id="975" w:name="_Toc22590"/>
      <w:r>
        <w:rPr>
          <w:rFonts w:hint="default" w:ascii="Times New Roman" w:hAnsi="Times New Roman" w:eastAsia="宋体" w:cs="Times New Roman"/>
          <w:b w:val="0"/>
          <w:lang w:val="zh-CN" w:eastAsia="zh-CN"/>
        </w:rPr>
        <w:t>广东省市场监管领域防控新型冠状病毒肺炎疫情工作领导小组办公室关于从严打击哄抬物价、囤积居奇、强制搭售等违法行为的公告</w:t>
      </w:r>
      <w:bookmarkEnd w:id="965"/>
      <w:bookmarkEnd w:id="966"/>
      <w:bookmarkEnd w:id="967"/>
      <w:bookmarkEnd w:id="968"/>
      <w:bookmarkEnd w:id="969"/>
      <w:bookmarkEnd w:id="970"/>
      <w:bookmarkEnd w:id="971"/>
      <w:bookmarkEnd w:id="972"/>
      <w:bookmarkEnd w:id="973"/>
      <w:bookmarkEnd w:id="974"/>
    </w:p>
    <w:p>
      <w:pPr>
        <w:widowControl w:val="0"/>
        <w:wordWrap/>
        <w:adjustRightInd/>
        <w:snapToGrid/>
        <w:spacing w:line="560" w:lineRule="exact"/>
        <w:ind w:right="0"/>
        <w:jc w:val="center"/>
        <w:textAlignment w:val="auto"/>
        <w:outlineLvl w:val="9"/>
        <w:rPr>
          <w:rFonts w:hint="default" w:ascii="楷体" w:hAnsi="楷体" w:eastAsia="楷体" w:cs="楷体"/>
          <w:color w:val="000000"/>
          <w:kern w:val="0"/>
          <w:sz w:val="32"/>
          <w:szCs w:val="32"/>
          <w:lang w:val="zh-CN" w:eastAsia="zh-CN"/>
        </w:rPr>
      </w:pPr>
    </w:p>
    <w:p>
      <w:pPr>
        <w:widowControl w:val="0"/>
        <w:wordWrap/>
        <w:adjustRightInd/>
        <w:snapToGrid/>
        <w:spacing w:line="560" w:lineRule="exact"/>
        <w:ind w:right="0"/>
        <w:jc w:val="center"/>
        <w:textAlignment w:val="auto"/>
        <w:outlineLvl w:val="9"/>
        <w:rPr>
          <w:rFonts w:hint="default" w:ascii="楷体" w:hAnsi="楷体" w:eastAsia="楷体" w:cs="楷体"/>
          <w:color w:val="000000"/>
          <w:kern w:val="0"/>
          <w:sz w:val="32"/>
          <w:szCs w:val="32"/>
          <w:lang w:val="zh-CN" w:eastAsia="zh-CN"/>
        </w:rPr>
      </w:pPr>
      <w:r>
        <w:rPr>
          <w:rFonts w:hint="default" w:ascii="楷体" w:hAnsi="楷体" w:eastAsia="楷体" w:cs="楷体"/>
          <w:color w:val="000000"/>
          <w:kern w:val="0"/>
          <w:sz w:val="32"/>
          <w:szCs w:val="32"/>
          <w:lang w:val="zh-CN" w:eastAsia="zh-CN"/>
        </w:rPr>
        <w:t>2020年防控第2号</w:t>
      </w:r>
    </w:p>
    <w:p>
      <w:pPr>
        <w:widowControl w:val="0"/>
        <w:wordWrap/>
        <w:adjustRightInd/>
        <w:snapToGrid/>
        <w:spacing w:line="560" w:lineRule="exact"/>
        <w:textAlignment w:val="auto"/>
        <w:rPr>
          <w:rFonts w:hint="default" w:ascii="Times New Roman" w:hAnsi="Times New Roman" w:cs="Times New Roman"/>
          <w:sz w:val="24"/>
          <w:lang w:val="zh-CN"/>
        </w:rPr>
      </w:pPr>
    </w:p>
    <w:p>
      <w:pPr>
        <w:widowControl w:val="0"/>
        <w:wordWrap/>
        <w:adjustRightInd/>
        <w:snapToGrid/>
        <w:spacing w:line="560" w:lineRule="exact"/>
        <w:ind w:right="0" w:firstLine="640" w:firstLineChars="200"/>
        <w:jc w:val="both"/>
        <w:textAlignment w:val="auto"/>
        <w:outlineLvl w:val="9"/>
        <w:rPr>
          <w:rFonts w:hint="default" w:ascii="仿宋_GB2312" w:hAnsi="仿宋_GB2312" w:eastAsia="仿宋_GB2312" w:cs="仿宋_GB2312"/>
          <w:color w:val="000000"/>
          <w:kern w:val="0"/>
          <w:sz w:val="32"/>
          <w:szCs w:val="32"/>
          <w:lang w:val="zh-CN" w:eastAsia="zh-CN"/>
        </w:rPr>
      </w:pPr>
      <w:r>
        <w:rPr>
          <w:rFonts w:hint="default" w:ascii="仿宋_GB2312" w:hAnsi="仿宋_GB2312" w:eastAsia="仿宋_GB2312" w:cs="仿宋_GB2312"/>
          <w:color w:val="000000"/>
          <w:kern w:val="0"/>
          <w:sz w:val="32"/>
          <w:szCs w:val="32"/>
          <w:lang w:val="zh-CN" w:eastAsia="zh-CN"/>
        </w:rPr>
        <w:t>为防控新型冠状病毒感染的肺炎疫情，坚决打赢疫情防控阻击战，依据《价格法》《价格违法行为行政处罚规定》等法律法规，以及我省重大突发公共卫生事件一级响应要求，现就加强市场价格监管等有关事项公告如下：</w:t>
      </w:r>
    </w:p>
    <w:p>
      <w:pPr>
        <w:widowControl w:val="0"/>
        <w:wordWrap/>
        <w:adjustRightInd/>
        <w:snapToGrid/>
        <w:spacing w:line="560" w:lineRule="exact"/>
        <w:ind w:right="0" w:firstLine="640" w:firstLineChars="200"/>
        <w:jc w:val="both"/>
        <w:textAlignment w:val="auto"/>
        <w:outlineLvl w:val="9"/>
        <w:rPr>
          <w:rFonts w:hint="default" w:ascii="仿宋_GB2312" w:hAnsi="仿宋_GB2312" w:eastAsia="仿宋_GB2312" w:cs="仿宋_GB2312"/>
          <w:color w:val="000000"/>
          <w:kern w:val="0"/>
          <w:sz w:val="32"/>
          <w:szCs w:val="32"/>
          <w:lang w:val="zh-CN" w:eastAsia="zh-CN"/>
        </w:rPr>
      </w:pPr>
      <w:r>
        <w:rPr>
          <w:rFonts w:hint="default" w:ascii="仿宋_GB2312" w:hAnsi="仿宋_GB2312" w:eastAsia="仿宋_GB2312" w:cs="仿宋_GB2312"/>
          <w:color w:val="000000"/>
          <w:kern w:val="0"/>
          <w:sz w:val="32"/>
          <w:szCs w:val="32"/>
          <w:lang w:val="zh-CN" w:eastAsia="zh-CN"/>
        </w:rPr>
        <w:t>一、严禁经营者哄抬物价，囤积居奇，强制搭售，捏造、散布涨价信息，推动商品价格过高上涨；严禁相互串通，操纵市场价格；严禁利用虚假的或者使人误解的价格手段，诱骗消费者或者其他经营者与其进行交易；严禁违反明码标价规定以及其他违反价格法律法规的行为。对上述违法行为，一律依法从重查处。</w:t>
      </w:r>
    </w:p>
    <w:p>
      <w:pPr>
        <w:widowControl w:val="0"/>
        <w:wordWrap/>
        <w:adjustRightInd/>
        <w:snapToGrid/>
        <w:spacing w:line="560" w:lineRule="exact"/>
        <w:ind w:right="0" w:firstLine="640" w:firstLineChars="200"/>
        <w:jc w:val="both"/>
        <w:textAlignment w:val="auto"/>
        <w:outlineLvl w:val="9"/>
        <w:rPr>
          <w:rFonts w:hint="default" w:ascii="仿宋_GB2312" w:hAnsi="仿宋_GB2312" w:eastAsia="仿宋_GB2312" w:cs="仿宋_GB2312"/>
          <w:color w:val="000000"/>
          <w:kern w:val="0"/>
          <w:sz w:val="32"/>
          <w:szCs w:val="32"/>
          <w:lang w:val="zh-CN" w:eastAsia="zh-CN"/>
        </w:rPr>
      </w:pPr>
      <w:r>
        <w:rPr>
          <w:rFonts w:hint="default" w:ascii="仿宋_GB2312" w:hAnsi="仿宋_GB2312" w:eastAsia="仿宋_GB2312" w:cs="仿宋_GB2312"/>
          <w:color w:val="000000"/>
          <w:kern w:val="0"/>
          <w:sz w:val="32"/>
          <w:szCs w:val="32"/>
          <w:lang w:val="zh-CN" w:eastAsia="zh-CN"/>
        </w:rPr>
        <w:t>二、请广大群众积极监督，发现上述违法行为，及时拨打12315、12345热线举报。</w:t>
      </w:r>
    </w:p>
    <w:p>
      <w:pPr>
        <w:widowControl w:val="0"/>
        <w:wordWrap/>
        <w:adjustRightInd/>
        <w:snapToGrid/>
        <w:spacing w:line="560" w:lineRule="exact"/>
        <w:ind w:right="0" w:firstLine="640" w:firstLineChars="200"/>
        <w:jc w:val="both"/>
        <w:textAlignment w:val="auto"/>
        <w:outlineLvl w:val="9"/>
        <w:rPr>
          <w:rFonts w:hint="default" w:ascii="Times New Roman" w:hAnsi="Times New Roman" w:cs="Times New Roman"/>
          <w:sz w:val="24"/>
          <w:lang w:val="zh-CN"/>
        </w:rPr>
      </w:pPr>
      <w:r>
        <w:rPr>
          <w:rFonts w:hint="default" w:ascii="仿宋_GB2312" w:hAnsi="仿宋_GB2312" w:eastAsia="仿宋_GB2312" w:cs="仿宋_GB2312"/>
          <w:color w:val="000000"/>
          <w:kern w:val="0"/>
          <w:sz w:val="32"/>
          <w:szCs w:val="32"/>
          <w:lang w:val="zh-CN" w:eastAsia="zh-CN"/>
        </w:rPr>
        <w:t>三、全省各级市场监管部门要加强价格监管工作力度，依法从重从快查处各类违法案件，曝光典型案例，维护好市场价格秩序。</w:t>
      </w:r>
    </w:p>
    <w:p>
      <w:pPr>
        <w:widowControl w:val="0"/>
        <w:wordWrap/>
        <w:adjustRightInd/>
        <w:snapToGrid/>
        <w:spacing w:line="560" w:lineRule="exact"/>
        <w:ind w:firstLine="2160" w:firstLineChars="900"/>
        <w:textAlignment w:val="auto"/>
        <w:rPr>
          <w:rFonts w:hint="eastAsia" w:ascii="仿宋" w:hAnsi="仿宋" w:eastAsia="仿宋" w:cs="仿宋"/>
          <w:sz w:val="32"/>
          <w:szCs w:val="32"/>
          <w:lang w:val="zh-CN"/>
        </w:rPr>
      </w:pPr>
      <w:r>
        <w:rPr>
          <w:rFonts w:hint="default" w:ascii="Times New Roman" w:hAnsi="Times New Roman" w:cs="Times New Roman"/>
          <w:sz w:val="24"/>
          <w:lang w:val="zh-CN"/>
        </w:rPr>
        <w:t>　</w:t>
      </w:r>
      <w:r>
        <w:rPr>
          <w:rFonts w:hint="eastAsia" w:ascii="仿宋" w:hAnsi="仿宋" w:eastAsia="仿宋" w:cs="仿宋"/>
          <w:sz w:val="32"/>
          <w:szCs w:val="32"/>
          <w:lang w:val="zh-CN"/>
        </w:rPr>
        <w:t>广东省市场监管领域防控新型冠状病毒</w:t>
      </w:r>
    </w:p>
    <w:p>
      <w:pPr>
        <w:widowControl w:val="0"/>
        <w:wordWrap/>
        <w:adjustRightInd/>
        <w:snapToGrid/>
        <w:spacing w:line="560" w:lineRule="exact"/>
        <w:textAlignment w:val="auto"/>
        <w:rPr>
          <w:rFonts w:hint="eastAsia" w:ascii="仿宋" w:hAnsi="仿宋" w:eastAsia="仿宋" w:cs="仿宋"/>
          <w:sz w:val="32"/>
          <w:szCs w:val="32"/>
          <w:lang w:val="zh-CN"/>
        </w:rPr>
      </w:pPr>
      <w:r>
        <w:rPr>
          <w:rFonts w:hint="eastAsia" w:ascii="仿宋" w:hAnsi="仿宋" w:eastAsia="仿宋" w:cs="仿宋"/>
          <w:sz w:val="32"/>
          <w:szCs w:val="32"/>
          <w:lang w:val="zh-CN"/>
        </w:rPr>
        <w:t>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zh-CN"/>
        </w:rPr>
        <w:t>　肺炎疫情工作领导小组办公室</w:t>
      </w:r>
    </w:p>
    <w:p>
      <w:pPr>
        <w:widowControl w:val="0"/>
        <w:wordWrap/>
        <w:adjustRightInd/>
        <w:snapToGrid/>
        <w:spacing w:line="560" w:lineRule="exact"/>
        <w:textAlignment w:val="auto"/>
        <w:rPr>
          <w:rFonts w:hint="default" w:ascii="Times New Roman" w:hAnsi="Times New Roman" w:eastAsia="宋体" w:cs="Times New Roman"/>
          <w:bCs/>
          <w:color w:val="auto"/>
          <w:kern w:val="44"/>
          <w:sz w:val="44"/>
          <w:szCs w:val="44"/>
          <w:lang w:val="zh-CN" w:eastAsia="zh-CN" w:bidi="ar-SA"/>
        </w:rPr>
      </w:pPr>
      <w:r>
        <w:rPr>
          <w:rFonts w:hint="eastAsia" w:ascii="仿宋" w:hAnsi="仿宋" w:eastAsia="仿宋" w:cs="仿宋"/>
          <w:sz w:val="32"/>
          <w:szCs w:val="32"/>
          <w:lang w:val="zh-CN"/>
        </w:rPr>
        <w:t>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val="zh-CN"/>
        </w:rPr>
        <w:t>2020年1月28日</w:t>
      </w:r>
    </w:p>
    <w:p>
      <w:pPr>
        <w:widowControl w:val="0"/>
        <w:wordWrap/>
        <w:adjustRightInd/>
        <w:snapToGrid/>
        <w:spacing w:line="560" w:lineRule="exact"/>
        <w:textAlignment w:val="auto"/>
        <w:rPr>
          <w:rFonts w:hint="default" w:ascii="Times New Roman" w:hAnsi="Times New Roman" w:eastAsia="宋体" w:cs="Times New Roman"/>
          <w:bCs/>
          <w:color w:val="auto"/>
          <w:kern w:val="44"/>
          <w:sz w:val="44"/>
          <w:szCs w:val="44"/>
          <w:lang w:val="zh-CN" w:eastAsia="zh-CN" w:bidi="ar-SA"/>
        </w:rPr>
      </w:pPr>
      <w:r>
        <w:rPr>
          <w:rFonts w:hint="default" w:ascii="Times New Roman" w:hAnsi="Times New Roman" w:eastAsia="宋体" w:cs="Times New Roman"/>
          <w:bCs/>
          <w:color w:val="auto"/>
          <w:kern w:val="44"/>
          <w:sz w:val="44"/>
          <w:szCs w:val="44"/>
          <w:lang w:val="zh-CN" w:eastAsia="zh-CN" w:bidi="ar-SA"/>
        </w:rPr>
        <w:br w:type="page"/>
      </w:r>
    </w:p>
    <w:p>
      <w:pPr>
        <w:keepNext/>
        <w:keepLines/>
        <w:widowControl w:val="0"/>
        <w:wordWrap/>
        <w:spacing w:line="560" w:lineRule="exact"/>
        <w:jc w:val="center"/>
        <w:textAlignment w:val="auto"/>
        <w:outlineLvl w:val="0"/>
        <w:rPr>
          <w:rFonts w:hint="default" w:ascii="Times New Roman" w:hAnsi="Times New Roman" w:eastAsia="宋体" w:cs="Times New Roman"/>
          <w:bCs/>
          <w:color w:val="auto"/>
          <w:kern w:val="44"/>
          <w:sz w:val="44"/>
          <w:szCs w:val="44"/>
          <w:lang w:val="zh-CN" w:eastAsia="zh-CN" w:bidi="ar-SA"/>
        </w:rPr>
      </w:pPr>
      <w:bookmarkStart w:id="976" w:name="_Toc29129"/>
      <w:r>
        <w:rPr>
          <w:rFonts w:hint="default" w:ascii="Times New Roman" w:hAnsi="Times New Roman" w:eastAsia="宋体" w:cs="Times New Roman"/>
          <w:bCs/>
          <w:color w:val="auto"/>
          <w:kern w:val="44"/>
          <w:sz w:val="44"/>
          <w:szCs w:val="44"/>
          <w:lang w:val="zh-CN" w:eastAsia="zh-CN" w:bidi="ar-SA"/>
        </w:rPr>
        <w:t>广东省市场监管领域防控新型冠状病毒肺炎疫情工作领导小组办公室关于加强野生动物经营行为监管做好疫情防控工作</w:t>
      </w:r>
      <w:bookmarkEnd w:id="975"/>
      <w:bookmarkEnd w:id="976"/>
    </w:p>
    <w:p>
      <w:pPr>
        <w:keepNext/>
        <w:keepLines/>
        <w:widowControl w:val="0"/>
        <w:wordWrap/>
        <w:spacing w:line="560" w:lineRule="exact"/>
        <w:jc w:val="center"/>
        <w:textAlignment w:val="auto"/>
        <w:outlineLvl w:val="0"/>
        <w:rPr>
          <w:rFonts w:hint="default" w:ascii="Times New Roman" w:hAnsi="Times New Roman" w:eastAsia="宋体" w:cs="Times New Roman"/>
          <w:bCs/>
          <w:color w:val="auto"/>
          <w:kern w:val="44"/>
          <w:sz w:val="44"/>
          <w:szCs w:val="44"/>
          <w:lang w:val="zh-CN" w:eastAsia="zh-CN" w:bidi="ar-SA"/>
        </w:rPr>
      </w:pPr>
      <w:bookmarkStart w:id="977" w:name="_Toc18694"/>
      <w:bookmarkStart w:id="978" w:name="_Toc6749"/>
      <w:r>
        <w:rPr>
          <w:rFonts w:hint="default" w:ascii="Times New Roman" w:hAnsi="Times New Roman" w:eastAsia="宋体" w:cs="Times New Roman"/>
          <w:bCs/>
          <w:color w:val="auto"/>
          <w:kern w:val="44"/>
          <w:sz w:val="44"/>
          <w:szCs w:val="44"/>
          <w:lang w:val="zh-CN" w:eastAsia="zh-CN" w:bidi="ar-SA"/>
        </w:rPr>
        <w:t>的公告</w:t>
      </w:r>
      <w:bookmarkEnd w:id="977"/>
      <w:bookmarkEnd w:id="978"/>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center"/>
        <w:textAlignment w:val="auto"/>
        <w:rPr>
          <w:rFonts w:hint="eastAsia" w:ascii="仿宋" w:hAnsi="仿宋" w:eastAsia="仿宋" w:cs="仿宋"/>
          <w:color w:val="auto"/>
          <w:kern w:val="0"/>
          <w:sz w:val="32"/>
          <w:szCs w:val="32"/>
          <w:lang w:val="en-US" w:eastAsia="zh-CN"/>
        </w:rPr>
      </w:pP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center"/>
        <w:textAlignment w:val="auto"/>
        <w:rPr>
          <w:rFonts w:hint="eastAsia" w:ascii="楷体" w:hAnsi="楷体" w:eastAsia="楷体" w:cs="楷体"/>
          <w:color w:val="auto"/>
          <w:kern w:val="0"/>
          <w:sz w:val="32"/>
          <w:szCs w:val="32"/>
          <w:lang w:val="en-US" w:eastAsia="zh-CN"/>
        </w:rPr>
      </w:pPr>
      <w:r>
        <w:rPr>
          <w:rFonts w:hint="eastAsia" w:ascii="楷体" w:hAnsi="楷体" w:eastAsia="楷体" w:cs="楷体"/>
          <w:color w:val="auto"/>
          <w:kern w:val="0"/>
          <w:sz w:val="32"/>
          <w:szCs w:val="32"/>
          <w:lang w:val="en-US" w:eastAsia="zh-CN"/>
        </w:rPr>
        <w:t>2020年第4号</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为防控新型冠状病毒感染的肺炎疫情，广东省市场监管领域防控新型冠状病毒肺炎疫情工作领导小组决定，自本公告发布之日起至全国疫情解除期间，全省饲养繁育野生动物场所实施隔离，严禁对外扩散、禁止转运贩卖。</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全省农副产品市场、超市、餐饮单位、电子商务平台经营者严禁交易野生动物及其制品。</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全省各地要全面加强监管巡查，严格落实公告要求，发现违法行为的，依法严厉查处。</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社会各界发现违法交易野生动物及其制品的，欢迎拨打12345、12315热线举报。</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firstLine="640" w:firstLineChars="200"/>
        <w:jc w:val="lef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特此公告。</w:t>
      </w:r>
    </w:p>
    <w:p>
      <w:pPr>
        <w:pStyle w:val="3"/>
        <w:rPr>
          <w:rFonts w:hint="eastAsia"/>
          <w:lang w:val="en-US" w:eastAsia="zh-CN"/>
        </w:rPr>
      </w:pP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right"/>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广东省市场监管领域防控新型冠状病毒</w:t>
      </w:r>
    </w:p>
    <w:p>
      <w:pPr>
        <w:widowControl/>
        <w:pBdr>
          <w:top w:val="none" w:color="auto" w:sz="0" w:space="0"/>
          <w:left w:val="none" w:color="auto" w:sz="0" w:space="0"/>
          <w:bottom w:val="none" w:color="auto" w:sz="0" w:space="0"/>
          <w:right w:val="none" w:color="auto" w:sz="0" w:space="0"/>
        </w:pBdr>
        <w:wordWrap/>
        <w:adjustRightInd/>
        <w:snapToGrid/>
        <w:spacing w:beforeAutospacing="0" w:afterAutospacing="0" w:line="560" w:lineRule="exact"/>
        <w:ind w:left="0" w:right="0"/>
        <w:jc w:val="center"/>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 xml:space="preserve">                     肺炎疫情工作领导小组办公室</w:t>
      </w:r>
    </w:p>
    <w:p>
      <w:pPr>
        <w:widowControl w:val="0"/>
        <w:wordWrap/>
        <w:adjustRightInd/>
        <w:snapToGrid/>
        <w:spacing w:line="560" w:lineRule="exact"/>
        <w:ind w:right="0" w:firstLine="640" w:firstLineChars="200"/>
        <w:jc w:val="center"/>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2020年1月23 日</w:t>
      </w:r>
    </w:p>
    <w:p>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375" w:afterAutospacing="0" w:line="0" w:lineRule="atLeast"/>
        <w:ind w:left="0" w:right="0" w:firstLine="0"/>
        <w:jc w:val="center"/>
        <w:textAlignment w:val="auto"/>
        <w:outlineLvl w:val="0"/>
        <w:rPr>
          <w:rFonts w:hint="eastAsia" w:ascii="宋体" w:hAnsi="宋体" w:eastAsia="宋体" w:cs="宋体"/>
          <w:b/>
          <w:i w:val="0"/>
          <w:caps w:val="0"/>
          <w:color w:val="2D66A5"/>
          <w:spacing w:val="0"/>
          <w:sz w:val="44"/>
          <w:szCs w:val="44"/>
        </w:rPr>
      </w:pPr>
      <w:r>
        <w:rPr>
          <w:rFonts w:hint="eastAsia" w:ascii="宋体" w:hAnsi="宋体" w:eastAsia="宋体" w:cs="宋体"/>
          <w:b/>
          <w:i w:val="0"/>
          <w:caps w:val="0"/>
          <w:color w:val="auto"/>
          <w:spacing w:val="0"/>
          <w:sz w:val="44"/>
          <w:szCs w:val="44"/>
          <w:shd w:val="clear" w:color="auto" w:fill="FFFFFF"/>
        </w:rPr>
        <w:t>广东省市场监督管理局关于对从事冷藏冷冻食品贮存服务的非食品生产经营者备案的通告</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color w:val="424242"/>
          <w:sz w:val="32"/>
          <w:szCs w:val="32"/>
        </w:rPr>
      </w:pPr>
      <w:r>
        <w:rPr>
          <w:rFonts w:hint="eastAsia" w:ascii="微软雅黑" w:hAnsi="微软雅黑" w:eastAsia="微软雅黑" w:cs="微软雅黑"/>
          <w:i w:val="0"/>
          <w:caps w:val="0"/>
          <w:color w:val="424242"/>
          <w:spacing w:val="0"/>
          <w:sz w:val="27"/>
          <w:szCs w:val="27"/>
          <w:shd w:val="clear" w:color="auto" w:fill="FFFFFF"/>
        </w:rPr>
        <w:t>　　</w:t>
      </w:r>
      <w:r>
        <w:rPr>
          <w:rFonts w:hint="eastAsia" w:ascii="楷体" w:hAnsi="楷体" w:eastAsia="楷体" w:cs="楷体"/>
          <w:i w:val="0"/>
          <w:caps w:val="0"/>
          <w:color w:val="424242"/>
          <w:spacing w:val="0"/>
          <w:sz w:val="32"/>
          <w:szCs w:val="32"/>
          <w:shd w:val="clear" w:color="auto" w:fill="FFFFFF"/>
        </w:rPr>
        <w:t>粤市监规字〔2020〕5号</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微软雅黑" w:hAnsi="微软雅黑" w:eastAsia="微软雅黑" w:cs="微软雅黑"/>
          <w:i w:val="0"/>
          <w:caps w:val="0"/>
          <w:color w:val="424242"/>
          <w:spacing w:val="0"/>
          <w:sz w:val="27"/>
          <w:szCs w:val="27"/>
          <w:shd w:val="clear" w:color="auto" w:fill="FFFFFF"/>
        </w:rPr>
        <w:t>　　</w:t>
      </w:r>
      <w:r>
        <w:rPr>
          <w:rFonts w:hint="eastAsia" w:ascii="仿宋_GB2312" w:hAnsi="仿宋_GB2312" w:eastAsia="仿宋_GB2312" w:cs="仿宋_GB2312"/>
          <w:i w:val="0"/>
          <w:caps w:val="0"/>
          <w:color w:val="424242"/>
          <w:spacing w:val="0"/>
          <w:sz w:val="32"/>
          <w:szCs w:val="32"/>
          <w:shd w:val="clear" w:color="auto" w:fill="FFFFFF"/>
        </w:rPr>
        <w:t>为贯彻落实《中华人民共和国食品安全法》《中华人民共和国食品安全法实施条例》《市场监管总局关于加强冷藏冷冻食品质量安全管理的公告》，现对我省从事冷藏冷冻食品贮存服务的非食品生产经营者（以下简称冷藏冷冻食品贮存服务提供者）备案有关事项通告如下：</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r>
        <w:rPr>
          <w:rStyle w:val="23"/>
          <w:rFonts w:hint="eastAsia" w:ascii="仿宋_GB2312" w:hAnsi="仿宋_GB2312" w:eastAsia="仿宋_GB2312" w:cs="仿宋_GB2312"/>
          <w:i w:val="0"/>
          <w:caps w:val="0"/>
          <w:color w:val="424242"/>
          <w:spacing w:val="0"/>
          <w:sz w:val="32"/>
          <w:szCs w:val="32"/>
          <w:shd w:val="clear" w:color="auto" w:fill="FFFFFF"/>
        </w:rPr>
        <w:t>一、备案范围</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广东省内冷藏冷冻食品贮存服务提供者应当依法进行备案。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r>
        <w:rPr>
          <w:rStyle w:val="23"/>
          <w:rFonts w:hint="eastAsia" w:ascii="仿宋_GB2312" w:hAnsi="仿宋_GB2312" w:eastAsia="仿宋_GB2312" w:cs="仿宋_GB2312"/>
          <w:i w:val="0"/>
          <w:caps w:val="0"/>
          <w:color w:val="424242"/>
          <w:spacing w:val="0"/>
          <w:sz w:val="32"/>
          <w:szCs w:val="32"/>
          <w:shd w:val="clear" w:color="auto" w:fill="FFFFFF"/>
        </w:rPr>
        <w:t>二、备案机关</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冷藏冷冻食品贮存服务提供者营业执照注册所在地县级市场监管部门。</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r>
        <w:rPr>
          <w:rStyle w:val="23"/>
          <w:rFonts w:hint="eastAsia" w:ascii="仿宋_GB2312" w:hAnsi="仿宋_GB2312" w:eastAsia="仿宋_GB2312" w:cs="仿宋_GB2312"/>
          <w:i w:val="0"/>
          <w:caps w:val="0"/>
          <w:color w:val="424242"/>
          <w:spacing w:val="0"/>
          <w:sz w:val="32"/>
          <w:szCs w:val="32"/>
          <w:shd w:val="clear" w:color="auto" w:fill="FFFFFF"/>
        </w:rPr>
        <w:t>三、备案办理</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（一）在本通告发布前，已取得营业执照的冷藏冷冻食品贮存服务提供者应当在本通告实施之日起30个工作日内向备案机关备案。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（二）本通告实施之日起，新开业的冷藏冷冻食品贮存服务提供者应当自领取营业执照之日起30个工作日内向备案机关备案。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（三）已备案的冷藏冷冻食品贮存服务提供者备案信息发生变化的，应当自变化之日起10个工作日内向原备案机关备案相关信息。</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（四）已备案的冷藏冷冻食品贮存服务提供者停止服务或注销主体资格的，应当向原备案部门提交注销报告和备案凭据，注销备案。</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五）冷藏冷冻食品贮存服务提供者可以在广东省市场监督管理局和各级市场监管部门网站下载《广东省冷藏冷冻食品贮存服务提供者备案表》，如实填报相关信息，通过邮寄或现场提交等方式，向备案机关备案。委托他人现场办理的，应当提交授权委托书以及委托代理人的身份证明复印件。</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（六）冷藏冷冻食品贮存服务提供者应当在经营场所显著位置张贴《广东省冷藏冷冻食品贮存服务提供者备案凭据》。</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（七）县级市场监管部门收到备案资料后，原则上应当在3个工作日内完成备案，发放备案凭据，并于备案后5个工作日内，将备案信息在政府网站公布，供公众查询。</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食品生产经营者、食用农产品销售者委托冷藏冷冻食品贮存服务提供者贮存冷藏冷冻食品的，应当查验其备案信息，并通过签订食品贮存质量安全合同、协议等形式，明确双方食品安全责任，监督其按照保证食品安全的要求贮存冷藏冷冻食品。</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我省市场监管部门将对冷藏冷冻食品贮存服务提供者备案情况开展监督检查，对应当备案而未备案的冷藏冷冻食品贮存服务提供者，依法按照《中华人民共和国食品安全法实施条例》第二十五条、第七十二条进行查处。</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lef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本通告自2020年9月5日起实施。</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广东省市场监督管理局</w:t>
      </w:r>
    </w:p>
    <w:p>
      <w:pPr>
        <w:pStyle w:val="18"/>
        <w:widowControl/>
        <w:pBdr>
          <w:top w:val="none" w:color="auto" w:sz="0" w:space="0"/>
          <w:left w:val="none" w:color="auto" w:sz="0" w:space="0"/>
          <w:bottom w:val="none" w:color="auto" w:sz="0" w:space="0"/>
          <w:right w:val="none" w:color="auto" w:sz="0" w:space="0"/>
        </w:pBdr>
        <w:wordWrap w:val="0"/>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i w:val="0"/>
          <w:caps w:val="0"/>
          <w:color w:val="424242"/>
          <w:spacing w:val="0"/>
          <w:sz w:val="32"/>
          <w:szCs w:val="32"/>
          <w:shd w:val="clear" w:color="auto" w:fill="FFFFFF"/>
        </w:rPr>
      </w:pPr>
      <w:r>
        <w:rPr>
          <w:rFonts w:hint="eastAsia" w:ascii="仿宋_GB2312" w:hAnsi="仿宋_GB2312" w:eastAsia="仿宋_GB2312" w:cs="仿宋_GB2312"/>
          <w:i w:val="0"/>
          <w:caps w:val="0"/>
          <w:color w:val="424242"/>
          <w:spacing w:val="0"/>
          <w:sz w:val="32"/>
          <w:szCs w:val="32"/>
          <w:shd w:val="clear" w:color="auto" w:fill="FFFFFF"/>
        </w:rPr>
        <w:t>　　        2020年7月27日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right"/>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150" w:afterAutospacing="0" w:line="560" w:lineRule="atLeast"/>
        <w:ind w:left="0" w:right="0"/>
        <w:jc w:val="both"/>
        <w:textAlignment w:val="auto"/>
        <w:outlineLvl w:val="9"/>
        <w:rPr>
          <w:rFonts w:hint="eastAsia" w:ascii="仿宋_GB2312" w:hAnsi="仿宋_GB2312" w:eastAsia="仿宋_GB2312" w:cs="仿宋_GB2312"/>
          <w:i w:val="0"/>
          <w:caps w:val="0"/>
          <w:color w:val="424242"/>
          <w:spacing w:val="0"/>
          <w:sz w:val="32"/>
          <w:szCs w:val="32"/>
          <w:shd w:val="clear" w:color="auto" w:fill="FFFFFF"/>
        </w:rPr>
      </w:pP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375" w:afterAutospacing="0" w:line="0" w:lineRule="atLeast"/>
        <w:ind w:left="0" w:right="0" w:firstLine="0"/>
        <w:jc w:val="center"/>
        <w:textAlignment w:val="auto"/>
        <w:outlineLvl w:val="0"/>
        <w:rPr>
          <w:rFonts w:hint="eastAsia" w:ascii="宋体" w:hAnsi="宋体" w:eastAsia="宋体" w:cs="宋体"/>
          <w:b w:val="0"/>
          <w:bCs w:val="0"/>
          <w:i w:val="0"/>
          <w:caps w:val="0"/>
          <w:color w:val="auto"/>
          <w:spacing w:val="0"/>
          <w:sz w:val="44"/>
          <w:szCs w:val="44"/>
        </w:rPr>
      </w:pPr>
      <w:r>
        <w:rPr>
          <w:rFonts w:hint="eastAsia" w:ascii="宋体" w:hAnsi="宋体" w:eastAsia="宋体" w:cs="宋体"/>
          <w:b w:val="0"/>
          <w:bCs w:val="0"/>
          <w:i w:val="0"/>
          <w:caps w:val="0"/>
          <w:color w:val="auto"/>
          <w:spacing w:val="0"/>
          <w:sz w:val="44"/>
          <w:szCs w:val="44"/>
          <w:shd w:val="clear" w:color="auto" w:fill="FFFFFF"/>
        </w:rPr>
        <w:t>广东省市场监督管理局关于印发《广东省市场监督管理局关于广东省食品相关产品生产企业监督检查的管理办法》的通知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Fonts w:hint="eastAsia" w:ascii="楷体" w:hAnsi="楷体" w:eastAsia="楷体" w:cs="楷体"/>
          <w:color w:val="424242"/>
          <w:sz w:val="32"/>
          <w:szCs w:val="32"/>
        </w:rPr>
      </w:pPr>
      <w:r>
        <w:rPr>
          <w:rFonts w:hint="eastAsia" w:ascii="微软雅黑" w:hAnsi="微软雅黑" w:eastAsia="微软雅黑" w:cs="微软雅黑"/>
          <w:i w:val="0"/>
          <w:caps w:val="0"/>
          <w:color w:val="424242"/>
          <w:spacing w:val="0"/>
          <w:sz w:val="27"/>
          <w:szCs w:val="27"/>
          <w:shd w:val="clear" w:color="auto" w:fill="FFFFFF"/>
        </w:rPr>
        <w:t>　　</w:t>
      </w:r>
      <w:r>
        <w:rPr>
          <w:rFonts w:hint="eastAsia" w:ascii="楷体" w:hAnsi="楷体" w:eastAsia="楷体" w:cs="楷体"/>
          <w:i w:val="0"/>
          <w:caps w:val="0"/>
          <w:color w:val="424242"/>
          <w:spacing w:val="0"/>
          <w:sz w:val="32"/>
          <w:szCs w:val="32"/>
          <w:shd w:val="clear" w:color="auto" w:fill="FFFFFF"/>
        </w:rPr>
        <w:t>粤市监规字〔2021〕1号</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left"/>
        <w:rPr>
          <w:color w:val="424242"/>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各地级以上市市场监督管理局：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both"/>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《广东省市场监督管理局关于广东省食品相关产品生产企业监督检查的管理办法》已经省局局务会审议通过，并经省司法厅审核。现印发给你们，请遵照执行。</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rPr>
          <w:rFonts w:hint="eastAsia" w:ascii="仿宋_GB2312" w:hAnsi="仿宋_GB2312" w:eastAsia="仿宋_GB2312" w:cs="仿宋_GB2312"/>
          <w:color w:val="424242"/>
          <w:sz w:val="32"/>
          <w:szCs w:val="32"/>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广东省市场监督管理局</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right"/>
        <w:rPr>
          <w:rFonts w:hint="eastAsia" w:ascii="仿宋_GB2312" w:hAnsi="仿宋_GB2312" w:eastAsia="仿宋_GB2312" w:cs="仿宋_GB2312"/>
          <w:color w:val="424242"/>
          <w:sz w:val="32"/>
          <w:szCs w:val="32"/>
        </w:rPr>
      </w:pPr>
      <w:r>
        <w:rPr>
          <w:rFonts w:hint="eastAsia" w:ascii="仿宋_GB2312" w:hAnsi="仿宋_GB2312" w:eastAsia="仿宋_GB2312" w:cs="仿宋_GB2312"/>
          <w:i w:val="0"/>
          <w:caps w:val="0"/>
          <w:color w:val="424242"/>
          <w:spacing w:val="0"/>
          <w:sz w:val="32"/>
          <w:szCs w:val="32"/>
          <w:shd w:val="clear" w:color="auto" w:fill="FFFFFF"/>
        </w:rPr>
        <w:t>　　2021年2月22日</w:t>
      </w: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val="0"/>
        <w:spacing w:before="0" w:beforeAutospacing="0" w:after="150" w:afterAutospacing="0" w:line="540" w:lineRule="atLeast"/>
        <w:ind w:left="0" w:right="0"/>
        <w:jc w:val="center"/>
        <w:rPr>
          <w:rStyle w:val="23"/>
          <w:rFonts w:hint="eastAsia" w:ascii="仿宋_GB2312" w:hAnsi="仿宋_GB2312" w:eastAsia="仿宋_GB2312" w:cs="仿宋_GB2312"/>
          <w:i w:val="0"/>
          <w:caps w:val="0"/>
          <w:color w:val="424242"/>
          <w:spacing w:val="0"/>
          <w:sz w:val="32"/>
          <w:szCs w:val="32"/>
          <w:shd w:val="clear" w:color="auto" w:fill="FFFFFF"/>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outlineLvl w:val="0"/>
        <w:rPr>
          <w:rFonts w:hint="eastAsia" w:ascii="宋体" w:hAnsi="宋体" w:eastAsia="宋体" w:cs="宋体"/>
          <w:b w:val="0"/>
          <w:bCs/>
          <w:i w:val="0"/>
          <w:caps w:val="0"/>
          <w:color w:val="424242"/>
          <w:spacing w:val="0"/>
          <w:sz w:val="44"/>
          <w:szCs w:val="44"/>
        </w:rPr>
      </w:pPr>
      <w:bookmarkStart w:id="979" w:name="_Toc6033"/>
      <w:r>
        <w:rPr>
          <w:rStyle w:val="23"/>
          <w:rFonts w:hint="eastAsia" w:ascii="宋体" w:hAnsi="宋体" w:eastAsia="宋体" w:cs="宋体"/>
          <w:b w:val="0"/>
          <w:bCs/>
          <w:i w:val="0"/>
          <w:caps w:val="0"/>
          <w:color w:val="424242"/>
          <w:spacing w:val="0"/>
          <w:sz w:val="44"/>
          <w:szCs w:val="44"/>
        </w:rPr>
        <w:t>广东省人民政府关于印发广东省进一步稳定和促进就业若干政策措施的通知</w:t>
      </w:r>
      <w:bookmarkEnd w:id="979"/>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rPr>
        <w:t>粤府〔2020〕12号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现将《广东省进一步稳定和促进就业若干政策措施》印发给你们，请认真组织实施。实施过程中遇到的问题，请径向省人力资源社会保障厅反映。</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广东省人民政府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2020年2月20日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b w:val="0"/>
          <w:bCs/>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仿宋" w:hAnsi="仿宋" w:eastAsia="仿宋" w:cs="仿宋"/>
          <w:b w:val="0"/>
          <w:bCs/>
          <w:i w:val="0"/>
          <w:caps w:val="0"/>
          <w:color w:val="424242"/>
          <w:spacing w:val="0"/>
          <w:sz w:val="32"/>
          <w:szCs w:val="32"/>
        </w:rPr>
      </w:pPr>
      <w:r>
        <w:rPr>
          <w:rStyle w:val="23"/>
          <w:rFonts w:hint="eastAsia" w:ascii="仿宋" w:hAnsi="仿宋" w:eastAsia="仿宋" w:cs="仿宋"/>
          <w:b w:val="0"/>
          <w:bCs/>
          <w:i w:val="0"/>
          <w:caps w:val="0"/>
          <w:color w:val="424242"/>
          <w:spacing w:val="0"/>
          <w:sz w:val="32"/>
          <w:szCs w:val="32"/>
        </w:rPr>
        <w:t>广东省进一步稳定和促进就业若干政策措施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为全面贯彻习近平新时代中国特色社会主义思想和党的十九大精神，深入贯彻落实习近平总书记重要讲话和重要指示批示精神，统筹做好新冠肺炎疫情防控和经济社会发展工作，以更大力度实施好就业优先政策，多措并举促进各类群体就业，确保全省就业大局稳定和经济社会持续健康发展，根据《国务院关于进一步做好稳就业工作的意见》（国发〔2019〕28号）精神，结合我省实际，制定以下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一、支持企业稳定岗位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按照国家统一部署，平稳有序调整和实施企业职工基本养老保险等缴费政策，保持企业社会保险缴费成本预期稳定。规范执法检查，行政执法机关不得开展社会保险欠费集中清缴。对受疫情影响不能按时缴纳企业职工基本养老保险、基本医疗保险（含生育保险）、失业保险、工伤保险以及住房公积金的企业，允许延期至疫情解除后三个月内补办补缴；补办补缴社会保险费用免收滞纳金，相关待遇正常享受，不影响参保个人权益记录。符合享受国家阶段性减免企业社会保险费相关政策的，按国家相关政策执行。2019年阶段性降低基本医疗保险费率、失业保险费率、工伤保险费率的政策，实施期限延长至2021年4月30日。继续按不高于2017年征收标准征收残疾人就业保障金，落实分档减缴和暂免征收优惠政策，实施期限至2022年12月31日（即征收所属期至2021年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援企稳岗政策力度，对不裁员或少裁员的参保企业，继续实施援企稳岗返还政策，并将所有受疫情影响企业的稳岗返还政策裁员率标准放宽至上年度全国城镇调查失业率控制目标（2019年度全国城镇调查失业率控制目标为5.5%），对参保职工30人（含）以下的企业，裁员率放宽至不超过企业职工总数20%；困难企业的失业保险费稳岗返还政策，以及困难企业一次性特别培训补助政策，实施期限延长至2020年12月31日。支持企业与职工集体协商，采取协商薪酬、调整工时、轮岗轮休、在岗培训等措施，保留劳动关系。对生产、配送疫情防控急需物资，在疫情防控期间新招用员工的企业，按每人不超过1000元标准给予一次性吸纳就业补助。建立应急公共法律服务机制，针对受疫情影响造成的劳资关系纠纷，设立服务专线，开展应急公共法律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落实普惠金融定向降准政策，释放的资金重点支持民营企业和小微企业融资。支持银行业金融机构进一步完善服务民营企业和小微企业内部绩效考核机制，提高小微企业不良贷款容忍度，增加制造业中小微企业中长期贷款和信用贷款。用好中国人民银行专项再贷款，对国家及省确定的参与防疫的重点企业提供利率上限不超过一年期LPR减100个基点的优惠利率信贷支持，并通过配套的财政贴息，确保相关企业的实际融资成本降至1.6%以下。鼓励银行业金融机构对符合授信条件但暂时经营困难的企业实施“一企一策”，不抽贷、断贷、压贷，给予延期还贷、展期续贷、降低利率、减免逾期利息。实施融资担保机构降费补助政策，对江门、惠州、肇庆和粤东粤西粤北地区政府性融资担保机构2019年起新增的、单户担保金额1000万元及以下、平均年化担保费率不超过1.5%的小微企业融资担保业务，省财政按年度业务发生额的0.5%给予补助。各级政府性融资担保、再担保机构应取消反担保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粤东粤西粤北地区各类产业园区与珠三角地区对接力度，及时掌握有转移意愿的企业清单。推广工业用地长期租赁、先租后让、租让结合和弹性年期供应方式，降低物流和用电用能成本，有条件的地区可加大标准厂房建设力度并提供租金优惠，鼓励国有企业通过利用存量用地、城市更新、整治统租等渠道加大标准厂房供应，推动制造业跨区域有序转移。搭建跨部门综合服务平台，加强企业产销融通对接，重点支持相关企业对接国内各大电商平台和各行业、各区域大宗采购项目，支持企业拓展国内市场销售渠道。继续办好中国加工贸易产品博览会，为加工贸易企业内销提供展示交流平台。（省人力资源社会保障厅、省发展改革委、省工业和信息化厅、省财政厅、省自然资源厅、省住房城乡建设厅、省商务厅、省国资委、省医保局、省地方金融监管局、省残联、省税务局、人民银行广州分行、广东银保监局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二、开发更多就业岗位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挖掘内需带动就业。支持广州、茂名开展家政服务业提质扩容“领跑者”行动试点。支持社会力量发展普惠托育服务，鼓励以城市为主体积极参与试点。支持养老服务业发展，加强养老服务队伍建设。支持文旅产业发展，打通文商旅体的消费渠道，对文旅展会、推介会等促进文旅消费活动给予扶持，政府采购、购买服务等适当向文旅企业倾斜。推动有条件的地市出台老旧汽车报废更新补贴政策，鼓励广州、深圳进一步放宽汽车摇号和竞拍指标。培育省内服务外包市场，支持行政事业单位、国有企业采购专业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投资创造就业。完善投资项目资本金制度，按照项目性质规范确定资本金比例，适当调整基础设施项目最低资本金比例，鼓励通过发行永续债等权益型、股权类金融工具依法依规筹措重大项目资本金。加快发行使用地方政府专项债券，优先用于基础设施领域补短板项目。实施城镇老旧小区改造、棚户区改造、农村危房改造等工程，支持城市停车场设施建设，加快国家物流枢纽网络建设。引导骨干建筑企业主动接轨国际工程建设组织模式和管理方式，支持企业拓展轨道交通、高速公路、机场、水利、生态环保等市场，支持建筑业企业参与城市更新。实施新一轮技术改造三年行动计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稳定外贸扩大就业。扩大出口承保规模，进一步降低出口信用保险费率。推广国际贸易“单一窗口”信用保险模块应用，扩大小微企业出口信用保险覆盖面。支持企业建立国际营销服务网络，培育省级国际营销服务公共平台。加快广州、深圳、珠海、汕头、佛山、东莞跨境电子商务综合试验区建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培育壮大新动能拓展就业空间。大力发展壮大新一代信息技术、绿色石化、智能家电、汽车等战略性产业集群，聚焦高性能集成电路、超高清视频、生物医药、人工智能及机器人等领域，打造一批优势新兴产业集群。推进5G在垂直领域行业的融合应用。落实国家首台（套）保费补贴政策。（省发展改革委、省工业和信息化厅、省民政厅、省财政厅、省住房城乡建设厅、省交通运输厅、省商务厅、省文化和旅游厅、省卫生健康委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三、促进劳动者多渠道就业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实施教师特岗计划、“三支一扶”计划等基层服务项目，开展基层医疗卫生等机构急需紧缺人才专项招聘。扩大征集应届高校毕业生入伍规模。开发1000个基层公共就业创业服务岗位，吸纳毕业2年内高校毕业生就业，参照当地同条件事业单位工作人员工资水平给予补贴，最长补贴2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公益性岗位开发力度，对从事公益性岗位政策期满仍未实现就业的，政策享受期限可延长1年，申请期限至2020年12月31日；对大龄就业困难人员、零就业家庭成员、重度残疾人等特殊困难人员，原则上可再安置一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实施员工制家政服务企业社会保险补贴政策。对年度内家政服务人员月平均在岗人数达到30人以上（粤东粤西粤北地区为20人以上）的员工制家政服务企业，按每人每年1000元给予补贴。被评为“省级家政服务龙头企业”“家政服务诚信示范企业”的，分别给予30万元、20万元的一次性奖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强灵活就业人员用工服务管理。进一步放宽灵活就业人员参保条件。在广州、深圳、佛山开展新就业形态人员职业伤害保障试点。对灵活就业的毕业2年内高校毕业生、就业困难人员，落实灵活就业社会保险补贴；对补贴期满仍未实现稳定就业的，政策享受期限可延长1年，申请期限至2020年12月31日。对不适用现行劳动保障法律法规的新就业形态人员，指导用工需求方与其协商签订协议，合理确定劳动报酬、休息休假、安全保护等基本权益。（省人力资源社会保障厅、省发展改革委、省教育厅、省财政厅、省商务厅、省征兵办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　四、进一步鼓励创业带动就业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大创业担保贷款及贴息政策实施力度，对符合条件的劳动密集型和科技型小微企业，给予最高500万元最长3年的担保贷款，按贷款基础利率的50%给予贴息。降低小微企业创业担保贷款申请条件，当年新招用重点扶持对象达到企业现有在职职工人数的比例下调为20%，在职职工超过100人的比例下调为10%。在有条件的地区建立信用乡村、信用园区、创业孵化示范基地推荐免担保机制。认真落实从失业保险滚存基金余额中提取资金用于创业担保贷款担保基金的措施。加大小微企业带动就业补贴落实力度。返乡创业人员成功创办初创企业且正常经营6个月以上的，给予1万元一次性创业资助。对在乡村经营驿道客栈、民宿、农家乐的创业者（经营主体），落实创业扶持政策。加快推进“1+12+N”港澳青年创新创业基地体系和各类创新创业载体建设。对疫情防控期间为承租的中小企业减免租金的创业孵化示范基地、示范园区，各地可给予一定运营补贴。继续实施返乡创业孵化基地一次性奖补政策。鼓励建设村（居）农村电商服务站点（平台），符合条件的按每个不超过10万元给予一次性补助。各地年度新增建设用地计划指标优先保障县以下返乡创业用地。初创企业经营者素质提升培训补助范围扩大至登记注册5年内有发展潜力企业的经营者，规模扩大至每年1000名左右。实施返乡创业能力提升行动。疫情防控期间，对已发放的个人创业担保贷款，借款人患新冠肺炎的，可向贷款银行申请展期还款，展期期限原则上不超过1年，财政部门继续给予贴息支持；因疫情影响经营受损，在疫情防控期间未能及时还贷的，借款人可在疫情解除后30天内恢复正常还款并继续享受贴息。（省人力资源社会保障厅、省工业和信息化厅、省财政厅、省自然资源厅、省农业农村厅、人民银行广州分行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五、稳定高校毕业生等重点群体就业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将基层就业补贴、小微企业社会保险补贴对象扩大至毕业2年内高校毕业生。自2021届起求职创业补贴标准提高至每人3000元。持续优化国有企业人才结构，招收大专以上应届高校毕业生比上年实现一定比例的增长，注重招收困难家庭高校毕业生。对组织毕业2年内高校毕业生和16-24岁失业青年参加就业见习的各类用人单位，按每人每月不高于当地最低工资标准给予就业见习补贴，符合条件的落实见习留用补贴。用人单位（机关事业单位除外）吸纳退役1年内的退役军人就业，稳定就业并参加社会保险1年以上的，按每人1万元给予补贴。将吸纳建档立卡贫困劳动力补贴标准提高至5000元。被认定为省级示范性就业扶贫基地的，给予30万元一次性奖补。在农村中小型基础设施建设、农村危房改造中实施以工代赈，组织建档立卡贫困劳动力参与工程项目建设。用人单位吸纳登记失业半年以上人员就业，稳定就业并参加社会保险6个月以上的，按每人5000元给予一次性吸纳就业补贴，实施期限至2020年12月31日。疫情防控期间，对职工因疫情接受治疗或被医学观察隔离期间企业所支付的工资待遇，按照不超过该职工基本养老保险缴费工资基数的50%补贴企业，所需资金在工业企业结构调整专项奖补资金中列支。（省人力资源社会保障厅、省财政厅、省退役军人事务厅、省国资委、省扶贫办、省总工会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　六、提升劳动者技术技能水平</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将“广东技工”“粤菜师傅”“南粤家政”三大培训工程纳入省十件民生实事抓好抓实，实施“农村电商”“乡村工匠”重点行动。支持广州、深圳建设国家产教融合型试点城市，建设培育100家以上产教融合型试点企业。制定职业教育重点专业建设规划，加快应用型本科院校转型发展。推进落实职业院校奖助学金调整政策，扩大高职院校奖助学金覆盖面，提高补助标准。推进职业教育、技工教育深化改革，推动技师学院纳入高等职业教育，加快高水平技师学院建设，推行校企双制办学，扶持建设一批省级重点专业和特色专业。实施十大重点群体职业技能提升工程，按规定落实职业培训补贴和生活费补贴。继续实施紧缺急需职业（工种）培训补贴标准最高上浮30%的政策。组织开展劳动预备制培训，按规定给予培训补贴和生活费补贴，实施期限至2020年12月31日。支持各类职业学校、技工院校和企业合作建设职工培训中心、企业大学和继续教育基地，有关培训课程与教材开发、教师授课等相关费用，按规定从职业培训收入中列支。实施新职业开发计划。开展建筑劳务用工制度改革，支持深圳做好新时期培育建筑产业工人队伍建设试点。（省人力资源社会保障厅、省发展改革委、省教育厅、省财政厅、省住房城乡建设厅、省总工会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七、加大困难人员托底帮扶力度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指导确需较多裁员的困难企业制定裁员安置方案，依法依规妥善处理劳动关系和社会保险转移接续等工作。推进失业保险基金省级统筹。对符合领取失业保险金条件的失业人员，及时发放失业保险金，由失业保险基金代缴其领取失业保险金期间的基本医疗保险费；对领取失业保险金期满仍未就业且距离法定退休年龄不足1年的人员，可继续发放失业保险金直至法定退休年龄。对生活困难又不符合失业保险金领取条件的失业人员，按每人5000元给予临时生活补助。建立失业人员实名制台账和定期联系制度，每月至少进行1次跟踪服务。对生活困难的失业人员及家庭，按规定纳入最低生活保障、临时救助等社会救助范围。享受城市居民最低生活保障人员实现再就业后，其家庭人均月收入达到或超过当地最低生活保障标准的，可继续保留6个月低保待遇。（省人力资源社会保障厅、省民政厅、省财政厅、省总工会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b w:val="0"/>
          <w:bCs/>
          <w:i w:val="0"/>
          <w:caps w:val="0"/>
          <w:color w:val="424242"/>
          <w:spacing w:val="0"/>
          <w:sz w:val="32"/>
          <w:szCs w:val="32"/>
        </w:rPr>
      </w:pPr>
      <w:r>
        <w:rPr>
          <w:rStyle w:val="23"/>
          <w:rFonts w:hint="eastAsia" w:ascii="黑体" w:hAnsi="黑体" w:eastAsia="黑体" w:cs="黑体"/>
          <w:b w:val="0"/>
          <w:bCs/>
          <w:i w:val="0"/>
          <w:caps w:val="0"/>
          <w:color w:val="424242"/>
          <w:spacing w:val="0"/>
          <w:sz w:val="32"/>
          <w:szCs w:val="32"/>
        </w:rPr>
        <w:t>　　八、 强化就业服务供给</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实施重点用工企业就业服务专员制度，设立高新技术企业人才服务专员，开展“专精特新”企业进校园、重点用工企业专场招聘等系列活动。疫情防控期间，建立24小时重点企业用工调度保障机制，保障重点企业尽快达产复工。人力资源服务机构为重点用工企业、高新技术企业介绍员工，符合条件的可按每人400元给予职业介绍补贴。对疫情防控期间积极协助企业解决招工难问题，帮助企业招工、恢复生产的人力资源服务机构，各地可给予一定补贴。鼓励企业“点对点”组织专车、专列等方式帮助异地务工人员返粤返岗，各地可给予一定补贴。严厉打击“黑中介”“工头”操纵市场、扰乱市场秩序等违法违规行为。政府投资项目产生的岗位信息，要在本单位和同级人力资源社会保障部门网站公开发布；市级以上公共就业人才服务机构要在2020年一季度前实现岗位信息在线发布，向省级、国家级归集。加强“村企”“园村”“校企”招聘对接，深化省际劳务合作。对提供就业服务的公共就业服务机构、经营性人力资源服务机构、行业协会、社团组织、示范性创业孵化基地、普通高等学校、职业学校、技工院校，根据服务人数、成效和成本等，给予一定服务补助。继续实施国家级、省级人力资源服务产业园和国家、省“人力资源服务诚信示范机构”奖补政策。疫情防控期间，对受疫情影响不能按时办理就业创业补贴等业务的扶持对象，允许延期至疫情解除后3个月内补办。（省人力资源社会保障厅、省工业和信息化厅、省财政厅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Style w:val="23"/>
          <w:rFonts w:hint="eastAsia" w:ascii="黑体" w:hAnsi="黑体" w:eastAsia="黑体" w:cs="黑体"/>
          <w:i w:val="0"/>
          <w:caps w:val="0"/>
          <w:color w:val="424242"/>
          <w:spacing w:val="0"/>
          <w:sz w:val="32"/>
          <w:szCs w:val="32"/>
        </w:rPr>
      </w:pPr>
      <w:r>
        <w:rPr>
          <w:rStyle w:val="23"/>
          <w:rFonts w:hint="eastAsia" w:ascii="黑体" w:hAnsi="黑体" w:eastAsia="黑体" w:cs="黑体"/>
          <w:i w:val="0"/>
          <w:caps w:val="0"/>
          <w:color w:val="424242"/>
          <w:spacing w:val="0"/>
          <w:sz w:val="32"/>
          <w:szCs w:val="32"/>
        </w:rPr>
        <w:t>　　</w:t>
      </w:r>
      <w:r>
        <w:rPr>
          <w:rStyle w:val="23"/>
          <w:rFonts w:hint="eastAsia" w:ascii="黑体" w:hAnsi="黑体" w:eastAsia="黑体" w:cs="黑体"/>
          <w:b w:val="0"/>
          <w:bCs/>
          <w:i w:val="0"/>
          <w:caps w:val="0"/>
          <w:color w:val="424242"/>
          <w:spacing w:val="0"/>
          <w:sz w:val="32"/>
          <w:szCs w:val="32"/>
        </w:rPr>
        <w:t>九、完善就业失业监测研判机制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健全就业失业登记系统，推行就业实名制。劳动者可按规定在户籍地、常住地或就业地办理失业登记，享受就业创业扶持政策和服务。对失业的灵活就业人员、无业的新成长劳动力实行承诺制失业登记，免提交失业证明材料。加强大数据比对分析，加强重大项目、重大工程、专项治理对就业影响跟踪应对，健全就业形势研判机制，同步制定应对措施。对承担就业失业监测任务的企业工作人员，按每月不高于200元给予补贴；每多承担一项就业监测任务的，补贴标准提高50元。建立健全就业风险防范机制，将处置就业风险支出纳入各级财政应急储备金使用范围。做好舆情监测研判、协调和应急处置，稳定社会预期。（省人力资源社会保障厅、省财政厅、省统计局、省政务服务数据管理局负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县级以上地方政府要切实履行促进就业主体责任，建立健全就业工作组织领导机制，加大政策宣贯力度，加强资金管理和绩效评价，确保各项任务落到实处。省人力资源社会保障厅要会同有关部门对《广东省人民政府关于印发广东省进一步促进就业若干政策措施的通知》（粤府〔2018〕114号）贯彻落实情况认真进行总结，结合本政策措施及时修订完善相关配套政策，梳理、归并和简化补贴项目，依托信息化系统提高补贴申领便利化程度。各地、各单位要树立一批就业创业典型予以表彰激励，在全社会形成支持就业创业的良好氛围。</w:t>
      </w: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3"/>
        <w:rPr>
          <w:rFonts w:hint="eastAsia"/>
          <w:lang w:eastAsia="zh-CN"/>
        </w:rPr>
      </w:pPr>
    </w:p>
    <w:p>
      <w:pPr>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0" w:lineRule="atLeast"/>
        <w:ind w:left="0" w:right="0" w:firstLine="880" w:firstLineChars="200"/>
        <w:jc w:val="center"/>
        <w:textAlignment w:val="auto"/>
        <w:outlineLvl w:val="0"/>
        <w:rPr>
          <w:rFonts w:hint="eastAsia" w:ascii="宋体" w:hAnsi="宋体" w:eastAsia="宋体" w:cs="宋体"/>
          <w:b w:val="0"/>
          <w:bCs/>
          <w:i w:val="0"/>
          <w:caps w:val="0"/>
          <w:color w:val="424242"/>
          <w:spacing w:val="0"/>
          <w:sz w:val="44"/>
          <w:szCs w:val="44"/>
        </w:rPr>
      </w:pPr>
      <w:bookmarkStart w:id="980" w:name="_Toc9518"/>
      <w:r>
        <w:rPr>
          <w:rStyle w:val="23"/>
          <w:rFonts w:hint="eastAsia" w:ascii="宋体" w:hAnsi="宋体" w:eastAsia="宋体" w:cs="宋体"/>
          <w:b w:val="0"/>
          <w:bCs/>
          <w:i w:val="0"/>
          <w:caps w:val="0"/>
          <w:color w:val="424242"/>
          <w:spacing w:val="0"/>
          <w:sz w:val="44"/>
          <w:szCs w:val="44"/>
        </w:rPr>
        <w:t>广东省人民政府关于印发应对新型冠状病毒感染的肺炎疫情支持企业复工复产</w:t>
      </w:r>
      <w:bookmarkEnd w:id="980"/>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0" w:lineRule="atLeast"/>
        <w:ind w:left="0" w:right="0" w:firstLine="0"/>
        <w:jc w:val="center"/>
        <w:textAlignment w:val="auto"/>
        <w:outlineLvl w:val="0"/>
        <w:rPr>
          <w:rFonts w:hint="eastAsia" w:ascii="宋体" w:hAnsi="宋体" w:eastAsia="宋体" w:cs="宋体"/>
          <w:b w:val="0"/>
          <w:bCs/>
          <w:i w:val="0"/>
          <w:caps w:val="0"/>
          <w:color w:val="424242"/>
          <w:spacing w:val="0"/>
          <w:sz w:val="44"/>
          <w:szCs w:val="44"/>
        </w:rPr>
      </w:pPr>
      <w:bookmarkStart w:id="981" w:name="_Toc10190"/>
      <w:r>
        <w:rPr>
          <w:rStyle w:val="23"/>
          <w:rFonts w:hint="eastAsia" w:ascii="宋体" w:hAnsi="宋体" w:eastAsia="宋体" w:cs="宋体"/>
          <w:b w:val="0"/>
          <w:bCs/>
          <w:i w:val="0"/>
          <w:caps w:val="0"/>
          <w:color w:val="424242"/>
          <w:spacing w:val="0"/>
          <w:sz w:val="44"/>
          <w:szCs w:val="44"/>
        </w:rPr>
        <w:t>若干政策措施的通知</w:t>
      </w:r>
      <w:bookmarkEnd w:id="981"/>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各地级以上市人民政府，省政府各部门、各直属机构：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现将《关于应对新型冠状病毒感染的肺炎疫情支持企业复工复产的若干政策措施》印发给你们，请认真组织实施。实施过程中遇到的问题，请径向省发展改革委反映。</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广东省人民政府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2020年2月6日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仿宋" w:hAnsi="仿宋" w:eastAsia="仿宋" w:cs="仿宋"/>
          <w:b w:val="0"/>
          <w:bCs/>
          <w:i w:val="0"/>
          <w:caps w:val="0"/>
          <w:color w:val="424242"/>
          <w:spacing w:val="0"/>
          <w:sz w:val="32"/>
          <w:szCs w:val="32"/>
        </w:rPr>
      </w:pPr>
      <w:r>
        <w:rPr>
          <w:rStyle w:val="23"/>
          <w:rFonts w:hint="eastAsia" w:ascii="仿宋" w:hAnsi="仿宋" w:eastAsia="仿宋" w:cs="仿宋"/>
          <w:b w:val="0"/>
          <w:bCs/>
          <w:i w:val="0"/>
          <w:caps w:val="0"/>
          <w:color w:val="424242"/>
          <w:spacing w:val="0"/>
          <w:sz w:val="32"/>
          <w:szCs w:val="32"/>
        </w:rPr>
        <w:t>关于应对新型冠状病毒感染的肺炎疫情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黑体" w:hAnsi="黑体" w:eastAsia="黑体" w:cs="黑体"/>
          <w:b w:val="0"/>
          <w:bCs/>
          <w:i w:val="0"/>
          <w:caps w:val="0"/>
          <w:color w:val="424242"/>
          <w:spacing w:val="0"/>
          <w:sz w:val="32"/>
          <w:szCs w:val="32"/>
        </w:rPr>
      </w:pPr>
      <w:r>
        <w:rPr>
          <w:rStyle w:val="23"/>
          <w:rFonts w:hint="eastAsia" w:ascii="仿宋" w:hAnsi="仿宋" w:eastAsia="仿宋" w:cs="仿宋"/>
          <w:b w:val="0"/>
          <w:bCs/>
          <w:i w:val="0"/>
          <w:caps w:val="0"/>
          <w:color w:val="424242"/>
          <w:spacing w:val="0"/>
          <w:sz w:val="32"/>
          <w:szCs w:val="32"/>
        </w:rPr>
        <w:t>支持企业复工复产的若干政策措施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为深入贯彻落实习近平总书记关于坚决打赢疫情防控阻击战的重要指示精神，全面落实党中央、国务院和省委关于疫情防控的决策部署，全力支持和推动受疫情影响的各类企业复工复产，提出如下政策措施。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w:t>
      </w:r>
      <w:r>
        <w:rPr>
          <w:rStyle w:val="23"/>
          <w:rFonts w:hint="eastAsia" w:ascii="黑体" w:hAnsi="黑体" w:eastAsia="黑体" w:cs="黑体"/>
          <w:b w:val="0"/>
          <w:bCs w:val="0"/>
          <w:i w:val="0"/>
          <w:caps w:val="0"/>
          <w:color w:val="424242"/>
          <w:spacing w:val="0"/>
          <w:sz w:val="32"/>
          <w:szCs w:val="32"/>
        </w:rPr>
        <w:t>一、各级政府要进一步加大保障企业复工复产工作力度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w:t>
      </w:r>
      <w:r>
        <w:rPr>
          <w:rStyle w:val="23"/>
          <w:rFonts w:hint="eastAsia" w:ascii="黑体" w:hAnsi="黑体" w:eastAsia="黑体" w:cs="黑体"/>
          <w:b w:val="0"/>
          <w:bCs w:val="0"/>
          <w:i w:val="0"/>
          <w:caps w:val="0"/>
          <w:color w:val="424242"/>
          <w:spacing w:val="0"/>
          <w:sz w:val="32"/>
          <w:szCs w:val="32"/>
        </w:rPr>
        <w:t>（一）加强防疫指引。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省统一发布应对新型冠状病毒感染的肺炎系列预防控制指引，各地级以上市政府要强化主体责任，指派专人指导企业完成复工复产准备工作，确保企业在疫情防控达标前提下复工复产。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（二）落实复工条件。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细化复工复产保障方案，一企一策帮助企业协调解决职工返岗特别是专业技术人员返岗，以及口罩、防护服、消毒用品、测温仪等防控物资购置问题。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（三）统筹做好防护。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支持企业做好职工健康管理。鼓励大型企业设立集中隔离点。鼓励各类省级以上开发区（高新区、经开区、工业园区）由管委会统一设立集中隔离点。对不具备自行设置集中隔离条件的中小企业，由当地政府集中安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（四）拓宽招工渠道。</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加强省内外劳务帮扶协作，落实重点企业服务专员制度，精准摸查发布企业用工需求信息，推进线上供求匹配对接和远程招聘。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二、进一步降低企业用工成本</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（五）减轻社会保险负担。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受疫情影响不能按时缴纳企业职工养老保险、医疗保险（含生育保险）、失业保险、工伤保险以及住房公积金的企业，允许延期至疫情解除后三个月内补办补缴；补办补缴社会保险费用免收滞纳金，相关待遇正常享受，不影响参保个人权益记录。继续实施阶段性降低失业保险费率、工伤保险费率的政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（六）实施失业保险稳岗返还。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继续对不裁员、少减员的企业实施稳岗返还失业保险费，按企业及其职工上年度实际缴纳失业保险费总额的50%予以返还。鼓励受疫情影响企业与职工协商采取调整薪酬、轮岗轮休等方式稳定工作岗位。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（七）发放援企稳岗补贴。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职工因疫情接受治疗或被医学观察隔离期间企业所支付的工资待遇，按照不超过该职工基本养老保险缴费工资基数的50%补贴企业，所需资金在工业企业结构调整专项奖补资金中列支。鼓励企业组织职工（含在企业工作的劳务派遣人员）参加线上适岗职业技能培训，按规定给予补贴；平台企业（电商企业）以及新业态企业参照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三、进一步减轻企业经营负担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（八）减轻企业税费负担。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疫情防控期间，准许企业延期申报纳税。对符合延期缴纳税款条件的企业，依法延长不超过三个月的税款缴纳期限。对纳税确有困难的企业，依法合理予以减免房产税、城镇土地使用税。对“定期定额”户，合理调整定额或简化停业手续。及时落实小微企业普惠性减税等政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（九）减轻企业租金负担。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国有资产类经营用房对受疫情影响较大不能正常经营的民营承租企业免收第一个月租金，减半收取第二、三个月租金；鼓励其他物业持有人根据实际情况，适当减免租金。免租金两个月以上的企业，按免租金月份数给予房产税困难减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（十）加大技改资金支持。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企业在规定期限内通过技术改造扩大疫情防控急需重点调拨物资产能或转产上述物资的，对其符合条件的设备购置额加大奖励力度。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（十一）发挥国有企业关键作用。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国有大中型企业、行业龙头企业在货款回收、原材料供应、项目发包等方面，加大对产业链上中小企业的支持，促进产业链运行平稳。对已与国有企业签订合同的中小企业，确因疫情影响，无法按时履行合同义务的，可以适当延长合同履行期限。国有企业要按照合同约定按时足额支付中小企业、民营企业相关款项，不得形成新增逾期拖欠。</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四、进一步加大财政金融支持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（十二）加强金融纾困。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鼓励银行业金融机构对受疫情影响较大企业给予延期还贷、展期续贷、降低利率和减免利息支持。省中小企业融资服务平台开通中小企业疫情应对金融服务专区和“绿色服务通道”，统筹省级扶持中小微企业专项资金，依托平台为贷款企业提供贴息和风险补偿服务。对受疫情影响较大企业，不得盲目抽贷、断贷、压贷。梳理确定全省防疫重点保障企业名单，用足用好国家专项再贷款政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（十三）加大财政支持力度。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省级财政对相关企业扩大口罩机、防护服贴条机、负压救护车等重点急需设备及关键、紧缺零部件生产予以资金支持。对国家和省确定的疫情防控重点保障企业以及支持疫情防控工作作用突出的其他卫生防疫、医药产品、医用器材企业（由省工业和信息化部门会同财政等部门审核确认）的2020年新增贷款部分，省财政按照人民银行再贷款利率的50%予以贴息。鼓励各级财政对受疫情影响较大畜禽水产养殖企业、休闲农业企业给予适当补助。鼓励市县财政对受疫情影响较大的中小企业给予贷款贴息、应收账款融资等重点支持，省财政给予适当补助。对创业者个人或小微企业创业担保贷款可视情展期1年，并继续享受财政贴息支持。</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b w:val="0"/>
          <w:bCs w:val="0"/>
          <w:i w:val="0"/>
          <w:caps w:val="0"/>
          <w:color w:val="424242"/>
          <w:spacing w:val="0"/>
          <w:sz w:val="32"/>
          <w:szCs w:val="32"/>
        </w:rPr>
        <w:t>　（十四）支持企业担保融资和租赁融资。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取消省内各级政府性融资担保机构和再担保机构反担保要求，省融资再担保公司对纳入国家融资担保基金支持范围内的融资担保业务免收担保费用，各级政府性融资担保公司对受疫情影响较大企业新增融资担保费率不超过1%。融资租赁公司要调整受疫情影响较大企业还款期限和还款方式，酌情减免不超过6个月的租金利息，免收租金罚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（十五）优化企业小额贷款服务。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监管指标优良的小额贷款公司经过批准，融资杠杆率可放宽至净资产5倍，单户贷款余额上限上调为不超过注册资本的5%且不超过1000万元。鼓励对受疫情影响企业和个人下调贷款利率、延期或展期贷款1—3个月、免除1—3个月罚息和增加信用贷款及中长期贷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（十六）优化企业征信管理。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对受疫情影响暂时失去收入来源的企业，可按照调整后的还款安排，报送信用记录。各地贸促会要建立“绿色通道”，根据实际情况为受疫情直接影响的外贸企业出具与不可抗力相关的事实性证明。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五、进一步优化政府服务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（十七）强化项目建设要素保障。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对疫情防控、能源供应、交通物流、医疗资源、生态环境等在建和新建项目，优先保障用地用林等资源指标；对新建非盈利性医护场所，所需建设用地指标由省统筹解决；创造条件保障项目建设必须的钢材、混凝土、砂石等建筑材料及时供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（十八）完善审批工作“直通车”制度。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建立项目审批绿色通道，简化审批流程，压缩审批时限。采取网络、视频等技术手段开展项目评估评审，加快推进项目前期工作。依托全省投资项目在线审批监管平台，全面实行项目审批“不见面”在线办理。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Style w:val="23"/>
          <w:rFonts w:hint="eastAsia" w:ascii="仿宋" w:hAnsi="仿宋" w:eastAsia="仿宋" w:cs="仿宋"/>
          <w:i w:val="0"/>
          <w:caps w:val="0"/>
          <w:color w:val="424242"/>
          <w:spacing w:val="0"/>
          <w:sz w:val="32"/>
          <w:szCs w:val="32"/>
        </w:rPr>
        <w:t>（十九）建立疫情防控物</w:t>
      </w:r>
      <w:r>
        <w:rPr>
          <w:rFonts w:hint="eastAsia" w:ascii="黑体" w:hAnsi="黑体" w:eastAsia="黑体" w:cs="黑体"/>
          <w:b w:val="0"/>
          <w:bCs w:val="0"/>
          <w:i w:val="0"/>
          <w:caps w:val="0"/>
          <w:color w:val="424242"/>
          <w:spacing w:val="0"/>
          <w:sz w:val="32"/>
          <w:szCs w:val="32"/>
        </w:rPr>
        <w:t>资境外采购快速通道</w:t>
      </w:r>
      <w:r>
        <w:rPr>
          <w:rStyle w:val="23"/>
          <w:rFonts w:hint="eastAsia" w:ascii="仿宋" w:hAnsi="仿宋" w:eastAsia="仿宋" w:cs="仿宋"/>
          <w:i w:val="0"/>
          <w:caps w:val="0"/>
          <w:color w:val="424242"/>
          <w:spacing w:val="0"/>
          <w:sz w:val="32"/>
          <w:szCs w:val="32"/>
        </w:rPr>
        <w:t>。</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完善疫情防控物资境外采购快速协调机制，设立防控物资进口快速通关“绿色通道”，对能提供主管部门证明、涉及特殊物品的防控物资实行便利通关政策，无需进行卫生检疫审批。对疫情防控治疗物资实行“两步申报”“提前申报”“担保放行”等作业模式，确保通关“零延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黑体" w:hAnsi="黑体" w:eastAsia="黑体" w:cs="黑体"/>
          <w:b w:val="0"/>
          <w:bCs w:val="0"/>
          <w:i w:val="0"/>
          <w:caps w:val="0"/>
          <w:color w:val="424242"/>
          <w:spacing w:val="0"/>
          <w:sz w:val="32"/>
          <w:szCs w:val="32"/>
        </w:rPr>
      </w:pPr>
      <w:r>
        <w:rPr>
          <w:rFonts w:hint="eastAsia" w:ascii="黑体" w:hAnsi="黑体" w:eastAsia="黑体" w:cs="黑体"/>
          <w:b w:val="0"/>
          <w:bCs w:val="0"/>
          <w:i w:val="0"/>
          <w:caps w:val="0"/>
          <w:color w:val="424242"/>
          <w:spacing w:val="0"/>
          <w:sz w:val="32"/>
          <w:szCs w:val="32"/>
        </w:rPr>
        <w:t>　　（二十）强化涉企信息服务支撑。</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依托“粤商通”平台，及时发布疫情防控期间惠企政策措施，搭建企业诉求响应平台，推动各地建立诉求响应机制，及时解决企业生产经营过程中面临的突出问题。</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本政策执行期暂定为自发布之日起的三个月（政策措施已经明确执行期的，按已规定的期限执行）。中央出台相关支持政策，我省遵照执行。各地级以上市政府和省有关部门可根据实际情况制定实施细则，加大惠企扶企力度。</w:t>
      </w: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outlineLvl w:val="0"/>
        <w:rPr>
          <w:rFonts w:hint="eastAsia" w:ascii="宋体" w:hAnsi="宋体" w:eastAsia="宋体" w:cs="宋体"/>
          <w:i w:val="0"/>
          <w:caps w:val="0"/>
          <w:color w:val="424242"/>
          <w:spacing w:val="0"/>
          <w:sz w:val="44"/>
          <w:szCs w:val="44"/>
        </w:rPr>
      </w:pPr>
      <w:bookmarkStart w:id="982" w:name="_Toc24725"/>
      <w:r>
        <w:rPr>
          <w:rFonts w:hint="eastAsia" w:ascii="宋体" w:hAnsi="宋体" w:eastAsia="宋体" w:cs="宋体"/>
          <w:i w:val="0"/>
          <w:caps w:val="0"/>
          <w:color w:val="424242"/>
          <w:spacing w:val="0"/>
          <w:sz w:val="44"/>
          <w:szCs w:val="44"/>
        </w:rPr>
        <w:t>广东省司法厅关于遵守疫情防控</w:t>
      </w:r>
      <w:bookmarkEnd w:id="982"/>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outlineLvl w:val="0"/>
        <w:rPr>
          <w:rFonts w:hint="eastAsia" w:ascii="宋体" w:hAnsi="宋体" w:eastAsia="宋体" w:cs="宋体"/>
          <w:i w:val="0"/>
          <w:caps w:val="0"/>
          <w:color w:val="424242"/>
          <w:spacing w:val="0"/>
          <w:sz w:val="44"/>
          <w:szCs w:val="44"/>
        </w:rPr>
      </w:pPr>
      <w:bookmarkStart w:id="983" w:name="_Toc25213"/>
      <w:r>
        <w:rPr>
          <w:rFonts w:hint="eastAsia" w:ascii="宋体" w:hAnsi="宋体" w:eastAsia="宋体" w:cs="宋体"/>
          <w:i w:val="0"/>
          <w:caps w:val="0"/>
          <w:color w:val="424242"/>
          <w:spacing w:val="0"/>
          <w:sz w:val="44"/>
          <w:szCs w:val="44"/>
        </w:rPr>
        <w:t>有关法律规定的通告</w:t>
      </w:r>
      <w:bookmarkEnd w:id="983"/>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rPr>
        <w:t>粤司〔2020〕23号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当前，新型冠状病毒感染肺炎疫情防控形势十分严峻，我省已启动重大突发公共卫生事件一级响应。为依法科学有序开展疫情防控工作，请各单位和广大公民进一步强化法治意识，认真学习并严格遵守疫情防控有关法律规定，知晓相关权利义务，以实际行动助力坚决打赢疫情防控阻击战。经省人民政府同意，现就遵守疫情防控有关法律规定通告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一、国家和社会应当关心、帮助传染病病人、病原携带者和疑似传染病病人，使其得到及时救治。任何单位和个人不得歧视传染病病人、病原携带者和疑似传染病病人。</w:t>
      </w:r>
      <w:r>
        <w:rPr>
          <w:rStyle w:val="23"/>
          <w:rFonts w:hint="eastAsia" w:ascii="仿宋" w:hAnsi="仿宋" w:eastAsia="仿宋" w:cs="仿宋"/>
          <w:b w:val="0"/>
          <w:bCs w:val="0"/>
          <w:i w:val="0"/>
          <w:caps w:val="0"/>
          <w:color w:val="424242"/>
          <w:spacing w:val="0"/>
          <w:sz w:val="32"/>
          <w:szCs w:val="32"/>
        </w:rPr>
        <w:t>（依据：《传染病防治法》第十六条第一款）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二、服从人民政府、居民委员会、村民委员会或者所属单位的指挥和安排，服从中央应对疫情工作领导小组、省疫情防控指挥部作出的决定和命令，配合落实应急处置措施，积极参加应急救援工作，协助维护社会秩序。</w:t>
      </w:r>
      <w:r>
        <w:rPr>
          <w:rStyle w:val="23"/>
          <w:rFonts w:hint="eastAsia" w:ascii="仿宋" w:hAnsi="仿宋" w:eastAsia="仿宋" w:cs="仿宋"/>
          <w:b w:val="0"/>
          <w:bCs w:val="0"/>
          <w:i w:val="0"/>
          <w:caps w:val="0"/>
          <w:color w:val="424242"/>
          <w:spacing w:val="0"/>
          <w:sz w:val="32"/>
          <w:szCs w:val="32"/>
        </w:rPr>
        <w:t>（依据：《突发事件应对法》第五十七条；《广东省突发公共卫生事件应急办法》第二十条）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三、发现传染病病人或者疑似传染病病人时，应当及时向附近的疾病预防控制机构或者医疗机构报告。不得隐瞒、缓报、谎报或者授意他人隐瞒、缓报、谎报。</w:t>
      </w:r>
      <w:r>
        <w:rPr>
          <w:rStyle w:val="23"/>
          <w:rFonts w:hint="eastAsia" w:ascii="仿宋" w:hAnsi="仿宋" w:eastAsia="仿宋" w:cs="仿宋"/>
          <w:b w:val="0"/>
          <w:bCs w:val="0"/>
          <w:i w:val="0"/>
          <w:caps w:val="0"/>
          <w:color w:val="424242"/>
          <w:spacing w:val="0"/>
          <w:sz w:val="32"/>
          <w:szCs w:val="32"/>
        </w:rPr>
        <w:t>（依据：《传染病防治法》第三十一条；《突发公共卫生事件应急条例》第二十一条）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四、接受疾病预防控制机构、医疗机构有关传染病的调查、检验、采集样本、隔离治疗等预防、控制措施，如实提供有关情况。</w:t>
      </w:r>
      <w:r>
        <w:rPr>
          <w:rStyle w:val="23"/>
          <w:rFonts w:hint="eastAsia" w:ascii="仿宋" w:hAnsi="仿宋" w:eastAsia="仿宋" w:cs="仿宋"/>
          <w:b w:val="0"/>
          <w:bCs w:val="0"/>
          <w:i w:val="0"/>
          <w:caps w:val="0"/>
          <w:color w:val="424242"/>
          <w:spacing w:val="0"/>
          <w:sz w:val="32"/>
          <w:szCs w:val="32"/>
        </w:rPr>
        <w:t>（依据：《传染病防治法》第十二条第一款）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五、需要接受隔离治疗、医学观察措施的病人、疑似病人和传染病病人密切接触者在卫生健康主管部门或者有关机构采取医学措施时应当予以配合；拒绝配合、拒绝隔离治疗或者隔离期未满擅自脱离隔离治疗的，由公安机关依法协助强制执行。</w:t>
      </w:r>
      <w:r>
        <w:rPr>
          <w:rStyle w:val="23"/>
          <w:rFonts w:hint="eastAsia" w:ascii="仿宋" w:hAnsi="仿宋" w:eastAsia="仿宋" w:cs="仿宋"/>
          <w:b w:val="0"/>
          <w:bCs w:val="0"/>
          <w:i w:val="0"/>
          <w:caps w:val="0"/>
          <w:color w:val="424242"/>
          <w:spacing w:val="0"/>
          <w:sz w:val="32"/>
          <w:szCs w:val="32"/>
        </w:rPr>
        <w:t>（依据：《传染病防治法》第三十九条第二款；《突发公共卫生事件应急条例》第四十四条）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六、不得编造、传播有关突发事件事态发展或者应急处置工作的虚假信息。不得散布谣言，谎报险情、疫情、警情或者以其他方法故意扰乱公共秩序。不得编造与突发传染病疫情等灾害有关的恐怖信息，或者明知是编造的此类恐怖信息而故意传播。</w:t>
      </w:r>
      <w:r>
        <w:rPr>
          <w:rStyle w:val="23"/>
          <w:rFonts w:hint="eastAsia" w:ascii="仿宋" w:hAnsi="仿宋" w:eastAsia="仿宋" w:cs="仿宋"/>
          <w:b w:val="0"/>
          <w:bCs w:val="0"/>
          <w:i w:val="0"/>
          <w:caps w:val="0"/>
          <w:color w:val="424242"/>
          <w:spacing w:val="0"/>
          <w:sz w:val="32"/>
          <w:szCs w:val="32"/>
        </w:rPr>
        <w:t>（依据：《突发事件应对法》第五十四条；《治安管理处罚法》第二十五条；《突发公共卫生事件应急条例》第五十二条；《最高人民法院、最高人民检察院关于办理妨害预防、控制突发传染病疫情等灾害的刑事案件具体应用法律若干问题的解释》第十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七、不得违反国家在疫情防控期间有关市场经营、价格管理等规定，哄抬物价，囤积居奇，牟取暴利。</w:t>
      </w:r>
      <w:r>
        <w:rPr>
          <w:rStyle w:val="23"/>
          <w:rFonts w:hint="eastAsia" w:ascii="仿宋" w:hAnsi="仿宋" w:eastAsia="仿宋" w:cs="仿宋"/>
          <w:b w:val="0"/>
          <w:bCs w:val="0"/>
          <w:i w:val="0"/>
          <w:caps w:val="0"/>
          <w:color w:val="424242"/>
          <w:spacing w:val="0"/>
          <w:sz w:val="32"/>
          <w:szCs w:val="32"/>
        </w:rPr>
        <w:t>（依据：《价格法》第十四条；《突发事件应对法》第四十九条；《突发公共卫生事件应急条例》第五十二条；《最高人民法院、最高人民检察院关于办理妨害预防、控制突发传染病疫情等灾害的刑事案件具体应用法律若干问题的解释》第六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八、疾病预防控制机构、医疗机构不得泄露涉及个人隐私的有关信息、资料。</w:t>
      </w:r>
      <w:r>
        <w:rPr>
          <w:rStyle w:val="23"/>
          <w:rFonts w:hint="eastAsia" w:ascii="仿宋" w:hAnsi="仿宋" w:eastAsia="仿宋" w:cs="仿宋"/>
          <w:b w:val="0"/>
          <w:bCs w:val="0"/>
          <w:i w:val="0"/>
          <w:caps w:val="0"/>
          <w:color w:val="424242"/>
          <w:spacing w:val="0"/>
          <w:sz w:val="32"/>
          <w:szCs w:val="32"/>
        </w:rPr>
        <w:t>（依据：《传染病防治法》第十二条第一款）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Style w:val="23"/>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九、在隔离期间，实施隔离措施的人民政府应当对被隔离人员提供生活保障；被隔离人员有工作单位的，所在单位不得停止支付其隔离期间的工作报酬。</w:t>
      </w:r>
      <w:r>
        <w:rPr>
          <w:rStyle w:val="23"/>
          <w:rFonts w:hint="eastAsia" w:ascii="仿宋" w:hAnsi="仿宋" w:eastAsia="仿宋" w:cs="仿宋"/>
          <w:b w:val="0"/>
          <w:bCs w:val="0"/>
          <w:i w:val="0"/>
          <w:caps w:val="0"/>
          <w:color w:val="424242"/>
          <w:spacing w:val="0"/>
          <w:sz w:val="32"/>
          <w:szCs w:val="32"/>
        </w:rPr>
        <w:t>（依据：《传染病防治法》第四十一条第二款）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十、违反疫情防控相关法律规定的，依法承担相应法律责任。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特此通告。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  </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rPr>
        <w:t>                                              广东省司法厅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b w:val="0"/>
          <w:bCs w:val="0"/>
          <w:i w:val="0"/>
          <w:caps w:val="0"/>
          <w:color w:val="424242"/>
          <w:spacing w:val="0"/>
          <w:sz w:val="32"/>
          <w:szCs w:val="32"/>
        </w:rPr>
      </w:pPr>
      <w:bookmarkStart w:id="984" w:name="issusedtime"/>
      <w:r>
        <w:rPr>
          <w:rFonts w:hint="eastAsia" w:ascii="仿宋" w:hAnsi="仿宋" w:eastAsia="仿宋" w:cs="仿宋"/>
          <w:b w:val="0"/>
          <w:bCs w:val="0"/>
          <w:i w:val="0"/>
          <w:caps w:val="0"/>
          <w:color w:val="000000"/>
          <w:spacing w:val="0"/>
          <w:sz w:val="32"/>
          <w:szCs w:val="32"/>
          <w:u w:val="none"/>
        </w:rPr>
        <w:t>                                           2020</w:t>
      </w:r>
      <w:bookmarkEnd w:id="984"/>
      <w:r>
        <w:rPr>
          <w:rFonts w:hint="eastAsia" w:ascii="仿宋" w:hAnsi="仿宋" w:eastAsia="仿宋" w:cs="仿宋"/>
          <w:b w:val="0"/>
          <w:bCs w:val="0"/>
          <w:i w:val="0"/>
          <w:caps w:val="0"/>
          <w:color w:val="424242"/>
          <w:spacing w:val="0"/>
          <w:sz w:val="32"/>
          <w:szCs w:val="32"/>
        </w:rPr>
        <w:t>年2月5日</w:t>
      </w:r>
    </w:p>
    <w:p>
      <w:pPr>
        <w:wordWrap/>
        <w:adjustRightInd/>
        <w:snapToGrid/>
        <w:spacing w:line="560" w:lineRule="exact"/>
        <w:ind w:firstLine="640" w:firstLineChars="200"/>
        <w:textAlignment w:val="auto"/>
        <w:rPr>
          <w:rFonts w:hint="eastAsia" w:ascii="仿宋" w:hAnsi="仿宋" w:eastAsia="仿宋" w:cs="仿宋"/>
          <w:b w:val="0"/>
          <w:bCs w:val="0"/>
          <w:sz w:val="32"/>
          <w:szCs w:val="32"/>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pStyle w:val="4"/>
        <w:widowControl/>
        <w:pBdr>
          <w:top w:val="none" w:color="auto" w:sz="0" w:space="0"/>
          <w:left w:val="none" w:color="auto" w:sz="0" w:space="0"/>
          <w:bottom w:val="none" w:color="auto" w:sz="0" w:space="0"/>
          <w:right w:val="none" w:color="auto" w:sz="0" w:space="0"/>
        </w:pBdr>
        <w:wordWrap/>
        <w:adjustRightInd/>
        <w:snapToGrid/>
        <w:spacing w:before="0" w:beforeLines="0" w:beforeAutospacing="0" w:after="0" w:afterLines="0" w:afterAutospacing="0" w:line="560" w:lineRule="exact"/>
        <w:ind w:left="0" w:right="0" w:firstLine="0"/>
        <w:jc w:val="center"/>
        <w:textAlignment w:val="auto"/>
        <w:outlineLvl w:val="0"/>
        <w:rPr>
          <w:rFonts w:hint="eastAsia" w:ascii="宋体" w:hAnsi="宋体" w:eastAsia="宋体" w:cs="宋体"/>
          <w:b w:val="0"/>
          <w:bCs/>
          <w:caps w:val="0"/>
          <w:color w:val="auto"/>
          <w:spacing w:val="0"/>
          <w:sz w:val="44"/>
          <w:szCs w:val="44"/>
        </w:rPr>
      </w:pPr>
      <w:bookmarkStart w:id="985" w:name="_Toc19832"/>
      <w:r>
        <w:rPr>
          <w:rFonts w:hint="eastAsia" w:ascii="宋体" w:hAnsi="宋体" w:eastAsia="宋体" w:cs="宋体"/>
          <w:b w:val="0"/>
          <w:bCs/>
          <w:caps w:val="0"/>
          <w:color w:val="auto"/>
          <w:spacing w:val="0"/>
          <w:sz w:val="44"/>
          <w:szCs w:val="44"/>
        </w:rPr>
        <w:t>广东省农业农村厅关于加强水生野生动物管理的通告</w:t>
      </w:r>
      <w:bookmarkEnd w:id="985"/>
    </w:p>
    <w:p>
      <w:pPr>
        <w:wordWrap/>
        <w:adjustRightInd/>
        <w:snapToGrid/>
        <w:spacing w:line="560" w:lineRule="exact"/>
        <w:textAlignment w:val="auto"/>
        <w:rPr>
          <w:rFonts w:hint="eastAsia" w:ascii="仿宋" w:hAnsi="仿宋" w:eastAsia="仿宋" w:cs="仿宋"/>
          <w:color w:val="auto"/>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auto"/>
          <w:spacing w:val="0"/>
          <w:sz w:val="32"/>
          <w:szCs w:val="32"/>
          <w:shd w:val="clear" w:color="070000" w:fill="FFFFFF"/>
        </w:rPr>
      </w:pPr>
      <w:r>
        <w:rPr>
          <w:rFonts w:hint="eastAsia" w:ascii="楷体" w:hAnsi="楷体" w:eastAsia="楷体" w:cs="楷体"/>
          <w:i w:val="0"/>
          <w:caps w:val="0"/>
          <w:color w:val="auto"/>
          <w:spacing w:val="0"/>
          <w:sz w:val="32"/>
          <w:szCs w:val="32"/>
          <w:shd w:val="clear" w:color="070000" w:fill="FFFFFF"/>
        </w:rPr>
        <w:t>粤农农〔2020〕51号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为防控新型冠状病毒肺炎疫情，阻断可能的传染源和传播途径，根据国家市场监督管理总局、公安部、农业农村部、海关总署、国家林草局《关于联合开展打击野生动物违规交易专项执法行动的通知》（国市监稽〔2020〕28号）要求，广东省农业农村厅决定，自本通告发布之日起至全国疫情解除期间，严格隔离饲养繁育水生野生动物场所，加强水生野生动物管理。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一、各地饲养繁育水生野生动物场所实施封控隔离。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二、严禁任何水生野生动物及制品运进或运出场所。严禁水生野生动物对外扩散和转运贩卖。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三、全省各地要加强监管，发现有违反本通告规定的，要依法依规严肃查处，涉嫌犯罪的，移送公安机关。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　　四、社会各界发现违反本通告规定的，可通过12315热线或平台举报。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sz w:val="32"/>
          <w:szCs w:val="32"/>
          <w:shd w:val="clear" w:color="07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广东省农业农村厅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070000" w:fill="FFFFFF"/>
        </w:rPr>
        <w:t>2020年2月17日</w:t>
      </w:r>
    </w:p>
    <w:p>
      <w:pPr>
        <w:wordWrap/>
        <w:adjustRightInd/>
        <w:snapToGrid/>
        <w:spacing w:line="560" w:lineRule="exact"/>
        <w:textAlignment w:val="auto"/>
        <w:rPr>
          <w:rFonts w:hint="eastAsia" w:ascii="仿宋" w:hAnsi="仿宋" w:eastAsia="仿宋" w:cs="仿宋"/>
          <w:color w:val="auto"/>
          <w:sz w:val="32"/>
          <w:szCs w:val="32"/>
        </w:rPr>
      </w:pPr>
    </w:p>
    <w:p>
      <w:pPr>
        <w:rPr>
          <w:rStyle w:val="23"/>
          <w:rFonts w:hint="eastAsia" w:ascii="宋体" w:hAnsi="宋体" w:eastAsia="宋体" w:cs="宋体"/>
          <w:b w:val="0"/>
          <w:bCs/>
          <w:i w:val="0"/>
          <w:caps w:val="0"/>
          <w:color w:val="424242"/>
          <w:spacing w:val="0"/>
          <w:sz w:val="44"/>
          <w:szCs w:val="44"/>
          <w:shd w:val="clear" w:color="0A0000" w:fill="FFFFFF"/>
        </w:rPr>
      </w:pPr>
      <w:r>
        <w:rPr>
          <w:rStyle w:val="23"/>
          <w:rFonts w:hint="eastAsia" w:ascii="宋体" w:hAnsi="宋体" w:eastAsia="宋体" w:cs="宋体"/>
          <w:b w:val="0"/>
          <w:bCs/>
          <w:i w:val="0"/>
          <w:caps w:val="0"/>
          <w:color w:val="424242"/>
          <w:spacing w:val="0"/>
          <w:sz w:val="44"/>
          <w:szCs w:val="44"/>
          <w:shd w:val="clear" w:color="0A0000" w:fill="FFFFFF"/>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Fonts w:hint="eastAsia" w:ascii="宋体" w:hAnsi="宋体" w:eastAsia="宋体" w:cs="宋体"/>
          <w:b w:val="0"/>
          <w:bCs/>
          <w:i w:val="0"/>
          <w:caps w:val="0"/>
          <w:color w:val="424242"/>
          <w:spacing w:val="0"/>
          <w:sz w:val="44"/>
          <w:szCs w:val="44"/>
        </w:rPr>
      </w:pPr>
      <w:bookmarkStart w:id="986" w:name="_Toc6683"/>
      <w:r>
        <w:rPr>
          <w:rStyle w:val="23"/>
          <w:rFonts w:hint="eastAsia" w:ascii="宋体" w:hAnsi="宋体" w:eastAsia="宋体" w:cs="宋体"/>
          <w:b w:val="0"/>
          <w:bCs/>
          <w:i w:val="0"/>
          <w:caps w:val="0"/>
          <w:color w:val="424242"/>
          <w:spacing w:val="0"/>
          <w:sz w:val="44"/>
          <w:szCs w:val="44"/>
          <w:shd w:val="clear" w:color="0A0000" w:fill="FFFFFF"/>
        </w:rPr>
        <w:t>广东省人民政府办公厅关于进一步加强</w:t>
      </w:r>
      <w:bookmarkEnd w:id="986"/>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outlineLvl w:val="0"/>
        <w:rPr>
          <w:rStyle w:val="23"/>
          <w:rFonts w:hint="eastAsia" w:ascii="宋体" w:hAnsi="宋体" w:eastAsia="宋体" w:cs="宋体"/>
          <w:b w:val="0"/>
          <w:bCs/>
          <w:i w:val="0"/>
          <w:caps w:val="0"/>
          <w:color w:val="424242"/>
          <w:spacing w:val="0"/>
          <w:sz w:val="44"/>
          <w:szCs w:val="44"/>
          <w:shd w:val="clear" w:color="0A0000" w:fill="FFFFFF"/>
        </w:rPr>
      </w:pPr>
      <w:bookmarkStart w:id="987" w:name="_Toc11369"/>
      <w:r>
        <w:rPr>
          <w:rStyle w:val="23"/>
          <w:rFonts w:hint="eastAsia" w:ascii="宋体" w:hAnsi="宋体" w:eastAsia="宋体" w:cs="宋体"/>
          <w:b w:val="0"/>
          <w:bCs/>
          <w:i w:val="0"/>
          <w:caps w:val="0"/>
          <w:color w:val="424242"/>
          <w:spacing w:val="0"/>
          <w:sz w:val="44"/>
          <w:szCs w:val="44"/>
          <w:shd w:val="clear" w:color="0A0000" w:fill="FFFFFF"/>
        </w:rPr>
        <w:t>野生动物保护管理工作的通知</w:t>
      </w:r>
      <w:bookmarkEnd w:id="987"/>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Style w:val="23"/>
          <w:rFonts w:hint="eastAsia" w:ascii="仿宋" w:hAnsi="仿宋" w:eastAsia="仿宋" w:cs="仿宋"/>
          <w:i w:val="0"/>
          <w:caps w:val="0"/>
          <w:color w:val="424242"/>
          <w:spacing w:val="0"/>
          <w:sz w:val="32"/>
          <w:szCs w:val="32"/>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shd w:val="clear" w:color="070000" w:fill="FFFFFF"/>
        </w:rPr>
        <w:t>粤办函〔2018〕396号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各地级以上市人民政府，各县（市、区）人民政府，省政府各部门、各直属机构：</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为深入贯彻习近平生态文明思想，切实保护野生动物，促进野生动物资源的恢复和可持续发展，经省人民政府同意，现就进一步加强我省野生动物保护管理工作通知如下：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一、提高认识，加强领导。</w:t>
      </w:r>
      <w:r>
        <w:rPr>
          <w:rFonts w:hint="eastAsia" w:ascii="仿宋" w:hAnsi="仿宋" w:eastAsia="仿宋" w:cs="仿宋"/>
          <w:i w:val="0"/>
          <w:caps w:val="0"/>
          <w:color w:val="424242"/>
          <w:spacing w:val="0"/>
          <w:sz w:val="32"/>
          <w:szCs w:val="32"/>
          <w:shd w:val="clear" w:color="070000" w:fill="FFFFFF"/>
        </w:rPr>
        <w:t>各地、各有关部门要从维护生物多样性和生态平衡、保护人类赖以生存的生态环境、维护经济社会可持续发展的战略高度，充分认识做好野生动物保护管理工作的重要意义，加强工作领导，明确职责分工，认真抓好落实。市县政府要认真履行主体责任，组织制定野生动物及其栖息地相关保护规划和措施，加强保护野生动物的宣传教育和科学知识普及工作，将野生动物保护经费纳入本级财政预算。乡镇政府、街道办事处要认真组织开展野生动物保护工作，及时发现并依法制止辖区内非法猎捕、出售、购买、利用野生动物及其制品的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二、突出重点，普遍禁猎。</w:t>
      </w:r>
      <w:r>
        <w:rPr>
          <w:rFonts w:hint="eastAsia" w:ascii="仿宋" w:hAnsi="仿宋" w:eastAsia="仿宋" w:cs="仿宋"/>
          <w:i w:val="0"/>
          <w:caps w:val="0"/>
          <w:color w:val="424242"/>
          <w:spacing w:val="0"/>
          <w:sz w:val="32"/>
          <w:szCs w:val="32"/>
          <w:shd w:val="clear" w:color="070000" w:fill="FFFFFF"/>
        </w:rPr>
        <w:t>全面加强野生动物野外种群保护，禁止猎捕国家和省重点保护野生动物。从2019年1月1日起至2023年12月31日止，全省全面禁猎野生鸟类。禁止在广东省境内使用粘网（捕鸟网）、鸟类电子诱捕装置，禁止任何网络交易平台、商品交易市场等交易场所为出售、购买、利用粘网、鸟类电子诱捕装置提供交易服务。因科学研究、种群调控、保障航空安全、疫病防控等特殊原因，确需猎捕的，依照有关规定办理。禁猎期满后，省政府将根据实际情况决定是否延长禁猎期限。确需利用野生鸟类及其制品的，应当以人工繁育种群为主，有利于野外种群养护，遵守法律法规和国家有关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三、各司其职，严格监管。</w:t>
      </w:r>
      <w:r>
        <w:rPr>
          <w:rFonts w:hint="eastAsia" w:ascii="仿宋" w:hAnsi="仿宋" w:eastAsia="仿宋" w:cs="仿宋"/>
          <w:i w:val="0"/>
          <w:caps w:val="0"/>
          <w:color w:val="424242"/>
          <w:spacing w:val="0"/>
          <w:sz w:val="32"/>
          <w:szCs w:val="32"/>
          <w:shd w:val="clear" w:color="070000" w:fill="FFFFFF"/>
        </w:rPr>
        <w:t>建立省打击野生动植物非法贸易部门间联席会议制度，负责研究制定野生动植物保护监管措施、部署重点工作。各地要参照省的做法，建立健全野生动植物保护监管联动机制和长效机制。各有关部门要加强协调配合，严厉打击非法猎捕、捕捞、人工繁育、杀害、出售、购买、利用、运输、携带、走私保护野生动物及其制品违法行为。市场监管、公路、邮政、铁路、民航、航运和海关等有关部门要严把野生动物及其制品的出售、运输、携带、邮递和进出口等关口，密切配合做好野生动物保护管理工作。市场监管部门要对涉及食用野生动物的“野味”招牌和广告，以及为出售、购买、利用野生动物及其制品或者禁止使用的猎捕工具提供交易服务的交易场所（如网络交易平台、商品交易市场等）进行全面清理整顿；动物卫生监督管理部门、海关要分别对行政区域内、进出境野生动物及其制品依法实施检疫；网络监管部门要及时删除违法猎捕、杀害、人工繁育和经营利用野生动物的信息；公安机关要结合扫黑除恶专项斗争，清理非法持有的猎枪及弹药，坚决打击猎杀、破坏野生保护动物资源的违法犯罪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四、加强调查，强化保护。</w:t>
      </w:r>
      <w:r>
        <w:rPr>
          <w:rFonts w:hint="eastAsia" w:ascii="仿宋" w:hAnsi="仿宋" w:eastAsia="仿宋" w:cs="仿宋"/>
          <w:i w:val="0"/>
          <w:caps w:val="0"/>
          <w:color w:val="424242"/>
          <w:spacing w:val="0"/>
          <w:sz w:val="32"/>
          <w:szCs w:val="32"/>
          <w:shd w:val="clear" w:color="070000" w:fill="FFFFFF"/>
        </w:rPr>
        <w:t>加强对自然保护区、森林公园、湿地公园等各种类型自然保护地的建设管理，加快形成以自然保护区为核心、森林公园为网络、湿地公园为补充，保护类型齐全、布局合理、生态效益显著的自然保护体系。加强对野生动物及其重要栖息地的监测巡护，特别是对国家和省重点保护野生动物主要生息繁衍场所以及野生鸟类集群的越冬地、繁殖地和迁徙停歇地，要实施网格化管理，将监测巡护职责落实到岗到人。要在对野生动物及其栖息地状况进行调查、监测和评估的基础上，建立健全野生动物及其栖息地档案。禁止对鸟类迁徙主要停歇地、栖息地实施人为破坏活动。建设项目选址选线，应当避让相关自然保护区域、野生动物迁徙洄游通道；确实无法避让的，应当采取修建野生动物通道、过鱼设施等措施，消除或者减少对野生动物的不利影响。保护、恢复和改善野生动物生存环境，禁止或者限制在相关自然保护区域内引入外来物种、营造单一纯林、过量施洒农药等人为干扰、威胁野生动物生息或繁衍的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五、完善体制，加强保障。</w:t>
      </w:r>
      <w:r>
        <w:rPr>
          <w:rFonts w:hint="eastAsia" w:ascii="仿宋" w:hAnsi="仿宋" w:eastAsia="仿宋" w:cs="仿宋"/>
          <w:i w:val="0"/>
          <w:caps w:val="0"/>
          <w:color w:val="424242"/>
          <w:spacing w:val="0"/>
          <w:sz w:val="32"/>
          <w:szCs w:val="32"/>
          <w:shd w:val="clear" w:color="070000" w:fill="FFFFFF"/>
        </w:rPr>
        <w:t>各市县要结合本次地方机构改革，进一步健全完善野生动物保护管理的体制机制，配备与目标任务相适应的工作力量。各级野生动物保护主管部门要尽快建立和完善野生动物救护工作机制，积极组织开展野生动物收容救护工作，按规定接收和处理野生动物或其制品。支持科学研究机构以物种保护为目的进行人工繁育野生动物，鼓励具备种源、技术、场地等条件的科研单位开展野生动物科学研究和人工繁育，逐步落实人工繁育标识管理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六、实施补偿，科学调控。</w:t>
      </w:r>
      <w:r>
        <w:rPr>
          <w:rFonts w:hint="eastAsia" w:ascii="仿宋" w:hAnsi="仿宋" w:eastAsia="仿宋" w:cs="仿宋"/>
          <w:i w:val="0"/>
          <w:caps w:val="0"/>
          <w:color w:val="424242"/>
          <w:spacing w:val="0"/>
          <w:sz w:val="32"/>
          <w:szCs w:val="32"/>
          <w:shd w:val="clear" w:color="070000" w:fill="FFFFFF"/>
        </w:rPr>
        <w:t>研究制定野生动物致害补偿办法，维护野生动物栖息地人民群众合法权益。对种群数量过大、造成危害频繁的野猪等野生动物，要在论证可行的基础上，依法组织开展有序狩猎活动，科学调控种群数量，有效减少致害因素。</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Style w:val="23"/>
          <w:rFonts w:hint="eastAsia" w:ascii="黑体" w:hAnsi="黑体" w:eastAsia="黑体" w:cs="黑体"/>
          <w:b w:val="0"/>
          <w:bCs/>
          <w:i w:val="0"/>
          <w:caps w:val="0"/>
          <w:color w:val="424242"/>
          <w:spacing w:val="0"/>
          <w:sz w:val="32"/>
          <w:szCs w:val="32"/>
          <w:shd w:val="clear" w:color="0A0000" w:fill="FFFFFF"/>
        </w:rPr>
        <w:t>七、加大宣传，营造氛围。</w:t>
      </w:r>
      <w:r>
        <w:rPr>
          <w:rFonts w:hint="eastAsia" w:ascii="仿宋" w:hAnsi="仿宋" w:eastAsia="仿宋" w:cs="仿宋"/>
          <w:i w:val="0"/>
          <w:caps w:val="0"/>
          <w:color w:val="424242"/>
          <w:spacing w:val="0"/>
          <w:sz w:val="32"/>
          <w:szCs w:val="32"/>
          <w:shd w:val="clear" w:color="070000" w:fill="FFFFFF"/>
        </w:rPr>
        <w:t>加强《野生动物保护法》《陆生野生动物实施条例》《广东省野生动物保护管理条例》等野生动物保护法律法规及科普知识的宣传教育，对野生动物经营利用单位、餐饮单位开展野生动物保护普法教育和培训。教育部门要把保护野生动物纳入中小学生态保护教育。加强正面宣传报道，广泛宣传保护野生动物的先进事迹，在全社会营造爱护野生动物的良好舆论氛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本通知自2019年1月1日起施行，有效期至2023年12月31日。《广东省人民政府办公厅贯彻实施广东省野生动物保护管理条例的通知》（粤府办〔2002〕7号）同时废止。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420"/>
        <w:jc w:val="both"/>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省府办公厅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shd w:val="clear" w:color="070000" w:fill="FFFFFF"/>
        </w:rPr>
        <w:t>2018年11月29日</w:t>
      </w: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wordWrap/>
        <w:adjustRightInd/>
        <w:snapToGrid/>
        <w:spacing w:line="560" w:lineRule="exact"/>
        <w:jc w:val="center"/>
        <w:textAlignment w:val="auto"/>
        <w:outlineLvl w:val="0"/>
        <w:rPr>
          <w:rFonts w:hint="eastAsia" w:ascii="宋体" w:hAnsi="宋体" w:eastAsia="宋体" w:cs="宋体"/>
          <w:sz w:val="44"/>
          <w:szCs w:val="44"/>
        </w:rPr>
      </w:pPr>
      <w:bookmarkStart w:id="988" w:name="_Toc27151"/>
      <w:r>
        <w:rPr>
          <w:rFonts w:hint="eastAsia" w:ascii="宋体" w:hAnsi="宋体" w:eastAsia="宋体" w:cs="宋体"/>
          <w:sz w:val="44"/>
          <w:szCs w:val="44"/>
        </w:rPr>
        <w:t>广东省公安厅关于依法严厉打击涉野生动物违法犯罪行为的通告</w:t>
      </w:r>
      <w:bookmarkEnd w:id="988"/>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为切实保障人民群众生命健康安全，保护野生动物资源，促进人与自然和谐共生，根据《中华人民共和国刑法》《中华人民共和国治安管理处罚法》《中华人民共和国野生动物保护法》、全国人大常委会《关于全面禁止非法野生动物交易、革除滥食野生动物陋习、切实保障人民群众生命健康安全的决定》以及《广东省野生动物保护管理条例》等法律法规、司法解释有关规定，现通告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一、依法严厉打击非法猎捕、杀害国家重点保护的珍贵、濒危野生动物的行为。</w:t>
      </w:r>
      <w:r>
        <w:rPr>
          <w:rFonts w:hint="eastAsia" w:ascii="仿宋" w:hAnsi="仿宋" w:eastAsia="仿宋" w:cs="仿宋"/>
          <w:i w:val="0"/>
          <w:caps w:val="0"/>
          <w:color w:val="424242"/>
          <w:spacing w:val="0"/>
          <w:sz w:val="32"/>
          <w:szCs w:val="32"/>
          <w:u w:val="none"/>
          <w:shd w:val="clear" w:color="080000" w:fill="FFFFFF"/>
        </w:rPr>
        <w:t>非法猎捕、杀害国家重点保护的珍贵、濒危野生动物的，依法从严追究刑事责任。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　二、依法严厉打击非法狩猎行为。</w:t>
      </w:r>
      <w:r>
        <w:rPr>
          <w:rFonts w:hint="eastAsia" w:ascii="仿宋" w:hAnsi="仿宋" w:eastAsia="仿宋" w:cs="仿宋"/>
          <w:i w:val="0"/>
          <w:caps w:val="0"/>
          <w:color w:val="424242"/>
          <w:spacing w:val="0"/>
          <w:sz w:val="32"/>
          <w:szCs w:val="32"/>
          <w:u w:val="none"/>
          <w:shd w:val="clear" w:color="080000" w:fill="FFFFFF"/>
        </w:rPr>
        <w:t>违反狩猎法规，在禁猎区、禁猎期或者使用枪支、爆炸物、毒药、电击、猎夹、火攻等工具、方法进行狩猎，破坏野生动物资源，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三、依法严厉打击非法收购、运输、出售野生动物及其制品的行为。</w:t>
      </w:r>
      <w:r>
        <w:rPr>
          <w:rFonts w:hint="eastAsia" w:ascii="仿宋" w:hAnsi="仿宋" w:eastAsia="仿宋" w:cs="仿宋"/>
          <w:i w:val="0"/>
          <w:caps w:val="0"/>
          <w:color w:val="424242"/>
          <w:spacing w:val="0"/>
          <w:sz w:val="32"/>
          <w:szCs w:val="32"/>
          <w:u w:val="none"/>
          <w:shd w:val="clear" w:color="080000" w:fill="FFFFFF"/>
        </w:rPr>
        <w:t>违反国家有关规定，非法收购、运输、出售野生动物及其制品，构成犯罪的，依法从严追究刑事责任；构成违反治安管理行为的，按照《治安管理处罚法》有关规定从严处罚。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四、依法严厉打击为非法出售、购买野生动物及其制品提供交易服务的行为。</w:t>
      </w:r>
      <w:r>
        <w:rPr>
          <w:rFonts w:hint="eastAsia" w:ascii="仿宋" w:hAnsi="仿宋" w:eastAsia="仿宋" w:cs="仿宋"/>
          <w:i w:val="0"/>
          <w:caps w:val="0"/>
          <w:color w:val="424242"/>
          <w:spacing w:val="0"/>
          <w:sz w:val="32"/>
          <w:szCs w:val="32"/>
          <w:u w:val="none"/>
          <w:shd w:val="clear" w:color="080000" w:fill="FFFFFF"/>
        </w:rPr>
        <w:t>为非法出售、购买野生动物及其制品提供交易场所、发布广告等交易服务，构成犯罪的，依法从严追究刑事责任；构成违反治安管理行为的，按照《治安管理处罚法》有关规定从严处罚。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五、依法严厉打击食用野生动物的行为。</w:t>
      </w:r>
      <w:r>
        <w:rPr>
          <w:rFonts w:hint="eastAsia" w:ascii="仿宋" w:hAnsi="仿宋" w:eastAsia="仿宋" w:cs="仿宋"/>
          <w:i w:val="0"/>
          <w:caps w:val="0"/>
          <w:color w:val="424242"/>
          <w:spacing w:val="0"/>
          <w:sz w:val="32"/>
          <w:szCs w:val="32"/>
          <w:u w:val="none"/>
          <w:shd w:val="clear" w:color="080000" w:fill="FFFFFF"/>
        </w:rPr>
        <w:t>食用野生动物，构成违法行为的，依法予以行政处罚。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　六、依法严厉打击走私珍贵动物及其制品的行为。</w:t>
      </w:r>
      <w:r>
        <w:rPr>
          <w:rFonts w:hint="eastAsia" w:ascii="仿宋" w:hAnsi="仿宋" w:eastAsia="仿宋" w:cs="仿宋"/>
          <w:i w:val="0"/>
          <w:caps w:val="0"/>
          <w:color w:val="424242"/>
          <w:spacing w:val="0"/>
          <w:sz w:val="32"/>
          <w:szCs w:val="32"/>
          <w:u w:val="none"/>
          <w:shd w:val="clear" w:color="080000" w:fill="FFFFFF"/>
        </w:rPr>
        <w:t>走私国家禁止进出口的珍贵动物及其制品的，依法从严追究刑事责任。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w:t>
      </w:r>
      <w:r>
        <w:rPr>
          <w:rStyle w:val="23"/>
          <w:rFonts w:hint="eastAsia" w:ascii="黑体" w:hAnsi="黑体" w:eastAsia="黑体" w:cs="黑体"/>
          <w:b w:val="0"/>
          <w:bCs/>
          <w:i w:val="0"/>
          <w:caps w:val="0"/>
          <w:color w:val="424242"/>
          <w:spacing w:val="0"/>
          <w:sz w:val="32"/>
          <w:szCs w:val="32"/>
          <w:u w:val="none"/>
          <w:shd w:val="clear" w:color="0B0000" w:fill="FFFFFF"/>
        </w:rPr>
        <w:t>七、依法严厉打击非法处置因防疫、检疫需要被依法处理的野生动物及其制品的行为。</w:t>
      </w:r>
      <w:r>
        <w:rPr>
          <w:rFonts w:hint="eastAsia" w:ascii="仿宋" w:hAnsi="仿宋" w:eastAsia="仿宋" w:cs="仿宋"/>
          <w:i w:val="0"/>
          <w:caps w:val="0"/>
          <w:color w:val="424242"/>
          <w:spacing w:val="0"/>
          <w:sz w:val="32"/>
          <w:szCs w:val="32"/>
          <w:u w:val="none"/>
          <w:shd w:val="clear" w:color="080000" w:fill="FFFFFF"/>
        </w:rPr>
        <w:t>非法处置因防疫、检疫需要已被有关部门查封、扣押、没收、隔离等依法处理的野生动物及其制品，构成犯罪的，依法从严追究刑事责任；构成违反治安管理行为的，按照《治安管理处罚法》有关规定从严处罚。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请广大群众积极向公安机关或拨打110报警电话举报涉野生动物违法犯罪有关线索，共同维护生物安全和生态安全。本通告自发布之日起实施。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特此通告。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广东省公安厅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2020年2月25日</w:t>
      </w:r>
    </w:p>
    <w:p>
      <w:pPr>
        <w:wordWrap/>
        <w:adjustRightInd/>
        <w:snapToGrid/>
        <w:spacing w:line="560" w:lineRule="exact"/>
        <w:textAlignment w:val="auto"/>
        <w:rPr>
          <w:rFonts w:hint="eastAsia" w:ascii="仿宋" w:hAnsi="仿宋" w:eastAsia="仿宋" w:cs="仿宋"/>
          <w:sz w:val="32"/>
          <w:szCs w:val="32"/>
        </w:rPr>
      </w:pPr>
    </w:p>
    <w:p>
      <w:pPr>
        <w:rPr>
          <w:rFonts w:hint="eastAsia" w:ascii="宋体" w:hAnsi="宋体" w:eastAsia="宋体" w:cs="宋体"/>
          <w:color w:val="auto"/>
          <w:kern w:val="2"/>
          <w:sz w:val="44"/>
          <w:szCs w:val="44"/>
          <w:u w:val="none"/>
          <w:lang w:val="en-US" w:eastAsia="zh-CN" w:bidi="ar-SA"/>
        </w:rPr>
      </w:pPr>
      <w:r>
        <w:rPr>
          <w:rFonts w:hint="eastAsia" w:ascii="宋体" w:hAnsi="宋体" w:eastAsia="宋体" w:cs="宋体"/>
          <w:color w:val="auto"/>
          <w:kern w:val="2"/>
          <w:sz w:val="44"/>
          <w:szCs w:val="44"/>
          <w:u w:val="none"/>
          <w:lang w:val="en-US" w:eastAsia="zh-CN" w:bidi="ar-SA"/>
        </w:rPr>
        <w:br w:type="page"/>
      </w:r>
    </w:p>
    <w:p>
      <w:pPr>
        <w:wordWrap/>
        <w:adjustRightInd/>
        <w:snapToGrid/>
        <w:spacing w:line="560" w:lineRule="exact"/>
        <w:jc w:val="center"/>
        <w:textAlignment w:val="auto"/>
        <w:outlineLvl w:val="0"/>
        <w:rPr>
          <w:rFonts w:hint="eastAsia" w:ascii="宋体" w:hAnsi="宋体" w:eastAsia="宋体" w:cs="宋体"/>
          <w:color w:val="auto"/>
          <w:kern w:val="2"/>
          <w:sz w:val="44"/>
          <w:szCs w:val="44"/>
          <w:u w:val="none"/>
          <w:lang w:val="en-US" w:eastAsia="zh-CN" w:bidi="ar-SA"/>
        </w:rPr>
      </w:pPr>
      <w:bookmarkStart w:id="989" w:name="_Toc31711"/>
      <w:r>
        <w:rPr>
          <w:rFonts w:hint="eastAsia" w:ascii="宋体" w:hAnsi="宋体" w:eastAsia="宋体" w:cs="宋体"/>
          <w:color w:val="auto"/>
          <w:kern w:val="2"/>
          <w:sz w:val="44"/>
          <w:szCs w:val="44"/>
          <w:u w:val="none"/>
          <w:lang w:val="en-US" w:eastAsia="zh-CN" w:bidi="ar-SA"/>
        </w:rPr>
        <w:t>广东省卫生厅关于印发广东省法定传染病疫情和突发公共卫生事件信息发布方案的通知</w:t>
      </w:r>
      <w:bookmarkEnd w:id="989"/>
    </w:p>
    <w:p>
      <w:pPr>
        <w:wordWrap/>
        <w:adjustRightInd/>
        <w:snapToGrid/>
        <w:spacing w:line="560" w:lineRule="exact"/>
        <w:textAlignment w:val="auto"/>
        <w:rPr>
          <w:rFonts w:hint="eastAsia" w:ascii="仿宋" w:hAnsi="仿宋" w:eastAsia="仿宋" w:cs="仿宋"/>
          <w:color w:val="F6B900"/>
          <w:kern w:val="2"/>
          <w:sz w:val="32"/>
          <w:szCs w:val="32"/>
          <w:u w:val="none"/>
          <w:lang w:val="en-US" w:eastAsia="zh-CN" w:bidi="ar-SA"/>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000000"/>
          <w:spacing w:val="0"/>
          <w:sz w:val="32"/>
          <w:szCs w:val="32"/>
          <w:u w:val="none"/>
          <w:shd w:val="clear" w:color="080000" w:fill="FFFFFF"/>
        </w:rPr>
      </w:pPr>
      <w:r>
        <w:rPr>
          <w:rFonts w:hint="eastAsia" w:ascii="楷体" w:hAnsi="楷体" w:eastAsia="楷体" w:cs="楷体"/>
          <w:i w:val="0"/>
          <w:caps w:val="0"/>
          <w:color w:val="000000"/>
          <w:spacing w:val="0"/>
          <w:sz w:val="32"/>
          <w:szCs w:val="32"/>
          <w:u w:val="none"/>
          <w:shd w:val="clear" w:color="080000" w:fill="FFFFFF"/>
        </w:rPr>
        <w:t>粤卫办〔2008〕35号</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000000"/>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各地级以上市卫生局，厅直有关单位：</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根据《中华人民共和国传染病防治法》（下称《传染病防治法》）和《卫生部法定传染病疫情和突发公共卫生事件信息发布方案》（卫办发〔2006〕79号）规定，我厅组织制定了《广东省法定传染病疫情和突发公共卫生事件信息发布方案》，并提出以下要求，请一并遵照执行。</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一、各地要严格执行法定传染病疫情和突发公共卫生事件有关报告制度，及时报告相关信息。</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二、未经我厅批准，任何单位和个人不得对外发布全省法定传染病疫情信息和突发公共卫生事件信息。</w:t>
      </w:r>
      <w:r>
        <w:rPr>
          <w:rFonts w:hint="eastAsia" w:ascii="仿宋" w:hAnsi="仿宋" w:eastAsia="仿宋" w:cs="仿宋"/>
          <w:i w:val="0"/>
          <w:caps w:val="0"/>
          <w:color w:val="000000"/>
          <w:spacing w:val="0"/>
          <w:sz w:val="32"/>
          <w:szCs w:val="32"/>
          <w:u w:val="none"/>
          <w:shd w:val="clear" w:color="080000" w:fill="FFFFFF"/>
        </w:rPr>
        <w:br w:type="textWrapping"/>
      </w:r>
      <w:r>
        <w:rPr>
          <w:rFonts w:hint="eastAsia" w:ascii="仿宋" w:hAnsi="仿宋" w:eastAsia="仿宋" w:cs="仿宋"/>
          <w:i w:val="0"/>
          <w:caps w:val="0"/>
          <w:color w:val="000000"/>
          <w:spacing w:val="0"/>
          <w:sz w:val="32"/>
          <w:szCs w:val="32"/>
          <w:u w:val="none"/>
          <w:shd w:val="clear" w:color="080000" w:fill="FFFFFF"/>
        </w:rPr>
        <w:t>    三、各地要加强正面宣传和舆论引导，及时宣传各级党委、政府和有关部门采取的各项防控传染病疫情和处置突发公共卫生事件的有关措施，以及相关科普知识，引导群众正确认识和科学应对传染病疫情和突发公共卫生事件。要加强舆情监测，发现错误或片面报道时，要及时澄清不实报道和谣言，防止媒体炒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righ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                   二○○八年五月四日</w:t>
      </w:r>
    </w:p>
    <w:p>
      <w:pPr>
        <w:wordWrap/>
        <w:adjustRightInd/>
        <w:snapToGrid/>
        <w:spacing w:line="560" w:lineRule="exact"/>
        <w:ind w:firstLine="643" w:firstLineChars="200"/>
        <w:textAlignment w:val="auto"/>
        <w:rPr>
          <w:rStyle w:val="23"/>
          <w:rFonts w:hint="eastAsia" w:ascii="仿宋" w:hAnsi="仿宋" w:eastAsia="仿宋" w:cs="仿宋"/>
          <w:i w:val="0"/>
          <w:caps w:val="0"/>
          <w:color w:val="000000"/>
          <w:spacing w:val="0"/>
          <w:sz w:val="32"/>
          <w:szCs w:val="32"/>
          <w:u w:val="none"/>
          <w:shd w:val="clear" w:color="090000" w:fill="FFFFFF"/>
        </w:rPr>
      </w:pPr>
      <w:r>
        <w:rPr>
          <w:rStyle w:val="23"/>
          <w:rFonts w:hint="eastAsia" w:ascii="仿宋" w:hAnsi="仿宋" w:eastAsia="仿宋" w:cs="仿宋"/>
          <w:i w:val="0"/>
          <w:caps w:val="0"/>
          <w:color w:val="000000"/>
          <w:spacing w:val="0"/>
          <w:sz w:val="32"/>
          <w:szCs w:val="32"/>
          <w:u w:val="none"/>
          <w:shd w:val="clear" w:color="090000" w:fill="FFFFFF"/>
        </w:rPr>
        <w:br w:type="page"/>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center"/>
        <w:textAlignment w:val="auto"/>
        <w:rPr>
          <w:rFonts w:hint="eastAsia" w:ascii="仿宋" w:hAnsi="仿宋" w:eastAsia="仿宋" w:cs="仿宋"/>
          <w:b w:val="0"/>
          <w:bCs w:val="0"/>
          <w:i w:val="0"/>
          <w:caps w:val="0"/>
          <w:color w:val="000000"/>
          <w:spacing w:val="0"/>
          <w:sz w:val="32"/>
          <w:szCs w:val="32"/>
          <w:u w:val="none"/>
          <w:shd w:val="clear" w:color="0A0000" w:fill="FFFFFF"/>
        </w:rPr>
      </w:pPr>
      <w:r>
        <w:rPr>
          <w:rFonts w:hint="eastAsia" w:ascii="仿宋" w:hAnsi="仿宋" w:eastAsia="仿宋" w:cs="仿宋"/>
          <w:b w:val="0"/>
          <w:bCs w:val="0"/>
          <w:i w:val="0"/>
          <w:caps w:val="0"/>
          <w:color w:val="000000"/>
          <w:spacing w:val="0"/>
          <w:sz w:val="32"/>
          <w:szCs w:val="32"/>
          <w:u w:val="none"/>
          <w:shd w:val="clear" w:color="0A0000" w:fill="FFFFFF"/>
        </w:rPr>
        <w:t>广东省法定传染病疫情和突发公共卫生事件信息发布方案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为及时向社会通报和公布我省法定传染病疫情和突发公共卫生事件信息，确保政府信息的权威性，正确引导舆论，满足人民群众的知情需求，增强公众的防病意识，有效控制传染病疫情，妥善处置突发公共卫生事件，根据《传染病防治法》、《国家突发公共卫生事件应急预案》和《卫生部法定传染病疫情和突发公共卫生事件信息发布方案》有关规定，制定本方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本方案所指法定传染病，为《传染病防治法》规定管理的甲类、乙类和丙类传染病。本方案所称突发公共卫生事件(以下简称“突发事件”)是指《突发公共卫生事件应急条例》规定的突然发生、造成或可能造成社会公众健康严重损害的重大传染病疫情、群体性不明原因疾病、重大食物和职业中毒以及其他严重影响公众健康的事件；突发公共卫生事件报告分级按照《国家突发公共卫生事件应急预案》和《广东省突发公共卫生事件应急预案》确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Style w:val="23"/>
          <w:rFonts w:hint="eastAsia" w:ascii="黑体" w:hAnsi="黑体" w:eastAsia="黑体" w:cs="黑体"/>
          <w:b w:val="0"/>
          <w:bCs/>
          <w:i w:val="0"/>
          <w:caps w:val="0"/>
          <w:color w:val="000000"/>
          <w:spacing w:val="0"/>
          <w:sz w:val="32"/>
          <w:szCs w:val="32"/>
          <w:u w:val="none"/>
          <w:shd w:val="clear" w:color="0B0000" w:fill="FFFFFF"/>
        </w:rPr>
      </w:pPr>
      <w:r>
        <w:rPr>
          <w:rStyle w:val="23"/>
          <w:rFonts w:hint="eastAsia" w:ascii="黑体" w:hAnsi="黑体" w:eastAsia="黑体" w:cs="黑体"/>
          <w:b w:val="0"/>
          <w:bCs/>
          <w:i w:val="0"/>
          <w:caps w:val="0"/>
          <w:color w:val="000000"/>
          <w:spacing w:val="0"/>
          <w:sz w:val="32"/>
          <w:szCs w:val="32"/>
          <w:u w:val="none"/>
          <w:shd w:val="clear" w:color="0B0000" w:fill="FFFFFF"/>
        </w:rPr>
        <w:t>一、发布信息范围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（一）法定传染病。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甲类传染病是指：鼠疫、霍乱。</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乙类传染病是指：传染性非典型肺炎、艾滋病、病毒性肝炎、脊髓灰质炎、人感染高致病性禽流感、麻疹、流行性出血热、狂犬病、流行性乙型脑炎、登革热、炭疽、细菌性和阿米巴性痢疾、肺结核、伤寒和副伤寒、流行性脑脊髓膜炎、百日咳、白喉、新生儿破伤风、猩红热、布鲁氏菌病、淋病、梅毒、钩端螺旋体病、血吸虫病、疟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丙类传染病是指：流行性感冒、流行性腮腺炎、风疹、急性出血性结膜炎、麻风病、流行性和地方性斑疹伤寒、黑热病、包虫病、丝虫病，除霍乱、细菌性和阿米巴性痢疾、伤寒和副伤寒以外的感染性腹泻病、手足口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（二）突发公共卫生事件。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全省范围内发生的《突发公共卫生事件应急条例》中规定报告和管理的突发公共卫生事件总体信息、有重大影响的突发公共卫生事件个案信息。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二、发布内容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（一）法定传染病疫情。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法定传染病疫情发布内容，包括甲、乙类传染病发生的总体情况、重大疾病的分布情况，重大疫情的控制情况以及丙类传染病的基本情况等。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（二）重点传染病监测信息。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根据传染病防控工作需要，必要时发布重点传染病监测信息内容，包括霍乱、登革热等重点监测传染病的相关信息。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（三）突发公共卫生事件信息。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突发公共卫生事件信息发布包括总体信息和重大突发公共卫生事件的个案信息。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1．突发公共卫生事件总体信息：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一定时期内，突发公共卫生事件的总体情况、分类、分级情况等。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2．突发公共卫生事件个案信息：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事件的性质、原因；发生时间、地点及范围；发病、伤亡及涉及的人员范围；处理措施和控制情况；发生地强制措施的解除；预防方法等。可以根据处置进展分次连续发布。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 xml:space="preserve"> 3．预测与预警信息：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针对可能发生的各类突发公共卫生事件的特点和季节性特征，及时进行分析和预测，发布预警信息。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 三、发布制度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（一）法定传染病疫情和突发公共卫生事件总体信息定期发布制度。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省卫生厅以月报、年报方式在省卫生厅网站专题栏目上公布我省法定传染病疫情和突发公共卫生事件总体信息，必要时授权主要新闻媒体发布或召开新闻发布会通报有关情况。</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省卫生厅每月15日前公布上月情况，每年2月15日前公布上年度情况。</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省卫生厅定期发布的法定传染病疫情和突发公共卫生事件信息由厅主管业务处、室提供，经主管厅长审定后，以省卫生厅办公室名义对外发布。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（二）突发公共卫生事件个案信息及时发布制度。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本省范围内发生由国务院卫生行政主管部门确定的特别重大（Ⅰ级）突发公共卫生事件时，在国家应急指挥部及省应急指挥部的统一指挥下及时发布经授权的相关信息。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本省范围内发生由省突发公共卫生事件应急指挥部确定的重大（Ⅱ级）突发公共卫生事件时，省卫生厅在省应急指挥部的统一指挥下，向社会发布本省范围内突发公共卫生事件信息，并配合宣传主管部门做好舆论宣传和引导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（三）重大传染病疫情及时发布制度。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根据疫情网络直报系统监测结果，如果发现重大传染病疫情，应增加相关传染病疫情公布频次，必要时每周或每日发布。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（四）预测预警信息不定期发布制度。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针对疾病流行情况和季节性，必要时可向社会发布传染病疫情、食品安全和职业预测和预警信息。提高群众自我防护能力。</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（五）通报制度。</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发布甲类传染病和采取甲类传染病预防控制措施的传染病疫情信息以及不明原因群体性疾病等突发公共卫生事件个案信息前，向卫生部、省外办报告，并向有关地级以上市卫生行政部门通报。必要时，可先发布再通报。对于其他法定传染病暴发、流行的突发公共卫生事件个案信息，通过便捷有效的方式及时将有关情况向相关部门和毗邻的省份、地区通报，共同做好疾病的预防和控制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 四、信息发布程序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省卫生厅定期发布的法定传染病疫情信息和突发公共卫生事件总体信息，由厅机关相关职能处室负责初审省疾病预防控制中心上报的相关信息后送厅办公室。厅办公室审核后，送厅领导审批，并及时对外发布及通报有关单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 五、职责分工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（一）厅有关处室职责。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1．厅办公室：负责法定传染病疫情和突发公共卫生事件相关信息的审核，于每月12日前呈送厅领导批准，并于每月15日前以厅办公室名义向有关媒体发布等。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2．厅疾控处：按照处室职能分工，负责审核省疾病预防控制中心上报的法定传染病月报、年报疫情信息及未达到《国家突发公共卫生事件应急预案》和《广东省突发公共卫生事件应急预案》标准的相关信息，于每月11日前送厅办公室审核。</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3．厅应急办：按照处室职能分工，负责审核省疾病预防控制中心上报的突发公共卫生事件月报、年报信息，重大、特别重大突发公共卫生事件，以及突发公共卫生事件预警预测相关信息。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i w:val="0"/>
          <w:caps w:val="0"/>
          <w:color w:val="000000"/>
          <w:spacing w:val="0"/>
          <w:sz w:val="32"/>
          <w:szCs w:val="32"/>
          <w:u w:val="none"/>
          <w:shd w:val="clear" w:color="080000" w:fill="FFFFFF"/>
        </w:rPr>
      </w:pPr>
      <w:r>
        <w:rPr>
          <w:rFonts w:hint="eastAsia" w:ascii="黑体" w:hAnsi="黑体" w:eastAsia="黑体" w:cs="黑体"/>
          <w:i w:val="0"/>
          <w:caps w:val="0"/>
          <w:color w:val="000000"/>
          <w:spacing w:val="0"/>
          <w:sz w:val="32"/>
          <w:szCs w:val="32"/>
          <w:u w:val="none"/>
          <w:shd w:val="clear" w:color="080000" w:fill="FFFFFF"/>
        </w:rPr>
        <w:t>（二）厅直有关单位职责。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lang w:eastAsia="zh-CN"/>
        </w:rPr>
      </w:pPr>
      <w:r>
        <w:rPr>
          <w:rFonts w:hint="eastAsia" w:ascii="仿宋" w:hAnsi="仿宋" w:eastAsia="仿宋" w:cs="仿宋"/>
          <w:i w:val="0"/>
          <w:caps w:val="0"/>
          <w:color w:val="000000"/>
          <w:spacing w:val="0"/>
          <w:sz w:val="32"/>
          <w:szCs w:val="32"/>
          <w:u w:val="none"/>
          <w:shd w:val="clear" w:color="080000" w:fill="FFFFFF"/>
        </w:rPr>
        <w:t>1．省疾病预防控制中心：负责每月10日和每年2月10日前，分别将上月、上年的法定传染病和突发公共卫生事件月（年）报信息通报稿及相关材料（包括结核病、麻风病和性病，见附件）报厅相关业务处室。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2．省结核病防治研究所：每月8日前向省疾病预防控制中心提供结核病防治情况等有关信息。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3．省皮肤性病防治中心：每月8日前向省疾病预防控制中心提供麻风病、性病防治情况等有关信息。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4．发生重大传染病疫情或突发公共卫生事件后，负责调查处理的单位要严格按照国家和省有关规定，及时向省卫生厅相关处室报告调查处理情况的个案信息。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5、省卫生监督所、省职业病防治院等有关机构，负责及时将相关突发公共卫生事件的信息及材料报厅相关业务处室。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黑体" w:hAnsi="黑体" w:eastAsia="黑体" w:cs="黑体"/>
          <w:b w:val="0"/>
          <w:bCs w:val="0"/>
          <w:i w:val="0"/>
          <w:caps w:val="0"/>
          <w:color w:val="000000"/>
          <w:spacing w:val="0"/>
          <w:sz w:val="32"/>
          <w:szCs w:val="32"/>
          <w:u w:val="none"/>
          <w:shd w:val="clear" w:color="0A0000" w:fill="FFFFFF"/>
        </w:rPr>
      </w:pPr>
      <w:r>
        <w:rPr>
          <w:rFonts w:hint="eastAsia" w:ascii="黑体" w:hAnsi="黑体" w:eastAsia="黑体" w:cs="黑体"/>
          <w:b w:val="0"/>
          <w:bCs w:val="0"/>
          <w:i w:val="0"/>
          <w:caps w:val="0"/>
          <w:color w:val="000000"/>
          <w:spacing w:val="0"/>
          <w:sz w:val="32"/>
          <w:szCs w:val="32"/>
          <w:u w:val="none"/>
          <w:shd w:val="clear" w:color="0A0000" w:fill="FFFFFF"/>
        </w:rPr>
        <w:t>六、加强舆论导向的监督和管理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有关传染病疫情和突发公共卫生事件发生后，各级卫生行政部门和有关单位要积极主动配合新闻宣传主管部门和新闻媒体，规范传染病疫情和突发公共卫生事件信息的宣传报道工作。通过新闻宣传和舆论引导，推动传染病疫情和突发公共卫生事件防控和处置工作的顺利开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加强正面宣传和舆论引导，大力宣传党和政府对人民身体健康和生命财产安全的高度负责，及时宣传各级党委、政府和有关部门妥善防控、处置传染病疫情和突发公共卫生事件，准确宣传有关防控传染病疫情和处置突发公共卫生事件的具体措施和科普知识，引导群众正确认识和科学应对传染病疫情和突发公共卫生事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密切关注媒体对传染病疫情和突发公共卫生事件的新闻报道。及时安排和协调记者的采访活动，审定有关稿件。加强舆论信息的收集，有针对性地解答公众的疑惑，发现错误或片面的报道倾向时，应及时核实了解情况，迅速发布权威信息，澄清不实报道和谣言，防止媒体炒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left"/>
        <w:textAlignment w:val="auto"/>
        <w:rPr>
          <w:rFonts w:hint="eastAsia" w:ascii="仿宋" w:hAnsi="仿宋" w:eastAsia="仿宋" w:cs="仿宋"/>
          <w:i w:val="0"/>
          <w:caps w:val="0"/>
          <w:color w:val="000000"/>
          <w:spacing w:val="0"/>
          <w:sz w:val="32"/>
          <w:szCs w:val="32"/>
          <w:u w:val="none"/>
          <w:shd w:val="clear" w:color="080000" w:fill="FFFFFF"/>
        </w:rPr>
      </w:pPr>
      <w:r>
        <w:rPr>
          <w:rFonts w:hint="eastAsia" w:ascii="仿宋" w:hAnsi="仿宋" w:eastAsia="仿宋" w:cs="仿宋"/>
          <w:i w:val="0"/>
          <w:caps w:val="0"/>
          <w:color w:val="000000"/>
          <w:spacing w:val="0"/>
          <w:sz w:val="32"/>
          <w:szCs w:val="32"/>
          <w:u w:val="none"/>
          <w:shd w:val="clear" w:color="080000" w:fill="FFFFFF"/>
        </w:rPr>
        <w:t>附件：</w:t>
      </w:r>
      <w:r>
        <w:rPr>
          <w:rFonts w:hint="eastAsia" w:ascii="仿宋" w:hAnsi="仿宋" w:eastAsia="仿宋" w:cs="仿宋"/>
          <w:i w:val="0"/>
          <w:caps w:val="0"/>
          <w:color w:val="000000"/>
          <w:spacing w:val="0"/>
          <w:sz w:val="32"/>
          <w:szCs w:val="32"/>
          <w:u w:val="none"/>
          <w:shd w:val="clear" w:color="080000" w:fill="FFFFFF"/>
          <w:lang w:eastAsia="zh-CN"/>
        </w:rPr>
        <w:t>（</w:t>
      </w:r>
      <w:r>
        <w:rPr>
          <w:rFonts w:hint="eastAsia" w:ascii="仿宋" w:hAnsi="仿宋" w:eastAsia="仿宋" w:cs="仿宋"/>
          <w:i w:val="0"/>
          <w:caps w:val="0"/>
          <w:color w:val="000000"/>
          <w:spacing w:val="0"/>
          <w:sz w:val="32"/>
          <w:szCs w:val="32"/>
          <w:u w:val="none"/>
          <w:shd w:val="clear" w:color="080000" w:fill="FFFFFF"/>
          <w:lang w:val="en-US" w:eastAsia="zh-CN"/>
        </w:rPr>
        <w:t>略</w:t>
      </w:r>
      <w:r>
        <w:rPr>
          <w:rFonts w:hint="eastAsia" w:ascii="仿宋" w:hAnsi="仿宋" w:eastAsia="仿宋" w:cs="仿宋"/>
          <w:i w:val="0"/>
          <w:caps w:val="0"/>
          <w:color w:val="000000"/>
          <w:spacing w:val="0"/>
          <w:sz w:val="32"/>
          <w:szCs w:val="32"/>
          <w:u w:val="none"/>
          <w:shd w:val="clear" w:color="080000" w:fill="FFFFFF"/>
          <w:lang w:eastAsia="zh-CN"/>
        </w:rPr>
        <w:t>）</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1.</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"http://wsjkw.gd.gov.cn/jumpurl.html?url=www.gdwst.gov.cn/upfile/20080708142916.doc"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广东省法定报告传染病疫情发布样式（年报）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2.</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"http://wsjkw.gd.gov.cn/jumpurl.html?url=www.gdwst.gov.cn/upfile/20080709082608.doc"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广东省法定报告传染病疫情发布样式（月报）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3.</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"http://wsjkw.gd.gov.cn/jumpurl.html?url=www.gdwst.gov.cn/upfile/20080709082713.doc"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广东省突发公共卫生事件总体信息发布样式（月报）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4.</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"http://wsjkw.gd.gov.cn/jumpurl.html?url=www.gdwst.gov.cn/upfile/20080709082827.doc"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广东省突发公共卫生事件总体信息发布样式（年报）</w:t>
      </w:r>
      <w:r>
        <w:rPr>
          <w:rFonts w:hint="eastAsia" w:ascii="仿宋" w:hAnsi="仿宋" w:eastAsia="仿宋" w:cs="仿宋"/>
          <w:i w:val="0"/>
          <w:caps w:val="0"/>
          <w:color w:val="000000"/>
          <w:spacing w:val="0"/>
          <w:sz w:val="32"/>
          <w:szCs w:val="32"/>
          <w:u w:val="none"/>
          <w:shd w:val="clear" w:color="080000" w:fill="FFFFFF"/>
        </w:rPr>
        <w:fldChar w:fldCharType="end"/>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000000"/>
          <w:spacing w:val="0"/>
          <w:sz w:val="32"/>
          <w:szCs w:val="32"/>
          <w:u w:val="none"/>
        </w:rPr>
      </w:pPr>
      <w:r>
        <w:rPr>
          <w:rFonts w:hint="eastAsia" w:ascii="仿宋" w:hAnsi="仿宋" w:eastAsia="仿宋" w:cs="仿宋"/>
          <w:i w:val="0"/>
          <w:caps w:val="0"/>
          <w:color w:val="000000"/>
          <w:spacing w:val="0"/>
          <w:sz w:val="32"/>
          <w:szCs w:val="32"/>
          <w:u w:val="none"/>
          <w:shd w:val="clear" w:color="080000" w:fill="FFFFFF"/>
        </w:rPr>
        <w:t>5.</w:t>
      </w:r>
      <w:r>
        <w:rPr>
          <w:rFonts w:hint="eastAsia" w:ascii="仿宋" w:hAnsi="仿宋" w:eastAsia="仿宋" w:cs="仿宋"/>
          <w:i w:val="0"/>
          <w:caps w:val="0"/>
          <w:color w:val="000000"/>
          <w:spacing w:val="0"/>
          <w:sz w:val="32"/>
          <w:szCs w:val="32"/>
          <w:u w:val="none"/>
          <w:shd w:val="clear" w:color="080000" w:fill="FFFFFF"/>
        </w:rPr>
        <w:fldChar w:fldCharType="begin"/>
      </w:r>
      <w:r>
        <w:rPr>
          <w:rFonts w:hint="eastAsia" w:ascii="仿宋" w:hAnsi="仿宋" w:eastAsia="仿宋" w:cs="仿宋"/>
          <w:i w:val="0"/>
          <w:caps w:val="0"/>
          <w:color w:val="000000"/>
          <w:spacing w:val="0"/>
          <w:sz w:val="32"/>
          <w:szCs w:val="32"/>
          <w:u w:val="none"/>
          <w:shd w:val="clear" w:color="080000" w:fill="FFFFFF"/>
        </w:rPr>
        <w:instrText xml:space="preserve"> HYPERLINK "http://wsjkw.gd.gov.cn/jumpurl.html?url=www.gdwst.gov.cn/upfile/20080709082929.doc" </w:instrText>
      </w:r>
      <w:r>
        <w:rPr>
          <w:rFonts w:hint="eastAsia" w:ascii="仿宋" w:hAnsi="仿宋" w:eastAsia="仿宋" w:cs="仿宋"/>
          <w:i w:val="0"/>
          <w:caps w:val="0"/>
          <w:color w:val="000000"/>
          <w:spacing w:val="0"/>
          <w:sz w:val="32"/>
          <w:szCs w:val="32"/>
          <w:u w:val="none"/>
          <w:shd w:val="clear" w:color="080000" w:fill="FFFFFF"/>
        </w:rPr>
        <w:fldChar w:fldCharType="separate"/>
      </w:r>
      <w:r>
        <w:rPr>
          <w:rStyle w:val="27"/>
          <w:rFonts w:hint="eastAsia" w:ascii="仿宋" w:hAnsi="仿宋" w:eastAsia="仿宋" w:cs="仿宋"/>
          <w:i w:val="0"/>
          <w:caps w:val="0"/>
          <w:color w:val="000000"/>
          <w:spacing w:val="0"/>
          <w:sz w:val="32"/>
          <w:szCs w:val="32"/>
          <w:u w:val="none"/>
          <w:shd w:val="clear" w:color="090000" w:fill="FFFFFF"/>
        </w:rPr>
        <w:t>广东省重大突发公共卫生事件个案信息发布提纲</w:t>
      </w:r>
      <w:r>
        <w:rPr>
          <w:rFonts w:hint="eastAsia" w:ascii="仿宋" w:hAnsi="仿宋" w:eastAsia="仿宋" w:cs="仿宋"/>
          <w:i w:val="0"/>
          <w:caps w:val="0"/>
          <w:color w:val="000000"/>
          <w:spacing w:val="0"/>
          <w:sz w:val="32"/>
          <w:szCs w:val="32"/>
          <w:u w:val="none"/>
          <w:shd w:val="clear" w:color="080000" w:fill="FFFFFF"/>
        </w:rPr>
        <w:fldChar w:fldCharType="end"/>
      </w:r>
    </w:p>
    <w:p>
      <w:pPr>
        <w:wordWrap/>
        <w:adjustRightInd/>
        <w:snapToGrid/>
        <w:spacing w:line="560" w:lineRule="exact"/>
        <w:ind w:firstLine="640" w:firstLineChars="200"/>
        <w:textAlignment w:val="auto"/>
        <w:rPr>
          <w:rFonts w:hint="eastAsia" w:ascii="仿宋" w:hAnsi="仿宋" w:eastAsia="仿宋" w:cs="仿宋"/>
          <w:color w:val="F6B900"/>
          <w:kern w:val="2"/>
          <w:sz w:val="32"/>
          <w:szCs w:val="32"/>
          <w:u w:val="none"/>
          <w:lang w:val="en-US" w:eastAsia="zh-CN" w:bidi="ar-SA"/>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widowControl w:val="0"/>
        <w:wordWrap/>
        <w:adjustRightInd/>
        <w:snapToGrid/>
        <w:spacing w:line="560" w:lineRule="exact"/>
        <w:jc w:val="center"/>
        <w:textAlignment w:val="auto"/>
        <w:outlineLvl w:val="0"/>
        <w:rPr>
          <w:rFonts w:hint="eastAsia" w:ascii="宋体" w:hAnsi="宋体" w:eastAsia="宋体" w:cs="宋体"/>
          <w:i w:val="0"/>
          <w:caps w:val="0"/>
          <w:color w:val="000000"/>
          <w:spacing w:val="0"/>
          <w:sz w:val="44"/>
          <w:szCs w:val="44"/>
        </w:rPr>
      </w:pPr>
      <w:bookmarkStart w:id="990" w:name="_Toc11482"/>
      <w:r>
        <w:rPr>
          <w:rFonts w:hint="eastAsia" w:ascii="宋体" w:hAnsi="宋体" w:eastAsia="宋体" w:cs="宋体"/>
          <w:i w:val="0"/>
          <w:caps w:val="0"/>
          <w:color w:val="000000"/>
          <w:spacing w:val="0"/>
          <w:sz w:val="44"/>
          <w:szCs w:val="44"/>
        </w:rPr>
        <w:t>广东省新冠肺炎防控指挥办疫情防控组</w:t>
      </w:r>
    </w:p>
    <w:p>
      <w:pPr>
        <w:widowControl w:val="0"/>
        <w:wordWrap/>
        <w:adjustRightInd/>
        <w:snapToGrid/>
        <w:spacing w:line="560" w:lineRule="exact"/>
        <w:jc w:val="center"/>
        <w:textAlignment w:val="auto"/>
        <w:outlineLvl w:val="0"/>
        <w:rPr>
          <w:rFonts w:hint="eastAsia" w:ascii="宋体" w:hAnsi="宋体" w:eastAsia="宋体" w:cs="宋体"/>
          <w:i w:val="0"/>
          <w:caps w:val="0"/>
          <w:color w:val="000000"/>
          <w:spacing w:val="0"/>
          <w:sz w:val="44"/>
          <w:szCs w:val="44"/>
        </w:rPr>
      </w:pPr>
      <w:r>
        <w:rPr>
          <w:rFonts w:hint="eastAsia" w:ascii="宋体" w:hAnsi="宋体" w:eastAsia="宋体" w:cs="宋体"/>
          <w:i w:val="0"/>
          <w:caps w:val="0"/>
          <w:color w:val="000000"/>
          <w:spacing w:val="0"/>
          <w:sz w:val="44"/>
          <w:szCs w:val="44"/>
        </w:rPr>
        <w:t>关于印发广东省公共交通新冠肺炎</w:t>
      </w:r>
    </w:p>
    <w:p>
      <w:pPr>
        <w:widowControl w:val="0"/>
        <w:wordWrap/>
        <w:adjustRightInd/>
        <w:snapToGrid/>
        <w:spacing w:line="560" w:lineRule="exact"/>
        <w:jc w:val="center"/>
        <w:textAlignment w:val="auto"/>
        <w:outlineLvl w:val="0"/>
        <w:rPr>
          <w:rFonts w:hint="eastAsia" w:ascii="宋体" w:hAnsi="宋体" w:eastAsia="宋体" w:cs="宋体"/>
          <w:i w:val="0"/>
          <w:caps w:val="0"/>
          <w:color w:val="000000"/>
          <w:spacing w:val="0"/>
          <w:sz w:val="44"/>
          <w:szCs w:val="44"/>
        </w:rPr>
      </w:pPr>
      <w:r>
        <w:rPr>
          <w:rFonts w:hint="eastAsia" w:ascii="宋体" w:hAnsi="宋体" w:eastAsia="宋体" w:cs="宋体"/>
          <w:i w:val="0"/>
          <w:caps w:val="0"/>
          <w:color w:val="000000"/>
          <w:spacing w:val="0"/>
          <w:sz w:val="44"/>
          <w:szCs w:val="44"/>
        </w:rPr>
        <w:t>疫情防控工作指引的通知</w:t>
      </w:r>
      <w:bookmarkEnd w:id="990"/>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rPr>
          <w:rFonts w:hint="eastAsia" w:ascii="楷体" w:hAnsi="楷体" w:eastAsia="楷体" w:cs="楷体"/>
          <w:i w:val="0"/>
          <w:caps w:val="0"/>
          <w:color w:val="424242"/>
          <w:spacing w:val="0"/>
          <w:sz w:val="32"/>
          <w:szCs w:val="32"/>
        </w:rPr>
      </w:pPr>
      <w:r>
        <w:rPr>
          <w:rFonts w:hint="eastAsia" w:ascii="楷体" w:hAnsi="楷体" w:eastAsia="楷体" w:cs="楷体"/>
          <w:i w:val="0"/>
          <w:caps w:val="0"/>
          <w:color w:val="424242"/>
          <w:spacing w:val="0"/>
          <w:sz w:val="32"/>
          <w:szCs w:val="32"/>
        </w:rPr>
        <w:t>粤卫疾控函〔2020〕27号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各地级以上市新冠肺炎防控指挥办，省新冠肺炎防控指挥办疫情防控组各成员单位：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firstLineChars="200"/>
        <w:jc w:val="lef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为切实做好我省公共交通工具及交通场所新冠肺炎防控工作，根据《广东省应对新冠肺炎疫情分区分级防控工作指引（试行第二版）》（粤防疫指办明电〔2020〕42号）要求，结合当前新冠肺炎疫情防控工作进展，我们组织编制了《广东省公共交通防控新冠肺炎疫情防控工作指引》，现印发给你们，请参照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附件：广东省公共交通新冠肺炎疫情防控工作指引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广东省新冠肺炎防控指挥办疫情防控组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2020年2月25日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left"/>
        <w:textAlignment w:val="auto"/>
        <w:rPr>
          <w:rFonts w:hint="eastAsia" w:ascii="仿宋" w:hAnsi="仿宋" w:eastAsia="仿宋" w:cs="仿宋"/>
          <w:i w:val="0"/>
          <w:caps w:val="0"/>
          <w:color w:val="424242"/>
          <w:spacing w:val="0"/>
          <w:sz w:val="32"/>
          <w:szCs w:val="32"/>
        </w:rPr>
      </w:pPr>
    </w:p>
    <w:p>
      <w:pPr>
        <w:wordWrap/>
        <w:adjustRightInd/>
        <w:snapToGrid/>
        <w:spacing w:line="560" w:lineRule="exact"/>
        <w:textAlignment w:val="auto"/>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rPr>
        <w:br w:type="page"/>
      </w:r>
    </w:p>
    <w:p>
      <w:pPr>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jc w:val="center"/>
        <w:textAlignment w:val="auto"/>
        <w:outlineLvl w:val="9"/>
        <w:rPr>
          <w:rFonts w:hint="eastAsia" w:ascii="仿宋" w:hAnsi="仿宋" w:eastAsia="仿宋" w:cs="仿宋"/>
          <w:b w:val="0"/>
          <w:bCs/>
          <w:i w:val="0"/>
          <w:caps w:val="0"/>
          <w:color w:val="000000"/>
          <w:spacing w:val="0"/>
          <w:sz w:val="32"/>
          <w:szCs w:val="32"/>
        </w:rPr>
      </w:pPr>
      <w:r>
        <w:rPr>
          <w:rFonts w:hint="eastAsia" w:ascii="仿宋" w:hAnsi="仿宋" w:eastAsia="仿宋" w:cs="仿宋"/>
          <w:b w:val="0"/>
          <w:bCs/>
          <w:i w:val="0"/>
          <w:caps w:val="0"/>
          <w:color w:val="000000"/>
          <w:spacing w:val="0"/>
          <w:sz w:val="32"/>
          <w:szCs w:val="32"/>
        </w:rPr>
        <w:t>广东省公共交通新冠肺炎疫情防控工作指引</w:t>
      </w:r>
    </w:p>
    <w:p>
      <w:pPr>
        <w:wordWrap/>
        <w:adjustRightInd/>
        <w:snapToGrid/>
        <w:spacing w:line="560" w:lineRule="exact"/>
        <w:textAlignment w:val="auto"/>
        <w:outlineLvl w:val="9"/>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outlineLvl w:val="9"/>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一、适用范围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outlineLvl w:val="9"/>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本指引适用于公共交通工具或场所，包括飞机、火车、客运班车、旅游包车、公交车、出租车、网约车、地铁、轮船，及火车站、高铁站、地铁站、汽车客运站、飞机场和港口码头等。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二、总体要求和基本原则</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要处理好疫情防控和公共运输的关系，以科学、合理、适度、管用为原则，突出重点，分类施策。严格落实各项防控措施，做好复工前评估，统筹推进运输和防控任务，外防输入，内防扩散，做到早发现、早报告、早隔离、早治疗。防止疫情在公共交通工具或场所传播，保障广大人民群众身体健康和生命安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要按照《国务院应对新型冠状病毒感染肺炎疫情联防联控机制关于印发企事业单位复工复产疫情防控措施指南的通知》（国发明电〔2020〕4号）、《广东省应对新冠肺炎疫情分区分级防控工作指引（试行第二版）》（粤防疫指办明电〔2020〕42号），结合本地分级情况，组织落实复工复产相关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三、职责分工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各相关单位要落实疫情防控主体责任，属地交通、铁路、民航行政部门要落实监管责任，属地卫生健康部门负责提供防控技术指导。</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黑体" w:hAnsi="黑体" w:eastAsia="黑体" w:cs="黑体"/>
          <w:i w:val="0"/>
          <w:caps w:val="0"/>
          <w:color w:val="424242"/>
          <w:spacing w:val="0"/>
          <w:sz w:val="32"/>
          <w:szCs w:val="32"/>
        </w:rPr>
      </w:pPr>
      <w:r>
        <w:rPr>
          <w:rFonts w:hint="eastAsia" w:ascii="黑体" w:hAnsi="黑体" w:eastAsia="黑体" w:cs="黑体"/>
          <w:i w:val="0"/>
          <w:caps w:val="0"/>
          <w:color w:val="424242"/>
          <w:spacing w:val="0"/>
          <w:sz w:val="32"/>
          <w:szCs w:val="32"/>
        </w:rPr>
        <w:t>　　四、主要措施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（一）成立疫情防控工作组。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相关单位成立疫情防控工作领导小组，各单位法定代表人为疫情防控第一责任人，成立健康管理小组，并同时设立健康管理责任人，应主动对接属地卫生健康部门做好疫情防控工作，要组织制定防控工作方案并部署实施，制定突发公共卫生事件报告与处理工作预案，统一对外沟通口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（二）做好复工前准备。</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在复工前分批次开展全员知识培训，包含单位后勤工作人员（保洁、输送等人员），对不同岗位的培训要有针对性。同时做好复工前防控物资准备，包括防护、消毒等用品，对每个员工做到“八个一”：一个健康档案，一测体温，一戴口罩，一设观察室，一致电（发现发热者致电医疗机构），一开展爱国卫生运动，一次健康教育，一强化人文关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（三）提前摸底，关口前移。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1.劝导疫情高发地来粤人员暂缓返工，如不听从，抵粤后由单位在集中隔离场所或属地镇街、居委会安排的集中隔离场所集中隔离医学观察14天。出现发热等不适症状的送当地指定医院排查治疗。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2.加强对非疫情高发地来粤人员的管理，抵粤14天内除上下班外不得外出，不得组织参与聚餐、聚会。出现发热等不适症状的送当地指定的医院排查治疗。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3.对本省新冠肺炎患者、密切接触者、疫情高发地来粤人员，认可其出院证明、解除隔离通知书。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（四）加强员工健康管理。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单位设立健康管理员，做好员工健康信息登记和管理工作，负责收集单位员工每日健康状况。要设立可疑症状报告电话，员工出现发热、呼吸道症状时，要及时向本单位如实报告；一旦发现有发热、咳嗽等症状的员工，在做好个人防护的前提下，就近送发热门诊排查治疗；将异常情况及时向当地疾控部门报告并采取相应的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（五）强化乘客防控措施。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做好健康教育。充分利用多种手段，深入开展宣传教育，强调防护要点，如口罩使用、注意手卫生等，可参照《公共交通工具新型冠状病毒感染的肺炎预防控制指引》《城市运行地铁轨道交通新型冠状病毒感染的肺炎预防控制指引》《火车站、高铁站、地铁站、汽车客运站、飞机场和港口码头新型冠状病毒感染的肺炎预防控制指引》《公众通用新型冠状病毒感染的肺炎预防控制指引》执行（详见附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2.开展日常健康监测。在车辆、地铁、火车、轮船和飞机入口处使用体温探测仪对乘客检测体温。发现乘客未佩戴口罩，建议其佩戴口罩或改乘其他交通工具；发现发热乘客，建议其就医。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3.设立应急区域。建议在公共交通工具上设立应急区域，如飞机、火车、客车等后部三排座位，当出现疑似或确诊病例时，可在该区域进行暂时隔离。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4.加强安全管理。公共交通工具或场所内要控制人流量。提供餐饮服务的（含单位食堂）要根据疫情分区分级防控要求进行管理。所在县（市、区）为高风险地区的暂停堂食，采用打包送餐到人的办法；所在县（市、区）为中风险地区按照《广东省餐饮服务业新冠肺炎防控工作指引》开展堂食服务，分批就餐，控制同时就餐人数，就餐饭桌和座位增加距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5.加强环境卫生清洁消毒。应保持公共交通工具或场所的环境整洁卫生，并加强公共用具、门把手、卫生间、公用电梯（扶梯）等卫生消毒工作。应指派专人进行清洁消毒工作的检查，并做好清洁消毒工作记录和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6.加强通风换气。非空调公共交通等候室、购票厅等及公共交通工具的窗户应尽量打开，保持室（车）内良好的通风状态。密闭的空调等候室及公共交通工具可调节新风装置，加大新风量和换气量或开启换气扇以增加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7.管理维护重点设施设备。疫情期间要按照严格《新冠肺炎流行期间办公场所和公共场所空调通风系统运行管理指引》《新型冠状病毒肺炎疫情期间公共电梯（扶梯）清洁消毒工作指引》有关要求（详见附件），强化空调通风系统及电梯等重点设施设备管理维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（六）做好防控物资和人员应急运输优先保障。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各地交通运输主管部门要加强与卫生健康、工业和信息化等有关部门的对接，及时了解应急物资调拨、人员转运需要，做好应急运输优先通行保障。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w:t>
      </w:r>
      <w:r>
        <w:rPr>
          <w:rFonts w:hint="eastAsia" w:ascii="黑体" w:hAnsi="黑体" w:eastAsia="黑体" w:cs="黑体"/>
          <w:i w:val="0"/>
          <w:caps w:val="0"/>
          <w:color w:val="424242"/>
          <w:spacing w:val="0"/>
          <w:sz w:val="32"/>
          <w:szCs w:val="32"/>
        </w:rPr>
        <w:t>五、出现疫情后防控措施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如出现感染病例，应按照政府部门要求及时有效的开展相关防控措施。当地卫生健康部门要按照《广东省卫生健康委关于印发广东省新冠肺炎疫情防控应急预案（试行）的通知》（粤卫明电〔2020〕6号）《公共交通新冠肺炎疫情应急预案》做好疫情处置工作。对病例乘坐过的交通工具（该交通工具达到终点或中间停车点后）要暂停使用，先清洁再消毒。有关乘车场所由疫情防控专家评估后采取相应管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附件：</w:t>
      </w:r>
      <w:r>
        <w:rPr>
          <w:rFonts w:hint="eastAsia" w:ascii="仿宋" w:hAnsi="仿宋" w:eastAsia="仿宋" w:cs="仿宋"/>
          <w:i w:val="0"/>
          <w:caps w:val="0"/>
          <w:color w:val="000000"/>
          <w:spacing w:val="0"/>
          <w:sz w:val="32"/>
          <w:szCs w:val="32"/>
          <w:u w:val="none"/>
        </w:rPr>
        <w:fldChar w:fldCharType="begin"/>
      </w:r>
      <w:r>
        <w:rPr>
          <w:rFonts w:hint="eastAsia" w:ascii="仿宋" w:hAnsi="仿宋" w:eastAsia="仿宋" w:cs="仿宋"/>
          <w:i w:val="0"/>
          <w:caps w:val="0"/>
          <w:color w:val="000000"/>
          <w:spacing w:val="0"/>
          <w:sz w:val="32"/>
          <w:szCs w:val="32"/>
          <w:u w:val="none"/>
        </w:rPr>
        <w:instrText xml:space="preserve"> HYPERLINK "http://wsjkw.gd.gov.cn/attachment/0/387/387180/2909187.docx" \t "http://wsjkw.gd.gov.cn/gkmlpt/content/2/2909/_blank" </w:instrText>
      </w:r>
      <w:r>
        <w:rPr>
          <w:rFonts w:hint="eastAsia" w:ascii="仿宋" w:hAnsi="仿宋" w:eastAsia="仿宋" w:cs="仿宋"/>
          <w:i w:val="0"/>
          <w:caps w:val="0"/>
          <w:color w:val="000000"/>
          <w:spacing w:val="0"/>
          <w:sz w:val="32"/>
          <w:szCs w:val="32"/>
          <w:u w:val="none"/>
        </w:rPr>
        <w:fldChar w:fldCharType="separate"/>
      </w:r>
      <w:r>
        <w:rPr>
          <w:rStyle w:val="27"/>
          <w:rFonts w:hint="eastAsia" w:ascii="仿宋" w:hAnsi="仿宋" w:eastAsia="仿宋" w:cs="仿宋"/>
          <w:i w:val="0"/>
          <w:caps w:val="0"/>
          <w:color w:val="000000"/>
          <w:spacing w:val="0"/>
          <w:sz w:val="32"/>
          <w:szCs w:val="32"/>
          <w:u w:val="none"/>
        </w:rPr>
        <w:t>1.公共交通新冠肺炎疫情应急预案</w:t>
      </w:r>
      <w:r>
        <w:rPr>
          <w:rFonts w:hint="eastAsia" w:ascii="仿宋" w:hAnsi="仿宋" w:eastAsia="仿宋" w:cs="仿宋"/>
          <w:i w:val="0"/>
          <w:caps w:val="0"/>
          <w:color w:val="000000"/>
          <w:spacing w:val="0"/>
          <w:sz w:val="32"/>
          <w:szCs w:val="32"/>
          <w:u w:val="none"/>
        </w:rPr>
        <w:fldChar w:fldCharType="end"/>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2.公共交通工具新型冠状病毒感染的肺炎预防控制指引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3.城市运行地铁轨道交通新型冠状病毒感染的肺炎预防控制指引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4.火车站、高铁站、地铁站、汽车客运站、飞机场和港口码头新型冠状病毒感染的肺炎预防控制指引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5.新冠肺炎流行期间办公场所和公共场所空调通风系统运行管理指引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6.广东省餐饮服务业新冠肺炎防控工作指引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7.公众通用新型冠状病毒感染的肺炎预防控制指引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8.个人防护新型冠状病毒感染的肺炎预防控制指引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9.预防新型冠状病毒感染的肺炎口罩使用指引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10.公共交通工具消毒操作技术指南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　　11.居家和公共场所卫生间预防新型冠状病毒感染的肺炎疫情卫生清洁消毒指引（第一版）</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t>12.新型冠状病毒肺炎疫情期间公共电梯（扶梯）清洁消毒工作指引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 w:hAnsi="仿宋" w:eastAsia="仿宋" w:cs="仿宋"/>
          <w:i w:val="0"/>
          <w:caps w:val="0"/>
          <w:color w:val="424242"/>
          <w:spacing w:val="0"/>
          <w:sz w:val="32"/>
          <w:szCs w:val="32"/>
        </w:rPr>
      </w:pPr>
    </w:p>
    <w:p>
      <w:pPr>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br w:type="page"/>
      </w:r>
    </w:p>
    <w:p>
      <w:pPr>
        <w:widowControl w:val="0"/>
        <w:wordWrap/>
        <w:autoSpaceDE w:val="0"/>
        <w:adjustRightInd/>
        <w:snapToGrid/>
        <w:spacing w:before="0" w:beforeAutospacing="0" w:after="0" w:afterAutospacing="0" w:line="560" w:lineRule="exact"/>
        <w:ind w:right="0"/>
        <w:jc w:val="both"/>
        <w:outlineLvl w:val="9"/>
        <w:rPr>
          <w:rFonts w:hint="eastAsia" w:ascii="仿宋" w:hAnsi="仿宋" w:eastAsia="仿宋" w:cs="仿宋"/>
          <w:kern w:val="2"/>
          <w:sz w:val="32"/>
          <w:szCs w:val="32"/>
        </w:rPr>
      </w:pPr>
      <w:r>
        <w:rPr>
          <w:rFonts w:hint="eastAsia" w:ascii="仿宋" w:hAnsi="仿宋" w:eastAsia="仿宋" w:cs="仿宋"/>
          <w:b w:val="0"/>
          <w:kern w:val="0"/>
          <w:sz w:val="32"/>
          <w:szCs w:val="32"/>
          <w:lang w:val="en-US" w:eastAsia="zh-CN"/>
        </w:rPr>
        <w:t>附件1</w:t>
      </w:r>
    </w:p>
    <w:p>
      <w:pPr>
        <w:widowControl w:val="0"/>
        <w:wordWrap/>
        <w:autoSpaceDE w:val="0"/>
        <w:adjustRightInd/>
        <w:snapToGrid/>
        <w:spacing w:before="0" w:beforeAutospacing="0" w:after="0" w:afterAutospacing="0" w:line="560" w:lineRule="exact"/>
        <w:ind w:left="0" w:leftChars="0" w:right="0" w:firstLine="640" w:firstLineChars="200"/>
        <w:jc w:val="both"/>
        <w:outlineLvl w:val="9"/>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 xml:space="preserve"> </w:t>
      </w:r>
    </w:p>
    <w:p>
      <w:pPr>
        <w:widowControl w:val="0"/>
        <w:wordWrap/>
        <w:autoSpaceDE w:val="0"/>
        <w:adjustRightInd/>
        <w:snapToGrid/>
        <w:spacing w:before="0" w:beforeAutospacing="0" w:after="0" w:afterAutospacing="0" w:line="560" w:lineRule="exact"/>
        <w:ind w:left="0" w:leftChars="0" w:right="0" w:firstLine="0" w:firstLineChars="0"/>
        <w:jc w:val="center"/>
        <w:outlineLvl w:val="9"/>
        <w:rPr>
          <w:rFonts w:hint="eastAsia" w:ascii="宋体" w:hAnsi="宋体" w:eastAsia="宋体" w:cs="宋体"/>
          <w:b w:val="0"/>
          <w:kern w:val="2"/>
          <w:sz w:val="44"/>
          <w:szCs w:val="44"/>
        </w:rPr>
      </w:pPr>
      <w:bookmarkStart w:id="991" w:name="_Toc21146"/>
      <w:r>
        <w:rPr>
          <w:rFonts w:hint="eastAsia" w:ascii="宋体" w:hAnsi="宋体" w:eastAsia="宋体" w:cs="宋体"/>
          <w:b w:val="0"/>
          <w:kern w:val="2"/>
          <w:sz w:val="44"/>
          <w:szCs w:val="44"/>
        </w:rPr>
        <w:t>公共交通新冠肺炎疫情应急预案</w:t>
      </w:r>
      <w:bookmarkEnd w:id="991"/>
    </w:p>
    <w:p>
      <w:pPr>
        <w:pStyle w:val="18"/>
        <w:widowControl w:val="0"/>
        <w:wordWrap/>
        <w:autoSpaceDE w:val="0"/>
        <w:adjustRightInd/>
        <w:snapToGrid/>
        <w:spacing w:before="0" w:beforeAutospacing="0" w:after="0" w:afterAutospacing="0" w:line="560" w:lineRule="exact"/>
        <w:ind w:left="0" w:leftChars="0" w:right="0" w:firstLine="643" w:firstLineChars="200"/>
        <w:jc w:val="center"/>
        <w:outlineLvl w:val="9"/>
        <w:rPr>
          <w:rFonts w:hint="eastAsia" w:ascii="仿宋" w:hAnsi="仿宋" w:eastAsia="仿宋" w:cs="仿宋"/>
          <w:b/>
          <w:kern w:val="2"/>
          <w:sz w:val="32"/>
          <w:szCs w:val="32"/>
        </w:rPr>
      </w:pPr>
      <w:r>
        <w:rPr>
          <w:rFonts w:hint="eastAsia" w:ascii="仿宋" w:hAnsi="仿宋" w:eastAsia="仿宋" w:cs="仿宋"/>
          <w:b/>
          <w:kern w:val="2"/>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outlineLvl w:val="9"/>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一、成立防控应急领导小组，建立保障机制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各有关单位成立主要负责人任领导小组组长的新冠肺炎疫情应急领导小组，下设医疗保障、安全后勤保障、消毒组等职能小组，并明确职责分工。</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kern w:val="0"/>
          <w:sz w:val="32"/>
          <w:szCs w:val="32"/>
        </w:rPr>
      </w:pPr>
      <w:r>
        <w:rPr>
          <w:rFonts w:hint="eastAsia" w:ascii="仿宋" w:hAnsi="仿宋" w:eastAsia="仿宋" w:cs="仿宋"/>
          <w:kern w:val="0"/>
          <w:sz w:val="32"/>
          <w:szCs w:val="32"/>
          <w:lang w:val="en-US" w:eastAsia="zh-CN"/>
        </w:rPr>
        <w:t>二、实施应急措施</w:t>
      </w:r>
      <w:r>
        <w:rPr>
          <w:rFonts w:hint="eastAsia" w:ascii="仿宋" w:hAnsi="仿宋" w:eastAsia="仿宋" w:cs="仿宋"/>
          <w:b/>
          <w:kern w:val="0"/>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如出现确诊病例、疑似病例和无症状感染者时，应启动本预案。</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val="0"/>
          <w:kern w:val="0"/>
          <w:sz w:val="32"/>
          <w:szCs w:val="32"/>
        </w:rPr>
      </w:pPr>
      <w:r>
        <w:rPr>
          <w:rFonts w:hint="eastAsia" w:ascii="仿宋" w:hAnsi="仿宋" w:eastAsia="仿宋" w:cs="仿宋"/>
          <w:b w:val="0"/>
          <w:kern w:val="0"/>
          <w:sz w:val="32"/>
          <w:szCs w:val="32"/>
          <w:lang w:val="en-US" w:eastAsia="zh-CN"/>
        </w:rPr>
        <w:t>（一）散发病例。</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1.发现可疑病例时，应立即引导病例到临时医学观察点或单独隔离观察间进行留观，联系乘车点所在社区（村居）的社区卫生服务中心（乡镇卫生院）等医疗机构初步排查后，送辖区定点医院诊治。</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配合疾控机构开展病例和密切接触者流行病学调查，对所有接触过病例或无症状感染者的人员进行调查。根据属地管理原则，按照最新版新冠肺炎防控方案或有关最新文件要求进行密切接触者集中隔离医学观察。隔离期间一旦出现发热、咳嗽等疑似新冠肺炎症状时要及时送定点医院排查、诊治。确诊后立即报告当地疾控机构。</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除密切接触者外，与病例曾接触过但不符合密切接触者判定原则的人员，判定为一般接触者。对一般接触者要做好登记，并进行健康风险告知，嘱其一旦出现发热、咳嗽等疑似新冠肺炎症状时要及时告知健康管理员，并主动告知近期活动史，做好体温检测，佩戴口罩。</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所有配合疾控机构开展流行病学调查的人员，应做好个人防护，佩戴医用外科口罩等。</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3.在疾控机构的指导下，按国家和省的消毒指引，做好病例所到过的候车间、购票厅、交通工具的清洁、随时消毒和终末消毒工作。</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做好其他区域的保洁和消毒防疫工作；加强人群聚集场所的通风换气和空调等公共设施及公共用具的消毒，每次公共交通工具从始发站出发前进行消毒，每日对候车间、购票厅等公共场所及垃圾桶/站进行消毒；各工作场所和餐饮区入口要配备含醇速干手消毒剂，厕所配备洗手液，指导和督促员工做好手卫生。</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4.按照卫生健康部门的建议，根据疫情防控需要，因地制宜采取病例乘坐公共交通工具暂停使用等措施，经过彻底消毒后可继续使用。</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5.做好安全后勤保障工作，确保应急工作顺利开展。保障需要应急处置的设施、设备和物资供应。做好餐饮、生活饮用水安全等生活保障。加强巡查管控，及时停止群体性聚集活动，及时处置安全突发事件。</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6.本单位医务人员要协助当地疾控机构开展流行病学调查、采样、密切接触者筛查等工作。继续做好职工的健康监测工作，配合卫生健康部门做好集中隔离医学观察人员的健康监测工作。每天保持与单位主要负责人、疾控机构进行信息沟通，及时上报最新情况。</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7.做好宣传和员工心理疏导工作。疫情期间要做好舆情监测、心理健康引导和健康教育等工作。通过各种渠道宣传新冠肺炎防控知识。根据确诊病例、疑似病例和密切接触人员等不同群体的实际情况，有针对性的开展心理支持和危机干预工作，稳定员工的情绪，避免过度恐慌。</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b w:val="0"/>
          <w:kern w:val="0"/>
          <w:sz w:val="32"/>
          <w:szCs w:val="32"/>
          <w:lang w:val="en-US" w:eastAsia="zh-CN"/>
        </w:rPr>
        <w:t>（二）1周内出现2例及以上聚集性病例。</w:t>
      </w:r>
      <w:r>
        <w:rPr>
          <w:rFonts w:hint="eastAsia" w:ascii="仿宋" w:hAnsi="仿宋" w:eastAsia="仿宋" w:cs="仿宋"/>
          <w:kern w:val="2"/>
          <w:sz w:val="32"/>
          <w:szCs w:val="32"/>
          <w:lang w:val="en-US" w:eastAsia="zh-CN"/>
        </w:rPr>
        <w:t>应立即报告当地疾控中心，按照政府部门要求及时有效的开展相关防控措施，做好疫情处置工作。对病例乘坐过的交通工具（该交通工具达到终点或中间停车点后）要暂停使用，进行终末消毒。有关乘车场所由疫情防控专家评估后采取相应管控措施。</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三、预案终止 </w:t>
      </w:r>
    </w:p>
    <w:p>
      <w:pPr>
        <w:widowControl w:val="0"/>
        <w:wordWrap/>
        <w:autoSpaceDE w:val="0"/>
        <w:adjustRightInd/>
        <w:snapToGrid/>
        <w:spacing w:before="0" w:beforeAutospacing="0" w:after="0" w:afterAutospacing="0" w:line="560" w:lineRule="exact"/>
        <w:ind w:left="0" w:leftChars="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当病例已得到隔离治疗，密切接触者观察14天期满，后续无新发病例，环境得到有效消毒，经卫生健康部门评估，可由各单位疫情防控应急领导小组决定终止响应。</w:t>
      </w:r>
    </w:p>
    <w:p>
      <w:pPr>
        <w:widowControl w:val="0"/>
        <w:wordWrap/>
        <w:autoSpaceDE w:val="0"/>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 </w:t>
      </w:r>
    </w:p>
    <w:p>
      <w:pPr>
        <w:widowControl w:val="0"/>
        <w:wordWrap/>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附图：公共交通新冠肺炎疫情应急响应流程图（略）</w:t>
      </w:r>
    </w:p>
    <w:p>
      <w:pPr>
        <w:widowControl w:val="0"/>
        <w:wordWrap/>
        <w:adjustRightInd/>
        <w:snapToGrid/>
        <w:spacing w:line="560" w:lineRule="exact"/>
        <w:ind w:right="0" w:firstLine="640" w:firstLineChars="200"/>
        <w:jc w:val="center"/>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r>
        <w:rPr>
          <w:rFonts w:hint="eastAsia" w:ascii="仿宋" w:hAnsi="仿宋" w:eastAsia="仿宋" w:cs="仿宋"/>
          <w:i w:val="0"/>
          <w:caps w:val="0"/>
          <w:color w:val="424242"/>
          <w:spacing w:val="0"/>
          <w:sz w:val="32"/>
          <w:szCs w:val="32"/>
          <w:lang w:val="en-US" w:eastAsia="zh-CN"/>
        </w:rPr>
        <w:t>附件2</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公共交通工具新型冠状病毒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一、预防控制措施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（一）非空调车的车窗应尽量打开，保持车内良好通风状态；密闭的空调车要开启换气扇及空调排风装置，以增加空气流通。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（二）保持车站、车厢内的卫生整洁，及时打扫卫生和清理垃圾。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（三）司机和乘务人员要戴一次性口罩（每4小时换一次），在上车入口提供一次性口罩。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（四）自觉有发热、咳嗽、乏力的人员建议不乘坐公共交通工具，普通乘客建议戴一次性口罩（每4小时换一次）。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（五）增加车站、车厢内清洁消毒频次，指派专人进行清洁消毒工作的督导检查，做好清洁消毒工作记录和标识。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六）司机等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（七）做好司乘人员工作与轮休安排，确保司乘人员得到足够休息。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（八）加强健康教育。设置新型冠状病毒感染的肺炎相关防控知识宣传栏。利用各种显示屏宣传新型冠状病毒和冬春季传染病防控。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二、日常清洁及预防性消毒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以清洁为主，预防性消毒为辅，应避免过度消毒，受到污染时随时进行清洁消毒。消毒方法如下：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（一）表面：可使用含氯消毒剂（有效氯浓度250 mg/L～500 mg/L）擦拭，作用30min，再用清水擦净。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（二）地面：可使用含氯消毒剂（有效氯浓度250 mg/L～500 mg/L）用拖布湿式拖拭，作用30min，再用清水洗净。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（一）有效氯浓度500 mg/L的含氯消毒剂配制方法：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1.84消毒液（有效氯含量5%）：按消毒液：水为1:100比例稀释；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2.消毒粉（有效氯含量12-13%，20克/包）：1包消毒粉加4.8升水；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3.含氯泡腾片（有效氯含量480mg/片-580mg/片）：1片溶于1升水。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（一）含氯消毒剂有皮肤黏膜刺激性，配置和使用时建议佩戴口罩和手套，儿童请勿触碰。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（二）乙醇消毒液使用应远离火源。</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eastAsia" w:ascii="仿宋" w:hAnsi="仿宋" w:eastAsia="仿宋" w:cs="仿宋"/>
          <w:i w:val="0"/>
          <w:caps w:val="0"/>
          <w:color w:val="424242"/>
          <w:spacing w:val="0"/>
          <w:sz w:val="32"/>
          <w:szCs w:val="32"/>
          <w:lang w:val="en-US" w:eastAsia="zh-CN"/>
        </w:rPr>
        <w:t>附件3</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城市运行地铁轨道交通新型冠状病毒感染的肺炎预防控制指引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b w:val="0"/>
          <w:bCs w:val="0"/>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Style w:val="23"/>
          <w:rFonts w:hint="eastAsia" w:ascii="仿宋" w:hAnsi="仿宋" w:eastAsia="仿宋" w:cs="仿宋"/>
          <w:b w:val="0"/>
          <w:bCs w:val="0"/>
          <w:i w:val="0"/>
          <w:caps w:val="0"/>
          <w:color w:val="282828"/>
          <w:spacing w:val="0"/>
          <w:sz w:val="32"/>
          <w:szCs w:val="32"/>
          <w:shd w:val="clear" w:color="0A0000" w:fill="FFFFFF"/>
        </w:rPr>
        <w:t>　　一、从业人员健康防护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对全线工作人员，包括司乘、车辆和站场设备、线路运行维保人员、安保人员以及车站内服务店档从业人员都纳入员工健康监护管理。设立专人负责管理，全员要求每天主动报告发热等健康情况、可疑接触暴露情况和诊疗情况。</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（二）进入站场车辆上岗前接受发热健康监测，若出现发热、乏力、干咳及胸闷等症状，不要带病上班，应戴上口罩到就近的正规医院发热门诊就诊。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（三）合理安排员工工时，实行轮休确保人员得到足够休息。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（四）对从业人员进行防病健康宣传教育，提高防病意识。重点了解正确疫情资讯和本地防控指引，提高警觉消除恐慌，注意个人卫生、家居和工作场所卫生，不前往人群密集、通风不良的公共场所。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（五）劝吁员工留在本地度假，不前往湖北等已公布出现疫情地区，动员员工劝告在疫情流行地区亲友当地疫情流行期间不要来广东探访聚会活动。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Style w:val="23"/>
          <w:rFonts w:hint="eastAsia" w:ascii="仿宋" w:hAnsi="仿宋" w:eastAsia="仿宋" w:cs="仿宋"/>
          <w:b w:val="0"/>
          <w:bCs w:val="0"/>
          <w:i w:val="0"/>
          <w:caps w:val="0"/>
          <w:color w:val="282828"/>
          <w:spacing w:val="0"/>
          <w:sz w:val="32"/>
          <w:szCs w:val="32"/>
          <w:shd w:val="clear" w:color="0A0000" w:fill="FFFFFF"/>
        </w:rPr>
        <w:t>　　二、对乘客采取适当预防控制措施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（一）对进入车站范围的开展体温监测。优先在与航空、城际列车、火车站、客运港口等换乘客运枢纽重点车站装置体温筛查设备，对入站场旅客和员工进行体温监测筛查，逐步推广在全线开展筛查。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工作人员在安检筛查、发现入站监测、站台或列车内等巡查发现发热乘客，立即指导该乘客正确佩戴医用外科口罩，然后引导其至相对独立区域询问旅客旅行和诊疗病史,一旦有14天内有湖北武汉等地的旅行或途经经历或乘客家庭内有一个或以上的肺炎病例，则立即拨打120通知相关医院派车接诊，由工作人员在该程序填写相关资料并指引乘客及时前往医疗机构进行诊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（三）宣传教育。利用地铁站广告牌、地铁电视等媒体应投放新型冠状病毒肺炎防控知识资讯，对乘客进行健康宣传教育。</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w:t>
      </w:r>
      <w:r>
        <w:rPr>
          <w:rStyle w:val="23"/>
          <w:rFonts w:hint="eastAsia" w:ascii="仿宋" w:hAnsi="仿宋" w:eastAsia="仿宋" w:cs="仿宋"/>
          <w:b w:val="0"/>
          <w:bCs w:val="0"/>
          <w:i w:val="0"/>
          <w:caps w:val="0"/>
          <w:color w:val="282828"/>
          <w:spacing w:val="0"/>
          <w:sz w:val="32"/>
          <w:szCs w:val="32"/>
          <w:shd w:val="clear" w:color="0A0000" w:fill="FFFFFF"/>
        </w:rPr>
        <w:t>　三、地铁站场、车辆、设施环境卫生与保洁消毒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加强地铁站场、列车及设施的环境卫生保洁消毒。重点针对车厢、候车厅月台、商业街铺、坐椅、售票厅、洗手间、自动扶梯扶手、电梯按钮、自助设施、垃圾桶等公共区域部位，加大每天巡查清扫消毒力度和频率，整治卫生死角，进行鼠害监测和灭鼠。及时清理垃圾，保持环境卫生清洁。洗手间要配备足够的洗手设备、洗手液，保证水龙头等供水设施正常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（二）定期开展空气和物体表面消毒。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以清洁为主，预防性消毒为辅，应避免过度消毒，受到污染时随时进行清洁消毒。消毒方法如下：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1.可用高效消毒剂和方法，包括含 0.5%过氧乙酸或 3%过氧化氢或500mg/L二氧化氯，按 20ml/m3的量进行空气喷雾消毒。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2.扶手、门把手、座椅等人体常接触的物体表面：可使用含氯消毒剂（有效氯浓度250 mg/L～500 mg/L）擦拭，作用30min，再用清水擦净。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3.地面：可使用含氯消毒剂（有效氯浓度250 mg/L～500 mg/L）用拖布湿式拖拭，作用30min，再用清水洗净。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w:t>
      </w:r>
      <w:r>
        <w:rPr>
          <w:rStyle w:val="23"/>
          <w:rFonts w:hint="eastAsia" w:ascii="仿宋" w:hAnsi="仿宋" w:eastAsia="仿宋" w:cs="仿宋"/>
          <w:b w:val="0"/>
          <w:bCs w:val="0"/>
          <w:i w:val="0"/>
          <w:caps w:val="0"/>
          <w:color w:val="282828"/>
          <w:spacing w:val="0"/>
          <w:sz w:val="32"/>
          <w:szCs w:val="32"/>
          <w:shd w:val="clear" w:color="0A0000" w:fill="FFFFFF"/>
        </w:rPr>
        <w:t>　四、加强地铁站场和列车、区间隧道的通风换气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（一）首选自然通风，确保排气扇运转正常，保持室内空气流通。无法采用自然通风的，必须采用机械通风。</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（二）机械通风（集中空调通风系统）。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1.加强集中空调通风系统的维护，确保所有通风设备保持正常运转，每周对运行的开放式冷却塔、过滤网、过滤器、净化器、风口、空气处 理机组、表冷器、加热（湿）器、冷凝水盘等设备和部件进行清洗、消毒或更换。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2.采用全新风运行方式，关闭回风管。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3.无法全新风运行的，应有空气净化消毒装置，特别是空调通风系统风机房、回风口可采用加装紫外线灯等消毒方式进行空气消毒，并保证有效运行。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4.每日各站点投入运营前和停止运营后 30～60 分钟，集中空调通风系统应保持运行。</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textAlignment w:val="auto"/>
        <w:rPr>
          <w:rFonts w:hint="eastAsia" w:ascii="仿宋" w:hAnsi="仿宋" w:eastAsia="仿宋" w:cs="仿宋"/>
          <w:b w:val="0"/>
          <w:bCs w:val="0"/>
          <w:i w:val="0"/>
          <w:caps w:val="0"/>
          <w:color w:val="282828"/>
          <w:spacing w:val="0"/>
          <w:sz w:val="32"/>
          <w:szCs w:val="32"/>
        </w:rPr>
      </w:pPr>
      <w:r>
        <w:rPr>
          <w:rFonts w:hint="eastAsia" w:ascii="仿宋" w:hAnsi="仿宋" w:eastAsia="仿宋" w:cs="仿宋"/>
          <w:b w:val="0"/>
          <w:bCs w:val="0"/>
          <w:i w:val="0"/>
          <w:caps w:val="0"/>
          <w:color w:val="282828"/>
          <w:spacing w:val="0"/>
          <w:sz w:val="32"/>
          <w:szCs w:val="32"/>
          <w:shd w:val="clear" w:color="090000" w:fill="FFFFFF"/>
        </w:rPr>
        <w:t>　　5.所有排风均需直接排到室外。</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widowControl w:val="0"/>
        <w:wordWrap/>
        <w:adjustRightInd/>
        <w:snapToGrid/>
        <w:spacing w:line="240" w:lineRule="auto"/>
        <w:textAlignment w:val="auto"/>
        <w:rPr>
          <w:rFonts w:hint="eastAsia" w:ascii="仿宋" w:hAnsi="仿宋" w:eastAsia="仿宋" w:cs="仿宋"/>
          <w:i w:val="0"/>
          <w:caps w:val="0"/>
          <w:color w:val="000000"/>
          <w:spacing w:val="0"/>
          <w:sz w:val="32"/>
          <w:szCs w:val="32"/>
          <w:lang w:val="en-US" w:eastAsia="zh-CN"/>
        </w:rPr>
      </w:pPr>
      <w:r>
        <w:rPr>
          <w:rFonts w:hint="eastAsia" w:ascii="仿宋" w:hAnsi="仿宋" w:eastAsia="仿宋" w:cs="仿宋"/>
          <w:i w:val="0"/>
          <w:caps w:val="0"/>
          <w:color w:val="000000"/>
          <w:spacing w:val="0"/>
          <w:sz w:val="32"/>
          <w:szCs w:val="32"/>
          <w:lang w:val="en-US" w:eastAsia="zh-CN"/>
        </w:rPr>
        <w:t>附件4</w:t>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i w:val="0"/>
          <w:caps w:val="0"/>
          <w:color w:val="000000"/>
          <w:spacing w:val="0"/>
          <w:sz w:val="44"/>
          <w:szCs w:val="44"/>
          <w:lang w:val="en-US" w:eastAsia="zh-CN"/>
        </w:rPr>
      </w:pPr>
      <w:r>
        <w:rPr>
          <w:rFonts w:hint="eastAsia" w:ascii="宋体" w:hAnsi="宋体" w:eastAsia="宋体" w:cs="宋体"/>
          <w:i w:val="0"/>
          <w:caps w:val="0"/>
          <w:color w:val="000000"/>
          <w:spacing w:val="0"/>
          <w:sz w:val="44"/>
          <w:szCs w:val="44"/>
          <w:lang w:val="en-US" w:eastAsia="zh-CN"/>
        </w:rPr>
        <w:t>火车站、高铁站、地铁站、汽车客运站、飞机场和港口码头新型冠状病毒感染的肺炎预防控制指引</w:t>
      </w:r>
    </w:p>
    <w:p>
      <w:pPr>
        <w:widowControl w:val="0"/>
        <w:wordWrap/>
        <w:adjustRightInd/>
        <w:snapToGrid/>
        <w:spacing w:line="560" w:lineRule="exact"/>
        <w:textAlignment w:val="auto"/>
        <w:rPr>
          <w:rFonts w:hint="eastAsia" w:ascii="仿宋" w:hAnsi="仿宋" w:eastAsia="仿宋" w:cs="仿宋"/>
          <w:b w:val="0"/>
          <w:bCs w:val="0"/>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Fonts w:hint="eastAsia" w:ascii="仿宋" w:hAnsi="仿宋" w:eastAsia="仿宋" w:cs="仿宋"/>
          <w:b w:val="0"/>
          <w:bCs w:val="0"/>
          <w:i w:val="0"/>
          <w:caps w:val="0"/>
          <w:color w:val="424242"/>
          <w:spacing w:val="0"/>
          <w:sz w:val="32"/>
          <w:szCs w:val="32"/>
          <w:shd w:val="clear" w:color="090000" w:fill="FFFFFF"/>
          <w:lang w:val="en-US" w:eastAsia="zh-CN"/>
        </w:rPr>
        <w:t xml:space="preserve">  </w:t>
      </w:r>
      <w:r>
        <w:rPr>
          <w:rFonts w:hint="eastAsia" w:ascii="仿宋" w:hAnsi="仿宋" w:eastAsia="仿宋" w:cs="仿宋"/>
          <w:b w:val="0"/>
          <w:bCs w:val="0"/>
          <w:i w:val="0"/>
          <w:caps w:val="0"/>
          <w:color w:val="424242"/>
          <w:spacing w:val="0"/>
          <w:sz w:val="32"/>
          <w:szCs w:val="32"/>
          <w:shd w:val="clear" w:color="090000" w:fill="FFFFFF"/>
        </w:rPr>
        <w:t>为做好新型冠状病毒感染的肺炎疫情防控工作，最大程度减少新型冠状病毒对公众健康造成的危害，防止疫情通过火车站（含高铁站）、地铁站、汽车客运站、飞机场和港口码头“三站一场一港口”）传播，保障广大人民群众身体健康和生命安全，维护正常的运输生产秩序，特制订本消毒指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一、通风换气，保持空气流通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非空调公共交通等候室、购票厅等及公共交通工具的窗户应尽量打开，保持室（车）内良好的通风状态。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密闭的空调等候室及公共交通工具可调节新风装置，加大新风量和换气量或开启换气扇以增加空气流通。对初效滤网应每周清洁消毒一次，可浸泡于有效氯含量为250mg/L～500mg/L的消毒液中30min后，用清水冲净晾干后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二、清理清洁，保持卫生整洁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公共交通等候室、购票厅等公共交通服务场所及公共交通工具车厢内应保持卫生整洁，及时打扫卫生和清理垃圾。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三、加强设施设备配置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（一）在入口处使用快速红外体温探测仪对进入人员检测体温。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（二）进出口处和洗手间要配备足够的洗手液，洗手间保证水龙头等供水设施正常工作。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（三）在门口提供一次性口罩，供进入人员使用。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四、加强宣传教育</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设置新型冠状病毒感染的肺炎相关防控知识宣传栏。利用各种显示屏宣传新型冠状病毒和冬春季传染病防控。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五、公共场所工作人员要实行健康监测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建立工作人员体温监测登记本，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六、规范作业，重点部位擦拭消毒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对等候室和公共交通工具的高频接触部位，例如门把手、座椅扶手、电梯开关、电梯扶手、方向盘、地铁车厢内扶杆、掉环拉手等重点部位，应严格按以下消毒作业方法进行消毒。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七、增加频次，专人督导检查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新型冠状病毒感染的肺炎疫情时期需增加等候室、临时隔离室和车厢内清洁消毒频次（至少每天一次），指派专人进行清洁消毒工作的检查，并做好清洁消毒工作记录和标识。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w:t>
      </w:r>
      <w:r>
        <w:rPr>
          <w:rStyle w:val="23"/>
          <w:rFonts w:hint="eastAsia" w:ascii="仿宋" w:hAnsi="仿宋" w:eastAsia="仿宋" w:cs="仿宋"/>
          <w:b w:val="0"/>
          <w:bCs w:val="0"/>
          <w:i w:val="0"/>
          <w:caps w:val="0"/>
          <w:color w:val="424242"/>
          <w:spacing w:val="0"/>
          <w:sz w:val="32"/>
          <w:szCs w:val="32"/>
          <w:shd w:val="clear" w:color="0A0000" w:fill="FFFFFF"/>
        </w:rPr>
        <w:t>　八、消毒作业方法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（一）日常消毒。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由保洁人员进行，使用含氯消毒剂（有效氯浓度500 mg/L）擦拭重点部位，每天1次。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（二）随时消毒。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公共交通工具在运营途中发现新型冠状病毒感染的肺炎疑似病例时，跟班工作人员在疾控部门指导下实施。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1.消毒人员应做好个人卫生防护，消毒完成后及时消毒双手。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2.根据疾控部门的指导确定消毒范围，对疑似病例的生活用品（包括餐具、洗漱用品、痰罐等）、排泄物、呕吐物（含口鼻分泌物、脓液、痂皮等）等，用应急呕吐包覆盖包裹，或用干毛巾覆盖后喷洒10000mg/L含氯消毒剂至湿润；对疑似病例座位及其前后三排座位用有效氯1000mg/L-2000mg/L含氯消毒剂进行喷雾处理或2-3遍的擦拭消毒。具体方法由疾控中心对相关人员进行培训。</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3.卫生间消毒：可使用含氯消毒剂（有效氯浓度2000mg/L）喷雾（洒）消毒。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4.填写并保存随时消毒处理记录（附表）。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（三）终末消毒。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b w:val="0"/>
          <w:bCs w:val="0"/>
          <w:i w:val="0"/>
          <w:caps w:val="0"/>
          <w:color w:val="424242"/>
          <w:spacing w:val="0"/>
          <w:sz w:val="32"/>
          <w:szCs w:val="32"/>
        </w:rPr>
      </w:pPr>
      <w:r>
        <w:rPr>
          <w:rFonts w:hint="eastAsia" w:ascii="仿宋" w:hAnsi="仿宋" w:eastAsia="仿宋" w:cs="仿宋"/>
          <w:b w:val="0"/>
          <w:bCs w:val="0"/>
          <w:i w:val="0"/>
          <w:caps w:val="0"/>
          <w:color w:val="424242"/>
          <w:spacing w:val="0"/>
          <w:sz w:val="32"/>
          <w:szCs w:val="32"/>
          <w:shd w:val="clear" w:color="090000" w:fill="FFFFFF"/>
        </w:rPr>
        <w:t>　　该交通工具到达终点后，疾控部门按照《疫源地消毒总则》（GB 19193-2015）要求，在交通工具维护维修点或站台对病人曾就座的厢体实施终末消毒。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val="0"/>
          <w:i w:val="0"/>
          <w:caps w:val="0"/>
          <w:color w:val="424242"/>
          <w:spacing w:val="0"/>
          <w:sz w:val="32"/>
          <w:szCs w:val="32"/>
          <w:lang w:eastAsia="zh-CN"/>
        </w:rPr>
      </w:pPr>
      <w:r>
        <w:rPr>
          <w:rFonts w:hint="eastAsia" w:ascii="仿宋" w:hAnsi="仿宋" w:eastAsia="仿宋" w:cs="仿宋"/>
          <w:b w:val="0"/>
          <w:bCs w:val="0"/>
          <w:i w:val="0"/>
          <w:caps w:val="0"/>
          <w:color w:val="424242"/>
          <w:spacing w:val="0"/>
          <w:sz w:val="32"/>
          <w:szCs w:val="32"/>
          <w:shd w:val="clear" w:color="090000" w:fill="FFFFFF"/>
        </w:rPr>
        <w:t>　　附表：《随时（应急）消毒工作记录》</w:t>
      </w:r>
      <w:r>
        <w:rPr>
          <w:rFonts w:hint="eastAsia" w:ascii="仿宋" w:hAnsi="仿宋" w:eastAsia="仿宋" w:cs="仿宋"/>
          <w:b w:val="0"/>
          <w:bCs w:val="0"/>
          <w:i w:val="0"/>
          <w:caps w:val="0"/>
          <w:color w:val="424242"/>
          <w:spacing w:val="0"/>
          <w:sz w:val="32"/>
          <w:szCs w:val="32"/>
          <w:shd w:val="clear" w:color="090000" w:fill="FFFFFF"/>
          <w:lang w:eastAsia="zh-CN"/>
        </w:rPr>
        <w:t>（</w:t>
      </w:r>
      <w:r>
        <w:rPr>
          <w:rFonts w:hint="eastAsia" w:ascii="仿宋" w:hAnsi="仿宋" w:eastAsia="仿宋" w:cs="仿宋"/>
          <w:b w:val="0"/>
          <w:bCs w:val="0"/>
          <w:i w:val="0"/>
          <w:caps w:val="0"/>
          <w:color w:val="424242"/>
          <w:spacing w:val="0"/>
          <w:sz w:val="32"/>
          <w:szCs w:val="32"/>
          <w:shd w:val="clear" w:color="090000" w:fill="FFFFFF"/>
          <w:lang w:val="en-US" w:eastAsia="zh-CN"/>
        </w:rPr>
        <w:t>略</w:t>
      </w:r>
      <w:r>
        <w:rPr>
          <w:rFonts w:hint="eastAsia" w:ascii="仿宋" w:hAnsi="仿宋" w:eastAsia="仿宋" w:cs="仿宋"/>
          <w:b w:val="0"/>
          <w:bCs w:val="0"/>
          <w:i w:val="0"/>
          <w:caps w:val="0"/>
          <w:color w:val="424242"/>
          <w:spacing w:val="0"/>
          <w:sz w:val="32"/>
          <w:szCs w:val="32"/>
          <w:shd w:val="clear" w:color="090000" w:fill="FFFFFF"/>
          <w:lang w:eastAsia="zh-CN"/>
        </w:rPr>
        <w:t>）</w:t>
      </w:r>
    </w:p>
    <w:p>
      <w:pPr>
        <w:rPr>
          <w:rFonts w:hint="default" w:ascii="仿宋" w:hAnsi="仿宋" w:eastAsia="仿宋" w:cs="仿宋"/>
          <w:i w:val="0"/>
          <w:caps w:val="0"/>
          <w:color w:val="000000"/>
          <w:spacing w:val="0"/>
          <w:sz w:val="32"/>
          <w:szCs w:val="32"/>
          <w:lang w:val="en-US" w:eastAsia="zh-CN"/>
        </w:rPr>
      </w:pPr>
      <w:r>
        <w:rPr>
          <w:rFonts w:hint="default" w:ascii="仿宋" w:hAnsi="仿宋" w:eastAsia="仿宋" w:cs="仿宋"/>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r>
        <w:rPr>
          <w:rFonts w:hint="eastAsia" w:ascii="仿宋" w:hAnsi="仿宋" w:eastAsia="仿宋" w:cs="仿宋"/>
          <w:i w:val="0"/>
          <w:caps w:val="0"/>
          <w:color w:val="000000"/>
          <w:spacing w:val="0"/>
          <w:sz w:val="32"/>
          <w:szCs w:val="32"/>
          <w:lang w:val="en-US" w:eastAsia="zh-CN"/>
        </w:rPr>
        <w:t>附件5</w:t>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i w:val="0"/>
          <w:caps w:val="0"/>
          <w:color w:val="000000"/>
          <w:spacing w:val="0"/>
          <w:sz w:val="44"/>
          <w:szCs w:val="44"/>
          <w:lang w:val="en-US" w:eastAsia="zh-CN"/>
        </w:rPr>
      </w:pPr>
      <w:r>
        <w:rPr>
          <w:rFonts w:hint="eastAsia" w:ascii="宋体" w:hAnsi="宋体" w:eastAsia="宋体" w:cs="宋体"/>
          <w:i w:val="0"/>
          <w:caps w:val="0"/>
          <w:color w:val="000000"/>
          <w:spacing w:val="0"/>
          <w:sz w:val="44"/>
          <w:szCs w:val="44"/>
          <w:lang w:val="en-US" w:eastAsia="zh-CN"/>
        </w:rPr>
        <w:t>新冠肺炎流行期间办公场所和公共场所</w:t>
      </w:r>
    </w:p>
    <w:p>
      <w:pPr>
        <w:widowControl w:val="0"/>
        <w:wordWrap/>
        <w:adjustRightInd/>
        <w:snapToGrid/>
        <w:spacing w:line="560" w:lineRule="exact"/>
        <w:jc w:val="center"/>
        <w:textAlignment w:val="auto"/>
        <w:rPr>
          <w:rFonts w:hint="eastAsia" w:ascii="宋体" w:hAnsi="宋体" w:eastAsia="宋体" w:cs="宋体"/>
          <w:i w:val="0"/>
          <w:caps w:val="0"/>
          <w:color w:val="000000"/>
          <w:spacing w:val="0"/>
          <w:sz w:val="44"/>
          <w:szCs w:val="44"/>
          <w:lang w:val="en-US" w:eastAsia="zh-CN"/>
        </w:rPr>
      </w:pPr>
      <w:r>
        <w:rPr>
          <w:rFonts w:hint="eastAsia" w:ascii="宋体" w:hAnsi="宋体" w:eastAsia="宋体" w:cs="宋体"/>
          <w:i w:val="0"/>
          <w:caps w:val="0"/>
          <w:color w:val="000000"/>
          <w:spacing w:val="0"/>
          <w:sz w:val="44"/>
          <w:szCs w:val="44"/>
          <w:lang w:val="en-US" w:eastAsia="zh-CN"/>
        </w:rPr>
        <w:t>空调通风系统运行管理指引</w:t>
      </w:r>
    </w:p>
    <w:p>
      <w:pPr>
        <w:widowControl w:val="0"/>
        <w:wordWrap/>
        <w:adjustRightInd/>
        <w:snapToGrid/>
        <w:spacing w:line="560" w:lineRule="exact"/>
        <w:textAlignment w:val="auto"/>
        <w:rPr>
          <w:rFonts w:hint="eastAsia" w:ascii="仿宋" w:hAnsi="仿宋" w:eastAsia="仿宋" w:cs="仿宋"/>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一、适用范围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为保证新冠肺炎流行期间，办公场所和公共场所空调通风系统的安全合理使用，防止因空调通风系统开启而导致新冠肺炎疫情的传播和蔓延，最大限度地保护使用者，特制定本指引。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本指引适用于采用全空气空调系统、风机盘管加新风系统或无新风的风机盘管系统的办公场所和公共场所。本指引规定的办公场所是指根据人民社会活动的需要，由人工建造的具有服务功能和一定维护结构的建筑设施，公共场所是指《公共场所卫生管理条例》规定的7大类28种场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二、使用原则</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（一）情况许可应优先打开窗户采用自然通风。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（二）需要继续使用集中空调通风系统必须满足运行和管理要求，并应定时对集中空调通风系统进行检查、换气、清洗和消毒。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三、运行要求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（一）当空调通风系统为全空气系统时，应当关闭回风阀，采用全新风方式运行。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（二）当空调通风系统为风机盘管加新风系统时，应当满足下列条件：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1.应当确保新风直接取自室外，禁止从机房、楼道和天棚吊顶内取风；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2.保证排风系统正常运行；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3.对于大进深房间，应当采取措施保证内部区域的通风换气；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4.各房间加强通风；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5.新风系统宜全天运行。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（三）当空调通风系统为无新风的风机盘管系统（类似于家庭分体式空调）时，应当开门或开窗，加强空气流通。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sz w:val="32"/>
          <w:szCs w:val="32"/>
        </w:rPr>
        <w:t>　　四、管理要求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（一）新风采气口及其周围环境必须清洁，确保新风不被污染。</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二）对于人员流动较大的商场、写字楼等场所，不论空调系统使用运行与否，均应当保证室内全面通风换气；并且，每天下班后，新风与排风系统应当继续运行1小时，进行全面通风换气，以保证室内空气清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（三）人员密集的场所应当通过开门或开窗的方式增加通风量。同时工作人员应当佩戴口罩、勤洗手，做好个人防护和个人健康监测。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（四）建议关闭空调通风系统的加湿功能。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（五）加强对风机盘管的凝结水盘、冷却水的清洁消毒。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（六）下水管道、空气处理装置水封、卫生间地漏以及空调机组凝结水排水管等的U型管应当定时检查，缺水时及时补水，避免不同楼层间空气掺混。</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（七）当场所出现下列情况时应当停止使用空调通风系统：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1.发现新冠肺炎疑似病例、确诊病例；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2.集中空调通风系统的类型、供风范围等情况不清楚。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（八）空调通风系统的清洗消毒应当符合下列要求：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1.当发现疑似病例、确诊病例时，在疾病预防控制中心的指导下，对空调通风系统进行消毒和清洗处理，经卫生学评价合格后方可重新启用。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2.在疫情流行期间，应每周对运行的集中空调通风系统的过滤器、风口、空气处理机组、表冷器、加热（湿）器、冷凝水盘等设备或部件进行清洗、消毒或更换。</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3.空调通风系统的常规清洗消毒应当符合《公共场所集中空调通风系统清洗消毒规范》（WS/T 396-2012）的要求。可使用250mg/L～500mg/L含氯（溴）或二氧化氯消毒液，进行喷洒、浸泡或擦拭，作用10min～30min。对需要消毒的金属部件建议优先选择季铵盐类消毒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sz w:val="32"/>
          <w:szCs w:val="32"/>
        </w:rPr>
        <w:t>　　4.已装有空气净化消毒装置（去除颗粒物、气态污染物和微生物）的集中空调通风系统，运行中应严格遵循产品使用说明操作，保障运行效果符合国家卫生标准要求。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b w:val="0"/>
          <w:bCs/>
          <w:sz w:val="32"/>
          <w:szCs w:val="32"/>
        </w:rPr>
      </w:pP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附件6</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广东省餐饮服务业新冠肺炎防控工作指引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一、总则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（一）本指引是在新冠肺炎疫情期间，用于指导餐饮经营单位在疫情期间逐步恢复堂食服务，加强人员管理、经营管理等各项防控措施，保障餐饮服务业复工复产员工安全及公众用餐安全。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（二）本指引适用于提供堂食服务的餐饮经营单位。</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（三）本指引由省疫情防控指挥部办公室疫情防控组发布。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二、制定依据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广东省新型冠状病毒肺炎疫情防控指挥部办公室关于印发广东省应对新型冠状病毒肺炎疫情分区分级防控工作指引（试行）的通知》（粤防疫指办明电〔2020〕33号）《餐饮服务业新型冠状病毒感染的肺炎预防控制指引》《食品经营许可管理办法》《餐饮服务食品安全操作规范》。</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三、基本要求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严格遵循《广东省新型冠状病毒肺炎疫情防控指挥部办公室关于印发广东省应对新型冠状病毒肺炎疫情分区分级防控工作指引（试行）的通知》（粤防疫指办明电〔2020〕33号）关于分区分级防控工作要求，对于分级为Ⅲ级防控区的县（市、区），餐饮经营单位限制堂食服务，对于分级为Ⅳ级防控区的县（市、区），餐饮经营单位可以开放堂食服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（二）餐饮企业需具有合法经营资格。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（三）餐饮企业需落实疫情防控主体责任，要成立疫情防控工作小组，有专门机构和人员负责制定疫情防控期间企业经营防护方案和实际执行措施，并做好信息采集工作。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（四）餐饮企业需具有防护物资储备能力，在开工和复工前，需要准备充足的防护物资（至少储备普通级别防护口罩、医用酒精/消毒水、体温计等），保障工作人员日常工作防护需求。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（五）停业后首次恢复堂食的餐饮单位需全面对营业场所、设备设施、餐用具等进行一次彻底的清洗消毒。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四、从业人员管理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严格按照《机关、企业及工厂节后复工防控新型冠状病毒肺炎工作指引》（粤卫疾控函〔2020〕14号），《餐饮服务食品安全操作规范》要求以及国家卫生健康委员会《新型冠状病毒感染的肺炎防控方案》《新型冠状病毒感染的肺炎公众防护指南》等防控要求，建立健全防控制度，压实防控责任，严格管理从业人员，杜绝从业人员带病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各餐饮经营单位对员工的健康管理负主体责任，员工要如实告知旅居史。餐饮经营单位要设立健康管理员，负责收集单位员工健康状况，按要求向有关部门报告员工健康状况。主动配合相关部门做好返粤员工健康信息登记和管理工作，对疫情高发地来粤工作人员必须进行14天隔离观察后才能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（三）每日对从业人员进行晨检和体温监测，体温超过37.3℃或出现有发热、乏力、干咳及胸闷等症状的员工不得上岗。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强化企业内部员工卫生防疫知识宣传教育，提高工作人员的自我卫生管理能力。要配备完好的洗手设施及快速手消毒剂、皂液等卫生用品，从业人员制备餐食前、加工生食或熟食之后、餐前便后、接触垃圾后，要用流动水和皂液采用六步洗手法洗手，手部揉搓时间不少于15秒。从业人员应配戴口罩上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（五）若单位出现新冠肺炎疑似或确诊病例，应配合疾控机构做好密切接触者的追踪与管理，并做好终末消毒。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五、用餐人员管理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用餐人员进入餐饮经营单位前必须测量体温，体温超过37.3℃或出现有发热、干咳、打喷嚏等症状的，一律不允许进入餐饮场所，一旦发现应立即登记造册并及时向当地社区卫生中心报告，并提醒其及时就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（二）在疫情防控解除前，餐饮服务企业禁止接待大规模聚餐活动，应通过采取减少桌椅摆放、隔桌安排就餐，快餐店一人一桌用餐等措施，以加大就餐者之间的距离。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（三）有条件的餐饮经营单位要制定用餐人员可追溯制度，每桌登记至少一名就餐客人的姓名和联系方式。</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六、场所清洁消毒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（一）食品加工制作要符合《餐饮服务食品安全操作规范》，确保餐具严格清洗消毒后使用，餐具的清洗消毒参照《推荐的餐具清洗消毒方法》。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（二）每天对就餐场地、保洁设施、人员通道、电梯间等场所设施进行消毒保洁。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加强餐厅内部洗手间消毒工作，日常运营期间每2小时要对洗手间内所有便器洁具、各类扶手和把手、触摸式冲水按钮、洗手台和水龙头等重点部位进行消毒一次，做好相关消毒记录并每日公示消毒情况。洗手间内要备齐洗手液、手纸等便民服务用品，要确保洗手设备正常运行，同时保持良好通风，必要时可加装排气设备，强制排气。</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（四）保持食品加工场所和就餐场所的空气流通，定期对空气过滤装置进行清洁消毒。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七、原材料采购验收、加工管理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（一）坚决禁止购买、屠宰、储存、加工、烹饪野生动物等违法行为。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（二）不得采购、饲养和现场宰杀活禽畜动物。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（三）对每天送货原材料做好索证索票工作，提倡无接触收货。</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八、设备管理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（一）空调管理。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餐饮企业要严格按照《新冠肺炎流行期间办公场所和公共场所集中空调系统管理指引》要求，进行有关空调通风系统日常运营管理，要制定疫情期间通风系统和空调的检查、清洁、测试和维护计划，要根据空调使用要求和疫情应对，增加过滤器的清洁消毒和更换频次。同时尽量保持室内通风，定期开门、开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（二）电梯管理。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1.电梯在保证安全运行的同时，应增加消毒的频次。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2.应在电梯间张贴提示语，提醒在电梯间戴口罩并避免交谈。</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3.经营单位酌情限制乘坐电梯的人数，减少接触传染。</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（三）冷冻冷藏和保鲜设备管理。 </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1.对冷冻冷藏和保鲜设备进行全面维护保养和全面的清洁卫生。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2.食品原材料坚持覆盖保鲜膜或加盖再进行储存，防止交叉污染。</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九、供餐服务要求</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（一）具有安全合规的食品加工场所，定时对食品加工场所进行卫生清理，并保证避免消毒液、酒精等直接接触餐具、食材和菜品。</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（二）食品加工制作要符合《餐饮服务食品安全操作规范》规定。</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（三）在用餐场所的显示屏显示或明显位置张贴公告和疫情防控知识海报，告知进店顾客需配合和注意的有关事项，如张贴禁止接待大规模聚餐活动的指示牌等。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（四）每桌客人就餐完毕离开后需对桌椅进行清洗消毒。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（五）给予每桌客人提供双筷位勺或公筷公勺餐具，防止交叉污染。</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240" w:lineRule="auto"/>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附件7</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公众通用新型冠状病毒感染的肺炎</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预防控制指引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新型冠状病毒感染的肺炎是一种新发疾病，根据目前对该疾病的认识制定本指引，使用与疾病流行期间公众个人预防控制指导。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一、尽量减少外出活动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（一）避免区疾病正在流行的地区。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（二）建议春节期间减少走亲访友和聚餐，尽量再家休息。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（三）减少到人员密集的公共场所活动，尤其是空气流动性差的地方，尤其是空气流动性差的地方，例如公共浴池、温泉、影院、网吧、KTV、商场、车站、机场、码头、展览馆等。</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二、个人防护和手卫生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（一）外出佩戴口罩。外出前往公共场所、就医和乘坐公共交通工具时，佩戴医用外科口罩或N95口罩。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随时保持手卫生。减少接触公共场所的公共物品和部位；从公共场所返回、咳嗽手捂之后、饭前便后，用洗手液或香皂流水洗手，或者使用含酒精成分的免洗洗手液；不确定手是否清洁时，避免用手接触口鼻眼；打喷嚏或咳嗽时，用手肘衣服遮住口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三、健康监测与就医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（一）主动做好个人与家庭成员的健康监测，自觉发热时要主动测量体温。家中有小孩的，要早晚摸小孩的额头，如有发热要为其测量体温。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若出现可疑症状，应主动戴上口罩及时就近就医。若出现新型冠状病毒感染可疑症状（包括发热、咳嗽、咽痛、胸闷、呼吸困难、轻度纳差、乏力、精神稍差、恶心呕吐、腹泻、头痛、心慌、结膜炎、轻度四肢或腰背部肌肉酸痛等），应根据病情，及时到医疗机构就诊。并尽量避免乘坐地铁、公共汽车等交通工具，避免前往人群密集的场所。就诊时应主动告诉医生自己的相关疾病流行地区的旅行居住史，以及发病后接触过什么人，配合医生开展相关调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四、保持良好卫生和健康习惯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（一）居室勤开窗，经常通风。</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（二）家庭成员不共用毛巾，保持家居、餐具清洁，勤晒衣被。</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（三）不随地吐痰，口鼻分泌物用纸巾包好，弃置于有盖垃圾箱内。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（四）注意营养，适度运动。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（五）不要接触、购买和食用野生动物（即野味）；尽量避免前往售卖活体动物（禽类、海产品、野生动物等）的市场。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（六）家庭备置体温计、医用外科口罩或N95口罩、家用消毒用品等物资。</w:t>
      </w:r>
    </w:p>
    <w:p>
      <w:pPr>
        <w:rPr>
          <w:rFonts w:hint="default" w:ascii="仿宋" w:hAnsi="仿宋" w:eastAsia="仿宋" w:cs="仿宋"/>
          <w:b w:val="0"/>
          <w:bCs/>
          <w:i w:val="0"/>
          <w:caps w:val="0"/>
          <w:color w:val="000000"/>
          <w:spacing w:val="0"/>
          <w:sz w:val="32"/>
          <w:szCs w:val="32"/>
          <w:lang w:val="en-US" w:eastAsia="zh-CN"/>
        </w:rPr>
      </w:pPr>
      <w:r>
        <w:rPr>
          <w:rFonts w:hint="default"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附件8</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个人防护新型冠状病毒感染的肺炎</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预防控制指引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一、做好手卫生</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（一）正确洗手是预防呼吸道感染的最有效措施之一。推荐使用肥皂或洗手液并用流动水洗手，用一次性纸巾或干净毛巾擦手。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勤洗手。在咳嗽或打喷嚏后、在制备食品之前、期间和之后、吃饭前、上厕所后、手脏时、在接触他人后、接触过动物之后、外出回来后等时候，注意做好手卫生。双手接触呼吸道分泌物后（如打喷嚏后）应立即洗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（三）保持良好的呼吸道卫生习惯。咳嗽或打喷嚏时，用纸巾、毛巾等遮住口鼻，咳嗽或打喷嚏后洗手，避免用手触摸眼睛、鼻或口。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（四）掌握六步洗手法：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第一步，双手手心相互搓洗（双手合十搓五下）。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第二步，双手交叉搓洗手指缝（手心对手背，双手交叉相叠，左右手交换各搓洗五下）。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第三步，手心对手心搓洗手指缝（手心相对十指交错，搓洗五下）。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第四步，指尖搓洗手心，左右手相同（指尖放于手心相互搓洗搓五下）。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第五步：一只手握住另一只手的拇指搓洗，左右手相同搓五下。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第六步：弯曲手指使关节在另一手掌心旋转揉搓，交换进行各搓五下。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（五）旅途在外没有清水，不方便洗手时，可以使用含酒精的免洗洗手液清洁双手。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二、正确佩戴口罩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（一）选择一次性医用口罩或N95医用防护口罩，连续佩戴4小时更换，污染或潮湿后立即更换；</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（二）医用口罩的使用方法：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1.口罩颜色深的是正面，正面应该朝外，而且医用口罩上还有鼻夹金属条。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2.正对脸部的应该是医用口罩的反面，也就是颜色比较浅的一面，除此之外，要注意带有金属条的部分应该在口罩的上方，不要戴反了。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3.分清楚口罩的正面、反面、上端、下端后，先将手洗干净，确定口罩是否正确之后，将两端的绳子挂在耳朵上。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4.将口罩佩戴完毕后，需要用双手压紧鼻梁两侧的金属条，使口罩上端紧贴鼻梁，然后向下拉伸口罩，使口罩不留有褶皱，最好覆盖住鼻子和嘴巴。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孕妇佩戴防护口罩，应注意结合自身条件，选择舒适性比较好的产品；老年人及有心肺疾病慢性病患者佩戴后会造成不适感，甚至会加重原有病情，应寻求医生的专业指导；儿童处在生长发育阶段，其脸型小，选择儿童防护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三、加强废弃口罩处理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（一）设专桶收集废弃口罩。各街道、物管在各居民小区原有垃圾分类投放点以及机关企事业单位、公共场所和商圈等人员密集场所增设独立的专用垃圾收集容器。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加强投放监管和消毒。各街道、物管指导市民将废弃口罩投放到废弃口罩专用桶内，建议投放前使用医用酒精或含氯消毒水喷洒消毒，或单独用保鲜袋、塑料袋袋装密封后投放；对废弃口罩专用桶应使用含氯消毒剂进行喷洒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加强废弃口罩清运管理。各街道环卫人员、物管清洁人员将内衬的垃圾袋整体密封从废弃口罩专用桶中取出，密封打包放入其他垃圾桶中，并对垃圾桶内外及周边场地使用含氯消毒剂或酒精进行喷洒消毒后每天用水清洗一次；经消毒后密封打包的废弃口罩作为生活垃圾中的其他垃圾密闭运输至垃圾焚烧场焚烧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加强收集作业防护。落实好一线环卫工人、清洁工人健康防护工作。严格要求各环卫保洁单位、物管清洁公司加强对环卫工人的卫生防疫知识教育，为环卫工人、物管清洁工人配备医用口罩和手套等防护用具，并监督指导环卫工人、物管清洁工人务必佩戴口罩和手套作业。</w:t>
      </w:r>
    </w:p>
    <w:p>
      <w:pPr>
        <w:widowControl w:val="0"/>
        <w:wordWrap/>
        <w:adjustRightInd/>
        <w:snapToGrid/>
        <w:spacing w:line="240" w:lineRule="auto"/>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附件9</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预防新型冠状病毒感染的肺炎</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口罩使用指引</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口罩是预防呼吸道传染病的重要防线，可以降低新型冠状病毒感染风险。口罩不仅可以防止病人喷射飞沫，降低飞沫量和喷射速度，还可以阻挡含病毒的飞沫核，防止佩戴者吸入。根据目前对新型冠状病毒感染的肺炎的认识，就如何科学使用口罩制定本指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一、佩戴原则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基本原则是科学合理佩戴，规范使用，有效防护。具体如下：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（一）在非疫区空旷且通风场所不需要佩戴口罩，进入人员密集或密闭公共场所需要佩戴口罩。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（二）在疫情高发地区空旷且通风场所建议佩戴一次性使用医用口罩；进入人员密集或密闭公共场所佩戴医用外科口罩或颗粒物防护口罩。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（三）有疑似症状到医院就诊时，需佩戴不含呼气阀的颗粒物防护口罩或医用防护口罩。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（四）有呼吸道基础疾病患者需在医生指导下使用防护口罩。年龄极小的婴幼儿不能戴口罩，易引起窒息。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（五）棉纱口罩、海绵口罩和活性炭口罩对预防病毒感染无保护作用。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二、推荐的口罩类型及使用对象</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（一）一次性使用医用口罩：推荐公众在非人员密集的公共场所使用。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（二）医用外科口罩：防护效果优于一次性使用医用口罩，推荐疑似病例、公共交通司乘人员、出租车司机、环卫工人、公共场所服务人员等在岗期间佩戴。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KN95/N95及以上颗粒物防护口罩：防护效果优于医用外科口罩、一次性使用医用口罩，推荐现场调查、采样和检测人员使用，公众在人员高度密集场所或密闭公共场所也可佩戴。普通群众一般不用KN95/N95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（四）医用防护口罩：推荐发热门诊、隔离病房医护人员及确诊患者转移时佩戴。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　三、不同人群佩戴口罩的标准与注意事项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（一）儿童处在生长发育阶段，其脸型小，选择儿童防护口罩。建议儿童选用符合国家标准GB2626-2006 KN95，并标注儿童或青少年颗粒物防护口罩的产品。儿童使用口罩需注意以下事项：</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1.儿童在佩戴前，需在家长帮助下，认真阅读并正确理解使用说明，以掌握正确使用呼吸防护用品的方法；</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2.家长应随时关注儿童口罩佩戴情况，如儿童在佩戴口罩过程中感觉不适，应及时调整或停止使用；</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3.因儿童脸型较小，与成人口罩边缘无法充分密合，不建议儿童佩戴具有密合性要求的成人口罩。</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（二）孕妇佩戴防护口罩，应注意结合自身条件，选择舒适性比较好的产品；老年人及有心肺疾病慢性病患者佩戴后会造成不适感，甚至会加重原有病情，应寻求医生的专业指导。</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Style w:val="23"/>
          <w:rFonts w:hint="eastAsia" w:ascii="仿宋" w:hAnsi="仿宋" w:eastAsia="仿宋" w:cs="仿宋"/>
          <w:b w:val="0"/>
          <w:bCs/>
          <w:i w:val="0"/>
          <w:caps w:val="0"/>
          <w:color w:val="282828"/>
          <w:spacing w:val="0"/>
          <w:sz w:val="32"/>
          <w:szCs w:val="32"/>
          <w:shd w:val="clear" w:color="0A0000" w:fill="FFFFFF"/>
        </w:rPr>
        <w:t>　　 四、使用后口罩处理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（一）健康人群佩戴过的口罩，没有新型冠状病毒传播的风险，一般在口罩变形、弄湿或弄脏导致防护性能降低时更换。健康人群使用后的口罩，按照生活垃圾分类的要求处理即可。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（二）疑似病例或确诊患者佩戴的口罩，不可随意丢弃，应视作医疗废弃物，严格按照医疗废弃物有关流程处理，不得进入流通市场。</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（三）规范废弃口罩投放。</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1.在医疗机构时，将废弃口罩直接投入医疗废物垃圾袋中，作为医疗废物收集处置。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2.对于普通人日常使用口罩，按照生活垃圾分类的要求，可以直接丢入“其他垃圾”桶，严禁回收及分拣。</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对于存在发热、咳嗽、咳痰、打喷嚏症状的人，或接触过此类人群的人，可将废弃口罩丢入垃圾袋，再使用5%的84消毒液按照1:99配比后，撒至口罩上进行处理。如无消毒液可使用密封袋或保鲜袋，将废弃口罩密封后丢入“其他垃圾”桶。</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4.对于疑似新型冠状病毒感染的肺炎患者及其护理人员，应在就诊或接受调查处置时，将使用过的口罩作为感染性医疗废物进行收集处置。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（四）规范废弃口罩收运处置。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1.加强收集管理。加强对生活垃圾投放点管理，及时对垃圾投放点和收集站进行消杀。各地根据自身实际情况或疫情防控需要，可在居民小区、机关企事业单位、公共场所和商圈等人员密集场所的原有垃圾分类投放点增设专门垃圾收集容器，用于收集废弃口罩。收集容器应内设塑料袋，避免废弃口罩投放时与容器直接接触。废弃口罩经过消杀后，按“其他垃圾”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2.及时清运消杀。各地要严格按照清洁运输的要求，对生活垃圾及时清运、日产日清。加强垃圾中转（压缩）站等管理，严格作业流程，强化标准化管理，定期开展清洗、消杀、除臭工作。加强垃圾运输车消杀，垃圾运输车必须密闭，在垃圾中转处理后要对垃圾运输车进行消杀。</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3.规范分类处置。医疗机构收集的废弃口罩按照医疗废物管理，由专业处理机构进行集中处置，严禁医疗废物混入生活垃圾收运系统。其他区域收集的废弃口罩按照其他垃圾进行无害化处理。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（五）暂停实施特定区域生活垃圾分类。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对各地指定的新型冠状病毒感染的肺炎定点收治机构或病区、集中隔离观察点、居家隔离观察点（户）产生的其它生活垃圾（除应纳入医疗废物管理范畴的垃圾外），暂停实施生活垃圾分类，由各地安排专车收运，直送生活垃圾处理厂（场）处置。</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（六）加强环卫等作业人员的健康防护。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各地要做好收集、转运、处理的环卫作业人员及生活垃圾焚烧厂现场工作人员自身防护措施，相关人员在作业时要佩戴口罩和手套等防护用具。要积极开展从业人员安全意识、防护用具和作业程序的专业培训，增强环卫工人自我保护意识，做好作业工具和场所的消毒灭菌工作，确保日常环卫作业健康安全。</w:t>
      </w: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rPr>
          <w:rFonts w:hint="default" w:ascii="仿宋" w:hAnsi="仿宋" w:eastAsia="仿宋" w:cs="仿宋"/>
          <w:b w:val="0"/>
          <w:bCs/>
          <w:i w:val="0"/>
          <w:caps w:val="0"/>
          <w:color w:val="000000"/>
          <w:spacing w:val="0"/>
          <w:sz w:val="32"/>
          <w:szCs w:val="32"/>
          <w:lang w:val="en-US" w:eastAsia="zh-CN"/>
        </w:rPr>
      </w:pPr>
      <w:r>
        <w:rPr>
          <w:rFonts w:hint="default"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附件10</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公共交通工具消毒操作技术指南</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一、范围</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本指南适用于新型冠状病毒感染的肺炎流行期间，正常运行的飞机、火车、长短途客车、公交车、地铁、轮船等公共交通工具上的感染防控，包括工作人员和旅行人员在公共交通工具上采取的消毒等技术操作。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二、工作人员操作指南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新型冠状病毒感染的肺炎流行期间，公共交通工具工作人员需开展以下工作：</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做好物体表面消毒。日常情况下，应保持公共交通工具上的环境整洁卫生，并采取预防性消毒措施；飞机、火车、地铁、公交车、轮船等公共交通工具运行结束后，对内部物体表面（如车身内壁、司机方向盘、车内扶手、桌椅等），采用含有效氯250mg/L~500mg/L的含氯消毒剂进行喷洒或擦拭，也可采用有效的消毒湿巾进行擦拭；座椅套等纺织物应保持清洁，并定期洗涤、消毒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当公共交通工具上出现人员呕吐时，应立即采用消毒剂（如含氯消毒剂）或消毒干巾对呕吐物进行覆盖消毒，清除呕吐物后，再使用新洁尔灭等消毒剂进行物体表面消毒处理。</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当有疑似或确诊病例出现时，在专业人员指导下，有肉眼可见污染物时应先完全清除污染物再消毒；无肉眼可见污染物时可用1000mg/L的含氯消毒液或500mg/L的二氧化氯消毒剂擦拭或喷洒消毒。地面消毒先由外向内喷洒一次，喷药量为100ml/m</w:t>
      </w:r>
      <w:r>
        <w:rPr>
          <w:rFonts w:hint="eastAsia" w:ascii="仿宋" w:hAnsi="仿宋" w:eastAsia="仿宋" w:cs="仿宋"/>
          <w:b w:val="0"/>
          <w:bCs/>
          <w:i w:val="0"/>
          <w:caps w:val="0"/>
          <w:color w:val="282828"/>
          <w:spacing w:val="0"/>
          <w:sz w:val="32"/>
          <w:szCs w:val="32"/>
          <w:shd w:val="clear" w:color="090000" w:fill="FFFFFF"/>
          <w:vertAlign w:val="superscript"/>
        </w:rPr>
        <w:t>2</w:t>
      </w:r>
      <w:r>
        <w:rPr>
          <w:rFonts w:hint="eastAsia" w:ascii="仿宋" w:hAnsi="仿宋" w:eastAsia="仿宋" w:cs="仿宋"/>
          <w:b w:val="0"/>
          <w:bCs/>
          <w:i w:val="0"/>
          <w:caps w:val="0"/>
          <w:color w:val="282828"/>
          <w:spacing w:val="0"/>
          <w:sz w:val="32"/>
          <w:szCs w:val="32"/>
          <w:shd w:val="clear" w:color="090000" w:fill="FFFFFF"/>
        </w:rPr>
        <w:t>～300ml/m</w:t>
      </w:r>
      <w:r>
        <w:rPr>
          <w:rFonts w:hint="eastAsia" w:ascii="仿宋" w:hAnsi="仿宋" w:eastAsia="仿宋" w:cs="仿宋"/>
          <w:b w:val="0"/>
          <w:bCs/>
          <w:i w:val="0"/>
          <w:caps w:val="0"/>
          <w:color w:val="282828"/>
          <w:spacing w:val="0"/>
          <w:sz w:val="32"/>
          <w:szCs w:val="32"/>
          <w:shd w:val="clear" w:color="090000" w:fill="FFFFFF"/>
          <w:vertAlign w:val="superscript"/>
        </w:rPr>
        <w:t>2</w:t>
      </w:r>
      <w:r>
        <w:rPr>
          <w:rFonts w:hint="eastAsia" w:ascii="仿宋" w:hAnsi="仿宋" w:eastAsia="仿宋" w:cs="仿宋"/>
          <w:b w:val="0"/>
          <w:bCs/>
          <w:i w:val="0"/>
          <w:caps w:val="0"/>
          <w:color w:val="282828"/>
          <w:spacing w:val="0"/>
          <w:sz w:val="32"/>
          <w:szCs w:val="32"/>
          <w:shd w:val="clear" w:color="090000" w:fill="FFFFFF"/>
        </w:rPr>
        <w:t>，待室内消毒完毕后，再由内向外重复喷洒一次。消毒作用时间应不少于30min。</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加强通风换气。日常情况下，可采用自然通风或机械通风。飞机、高铁、地铁等相对密闭环境，建议适当增加空调换风功率提高换气次数，并注意定期清洁处理空调滤网；短途客车、公交车等有条件开窗的公共交通工具，有条件时可开窗低速行驶，也可在停驶期间开窗通风，保持空气流通。</w:t>
      </w:r>
      <w:r>
        <w:rPr>
          <w:rFonts w:hint="eastAsia" w:ascii="仿宋" w:hAnsi="仿宋" w:eastAsia="仿宋" w:cs="仿宋"/>
          <w:b w:val="0"/>
          <w:bCs/>
          <w:i w:val="0"/>
          <w:caps w:val="0"/>
          <w:color w:val="282828"/>
          <w:spacing w:val="0"/>
          <w:sz w:val="32"/>
          <w:szCs w:val="32"/>
          <w:shd w:val="clear" w:color="090000" w:fill="FFFFFF"/>
        </w:rPr>
        <w:br w:type="textWrapping"/>
      </w:r>
      <w:r>
        <w:rPr>
          <w:rFonts w:hint="eastAsia" w:ascii="仿宋" w:hAnsi="仿宋" w:eastAsia="仿宋" w:cs="仿宋"/>
          <w:b w:val="0"/>
          <w:bCs/>
          <w:i w:val="0"/>
          <w:caps w:val="0"/>
          <w:color w:val="282828"/>
          <w:spacing w:val="0"/>
          <w:sz w:val="32"/>
          <w:szCs w:val="32"/>
          <w:shd w:val="clear" w:color="090000" w:fill="FFFFFF"/>
        </w:rPr>
        <w:t>当出现疑似或确诊病例，在专业人员指导下，在无人条件下选择过氧乙酸、含氯消毒剂、二氧化氯、过氧化氢等消毒剂，采用超低容量喷雾法进行消毒。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注意个人防护。日常情况下，建议工作人员佩戴医用外科口罩（或其他更高级别的口罩）和手套；一次性使用手套不可重复使用，其他重复使用手套需每天清洗消毒，可流通蒸汽或煮沸消毒30min，或先用500mg/L的含氯消毒液浸泡30min，然后常规清洗即可。</w:t>
      </w:r>
      <w:r>
        <w:rPr>
          <w:rFonts w:hint="eastAsia" w:ascii="仿宋" w:hAnsi="仿宋" w:eastAsia="仿宋" w:cs="仿宋"/>
          <w:b w:val="0"/>
          <w:bCs/>
          <w:i w:val="0"/>
          <w:caps w:val="0"/>
          <w:color w:val="282828"/>
          <w:spacing w:val="0"/>
          <w:sz w:val="32"/>
          <w:szCs w:val="32"/>
          <w:shd w:val="clear" w:color="090000" w:fill="FFFFFF"/>
        </w:rPr>
        <w:br w:type="textWrapping"/>
      </w:r>
      <w:r>
        <w:rPr>
          <w:rFonts w:hint="eastAsia" w:ascii="仿宋" w:hAnsi="仿宋" w:eastAsia="仿宋" w:cs="仿宋"/>
          <w:b w:val="0"/>
          <w:bCs/>
          <w:i w:val="0"/>
          <w:caps w:val="0"/>
          <w:color w:val="282828"/>
          <w:spacing w:val="0"/>
          <w:sz w:val="32"/>
          <w:szCs w:val="32"/>
          <w:shd w:val="clear" w:color="090000" w:fill="FFFFFF"/>
        </w:rPr>
        <w:t>当有疑似或确诊病例出现时，在专业人员指导下进行个人防护。</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（四）手卫生。应加强手卫生措施，工作人员随时进行手卫生。可用有效的含醇速干手消毒剂。特殊条件下，也可使用含氯或过氧化氢手消毒剂；有肉眼可见污染物时应使用洗手液在流动水下洗手，然后消毒。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（五）设立应急区域。建议在公共交通工具上设立应急区域，如飞机、火车、客车等后部三排座位，当出现疑似或确诊病例时，可在该区域进行暂时隔离。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（六）健康宣教。时刻注意开展公共交通工具上的防控健康宣教。</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三、旅行人员操作指南</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一）佩戴口罩、手套。旅行人员乘坐公共交通工具时，建议佩戴医用外科口罩（或其他更高级别的口罩），旅行结束时及时弃用。有条件的旅行人员可选择佩戴手套，一次性使用手套不可重复使用，其他重复使用手套需注意清洗消毒，可流通蒸汽或煮沸消毒30min，或先用500mg/L的含氯消毒液浸泡30min，然后常规清洗即可。</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二）手卫生。注意手卫生，旅行人员在旅程中应加强手卫生，旅程结束后需做手卫生。可选用有效的含醇速干手消毒剂，特殊条件下，也可使用含氯或过氧化氢手消毒剂；有肉眼可见污染物时应使用洗手液在流动水下洗手，然后消毒。</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（三）注意保持距离。旅行人员乘坐公共交通工具，有条件时，相互之间尽量保持一定距离。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left"/>
        <w:textAlignment w:val="auto"/>
        <w:rPr>
          <w:rFonts w:hint="eastAsia" w:ascii="仿宋" w:hAnsi="仿宋" w:eastAsia="仿宋" w:cs="仿宋"/>
          <w:b w:val="0"/>
          <w:bCs/>
          <w:i w:val="0"/>
          <w:caps w:val="0"/>
          <w:color w:val="282828"/>
          <w:spacing w:val="0"/>
          <w:sz w:val="32"/>
          <w:szCs w:val="32"/>
        </w:rPr>
      </w:pPr>
      <w:r>
        <w:rPr>
          <w:rFonts w:hint="eastAsia" w:ascii="仿宋" w:hAnsi="仿宋" w:eastAsia="仿宋" w:cs="仿宋"/>
          <w:b w:val="0"/>
          <w:bCs/>
          <w:i w:val="0"/>
          <w:caps w:val="0"/>
          <w:color w:val="282828"/>
          <w:spacing w:val="0"/>
          <w:sz w:val="32"/>
          <w:szCs w:val="32"/>
          <w:shd w:val="clear" w:color="090000" w:fill="FFFFFF"/>
        </w:rPr>
        <w:t>　　（四）积极配合工作人员。日常情况下，听从公共交通工作人员的安排，做好个人防护。当有疑似或确诊病例出现时，听从工作人员的指令，及时自我隔离，听从安排进行排查检测，不可私自离开。</w:t>
      </w: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textAlignment w:val="auto"/>
        <w:rPr>
          <w:rFonts w:hint="default" w:ascii="仿宋" w:hAnsi="仿宋" w:eastAsia="仿宋" w:cs="仿宋"/>
          <w:b w:val="0"/>
          <w:bCs/>
          <w:i w:val="0"/>
          <w:caps w:val="0"/>
          <w:color w:val="000000"/>
          <w:spacing w:val="0"/>
          <w:sz w:val="32"/>
          <w:szCs w:val="32"/>
          <w:lang w:val="en-US" w:eastAsia="zh-CN"/>
        </w:rPr>
      </w:pPr>
    </w:p>
    <w:p>
      <w:pPr>
        <w:rPr>
          <w:rFonts w:hint="default" w:ascii="仿宋" w:hAnsi="仿宋" w:eastAsia="仿宋" w:cs="仿宋"/>
          <w:b w:val="0"/>
          <w:bCs/>
          <w:i w:val="0"/>
          <w:caps w:val="0"/>
          <w:color w:val="000000"/>
          <w:spacing w:val="0"/>
          <w:sz w:val="32"/>
          <w:szCs w:val="32"/>
          <w:lang w:val="en-US" w:eastAsia="zh-CN"/>
        </w:rPr>
      </w:pPr>
      <w:r>
        <w:rPr>
          <w:rFonts w:hint="default"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附件11</w:t>
      </w:r>
    </w:p>
    <w:p>
      <w:pPr>
        <w:widowControl w:val="0"/>
        <w:wordWrap/>
        <w:adjustRightInd/>
        <w:snapToGrid/>
        <w:spacing w:line="560" w:lineRule="exact"/>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居家和公共场所卫生间预防新型冠状病毒感染的肺炎疫情卫生清洁消毒指引</w:t>
      </w:r>
    </w:p>
    <w:p>
      <w:pPr>
        <w:widowControl w:val="0"/>
        <w:wordWrap/>
        <w:adjustRightInd/>
        <w:snapToGrid/>
        <w:spacing w:line="560" w:lineRule="exact"/>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（第一版）</w:t>
      </w: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为做好新型冠状病毒感染的肺炎疫情防控工作，防止因卫生间使用和清洁等处理不当引起疾病传播，特制订本指引。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本指引适用于指导居家及公共场所（商场、公园等）内卫生间的卫生清洁消毒处理。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一、居家卫生间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卫生间保持开窗通风，不能自然通风的可采用排气扇等机械通风。卫生间地漏口非排水时用盖子遮挡，并每周一次将一杯清水（约500mL）倒进排水口，然后倒入有效氯浓度2.5g/L的含氯消毒液10mL（一茶匙），30分钟后再倒入一杯清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保持环境和物品清洁卫生，卫生间物表、马桶/便池等要经常擦拭或冲刷。家中有人出现发热、咳嗽、腹泻、呕吐等症状时，可用消毒剂对卫生间物表、地面、马桶等进行消毒，方法见本指引“三、消毒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（三）倡导良好的家居卫生习惯，使用无害化卫生厕所，不使用便桶等，减少污染物暴露和清洗时带来的风险。冲水时养成良好习惯，先盖上马桶盖再冲水，并及时使用洗手液在流动水下洗手。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四）居住在家中的隔离观察人员不要与家人共用纸巾、擦手巾等卫生用品，加强对卫生间的通风和清洁，可用含氯消毒剂等消毒剂对高频接触部位和地面进行消毒；如果有血液、分泌物、呕吐物、排泄物等要及时清除和消毒（消毒方法见本指引“三、消毒方法”）；家中有疑似或确诊病人时，需在疾控中心指导下，进行终末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w:t>
      </w:r>
      <w:r>
        <w:rPr>
          <w:rStyle w:val="23"/>
          <w:rFonts w:hint="eastAsia" w:ascii="仿宋" w:hAnsi="仿宋" w:eastAsia="仿宋" w:cs="仿宋"/>
          <w:b w:val="0"/>
          <w:bCs/>
          <w:i w:val="0"/>
          <w:caps w:val="0"/>
          <w:color w:val="282828"/>
          <w:spacing w:val="0"/>
          <w:sz w:val="32"/>
          <w:szCs w:val="32"/>
          <w:shd w:val="clear" w:color="0A0000" w:fill="FFFFFF"/>
        </w:rPr>
        <w:t>二、公共场所卫生间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（一）卫生间保持通风、干爽，不能自然通风的可采用排气扇等机械通风。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（二）公共场所卫生间应备足量的洗手液、流动水洗手设施，根据需要配备含醇的手消毒剂。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疫情期间，加强对卫生间的清洁频次，保持卫生间整洁卫生、地面干爽无积水。每日至少全面清洁两次，清洁范围应包含清理废弃纸巾、便池内污物等垃圾；清洁洗手台面、卫生间地面等。此外，还需根据公众对卫生间实际使用情况随时增加清洁频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（四）疫情期间，应对卫生间重点部位进行消毒处理，重点部位包括内外门把手、洗手池台面、水龙头开关、洗手盆、坐便器、便池、马桶按钮等经常接触的物体表面和地面，每日至少消毒两次。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（五）发现血液、分泌物、呕吐物、排泄物等污染物时，及时处理，并对周围物表、地面进行消毒，必要时进行空气消毒。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六）卫生间清洁消毒人员应注意个人防护，建议穿戴工作服、一次性工作帽、一次性医用口罩、一次性手套和长袖加厚橡胶手套。在处理疑似污染物时应加强个人防护，加穿防水防护服、医用防护口罩、防护眼罩、长筒防水胶鞋等。清洁消毒完毕及时进行流动水洗手，或加用速干手消毒剂消毒双手，做好手卫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三、消毒方法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物体表面：对卫生间内外门把手、洗手池台面、水龙头开关、洗手盆、坐便器、便池、马桶按钮等经常接触的物体表面，可使用含有效氯浓度250-500mg/L的消毒液擦拭或喷洒至表面完全湿润，作用30分钟，再用清水擦净。不耐腐蚀的物品可用75%乙醇消毒液擦拭或喷洒表面。</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（二）地面：可使用有效氯浓度250-500 mg/L的消毒液用拖布拖拭，作用30分钟，再用清水洗净。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（三）空气：无人情况下进行空气消毒。消毒前关闭排气扇和窗户，可用3-6%过氧化氢消毒液自上而下、从里到外进行喷雾消毒，喷雾完毕关门作用30分钟后开窗通风。消毒期间禁止人员进入卫生间。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（四）污染物（血液、分泌物、呕吐物等）：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污染物在便池/马桶内：应遮住便池口或盖上马桶盖，直接打开冲水开关冲入排粪管。冲水时不可打开马桶盖。清理污物后，及时用有效氯浓度为1000-2000 mg/L的消毒液喷洒便池及便池周围物表。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污染物在物表或者地面：（1）少量污染物可用一次性吸水材料（如纱布、抹布、毛巾等）覆盖污物后喷洒有效氯浓度为10000mg/L的消毒液至湿润。作用30分钟以上，污物连带遮盖物一并移除至防渗防水垃圾袋内，扎紧袋口丢弃至生活垃圾桶。（2）大量污染物使用含吸水成分的消毒粉或漂白粉（按污物/消毒粉=1/2比例）完全覆盖，或用一次性吸水材料覆盖污物后用10000mg/L的含氯消毒液喷洒表面至湿润，作用30分钟以上移除污物。清除过程中避免接触污染物。清除污染物后，用有效氯浓度为1000-2000 mg/L的消毒液擦拭或拖拭台面、地面，消毒范围为呕吐物周围2米，建议擦拭2遍。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四、常见消毒剂及配制使用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（一）有效氯浓度500 mg/L的含氯消毒剂配制方法：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1. 84消毒液（有效氯含量5%）：按消毒液/水为1/100比例稀释；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2. 消毒粉（有效氯含量12-13%，20克/包）：1包消毒粉加4.8升水；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3. 含氯泡腾片（有效氯含量480-580mg/片）：1片溶于1升水。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Style w:val="23"/>
          <w:rFonts w:hint="eastAsia" w:ascii="仿宋" w:hAnsi="仿宋" w:eastAsia="仿宋" w:cs="仿宋"/>
          <w:b w:val="0"/>
          <w:bCs/>
          <w:i w:val="0"/>
          <w:caps w:val="0"/>
          <w:color w:val="282828"/>
          <w:spacing w:val="0"/>
          <w:sz w:val="32"/>
          <w:szCs w:val="32"/>
          <w:shd w:val="clear" w:color="0A0000" w:fill="FFFFFF"/>
        </w:rPr>
        <w:t>　　五、注意事项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（一）含氯消毒剂有皮肤黏膜刺激性，配置和使用时建议佩戴口罩和手套，儿童请勿触碰。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sz w:val="32"/>
          <w:szCs w:val="32"/>
        </w:rPr>
      </w:pPr>
      <w:r>
        <w:rPr>
          <w:rFonts w:hint="eastAsia" w:ascii="仿宋" w:hAnsi="仿宋" w:eastAsia="仿宋" w:cs="仿宋"/>
          <w:b w:val="0"/>
          <w:bCs/>
          <w:i w:val="0"/>
          <w:caps w:val="0"/>
          <w:color w:val="282828"/>
          <w:spacing w:val="0"/>
          <w:sz w:val="32"/>
          <w:szCs w:val="32"/>
          <w:shd w:val="clear" w:color="090000" w:fill="FFFFFF"/>
        </w:rPr>
        <w:t>　　（二）使用乙醇消毒液应远离火源，严禁大面积使用。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textAlignment w:val="auto"/>
        <w:rPr>
          <w:rFonts w:hint="eastAsia" w:ascii="仿宋" w:hAnsi="仿宋" w:eastAsia="仿宋" w:cs="仿宋"/>
          <w:b w:val="0"/>
          <w:bCs/>
          <w:sz w:val="32"/>
          <w:szCs w:val="32"/>
        </w:rPr>
      </w:pP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p>
    <w:p>
      <w:pPr>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br w:type="page"/>
      </w: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r>
        <w:rPr>
          <w:rFonts w:hint="eastAsia" w:ascii="仿宋" w:hAnsi="仿宋" w:eastAsia="仿宋" w:cs="仿宋"/>
          <w:b w:val="0"/>
          <w:bCs/>
          <w:i w:val="0"/>
          <w:caps w:val="0"/>
          <w:color w:val="000000"/>
          <w:spacing w:val="0"/>
          <w:sz w:val="32"/>
          <w:szCs w:val="32"/>
          <w:lang w:val="en-US" w:eastAsia="zh-CN"/>
        </w:rPr>
        <w:t>附件12</w:t>
      </w:r>
    </w:p>
    <w:p>
      <w:pPr>
        <w:widowControl w:val="0"/>
        <w:wordWrap/>
        <w:adjustRightInd/>
        <w:snapToGrid/>
        <w:spacing w:line="560" w:lineRule="exact"/>
        <w:ind w:left="0" w:right="0"/>
        <w:textAlignment w:val="auto"/>
        <w:rPr>
          <w:rFonts w:hint="eastAsia" w:ascii="仿宋" w:hAnsi="仿宋" w:eastAsia="仿宋" w:cs="仿宋"/>
          <w:b w:val="0"/>
          <w:bCs/>
          <w:i w:val="0"/>
          <w:caps w:val="0"/>
          <w:color w:val="000000"/>
          <w:spacing w:val="0"/>
          <w:sz w:val="32"/>
          <w:szCs w:val="32"/>
          <w:lang w:val="en-US" w:eastAsia="zh-CN"/>
        </w:rPr>
      </w:pPr>
    </w:p>
    <w:p>
      <w:pPr>
        <w:widowControl w:val="0"/>
        <w:wordWrap/>
        <w:adjustRightInd/>
        <w:snapToGrid/>
        <w:spacing w:line="560" w:lineRule="exact"/>
        <w:ind w:left="0" w:right="0"/>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新型冠状病毒肺炎疫情期间公共电梯</w:t>
      </w:r>
    </w:p>
    <w:p>
      <w:pPr>
        <w:widowControl w:val="0"/>
        <w:wordWrap/>
        <w:adjustRightInd/>
        <w:snapToGrid/>
        <w:spacing w:line="560" w:lineRule="exact"/>
        <w:ind w:left="0" w:right="0"/>
        <w:jc w:val="center"/>
        <w:textAlignment w:val="auto"/>
        <w:rPr>
          <w:rFonts w:hint="eastAsia" w:ascii="宋体" w:hAnsi="宋体" w:eastAsia="宋体" w:cs="宋体"/>
          <w:b w:val="0"/>
          <w:bCs/>
          <w:i w:val="0"/>
          <w:caps w:val="0"/>
          <w:color w:val="000000"/>
          <w:spacing w:val="0"/>
          <w:sz w:val="44"/>
          <w:szCs w:val="44"/>
          <w:lang w:val="en-US" w:eastAsia="zh-CN"/>
        </w:rPr>
      </w:pPr>
      <w:r>
        <w:rPr>
          <w:rFonts w:hint="eastAsia" w:ascii="宋体" w:hAnsi="宋体" w:eastAsia="宋体" w:cs="宋体"/>
          <w:b w:val="0"/>
          <w:bCs/>
          <w:i w:val="0"/>
          <w:caps w:val="0"/>
          <w:color w:val="000000"/>
          <w:spacing w:val="0"/>
          <w:sz w:val="44"/>
          <w:szCs w:val="44"/>
          <w:lang w:val="en-US" w:eastAsia="zh-CN"/>
        </w:rPr>
        <w:t>（扶梯）清洁消毒工作指引</w:t>
      </w:r>
    </w:p>
    <w:p>
      <w:pPr>
        <w:widowControl w:val="0"/>
        <w:wordWrap/>
        <w:adjustRightInd/>
        <w:snapToGrid/>
        <w:spacing w:line="560" w:lineRule="exact"/>
        <w:ind w:left="0" w:right="0"/>
        <w:textAlignment w:val="auto"/>
        <w:rPr>
          <w:rFonts w:hint="default" w:ascii="仿宋" w:hAnsi="仿宋" w:eastAsia="仿宋" w:cs="仿宋"/>
          <w:b w:val="0"/>
          <w:bCs/>
          <w:i w:val="0"/>
          <w:caps w:val="0"/>
          <w:color w:val="000000"/>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为做好新冠肺炎防控工作，防止因乘坐电梯感染新冠病毒，根据《新型冠状病毒防控方案（第四版）》的要求，特制定本工作指引。本指引适用于新冠肺炎疫情防控期间酒店、医院、密接者集中隔离点、商场、写字楼等公共场所电梯和扶梯的消毒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Style w:val="23"/>
          <w:rFonts w:hint="eastAsia" w:ascii="仿宋" w:hAnsi="仿宋" w:eastAsia="仿宋" w:cs="仿宋"/>
          <w:b w:val="0"/>
          <w:bCs w:val="0"/>
          <w:sz w:val="32"/>
          <w:szCs w:val="32"/>
        </w:rPr>
        <w:t>　　一、轿厢电梯日常管理和预防性消毒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（一）在大堂电梯门口和轿厢内外张贴告示，提醒乘客乘坐电梯时戴好口罩，即使无其他乘客同时乘坐，也勿取下口罩。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二）在大堂电梯轿厢门口配置非接触式快速手消毒液和卫生抽纸纸巾。乘坐电梯人员尽量避免用手直接接触按键，可使用纸巾包裹手指后接触按键，用完的纸巾应丢弃在指定垃圾箱内，不得随意丢弃，更不能丢弃在电梯轿厢内。</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（三）医院内轿厢电梯设专人管理，控制乘坐电梯人员密度和秩序，新冠肺炎疫情期间轿厢内乘客不能超过限载人数的2/3。</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（四）乘坐电梯时尽量不讲话。</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（五）电梯轿厢壁和厢底面清洁消毒：使用浓度为250-500mg/L的含氯消毒剂喷洒（擦拭）轿厢壁、厢门和厢底面，作用30分钟，再用清水擦净。每日消毒不少于3次，并做好消毒标识。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六）电梯按键、轿厢扶手等表面清洁消毒：电梯层站按钮、电梯轿厢内的楼层显示按钮及电梯门开关按钮等可贴膜保护，在保护膜上用75%乙醇消毒剂或者浓度为250-500mg/L的含氯消毒剂擦拭，每两个小时一次。并做好消毒标识。贴膜每2天更换一次或发现破损及时更换。</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（七）电梯轿厢内不使用空调，加强通风。</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（八）疫情期间，电梯维修保修后，应先对电梯轿厢内及相应的外呼部位进行消毒后再投入使用；维修现场有维修材料要处理的，应先消毒再收纳；应佩戴手套填写、交接纸质维修维保单。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（九）已出现确诊病例的建筑物，该栋所有电梯轿厢、病例所在的层站和大堂电梯按钮，应在疾控中心指导下进行终末消毒。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w:t>
      </w:r>
      <w:r>
        <w:rPr>
          <w:rStyle w:val="23"/>
          <w:rFonts w:hint="eastAsia" w:ascii="仿宋" w:hAnsi="仿宋" w:eastAsia="仿宋" w:cs="仿宋"/>
          <w:b w:val="0"/>
          <w:bCs w:val="0"/>
          <w:sz w:val="32"/>
          <w:szCs w:val="32"/>
        </w:rPr>
        <w:t>　二、扶手电梯日常管理和预防性消毒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（一）扶梯两侧扶手清洁消毒：使用浓度为250-500mg/L的含氯消毒剂擦拭扶梯两侧扶手，消毒30分钟后，再用清水擦净，每日消毒不少于4次，并做好消毒标识。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（二）扶梯阶梯表面清洁消毒：每天用250-500mg/L的含氯消毒剂进行湿式拖地，消毒至少30分钟后，再用清水擦净。每日至少两次。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w:t>
      </w:r>
      <w:r>
        <w:rPr>
          <w:rStyle w:val="23"/>
          <w:rFonts w:hint="eastAsia" w:ascii="仿宋" w:hAnsi="仿宋" w:eastAsia="仿宋" w:cs="仿宋"/>
          <w:b w:val="0"/>
          <w:bCs w:val="0"/>
          <w:sz w:val="32"/>
          <w:szCs w:val="32"/>
        </w:rPr>
        <w:t>　三、常见消毒剂及配制使用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（一）有效氯浓度500 mg/L 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1.84消毒液（有效氯含量5%）：按消毒液：水为1:99比例稀释；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2.消毒粉（有效氯含量12%，20克/包）：1包消毒粉加4.8升水；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3.含氯泡腾片（有效氯含量500mg/片）：1片溶于1升水。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w:t>
      </w:r>
      <w:r>
        <w:rPr>
          <w:rStyle w:val="23"/>
          <w:rFonts w:hint="eastAsia" w:ascii="仿宋" w:hAnsi="仿宋" w:eastAsia="仿宋" w:cs="仿宋"/>
          <w:b w:val="0"/>
          <w:bCs w:val="0"/>
          <w:sz w:val="32"/>
          <w:szCs w:val="32"/>
        </w:rPr>
        <w:t>四、注意事项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　　（一）含氯消毒剂有皮肤黏膜刺激性，配置和使用时可戴口罩和手套。儿童请勿触碰；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（二）乙醇消毒液使用时应远离火源，避免着火，不能大面积喷洒，只能小范围局部喷洒或擦拭。</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广东省新冠肺炎防控指挥办疫情防控组关于印发广东省园区新冠肺炎疫情常态化防控</w:t>
      </w: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工作指引的通知</w:t>
      </w:r>
    </w:p>
    <w:p>
      <w:pPr>
        <w:pStyle w:val="18"/>
        <w:widowControl/>
        <w:wordWrap/>
        <w:adjustRightInd/>
        <w:snapToGrid/>
        <w:spacing w:line="0" w:lineRule="atLeast"/>
        <w:jc w:val="center"/>
        <w:textAlignment w:val="auto"/>
        <w:outlineLvl w:val="9"/>
      </w:pPr>
      <w:r>
        <w:rPr>
          <w:rFonts w:hint="eastAsia" w:ascii="宋体" w:hAnsi="宋体" w:eastAsia="宋体" w:cs="宋体"/>
          <w:color w:val="000000"/>
          <w:sz w:val="16"/>
          <w:szCs w:val="16"/>
        </w:rPr>
        <w:br w:type="textWrapping"/>
      </w:r>
      <w:r>
        <w:rPr>
          <w:rFonts w:hint="eastAsia" w:ascii="楷体" w:hAnsi="楷体" w:eastAsia="楷体" w:cs="楷体"/>
          <w:color w:val="000000"/>
          <w:sz w:val="32"/>
          <w:szCs w:val="32"/>
        </w:rPr>
        <w:t>（粤卫疾控函〔2020〕155号）</w:t>
      </w:r>
    </w:p>
    <w:p>
      <w:pPr>
        <w:widowControl/>
        <w:wordWrap/>
        <w:adjustRightInd/>
        <w:snapToGrid/>
        <w:spacing w:line="560" w:lineRule="exact"/>
        <w:jc w:val="left"/>
        <w:textAlignment w:val="auto"/>
        <w:outlineLvl w:val="9"/>
        <w:rPr>
          <w:rFonts w:hint="eastAsia" w:ascii="仿宋_GB2312" w:hAnsi="仿宋_GB2312" w:eastAsia="仿宋_GB2312" w:cs="仿宋_GB2312"/>
          <w:sz w:val="32"/>
          <w:szCs w:val="32"/>
        </w:rPr>
      </w:pPr>
      <w:r>
        <w:rPr>
          <w:rFonts w:hint="eastAsia" w:ascii="宋体" w:hAnsi="宋体" w:eastAsia="宋体" w:cs="宋体"/>
          <w:color w:val="000000"/>
          <w:sz w:val="16"/>
          <w:szCs w:val="16"/>
        </w:rPr>
        <w:br w:type="textWrapping"/>
      </w:r>
      <w:r>
        <w:rPr>
          <w:rFonts w:hint="eastAsia" w:ascii="仿宋_GB2312" w:hAnsi="仿宋_GB2312" w:eastAsia="仿宋_GB2312" w:cs="仿宋_GB2312"/>
          <w:color w:val="000000"/>
          <w:sz w:val="32"/>
          <w:szCs w:val="32"/>
        </w:rPr>
        <w:t>各地级以上市新冠肺炎防控指挥办，省新冠肺炎防控指挥办疫情防控组各成员单位：</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根据国家和省委、省政府关于新冠肺炎疫情常态化防控工作部署，为切实做好我省园区新冠肺炎疫情常态化防控工作，结合当前新冠肺炎疫情防控工作进展，我们组织对有关防控工作指引进行修订，形成了《广东省园区新冠肺炎疫情常态化防控工作指引》。现印发给你们，请参照执行。</w:t>
      </w:r>
    </w:p>
    <w:p>
      <w:pPr>
        <w:widowControl/>
        <w:pBdr>
          <w:top w:val="none" w:color="auto" w:sz="0" w:space="0"/>
          <w:left w:val="none" w:color="auto" w:sz="0" w:space="0"/>
          <w:bottom w:val="none" w:color="auto" w:sz="0" w:space="0"/>
          <w:right w:val="none" w:color="auto" w:sz="0" w:space="0"/>
        </w:pBdr>
        <w:wordWrap/>
        <w:adjustRightInd/>
        <w:snapToGrid/>
        <w:spacing w:line="560" w:lineRule="exact"/>
        <w:jc w:val="righ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广东省新冠肺炎防控指挥办疫情防控组</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（代章）</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2020年7月2日</w:t>
      </w: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rPr>
      </w:pPr>
      <w:r>
        <w:rPr>
          <w:rFonts w:hint="eastAsia" w:ascii="宋体" w:hAnsi="宋体" w:eastAsia="宋体" w:cs="宋体"/>
          <w:color w:val="000000"/>
          <w:sz w:val="44"/>
          <w:szCs w:val="44"/>
        </w:rPr>
        <w:t>广东省园区新冠肺炎疫情常态化防控工作指引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i w:val="0"/>
          <w:caps w:val="0"/>
          <w:color w:val="424242"/>
          <w:spacing w:val="0"/>
          <w:sz w:val="32"/>
          <w:szCs w:val="32"/>
        </w:rPr>
      </w:pPr>
      <w:r>
        <w:rPr>
          <w:rFonts w:hint="eastAsia" w:ascii="仿宋_GB2312" w:hAnsi="仿宋_GB2312" w:eastAsia="仿宋_GB2312" w:cs="仿宋_GB2312"/>
          <w:color w:val="000000"/>
          <w:sz w:val="32"/>
          <w:szCs w:val="32"/>
        </w:rPr>
        <w:t>一、总体要求</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各园区的管理机构及驻园企业要按照《</w:t>
      </w: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 HYPERLINK "javascript:SLC(342057,0)" </w:instrText>
      </w:r>
      <w:r>
        <w:rPr>
          <w:rFonts w:hint="eastAsia" w:ascii="仿宋_GB2312" w:hAnsi="仿宋_GB2312" w:eastAsia="仿宋_GB2312" w:cs="仿宋_GB2312"/>
          <w:color w:val="000000"/>
          <w:sz w:val="32"/>
          <w:szCs w:val="32"/>
        </w:rPr>
        <w:fldChar w:fldCharType="separate"/>
      </w:r>
      <w:r>
        <w:rPr>
          <w:rStyle w:val="27"/>
          <w:rFonts w:hint="eastAsia" w:ascii="仿宋_GB2312" w:hAnsi="仿宋_GB2312" w:eastAsia="仿宋_GB2312" w:cs="仿宋_GB2312"/>
          <w:color w:val="000000"/>
          <w:sz w:val="32"/>
          <w:szCs w:val="32"/>
        </w:rPr>
        <w:t>国务院应对新型冠状病毒感染肺炎疫情联防联控机制关于做好新冠肺炎疫情常态化防控工作的指导意见</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国发明电〔2020〕14号）、《广东省新型冠状病毒肺炎疫情防控指挥部关于做好新冠肺炎疫情常态化防控工作的实施意见》（粤防疫指明电〔2020〕19号）及国家和省关于分区分级的要求，处理好常态化下疫情防控和生产研发、经营服务的关系，防止常态化下疫情反弹，在园区内传播，保障人民群众身体健康和生命安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二、适用范围</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本指引适用于园区（包括工业园、各种类型开发区等）疫情常态化防控工作。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三、职责分工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各地市政府要落实属地责任，对本地疫情防控工作负总责，根据分区分级有关要求，做好本地疫情研判防控工作，各园区管理机构要落实园区疫情防控主体责任，各驻园企业落实本单位疫情防控主体责任，属地业务主管部门落实监管责任，属地卫生健康部门负责提供技术指导。</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四、主要措施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（一）健全疫情防控机制。</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各园区要成立疫情防控专项小组。园区总负责人是疫情防控第一负责人，驻园企业负责人是本单位疫情防控第一负责人。园区和驻园企业要成立健康管理小组，并同时设立健康管理责任人，主动对接属地卫生健康部门做好疫情防控工作，制定防控工作方案并组织实施，制定突发公共卫生事件报告与处理工作预案。</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（二）人员健康管理。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1.落实员工分类管理。各园区要组织驻园企业根据摸查情况对返岗或新入职人员进行风险评估，并进行分类管理。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对于近14天有疫情高、中风险地区旅居史的人员，须提供抵粤前7日内核酸检测阴性证明或出示包含核酸检测阴性信息的“粤康码”等电子健康码“绿码”，在测温正常且做好个人防护的前提下可正常出行生活和工作；如无法提供上述核酸检测阴性信息，抵粤后应当立即接受核酸检测或14天隔离医学观察。</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（2）对于来自疫情低风险地区的人员，持“粤康码”等电子健康码“绿码”，体温检测正常可正常出行生活和工作。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（3）对本省新冠肺炎病例、无症状感染者、密切接触者、疫情高、中风险地区及境外入境来粤返粤人员，认可其出院证明、解除隔离通知书。</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加强员工健康监测。园区管理机构要督促园区内各驻园企业落实员工健康管理主体责任，园区企业要设置健康管理员，设立可疑症状报告电话，员工如出现发热（≥37.3℃）、干咳、呼吸道感染症状，及时向本单位报告，并做好防控措施。要每天汇总员工健康状况，发现异常情况及时向当地卫生健康部门报告并采取相应的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出入人员健康管理。高、中风险地区内的园区要在各个出入口、园区内各工厂企业门口、员工集体宿舍大门等地方安排专人对每位进出人员进行体温检测和监督落实扫“粤康码”等电子健康码，如发现体温异常（≥37.3℃）或红码、黄码人员，不得进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设置隔离观察室。园区根据员工数量和场地等实际情况可设置一定数量的临时医学观察点和单独隔离观察间，临时医学观察点用于初测体温≥37.3℃人员的体温复测和待送人员停留，单独隔离观察间用于不需要在医院隔离的具有发热等症状人员的隔离观察。观察点要设在相对独立、通风良好的房间，需配备1-2名工作人员，负责体温检测和发热人员的管理，并配备红外测温仪、水银温度计、医用外科口罩、消毒纸巾、医用乳胶手套、速干手消毒剂、84消毒剂等物品。有条件的配备木制或铁制椅子，不宜配备不易消毒的布质材料沙发。</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5.加强防控知识宣教。用健康提示、张贴宣传画、视频播放等多种方式，加强新冠肺炎防治知识科学宣传普及，积极倡导讲卫生、除陋习，摒弃乱扔、乱吐等不文明行为，营造“每个人是自己健康第一责任人”“我的健康我做主”的良好氛围。引导员工充分了解新冠肺炎防治知识，科学佩戴口罩、做好室内通风与消毒，学会正确的洗手方法，养成良好卫生习惯，推广使用公筷公勺，倡导文明用餐好习惯，乘坐公共交通、前往人群密集场所、接触动物（尤其是野生动物）、禽类或其粪便时做好防护。</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（三）员工卫生防护。</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科学佩戴口罩。工作人员应按照《公众科学戴口罩指引（修订版）》（联防联控机制综发﹝2020﹞174号，相关指引可登录广东省卫生健康委官方网站下载）科学佩戴口罩。低风险地区防护建议：需随身备用一次性医用口罩；办公场所及厂房车间人员确保有效通风换气，作业岗位工作人员保持1米以上安全距离。</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注意手卫生。工作人员在上下岗期间应当洗手，可用有效的含醇速干手消毒剂；特殊条件下，也可使用含氯或过氧化氢手消毒剂；有肉眼可见污染物时，应当使用洗手液在流动水下洗手。在工作中避免用手或手套触碰眼睛。</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3.环卫工人防护。园区内环卫工人工作时需穿工作服（或防护服装），戴口罩、手套。作业完成后，要及时洗手（可用速干手消毒剂对手进行消毒），工作服每日清洁消毒，保持个人卫生。</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（四）重点场所重点设施卫生清洁。</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强化室内通风。加强园区内各室内场所空气流通，首选自然通风，尽可能打开门窗通风换气。空调通风系统运行管理应严格按照《夏季空调运行管理与使用指引（修订版）》（相关指引可登录广东省卫生健康委官方网站下载）要求执行。</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加强重点场所清洁消毒。按照《物业管理区域新型冠状病毒感染的肺炎疫情防控工作指引（试行）》《居家和公共场所卫生间预防新型冠状病毒感染的肺炎疫情卫生清洁消毒指引（第一版）》《新型冠状病毒肺炎疫情期间公共电梯（扶梯）清洁消毒工作指引》（相关指引可登录广东省卫生健康委官方网站下载）等要求，加强园区内办公场所、生产车间、食堂、集体宿舍、卫生间、垃圾厢房、电梯、地下停车场、隔离区域等重点场所清洁消毒，做好消毒记录并每日公示消毒情况；机构进出口处和洗手间要配备足够的洗手液，洗手间保证水龙头等供水设施正常工作。公用物品及设施应每日清洗和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垃圾清运处理。园区内各企业办公区域、生产车间、食堂、集体宿舍、公共卫生间等场所每天产生的垃圾应当及时清理，运送至专门垃圾处理区域内分类管理、定点暂放、及时运转。各场所垃圾暂存地周围应当保持清洁，每天至少进行一次清洁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（五）食品卫生及用餐管理。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提供餐饮的（含单位食堂）机构要加强食品和饮用水的安全管理工作。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1.食品加工制作符合要求。食品加工制作要符合《餐饮服务食品安全操作规范》规定。生熟食品分开加工和存放，尤其在处理生肉、生水产品等食品时应格外小心，避免交叉污染。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2.食品加工场所清洁卫生。具有安全合规的食品加工场所，定时对食品加工场所进行卫生清理，并保证避免消毒液、酒精等直接接触餐具、食材和菜品。</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3.食品储藏防止交叉污染。加强肉、海鲜类等冷冻食品储藏安全，食品原材料坚持覆盖保鲜膜或加盖再进行储存，防止交叉污染。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4.用餐者保持一定距离。通过采取减少桌椅摆放、间隔1米、错位用餐等措施，加大就餐者之间的距离，疫情高、中风险地区实行单独就餐。</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五、应急处置要求</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（一）疑似症状人员处置。如发现园区出现发热、干咳、乏力等新冠肺炎可疑症状时，应避免继续接触他人，在临时医学观察点或单独隔离观察间执行隔离观察，做好防护并送当地指定医疗机构就诊排查。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病例处置。核酸筛查阳性病例在做好防护的前提下应立即转送当地定点医疗机构就诊排查，要积极配合当地疾控中心做好流行病调查，尽快查明可能的感染源；在当地疾控中心的指导下，依法依规、精准管控，科学划定防控区域范围至最小单位，采取限制性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（三）终末消毒。相关单位在当地疾控中心指导下，对可能污染的工作、居住和公共场所的环境和物品及空调通风系统等开展终末消毒。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（四）其他处置措施。密切接触者和场所管控按照最新防控方案和我省相关应急处置预案做好防控措施。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textAlignment w:val="auto"/>
        <w:rPr>
          <w:rFonts w:hint="eastAsia" w:ascii="仿宋_GB2312" w:hAnsi="仿宋_GB2312" w:eastAsia="仿宋_GB2312" w:cs="仿宋_GB2312"/>
          <w:i w:val="0"/>
          <w:caps w:val="0"/>
          <w:color w:val="424242"/>
          <w:spacing w:val="0"/>
          <w:sz w:val="32"/>
          <w:szCs w:val="32"/>
        </w:rPr>
      </w:pPr>
    </w:p>
    <w:p>
      <w:pPr>
        <w:rPr>
          <w:rFonts w:hint="eastAsia" w:ascii="仿宋_GB2312" w:hAnsi="仿宋_GB2312" w:eastAsia="仿宋_GB2312" w:cs="仿宋_GB2312"/>
          <w:i w:val="0"/>
          <w:caps w:val="0"/>
          <w:color w:val="424242"/>
          <w:spacing w:val="0"/>
          <w:sz w:val="32"/>
          <w:szCs w:val="32"/>
        </w:rPr>
      </w:pPr>
      <w:r>
        <w:rPr>
          <w:rFonts w:hint="eastAsia" w:ascii="仿宋_GB2312" w:hAnsi="仿宋_GB2312" w:eastAsia="仿宋_GB2312" w:cs="仿宋_GB2312"/>
          <w:i w:val="0"/>
          <w:caps w:val="0"/>
          <w:color w:val="424242"/>
          <w:spacing w:val="0"/>
          <w:sz w:val="32"/>
          <w:szCs w:val="32"/>
        </w:rPr>
        <w:br w:type="page"/>
      </w:r>
    </w:p>
    <w:p>
      <w:pPr>
        <w:widowControl w:val="0"/>
        <w:wordWrap/>
        <w:autoSpaceDE w:val="0"/>
        <w:adjustRightInd/>
        <w:snapToGrid/>
        <w:spacing w:before="0" w:beforeAutospacing="0" w:after="0" w:afterAutospacing="0" w:line="560" w:lineRule="exact"/>
        <w:ind w:right="0"/>
        <w:jc w:val="both"/>
        <w:outlineLvl w:val="9"/>
        <w:rPr>
          <w:rFonts w:hint="eastAsia" w:ascii="仿宋" w:hAnsi="仿宋" w:eastAsia="仿宋" w:cs="仿宋"/>
          <w:kern w:val="2"/>
          <w:sz w:val="32"/>
          <w:szCs w:val="32"/>
        </w:rPr>
      </w:pPr>
      <w:r>
        <w:rPr>
          <w:rFonts w:hint="eastAsia" w:ascii="仿宋" w:hAnsi="仿宋" w:eastAsia="仿宋" w:cs="仿宋"/>
          <w:b w:val="0"/>
          <w:kern w:val="0"/>
          <w:sz w:val="32"/>
          <w:szCs w:val="32"/>
          <w:lang w:val="en-US" w:eastAsia="zh-CN"/>
        </w:rPr>
        <w:t>附件1</w:t>
      </w:r>
    </w:p>
    <w:p>
      <w:pPr>
        <w:widowControl w:val="0"/>
        <w:wordWrap/>
        <w:autoSpaceDE w:val="0"/>
        <w:adjustRightInd/>
        <w:snapToGrid/>
        <w:spacing w:before="0" w:beforeAutospacing="0" w:after="0" w:afterAutospacing="0" w:line="560" w:lineRule="exact"/>
        <w:ind w:left="0" w:leftChars="0" w:right="0" w:firstLine="640" w:firstLineChars="200"/>
        <w:jc w:val="both"/>
        <w:outlineLvl w:val="9"/>
        <w:rPr>
          <w:rFonts w:hint="eastAsia" w:ascii="仿宋" w:hAnsi="仿宋" w:eastAsia="仿宋" w:cs="仿宋"/>
          <w:kern w:val="2"/>
          <w:sz w:val="32"/>
          <w:szCs w:val="32"/>
        </w:rPr>
      </w:pPr>
      <w:r>
        <w:rPr>
          <w:rFonts w:hint="eastAsia" w:ascii="仿宋" w:hAnsi="仿宋" w:eastAsia="仿宋" w:cs="仿宋"/>
          <w:kern w:val="2"/>
          <w:sz w:val="32"/>
          <w:szCs w:val="32"/>
          <w:lang w:val="en-US" w:eastAsia="zh-CN"/>
        </w:rPr>
        <w:t xml:space="preserve"> </w:t>
      </w:r>
    </w:p>
    <w:p>
      <w:pPr>
        <w:widowControl w:val="0"/>
        <w:wordWrap/>
        <w:autoSpaceDE w:val="0"/>
        <w:adjustRightInd/>
        <w:snapToGrid/>
        <w:spacing w:before="0" w:beforeAutospacing="0" w:after="0" w:afterAutospacing="0" w:line="560" w:lineRule="exact"/>
        <w:ind w:left="0" w:leftChars="0" w:right="0" w:firstLine="0" w:firstLineChars="0"/>
        <w:jc w:val="center"/>
        <w:outlineLvl w:val="9"/>
        <w:rPr>
          <w:rFonts w:hint="eastAsia" w:ascii="宋体" w:hAnsi="宋体" w:eastAsia="宋体" w:cs="宋体"/>
          <w:b w:val="0"/>
          <w:kern w:val="2"/>
          <w:sz w:val="44"/>
          <w:szCs w:val="44"/>
        </w:rPr>
      </w:pPr>
      <w:r>
        <w:rPr>
          <w:rFonts w:hint="eastAsia" w:ascii="宋体" w:hAnsi="宋体" w:eastAsia="宋体" w:cs="宋体"/>
          <w:b w:val="0"/>
          <w:kern w:val="2"/>
          <w:sz w:val="44"/>
          <w:szCs w:val="44"/>
        </w:rPr>
        <w:t>公共交通新冠肺炎疫情应急预案</w:t>
      </w:r>
    </w:p>
    <w:p>
      <w:pPr>
        <w:pStyle w:val="18"/>
        <w:widowControl w:val="0"/>
        <w:wordWrap/>
        <w:autoSpaceDE w:val="0"/>
        <w:adjustRightInd/>
        <w:snapToGrid/>
        <w:spacing w:before="0" w:beforeAutospacing="0" w:after="0" w:afterAutospacing="0" w:line="560" w:lineRule="exact"/>
        <w:ind w:left="0" w:leftChars="0" w:right="0" w:firstLine="643" w:firstLineChars="200"/>
        <w:jc w:val="center"/>
        <w:outlineLvl w:val="9"/>
        <w:rPr>
          <w:rFonts w:hint="eastAsia" w:ascii="仿宋" w:hAnsi="仿宋" w:eastAsia="仿宋" w:cs="仿宋"/>
          <w:b/>
          <w:kern w:val="2"/>
          <w:sz w:val="32"/>
          <w:szCs w:val="32"/>
        </w:rPr>
      </w:pPr>
      <w:r>
        <w:rPr>
          <w:rFonts w:hint="eastAsia" w:ascii="仿宋" w:hAnsi="仿宋" w:eastAsia="仿宋" w:cs="仿宋"/>
          <w:b/>
          <w:kern w:val="2"/>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outlineLvl w:val="9"/>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一、成立防控应急领导小组，建立保障机制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各有关单位成立主要负责人任领导小组组长的新冠肺炎疫情应急领导小组，下设医疗保障、安全后勤保障、消毒组等职能小组，并明确职责分工。</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kern w:val="0"/>
          <w:sz w:val="32"/>
          <w:szCs w:val="32"/>
        </w:rPr>
      </w:pPr>
      <w:r>
        <w:rPr>
          <w:rFonts w:hint="eastAsia" w:ascii="仿宋" w:hAnsi="仿宋" w:eastAsia="仿宋" w:cs="仿宋"/>
          <w:kern w:val="0"/>
          <w:sz w:val="32"/>
          <w:szCs w:val="32"/>
          <w:lang w:val="en-US" w:eastAsia="zh-CN"/>
        </w:rPr>
        <w:t>二、实施应急措施</w:t>
      </w:r>
      <w:r>
        <w:rPr>
          <w:rFonts w:hint="eastAsia" w:ascii="仿宋" w:hAnsi="仿宋" w:eastAsia="仿宋" w:cs="仿宋"/>
          <w:b/>
          <w:kern w:val="0"/>
          <w:sz w:val="32"/>
          <w:szCs w:val="32"/>
          <w:lang w:val="en-US" w:eastAsia="zh-CN"/>
        </w:rPr>
        <w:t xml:space="preserve"> </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如出现确诊病例、疑似病例和无症状感染者时，应启动本预案。</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b w:val="0"/>
          <w:kern w:val="0"/>
          <w:sz w:val="32"/>
          <w:szCs w:val="32"/>
        </w:rPr>
      </w:pPr>
      <w:r>
        <w:rPr>
          <w:rFonts w:hint="eastAsia" w:ascii="仿宋" w:hAnsi="仿宋" w:eastAsia="仿宋" w:cs="仿宋"/>
          <w:b w:val="0"/>
          <w:kern w:val="0"/>
          <w:sz w:val="32"/>
          <w:szCs w:val="32"/>
          <w:lang w:val="en-US" w:eastAsia="zh-CN"/>
        </w:rPr>
        <w:t>（一）散发病例。</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1.发现可疑病例时，应立即引导病例到临时医学观察点或单独隔离观察间进行留观，联系乘车点所在社区（村居）的社区卫生服务中心（乡镇卫生院）等医疗机构初步排查后，送辖区定点医院诊治。</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2.配合疾控机构开展病例和密切接触者流行病学调查，对所有接触过病例或无症状感染者的人员进行调查。根据属地管理原则，按照最新版新冠肺炎防控方案或有关最新文件要求进行密切接触者集中隔离医学观察。隔离期间一旦出现发热、咳嗽等疑似新冠肺炎症状时要及时送定点医院排查、诊治。确诊后立即报告当地疾控机构。</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除密切接触者外，与病例曾接触过但不符合密切接触者判定原则的人员，判定为一般接触者。对一般接触者要做好登记，并进行健康风险告知，嘱其一旦出现发热、咳嗽等疑似新冠肺炎症状时要及时告知健康管理员，并主动告知近期活动史，做好体温检测，佩戴口罩。</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所有配合疾控机构开展流行病学调查的人员，应做好个人防护，佩戴医用外科口罩等。</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3.在疾控机构的指导下，按国家和省的消毒指引，做好病例所到过的候车间、购票厅、交通工具的清洁、随时消毒和终末消毒工作。</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做好其他区域的保洁和消毒防疫工作；加强人群聚集场所的通风换气和空调等公共设施及公共用具的消毒，每次公共交通工具从始发站出发前进行消毒，每日对候车间、购票厅等公共场所及垃圾桶/站进行消毒；各工作场所和餐饮区入口要配备含醇速干手消毒剂，厕所配备洗手液，指导和督促员工做好手卫生。</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4.按照卫生健康部门的建议，根据疫情防控需要，因地制宜采取病例乘坐公共交通工具暂停使用等措施，经过彻底消毒后可继续使用。</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5.做好安全后勤保障工作，确保应急工作顺利开展。保障需要应急处置的设施、设备和物资供应。做好餐饮、生活饮用水安全等生活保障。加强巡查管控，及时停止群体性聚集活动，及时处置安全突发事件。</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6.本单位医务人员要协助当地疾控机构开展流行病学调查、采样、密切接触者筛查等工作。继续做好职工的健康监测工作，配合卫生健康部门做好集中隔离医学观察人员的健康监测工作。每天保持与单位主要负责人、疾控机构进行信息沟通，及时上报最新情况。</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7.做好宣传和员工心理疏导工作。疫情期间要做好舆情监测、心理健康引导和健康教育等工作。通过各种渠道宣传新冠肺炎防控知识。根据确诊病例、疑似病例和密切接触人员等不同群体的实际情况，有针对性的开展心理支持和危机干预工作，稳定员工的情绪，避免过度恐慌。</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b w:val="0"/>
          <w:kern w:val="0"/>
          <w:sz w:val="32"/>
          <w:szCs w:val="32"/>
          <w:lang w:val="en-US" w:eastAsia="zh-CN"/>
        </w:rPr>
        <w:t>（二）1周内出现2例及以上聚集性病例。</w:t>
      </w:r>
      <w:r>
        <w:rPr>
          <w:rFonts w:hint="eastAsia" w:ascii="仿宋" w:hAnsi="仿宋" w:eastAsia="仿宋" w:cs="仿宋"/>
          <w:kern w:val="2"/>
          <w:sz w:val="32"/>
          <w:szCs w:val="32"/>
          <w:lang w:val="en-US" w:eastAsia="zh-CN"/>
        </w:rPr>
        <w:t>应立即报告当地疾控中心，按照政府部门要求及时有效的开展相关防控措施，做好疫情处置工作。对病例乘坐过的交通工具（该交通工具达到终点或中间停车点后）要暂停使用，进行终末消毒。有关乘车场所由疫情防控专家评估后采取相应管控措施。</w:t>
      </w:r>
    </w:p>
    <w:p>
      <w:pPr>
        <w:pStyle w:val="18"/>
        <w:widowControl w:val="0"/>
        <w:wordWrap/>
        <w:autoSpaceDE w:val="0"/>
        <w:adjustRightInd/>
        <w:snapToGrid/>
        <w:spacing w:before="0" w:beforeAutospacing="0" w:after="0" w:afterAutospacing="0" w:line="560" w:lineRule="exact"/>
        <w:ind w:left="0" w:leftChars="0" w:right="0" w:firstLine="640" w:firstLineChars="200"/>
        <w:jc w:val="both"/>
        <w:textAlignment w:val="baseline"/>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 xml:space="preserve">三、预案终止 </w:t>
      </w:r>
    </w:p>
    <w:p>
      <w:pPr>
        <w:widowControl w:val="0"/>
        <w:wordWrap/>
        <w:autoSpaceDE w:val="0"/>
        <w:adjustRightInd/>
        <w:snapToGrid/>
        <w:spacing w:before="0" w:beforeAutospacing="0" w:after="0" w:afterAutospacing="0" w:line="560" w:lineRule="exact"/>
        <w:ind w:left="0" w:leftChars="0" w:right="0" w:firstLine="640" w:firstLineChars="200"/>
        <w:jc w:val="both"/>
        <w:rPr>
          <w:rFonts w:hint="eastAsia" w:ascii="仿宋" w:hAnsi="仿宋" w:eastAsia="仿宋" w:cs="仿宋"/>
          <w:kern w:val="0"/>
          <w:sz w:val="32"/>
          <w:szCs w:val="32"/>
        </w:rPr>
      </w:pPr>
      <w:r>
        <w:rPr>
          <w:rFonts w:hint="eastAsia" w:ascii="仿宋" w:hAnsi="仿宋" w:eastAsia="仿宋" w:cs="仿宋"/>
          <w:kern w:val="0"/>
          <w:sz w:val="32"/>
          <w:szCs w:val="32"/>
          <w:lang w:val="en-US" w:eastAsia="zh-CN"/>
        </w:rPr>
        <w:t>当病例已得到隔离治疗，密切接触者观察14天期满，后续无新发病例，环境得到有效消毒，经卫生健康部门评估，可由各单位疫情防控应急领导小组决定终止响应。</w:t>
      </w:r>
    </w:p>
    <w:p>
      <w:pPr>
        <w:widowControl w:val="0"/>
        <w:wordWrap/>
        <w:autoSpaceDE w:val="0"/>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 </w:t>
      </w:r>
    </w:p>
    <w:p>
      <w:pPr>
        <w:widowControl w:val="0"/>
        <w:wordWrap/>
        <w:adjustRightInd/>
        <w:snapToGrid/>
        <w:spacing w:before="0" w:beforeAutospacing="0" w:after="0" w:afterAutospacing="0" w:line="560" w:lineRule="exact"/>
        <w:ind w:left="0" w:right="0" w:firstLine="640" w:firstLineChars="200"/>
        <w:jc w:val="both"/>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附图：公共交通新冠肺炎疫情应急响应流程图（略）</w:t>
      </w:r>
    </w:p>
    <w:p>
      <w:pPr>
        <w:widowControl w:val="0"/>
        <w:wordWrap/>
        <w:adjustRightInd/>
        <w:snapToGrid/>
        <w:spacing w:line="560" w:lineRule="exact"/>
        <w:ind w:right="0" w:firstLine="640" w:firstLineChars="200"/>
        <w:jc w:val="center"/>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rPr>
      </w:pPr>
    </w:p>
    <w:p>
      <w:pPr>
        <w:rPr>
          <w:rFonts w:hint="eastAsia" w:ascii="仿宋" w:hAnsi="仿宋" w:eastAsia="仿宋" w:cs="仿宋"/>
          <w:i w:val="0"/>
          <w:caps w:val="0"/>
          <w:color w:val="424242"/>
          <w:spacing w:val="0"/>
          <w:sz w:val="32"/>
          <w:szCs w:val="32"/>
        </w:rPr>
      </w:pPr>
      <w:r>
        <w:rPr>
          <w:rFonts w:hint="eastAsia" w:ascii="仿宋" w:hAnsi="仿宋" w:eastAsia="仿宋" w:cs="仿宋"/>
          <w:i w:val="0"/>
          <w:caps w:val="0"/>
          <w:color w:val="424242"/>
          <w:spacing w:val="0"/>
          <w:sz w:val="32"/>
          <w:szCs w:val="32"/>
        </w:rPr>
        <w:br w:type="page"/>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r>
        <w:rPr>
          <w:rFonts w:hint="eastAsia" w:ascii="仿宋" w:hAnsi="仿宋" w:eastAsia="仿宋" w:cs="仿宋"/>
          <w:i w:val="0"/>
          <w:caps w:val="0"/>
          <w:color w:val="424242"/>
          <w:spacing w:val="0"/>
          <w:sz w:val="32"/>
          <w:szCs w:val="32"/>
          <w:lang w:val="en-US" w:eastAsia="zh-CN"/>
        </w:rPr>
        <w:t>附件2</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eastAsia"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公共交通工具新型冠状病毒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jc w:val="center"/>
        <w:textAlignment w:val="auto"/>
        <w:rPr>
          <w:rFonts w:hint="eastAsia" w:ascii="宋体" w:hAnsi="宋体" w:eastAsia="宋体" w:cs="宋体"/>
          <w:i w:val="0"/>
          <w:caps w:val="0"/>
          <w:color w:val="424242"/>
          <w:spacing w:val="0"/>
          <w:sz w:val="44"/>
          <w:szCs w:val="44"/>
          <w:lang w:val="en-US" w:eastAsia="zh-CN"/>
        </w:rPr>
      </w:pPr>
      <w:r>
        <w:rPr>
          <w:rFonts w:hint="eastAsia" w:ascii="宋体" w:hAnsi="宋体" w:eastAsia="宋体" w:cs="宋体"/>
          <w:i w:val="0"/>
          <w:caps w:val="0"/>
          <w:color w:val="424242"/>
          <w:spacing w:val="0"/>
          <w:sz w:val="44"/>
          <w:szCs w:val="44"/>
          <w:lang w:val="en-US" w:eastAsia="zh-CN"/>
        </w:rPr>
        <w:t>感染的肺炎预防控制指引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firstLineChars="20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一、预防控制措施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（一）非空调车的车窗应尽量打开，保持车内良好通风状态；密闭的空调车要开启换气扇及空调排风装置，以增加空气流通。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（二）保持车站、车厢内的卫生整洁，及时打扫卫生和清理垃圾。</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（三）司机和乘务人员要戴一次性口罩（每4小时换一次），在上车入口提供一次性口罩。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（四）自觉有发热、咳嗽、乏力的人员建议不乘坐公共交通工具，普通乘客建议戴一次性口罩（每4小时换一次）。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（五）增加车站、车厢内清洁消毒频次，指派专人进行清洁消毒工作的督导检查，做好清洁消毒工作记录和标识。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六）司机等工作人员要实行健康监测，若出现发热、乏力、干咳及胸闷等疑似新型冠状病毒感染的症状，不要带病上班，应主动戴上口罩到就近的定点救治医院发热门诊就诊。如果有相关疾病流行地区的旅游史，以及发病后接触过什么人，应主动告诉医生，配合医生开展相关调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（七）做好司乘人员工作与轮休安排，确保司乘人员得到足够休息。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（八）加强健康教育。设置新型冠状病毒感染的肺炎相关防控知识宣传栏。利用各种显示屏宣传新型冠状病毒和冬春季传染病防控。</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二、日常清洁及预防性消毒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以清洁为主，预防性消毒为辅，应避免过度消毒，受到污染时随时进行清洁消毒。消毒方法如下：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（一）表面：可使用含氯消毒剂（有效氯浓度250 mg/L～500 mg/L）擦拭，作用30min，再用清水擦净。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（二）地面：可使用含氯消毒剂（有效氯浓度250 mg/L～500 mg/L）用拖布湿式拖拭，作用30min，再用清水洗净。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三、常见消毒剂及配制使用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（一）有效氯浓度500 mg/L的含氯消毒剂配制方法：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1.84消毒液（有效氯含量5%）：按消毒液：水为1:100比例稀释；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2.消毒粉（有效氯含量12-13%，20克/包）：1包消毒粉加4.8升水；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3.含氯泡腾片（有效氯含量480mg/片-580mg/片）：1片溶于1升水。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（二）75%乙醇消毒液：直接使用。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（三）其他消毒剂按产品标签标识以杀灭肠道致病菌的浓度进行配制和使用。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四、注意事项</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　　（一）含氯消毒剂有皮肤黏膜刺激性，配置和使用时建议佩戴口罩和手套，儿童请勿触碰。</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r>
        <w:rPr>
          <w:rFonts w:hint="default" w:ascii="仿宋" w:hAnsi="仿宋" w:eastAsia="仿宋" w:cs="仿宋"/>
          <w:i w:val="0"/>
          <w:caps w:val="0"/>
          <w:color w:val="424242"/>
          <w:spacing w:val="0"/>
          <w:sz w:val="32"/>
          <w:szCs w:val="32"/>
          <w:lang w:val="en-US" w:eastAsia="zh-CN"/>
        </w:rPr>
        <w:t>（二）乙醇消毒液使用应远离火源。</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0"/>
        <w:textAlignment w:val="auto"/>
        <w:rPr>
          <w:rFonts w:hint="default" w:ascii="仿宋" w:hAnsi="仿宋" w:eastAsia="仿宋" w:cs="仿宋"/>
          <w:i w:val="0"/>
          <w:caps w:val="0"/>
          <w:color w:val="424242"/>
          <w:spacing w:val="0"/>
          <w:sz w:val="32"/>
          <w:szCs w:val="32"/>
          <w:lang w:val="en-US" w:eastAsia="zh-CN"/>
        </w:rPr>
      </w:pP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广东省新冠肺炎防控指挥办疫情防控组关于</w:t>
      </w: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印发《广东省大型群众性活动新冠肺炎疫情</w:t>
      </w:r>
    </w:p>
    <w:p>
      <w:pPr>
        <w:pStyle w:val="18"/>
        <w:widowControl/>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常态化防控工作指引》的通知</w:t>
      </w:r>
    </w:p>
    <w:p>
      <w:pPr>
        <w:pStyle w:val="18"/>
        <w:widowControl/>
        <w:wordWrap/>
        <w:adjustRightInd/>
        <w:snapToGrid/>
        <w:spacing w:line="0" w:lineRule="atLeast"/>
        <w:jc w:val="center"/>
        <w:textAlignment w:val="auto"/>
        <w:outlineLvl w:val="9"/>
        <w:rPr>
          <w:rFonts w:hint="eastAsia" w:ascii="楷体" w:hAnsi="楷体" w:eastAsia="楷体" w:cs="楷体"/>
          <w:sz w:val="32"/>
          <w:szCs w:val="32"/>
        </w:rPr>
      </w:pPr>
      <w:r>
        <w:rPr>
          <w:rFonts w:hint="eastAsia" w:ascii="宋体" w:hAnsi="宋体" w:eastAsia="宋体" w:cs="宋体"/>
          <w:color w:val="000000"/>
          <w:sz w:val="44"/>
          <w:szCs w:val="44"/>
        </w:rPr>
        <w:br w:type="textWrapping"/>
      </w:r>
      <w:r>
        <w:rPr>
          <w:rFonts w:hint="eastAsia" w:ascii="楷体" w:hAnsi="楷体" w:eastAsia="楷体" w:cs="楷体"/>
          <w:color w:val="000000"/>
          <w:sz w:val="32"/>
          <w:szCs w:val="32"/>
        </w:rPr>
        <w:t>（粤卫疾控函〔2020〕196号）</w:t>
      </w:r>
    </w:p>
    <w:p>
      <w:pPr>
        <w:widowControl/>
        <w:wordWrap/>
        <w:adjustRightInd/>
        <w:snapToGrid/>
        <w:spacing w:line="560" w:lineRule="exact"/>
        <w:jc w:val="left"/>
        <w:textAlignment w:val="auto"/>
        <w:outlineLvl w:val="9"/>
        <w:rPr>
          <w:rFonts w:hint="eastAsia" w:ascii="仿宋_GB2312" w:hAnsi="仿宋_GB2312" w:eastAsia="仿宋_GB2312" w:cs="仿宋_GB2312"/>
          <w:sz w:val="32"/>
          <w:szCs w:val="32"/>
        </w:rPr>
      </w:pPr>
      <w:r>
        <w:rPr>
          <w:rFonts w:hint="eastAsia" w:ascii="宋体" w:hAnsi="宋体" w:eastAsia="宋体" w:cs="宋体"/>
          <w:color w:val="000000"/>
          <w:sz w:val="16"/>
          <w:szCs w:val="16"/>
        </w:rPr>
        <w:br w:type="textWrapping"/>
      </w:r>
      <w:r>
        <w:rPr>
          <w:rFonts w:hint="eastAsia" w:ascii="仿宋_GB2312" w:hAnsi="仿宋_GB2312" w:eastAsia="仿宋_GB2312" w:cs="仿宋_GB2312"/>
          <w:color w:val="000000"/>
          <w:sz w:val="32"/>
          <w:szCs w:val="32"/>
        </w:rPr>
        <w:t>各地级以上市新冠肺炎防控指挥办，省新冠肺炎防控指挥办疫情防控组各成员单位：</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为全面贯彻落实“外防输入，内防反弹”的总体防控策略，统筹推进疫情防控和经济社会发展，指导我省大型群众性活动新冠肺炎疫情常态化防控工作，我们组织编制了《广东省大型群众性活动新冠肺炎疫情常态化防控工作指引》。经省新冠肺炎防控指挥办同意，现印发给你们，请参照执行。</w:t>
      </w:r>
    </w:p>
    <w:p>
      <w:pPr>
        <w:widowControl/>
        <w:pBdr>
          <w:top w:val="none" w:color="auto" w:sz="0" w:space="0"/>
          <w:left w:val="none" w:color="auto" w:sz="0" w:space="0"/>
          <w:bottom w:val="none" w:color="auto" w:sz="0" w:space="0"/>
          <w:right w:val="none" w:color="auto" w:sz="0" w:space="0"/>
        </w:pBdr>
        <w:wordWrap/>
        <w:adjustRightInd/>
        <w:snapToGrid/>
        <w:spacing w:line="560" w:lineRule="exact"/>
        <w:jc w:val="righ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广东省新冠肺炎防控指挥办疫情防控组</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（代 章）</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2020年9月8日</w:t>
      </w: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spacing w:line="288" w:lineRule="atLeast"/>
        <w:jc w:val="center"/>
        <w:rPr>
          <w:rFonts w:hint="eastAsia" w:ascii="宋体" w:hAnsi="宋体" w:eastAsia="宋体" w:cs="宋体"/>
          <w:color w:val="000000"/>
          <w:sz w:val="16"/>
          <w:szCs w:val="16"/>
        </w:rPr>
      </w:pPr>
    </w:p>
    <w:p>
      <w:pPr>
        <w:widowControl/>
        <w:pBdr>
          <w:top w:val="none" w:color="auto" w:sz="0" w:space="0"/>
          <w:left w:val="none" w:color="auto" w:sz="0" w:space="0"/>
          <w:bottom w:val="none" w:color="auto" w:sz="0" w:space="0"/>
          <w:right w:val="none" w:color="auto" w:sz="0" w:space="0"/>
        </w:pBdr>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广东省大型群众性活动新冠肺炎疫情常态化</w:t>
      </w:r>
    </w:p>
    <w:p>
      <w:pPr>
        <w:widowControl/>
        <w:pBdr>
          <w:top w:val="none" w:color="auto" w:sz="0" w:space="0"/>
          <w:left w:val="none" w:color="auto" w:sz="0" w:space="0"/>
          <w:bottom w:val="none" w:color="auto" w:sz="0" w:space="0"/>
          <w:right w:val="none" w:color="auto" w:sz="0" w:space="0"/>
        </w:pBdr>
        <w:wordWrap/>
        <w:adjustRightInd/>
        <w:snapToGrid/>
        <w:spacing w:line="0" w:lineRule="atLeast"/>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防控工作指引</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r>
        <w:rPr>
          <w:rFonts w:hint="eastAsia" w:ascii="宋体" w:hAnsi="宋体" w:eastAsia="宋体" w:cs="宋体"/>
          <w:color w:val="000000"/>
          <w:sz w:val="16"/>
          <w:szCs w:val="16"/>
        </w:rPr>
        <w:t>　　</w:t>
      </w:r>
      <w:r>
        <w:rPr>
          <w:rFonts w:hint="eastAsia" w:ascii="仿宋_GB2312" w:hAnsi="仿宋_GB2312" w:eastAsia="仿宋_GB2312" w:cs="仿宋_GB2312"/>
          <w:color w:val="000000"/>
          <w:sz w:val="32"/>
          <w:szCs w:val="32"/>
        </w:rPr>
        <w:t>根据国家和省委、省政府关于新冠肺炎疫情常态化防控工作部署，统筹推进疫情防控和经济社会发展，全面贯彻落实“外防输入，内防反弹”的总体策略，在严格落实疫情常态化防控工作各项要求基础上，安全有序做好我省大型群众性活动新冠肺炎疫情常态化防控工作，结合我省实际情况，制定本指引。</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一、总体要求</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深入贯彻落实《</w:t>
      </w:r>
      <w:r>
        <w:rPr>
          <w:rFonts w:hint="eastAsia" w:ascii="仿宋_GB2312" w:hAnsi="仿宋_GB2312" w:eastAsia="仿宋_GB2312" w:cs="仿宋_GB2312"/>
          <w:color w:val="000000"/>
          <w:sz w:val="32"/>
          <w:szCs w:val="32"/>
        </w:rPr>
        <w:fldChar w:fldCharType="begin"/>
      </w:r>
      <w:r>
        <w:rPr>
          <w:rFonts w:hint="eastAsia" w:ascii="仿宋_GB2312" w:hAnsi="仿宋_GB2312" w:eastAsia="仿宋_GB2312" w:cs="仿宋_GB2312"/>
          <w:color w:val="000000"/>
          <w:sz w:val="32"/>
          <w:szCs w:val="32"/>
        </w:rPr>
        <w:instrText xml:space="preserve"> HYPERLINK "javascript:SLC(342057,0)" </w:instrText>
      </w:r>
      <w:r>
        <w:rPr>
          <w:rFonts w:hint="eastAsia" w:ascii="仿宋_GB2312" w:hAnsi="仿宋_GB2312" w:eastAsia="仿宋_GB2312" w:cs="仿宋_GB2312"/>
          <w:color w:val="000000"/>
          <w:sz w:val="32"/>
          <w:szCs w:val="32"/>
        </w:rPr>
        <w:fldChar w:fldCharType="separate"/>
      </w:r>
      <w:r>
        <w:rPr>
          <w:rStyle w:val="27"/>
          <w:rFonts w:hint="eastAsia" w:ascii="仿宋_GB2312" w:hAnsi="仿宋_GB2312" w:eastAsia="仿宋_GB2312" w:cs="仿宋_GB2312"/>
          <w:color w:val="000000"/>
          <w:sz w:val="32"/>
          <w:szCs w:val="32"/>
        </w:rPr>
        <w:t>国务院应对新型冠状病毒感染肺炎疫情联防联控机制关于做好新冠肺炎疫情常态化防控工作的指导意见</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国发明电〔2020〕14号）、《广东省新型冠状病毒肺炎疫情防控指挥部关于做好新冠肺炎疫情常态化防控工作的实施意见》（粤防疫指明电〔2020〕19号）有关要求，全面落实“外防输入、内防反弹”的总体防控策略，结合国家和省分区分级有关文件要求，处理好常态化下疫情防控和恢复正常活动秩序的关系，坚持“非必要不举办、防控优先”的原则，严防常态化下疫情在大型群众性活动内传播，保障群众的身体健康和生命安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二、适用范围</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本指引适用于指导全省举办1000人（含）以上的大型群众性活动应对新冠肺炎疫情采取的防护措施。1000人以下的群众性活动由各地参照本指引实施。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三、基本原则</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非必要不举办，谁举办谁负责原则。按照“非必要不举办，谁举办谁负责”的原则，从严控制举办大型群众性活动；举办单位要落实主体责任，管理部门要落实监督责任，严格按照本指引的要求，将防控工作落实落细落小，确保疫情不在本地传播扩散。</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分级分类管理原则。根据疫情响应级别，结合活动特点和地区实际情况，针对来自市内、省内、跨省、境外不同区域和低、中、高不同等级风险地区的活动和人员，实行分级分类管理。审慎举办大型涉外活动。中、高风险地区禁止举办各种形式的大型群众性活动；低风险地区在做好各项防控措施前提下可举办必要的大型群众性活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（三）动态调整原则。根据疫情形势变化和本地疫情风险评估情况，按照国家和省疫情防控要求，因地制宜、因时制宜，通过线上线下相结合等方式，动态调整大型群众性活动举办方式、规模和防控措施。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（四）“四强化一提倡”原则。人群聚集活动要做到强化进门测温扫码、强化人员流量管控、强化场所清洁通风消毒、强化人员健康管理和防控知识培训，提倡无现金支付。</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四、职责分工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举办地人民政府落实属地责任。各地人民政府对辖内各级党委政府举办的大型群众性活动疫情防控工作要落实属地责任，对本地疫情防控工作负总责，根据分区分级有关要求，做好本地疫情风险研判，组织当地疫情防控领导机构开展风险评估，并根据评估意见做好大型群众性活动的组织实施工作。</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（二）各相关部门按职责落实疫情防控责任。活动举办单位（主、承办单位，下同）承担疫情防控主体责任，属地业务主管部门落实疫情防控和安全保卫监管责任，属地卫生健康部门负责做好疫情防控技术指导。</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五、主要措施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（一）建立健全疫情防控机制。</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活动举办单位要设立疫情防控工作领导小组和疫情防控工作专班，主动对接属地卫生健康部门，认真制定并严格落实活动疫情防控方案和应急预案，建立场所内感染控制与隔离制度、流程并组织实施。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（二）落实活动举办单位防控责任。</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科学规划活动方案及场地布局。尽量选择室外通风良好的地点举办大型群众性活动，并按防控要求合理规划活动场地分区（测温区、活动区、应急医疗服务区、临时隔离间等）、布局及人员动线，各分区要有醒目的指引标识，要提出流量管控方案。活动现场要设置足够的洗手设备或免洗手消毒液。鼓励采取线上线下相结合的形式，压缩人员规模，缩短举办时间。</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控制人员规模和密度。根据场地规模控制活动人数，活动参加人员原则上控制在场所最大容纳人数的50%以内，实行预约分流、分批错峰入场等管控措施，引导活动人员有序进出，保持1米以上社交距离，尽量避免握手、拥抱等密切接触行为。</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3.做好防疫物资储备。根据活动规模和人员数量储备足够的疫情防控物资，包括消毒设备、消毒用品、口罩、手套、洗手液等。</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设置临时隔离观察间。根据参加活动人员和活动场所实际情况设置一定数量的临时医学观察点，用于初测体温≥37.3℃人员的体温复测和待送人员停留，单独隔离观察间用于不需要在医院隔离的具有发热等症状人员的隔离观察。观察点要设在相对独立、通风良好的房间，需配备1-2名工作人员，负责体温检测和发热人员的管理，并配备红外测温仪、水银温度计、一次性医用外科口罩、消毒纸巾、医用乳胶手套、快速手消毒剂、84消毒剂等物品。有条件的配备木制或铁制椅子，不宜配备不易消毒的布质材料沙发。</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（三）落实人员健康管理。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做好活动工作人员健康防护。活动举办单位负责安排专人负责健康监测工作，做好活动工作人员日常体温监测，如出现发热（≥37.3℃）、干咳等症状应及时报告并进行排查。活动现场工作人员分发的一次性医用口罩、消毒剂等防疫物品，按照每工作4-6小时更换一次的频率进行发放。工作人员自觉做好个人卫生防护，每日通过“粤康码”等小程序如实进行健康申报，科学佩戴口罩，加强手卫生。</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落实活动参加人员扫码测温。做好活动参加人员体温监测，通过红外测温门等设备确保体温检测准确性。对活动参加人员进行健康扫码或登记，可通过实名登记、预约入场等方式对活动人员进行人员管理，查验为红码或出现发热（≥37.3℃）、干咳等症状的人员，严禁参加活动。</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开展防疫知识培训宣传。开展岗前培训，使活动工作人员熟悉防疫要求和应急处置流程。通过活动现场海报、广播、电子屏等形式加强疫情防控知识宣传，增强活动参加人员个人防护意识，熟悉应急处置流程，主动配合疫情防控工作。引导活动参加人员按照《公众科学戴口罩指引（修订版）》（联防联控机制综发〔2020〕174号）科学佩戴口罩，做好个人防护，加强手卫生，注意咳嗽礼仪。</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（四）加强环境清洁消毒。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重点场所清洁消毒。保持环境整洁卫生，加强对活动场地、休息区域、接待区域、公共交通工具、公共卫生间、厢式电梯等重点场所通风消毒，并做好清洁消毒记录。电梯、空调通风系统、卫生间等重点场所设施卫生清洁消毒可参照《居家和公共场所卫生间预防新型冠状病毒感染的肺炎疫情卫生清洁消毒指引（第一版）》《广东省新冠肺炎疫情常态化防控期间公共电梯（扶梯）清洁消毒工作指引》《夏季空调运行管理与使用指引（修订版）》和《广东省新冠肺炎疫情常态化防控期间空调通风系统使用指引》执行。（相关指引可登录广东省卫生健康委官方网站下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垃圾收集处理。各类垃圾要分类收集，及时清运。普通垃圾放入黑色塑料袋，口罩等防护用品垃圾按照生活垃圾分类处理。垃圾筒及垃圾点周围无散落，垃圾存放点各类垃圾及时清运，垃圾无超时超量堆放。垃圾转运车、垃圾筒、垃圾点墙壁、地面保持清洁，每日活动结束后用含氯消毒剂喷洒或擦拭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3.环境表面清洁。对高频接触的物体表面，可用含氯消毒剂进行喷洒或擦拭消毒，对室内地面进行拖拭消毒。建议在每天活动开始前和结束后各消毒一次。</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（五）餐饮管理防控措施。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1.就餐区设置。活动现场原则上不安排就餐区。若需设立就餐区，应通过采取减少桌椅摆放、间隔1米、错位用餐等措施，适当加大就餐者之间的距离。</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2.加强食品卫生管理。</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（1）食品加工制作符合要求。食品加工制作要符合《餐饮服务食品安全操作规范》规定。生熟食品分开加工和存放，在处理生肉、生水产品等食品时应格外小心，避免交叉污染。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（2）食品加工场所清洁卫生。具有安全合规的食品加工场所，定时对食品加工场所进行卫生清理，并保证避免消毒液、酒精等直接接触餐具、食材和菜品。</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（3）用餐提供公筷公勺餐具。为每桌客人提供双筷位勺或公筷公勺餐具，防止交叉污染。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（4）食品储藏防止交叉污染。加强肉、海鲜类等冷冻食品储藏安全，食品原材料坚持覆盖保鲜膜或加盖再进行储存，防止交叉污染。</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3.用餐环境清洁卫生。做好炊具、餐具的清洁和消毒工作。垃圾分类处理，及时清运，做好就餐区通风消毒。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六、应急处置</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（一）加强值班值守和完善应急预案。进一步加强值班值守，随时保持信息渠道畅通。充分做好疫情相关突发事件应急处置准备，组织制订完善应急预案，一旦发生异常情况，及时启动应急预案。</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（二）疑似症状人员处置。如发现活动中有人员出现发热、干咳、乏力等新冠肺炎可疑症状时，应避免继续接触他人，做好防护并送当地发热门诊就诊排查。</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三）病例处置。核酸筛查阳性病例在做好防护的前提下应立即转送当地指定医疗机构就诊排查，积极配合当地疾控中心做好流行病学调查，尽快查明可能的感染源；在当地疾控中心的指导下，依法依规、精准管控，科学划定防控区域范围至最小单位，果断采取限制性防控措施。</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（四）终末消毒。病例可能污染的相关场所在当地疾控中心指导下，进行终末消毒，空调通风系统进行清洗消毒。</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（五）其他处置措施。密切接触者和场所管控按照最新防控方案和我省相关应急处置预案做好防控措施</w:t>
      </w:r>
      <w:r>
        <w:rPr>
          <w:rFonts w:hint="eastAsia" w:ascii="仿宋_GB2312" w:hAnsi="仿宋_GB2312" w:cs="仿宋_GB2312"/>
          <w:color w:val="000000"/>
          <w:sz w:val="32"/>
          <w:szCs w:val="32"/>
          <w:lang w:eastAsia="zh-CN"/>
        </w:rPr>
        <w:t>。</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right="0" w:firstLine="641"/>
        <w:textAlignment w:val="auto"/>
        <w:outlineLvl w:val="9"/>
        <w:rPr>
          <w:rFonts w:hint="eastAsia" w:ascii="仿宋_GB2312" w:hAnsi="仿宋_GB2312" w:cs="仿宋_GB2312"/>
          <w:color w:val="000000"/>
          <w:sz w:val="32"/>
          <w:szCs w:val="32"/>
          <w:lang w:eastAsia="zh-CN"/>
        </w:rPr>
      </w:pPr>
    </w:p>
    <w:p>
      <w:pPr>
        <w:pStyle w:val="4"/>
        <w:widowControl/>
        <w:pBdr>
          <w:top w:val="none" w:color="auto" w:sz="0" w:space="0"/>
          <w:left w:val="none" w:color="auto" w:sz="0" w:space="0"/>
          <w:bottom w:val="none" w:color="auto" w:sz="0" w:space="0"/>
          <w:right w:val="none" w:color="auto" w:sz="0" w:space="0"/>
        </w:pBdr>
        <w:spacing w:before="300" w:beforeAutospacing="0" w:after="0" w:afterAutospacing="0" w:line="0" w:lineRule="atLeast"/>
        <w:ind w:left="0" w:right="0"/>
        <w:jc w:val="center"/>
        <w:rPr>
          <w:rFonts w:hint="eastAsia" w:ascii="宋体" w:hAnsi="宋体" w:eastAsia="宋体" w:cs="宋体"/>
          <w:b w:val="0"/>
          <w:bCs w:val="0"/>
          <w:sz w:val="44"/>
          <w:szCs w:val="44"/>
        </w:rPr>
      </w:pPr>
      <w:r>
        <w:rPr>
          <w:rFonts w:hint="eastAsia" w:ascii="宋体" w:hAnsi="宋体" w:eastAsia="宋体" w:cs="宋体"/>
          <w:b w:val="0"/>
          <w:bCs w:val="0"/>
          <w:sz w:val="44"/>
          <w:szCs w:val="44"/>
        </w:rPr>
        <w:t>广东省新冠肺炎防控指挥办疫情防控组关于印发广东省月子服务机构新冠肺炎疫情常态化防控工作指引（第二版）的通知</w:t>
      </w:r>
    </w:p>
    <w:p>
      <w:pPr>
        <w:widowControl/>
        <w:pBdr>
          <w:top w:val="none" w:color="auto" w:sz="0" w:space="0"/>
          <w:left w:val="none" w:color="auto" w:sz="0" w:space="0"/>
          <w:bottom w:val="none" w:color="auto" w:sz="0" w:space="0"/>
          <w:right w:val="none" w:color="auto" w:sz="0" w:space="0"/>
        </w:pBdr>
        <w:shd w:val="clear" w:color="auto" w:fill="E8EDF1"/>
        <w:spacing w:before="180" w:beforeAutospacing="0" w:after="180" w:afterAutospacing="0"/>
        <w:ind w:left="0" w:right="0"/>
        <w:rPr>
          <w:rFonts w:hint="eastAsia" w:ascii="楷体_GB2312" w:hAnsi="楷体_GB2312" w:eastAsia="楷体_GB2312" w:cs="楷体_GB2312"/>
        </w:rPr>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pPr>
      <w:r>
        <w:rPr>
          <w:sz w:val="24"/>
          <w:szCs w:val="24"/>
        </w:rPr>
        <w:t>粤卫疾控函〔2021〕13号</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left"/>
        <w:rPr>
          <w:rFonts w:hint="eastAsia" w:ascii="仿宋_GB2312" w:hAnsi="仿宋_GB2312" w:cs="仿宋_GB2312"/>
          <w:sz w:val="32"/>
          <w:szCs w:val="32"/>
        </w:rPr>
      </w:pPr>
      <w:r>
        <w:rPr>
          <w:rFonts w:hint="eastAsia" w:ascii="仿宋_GB2312" w:hAnsi="仿宋_GB2312" w:cs="仿宋_GB2312"/>
          <w:sz w:val="32"/>
          <w:szCs w:val="32"/>
        </w:rPr>
        <w:t>各地级以上市新冠肺炎防控指挥办，省新冠肺炎防控指挥办疫情防控组各成员单位：</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left"/>
        <w:rPr>
          <w:rFonts w:hint="eastAsia" w:ascii="仿宋_GB2312" w:hAnsi="仿宋_GB2312" w:cs="仿宋_GB2312"/>
          <w:sz w:val="32"/>
          <w:szCs w:val="32"/>
        </w:rPr>
      </w:pPr>
      <w:r>
        <w:rPr>
          <w:rFonts w:hint="eastAsia" w:ascii="仿宋_GB2312" w:hAnsi="仿宋_GB2312" w:cs="仿宋_GB2312"/>
          <w:sz w:val="32"/>
          <w:szCs w:val="32"/>
        </w:rPr>
        <w:t>　　根据《国务院应对新型冠状病毒感染肺炎疫情联防联控机制关于做好新冠肺炎疫情常态化防控工作的指导意见》(国发明电〔2020〕14号)、《广东省新型冠状病毒肺炎疫情防控指挥部关于做好新冠肺炎疫情常态化防控工作的实施意见》(粤防疫指明电〔2020〕19号)、《广东省新冠肺炎防控指挥部关于进一步科学精准做好新冠肺炎疫情常态化防控工作的实施意见》和《广东省2021年春节期间新冠肺炎防控工作方案》文件精神，结合当前新冠肺炎疫情防控工作需要，我们组织对我省月子服务机构相关疫情防控工作指引进行了修订，形成《广东省月子服务机构新冠肺炎疫情常态化防控工作指引（第二版）》。现印发给你们，请参照执行。</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left"/>
        <w:rPr>
          <w:rFonts w:hint="eastAsia" w:ascii="仿宋_GB2312" w:hAnsi="仿宋_GB2312" w:cs="仿宋_GB2312"/>
          <w:sz w:val="32"/>
          <w:szCs w:val="32"/>
        </w:rPr>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right"/>
        <w:rPr>
          <w:rFonts w:hint="eastAsia" w:ascii="仿宋_GB2312" w:hAnsi="仿宋_GB2312" w:cs="仿宋_GB2312"/>
          <w:sz w:val="32"/>
          <w:szCs w:val="32"/>
        </w:rPr>
      </w:pPr>
      <w:r>
        <w:rPr>
          <w:rFonts w:hint="eastAsia" w:ascii="仿宋_GB2312" w:hAnsi="仿宋_GB2312" w:cs="仿宋_GB2312"/>
          <w:sz w:val="32"/>
          <w:szCs w:val="32"/>
        </w:rPr>
        <w:t>　　广东省新冠肺炎防控指挥办疫情防控组</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right"/>
        <w:rPr>
          <w:rFonts w:hint="eastAsia" w:ascii="仿宋_GB2312" w:hAnsi="仿宋_GB2312" w:cs="仿宋_GB2312"/>
          <w:sz w:val="32"/>
          <w:szCs w:val="32"/>
        </w:rPr>
      </w:pPr>
      <w:r>
        <w:rPr>
          <w:rFonts w:hint="eastAsia" w:ascii="仿宋_GB2312" w:hAnsi="仿宋_GB2312" w:cs="仿宋_GB2312"/>
          <w:sz w:val="32"/>
          <w:szCs w:val="32"/>
        </w:rPr>
        <w:t>　　（代 章）</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jc w:val="right"/>
        <w:rPr>
          <w:rFonts w:hint="eastAsia" w:ascii="仿宋_GB2312" w:hAnsi="仿宋_GB2312" w:cs="仿宋_GB2312"/>
          <w:sz w:val="32"/>
          <w:szCs w:val="32"/>
        </w:rPr>
      </w:pPr>
      <w:r>
        <w:rPr>
          <w:rFonts w:hint="eastAsia" w:ascii="仿宋_GB2312" w:hAnsi="仿宋_GB2312" w:cs="仿宋_GB2312"/>
          <w:sz w:val="32"/>
          <w:szCs w:val="32"/>
        </w:rPr>
        <w:t>　　2021年1月24日</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pPr>
    </w:p>
    <w:p>
      <w:pPr>
        <w:pStyle w:val="6"/>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rFonts w:hint="eastAsia" w:ascii="宋体" w:hAnsi="宋体" w:eastAsia="宋体" w:cs="宋体"/>
          <w:b w:val="0"/>
          <w:bCs w:val="0"/>
          <w:sz w:val="44"/>
          <w:szCs w:val="44"/>
        </w:rPr>
      </w:pPr>
      <w:r>
        <w:rPr>
          <w:rFonts w:hint="eastAsia" w:ascii="宋体" w:hAnsi="宋体" w:eastAsia="宋体" w:cs="宋体"/>
          <w:b w:val="0"/>
          <w:bCs w:val="0"/>
          <w:sz w:val="44"/>
          <w:szCs w:val="44"/>
        </w:rPr>
        <w:t>广东省月子服务机构新冠肺炎疫情常态化防控工作指引（第二版）</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sz w:val="24"/>
          <w:szCs w:val="24"/>
        </w:rPr>
        <w:t>　　</w:t>
      </w:r>
      <w:r>
        <w:rPr>
          <w:rFonts w:hint="eastAsia" w:ascii="仿宋_GB2312" w:hAnsi="仿宋_GB2312" w:eastAsia="仿宋_GB2312" w:cs="仿宋_GB2312"/>
          <w:sz w:val="32"/>
          <w:szCs w:val="32"/>
        </w:rPr>
        <w:t>一、总体要求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机构要按照《国务院应对新型冠状病毒感染肺炎疫情联防联控机制关于做好新冠肺炎疫情常态化防控工作的指导意见》（国发明电〔2020〕14号）、《广东省新型冠状病毒肺炎疫情防控指挥部关于做好新冠肺炎疫情常态化防控工作的实施意见》（粤防疫指明电〔2020〕19号）、《广东省新冠肺炎防控指挥部关于进一步科学精准做好新冠肺炎疫情常态化防控工作的实施意见》和《广东省2021年春节期间新冠肺炎防控工作方案》要求，处理好常态化下疫情防控和正常经营服务的关系，防止常态化下疫情在月子服务机构范围内传播，保障人民群众身体健康和生命安全。</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二、适用范围</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本指引适用于全省提供妇女产后恢复服务的月子会所、月子中心等服务机构。</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三、职责分工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地市党委政府要落实属地责任，对本地疫情防控工作负总责，根据分区分级有关要求，做好本地疫情研判及相关疫情防控工作。母婴服务类机构要继续落实高于社会面的管控措施，各月子服务机构落实疫情防控主体责任，主管部门落实监管责任，属地卫生健康部门负责提供技术指导。</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四、主要措施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（一）建立健全疫情防控机制。</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各月子服务机构要设立疫情防控工作领导小组和健康管理员，主动对接属地卫生健康部门，制定并实施防控方案和应急预案。</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（二）做好物资储备。</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各机构需配备好各类防护用品和消毒物资，如口罩、防护服、护目镜、洗手液、消毒工具、消毒剂等。</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（三）工作人员培训上岗。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各机构要按照常态化下疫情防控要求，对工作人员尤其是新聘用人员开展有针对性的培训和演练操作，确保工作人员上岗前掌握相关知识和技能，养成良好卫生习惯。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（四）人员健康及物品出入管理。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1.加强陪护人员管理。</w:t>
      </w:r>
      <w:r>
        <w:rPr>
          <w:rFonts w:hint="eastAsia" w:ascii="仿宋_GB2312" w:hAnsi="仿宋_GB2312" w:eastAsia="仿宋_GB2312" w:cs="仿宋_GB2312"/>
          <w:sz w:val="32"/>
          <w:szCs w:val="32"/>
        </w:rPr>
        <w:t>各机构要采取预约等方式限制访视人员数量，减少不必要的人员访视和陪护。原则上相对固定1名陪护人员，陪护人员和服务对象（产妇）需凭7日内核酸检测阴性结果入住。</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2.落实健康码管理要求。</w:t>
      </w:r>
      <w:r>
        <w:rPr>
          <w:rFonts w:hint="eastAsia" w:ascii="仿宋_GB2312" w:hAnsi="仿宋_GB2312" w:eastAsia="仿宋_GB2312" w:cs="仿宋_GB2312"/>
          <w:sz w:val="32"/>
          <w:szCs w:val="32"/>
        </w:rPr>
        <w:t>机构应在入口处设专人进行体温检测和监督落实扫“粤康码”等电子健康码，如发现体温异常（≥37.3℃）或红码、黄码人员，不得进入。对于无法出示健康码的人员，需凭7日内核酸检测阴性结果证明且体温正常方可进入。对返岗和新聘用的员工需进行新冠肺炎核酸检测，阴性方可上岗。要加强对工作人员行踪管理，最大限度减少前往人员密集区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3.严格外来物品管理。</w:t>
      </w:r>
      <w:r>
        <w:rPr>
          <w:rFonts w:hint="eastAsia" w:ascii="仿宋_GB2312" w:hAnsi="仿宋_GB2312" w:eastAsia="仿宋_GB2312" w:cs="仿宋_GB2312"/>
          <w:sz w:val="32"/>
          <w:szCs w:val="32"/>
        </w:rPr>
        <w:t>机构应减少后勤采购人员物资采购频次，尽量采取无接触送货上门等方式，杜绝进口冷链食品进入工作区域并使用。加强对快递物品的管理，推行无接触配送服务，对快递外包装进行消毒后方才交付给机构内收件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4.设立临时医学观察点和单独隔离观察间。</w:t>
      </w:r>
      <w:r>
        <w:rPr>
          <w:rFonts w:hint="eastAsia" w:ascii="仿宋_GB2312" w:hAnsi="仿宋_GB2312" w:eastAsia="仿宋_GB2312" w:cs="仿宋_GB2312"/>
          <w:sz w:val="32"/>
          <w:szCs w:val="32"/>
        </w:rPr>
        <w:t>各机构根据员工、服务对象数量和场所等实际情况可设置一定数量的临时医学观察点和单独隔离观察间，临时医学观察点用于初测体温（≥37.3℃）人员的体温复测和待送人员停留，单独隔离观察间用于不需要在医院隔离的具有发热等症状人员的隔离观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观察点要设在相对独立、通风良好的房间，需配备1—2名工作人员，负责体温检测和发热人员的管理，并配备红外测温仪、水银温度计、一次性医用外科口罩、消毒纸巾、医用乳胶手套、快速手消毒剂、84消毒剂等物品。有条件的配备木制或铁制椅子，不宜配备不易消毒的布质材料沙发。临时医学观察点的工作人员需穿工作服（白大衣）、佩戴一次性医用外科口罩、医用乳胶手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5.建立健康监测制度。</w:t>
      </w:r>
      <w:r>
        <w:rPr>
          <w:rFonts w:hint="eastAsia" w:ascii="仿宋_GB2312" w:hAnsi="仿宋_GB2312" w:eastAsia="仿宋_GB2312" w:cs="仿宋_GB2312"/>
          <w:sz w:val="32"/>
          <w:szCs w:val="32"/>
        </w:rPr>
        <w:t>安排专人对机构内工作人员、产妇、新生儿及陪护家属进行体温监测，每日实行晨检和晚检。如出现发热（≥37.3℃）、咳嗽、乏力等症状的人员，要立即引导到临时医学观察点，并按要求做好信息上报和就医排查工作，做到早发现、早报告、早隔离、早治疗。</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6.加强防控知识宣教。</w:t>
      </w:r>
      <w:r>
        <w:rPr>
          <w:rFonts w:hint="eastAsia" w:ascii="仿宋_GB2312" w:hAnsi="仿宋_GB2312" w:eastAsia="仿宋_GB2312" w:cs="仿宋_GB2312"/>
          <w:sz w:val="32"/>
          <w:szCs w:val="32"/>
        </w:rPr>
        <w:t>用健康提示、张贴宣传画、视频播放等多种方式，加强新冠肺炎防治知识科学宣传普及，引导员工和服务对象充分了解新冠肺炎防治知识，正确佩戴口罩、做好室内通风与消毒，学会正确的洗手方法。外出后需洗手更衣再接触新生儿，养成良好卫生习惯。</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7.鼓励开展心理健康服务。</w:t>
      </w:r>
      <w:r>
        <w:rPr>
          <w:rFonts w:hint="eastAsia" w:ascii="仿宋_GB2312" w:hAnsi="仿宋_GB2312" w:eastAsia="仿宋_GB2312" w:cs="仿宋_GB2312"/>
          <w:sz w:val="32"/>
          <w:szCs w:val="32"/>
        </w:rPr>
        <w:t>加强产妇心理调节，做好正面宣传教育，疏解焦虑恐惧情绪，引导其保持正常作息、规律生活。</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8.合理控制人员密度。</w:t>
      </w:r>
      <w:r>
        <w:rPr>
          <w:rFonts w:hint="eastAsia" w:ascii="仿宋_GB2312" w:hAnsi="仿宋_GB2312" w:eastAsia="仿宋_GB2312" w:cs="仿宋_GB2312"/>
          <w:sz w:val="32"/>
          <w:szCs w:val="32"/>
        </w:rPr>
        <w:t>充分利用机构内空间，合理控制居住房间、活动室、办公区等区域内护理人员和服务对象数量，防止人员扎堆、聚集，降低人员接触密度。对于行政后勤类人员，可划定固定区域为活动范围，减少进入工作场所。</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9.工作人员“非必要，不返乡”。</w:t>
      </w:r>
      <w:r>
        <w:rPr>
          <w:rFonts w:hint="eastAsia" w:ascii="仿宋_GB2312" w:hAnsi="仿宋_GB2312" w:eastAsia="仿宋_GB2312" w:cs="仿宋_GB2312"/>
          <w:sz w:val="32"/>
          <w:szCs w:val="32"/>
        </w:rPr>
        <w:t>建议工作人员春节期间尽量留粤过节，倡导“非必要，不返乡”。返乡员工回程后需自我隔离14天、且核酸检测为阴性者，方可返回工作岗位。</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（五）做好个人防护。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1.工作人员个人防护。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（1）加强手部卫生。</w:t>
      </w:r>
      <w:r>
        <w:rPr>
          <w:rFonts w:hint="eastAsia" w:ascii="仿宋_GB2312" w:hAnsi="仿宋_GB2312" w:eastAsia="仿宋_GB2312" w:cs="仿宋_GB2312"/>
          <w:sz w:val="32"/>
          <w:szCs w:val="32"/>
        </w:rPr>
        <w:t>工作人员在岗期间应当经常洗手，或用有效的速干手消毒剂揉搓双手；有肉眼可见污染物时，应当使用洗手液在流动水下洗手；服务人员每次服务不同的客户之前必须洗手；在工作中避免用手或手套触碰眼睛。</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（2）科学佩戴口罩。</w:t>
      </w:r>
      <w:r>
        <w:rPr>
          <w:rFonts w:hint="eastAsia" w:ascii="仿宋_GB2312" w:hAnsi="仿宋_GB2312" w:eastAsia="仿宋_GB2312" w:cs="仿宋_GB2312"/>
          <w:sz w:val="32"/>
          <w:szCs w:val="32"/>
        </w:rPr>
        <w:t>工作人员在工作过程中应当全程佩戴口罩，在护理产妇及新生儿时不得摘下口罩。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（3）进入换鞋或消毒鞋底。</w:t>
      </w:r>
      <w:r>
        <w:rPr>
          <w:rFonts w:hint="eastAsia" w:ascii="仿宋_GB2312" w:hAnsi="仿宋_GB2312" w:eastAsia="仿宋_GB2312" w:cs="仿宋_GB2312"/>
          <w:sz w:val="32"/>
          <w:szCs w:val="32"/>
        </w:rPr>
        <w:t>员工进入工作间要更换鞋子或在门口消毒地垫踩踏鞋底消毒。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2.服务对象及陪护人员卫生防护。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新生儿主要是以被动防护为主，即靠母亲和护理人员的防护来间接保护新生儿，新生儿无需佩戴口罩。母亲及陪护人员要参照护理人员的做法做好个人卫生与防护，外出后洗手更衣再接触新生儿，母亲母乳喂养前做好手卫生，并保持局部卫生。</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（六）公共区域及设施卫生要求。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1.通风换气。</w:t>
      </w:r>
      <w:r>
        <w:rPr>
          <w:rFonts w:hint="eastAsia" w:ascii="仿宋_GB2312" w:hAnsi="仿宋_GB2312" w:eastAsia="仿宋_GB2312" w:cs="仿宋_GB2312"/>
          <w:sz w:val="32"/>
          <w:szCs w:val="32"/>
        </w:rPr>
        <w:t>优先打开窗户，采用自然通风。有条件的可以开启排风扇等抽气装置以加强室内空气流动。应当保证厢式电梯的排气扇、地下车库通风系统运转正常。</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2.空调运行。</w:t>
      </w:r>
      <w:r>
        <w:rPr>
          <w:rFonts w:hint="eastAsia" w:ascii="仿宋_GB2312" w:hAnsi="仿宋_GB2312" w:eastAsia="仿宋_GB2312" w:cs="仿宋_GB2312"/>
          <w:sz w:val="32"/>
          <w:szCs w:val="32"/>
        </w:rPr>
        <w:t>要加强对空调通风系统的日常清洁与管理维护，定期对空调进风口、出风口消毒。使用集中空调时应确保足够的新风量，空调使用及清洁消毒参考《广东省新冠肺炎疫情常态化防控期间空调通风系统使用指引》执行（可登陆广东省卫生健康委官方网站下载）。</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3.公用物品。</w:t>
      </w:r>
      <w:r>
        <w:rPr>
          <w:rFonts w:hint="eastAsia" w:ascii="仿宋_GB2312" w:hAnsi="仿宋_GB2312" w:eastAsia="仿宋_GB2312" w:cs="仿宋_GB2312"/>
          <w:sz w:val="32"/>
          <w:szCs w:val="32"/>
        </w:rPr>
        <w:t>加强对室内公用设施和公共区域的门把手等高频接触物体表面的清洁消毒。供服务对象重复使用的物品，如餐饮具、毛巾等，要做到“一人一用一消毒”，应在大堂、电梯入口、前台等区域配备速干手消毒剂。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4.会议室、办公室、多功能厅、餐厅。</w:t>
      </w:r>
      <w:r>
        <w:rPr>
          <w:rFonts w:hint="eastAsia" w:ascii="仿宋_GB2312" w:hAnsi="仿宋_GB2312" w:eastAsia="仿宋_GB2312" w:cs="仿宋_GB2312"/>
          <w:sz w:val="32"/>
          <w:szCs w:val="32"/>
        </w:rPr>
        <w:t>保持办公区环境清洁，建议每日通风3次，每次20—30分钟，通风时注意保暖；工作人员应当佩戴口罩，交谈时保持1米以上距离；减少开会频次和时长；用餐及提供餐饮服务时严格防控要求，保持错位一米间距，外购食品和家属送餐的做到无接触配送和接收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5.垃圾收集处理。</w:t>
      </w:r>
      <w:r>
        <w:rPr>
          <w:rFonts w:hint="eastAsia" w:ascii="仿宋_GB2312" w:hAnsi="仿宋_GB2312" w:eastAsia="仿宋_GB2312" w:cs="仿宋_GB2312"/>
          <w:sz w:val="32"/>
          <w:szCs w:val="32"/>
        </w:rPr>
        <w:t>分类收集，及时清运。普通垃圾放入黑色塑料袋，口罩等防护用品垃圾按照生活垃圾分类处理。垃圾筒及垃圾点周围无散落，垃圾存放点各类垃圾及时清运，垃圾无超时超量堆放。清洁消毒。垃圾转运车和垃圾筒保持清洁，可定期用有效氯500mg/L的含氯消毒剂喷洒或擦拭消毒；垃圾点墙壁、地面应保持清洁，可定期用有效氯500mg/L的含氯消毒液喷洒。</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6.自动扶梯、厢式电梯。</w:t>
      </w:r>
      <w:r>
        <w:rPr>
          <w:rFonts w:hint="eastAsia" w:ascii="仿宋_GB2312" w:hAnsi="仿宋_GB2312" w:eastAsia="仿宋_GB2312" w:cs="仿宋_GB2312"/>
          <w:sz w:val="32"/>
          <w:szCs w:val="32"/>
        </w:rPr>
        <w:t>乘坐厢式电梯时应当佩戴口罩。厢式电梯的地面、侧壁应当保持清洁，每日消毒2次。电梯按钮、自动扶梯扶手等经常接触部位每日消毒应当不少于3次。具体参照《广东省新冠肺炎疫情常态化防控期间公共电梯（扶梯）清洁消毒工作指引》（可登陆广东省卫生健康委官方网站下载）执行。</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7.公共卫生间。</w:t>
      </w:r>
      <w:r>
        <w:rPr>
          <w:rFonts w:hint="eastAsia" w:ascii="仿宋_GB2312" w:hAnsi="仿宋_GB2312" w:eastAsia="仿宋_GB2312" w:cs="仿宋_GB2312"/>
          <w:sz w:val="32"/>
          <w:szCs w:val="32"/>
        </w:rPr>
        <w:t>加强空气流通。确保洗手盆、地漏等水封隔离效果。参照《公共场所卫生间预防新型冠状病毒感染的肺炎疫情卫生间清洁消毒指引》（可登陆广东省卫生健康委官方网站下载）进行卫生清洁消毒，保持地面、墙壁清洁，洗手池无污垢，便池无粪便污物积累。每日做好相关消毒记录并公示。</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Style w:val="23"/>
          <w:rFonts w:hint="eastAsia" w:ascii="仿宋_GB2312" w:hAnsi="仿宋_GB2312" w:eastAsia="仿宋_GB2312" w:cs="仿宋_GB2312"/>
          <w:sz w:val="32"/>
          <w:szCs w:val="32"/>
        </w:rPr>
        <w:t>8.地下车库。</w:t>
      </w:r>
      <w:r>
        <w:rPr>
          <w:rFonts w:hint="eastAsia" w:ascii="仿宋_GB2312" w:hAnsi="仿宋_GB2312" w:eastAsia="仿宋_GB2312" w:cs="仿宋_GB2312"/>
          <w:sz w:val="32"/>
          <w:szCs w:val="32"/>
        </w:rPr>
        <w:t>地下车库的地面应当保持清洁。停车取卡按键等人员经常接触部位每日消毒应当不少于3次。</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五、应急处置要求</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发现本地疫情后，按照《广东省多地发生本地新冠肺炎疫情应急处置工作方案（试行）》（粤卫应急函〔2020〕175号）、《广东省新冠肺炎本地疫情应急处置方案（试行）的通知》（粤卫应急函〔2020〕136号）要求，立即启动应急响应。</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一）如发现工作人员、服务对象或陪护人员等出现发热、干咳、乏力等新冠肺炎可疑症状时，应当立即停止活动，避免继续接触他人，在临时医学观察点或单独隔离观察间执行隔离观察，做好防护并送当地定点医疗机构就诊排查。</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二）机构如发现新冠肺炎病例（含确诊病例、疑似病例、无症状感染者），要积极配合当地疾控中心做好流行病调查，尽快查明可能的感染源；在当地疾控中心的指导下，依法依规、精准管控，科学划定防控区域范围至最小单位，果断采取限制性防控措施。相关场所在疾控中心指导下，进行终末消毒，并对空调通风系统进行清洗消毒，经评估合格后方可重新营业。</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firstLine="640"/>
        <w:jc w:val="left"/>
        <w:textAlignment w:val="auto"/>
        <w:rPr>
          <w:rFonts w:hint="eastAsia" w:ascii="仿宋" w:hAnsi="仿宋" w:eastAsia="仿宋" w:cs="仿宋"/>
          <w:b w:val="0"/>
          <w:bCs w:val="0"/>
          <w:sz w:val="32"/>
          <w:szCs w:val="32"/>
        </w:rPr>
      </w:pP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pPr>
    </w:p>
    <w:p>
      <w:pPr>
        <w:widowControl w:val="0"/>
        <w:wordWrap/>
        <w:adjustRightInd/>
        <w:snapToGrid/>
        <w:spacing w:line="560" w:lineRule="exact"/>
        <w:ind w:left="0" w:right="0"/>
        <w:textAlignment w:val="auto"/>
        <w:rPr>
          <w:rFonts w:hint="default" w:ascii="仿宋" w:hAnsi="仿宋" w:eastAsia="仿宋" w:cs="仿宋"/>
          <w:b w:val="0"/>
          <w:bCs/>
          <w:i w:val="0"/>
          <w:caps w:val="0"/>
          <w:color w:val="000000"/>
          <w:spacing w:val="0"/>
          <w:sz w:val="32"/>
          <w:szCs w:val="32"/>
          <w:lang w:val="en-US" w:eastAsia="zh-CN"/>
        </w:rPr>
      </w:pPr>
    </w:p>
    <w:p>
      <w:pPr>
        <w:pStyle w:val="3"/>
        <w:rPr>
          <w:rFonts w:hint="eastAsia"/>
          <w:lang w:eastAsia="zh-CN"/>
        </w:rPr>
      </w:pPr>
    </w:p>
    <w:p>
      <w:pPr>
        <w:pStyle w:val="3"/>
        <w:rPr>
          <w:rFonts w:hint="eastAsia"/>
          <w:lang w:eastAsia="zh-CN"/>
        </w:rPr>
      </w:pPr>
    </w:p>
    <w:p>
      <w:pPr>
        <w:rPr>
          <w:rFonts w:hint="eastAsia"/>
          <w:lang w:eastAsia="zh-CN"/>
        </w:rPr>
      </w:pPr>
      <w:r>
        <w:rPr>
          <w:rFonts w:hint="eastAsia"/>
          <w:lang w:eastAsia="zh-CN"/>
        </w:rPr>
        <w:br w:type="page"/>
      </w:r>
    </w:p>
    <w:p>
      <w:pPr>
        <w:wordWrap/>
        <w:adjustRightInd/>
        <w:snapToGrid/>
        <w:spacing w:line="560" w:lineRule="exact"/>
        <w:jc w:val="center"/>
        <w:textAlignment w:val="auto"/>
        <w:outlineLvl w:val="0"/>
        <w:rPr>
          <w:rFonts w:hint="eastAsia" w:ascii="宋体" w:hAnsi="宋体" w:eastAsia="宋体" w:cs="宋体"/>
          <w:sz w:val="44"/>
          <w:szCs w:val="44"/>
        </w:rPr>
      </w:pPr>
      <w:bookmarkStart w:id="992" w:name="_Toc13173"/>
      <w:r>
        <w:rPr>
          <w:rFonts w:hint="eastAsia" w:ascii="宋体" w:hAnsi="宋体" w:eastAsia="宋体" w:cs="宋体"/>
          <w:sz w:val="44"/>
          <w:szCs w:val="44"/>
        </w:rPr>
        <w:t>广东省公安厅关于依法严厉打击新型冠状病毒感染肺炎疫情防控期间违法犯罪的通告</w:t>
      </w:r>
      <w:bookmarkEnd w:id="992"/>
    </w:p>
    <w:p>
      <w:pPr>
        <w:wordWrap/>
        <w:adjustRightInd/>
        <w:snapToGrid/>
        <w:spacing w:line="560" w:lineRule="exact"/>
        <w:textAlignment w:val="auto"/>
        <w:rPr>
          <w:rFonts w:hint="eastAsia" w:ascii="仿宋" w:hAnsi="仿宋" w:eastAsia="仿宋" w:cs="仿宋"/>
          <w:sz w:val="32"/>
          <w:szCs w:val="32"/>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为贯彻落实中共中央、国务院和省委省政府关于新型冠状病毒感染肺炎疫情防控工作的部署，保障全省疫情防控系列措施落地实施，坚决打赢疫情防控阻击战，切实维护人民群众生命安全和身体健康，确保社会平稳有序，根据《中华人民共和国刑法》《中华人民共和国治安管理处罚法》《中华人民共和国传染病防治法》《中华人民共和国突发事件应对法》及相关司法解释等有关规定，现通告如下。</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一、依法严厉打击拒不配合防控措施的行为。拒不执行政府部门依法发布的防控措施，在公共场所不佩戴口罩，不听劝阻、扰乱公共秩序的，或者拒不配合卫生防疫、医疗卫生机构及街道、社区、村（居）委等组织、人员采取的体温检测、传染病调查、样本采集检测、环境卫生整治和病菌消杀等防控措施，不听劝阻的，按照《治安管理处罚法》有关规定从重处罚；暴力抗法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二、依法严厉打击拒不配合健康登记、隔离措施的行为。凡来自或者途经疫情重点地区的人员进入本省的，以及与上述人员、确诊或疑似新型冠状病毒感染肺炎病例有密切接触的人员，应主动接受体温检测，按照所在市、县（市、区）的有关要求如实进行健康登记，按照当地有关部门要求居家隔离观察或者集中隔离观察14天。对未按照规定主动登记报告，在工作人员询问时不如实告知，或者拒绝执行相关检测、居家隔离观察、集中隔离观察、隔离治疗措施，不听劝阻，构成违反治安管理行为的，按照《治安管理处罚法》有关规定从重处罚；引起新型冠状病毒传播或者有传播严重危险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三、依法严厉打击扰乱医疗秩序的行为。威胁、殴打医务人员，在医疗机构起哄闹事、无事生非，扰乱医疗秩序的，按照《治安管理处罚法》有关规定从重处罚；故意伤害医务人员，造成轻伤以上严重后果的，或者故意毁坏医务人员防护服、护目镜、防护口罩等防护装备，危害医务人员人身安全或者造成严重后果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四、依法严厉打击故意传播疾病的行为。明知已感染或者疑似感染新型冠状病毒的人员，故意出入公共场所，或者隐瞒情况与他人接触，危害公共安全或者造成严重后果的，依法从严追究刑事责任。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五、依法严厉打击制售假冒伪劣疫情防控产品的行为。制售假冒伪劣口罩、防护服、护目镜等医用器材，制售假劣防疫药品，生产、销售掺杂掺假、以假充真、以次充好的疫情防控产品，数额较大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六、依法严厉打击利用疫情进行诈骗的行为。通过电话、短信、微信、微博、网络平台等电信网络途径，以销售口罩、防护服、护目镜等防控产品、募集捐赠物资、在线诊断等方式进行诈骗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七、依法严厉打击利用疫情非法牟利的行为。经营者哄抬物价、囤积居奇、牟取暴利，严重扰乱市场秩序的，依法从严追究刑事责任。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八、依法严厉打击涉及疫情的造谣、传谣行为。散布疫情谣言，谎报疫情的，按照《治安管理处罚法》有关规定从重处罚；编造、故意传播、散布虚假疫情信息，造谣生事、起哄闹事，严重扰乱社会秩序或者造成公共秩序严重混乱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九、依法严厉打击非法收购、运输、出售野生动物等行为。非法猎捕、杀害、收购、运输、出售国家重点保护的珍贵、濒危野生动物及其制品的，依法从严追究刑事责任。</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请广大群众积极向当地公安机关或拨打110报警电话举报涉及疫情防控的违法犯罪线索，共同维护公共卫生安全和社会治安秩序。本通告自发布之日起实施。</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　　特此通告。</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both"/>
        <w:textAlignment w:val="auto"/>
        <w:rPr>
          <w:rFonts w:hint="eastAsia" w:ascii="仿宋" w:hAnsi="仿宋" w:eastAsia="仿宋" w:cs="仿宋"/>
          <w:i w:val="0"/>
          <w:caps w:val="0"/>
          <w:color w:val="424242"/>
          <w:spacing w:val="0"/>
          <w:sz w:val="32"/>
          <w:szCs w:val="32"/>
          <w:u w:val="none"/>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rPr>
      </w:pPr>
      <w:r>
        <w:rPr>
          <w:rFonts w:hint="eastAsia" w:ascii="仿宋" w:hAnsi="仿宋" w:eastAsia="仿宋" w:cs="仿宋"/>
          <w:i w:val="0"/>
          <w:caps w:val="0"/>
          <w:color w:val="424242"/>
          <w:spacing w:val="0"/>
          <w:sz w:val="32"/>
          <w:szCs w:val="32"/>
          <w:u w:val="none"/>
          <w:shd w:val="clear" w:color="080000" w:fill="FFFFFF"/>
        </w:rPr>
        <w:t>广东省公安厅</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r>
        <w:rPr>
          <w:rFonts w:hint="eastAsia" w:ascii="仿宋" w:hAnsi="仿宋" w:eastAsia="仿宋" w:cs="仿宋"/>
          <w:i w:val="0"/>
          <w:caps w:val="0"/>
          <w:color w:val="424242"/>
          <w:spacing w:val="0"/>
          <w:sz w:val="32"/>
          <w:szCs w:val="32"/>
          <w:u w:val="none"/>
          <w:shd w:val="clear" w:color="080000" w:fill="FFFFFF"/>
        </w:rPr>
        <w:t>2020年2月5日</w:t>
      </w: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pStyle w:val="4"/>
        <w:widowControl/>
        <w:pBdr>
          <w:top w:val="none" w:color="auto" w:sz="0" w:space="0"/>
          <w:left w:val="none" w:color="auto" w:sz="0" w:space="0"/>
          <w:bottom w:val="none" w:color="auto" w:sz="0" w:space="0"/>
          <w:right w:val="none" w:color="auto" w:sz="0" w:space="0"/>
        </w:pBdr>
        <w:shd w:val="clear" w:color="auto" w:fill="FFFFFF"/>
        <w:wordWrap/>
        <w:adjustRightInd/>
        <w:snapToGrid/>
        <w:spacing w:before="300" w:beforeAutospacing="0" w:after="0" w:afterAutospacing="0" w:line="0" w:lineRule="atLeast"/>
        <w:ind w:left="0" w:right="0" w:firstLine="0"/>
        <w:jc w:val="center"/>
        <w:textAlignment w:val="auto"/>
        <w:outlineLvl w:val="0"/>
        <w:rPr>
          <w:rFonts w:hint="eastAsia" w:ascii="宋体" w:hAnsi="宋体" w:eastAsia="宋体" w:cs="宋体"/>
          <w:b w:val="0"/>
          <w:bCs w:val="0"/>
          <w:i w:val="0"/>
          <w:caps w:val="0"/>
          <w:color w:val="282828"/>
          <w:spacing w:val="0"/>
          <w:sz w:val="44"/>
          <w:szCs w:val="44"/>
        </w:rPr>
      </w:pPr>
      <w:r>
        <w:rPr>
          <w:rFonts w:hint="eastAsia" w:ascii="宋体" w:hAnsi="宋体" w:eastAsia="宋体" w:cs="宋体"/>
          <w:b w:val="0"/>
          <w:bCs w:val="0"/>
          <w:i w:val="0"/>
          <w:caps w:val="0"/>
          <w:color w:val="282828"/>
          <w:spacing w:val="0"/>
          <w:sz w:val="44"/>
          <w:szCs w:val="44"/>
          <w:shd w:val="clear" w:color="auto" w:fill="FFFFFF"/>
        </w:rPr>
        <w:t>广东省老龄工作办公室关于做好老年人冬春季新冠肺炎疫情防控工作的通知</w:t>
      </w:r>
    </w:p>
    <w:p>
      <w:pPr>
        <w:widowControl/>
        <w:pBdr>
          <w:top w:val="none" w:color="auto" w:sz="0" w:space="0"/>
          <w:left w:val="none" w:color="auto" w:sz="0" w:space="0"/>
          <w:bottom w:val="none" w:color="auto" w:sz="0" w:space="0"/>
          <w:right w:val="none" w:color="auto" w:sz="0" w:space="0"/>
        </w:pBdr>
        <w:shd w:val="clear" w:color="auto" w:fill="E8EDF1"/>
        <w:spacing w:before="180" w:beforeAutospacing="0" w:after="180" w:afterAutospacing="0"/>
        <w:ind w:left="0" w:right="0" w:firstLine="0"/>
        <w:rPr>
          <w:rFonts w:hint="eastAsia" w:ascii="微软雅黑" w:hAnsi="微软雅黑" w:eastAsia="微软雅黑" w:cs="微软雅黑"/>
          <w:i w:val="0"/>
          <w:caps w:val="0"/>
          <w:color w:val="282828"/>
          <w:spacing w:val="0"/>
          <w:sz w:val="21"/>
          <w:szCs w:val="21"/>
        </w:rPr>
      </w:pPr>
      <w:r>
        <w:rPr>
          <w:rFonts w:hint="eastAsia" w:ascii="微软雅黑" w:hAnsi="微软雅黑" w:eastAsia="微软雅黑" w:cs="微软雅黑"/>
          <w:i w:val="0"/>
          <w:caps w:val="0"/>
          <w:color w:val="282828"/>
          <w:spacing w:val="0"/>
          <w:kern w:val="2"/>
          <w:sz w:val="21"/>
          <w:szCs w:val="21"/>
          <w:lang w:val="en-US" w:eastAsia="zh-CN" w:bidi="ar-SA"/>
        </w:rPr>
        <w:pict>
          <v:rect id="_x0000_i1025" o:spt="1" style="height:1.5pt;width:720pt;" fillcolor="#282828" filled="t" o:preferrelative="t" stroked="f" coordsize="21600,21600" o:hr="t" o:hrstd="t" o:hrnoshade="t" o:hrpct="0" o:hralign="center">
            <v:path/>
            <v:fill on="t" focussize="0,0"/>
            <v:stroke on="f"/>
            <v:imagedata gain="65536f" blacklevel="0f" gamma="0" o:title=""/>
            <o:lock v:ext="edit" position="f" selection="f" grouping="f" rotation="f" cropping="f" text="f" aspectratio="f"/>
            <w10:wrap type="none"/>
            <w10:anchorlock/>
          </v:rect>
        </w:pic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center"/>
        <w:rPr>
          <w:rFonts w:hint="eastAsia" w:ascii="楷体_GB2312" w:hAnsi="楷体_GB2312" w:eastAsia="楷体_GB2312" w:cs="楷体_GB2312"/>
          <w:sz w:val="32"/>
          <w:szCs w:val="32"/>
        </w:rPr>
      </w:pPr>
      <w:r>
        <w:rPr>
          <w:rFonts w:hint="eastAsia" w:ascii="楷体_GB2312" w:hAnsi="楷体_GB2312" w:eastAsia="楷体_GB2312" w:cs="楷体_GB2312"/>
          <w:i w:val="0"/>
          <w:caps w:val="0"/>
          <w:color w:val="282828"/>
          <w:spacing w:val="0"/>
          <w:sz w:val="32"/>
          <w:szCs w:val="32"/>
          <w:shd w:val="clear" w:color="auto" w:fill="FFFFFF"/>
        </w:rPr>
        <w:t>粤老龄办函〔2021〕1号</w:t>
      </w:r>
    </w:p>
    <w:p>
      <w:pPr>
        <w:pStyle w:val="18"/>
        <w:widowControl/>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jc w:val="left"/>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省老龄委各成员单位，各地级以上市卫生健康局（委）、老龄办：</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为深入贯彻习近平总书记关于疫情防控的重要指示批示精神，全面落实党中央、国务院、省委、省政府的有关决策部署，根据《全国老龄办关于做好老年人冬春季新冠肺炎疫情防控工作的通知》（全国老龄办函〔2021〕2号）要求，扎实做好我省老年人冬春季疫情防控工作，现就有关工作通知如下：</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一、高度重视老年人冬春季疫情防控工作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当前，全球疫情增速趋缓，但多国出现病毒变异毒株。我国局部地区聚集性疫情和零星病例不断出现，我省毗邻港澳，境外输入风险仍然较大。春节期间，人口流动性加大，疫情扩散风险增加，疫情防控面临重大考验。新冠肺炎疫情下，老年人尤其是患有基础性疾病的老年患者重症发生率和病亡率相对较高。各级各部门要充分认识当前疫情防控形势，从保护老年人的生命安全和身体健康的高度，主动作为，进一步压实“四方”责任，落实“四早”要求，精心织牢老年人疫情防控的防护网，切实维护好老年人的生命安全，全力巩固来之不易的防控成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二、深入广泛做好老年人的宣传倡导工作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各级各部门要运用老年人喜闻乐见、通俗易懂的宣传方式，大力宣传新冠病毒相关知识和冬春季疫情防控形势，号召老年人保持良好卫生习惯和健康生活方式，提高“人物同防”意识，避免非必要的出行，做到戴口罩、勤洗手、不聚集，保持室内通风，进行适宜的体育锻炼，努力降低新冠肺炎感染风险。按照《广东省新型冠状病毒感染的肺炎疫情防控指挥部办公室疫情防控组关于做好老年人新型冠状病毒感染的肺炎疫情防控工作的通知》（粤卫函〔2020〕7号）和《关于印发冬春季农村地区新冠肺炎疫情防控工作方案的通知》（联防联控机制综发〔2021〕11号）及当地疫情防控要求，指导老年人及其家庭成员配合做好核酸检测、居家健康监测等疫情防控措施，配合做好重点人员摸排和网格化管理，增强出现发热、干咳、咽痛、嗅（味）觉减退、腹泻等症状后就诊和第一时间报告意识。</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三、扎实做好老年人照顾服务和权益保障工作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认真贯彻落实《国务院办公厅印发关于切实解决老年人运用智能技术困难实施方案的通知》（国办发〔2020〕45号）、《广东省卫生健康委员会 广东省中医药局关于切实做好老年人就医便利服务工作的通知》（粤卫老龄函〔2021〕2号）和《广东省老龄工作办公室关于开展“智慧助老”行动的通知》（粤老龄办〔2020〕2号）精神，会同协调有关单位，切实解决老年人在出行、就医、消费等日常生活中遇到的智能技术运用困难。有条件的地区和场所要为不使用智能手机的老年人设立“无健康码通道”，大力推广刷身份证核验“健康码”的“健康防疫核验系统”，做到身份证“秒级”通过，实现出行防疫两不误。不得将“健康码”作为人员通行的唯一凭证，对老年人可采取凭有效身份证件登记、持纸质证明通行、出示“通信行程卡”作为辅助行程证明等替代措施。开展“智慧助老”行动，建设老年友善医疗机构，帮助老年人解决运用智能技术困难。各级医疗机构应当提供一定比例的现场号源，保留挂号、缴费、打印检验报告等人工服务窗口，配备导医、志愿者、社会工作者等人员，为老年人提供就医指导服务；完善电话、网络、现场等多种预约挂号方式，畅通家人、亲友、家庭签约医生等代老年人预约挂号的渠道；简化网上办理就医服务流程，为老年人提供语音引导、人工咨询等服务。会同民政等部门，指导基层对高龄、独居、失能等困难老年人，包括因就地过年无法探望的老年人，做好摸底排查和走访探视，有针对性提供帮扶关爱，做到妥善照顾、服务到位。做好侵害老年人权益事件的舆情监测，及时协调有关部门妥善处理侵权案件，切实维护老年人合法权益。</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四、切实加强各级老年人的健康服务保障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各级医疗卫生机构要在科学防控基础上，对于需要外出看病就医的老年人，确保老年患者及时、便利就诊；对于需要居家上门服务的老年人加强家庭医生签约服务，及时掌握老年人健康状况，督促慢性病老年患者加强血压、血糖自我监测，进行针对性指导。在落实疫情防控措施前提下，根据《关于加强老年人居家医疗服务工作的通知》(国卫办医发〔2020〕24号)和《广东省老年人居家医疗健康服务工作指引》（粤卫老龄函〔2020〕2号）要求，重点对有居家医疗服务需求且行动不便的高龄或失能老年人，慢性病、疾病康复期或终末期、出院后仍需医疗服务的老年患者提供诊疗服务、医疗护理、药学服务、中医服务、康复治疗、安宁疗护等上门服务。对老年新冠肺炎患者，要做好全力救治、指导康复和心理疏导等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五、毫不放松抓好机构内老年人的疫情防控工作</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养老机构和医养结合机构要严格执行国务院应对新型冠状病毒肺炎疫情联防联控机制综合组《关于进一步做好医养结合机构新冠肺炎疫情防控工作的通知》（肺炎机制综发〔2020〕67号）和《广东省新冠肺炎防控指挥办疫情防控组关于印发&lt;广东省各类风险新冠肺炎疫情常态化防控工作要点&gt;的通知》（粤卫疾控函〔2021〕1号）等相关新冠肺炎疫情防控和传染病防控有关工作要求，扎实抓好疫情防控工作。鼓励引导老年人尽量留在养老机构内过年。合理安排春节期间探亲探访，妥善处理群众接亲友回家过节等情况，落实国家和省防控部门相关要求，必要时实行封闭管理。要强化机构人员出入管理，严格规范服务对象接收流程，暂停志愿服务和社会实践等活动。采取严格的环境监测和卫生防范措施，做好日常防护和健康监测。按照当地疫情防控要求，适时开展工作人员和老年人的核酸检测等工作。严格执行隔离观察措施。医养结合机构要妥善安排对内对外服务，完善门诊急诊预检分诊管理，有条件的可开展分时段预约诊疗和互联网诊疗，切实消除机构内交叉感染风险。</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六、进一步加大保障和协调督促力度</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各级老龄办要进一步协调督促相关部门落实落细老年人疫情防控措施，扎实抓好防控工作。及时协调保障服务老年人的医护力量和防护物资，满足疫情防控需要。对于驻点指导、值班值守的一线医务人员，按照国务院联防联控机制《关于做好新冠肺炎疫情防控一线医务人员亲属关爱服务工作的通知》要求，做好其老年亲属的健康、托养和生活服务。广泛动员涉老社会组织、志愿服务组织积极参与疫情防控工作。各级各有关部门要加强对老年人疫情防控工作的指导检查，发现问题要及时督促整改。省卫生健康委将不定期开展检查、暗访和情况调度，视情通报检查结果。对发生负面影响的属地和单位将通报批评、严肃追责问责。</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left"/>
        <w:textAlignment w:val="auto"/>
        <w:outlineLvl w:val="9"/>
        <w:rPr>
          <w:rFonts w:hint="eastAsia" w:ascii="仿宋_GB2312" w:hAnsi="仿宋_GB2312" w:eastAsia="仿宋_GB2312" w:cs="仿宋_GB2312"/>
          <w:sz w:val="32"/>
          <w:szCs w:val="32"/>
        </w:rPr>
      </w:pP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righ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rPr>
        <w:t>　　广东省老龄工作办公室</w:t>
      </w:r>
    </w:p>
    <w:p>
      <w:pPr>
        <w:pStyle w:val="18"/>
        <w:widowControl/>
        <w:pBdr>
          <w:top w:val="none" w:color="auto" w:sz="0" w:space="0"/>
          <w:left w:val="none" w:color="auto" w:sz="0" w:space="0"/>
          <w:bottom w:val="none" w:color="auto" w:sz="0" w:space="0"/>
          <w:right w:val="none" w:color="auto" w:sz="0" w:space="0"/>
        </w:pBdr>
        <w:wordWrap/>
        <w:adjustRightInd/>
        <w:snapToGrid/>
        <w:spacing w:before="0" w:beforeAutospacing="0" w:after="0" w:afterAutospacing="0" w:line="560" w:lineRule="exact"/>
        <w:ind w:left="0" w:right="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282828"/>
          <w:spacing w:val="0"/>
          <w:sz w:val="32"/>
          <w:szCs w:val="32"/>
          <w:shd w:val="clear" w:color="auto" w:fill="FFFFFF"/>
          <w:lang w:val="en-US" w:eastAsia="zh-CN"/>
        </w:rPr>
        <w:t xml:space="preserve">                                       </w:t>
      </w:r>
      <w:r>
        <w:rPr>
          <w:rFonts w:hint="eastAsia" w:ascii="仿宋_GB2312" w:hAnsi="仿宋_GB2312" w:eastAsia="仿宋_GB2312" w:cs="仿宋_GB2312"/>
          <w:i w:val="0"/>
          <w:caps w:val="0"/>
          <w:color w:val="282828"/>
          <w:spacing w:val="0"/>
          <w:sz w:val="32"/>
          <w:szCs w:val="32"/>
          <w:shd w:val="clear" w:color="auto" w:fill="FFFFFF"/>
        </w:rPr>
        <w:t>2021年2月10</w:t>
      </w:r>
      <w:r>
        <w:rPr>
          <w:rFonts w:hint="eastAsia" w:ascii="仿宋_GB2312" w:hAnsi="仿宋_GB2312" w:eastAsia="仿宋_GB2312" w:cs="仿宋_GB2312"/>
          <w:i w:val="0"/>
          <w:caps w:val="0"/>
          <w:color w:val="282828"/>
          <w:spacing w:val="0"/>
          <w:sz w:val="32"/>
          <w:szCs w:val="32"/>
          <w:shd w:val="clear" w:color="auto" w:fill="FFFFFF"/>
          <w:lang w:eastAsia="zh-CN"/>
        </w:rPr>
        <w:t>日</w:t>
      </w:r>
    </w:p>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center"/>
        <w:textAlignment w:val="auto"/>
        <w:rPr>
          <w:rFonts w:hint="eastAsia" w:ascii="仿宋" w:hAnsi="仿宋" w:eastAsia="仿宋" w:cs="仿宋"/>
          <w:i w:val="0"/>
          <w:caps w:val="0"/>
          <w:color w:val="424242"/>
          <w:spacing w:val="0"/>
          <w:sz w:val="32"/>
          <w:szCs w:val="32"/>
          <w:u w:val="none"/>
          <w:shd w:val="clear" w:color="080000" w:fill="FFFFFF"/>
        </w:rPr>
      </w:pP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p>
      <w:pPr>
        <w:pStyle w:val="18"/>
        <w:widowControl/>
        <w:pBdr>
          <w:top w:val="none" w:color="auto" w:sz="0" w:space="0"/>
          <w:left w:val="none" w:color="auto" w:sz="0" w:space="0"/>
          <w:bottom w:val="none" w:color="auto" w:sz="0" w:space="0"/>
          <w:right w:val="none" w:color="auto" w:sz="0" w:space="0"/>
        </w:pBdr>
        <w:shd w:val="clear" w:color="070000" w:fill="FFFFFF"/>
        <w:wordWrap/>
        <w:adjustRightInd/>
        <w:snapToGrid/>
        <w:spacing w:before="0" w:beforeAutospacing="0" w:after="0" w:afterAutospacing="0" w:line="560" w:lineRule="exact"/>
        <w:ind w:left="0" w:right="0" w:firstLine="0"/>
        <w:jc w:val="right"/>
        <w:textAlignment w:val="auto"/>
        <w:rPr>
          <w:rFonts w:hint="eastAsia" w:ascii="仿宋" w:hAnsi="仿宋" w:eastAsia="仿宋" w:cs="仿宋"/>
          <w:i w:val="0"/>
          <w:caps w:val="0"/>
          <w:color w:val="424242"/>
          <w:spacing w:val="0"/>
          <w:sz w:val="32"/>
          <w:szCs w:val="32"/>
          <w:u w:val="none"/>
          <w:shd w:val="clear" w:color="080000" w:fill="FFFFFF"/>
        </w:rPr>
      </w:pPr>
    </w:p>
    <w:p>
      <w:pPr>
        <w:wordWrap/>
        <w:adjustRightInd/>
        <w:snapToGrid/>
        <w:spacing w:line="560" w:lineRule="exact"/>
        <w:textAlignment w:val="auto"/>
        <w:rPr>
          <w:rFonts w:hint="eastAsia" w:ascii="仿宋" w:hAnsi="仿宋" w:eastAsia="仿宋" w:cs="仿宋"/>
          <w:sz w:val="32"/>
          <w:szCs w:val="32"/>
        </w:rPr>
      </w:pPr>
    </w:p>
    <w:p>
      <w:pPr>
        <w:pStyle w:val="3"/>
        <w:rPr>
          <w:rFonts w:hint="eastAsia"/>
          <w:lang w:eastAsia="zh-CN"/>
        </w:rPr>
      </w:pPr>
    </w:p>
    <w:sectPr>
      <w:footerReference r:id="rId8" w:type="default"/>
      <w:footerReference r:id="rId9" w:type="even"/>
      <w:pgSz w:w="11850" w:h="16783"/>
      <w:pgMar w:top="1984" w:right="1417" w:bottom="1871" w:left="1587" w:header="851" w:footer="1361" w:gutter="0"/>
      <w:pgNumType w:fmt="decimal" w:start="1"/>
      <w:cols w:space="720" w:num="1"/>
      <w:rtlGutter w:val="0"/>
      <w:docGrid w:type="lines" w:linePitch="44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方正仿宋_GBK">
    <w:panose1 w:val="03000509000000000000"/>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华文楷体">
    <w:altName w:val="楷体_GB2312"/>
    <w:panose1 w:val="02010600040101010101"/>
    <w:charset w:val="86"/>
    <w:family w:val="auto"/>
    <w:pitch w:val="default"/>
    <w:sig w:usb0="00000000" w:usb1="00000000" w:usb2="00000000" w:usb3="00000000" w:csb0="0004009F" w:csb1="DFD70000"/>
  </w:font>
  <w:font w:name="方正小标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rPr>
        <w:rFonts w:hint="eastAsia" w:ascii="宋体" w:hAnsi="宋体" w:eastAsia="宋体" w:cs="宋体"/>
        <w:sz w:val="28"/>
        <w:szCs w:val="28"/>
        <w:lang w:val="en-US" w:eastAsia="zh-CN"/>
      </w:rPr>
    </w:pPr>
    <w:r>
      <w:rPr>
        <w:rFonts w:hint="eastAsia" w:ascii="宋体" w:hAnsi="宋体" w:eastAsia="宋体" w:cs="宋体"/>
        <w:sz w:val="28"/>
        <w:szCs w:val="28"/>
        <w:lang w:eastAsia="zh-CN"/>
      </w:rPr>
      <w:tab/>
    </w: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280" w:firstLineChars="100"/>
      <w:jc w:val="both"/>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2</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6"/>
        <w:snapToGrid w:val="0"/>
        <w:rPr>
          <w:sz w:val="32"/>
          <w:szCs w:val="32"/>
        </w:rPr>
      </w:pPr>
      <w:r>
        <w:rPr>
          <w:rStyle w:val="28"/>
          <w:sz w:val="32"/>
          <w:szCs w:val="32"/>
        </w:rPr>
        <w:footnoteRef/>
      </w:r>
      <w:r>
        <w:rPr>
          <w:rFonts w:hint="eastAsia" w:ascii="楷体" w:hAnsi="楷体" w:eastAsia="楷体" w:cs="楷体"/>
          <w:color w:val="auto"/>
          <w:sz w:val="32"/>
          <w:szCs w:val="32"/>
          <w:shd w:val="clear" w:color="040000" w:fill="FFFFFF"/>
        </w:rPr>
        <w:fldChar w:fldCharType="begin"/>
      </w:r>
      <w:r>
        <w:rPr>
          <w:rFonts w:hint="eastAsia" w:ascii="楷体" w:hAnsi="楷体" w:eastAsia="楷体" w:cs="楷体"/>
          <w:color w:val="auto"/>
          <w:sz w:val="32"/>
          <w:szCs w:val="32"/>
          <w:shd w:val="clear" w:color="040000" w:fill="FFFFFF"/>
        </w:rPr>
        <w:instrText xml:space="preserve"> HYPERLINK "http://fagui.pkulaw.cn:18080/javascript:SLC(17010,0)" </w:instrText>
      </w:r>
      <w:r>
        <w:rPr>
          <w:rFonts w:hint="eastAsia" w:ascii="楷体" w:hAnsi="楷体" w:eastAsia="楷体" w:cs="楷体"/>
          <w:color w:val="auto"/>
          <w:sz w:val="32"/>
          <w:szCs w:val="32"/>
          <w:shd w:val="clear" w:color="040000" w:fill="FFFFFF"/>
        </w:rPr>
        <w:fldChar w:fldCharType="separate"/>
      </w:r>
      <w:r>
        <w:rPr>
          <w:rStyle w:val="27"/>
          <w:rFonts w:hint="eastAsia" w:ascii="楷体" w:hAnsi="楷体" w:eastAsia="楷体" w:cs="楷体"/>
          <w:color w:val="auto"/>
          <w:sz w:val="32"/>
          <w:szCs w:val="32"/>
          <w:shd w:val="clear" w:color="050000" w:fill="FFFFFF"/>
        </w:rPr>
        <w:t>刑法</w:t>
      </w:r>
      <w:r>
        <w:rPr>
          <w:rFonts w:hint="eastAsia" w:ascii="楷体" w:hAnsi="楷体" w:eastAsia="楷体" w:cs="楷体"/>
          <w:color w:val="auto"/>
          <w:sz w:val="32"/>
          <w:szCs w:val="32"/>
          <w:shd w:val="clear" w:color="040000" w:fill="FFFFFF"/>
        </w:rPr>
        <w:fldChar w:fldCharType="end"/>
      </w:r>
      <w:r>
        <w:rPr>
          <w:rFonts w:hint="eastAsia" w:ascii="楷体" w:hAnsi="楷体" w:eastAsia="楷体" w:cs="楷体"/>
          <w:color w:val="auto"/>
          <w:sz w:val="32"/>
          <w:szCs w:val="32"/>
          <w:shd w:val="clear" w:color="040000" w:fill="FFFFFF"/>
        </w:rPr>
        <w:t>、历次</w:t>
      </w:r>
      <w:r>
        <w:rPr>
          <w:rFonts w:hint="eastAsia" w:ascii="楷体" w:hAnsi="楷体" w:eastAsia="楷体" w:cs="楷体"/>
          <w:color w:val="auto"/>
          <w:sz w:val="32"/>
          <w:szCs w:val="32"/>
          <w:shd w:val="clear" w:color="040000" w:fill="FFFFFF"/>
        </w:rPr>
        <w:fldChar w:fldCharType="begin"/>
      </w:r>
      <w:r>
        <w:rPr>
          <w:rFonts w:hint="eastAsia" w:ascii="楷体" w:hAnsi="楷体" w:eastAsia="楷体" w:cs="楷体"/>
          <w:color w:val="auto"/>
          <w:sz w:val="32"/>
          <w:szCs w:val="32"/>
          <w:shd w:val="clear" w:color="040000" w:fill="FFFFFF"/>
        </w:rPr>
        <w:instrText xml:space="preserve"> HYPERLINK "http://fagui.pkulaw.cn:18080/javascript:SLC(24095,0)" </w:instrText>
      </w:r>
      <w:r>
        <w:rPr>
          <w:rFonts w:hint="eastAsia" w:ascii="楷体" w:hAnsi="楷体" w:eastAsia="楷体" w:cs="楷体"/>
          <w:color w:val="auto"/>
          <w:sz w:val="32"/>
          <w:szCs w:val="32"/>
          <w:shd w:val="clear" w:color="040000" w:fill="FFFFFF"/>
        </w:rPr>
        <w:fldChar w:fldCharType="separate"/>
      </w:r>
      <w:r>
        <w:rPr>
          <w:rStyle w:val="27"/>
          <w:rFonts w:hint="eastAsia" w:ascii="楷体" w:hAnsi="楷体" w:eastAsia="楷体" w:cs="楷体"/>
          <w:color w:val="auto"/>
          <w:sz w:val="32"/>
          <w:szCs w:val="32"/>
          <w:shd w:val="clear" w:color="050000" w:fill="FFFFFF"/>
        </w:rPr>
        <w:t>刑法修正案</w:t>
      </w:r>
      <w:r>
        <w:rPr>
          <w:rFonts w:hint="eastAsia" w:ascii="楷体" w:hAnsi="楷体" w:eastAsia="楷体" w:cs="楷体"/>
          <w:color w:val="auto"/>
          <w:sz w:val="32"/>
          <w:szCs w:val="32"/>
          <w:shd w:val="clear" w:color="040000" w:fill="FFFFFF"/>
        </w:rPr>
        <w:fldChar w:fldCharType="end"/>
      </w:r>
      <w:r>
        <w:rPr>
          <w:rFonts w:hint="eastAsia" w:ascii="楷体" w:hAnsi="楷体" w:eastAsia="楷体" w:cs="楷体"/>
          <w:color w:val="auto"/>
          <w:sz w:val="32"/>
          <w:szCs w:val="32"/>
          <w:shd w:val="clear" w:color="040000" w:fill="FFFFFF"/>
        </w:rPr>
        <w:t>、涉及修改</w:t>
      </w:r>
      <w:r>
        <w:rPr>
          <w:rFonts w:hint="eastAsia" w:ascii="楷体" w:hAnsi="楷体" w:eastAsia="楷体" w:cs="楷体"/>
          <w:color w:val="auto"/>
          <w:sz w:val="32"/>
          <w:szCs w:val="32"/>
          <w:shd w:val="clear" w:color="040000" w:fill="FFFFFF"/>
        </w:rPr>
        <w:fldChar w:fldCharType="begin"/>
      </w:r>
      <w:r>
        <w:rPr>
          <w:rFonts w:hint="eastAsia" w:ascii="楷体" w:hAnsi="楷体" w:eastAsia="楷体" w:cs="楷体"/>
          <w:color w:val="auto"/>
          <w:sz w:val="32"/>
          <w:szCs w:val="32"/>
          <w:shd w:val="clear" w:color="040000" w:fill="FFFFFF"/>
        </w:rPr>
        <w:instrText xml:space="preserve"> HYPERLINK "http://fagui.pkulaw.cn:18080/javascript:SLC(17010,0)" </w:instrText>
      </w:r>
      <w:r>
        <w:rPr>
          <w:rFonts w:hint="eastAsia" w:ascii="楷体" w:hAnsi="楷体" w:eastAsia="楷体" w:cs="楷体"/>
          <w:color w:val="auto"/>
          <w:sz w:val="32"/>
          <w:szCs w:val="32"/>
          <w:shd w:val="clear" w:color="040000" w:fill="FFFFFF"/>
        </w:rPr>
        <w:fldChar w:fldCharType="separate"/>
      </w:r>
      <w:r>
        <w:rPr>
          <w:rStyle w:val="27"/>
          <w:rFonts w:hint="eastAsia" w:ascii="楷体" w:hAnsi="楷体" w:eastAsia="楷体" w:cs="楷体"/>
          <w:color w:val="auto"/>
          <w:sz w:val="32"/>
          <w:szCs w:val="32"/>
          <w:shd w:val="clear" w:color="050000" w:fill="FFFFFF"/>
        </w:rPr>
        <w:t>刑法</w:t>
      </w:r>
      <w:r>
        <w:rPr>
          <w:rFonts w:hint="eastAsia" w:ascii="楷体" w:hAnsi="楷体" w:eastAsia="楷体" w:cs="楷体"/>
          <w:color w:val="auto"/>
          <w:sz w:val="32"/>
          <w:szCs w:val="32"/>
          <w:shd w:val="clear" w:color="040000" w:fill="FFFFFF"/>
        </w:rPr>
        <w:fldChar w:fldCharType="end"/>
      </w:r>
      <w:r>
        <w:rPr>
          <w:rFonts w:hint="eastAsia" w:ascii="楷体" w:hAnsi="楷体" w:eastAsia="楷体" w:cs="楷体"/>
          <w:color w:val="auto"/>
          <w:sz w:val="32"/>
          <w:szCs w:val="32"/>
          <w:shd w:val="clear" w:color="040000" w:fill="FFFFFF"/>
        </w:rPr>
        <w:t>的决定的施行日期，分别依据各法律所规定的施行日期确定。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singleLevel"/>
    <w:tmpl w:val="0000000B"/>
    <w:lvl w:ilvl="0" w:tentative="0">
      <w:start w:val="5"/>
      <w:numFmt w:val="chineseCounting"/>
      <w:suff w:val="nothing"/>
      <w:lvlText w:val="第%1章　"/>
      <w:lvlJc w:val="left"/>
      <w:rPr>
        <w:rFonts w:hint="eastAsia"/>
      </w:rPr>
    </w:lvl>
  </w:abstractNum>
  <w:abstractNum w:abstractNumId="1">
    <w:nsid w:val="0000000D"/>
    <w:multiLevelType w:val="singleLevel"/>
    <w:tmpl w:val="0000000D"/>
    <w:lvl w:ilvl="0" w:tentative="0">
      <w:start w:val="10"/>
      <w:numFmt w:val="chineseCounting"/>
      <w:suff w:val="space"/>
      <w:lvlText w:val="第%1章"/>
      <w:lvlJc w:val="left"/>
      <w:rPr>
        <w:rFonts w:hint="eastAsia"/>
      </w:rPr>
    </w:lvl>
  </w:abstractNum>
  <w:abstractNum w:abstractNumId="2">
    <w:nsid w:val="0000000F"/>
    <w:multiLevelType w:val="singleLevel"/>
    <w:tmpl w:val="0000000F"/>
    <w:lvl w:ilvl="0" w:tentative="0">
      <w:start w:val="5"/>
      <w:numFmt w:val="chineseCounting"/>
      <w:suff w:val="space"/>
      <w:lvlText w:val="第%1章"/>
      <w:lvlJc w:val="left"/>
    </w:lvl>
  </w:abstractNum>
  <w:abstractNum w:abstractNumId="3">
    <w:nsid w:val="00000010"/>
    <w:multiLevelType w:val="multilevel"/>
    <w:tmpl w:val="00000010"/>
    <w:lvl w:ilvl="0" w:tentative="0">
      <w:start w:val="1"/>
      <w:numFmt w:val="decimal"/>
      <w:lvlText w:val="%1"/>
      <w:lvlJc w:val="left"/>
      <w:pPr>
        <w:ind w:left="425" w:hanging="425"/>
      </w:pPr>
    </w:lvl>
    <w:lvl w:ilvl="1" w:tentative="0">
      <w:start w:val="1"/>
      <w:numFmt w:val="decimal"/>
      <w:pStyle w:val="39"/>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00000011"/>
    <w:multiLevelType w:val="singleLevel"/>
    <w:tmpl w:val="00000011"/>
    <w:lvl w:ilvl="0" w:tentative="0">
      <w:start w:val="6"/>
      <w:numFmt w:val="chineseCounting"/>
      <w:suff w:val="nothing"/>
      <w:lvlText w:val="第%1章"/>
      <w:lvlJc w:val="left"/>
    </w:lvl>
  </w:abstractNum>
  <w:abstractNum w:abstractNumId="5">
    <w:nsid w:val="00000012"/>
    <w:multiLevelType w:val="singleLevel"/>
    <w:tmpl w:val="00000012"/>
    <w:lvl w:ilvl="0" w:tentative="0">
      <w:start w:val="1"/>
      <w:numFmt w:val="chineseCounting"/>
      <w:suff w:val="space"/>
      <w:lvlText w:val="第%1章"/>
      <w:lvlJc w:val="left"/>
    </w:lvl>
  </w:abstractNum>
  <w:abstractNum w:abstractNumId="6">
    <w:nsid w:val="00000013"/>
    <w:multiLevelType w:val="singleLevel"/>
    <w:tmpl w:val="00000013"/>
    <w:lvl w:ilvl="0" w:tentative="0">
      <w:start w:val="2"/>
      <w:numFmt w:val="chineseCounting"/>
      <w:suff w:val="space"/>
      <w:lvlText w:val="第%1章"/>
      <w:lvlJc w:val="left"/>
    </w:lvl>
  </w:abstractNum>
  <w:abstractNum w:abstractNumId="7">
    <w:nsid w:val="00000014"/>
    <w:multiLevelType w:val="multilevel"/>
    <w:tmpl w:val="00000014"/>
    <w:lvl w:ilvl="0" w:tentative="0">
      <w:start w:val="2"/>
      <w:numFmt w:val="chineseCounting"/>
      <w:suff w:val="space"/>
      <w:lvlText w:val="第%1章"/>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0000015"/>
    <w:multiLevelType w:val="singleLevel"/>
    <w:tmpl w:val="00000015"/>
    <w:lvl w:ilvl="0" w:tentative="0">
      <w:start w:val="3"/>
      <w:numFmt w:val="chineseCounting"/>
      <w:suff w:val="nothing"/>
      <w:lvlText w:val="第%1章"/>
      <w:lvlJc w:val="left"/>
    </w:lvl>
  </w:abstractNum>
  <w:abstractNum w:abstractNumId="9">
    <w:nsid w:val="00000017"/>
    <w:multiLevelType w:val="singleLevel"/>
    <w:tmpl w:val="00000017"/>
    <w:lvl w:ilvl="0" w:tentative="0">
      <w:start w:val="9"/>
      <w:numFmt w:val="chineseCounting"/>
      <w:suff w:val="nothing"/>
      <w:lvlText w:val="第%1章"/>
      <w:lvlJc w:val="left"/>
    </w:lvl>
  </w:abstractNum>
  <w:abstractNum w:abstractNumId="10">
    <w:nsid w:val="00000018"/>
    <w:multiLevelType w:val="singleLevel"/>
    <w:tmpl w:val="00000018"/>
    <w:lvl w:ilvl="0" w:tentative="0">
      <w:start w:val="3"/>
      <w:numFmt w:val="chineseCounting"/>
      <w:suff w:val="nothing"/>
      <w:lvlText w:val="第%1章"/>
      <w:lvlJc w:val="left"/>
    </w:lvl>
  </w:abstractNum>
  <w:abstractNum w:abstractNumId="11">
    <w:nsid w:val="00000019"/>
    <w:multiLevelType w:val="singleLevel"/>
    <w:tmpl w:val="00000019"/>
    <w:lvl w:ilvl="0" w:tentative="0">
      <w:start w:val="1"/>
      <w:numFmt w:val="chineseCounting"/>
      <w:suff w:val="nothing"/>
      <w:lvlText w:val="第%1章"/>
      <w:lvlJc w:val="left"/>
    </w:lvl>
  </w:abstractNum>
  <w:abstractNum w:abstractNumId="12">
    <w:nsid w:val="0000001A"/>
    <w:multiLevelType w:val="singleLevel"/>
    <w:tmpl w:val="0000001A"/>
    <w:lvl w:ilvl="0" w:tentative="0">
      <w:start w:val="3"/>
      <w:numFmt w:val="chineseCounting"/>
      <w:suff w:val="nothing"/>
      <w:lvlText w:val="第%1章"/>
      <w:lvlJc w:val="left"/>
    </w:lvl>
  </w:abstractNum>
  <w:abstractNum w:abstractNumId="13">
    <w:nsid w:val="0000001B"/>
    <w:multiLevelType w:val="singleLevel"/>
    <w:tmpl w:val="0000001B"/>
    <w:lvl w:ilvl="0" w:tentative="0">
      <w:start w:val="1"/>
      <w:numFmt w:val="chineseCounting"/>
      <w:suff w:val="nothing"/>
      <w:lvlText w:val="第%1章"/>
      <w:lvlJc w:val="left"/>
    </w:lvl>
  </w:abstractNum>
  <w:abstractNum w:abstractNumId="14">
    <w:nsid w:val="0000001C"/>
    <w:multiLevelType w:val="singleLevel"/>
    <w:tmpl w:val="0000001C"/>
    <w:lvl w:ilvl="0" w:tentative="0">
      <w:start w:val="1"/>
      <w:numFmt w:val="chineseCounting"/>
      <w:suff w:val="nothing"/>
      <w:lvlText w:val="第%1章"/>
      <w:lvlJc w:val="left"/>
    </w:lvl>
  </w:abstractNum>
  <w:abstractNum w:abstractNumId="15">
    <w:nsid w:val="0000001D"/>
    <w:multiLevelType w:val="singleLevel"/>
    <w:tmpl w:val="0000001D"/>
    <w:lvl w:ilvl="0" w:tentative="0">
      <w:start w:val="10"/>
      <w:numFmt w:val="chineseCounting"/>
      <w:suff w:val="nothing"/>
      <w:lvlText w:val="第%1章"/>
      <w:lvlJc w:val="left"/>
    </w:lvl>
  </w:abstractNum>
  <w:abstractNum w:abstractNumId="16">
    <w:nsid w:val="0000001E"/>
    <w:multiLevelType w:val="singleLevel"/>
    <w:tmpl w:val="0000001E"/>
    <w:lvl w:ilvl="0" w:tentative="0">
      <w:start w:val="1"/>
      <w:numFmt w:val="chineseCounting"/>
      <w:suff w:val="nothing"/>
      <w:lvlText w:val="第%1章"/>
      <w:lvlJc w:val="left"/>
    </w:lvl>
  </w:abstractNum>
  <w:abstractNum w:abstractNumId="17">
    <w:nsid w:val="07EA8453"/>
    <w:multiLevelType w:val="singleLevel"/>
    <w:tmpl w:val="07EA8453"/>
    <w:lvl w:ilvl="0" w:tentative="0">
      <w:start w:val="7"/>
      <w:numFmt w:val="chineseCounting"/>
      <w:suff w:val="space"/>
      <w:lvlText w:val="第%1章"/>
      <w:lvlJc w:val="left"/>
      <w:rPr>
        <w:rFonts w:hint="eastAsia"/>
      </w:rPr>
    </w:lvl>
  </w:abstractNum>
  <w:abstractNum w:abstractNumId="18">
    <w:nsid w:val="5E2AEA79"/>
    <w:multiLevelType w:val="multilevel"/>
    <w:tmpl w:val="5E2AEA79"/>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5E2B198B"/>
    <w:multiLevelType w:val="multilevel"/>
    <w:tmpl w:val="5E2B198B"/>
    <w:lvl w:ilvl="0" w:tentative="0">
      <w:start w:val="3"/>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0">
    <w:nsid w:val="5E61FE13"/>
    <w:multiLevelType w:val="singleLevel"/>
    <w:tmpl w:val="5E61FE13"/>
    <w:lvl w:ilvl="0" w:tentative="0">
      <w:start w:val="5"/>
      <w:numFmt w:val="chineseCounting"/>
      <w:suff w:val="nothing"/>
      <w:lvlText w:val="%1、"/>
      <w:lvlJc w:val="left"/>
    </w:lvl>
  </w:abstractNum>
  <w:abstractNum w:abstractNumId="21">
    <w:nsid w:val="5FC60851"/>
    <w:multiLevelType w:val="singleLevel"/>
    <w:tmpl w:val="5FC60851"/>
    <w:lvl w:ilvl="0" w:tentative="0">
      <w:start w:val="4"/>
      <w:numFmt w:val="chineseCounting"/>
      <w:suff w:val="space"/>
      <w:lvlText w:val="第%1章"/>
      <w:lvlJc w:val="left"/>
    </w:lvl>
  </w:abstractNum>
  <w:num w:numId="1">
    <w:abstractNumId w:val="3"/>
  </w:num>
  <w:num w:numId="2">
    <w:abstractNumId w:val="20"/>
  </w:num>
  <w:num w:numId="3">
    <w:abstractNumId w:val="7"/>
  </w:num>
  <w:num w:numId="4">
    <w:abstractNumId w:val="1"/>
  </w:num>
  <w:num w:numId="5">
    <w:abstractNumId w:val="17"/>
  </w:num>
  <w:num w:numId="6">
    <w:abstractNumId w:val="9"/>
  </w:num>
  <w:num w:numId="7">
    <w:abstractNumId w:val="8"/>
  </w:num>
  <w:num w:numId="8">
    <w:abstractNumId w:val="14"/>
  </w:num>
  <w:num w:numId="9">
    <w:abstractNumId w:val="16"/>
  </w:num>
  <w:num w:numId="10">
    <w:abstractNumId w:val="11"/>
  </w:num>
  <w:num w:numId="11">
    <w:abstractNumId w:val="10"/>
  </w:num>
  <w:num w:numId="12">
    <w:abstractNumId w:val="15"/>
  </w:num>
  <w:num w:numId="13">
    <w:abstractNumId w:val="13"/>
  </w:num>
  <w:num w:numId="14">
    <w:abstractNumId w:val="12"/>
  </w:num>
  <w:num w:numId="15">
    <w:abstractNumId w:val="0"/>
  </w:num>
  <w:num w:numId="16">
    <w:abstractNumId w:val="2"/>
  </w:num>
  <w:num w:numId="17">
    <w:abstractNumId w:val="5"/>
  </w:num>
  <w:num w:numId="18">
    <w:abstractNumId w:val="6"/>
  </w:num>
  <w:num w:numId="19">
    <w:abstractNumId w:val="4"/>
  </w:num>
  <w:num w:numId="20">
    <w:abstractNumId w:val="21"/>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60"/>
  <w:drawingGridVerticalSpacing w:val="223"/>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000000"/>
    <w:rsid w:val="001E593A"/>
    <w:rsid w:val="010C5351"/>
    <w:rsid w:val="015518F7"/>
    <w:rsid w:val="01E8142F"/>
    <w:rsid w:val="024B7BD8"/>
    <w:rsid w:val="02C72738"/>
    <w:rsid w:val="0315371B"/>
    <w:rsid w:val="03283996"/>
    <w:rsid w:val="039B18CF"/>
    <w:rsid w:val="044F6BDC"/>
    <w:rsid w:val="0561453B"/>
    <w:rsid w:val="06A8541E"/>
    <w:rsid w:val="072333A6"/>
    <w:rsid w:val="0817341E"/>
    <w:rsid w:val="0915772E"/>
    <w:rsid w:val="094E002F"/>
    <w:rsid w:val="096F003B"/>
    <w:rsid w:val="099057E0"/>
    <w:rsid w:val="0AB5025C"/>
    <w:rsid w:val="0B8121AA"/>
    <w:rsid w:val="0BD75B06"/>
    <w:rsid w:val="0C2D2B20"/>
    <w:rsid w:val="0D1E5B2B"/>
    <w:rsid w:val="0D647CD1"/>
    <w:rsid w:val="0D9B70F6"/>
    <w:rsid w:val="0DC614E7"/>
    <w:rsid w:val="0EC17D80"/>
    <w:rsid w:val="0EFF35CD"/>
    <w:rsid w:val="0F4B1B26"/>
    <w:rsid w:val="0F861197"/>
    <w:rsid w:val="0F933F66"/>
    <w:rsid w:val="10741CA9"/>
    <w:rsid w:val="11667D6D"/>
    <w:rsid w:val="12A506FA"/>
    <w:rsid w:val="12D17E27"/>
    <w:rsid w:val="12E027D7"/>
    <w:rsid w:val="13BF4E52"/>
    <w:rsid w:val="146F4814"/>
    <w:rsid w:val="14DC331D"/>
    <w:rsid w:val="15AE445C"/>
    <w:rsid w:val="16103B32"/>
    <w:rsid w:val="16A050ED"/>
    <w:rsid w:val="16E55239"/>
    <w:rsid w:val="176D02E6"/>
    <w:rsid w:val="17882C11"/>
    <w:rsid w:val="183C44DF"/>
    <w:rsid w:val="190F20D3"/>
    <w:rsid w:val="19C20861"/>
    <w:rsid w:val="1A864B3D"/>
    <w:rsid w:val="1A9F2C03"/>
    <w:rsid w:val="1AAE74B5"/>
    <w:rsid w:val="1AB07A18"/>
    <w:rsid w:val="1BB0059E"/>
    <w:rsid w:val="1DE17F6D"/>
    <w:rsid w:val="1E572C8B"/>
    <w:rsid w:val="2011628C"/>
    <w:rsid w:val="20E74ECA"/>
    <w:rsid w:val="21782513"/>
    <w:rsid w:val="21D040F4"/>
    <w:rsid w:val="21D117CF"/>
    <w:rsid w:val="22965E80"/>
    <w:rsid w:val="22EB1061"/>
    <w:rsid w:val="25241B8A"/>
    <w:rsid w:val="26067709"/>
    <w:rsid w:val="26FB30BB"/>
    <w:rsid w:val="27836655"/>
    <w:rsid w:val="280C1C1D"/>
    <w:rsid w:val="281D3C41"/>
    <w:rsid w:val="2917617E"/>
    <w:rsid w:val="29930999"/>
    <w:rsid w:val="29E1115E"/>
    <w:rsid w:val="2B7A7EC7"/>
    <w:rsid w:val="2BCC7F82"/>
    <w:rsid w:val="2C594386"/>
    <w:rsid w:val="2C78372E"/>
    <w:rsid w:val="2C7F72A8"/>
    <w:rsid w:val="2CCC07A7"/>
    <w:rsid w:val="2D7034DD"/>
    <w:rsid w:val="2DAC7E45"/>
    <w:rsid w:val="2E0A1294"/>
    <w:rsid w:val="2F7B558A"/>
    <w:rsid w:val="2F86449D"/>
    <w:rsid w:val="2FBA5AEF"/>
    <w:rsid w:val="2FF37D60"/>
    <w:rsid w:val="30A629C8"/>
    <w:rsid w:val="31060C61"/>
    <w:rsid w:val="31387284"/>
    <w:rsid w:val="31D829D8"/>
    <w:rsid w:val="32AB0CB9"/>
    <w:rsid w:val="336B1665"/>
    <w:rsid w:val="33D548BC"/>
    <w:rsid w:val="34AA62BC"/>
    <w:rsid w:val="355A1B9A"/>
    <w:rsid w:val="355E5FDE"/>
    <w:rsid w:val="358C1096"/>
    <w:rsid w:val="35CA1140"/>
    <w:rsid w:val="35F101CB"/>
    <w:rsid w:val="35F75693"/>
    <w:rsid w:val="36CC226B"/>
    <w:rsid w:val="370806F5"/>
    <w:rsid w:val="3BD510A5"/>
    <w:rsid w:val="3CA527DA"/>
    <w:rsid w:val="3D31301E"/>
    <w:rsid w:val="3E4248A2"/>
    <w:rsid w:val="3E9F6E85"/>
    <w:rsid w:val="3EB06CF8"/>
    <w:rsid w:val="3F2A6F74"/>
    <w:rsid w:val="3FAA2001"/>
    <w:rsid w:val="40A446C6"/>
    <w:rsid w:val="41A53B97"/>
    <w:rsid w:val="41F4126B"/>
    <w:rsid w:val="43527732"/>
    <w:rsid w:val="43E35579"/>
    <w:rsid w:val="442C4123"/>
    <w:rsid w:val="44B240CD"/>
    <w:rsid w:val="45BC2604"/>
    <w:rsid w:val="46731692"/>
    <w:rsid w:val="4698217B"/>
    <w:rsid w:val="46B9202E"/>
    <w:rsid w:val="46B9784A"/>
    <w:rsid w:val="4886322D"/>
    <w:rsid w:val="48A32564"/>
    <w:rsid w:val="4A5C5852"/>
    <w:rsid w:val="4B156D78"/>
    <w:rsid w:val="4B185C17"/>
    <w:rsid w:val="4B32242A"/>
    <w:rsid w:val="4BD200E2"/>
    <w:rsid w:val="4C4C7EB5"/>
    <w:rsid w:val="4C94161E"/>
    <w:rsid w:val="4D7E0D16"/>
    <w:rsid w:val="4D9A1AE4"/>
    <w:rsid w:val="4E6B40F9"/>
    <w:rsid w:val="4E943B4A"/>
    <w:rsid w:val="4EB17855"/>
    <w:rsid w:val="4EB865B4"/>
    <w:rsid w:val="51226609"/>
    <w:rsid w:val="51481F98"/>
    <w:rsid w:val="52161234"/>
    <w:rsid w:val="5362033F"/>
    <w:rsid w:val="53835F8C"/>
    <w:rsid w:val="545C7EF1"/>
    <w:rsid w:val="55F952C3"/>
    <w:rsid w:val="568E3622"/>
    <w:rsid w:val="56C35090"/>
    <w:rsid w:val="57AB0586"/>
    <w:rsid w:val="57B26855"/>
    <w:rsid w:val="57B31EBE"/>
    <w:rsid w:val="58E16FA0"/>
    <w:rsid w:val="58FD0F5B"/>
    <w:rsid w:val="59077C1F"/>
    <w:rsid w:val="5A1A076B"/>
    <w:rsid w:val="5AED2B12"/>
    <w:rsid w:val="5B192693"/>
    <w:rsid w:val="5C467657"/>
    <w:rsid w:val="5C8A2CE5"/>
    <w:rsid w:val="5CB833E0"/>
    <w:rsid w:val="5CD62955"/>
    <w:rsid w:val="5D314548"/>
    <w:rsid w:val="5D3402B3"/>
    <w:rsid w:val="5D585E2A"/>
    <w:rsid w:val="5D7137C3"/>
    <w:rsid w:val="5E2D6D58"/>
    <w:rsid w:val="5E662FA7"/>
    <w:rsid w:val="5EAD6223"/>
    <w:rsid w:val="5EE51311"/>
    <w:rsid w:val="5F57134C"/>
    <w:rsid w:val="606E165A"/>
    <w:rsid w:val="609F1529"/>
    <w:rsid w:val="6101653C"/>
    <w:rsid w:val="62D01C18"/>
    <w:rsid w:val="62DD6F12"/>
    <w:rsid w:val="62E03A0B"/>
    <w:rsid w:val="63CE4AFD"/>
    <w:rsid w:val="63E16E17"/>
    <w:rsid w:val="64D07607"/>
    <w:rsid w:val="657A3D03"/>
    <w:rsid w:val="67784263"/>
    <w:rsid w:val="680B6B2B"/>
    <w:rsid w:val="680C4A75"/>
    <w:rsid w:val="6A4E06DD"/>
    <w:rsid w:val="6AFD61D5"/>
    <w:rsid w:val="6C0A0567"/>
    <w:rsid w:val="6C0E61C3"/>
    <w:rsid w:val="6CEB6883"/>
    <w:rsid w:val="6D442618"/>
    <w:rsid w:val="717411A7"/>
    <w:rsid w:val="73F3087C"/>
    <w:rsid w:val="740272E9"/>
    <w:rsid w:val="7428645C"/>
    <w:rsid w:val="75124D44"/>
    <w:rsid w:val="75807784"/>
    <w:rsid w:val="76B851C0"/>
    <w:rsid w:val="76FC7267"/>
    <w:rsid w:val="775B72F5"/>
    <w:rsid w:val="77A715D9"/>
    <w:rsid w:val="77AD51D0"/>
    <w:rsid w:val="78677342"/>
    <w:rsid w:val="797B7F2C"/>
    <w:rsid w:val="7A0337FA"/>
    <w:rsid w:val="7A236015"/>
    <w:rsid w:val="7A955D3E"/>
    <w:rsid w:val="7AE95F94"/>
    <w:rsid w:val="7B466292"/>
    <w:rsid w:val="7C29335C"/>
    <w:rsid w:val="7C6E5E69"/>
    <w:rsid w:val="7CBC16D0"/>
    <w:rsid w:val="7D2A49F4"/>
    <w:rsid w:val="7E4240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link w:val="51"/>
    <w:qFormat/>
    <w:uiPriority w:val="0"/>
    <w:pPr>
      <w:keepNext/>
      <w:keepLines/>
      <w:spacing w:before="340" w:after="330" w:line="578" w:lineRule="auto"/>
      <w:outlineLvl w:val="0"/>
    </w:pPr>
    <w:rPr>
      <w:rFonts w:eastAsia="仿宋_GB2312"/>
      <w:b/>
      <w:bCs/>
      <w:kern w:val="44"/>
      <w:sz w:val="44"/>
      <w:szCs w:val="44"/>
    </w:rPr>
  </w:style>
  <w:style w:type="paragraph" w:styleId="5">
    <w:name w:val="heading 2"/>
    <w:basedOn w:val="1"/>
    <w:next w:val="1"/>
    <w:link w:val="52"/>
    <w:qFormat/>
    <w:uiPriority w:val="0"/>
    <w:pPr>
      <w:keepNext/>
      <w:keepLines/>
      <w:spacing w:before="260" w:after="260" w:line="416" w:lineRule="auto"/>
      <w:ind w:firstLine="200" w:firstLineChars="200"/>
      <w:jc w:val="left"/>
      <w:outlineLvl w:val="1"/>
    </w:pPr>
    <w:rPr>
      <w:rFonts w:ascii="Cambria" w:hAnsi="Cambria"/>
      <w:b/>
      <w:bCs/>
      <w:kern w:val="2"/>
      <w:sz w:val="32"/>
      <w:szCs w:val="32"/>
    </w:rPr>
  </w:style>
  <w:style w:type="paragraph" w:styleId="6">
    <w:name w:val="heading 3"/>
    <w:basedOn w:val="1"/>
    <w:next w:val="1"/>
    <w:link w:val="53"/>
    <w:qFormat/>
    <w:uiPriority w:val="0"/>
    <w:pPr>
      <w:keepNext/>
      <w:keepLines/>
      <w:spacing w:before="260" w:after="260" w:line="416" w:lineRule="auto"/>
      <w:outlineLvl w:val="2"/>
    </w:pPr>
    <w:rPr>
      <w:rFonts w:eastAsia="仿宋_GB2312"/>
      <w:b/>
      <w:bCs/>
      <w:kern w:val="2"/>
      <w:sz w:val="32"/>
      <w:szCs w:val="32"/>
    </w:rPr>
  </w:style>
  <w:style w:type="character" w:default="1" w:styleId="21">
    <w:name w:val="Default Paragraph Font"/>
    <w:link w:val="22"/>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line="640" w:lineRule="exact"/>
    </w:pPr>
    <w:rPr>
      <w:rFonts w:ascii="仿宋_GB2312" w:hAnsi="宋体" w:eastAsia="仿宋_GB2312"/>
      <w:sz w:val="32"/>
    </w:rPr>
  </w:style>
  <w:style w:type="paragraph" w:styleId="7">
    <w:name w:val="Normal Indent"/>
    <w:basedOn w:val="1"/>
    <w:next w:val="1"/>
    <w:qFormat/>
    <w:uiPriority w:val="0"/>
    <w:pPr>
      <w:ind w:firstLine="420" w:firstLineChars="200"/>
    </w:pPr>
    <w:rPr>
      <w:rFonts w:ascii="Calibri" w:hAnsi="Calibri" w:eastAsia="宋体" w:cs="Times New Roman"/>
    </w:rPr>
  </w:style>
  <w:style w:type="paragraph" w:styleId="8">
    <w:name w:val="Salutation"/>
    <w:basedOn w:val="1"/>
    <w:next w:val="1"/>
    <w:qFormat/>
    <w:uiPriority w:val="0"/>
    <w:pPr>
      <w:jc w:val="center"/>
    </w:pPr>
    <w:rPr>
      <w:rFonts w:eastAsia="楷体"/>
      <w:sz w:val="32"/>
    </w:rPr>
  </w:style>
  <w:style w:type="paragraph" w:styleId="9">
    <w:name w:val="Body Text Indent"/>
    <w:basedOn w:val="1"/>
    <w:qFormat/>
    <w:uiPriority w:val="0"/>
    <w:pPr>
      <w:spacing w:after="120" w:afterLines="0"/>
      <w:ind w:left="420" w:leftChars="200"/>
    </w:p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eastAsia="宋体" w:cs="Courier New"/>
      <w:szCs w:val="21"/>
    </w:rPr>
  </w:style>
  <w:style w:type="paragraph" w:styleId="12">
    <w:name w:val="footer"/>
    <w:basedOn w:val="1"/>
    <w:link w:val="55"/>
    <w:qFormat/>
    <w:uiPriority w:val="0"/>
    <w:pPr>
      <w:tabs>
        <w:tab w:val="center" w:pos="4153"/>
        <w:tab w:val="right" w:pos="8306"/>
      </w:tabs>
      <w:snapToGrid w:val="0"/>
      <w:jc w:val="left"/>
    </w:pPr>
    <w:rPr>
      <w:rFonts w:eastAsia="仿宋_GB2312"/>
      <w:kern w:val="2"/>
      <w:sz w:val="18"/>
      <w:szCs w:val="18"/>
    </w:rPr>
  </w:style>
  <w:style w:type="paragraph" w:styleId="13">
    <w:name w:val="header"/>
    <w:basedOn w:val="1"/>
    <w:link w:val="56"/>
    <w:qFormat/>
    <w:uiPriority w:val="0"/>
    <w:pPr>
      <w:pBdr>
        <w:bottom w:val="single" w:color="auto" w:sz="6" w:space="1"/>
      </w:pBdr>
      <w:tabs>
        <w:tab w:val="center" w:pos="4153"/>
        <w:tab w:val="right" w:pos="8306"/>
      </w:tabs>
      <w:snapToGrid w:val="0"/>
      <w:jc w:val="center"/>
    </w:pPr>
    <w:rPr>
      <w:rFonts w:eastAsia="仿宋_GB2312"/>
      <w:kern w:val="2"/>
      <w:sz w:val="18"/>
      <w:szCs w:val="18"/>
    </w:rPr>
  </w:style>
  <w:style w:type="paragraph" w:styleId="14">
    <w:name w:val="toc 1"/>
    <w:basedOn w:val="1"/>
    <w:next w:val="1"/>
    <w:qFormat/>
    <w:uiPriority w:val="0"/>
  </w:style>
  <w:style w:type="paragraph" w:styleId="15">
    <w:name w:val="Subtitle"/>
    <w:basedOn w:val="1"/>
    <w:next w:val="1"/>
    <w:link w:val="57"/>
    <w:qFormat/>
    <w:uiPriority w:val="0"/>
    <w:pPr>
      <w:spacing w:before="240" w:after="60" w:line="312" w:lineRule="auto"/>
      <w:jc w:val="center"/>
      <w:outlineLvl w:val="1"/>
    </w:pPr>
    <w:rPr>
      <w:rFonts w:ascii="Cambria" w:hAnsi="Cambria" w:cs="Times New Roman"/>
      <w:b/>
      <w:bCs/>
      <w:kern w:val="28"/>
      <w:sz w:val="32"/>
      <w:szCs w:val="32"/>
    </w:rPr>
  </w:style>
  <w:style w:type="paragraph" w:styleId="16">
    <w:name w:val="footnote text"/>
    <w:basedOn w:val="1"/>
    <w:qFormat/>
    <w:uiPriority w:val="0"/>
    <w:pPr>
      <w:snapToGrid w:val="0"/>
      <w:jc w:val="left"/>
    </w:pPr>
    <w:rPr>
      <w:sz w:val="18"/>
    </w:rPr>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rPr>
  </w:style>
  <w:style w:type="paragraph" w:styleId="19">
    <w:name w:val="Title"/>
    <w:basedOn w:val="1"/>
    <w:next w:val="1"/>
    <w:link w:val="58"/>
    <w:qFormat/>
    <w:uiPriority w:val="0"/>
    <w:pPr>
      <w:spacing w:before="240" w:after="60"/>
      <w:jc w:val="center"/>
      <w:outlineLvl w:val="0"/>
    </w:pPr>
    <w:rPr>
      <w:rFonts w:ascii="Cambria" w:hAnsi="Cambria" w:cs="Times New Roman"/>
      <w:b/>
      <w:bCs/>
      <w:kern w:val="2"/>
      <w:sz w:val="32"/>
      <w:szCs w:val="32"/>
    </w:rPr>
  </w:style>
  <w:style w:type="paragraph" w:customStyle="1" w:styleId="22">
    <w:name w:val=" Char Char Char Char Char Char Char"/>
    <w:basedOn w:val="1"/>
    <w:link w:val="21"/>
    <w:qFormat/>
    <w:uiPriority w:val="0"/>
  </w:style>
  <w:style w:type="character" w:styleId="23">
    <w:name w:val="Strong"/>
    <w:basedOn w:val="21"/>
    <w:qFormat/>
    <w:uiPriority w:val="0"/>
    <w:rPr>
      <w:b/>
      <w:bCs/>
    </w:rPr>
  </w:style>
  <w:style w:type="character" w:styleId="24">
    <w:name w:val="page number"/>
    <w:basedOn w:val="21"/>
    <w:qFormat/>
    <w:uiPriority w:val="0"/>
    <w:rPr>
      <w:rFonts w:ascii="Times New Roman" w:hAnsi="Times New Roman" w:eastAsia="宋体"/>
    </w:rPr>
  </w:style>
  <w:style w:type="character" w:styleId="25">
    <w:name w:val="FollowedHyperlink"/>
    <w:qFormat/>
    <w:uiPriority w:val="0"/>
    <w:rPr>
      <w:color w:val="800080"/>
      <w:u w:val="single"/>
    </w:rPr>
  </w:style>
  <w:style w:type="character" w:styleId="26">
    <w:name w:val="Emphasis"/>
    <w:qFormat/>
    <w:uiPriority w:val="0"/>
    <w:rPr>
      <w:i/>
      <w:iCs/>
    </w:rPr>
  </w:style>
  <w:style w:type="character" w:styleId="27">
    <w:name w:val="Hyperlink"/>
    <w:basedOn w:val="21"/>
    <w:qFormat/>
    <w:uiPriority w:val="0"/>
    <w:rPr>
      <w:rFonts w:hint="default" w:ascii="ˎ̥" w:hAnsi="ˎ̥"/>
      <w:color w:val="0404B3"/>
      <w:sz w:val="18"/>
      <w:szCs w:val="18"/>
      <w:u w:val="none"/>
    </w:rPr>
  </w:style>
  <w:style w:type="character" w:styleId="28">
    <w:name w:val="footnote reference"/>
    <w:basedOn w:val="21"/>
    <w:qFormat/>
    <w:uiPriority w:val="0"/>
    <w:rPr>
      <w:vertAlign w:val="superscript"/>
    </w:rPr>
  </w:style>
  <w:style w:type="paragraph" w:customStyle="1" w:styleId="29">
    <w:name w:val=" Char"/>
    <w:basedOn w:val="1"/>
    <w:qFormat/>
    <w:uiPriority w:val="0"/>
  </w:style>
  <w:style w:type="paragraph" w:customStyle="1" w:styleId="30">
    <w:name w:val="Default"/>
    <w:qFormat/>
    <w:uiPriority w:val="0"/>
    <w:pPr>
      <w:widowControl w:val="0"/>
      <w:autoSpaceDE w:val="0"/>
      <w:autoSpaceDN w:val="0"/>
      <w:adjustRightInd w:val="0"/>
    </w:pPr>
    <w:rPr>
      <w:rFonts w:hint="eastAsia" w:ascii="方正仿宋_GBK" w:hAnsi="方正仿宋_GBK" w:eastAsia="方正仿宋_GBK" w:cs="Times New Roman"/>
      <w:color w:val="000000"/>
      <w:sz w:val="24"/>
      <w:szCs w:val="22"/>
      <w:lang w:val="en-US" w:eastAsia="zh-CN" w:bidi="ar-SA"/>
    </w:rPr>
  </w:style>
  <w:style w:type="paragraph" w:customStyle="1" w:styleId="31">
    <w:name w:val="Plain Text"/>
    <w:basedOn w:val="1"/>
    <w:link w:val="54"/>
    <w:qFormat/>
    <w:uiPriority w:val="0"/>
    <w:rPr>
      <w:rFonts w:ascii="宋体" w:hAnsi="Courier New" w:cs="Courier New"/>
      <w:kern w:val="2"/>
      <w:sz w:val="21"/>
      <w:szCs w:val="21"/>
    </w:rPr>
  </w:style>
  <w:style w:type="paragraph" w:customStyle="1" w:styleId="32">
    <w:name w:val="批注框文本1"/>
    <w:basedOn w:val="1"/>
    <w:qFormat/>
    <w:uiPriority w:val="0"/>
    <w:rPr>
      <w:sz w:val="18"/>
      <w:szCs w:val="18"/>
    </w:rPr>
  </w:style>
  <w:style w:type="paragraph" w:customStyle="1" w:styleId="33">
    <w:name w:val="Normal Indent"/>
    <w:basedOn w:val="1"/>
    <w:qFormat/>
    <w:uiPriority w:val="0"/>
    <w:pPr>
      <w:ind w:firstLine="420" w:firstLineChars="200"/>
    </w:pPr>
    <w:rPr>
      <w:rFonts w:ascii="Calibri" w:hAnsi="Calibri" w:eastAsia="宋体" w:cs="Times New Roman"/>
    </w:rPr>
  </w:style>
  <w:style w:type="paragraph" w:customStyle="1" w:styleId="34">
    <w:name w:val="Document Map"/>
    <w:basedOn w:val="1"/>
    <w:qFormat/>
    <w:uiPriority w:val="0"/>
    <w:pPr>
      <w:shd w:val="clear" w:color="auto" w:fill="000080"/>
    </w:pPr>
  </w:style>
  <w:style w:type="paragraph" w:customStyle="1" w:styleId="35">
    <w:name w:val="Body Text Indent"/>
    <w:basedOn w:val="1"/>
    <w:qFormat/>
    <w:uiPriority w:val="0"/>
    <w:pPr>
      <w:ind w:firstLine="640" w:firstLineChars="200"/>
    </w:pPr>
    <w:rPr>
      <w:rFonts w:eastAsia="华文行楷"/>
      <w:sz w:val="32"/>
    </w:rPr>
  </w:style>
  <w:style w:type="paragraph" w:customStyle="1" w:styleId="36">
    <w:name w:val="Body Text Indent 2"/>
    <w:basedOn w:val="1"/>
    <w:qFormat/>
    <w:uiPriority w:val="0"/>
    <w:pPr>
      <w:spacing w:after="120" w:line="480" w:lineRule="auto"/>
      <w:ind w:left="420" w:leftChars="200"/>
    </w:pPr>
  </w:style>
  <w:style w:type="paragraph" w:customStyle="1" w:styleId="37">
    <w:name w:val="Normal (Web)"/>
    <w:basedOn w:val="1"/>
    <w:qFormat/>
    <w:uiPriority w:val="0"/>
    <w:pPr>
      <w:spacing w:before="0" w:beforeAutospacing="1" w:after="0" w:afterAutospacing="1"/>
      <w:ind w:left="0" w:right="0"/>
      <w:jc w:val="left"/>
    </w:pPr>
    <w:rPr>
      <w:kern w:val="0"/>
      <w:sz w:val="24"/>
      <w:lang w:val="en-US" w:eastAsia="zh-CN"/>
    </w:rPr>
  </w:style>
  <w:style w:type="paragraph" w:customStyle="1" w:styleId="38">
    <w:name w:val="_Style 20"/>
    <w:basedOn w:val="4"/>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39">
    <w:name w:val="1.1"/>
    <w:basedOn w:val="6"/>
    <w:link w:val="61"/>
    <w:qFormat/>
    <w:uiPriority w:val="0"/>
    <w:pPr>
      <w:numPr>
        <w:ilvl w:val="1"/>
        <w:numId w:val="1"/>
      </w:numPr>
      <w:ind w:firstLine="0"/>
      <w:jc w:val="left"/>
    </w:pPr>
    <w:rPr>
      <w:rFonts w:ascii="Calibri" w:hAnsi="Calibri"/>
      <w:kern w:val="2"/>
      <w:sz w:val="30"/>
      <w:szCs w:val="32"/>
    </w:rPr>
  </w:style>
  <w:style w:type="paragraph" w:customStyle="1" w:styleId="40">
    <w:name w:val="_Style 9"/>
    <w:basedOn w:val="1"/>
    <w:next w:val="35"/>
    <w:qFormat/>
    <w:uiPriority w:val="0"/>
    <w:pPr>
      <w:ind w:firstLine="640" w:firstLineChars="200"/>
    </w:pPr>
    <w:rPr>
      <w:rFonts w:eastAsia="华文行楷"/>
      <w:sz w:val="32"/>
    </w:rPr>
  </w:style>
  <w:style w:type="paragraph" w:customStyle="1" w:styleId="41">
    <w:name w:val="_Style 1"/>
    <w:basedOn w:val="1"/>
    <w:next w:val="36"/>
    <w:qFormat/>
    <w:uiPriority w:val="0"/>
    <w:pPr>
      <w:ind w:firstLine="420"/>
    </w:pPr>
    <w:rPr>
      <w:rFonts w:eastAsia="仿宋_GB2312"/>
      <w:szCs w:val="20"/>
    </w:rPr>
  </w:style>
  <w:style w:type="paragraph" w:customStyle="1" w:styleId="42">
    <w:name w:val="_Style 7"/>
    <w:basedOn w:val="1"/>
    <w:next w:val="36"/>
    <w:qFormat/>
    <w:uiPriority w:val="0"/>
    <w:pPr>
      <w:spacing w:after="120" w:line="480" w:lineRule="auto"/>
      <w:ind w:left="420" w:leftChars="200"/>
    </w:pPr>
  </w:style>
  <w:style w:type="paragraph" w:customStyle="1" w:styleId="43">
    <w:name w:val="正文 New New"/>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customStyle="1" w:styleId="4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纯文本 New"/>
    <w:basedOn w:val="43"/>
    <w:qFormat/>
    <w:uiPriority w:val="0"/>
    <w:rPr>
      <w:rFonts w:ascii="宋体" w:hAnsi="Courier New" w:cs="Courier New"/>
      <w:szCs w:val="21"/>
    </w:rPr>
  </w:style>
  <w:style w:type="paragraph" w:customStyle="1" w:styleId="46">
    <w:name w:val="正文 New New New"/>
    <w:qFormat/>
    <w:uiPriority w:val="0"/>
    <w:pPr>
      <w:widowControl w:val="0"/>
      <w:jc w:val="both"/>
    </w:pPr>
    <w:rPr>
      <w:rFonts w:ascii="Times New Roman" w:hAnsi="Times New Roman" w:eastAsia="宋体" w:cs="黑体"/>
      <w:kern w:val="2"/>
      <w:sz w:val="21"/>
      <w:szCs w:val="24"/>
      <w:lang w:val="en-US" w:eastAsia="zh-CN" w:bidi="ar-SA"/>
    </w:rPr>
  </w:style>
  <w:style w:type="paragraph" w:customStyle="1" w:styleId="47">
    <w:name w:val="HTML 地址1"/>
    <w:qFormat/>
    <w:uiPriority w:val="0"/>
    <w:pPr>
      <w:widowControl w:val="0"/>
      <w:spacing w:before="100" w:beforeAutospacing="1" w:after="100" w:afterAutospacing="1"/>
      <w:jc w:val="left"/>
    </w:pPr>
    <w:rPr>
      <w:rFonts w:ascii="等线" w:hAnsi="等线" w:eastAsia="等线" w:cs="黑体"/>
      <w:kern w:val="2"/>
      <w:sz w:val="24"/>
      <w:szCs w:val="22"/>
      <w:lang w:val="en-US" w:eastAsia="zh-CN" w:bidi="ar-SA"/>
    </w:rPr>
  </w:style>
  <w:style w:type="paragraph" w:customStyle="1" w:styleId="48">
    <w:name w:val="普通(网站)1"/>
    <w:basedOn w:val="1"/>
    <w:qFormat/>
    <w:uiPriority w:val="0"/>
    <w:pPr>
      <w:spacing w:before="100" w:beforeAutospacing="1" w:after="100" w:afterAutospacing="1"/>
      <w:jc w:val="left"/>
    </w:pPr>
    <w:rPr>
      <w:rFonts w:ascii="Calibri" w:hAnsi="Calibri" w:eastAsia="宋体" w:cs="Times New Roman"/>
      <w:kern w:val="0"/>
      <w:sz w:val="24"/>
    </w:rPr>
  </w:style>
  <w:style w:type="paragraph" w:customStyle="1" w:styleId="49">
    <w:name w:val="p0"/>
    <w:basedOn w:val="50"/>
    <w:qFormat/>
    <w:uiPriority w:val="0"/>
    <w:pPr>
      <w:widowControl/>
    </w:pPr>
    <w:rPr>
      <w:rFonts w:hint="eastAsia" w:ascii="宋体" w:hAnsi="宋体"/>
      <w:sz w:val="32"/>
    </w:rPr>
  </w:style>
  <w:style w:type="paragraph" w:customStyle="1" w:styleId="50">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1">
    <w:name w:val="标题 1 Char"/>
    <w:link w:val="4"/>
    <w:semiHidden/>
    <w:qFormat/>
    <w:uiPriority w:val="0"/>
    <w:rPr>
      <w:rFonts w:eastAsia="仿宋_GB2312"/>
      <w:b/>
      <w:bCs/>
      <w:kern w:val="44"/>
      <w:sz w:val="44"/>
      <w:szCs w:val="44"/>
    </w:rPr>
  </w:style>
  <w:style w:type="character" w:customStyle="1" w:styleId="52">
    <w:name w:val="标题 2 Char"/>
    <w:link w:val="5"/>
    <w:semiHidden/>
    <w:qFormat/>
    <w:uiPriority w:val="0"/>
    <w:rPr>
      <w:rFonts w:ascii="Cambria" w:hAnsi="Cambria"/>
      <w:b/>
      <w:bCs/>
      <w:kern w:val="2"/>
      <w:sz w:val="32"/>
      <w:szCs w:val="32"/>
    </w:rPr>
  </w:style>
  <w:style w:type="character" w:customStyle="1" w:styleId="53">
    <w:name w:val="标题 3 Char"/>
    <w:link w:val="6"/>
    <w:semiHidden/>
    <w:qFormat/>
    <w:uiPriority w:val="0"/>
    <w:rPr>
      <w:rFonts w:eastAsia="仿宋_GB2312"/>
      <w:b/>
      <w:bCs/>
      <w:kern w:val="2"/>
      <w:sz w:val="32"/>
      <w:szCs w:val="32"/>
    </w:rPr>
  </w:style>
  <w:style w:type="character" w:customStyle="1" w:styleId="54">
    <w:name w:val="纯文本 Char"/>
    <w:link w:val="31"/>
    <w:semiHidden/>
    <w:qFormat/>
    <w:uiPriority w:val="0"/>
    <w:rPr>
      <w:rFonts w:ascii="宋体" w:hAnsi="Courier New" w:cs="Courier New"/>
      <w:kern w:val="2"/>
      <w:sz w:val="21"/>
      <w:szCs w:val="21"/>
    </w:rPr>
  </w:style>
  <w:style w:type="character" w:customStyle="1" w:styleId="55">
    <w:name w:val="页脚 Char"/>
    <w:link w:val="12"/>
    <w:semiHidden/>
    <w:qFormat/>
    <w:uiPriority w:val="0"/>
    <w:rPr>
      <w:rFonts w:eastAsia="仿宋_GB2312"/>
      <w:kern w:val="2"/>
      <w:sz w:val="18"/>
      <w:szCs w:val="18"/>
    </w:rPr>
  </w:style>
  <w:style w:type="character" w:customStyle="1" w:styleId="56">
    <w:name w:val="页眉 Char"/>
    <w:link w:val="13"/>
    <w:semiHidden/>
    <w:qFormat/>
    <w:uiPriority w:val="0"/>
    <w:rPr>
      <w:rFonts w:eastAsia="仿宋_GB2312"/>
      <w:kern w:val="2"/>
      <w:sz w:val="18"/>
      <w:szCs w:val="18"/>
    </w:rPr>
  </w:style>
  <w:style w:type="character" w:customStyle="1" w:styleId="57">
    <w:name w:val="副标题 Char"/>
    <w:link w:val="15"/>
    <w:semiHidden/>
    <w:qFormat/>
    <w:uiPriority w:val="0"/>
    <w:rPr>
      <w:rFonts w:ascii="Cambria" w:hAnsi="Cambria" w:cs="Times New Roman"/>
      <w:b/>
      <w:bCs/>
      <w:kern w:val="28"/>
      <w:sz w:val="32"/>
      <w:szCs w:val="32"/>
    </w:rPr>
  </w:style>
  <w:style w:type="character" w:customStyle="1" w:styleId="58">
    <w:name w:val="标题 Char"/>
    <w:link w:val="19"/>
    <w:semiHidden/>
    <w:qFormat/>
    <w:uiPriority w:val="0"/>
    <w:rPr>
      <w:rFonts w:ascii="Cambria" w:hAnsi="Cambria" w:cs="Times New Roman"/>
      <w:b/>
      <w:bCs/>
      <w:kern w:val="2"/>
      <w:sz w:val="32"/>
      <w:szCs w:val="32"/>
    </w:rPr>
  </w:style>
  <w:style w:type="character" w:customStyle="1" w:styleId="59">
    <w:name w:val="page number"/>
    <w:basedOn w:val="21"/>
    <w:qFormat/>
    <w:uiPriority w:val="0"/>
  </w:style>
  <w:style w:type="character" w:customStyle="1" w:styleId="60">
    <w:name w:val="纯文本 Char1"/>
    <w:qFormat/>
    <w:uiPriority w:val="0"/>
    <w:rPr>
      <w:rFonts w:ascii="宋体" w:hAnsi="Courier New" w:cs="Courier New"/>
      <w:kern w:val="2"/>
      <w:sz w:val="21"/>
      <w:szCs w:val="21"/>
    </w:rPr>
  </w:style>
  <w:style w:type="character" w:customStyle="1" w:styleId="61">
    <w:name w:val="1.1 Char Char"/>
    <w:link w:val="39"/>
    <w:semiHidden/>
    <w:qFormat/>
    <w:uiPriority w:val="0"/>
    <w:rPr>
      <w:rFonts w:ascii="Calibri" w:hAnsi="Calibri"/>
      <w:b/>
      <w:bCs/>
      <w:kern w:val="2"/>
      <w:sz w:val="30"/>
      <w:szCs w:val="32"/>
    </w:rPr>
  </w:style>
  <w:style w:type="character" w:customStyle="1" w:styleId="62">
    <w:name w:val="rec-time"/>
    <w:basedOn w:val="21"/>
    <w:qFormat/>
    <w:uiPriority w:val="0"/>
  </w:style>
  <w:style w:type="character" w:customStyle="1" w:styleId="63">
    <w:name w:val="rec-status-desc"/>
    <w:basedOn w:val="21"/>
    <w:qFormat/>
    <w:uiPriority w:val="0"/>
  </w:style>
  <w:style w:type="character" w:customStyle="1" w:styleId="64">
    <w:name w:val="rec-volume"/>
    <w:basedOn w:val="21"/>
    <w:qFormat/>
    <w:uiPriority w:val="0"/>
  </w:style>
  <w:style w:type="character" w:customStyle="1" w:styleId="65">
    <w:name w:val="font_fulltext1"/>
    <w:basedOn w:val="21"/>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2699</Pages>
  <Words>1246958</Words>
  <Characters>1254911</Characters>
  <Lines>132</Lines>
  <Paragraphs>37</Paragraphs>
  <TotalTime>7</TotalTime>
  <ScaleCrop>false</ScaleCrop>
  <LinksUpToDate>false</LinksUpToDate>
  <CharactersWithSpaces>0</CharactersWithSpaces>
  <Application>WPS Office_11.8.2.12300_F1E327BC-269C-435d-A152-05C5408002CA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2019-01-10T14:20:00Z</dcterms:created>
  <dc:creator>Lenovo</dc:creator>
  <cp:lastModifiedBy>sqb</cp:lastModifiedBy>
  <cp:lastPrinted>2021-06-07T10:15:00Z</cp:lastPrinted>
  <dcterms:modified xsi:type="dcterms:W3CDTF">2025-08-22T03:01:57Z</dcterms:modified>
  <dc:title>YU</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2052-11.8.2.12300</vt:lpwstr>
  </property>
  <property fmtid="{D5CDD505-2E9C-101B-9397-08002B2CF9AE}" pid="3" name="ICV">
    <vt:lpwstr>FD84EACA5E894B468E047F89902BA856</vt:lpwstr>
  </property>
</Properties>
</file>