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连南瑶族自治县2025年科技支撑“百千万工程”项目申报指南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专题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一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县级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农村科技特派员工作站建设</w:t>
      </w:r>
    </w:p>
    <w:p>
      <w:pPr>
        <w:adjustRightInd w:val="0"/>
        <w:snapToGrid w:val="0"/>
        <w:spacing w:line="600" w:lineRule="exact"/>
        <w:ind w:firstLine="643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"/>
        </w:rPr>
        <w:t>研究内容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级农村科技特派员工作站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（以下简称“工作站”）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建设，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形成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-SA"/>
        </w:rPr>
        <w:t>推动人才下沉、科技下乡、服务“三农”、助力产业发展的一站式、开放性的综合服务平台。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重点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整合全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县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农村科技特派员优势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资源，围绕全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产业发展科技需求，全方位、全链条开展应用技术研究、成果转化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推广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、人才培养、技能培训、创业辅导等科技服务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，引进一批先进适用技术、成果和人才，加速科技成果在清远落地转化。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协助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科技主管部门提升农村科技特派员管理服务效能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，激发农业农村创新创业活动，加快培育农业新质生产力，助力“百千万工程”实施。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绩效目标：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1.完善工作站场地设施，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具有维持日常工作运行和服务特派员开展工作必要的设施条件和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数据平台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，具备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办公学习、科研实验、成果对接、会议研讨、培训辅导、网络直播、科普展示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等功能。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2.成立站长负责制的专业运营团队，统筹、组织、协调、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管理、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连南瑶族自治县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农村科技特派员工作站和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连南瑶族自治县7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个农村科技特派员团队。站长原则上应为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当地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具有资深服务经历的农村科技特派员或农业科技人员，运行团队原则上应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配备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对接、特派员服务管理、财务管理等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围绕重点产业科技需求，广泛征集引进农村科技特派员入站，按照“一业一团”方式分类组建服务团队不少于1个。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3.建立完善的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工作管理制度及经费管理制度，规范财务支出，保障资金使用安全规范有效。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建立并动态更新农村科技特派员人才库、科技成果资源库、产业科技需求库。农村科技特派员人才库中入库专家不少于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名，科技成果资源库中成果数量不少于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项，产业科技需求库中需求数量不少于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项。</w:t>
      </w:r>
    </w:p>
    <w:p>
      <w:pPr>
        <w:spacing w:line="600" w:lineRule="exact"/>
        <w:ind w:firstLine="640" w:firstLineChars="200"/>
        <w:rPr>
          <w:rFonts w:hint="default" w:eastAsia="方正小标宋简体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每年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组织项目路演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或成果展示活动不少于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场、科技成果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对接磋商活动不少于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（每场参与企业不少于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家）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、促进科技成果转化不少于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.建立农村科技特派员常态化培训机制，每年组织全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农村科技特派员培训不少于1场，帮扶经验交流活动不少于2次，凝练并推广典型帮扶经验模式不少于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，支持帮助农村科技特派员运用自身掌握的科技资源领办、创办或协办企业、合作社等市场主体，指导科研人员以科技成果、知识产权和资金入股等形式，与服务对象结成紧密利益共同体。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.建立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连南瑶族自治县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农村科技特派员联络管理机制，协助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科技管理部门开展农村科技特派员日常管理、考核评价、组织验收等工作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每年形成农村科技特派员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工作站建设、农村科技特派员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帮扶工作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总结各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不少于1份。</w:t>
      </w:r>
    </w:p>
    <w:p>
      <w:pPr>
        <w:pStyle w:val="8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申报要求：</w:t>
      </w:r>
    </w:p>
    <w:p>
      <w:pPr>
        <w:pStyle w:val="8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1.符合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《关于组织申报清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远市2025年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县级农村科技特派员工作站建设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的通知》要求。</w:t>
      </w:r>
    </w:p>
    <w:p>
      <w:pPr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2.申报建设主体应具有独立法人资格，具备较强的科技创新</w:t>
      </w:r>
      <w:r>
        <w:rPr>
          <w:rFonts w:hint="eastAsia" w:eastAsia="仿宋_GB2312"/>
          <w:color w:val="auto"/>
          <w:sz w:val="32"/>
          <w:szCs w:val="32"/>
          <w:highlight w:val="none"/>
        </w:rPr>
        <w:t>运营管理和专业服务能力，熟悉本地区农业产业发展情况。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3.建设主体</w:t>
      </w:r>
      <w:r>
        <w:rPr>
          <w:rFonts w:hint="eastAsia" w:eastAsia="仿宋_GB2312"/>
          <w:color w:val="auto"/>
          <w:spacing w:val="-11"/>
          <w:sz w:val="32"/>
          <w:szCs w:val="32"/>
          <w:highlight w:val="none"/>
        </w:rPr>
        <w:t>应</w:t>
      </w:r>
      <w:r>
        <w:rPr>
          <w:rFonts w:hint="eastAsia" w:eastAsia="仿宋_GB2312"/>
          <w:color w:val="auto"/>
          <w:spacing w:val="-11"/>
          <w:sz w:val="32"/>
          <w:szCs w:val="32"/>
          <w:highlight w:val="none"/>
          <w:lang w:eastAsia="zh-CN"/>
        </w:rPr>
        <w:t>配备</w:t>
      </w:r>
      <w:r>
        <w:rPr>
          <w:rFonts w:hint="eastAsia" w:eastAsia="仿宋_GB2312"/>
          <w:color w:val="auto"/>
          <w:spacing w:val="-11"/>
          <w:sz w:val="32"/>
          <w:szCs w:val="32"/>
          <w:highlight w:val="none"/>
        </w:rPr>
        <w:t>固定的工作站建设场地和开展工作的基本设施条件</w:t>
      </w:r>
      <w:r>
        <w:rPr>
          <w:rFonts w:hint="eastAsia" w:eastAsia="仿宋_GB2312"/>
          <w:color w:val="auto"/>
          <w:spacing w:val="-1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具有不少于3人的专职运营团队，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能够有效整合农村科技特派员团队和高校、科研院所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科技企业的科技资源，聚焦清远市优势特色产业开展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科技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服务。</w:t>
      </w:r>
    </w:p>
    <w:p>
      <w:pPr>
        <w:pStyle w:val="2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4.鼓励农村科技特派员派出单位参与建设，鼓励依托现有创新创业服务平台做优做强工作站。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项目实施期为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highlight w:val="none"/>
        </w:rPr>
        <w:t>支持方式与强度：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竞争性立项无偿资助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，支持金额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万元/项。</w:t>
      </w:r>
    </w:p>
    <w:p/>
    <w:p/>
    <w:sectPr>
      <w:footerReference r:id="rId4" w:type="first"/>
      <w:footerReference r:id="rId3" w:type="default"/>
      <w:pgSz w:w="11906" w:h="16838"/>
      <w:pgMar w:top="2097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Align="top"/>
      <w:pBdr>
        <w:between w:val="none" w:color="auto" w:sz="0" w:space="0"/>
      </w:pBdr>
      <w:rPr>
        <w:rFonts w:hint="eastAsia" w:ascii="仿宋_GB2312" w:hAnsi="仿宋_GB2312" w:eastAsia="仿宋_GB2312"/>
        <w:sz w:val="28"/>
      </w:rPr>
    </w:pP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6"/>
        <w:rFonts w:ascii="仿宋_GB2312" w:hAnsi="仿宋_GB2312" w:eastAsia="仿宋_GB2312"/>
        <w:sz w:val="28"/>
      </w:rPr>
      <w:t>- 5 -</w:t>
    </w:r>
    <w:r>
      <w:rPr>
        <w:rFonts w:hint="eastAsia" w:ascii="仿宋_GB2312" w:hAnsi="仿宋_GB2312" w:eastAsia="仿宋_GB2312"/>
        <w:sz w:val="28"/>
      </w:rPr>
      <w:fldChar w:fldCharType="end"/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pBdr>
        <w:between w:val="none" w:color="auto" w:sz="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- 5 -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E2E27"/>
    <w:rsid w:val="4099141C"/>
    <w:rsid w:val="52C33EAC"/>
    <w:rsid w:val="5B0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560" w:lineRule="exact"/>
      <w:jc w:val="center"/>
      <w:outlineLvl w:val="0"/>
    </w:pPr>
    <w:rPr>
      <w:rFonts w:ascii="方正小标宋简体" w:hAnsi="宋体" w:eastAsia="方正小标宋简体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2025-11-25T07:50:00Z</dcterms:created>
  <dc:creator>Administrator</dc:creator>
  <cp:lastModifiedBy>Administrator</cp:lastModifiedBy>
  <dcterms:modified xsi:type="dcterms:W3CDTF">2025-11-28T01:48:21Z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