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连南瑶族自治</w:t>
      </w:r>
      <w:r>
        <w:rPr>
          <w:rFonts w:hint="eastAsia" w:ascii="黑体" w:hAnsi="黑体" w:eastAsia="黑体" w:cs="黑体"/>
          <w:sz w:val="44"/>
          <w:szCs w:val="44"/>
        </w:rPr>
        <w:t>县2025年省科技支撑“百千万工程”（农村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科</w:t>
      </w:r>
      <w:r>
        <w:rPr>
          <w:rFonts w:hint="eastAsia" w:ascii="黑体" w:hAnsi="黑体" w:eastAsia="黑体" w:cs="黑体"/>
          <w:sz w:val="44"/>
          <w:szCs w:val="44"/>
        </w:rPr>
        <w:t>技特派员工作站）专项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拟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立项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1372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5205"/>
        <w:gridCol w:w="3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立项资助金额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860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</w:rPr>
              <w:t>连南瑶族自治县“百千万工程”（农村科技特派员工作站）项目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>广东省财贸学院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35万元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379BD"/>
    <w:rsid w:val="1EB379BD"/>
    <w:rsid w:val="3D32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2026-02-14T03:08:00Z</dcterms:created>
  <dc:creator>Administrator</dc:creator>
  <cp:lastModifiedBy>Administrator</cp:lastModifiedBy>
  <dcterms:modified xsi:type="dcterms:W3CDTF">2026-02-14T03:27:18Z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