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91C3FA">
      <w:pPr>
        <w:snapToGrid w:val="0"/>
        <w:jc w:val="center"/>
        <w:rPr>
          <w:rFonts w:ascii="黑体" w:hAnsi="黑体" w:eastAsia="黑体" w:cs="黑体"/>
          <w:sz w:val="52"/>
        </w:rPr>
      </w:pPr>
      <w:bookmarkStart w:id="0" w:name="_GoBack"/>
      <w:bookmarkEnd w:id="0"/>
    </w:p>
    <w:p w14:paraId="66C9D72D">
      <w:pPr>
        <w:snapToGrid w:val="0"/>
        <w:jc w:val="center"/>
        <w:rPr>
          <w:rFonts w:ascii="黑体" w:hAnsi="黑体" w:eastAsia="黑体" w:cs="黑体"/>
          <w:sz w:val="52"/>
        </w:rPr>
      </w:pPr>
    </w:p>
    <w:p w14:paraId="3938205B">
      <w:pPr>
        <w:snapToGrid w:val="0"/>
        <w:jc w:val="center"/>
        <w:rPr>
          <w:rFonts w:ascii="黑体" w:hAnsi="黑体" w:eastAsia="黑体" w:cs="黑体"/>
          <w:sz w:val="52"/>
        </w:rPr>
      </w:pPr>
      <w:r>
        <w:rPr>
          <w:rFonts w:ascii="黑体" w:hAnsi="黑体" w:eastAsia="黑体" w:cs="黑体"/>
          <w:sz w:val="52"/>
        </w:rPr>
        <w:t>广东省个人数字空间</w:t>
      </w:r>
    </w:p>
    <w:p w14:paraId="0C798073">
      <w:pPr>
        <w:snapToGrid w:val="0"/>
        <w:jc w:val="center"/>
        <w:rPr>
          <w:rFonts w:ascii="黑体" w:hAnsi="黑体" w:eastAsia="黑体" w:cs="黑体"/>
          <w:sz w:val="52"/>
        </w:rPr>
      </w:pPr>
    </w:p>
    <w:p w14:paraId="33796449">
      <w:pPr>
        <w:jc w:val="center"/>
        <w:rPr>
          <w:rFonts w:hint="eastAsia" w:ascii="黑体" w:hAnsi="黑体" w:eastAsia="黑体" w:cs="黑体"/>
          <w:sz w:val="52"/>
          <w:lang w:val="en-US" w:eastAsia="zh-CN"/>
        </w:rPr>
      </w:pPr>
      <w:r>
        <w:rPr>
          <w:rFonts w:hint="eastAsia" w:ascii="黑体" w:hAnsi="黑体" w:eastAsia="黑体" w:cs="黑体"/>
          <w:sz w:val="52"/>
          <w:lang w:val="en-US" w:eastAsia="zh-CN"/>
        </w:rPr>
        <w:t>关联被监护人、委托授权电子证照</w:t>
      </w:r>
    </w:p>
    <w:p w14:paraId="6DE9C91E">
      <w:pPr>
        <w:jc w:val="center"/>
        <w:rPr>
          <w:rFonts w:ascii="黑体" w:hAnsi="黑体" w:eastAsia="黑体" w:cs="黑体"/>
          <w:sz w:val="52"/>
        </w:rPr>
      </w:pPr>
      <w:r>
        <w:rPr>
          <w:rFonts w:ascii="黑体" w:hAnsi="黑体" w:eastAsia="黑体" w:cs="黑体"/>
          <w:sz w:val="52"/>
        </w:rPr>
        <w:t>操作手册</w:t>
      </w:r>
    </w:p>
    <w:p w14:paraId="70007F99">
      <w:pPr>
        <w:jc w:val="center"/>
        <w:rPr>
          <w:rFonts w:ascii="黑体" w:hAnsi="黑体" w:eastAsia="黑体" w:cs="黑体"/>
          <w:sz w:val="52"/>
        </w:rPr>
      </w:pPr>
    </w:p>
    <w:p w14:paraId="606E47E3">
      <w:pPr>
        <w:jc w:val="center"/>
        <w:rPr>
          <w:rFonts w:ascii="黑体" w:hAnsi="黑体" w:eastAsia="黑体" w:cs="黑体"/>
          <w:sz w:val="52"/>
        </w:rPr>
      </w:pPr>
    </w:p>
    <w:p w14:paraId="1C27BE36">
      <w:pPr>
        <w:jc w:val="center"/>
        <w:rPr>
          <w:rFonts w:ascii="黑体" w:hAnsi="黑体" w:eastAsia="黑体" w:cs="黑体"/>
          <w:sz w:val="52"/>
        </w:rPr>
      </w:pPr>
    </w:p>
    <w:p w14:paraId="4DDF3271">
      <w:pPr>
        <w:jc w:val="center"/>
        <w:rPr>
          <w:rFonts w:ascii="黑体" w:hAnsi="黑体" w:eastAsia="黑体" w:cs="黑体"/>
          <w:sz w:val="52"/>
        </w:rPr>
      </w:pPr>
    </w:p>
    <w:p w14:paraId="013C8E6D">
      <w:pPr>
        <w:jc w:val="center"/>
        <w:rPr>
          <w:rFonts w:ascii="黑体" w:hAnsi="黑体" w:eastAsia="黑体" w:cs="黑体"/>
          <w:sz w:val="52"/>
        </w:rPr>
      </w:pPr>
    </w:p>
    <w:p w14:paraId="5F4F5A3D">
      <w:pPr>
        <w:jc w:val="center"/>
        <w:rPr>
          <w:rFonts w:ascii="黑体" w:hAnsi="黑体" w:eastAsia="黑体" w:cs="黑体"/>
          <w:sz w:val="52"/>
        </w:rPr>
      </w:pPr>
    </w:p>
    <w:p w14:paraId="1FC91D46">
      <w:pPr>
        <w:jc w:val="center"/>
        <w:rPr>
          <w:rFonts w:ascii="黑体" w:hAnsi="黑体" w:eastAsia="黑体" w:cs="黑体"/>
          <w:sz w:val="52"/>
        </w:rPr>
      </w:pPr>
    </w:p>
    <w:p w14:paraId="7112BCA8">
      <w:pPr>
        <w:jc w:val="center"/>
        <w:rPr>
          <w:rFonts w:ascii="黑体" w:hAnsi="黑体" w:eastAsia="黑体" w:cs="黑体"/>
          <w:sz w:val="52"/>
        </w:rPr>
      </w:pPr>
    </w:p>
    <w:p w14:paraId="0278087E">
      <w:pPr>
        <w:jc w:val="center"/>
        <w:rPr>
          <w:rFonts w:ascii="黑体" w:hAnsi="黑体" w:eastAsia="黑体" w:cs="黑体"/>
          <w:sz w:val="52"/>
        </w:rPr>
      </w:pPr>
    </w:p>
    <w:p w14:paraId="23DC7BA4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79" w:lineRule="auto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lang w:val="en-US" w:eastAsia="zh-CN"/>
        </w:rPr>
      </w:pPr>
    </w:p>
    <w:p w14:paraId="759746E7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79" w:lineRule="auto"/>
        <w:ind w:leftChars="0" w:firstLine="482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lang w:val="en-US" w:eastAsia="zh-CN"/>
        </w:rPr>
        <w:t>适龄儿童监护人在网上报名前可登录粤省事.数字空间</w:t>
      </w:r>
      <w:r>
        <w:rPr>
          <w:rFonts w:ascii="宋体" w:hAnsi="宋体" w:eastAsia="宋体" w:cs="宋体"/>
          <w:b/>
          <w:bCs w:val="0"/>
          <w:sz w:val="24"/>
        </w:rPr>
        <w:t>关联</w:t>
      </w:r>
      <w:r>
        <w:rPr>
          <w:rFonts w:hint="eastAsia" w:ascii="宋体" w:hAnsi="宋体" w:eastAsia="宋体" w:cs="宋体"/>
          <w:b/>
          <w:bCs w:val="0"/>
          <w:sz w:val="24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lang w:val="en-US" w:eastAsia="zh-CN"/>
        </w:rPr>
        <w:t>领取适龄儿童（小于14周岁）证照数据，入学报名时即可调取适龄儿童户口簿电子证照。如产权证权属人非属于监护人，可由产权人在粤省事.数字空间委托授权给报名监护人进行调取，详细操作如下：</w:t>
      </w:r>
      <w:r>
        <w:rPr>
          <w:rFonts w:hint="eastAsia"/>
          <w:b/>
          <w:bCs w:val="0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</w:t>
      </w:r>
    </w:p>
    <w:p w14:paraId="6BB579A5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ind w:left="442" w:leftChars="0"/>
        <w:jc w:val="both"/>
        <w:textAlignment w:val="auto"/>
        <w:rPr>
          <w:rFonts w:hint="eastAsia" w:ascii="宋体" w:hAnsi="宋体" w:eastAsia="宋体" w:cs="宋体"/>
          <w:b/>
          <w:bCs w:val="0"/>
          <w:sz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2"/>
          <w:lang w:val="en-US" w:eastAsia="zh-CN"/>
        </w:rPr>
        <w:t>1、登录</w:t>
      </w:r>
    </w:p>
    <w:p w14:paraId="79E4E409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79" w:lineRule="auto"/>
        <w:ind w:leftChars="0" w:firstLine="480" w:firstLineChars="200"/>
        <w:jc w:val="left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在粤省事APP/小程序“首页”或“我的”页面点击“数字空间”模块，通过人脸识别登录进入个人数字空间首页。</w:t>
      </w:r>
    </w:p>
    <w:p w14:paraId="074003A5">
      <w:pPr>
        <w:snapToGrid w:val="0"/>
        <w:spacing w:line="360" w:lineRule="auto"/>
        <w:jc w:val="both"/>
        <w:rPr>
          <w:rFonts w:ascii="宋体" w:hAnsi="宋体" w:eastAsia="宋体" w:cs="宋体"/>
          <w:sz w:val="20"/>
        </w:rPr>
      </w:pPr>
      <w:r>
        <w:drawing>
          <wp:inline distT="0" distB="0" distL="0" distR="0">
            <wp:extent cx="1666875" cy="3362325"/>
            <wp:effectExtent l="0" t="0" r="9525" b="3175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16668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7825" cy="3371850"/>
            <wp:effectExtent l="0" t="0" r="3175" b="635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16478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2100" cy="3371850"/>
            <wp:effectExtent l="0" t="0" r="0" b="635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15621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F5B11">
      <w:pPr>
        <w:snapToGrid w:val="0"/>
        <w:spacing w:line="360" w:lineRule="auto"/>
        <w:ind w:firstLineChars="300"/>
        <w:jc w:val="both"/>
        <w:rPr>
          <w:rFonts w:ascii="宋体" w:hAnsi="宋体" w:eastAsia="宋体" w:cs="宋体"/>
          <w:sz w:val="18"/>
        </w:rPr>
      </w:pPr>
      <w:r>
        <w:rPr>
          <w:rFonts w:ascii="宋体" w:hAnsi="宋体" w:eastAsia="宋体" w:cs="宋体"/>
          <w:sz w:val="18"/>
        </w:rPr>
        <w:t xml:space="preserve">  粤省事首页                    粤省事个人中心                 进入人脸识别页面</w:t>
      </w:r>
    </w:p>
    <w:p w14:paraId="762ECD8A">
      <w:pPr>
        <w:snapToGrid w:val="0"/>
        <w:jc w:val="both"/>
        <w:rPr>
          <w:rFonts w:ascii="等线" w:hAnsi="等线" w:eastAsia="等线" w:cs="等线"/>
          <w:sz w:val="18"/>
        </w:rPr>
      </w:pPr>
    </w:p>
    <w:p w14:paraId="2DFF6F93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ind w:left="442" w:leftChars="0"/>
        <w:jc w:val="both"/>
        <w:textAlignment w:val="auto"/>
        <w:rPr>
          <w:rFonts w:ascii="宋体" w:hAnsi="宋体" w:eastAsia="宋体" w:cs="宋体"/>
          <w:b/>
          <w:bCs w:val="0"/>
          <w:sz w:val="32"/>
        </w:rPr>
      </w:pPr>
      <w:r>
        <w:rPr>
          <w:rFonts w:hint="eastAsia" w:ascii="宋体" w:hAnsi="宋体" w:eastAsia="宋体" w:cs="宋体"/>
          <w:b/>
          <w:bCs w:val="0"/>
          <w:sz w:val="32"/>
          <w:lang w:val="en-US" w:eastAsia="zh-CN"/>
        </w:rPr>
        <w:t>2、</w:t>
      </w:r>
      <w:r>
        <w:rPr>
          <w:rFonts w:ascii="宋体" w:hAnsi="宋体" w:eastAsia="宋体" w:cs="宋体"/>
          <w:b/>
          <w:bCs w:val="0"/>
          <w:sz w:val="32"/>
        </w:rPr>
        <w:t>个人数字空间首页</w:t>
      </w:r>
    </w:p>
    <w:p w14:paraId="7D7221E3">
      <w:pPr>
        <w:snapToGrid w:val="0"/>
        <w:spacing w:line="360" w:lineRule="auto"/>
        <w:ind w:firstLineChars="200"/>
        <w:jc w:val="both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个人数字空间首页内容包括证照信息、数据信息列表以及粤省事码（粤居码）、扫一扫、委托授权、授权记录、常见问题、上传证照、证照数据管理、功能入口。如下图</w:t>
      </w:r>
    </w:p>
    <w:p w14:paraId="1C38F830">
      <w:pPr>
        <w:jc w:val="center"/>
        <w:rPr>
          <w:rFonts w:ascii="黑体" w:hAnsi="黑体" w:eastAsia="黑体" w:cs="黑体"/>
          <w:sz w:val="52"/>
        </w:rPr>
      </w:pPr>
      <w:r>
        <w:rPr>
          <w:rFonts w:ascii="宋体" w:hAnsi="宋体" w:eastAsia="宋体" w:cs="宋体"/>
          <w:sz w:val="20"/>
        </w:rPr>
        <w:t xml:space="preserve">         </w:t>
      </w:r>
      <w:r>
        <w:rPr>
          <w:rFonts w:ascii="宋体" w:hAnsi="宋体" w:eastAsia="宋体" w:cs="宋体"/>
          <w:sz w:val="20"/>
        </w:rPr>
        <w:drawing>
          <wp:inline distT="0" distB="0" distL="0" distR="0">
            <wp:extent cx="1865630" cy="4128135"/>
            <wp:effectExtent l="0" t="0" r="1270" b="12065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884" cy="4128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0"/>
        </w:rPr>
        <w:t xml:space="preserve">     </w:t>
      </w:r>
      <w:r>
        <w:rPr>
          <w:rFonts w:ascii="宋体" w:hAnsi="宋体" w:eastAsia="宋体" w:cs="宋体"/>
          <w:sz w:val="20"/>
        </w:rPr>
        <w:drawing>
          <wp:inline distT="0" distB="0" distL="0" distR="0">
            <wp:extent cx="1866900" cy="4130675"/>
            <wp:effectExtent l="0" t="0" r="0" b="9525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1307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77EEE1B9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ind w:left="442" w:leftChars="0"/>
        <w:jc w:val="both"/>
        <w:textAlignment w:val="auto"/>
        <w:rPr>
          <w:rFonts w:ascii="宋体" w:hAnsi="宋体" w:eastAsia="宋体" w:cs="宋体"/>
          <w:b/>
          <w:bCs w:val="0"/>
          <w:sz w:val="32"/>
        </w:rPr>
      </w:pPr>
      <w:r>
        <w:rPr>
          <w:rFonts w:hint="eastAsia" w:ascii="宋体" w:hAnsi="宋体" w:eastAsia="宋体" w:cs="宋体"/>
          <w:b/>
          <w:bCs w:val="0"/>
          <w:sz w:val="32"/>
          <w:lang w:val="en-US" w:eastAsia="zh-CN"/>
        </w:rPr>
        <w:t>3、</w:t>
      </w:r>
      <w:r>
        <w:rPr>
          <w:rFonts w:ascii="宋体" w:hAnsi="宋体" w:eastAsia="宋体" w:cs="宋体"/>
          <w:b/>
          <w:bCs w:val="0"/>
          <w:sz w:val="32"/>
        </w:rPr>
        <w:t>被监护人管理</w:t>
      </w:r>
    </w:p>
    <w:p w14:paraId="562EC239">
      <w:pPr>
        <w:snapToGrid w:val="0"/>
        <w:spacing w:line="360" w:lineRule="auto"/>
        <w:ind w:firstLineChars="200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父母可关联不满14周岁的被监护人，关联后可查看、使用被监护人的证照数据。</w:t>
      </w:r>
    </w:p>
    <w:p w14:paraId="02D5BA9E">
      <w:pPr>
        <w:pStyle w:val="4"/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ind w:left="1213" w:hanging="334"/>
        <w:jc w:val="both"/>
        <w:textAlignment w:val="auto"/>
        <w:rPr>
          <w:rFonts w:ascii="宋体" w:hAnsi="宋体" w:eastAsia="宋体" w:cs="宋体"/>
          <w:sz w:val="32"/>
        </w:rPr>
      </w:pPr>
      <w:r>
        <w:rPr>
          <w:rFonts w:ascii="宋体" w:hAnsi="宋体" w:eastAsia="宋体" w:cs="宋体"/>
          <w:sz w:val="32"/>
        </w:rPr>
        <w:t>关联被监护人</w:t>
      </w:r>
    </w:p>
    <w:p w14:paraId="74AF2E98">
      <w:pPr>
        <w:snapToGrid w:val="0"/>
        <w:spacing w:line="360" w:lineRule="auto"/>
        <w:ind w:firstLineChars="200"/>
        <w:jc w:val="both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父母进入未满14周岁小孩出生医学证明的证照或数据详情页，页面下方显示“关联被监护人”按钮。点击“关联被监护人”的按钮时系统会判断被监护人是否小于14周岁，小于14周岁的情况弹出下拉弹窗，下拉弹窗显示关联条件信息以及需用户输入被监护人身份证号码，输入信息确认关联后系统会判断被监护人信息是否属实（关联前提：①输入的被监护人身份证号码正确，②被监护人已入户广东），验证通过即完成关联。关联后可在当前出生医学证明证照、数据详情页取消关联该被监护人。</w:t>
      </w:r>
    </w:p>
    <w:p w14:paraId="5E6D3207">
      <w:pPr>
        <w:snapToGrid w:val="0"/>
        <w:spacing w:line="360" w:lineRule="auto"/>
        <w:ind w:left="0" w:firstLineChars="0"/>
        <w:jc w:val="both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5274310" cy="3676015"/>
            <wp:effectExtent l="0" t="0" r="8890" b="6985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AA1B">
      <w:pPr>
        <w:pStyle w:val="4"/>
        <w:keepNext/>
        <w:keepLines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ind w:left="1213" w:hanging="334"/>
        <w:jc w:val="both"/>
        <w:textAlignment w:val="auto"/>
        <w:rPr>
          <w:rFonts w:ascii="宋体" w:hAnsi="宋体" w:eastAsia="宋体" w:cs="宋体"/>
          <w:sz w:val="32"/>
        </w:rPr>
      </w:pPr>
      <w:r>
        <w:rPr>
          <w:rFonts w:ascii="宋体" w:hAnsi="宋体" w:eastAsia="宋体" w:cs="宋体"/>
          <w:sz w:val="32"/>
        </w:rPr>
        <w:t>申领被监护人证照</w:t>
      </w:r>
    </w:p>
    <w:p w14:paraId="635A36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200"/>
        <w:jc w:val="both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父母关联被监护人后，可申领被监护人证照，进入“我要申领”页面切换至被监护人身份后即可申领被监护人证照。</w:t>
      </w:r>
    </w:p>
    <w:p w14:paraId="2B1ABC45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200"/>
        <w:jc w:val="center"/>
        <w:textAlignment w:val="auto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1741170" cy="4037965"/>
            <wp:effectExtent l="0" t="0" r="11430" b="635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4037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2BA02E78">
      <w:pPr>
        <w:pStyle w:val="4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jc w:val="both"/>
        <w:textAlignment w:val="auto"/>
        <w:rPr>
          <w:rFonts w:ascii="宋体" w:hAnsi="宋体" w:eastAsia="宋体" w:cs="宋体"/>
          <w:sz w:val="32"/>
        </w:rPr>
      </w:pPr>
      <w:r>
        <w:rPr>
          <w:rFonts w:ascii="宋体" w:hAnsi="宋体" w:eastAsia="宋体" w:cs="宋体"/>
          <w:sz w:val="32"/>
        </w:rPr>
        <w:t>查看被监护人证照</w:t>
      </w:r>
    </w:p>
    <w:p w14:paraId="0F2101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200"/>
        <w:jc w:val="both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申领被监护人证照后，可在首页“证照信息”tab下方切换至被监护人身份，切换后可查看被监护人证照。</w:t>
      </w:r>
    </w:p>
    <w:p w14:paraId="024345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200"/>
        <w:jc w:val="center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1460500" cy="3103880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/>
                  </pic:nvPicPr>
                  <pic:blipFill>
                    <a:blip r:embed="rId13"/>
                    <a:srcRect b="15021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77B2">
      <w:pPr>
        <w:pStyle w:val="4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jc w:val="both"/>
        <w:textAlignment w:val="auto"/>
        <w:rPr>
          <w:rFonts w:ascii="宋体" w:hAnsi="宋体" w:eastAsia="宋体" w:cs="宋体"/>
          <w:sz w:val="32"/>
        </w:rPr>
      </w:pPr>
      <w:r>
        <w:rPr>
          <w:rFonts w:ascii="宋体" w:hAnsi="宋体" w:eastAsia="宋体" w:cs="宋体"/>
          <w:sz w:val="32"/>
        </w:rPr>
        <w:t>授权使用被监护人证照</w:t>
      </w:r>
    </w:p>
    <w:p w14:paraId="324C2E9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Chars="200"/>
        <w:jc w:val="both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关联被监护人证照后，进行业务办理时，如事项有关联被监护人的证照类型，则可在授权办事页点击“补充其它证照”，点击后进入“添加被监护人证照/数据”页面可添加被监护人证照进行授权。</w:t>
      </w:r>
    </w:p>
    <w:p w14:paraId="5F27CD53">
      <w:pPr>
        <w:snapToGrid w:val="0"/>
        <w:spacing w:line="360" w:lineRule="auto"/>
        <w:ind w:firstLineChars="20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1466850" cy="3169920"/>
            <wp:effectExtent l="0" t="0" r="6350" b="508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" descr="descript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71AB">
      <w:pPr>
        <w:pStyle w:val="3"/>
        <w:keepNext/>
        <w:keepLines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ind w:left="442" w:leftChars="0"/>
        <w:jc w:val="both"/>
        <w:textAlignment w:val="auto"/>
        <w:rPr>
          <w:rFonts w:ascii="宋体" w:hAnsi="宋体" w:eastAsia="宋体" w:cs="宋体"/>
          <w:b/>
          <w:bCs w:val="0"/>
          <w:sz w:val="32"/>
        </w:rPr>
      </w:pPr>
      <w:r>
        <w:rPr>
          <w:rFonts w:hint="eastAsia" w:ascii="宋体" w:hAnsi="宋体" w:eastAsia="宋体" w:cs="宋体"/>
          <w:b/>
          <w:bCs w:val="0"/>
          <w:sz w:val="32"/>
          <w:lang w:val="en-US" w:eastAsia="zh-CN"/>
        </w:rPr>
        <w:t>4、</w:t>
      </w:r>
      <w:r>
        <w:rPr>
          <w:rFonts w:ascii="宋体" w:hAnsi="宋体" w:eastAsia="宋体" w:cs="宋体"/>
          <w:b/>
          <w:bCs w:val="0"/>
          <w:sz w:val="32"/>
        </w:rPr>
        <w:t>委托授权</w:t>
      </w:r>
    </w:p>
    <w:p w14:paraId="5277E45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/>
        <w:jc w:val="both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用户通过委托授权模块将自己的证照/数据委托给他人办事，受委托人可在用数授权页将委托人的证照/数据授权给业务系统使用。</w:t>
      </w:r>
    </w:p>
    <w:p w14:paraId="7D7BF82C">
      <w:pPr>
        <w:pStyle w:val="4"/>
        <w:keepNext/>
        <w:keepLines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ind w:left="1213" w:hanging="334"/>
        <w:jc w:val="both"/>
        <w:textAlignment w:val="auto"/>
        <w:rPr>
          <w:rFonts w:ascii="宋体" w:hAnsi="宋体" w:eastAsia="宋体" w:cs="宋体"/>
          <w:sz w:val="32"/>
        </w:rPr>
      </w:pPr>
      <w:r>
        <w:rPr>
          <w:rFonts w:ascii="宋体" w:hAnsi="宋体" w:eastAsia="宋体" w:cs="宋体"/>
          <w:sz w:val="32"/>
        </w:rPr>
        <w:t>发起委托</w:t>
      </w:r>
    </w:p>
    <w:p w14:paraId="77B53A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/>
        <w:jc w:val="both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用户在空间首页点击“委托授权”进入发起委托选择证照/数据的页面，页面按分类展示证照和数据信息，将需要委托的证照数据勾选后点击“下一步”进入填写委托信息的页面。如下图所示：</w:t>
      </w:r>
    </w:p>
    <w:p w14:paraId="06328BC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等线" w:hAnsi="等线" w:eastAsia="等线" w:cs="等线"/>
          <w:sz w:val="20"/>
        </w:rPr>
      </w:pPr>
      <w:r>
        <w:drawing>
          <wp:inline distT="0" distB="0" distL="0" distR="0">
            <wp:extent cx="1865630" cy="4128135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884" cy="4128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3F8E92B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ascii="等线" w:hAnsi="等线" w:eastAsia="等线" w:cs="等线"/>
          <w:sz w:val="20"/>
        </w:rPr>
      </w:pPr>
      <w:r>
        <w:rPr>
          <w:rFonts w:ascii="等线" w:hAnsi="等线" w:eastAsia="等线" w:cs="等线"/>
          <w:sz w:val="20"/>
        </w:rPr>
        <w:drawing>
          <wp:inline distT="0" distB="0" distL="0" distR="0">
            <wp:extent cx="5274310" cy="3810635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3D5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ascii="等线" w:hAnsi="等线" w:eastAsia="等线" w:cs="等线"/>
          <w:sz w:val="20"/>
        </w:rPr>
      </w:pPr>
    </w:p>
    <w:p w14:paraId="0B92EBF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/>
        <w:jc w:val="both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进入填写委托信息页面，需填写受委托人的身份信息以及使用日期、使用次数和用途，填写完成受委托信息后点击“下一步”弹出委托授权声明，阅读并同意授权声明后需进行人脸核验，核验完成后即委托成功。委托成功后可复制委托信息告诉受委托人。 如下图：</w:t>
      </w:r>
    </w:p>
    <w:p w14:paraId="4E97939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</w:pPr>
      <w:r>
        <w:drawing>
          <wp:inline distT="0" distB="0" distL="0" distR="0">
            <wp:extent cx="5020310" cy="3397885"/>
            <wp:effectExtent l="0" t="0" r="8890" b="5715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0203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D973">
      <w:pPr>
        <w:pStyle w:val="4"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jc w:val="both"/>
        <w:textAlignment w:val="auto"/>
        <w:rPr>
          <w:rFonts w:ascii="宋体" w:hAnsi="宋体" w:eastAsia="宋体" w:cs="宋体"/>
          <w:sz w:val="32"/>
        </w:rPr>
      </w:pPr>
      <w:r>
        <w:rPr>
          <w:rFonts w:ascii="宋体" w:hAnsi="宋体" w:eastAsia="宋体" w:cs="宋体"/>
          <w:sz w:val="32"/>
        </w:rPr>
        <w:t>查看委托记录</w:t>
      </w:r>
    </w:p>
    <w:p w14:paraId="30AA136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/>
        <w:jc w:val="both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委托记录中展示了我委托他人以及他人委托我的记录，用户可通过该页面查看委托和受委托的信息（证照/数据、使用日期、委托时间、使用次数、有效次数、已用次数）以及每次委托/受委托记录的状态。如下图所示：</w:t>
      </w:r>
    </w:p>
    <w:p w14:paraId="12D3C42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ascii="等线" w:hAnsi="等线" w:eastAsia="等线" w:cs="等线"/>
          <w:sz w:val="20"/>
        </w:rPr>
      </w:pPr>
      <w:r>
        <w:drawing>
          <wp:inline distT="0" distB="0" distL="0" distR="0">
            <wp:extent cx="1695450" cy="3676650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1695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等线"/>
          <w:sz w:val="20"/>
        </w:rPr>
        <w:t xml:space="preserve">  </w:t>
      </w:r>
    </w:p>
    <w:p w14:paraId="083009A3">
      <w:pPr>
        <w:pStyle w:val="4"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jc w:val="both"/>
        <w:textAlignment w:val="auto"/>
        <w:rPr>
          <w:rFonts w:ascii="宋体" w:hAnsi="宋体" w:eastAsia="宋体" w:cs="宋体"/>
          <w:sz w:val="32"/>
        </w:rPr>
      </w:pPr>
      <w:r>
        <w:rPr>
          <w:rFonts w:ascii="宋体" w:hAnsi="宋体" w:eastAsia="宋体" w:cs="宋体"/>
          <w:sz w:val="32"/>
        </w:rPr>
        <w:t>委托人中止委托</w:t>
      </w:r>
    </w:p>
    <w:p w14:paraId="4A2C1ED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/>
        <w:jc w:val="both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委托人可以对待使用状态的委托记录进行中止操作，中止后受委托人不可继续使用当前受委托的证照/数据用于业务办理。如下图所示：</w:t>
      </w:r>
    </w:p>
    <w:p w14:paraId="6E47C5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</w:pPr>
      <w:r>
        <w:drawing>
          <wp:inline distT="0" distB="0" distL="0" distR="0">
            <wp:extent cx="3228975" cy="2219325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escript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2289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B097">
      <w:pPr>
        <w:pStyle w:val="4"/>
        <w:pageBreakBefore w:val="0"/>
        <w:widowControl w:val="0"/>
        <w:numPr>
          <w:ilvl w:val="2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60" w:after="260" w:line="360" w:lineRule="auto"/>
        <w:jc w:val="both"/>
        <w:textAlignment w:val="auto"/>
        <w:rPr>
          <w:rFonts w:ascii="宋体" w:hAnsi="宋体" w:eastAsia="宋体" w:cs="宋体"/>
          <w:sz w:val="32"/>
        </w:rPr>
      </w:pPr>
      <w:r>
        <w:rPr>
          <w:rFonts w:ascii="宋体" w:hAnsi="宋体" w:eastAsia="宋体" w:cs="宋体"/>
          <w:sz w:val="32"/>
        </w:rPr>
        <w:t>使用受委托证照/数据</w:t>
      </w:r>
    </w:p>
    <w:p w14:paraId="6DDF0066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/>
        <w:jc w:val="both"/>
        <w:textAlignment w:val="auto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受委托人可在办事时通过用数授权的页面将受委托的证照/数据授权给业务系统。通过亮粤省事码/扫码/按钮触发等方式（具体视业务对接的场景而定）进入用数授权页，用户可在该页面选择受委托的证照/数据授权给页面系统。如下图：</w:t>
      </w:r>
    </w:p>
    <w:p w14:paraId="4DD7CDD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</w:pPr>
      <w:r>
        <w:drawing>
          <wp:inline distT="0" distB="0" distL="0" distR="0">
            <wp:extent cx="2238375" cy="4914900"/>
            <wp:effectExtent l="0" t="0" r="0" b="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descript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2383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norHAns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norEastAsia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F1D4D5"/>
    <w:multiLevelType w:val="multilevel"/>
    <w:tmpl w:val="83F1D4D5"/>
    <w:lvl w:ilvl="0" w:tentative="0">
      <w:start w:val="1"/>
      <w:numFmt w:val="chineseCountingThousand"/>
      <w:lvlText w:val="%1、"/>
      <w:lvlJc w:val="left"/>
      <w:pPr>
        <w:ind w:left="462" w:hanging="462"/>
      </w:pPr>
      <w:rPr>
        <w:rFonts w:ascii="等线" w:hAnsi="等线" w:eastAsia="等线" w:cs="等线"/>
      </w:rPr>
    </w:lvl>
    <w:lvl w:ilvl="1" w:tentative="0">
      <w:start w:val="1"/>
      <w:numFmt w:val="decimal"/>
      <w:lvlText w:val="%2、"/>
      <w:lvlJc w:val="left"/>
      <w:pPr>
        <w:ind w:left="776" w:hanging="336"/>
      </w:pPr>
      <w:rPr>
        <w:rFonts w:ascii="等线" w:hAnsi="等线" w:eastAsia="等线" w:cs="等线"/>
      </w:rPr>
    </w:lvl>
    <w:lvl w:ilvl="2" w:tentative="0">
      <w:start w:val="1"/>
      <w:numFmt w:val="lowerLetter"/>
      <w:lvlText w:val="%3)"/>
      <w:lvlJc w:val="left"/>
      <w:pPr>
        <w:ind w:left="1216" w:hanging="336"/>
      </w:pPr>
      <w:rPr>
        <w:rFonts w:ascii="等线" w:hAnsi="等线" w:eastAsia="等线" w:cs="等线"/>
      </w:rPr>
    </w:lvl>
    <w:lvl w:ilvl="3" w:tentative="0">
      <w:start w:val="1"/>
      <w:numFmt w:val="chineseCountingThousand"/>
      <w:lvlText w:val="%4、"/>
      <w:lvlJc w:val="left"/>
      <w:pPr>
        <w:ind w:left="1782" w:hanging="462"/>
      </w:pPr>
      <w:rPr>
        <w:rFonts w:ascii="等线" w:hAnsi="等线" w:eastAsia="等线" w:cs="等线"/>
      </w:rPr>
    </w:lvl>
    <w:lvl w:ilvl="4" w:tentative="0">
      <w:start w:val="1"/>
      <w:numFmt w:val="decimal"/>
      <w:lvlText w:val="%5、"/>
      <w:lvlJc w:val="left"/>
      <w:pPr>
        <w:ind w:left="2096" w:hanging="336"/>
      </w:pPr>
      <w:rPr>
        <w:rFonts w:ascii="等线" w:hAnsi="等线" w:eastAsia="等线" w:cs="等线"/>
      </w:rPr>
    </w:lvl>
    <w:lvl w:ilvl="5" w:tentative="0">
      <w:start w:val="1"/>
      <w:numFmt w:val="lowerLetter"/>
      <w:lvlText w:val="%6)"/>
      <w:lvlJc w:val="left"/>
      <w:pPr>
        <w:ind w:left="2536" w:hanging="336"/>
      </w:pPr>
      <w:rPr>
        <w:rFonts w:ascii="等线" w:hAnsi="等线" w:eastAsia="等线" w:cs="等线"/>
      </w:rPr>
    </w:lvl>
    <w:lvl w:ilvl="6" w:tentative="0">
      <w:start w:val="1"/>
      <w:numFmt w:val="chineseCountingThousand"/>
      <w:lvlText w:val="%7、"/>
      <w:lvlJc w:val="left"/>
      <w:pPr>
        <w:ind w:left="3102" w:hanging="462"/>
      </w:pPr>
      <w:rPr>
        <w:rFonts w:ascii="等线" w:hAnsi="等线" w:eastAsia="等线" w:cs="等线"/>
      </w:rPr>
    </w:lvl>
    <w:lvl w:ilvl="7" w:tentative="0">
      <w:start w:val="1"/>
      <w:numFmt w:val="decimal"/>
      <w:lvlText w:val="%8、"/>
      <w:lvlJc w:val="left"/>
      <w:pPr>
        <w:ind w:left="3416" w:hanging="336"/>
      </w:pPr>
      <w:rPr>
        <w:rFonts w:ascii="等线" w:hAnsi="等线" w:eastAsia="等线" w:cs="等线"/>
      </w:rPr>
    </w:lvl>
    <w:lvl w:ilvl="8" w:tentative="0">
      <w:start w:val="1"/>
      <w:numFmt w:val="lowerLetter"/>
      <w:lvlText w:val="%9)"/>
      <w:lvlJc w:val="left"/>
      <w:pPr>
        <w:ind w:left="3856" w:hanging="336"/>
      </w:pPr>
      <w:rPr>
        <w:rFonts w:ascii="等线" w:hAnsi="等线" w:eastAsia="等线" w:cs="等线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  <w:rPr>
        <w:rFonts w:ascii="等线" w:hAnsi="等线" w:eastAsia="等线" w:cs="等线"/>
      </w:rPr>
    </w:lvl>
    <w:lvl w:ilvl="1" w:tentative="0">
      <w:start w:val="1"/>
      <w:numFmt w:val="decimal"/>
      <w:lvlText w:val="%2、"/>
      <w:lvlJc w:val="left"/>
      <w:pPr>
        <w:ind w:left="776" w:hanging="336"/>
      </w:pPr>
      <w:rPr>
        <w:rFonts w:ascii="等线" w:hAnsi="等线" w:eastAsia="等线" w:cs="等线"/>
      </w:rPr>
    </w:lvl>
    <w:lvl w:ilvl="2" w:tentative="0">
      <w:start w:val="1"/>
      <w:numFmt w:val="lowerLetter"/>
      <w:lvlText w:val="%3)"/>
      <w:lvlJc w:val="left"/>
      <w:pPr>
        <w:ind w:left="1216" w:hanging="336"/>
      </w:pPr>
      <w:rPr>
        <w:rFonts w:ascii="等线" w:hAnsi="等线" w:eastAsia="等线" w:cs="等线"/>
      </w:rPr>
    </w:lvl>
    <w:lvl w:ilvl="3" w:tentative="0">
      <w:start w:val="1"/>
      <w:numFmt w:val="chineseCountingThousand"/>
      <w:lvlText w:val="%4、"/>
      <w:lvlJc w:val="left"/>
      <w:pPr>
        <w:ind w:left="1782" w:hanging="462"/>
      </w:pPr>
      <w:rPr>
        <w:rFonts w:ascii="等线" w:hAnsi="等线" w:eastAsia="等线" w:cs="等线"/>
      </w:rPr>
    </w:lvl>
    <w:lvl w:ilvl="4" w:tentative="0">
      <w:start w:val="1"/>
      <w:numFmt w:val="decimal"/>
      <w:lvlText w:val="%5、"/>
      <w:lvlJc w:val="left"/>
      <w:pPr>
        <w:ind w:left="2096" w:hanging="336"/>
      </w:pPr>
      <w:rPr>
        <w:rFonts w:ascii="等线" w:hAnsi="等线" w:eastAsia="等线" w:cs="等线"/>
      </w:rPr>
    </w:lvl>
    <w:lvl w:ilvl="5" w:tentative="0">
      <w:start w:val="1"/>
      <w:numFmt w:val="lowerLetter"/>
      <w:lvlText w:val="%6)"/>
      <w:lvlJc w:val="left"/>
      <w:pPr>
        <w:ind w:left="2536" w:hanging="336"/>
      </w:pPr>
      <w:rPr>
        <w:rFonts w:ascii="等线" w:hAnsi="等线" w:eastAsia="等线" w:cs="等线"/>
      </w:rPr>
    </w:lvl>
    <w:lvl w:ilvl="6" w:tentative="0">
      <w:start w:val="1"/>
      <w:numFmt w:val="chineseCountingThousand"/>
      <w:lvlText w:val="%7、"/>
      <w:lvlJc w:val="left"/>
      <w:pPr>
        <w:ind w:left="3102" w:hanging="462"/>
      </w:pPr>
      <w:rPr>
        <w:rFonts w:ascii="等线" w:hAnsi="等线" w:eastAsia="等线" w:cs="等线"/>
      </w:rPr>
    </w:lvl>
    <w:lvl w:ilvl="7" w:tentative="0">
      <w:start w:val="1"/>
      <w:numFmt w:val="decimal"/>
      <w:lvlText w:val="%8、"/>
      <w:lvlJc w:val="left"/>
      <w:pPr>
        <w:ind w:left="3416" w:hanging="336"/>
      </w:pPr>
      <w:rPr>
        <w:rFonts w:ascii="等线" w:hAnsi="等线" w:eastAsia="等线" w:cs="等线"/>
      </w:rPr>
    </w:lvl>
    <w:lvl w:ilvl="8" w:tentative="0">
      <w:start w:val="1"/>
      <w:numFmt w:val="lowerLetter"/>
      <w:lvlText w:val="%9)"/>
      <w:lvlJc w:val="left"/>
      <w:pPr>
        <w:ind w:left="3856" w:hanging="336"/>
      </w:pPr>
      <w:rPr>
        <w:rFonts w:ascii="等线" w:hAnsi="等线" w:eastAsia="等线" w:cs="等线"/>
      </w:rPr>
    </w:lvl>
  </w:abstractNum>
  <w:abstractNum w:abstractNumId="2">
    <w:nsid w:val="19EDBC94"/>
    <w:multiLevelType w:val="multilevel"/>
    <w:tmpl w:val="19EDBC94"/>
    <w:lvl w:ilvl="0" w:tentative="0">
      <w:start w:val="1"/>
      <w:numFmt w:val="decimal"/>
      <w:pStyle w:val="2"/>
      <w:suff w:val="space"/>
      <w:lvlText w:val="%1"/>
      <w:lvlJc w:val="left"/>
      <w:pPr>
        <w:ind w:left="862" w:hanging="862"/>
      </w:pPr>
      <w:rPr>
        <w:rFonts w:hint="eastAsia"/>
        <w:lang w:val="en-US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20"/>
        </w:tabs>
        <w:ind w:left="720" w:hanging="578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868" w:hanging="726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7376D6"/>
    <w:rsid w:val="006770D0"/>
    <w:rsid w:val="008473C8"/>
    <w:rsid w:val="07007879"/>
    <w:rsid w:val="1561534A"/>
    <w:rsid w:val="22F00F15"/>
    <w:rsid w:val="26162C9C"/>
    <w:rsid w:val="2A8B301F"/>
    <w:rsid w:val="2C922D99"/>
    <w:rsid w:val="3CE83AB1"/>
    <w:rsid w:val="483F514C"/>
    <w:rsid w:val="495105E0"/>
    <w:rsid w:val="4A7376D6"/>
    <w:rsid w:val="50663A2B"/>
    <w:rsid w:val="7CC21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="minorHAnsi" w:hAnsi="minorHAnsi" w:eastAsia="minorEastAsia" w:cstheme="minorBidi"/>
      <w:color w:val="333333"/>
      <w:kern w:val="2"/>
      <w:sz w:val="22"/>
      <w:szCs w:val="22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12" w:after="312" w:line="120" w:lineRule="auto"/>
      <w:ind w:left="862" w:hanging="862" w:firstLineChars="0"/>
      <w:outlineLvl w:val="0"/>
    </w:pPr>
    <w:rPr>
      <w:rFonts w:ascii="微软雅黑" w:hAnsi="微软雅黑" w:eastAsia="宋体" w:cs="Times New Roman"/>
      <w:bCs/>
      <w:kern w:val="44"/>
      <w:sz w:val="28"/>
      <w:szCs w:val="5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120" w:after="312" w:line="120" w:lineRule="auto"/>
      <w:ind w:left="720" w:hanging="578" w:firstLineChars="0"/>
      <w:outlineLvl w:val="1"/>
    </w:pPr>
    <w:rPr>
      <w:bCs/>
      <w:sz w:val="28"/>
      <w:szCs w:val="44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868" w:hanging="726" w:firstLineChars="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120" w:lineRule="auto"/>
      <w:ind w:left="864" w:hanging="864" w:firstLineChars="0"/>
      <w:outlineLvl w:val="3"/>
    </w:pPr>
    <w:rPr>
      <w:rFonts w:ascii="Cambria" w:hAnsi="Cambria" w:eastAsia="宋体" w:cs="Times New Roman"/>
      <w:bCs/>
      <w:sz w:val="28"/>
      <w:szCs w:val="28"/>
    </w:rPr>
  </w:style>
  <w:style w:type="paragraph" w:styleId="6">
    <w:name w:val="heading 5"/>
    <w:basedOn w:val="1"/>
    <w:next w:val="1"/>
    <w:link w:val="13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120" w:lineRule="auto"/>
      <w:ind w:left="1008" w:hanging="1008" w:firstLineChars="0"/>
      <w:outlineLvl w:val="4"/>
    </w:pPr>
    <w:rPr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0" w:after="20" w:line="120" w:lineRule="auto"/>
      <w:ind w:left="1152" w:hanging="1152" w:firstLineChars="0"/>
      <w:outlineLvl w:val="5"/>
    </w:pPr>
    <w:rPr>
      <w:rFonts w:ascii="Cambria" w:hAnsi="Cambria"/>
      <w:bCs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line="120" w:lineRule="auto"/>
      <w:ind w:left="1296" w:hanging="1296" w:firstLineChars="0"/>
      <w:outlineLvl w:val="6"/>
    </w:pPr>
    <w:rPr>
      <w:bCs/>
      <w:sz w:val="28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 w:val="0"/>
      <w:keepLines w:val="0"/>
      <w:numPr>
        <w:ilvl w:val="7"/>
        <w:numId w:val="1"/>
      </w:numPr>
      <w:tabs>
        <w:tab w:val="clear" w:pos="1440"/>
      </w:tabs>
      <w:spacing w:before="100" w:beforeLines="100" w:after="100" w:afterLines="100" w:line="120" w:lineRule="auto"/>
      <w:ind w:left="0"/>
      <w:jc w:val="left"/>
      <w:outlineLvl w:val="7"/>
    </w:pPr>
    <w:rPr>
      <w:rFonts w:ascii="Cambria" w:hAnsi="Cambria"/>
      <w:sz w:val="28"/>
      <w:szCs w:val="24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Normal Indent"/>
    <w:basedOn w:val="1"/>
    <w:qFormat/>
    <w:uiPriority w:val="99"/>
    <w:pPr>
      <w:widowControl/>
      <w:spacing w:after="50" w:afterLines="50" w:line="360" w:lineRule="auto"/>
      <w:ind w:firstLine="200" w:firstLineChars="200"/>
      <w:jc w:val="left"/>
    </w:pPr>
    <w:rPr>
      <w:kern w:val="0"/>
      <w:szCs w:val="20"/>
    </w:rPr>
  </w:style>
  <w:style w:type="character" w:customStyle="1" w:styleId="13">
    <w:name w:val="标题 5 Char"/>
    <w:link w:val="6"/>
    <w:qFormat/>
    <w:uiPriority w:val="0"/>
    <w:rPr>
      <w:rFonts w:eastAsia="宋体"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1333</Words>
  <Characters>1343</Characters>
  <Lines>0</Lines>
  <Paragraphs>0</Paragraphs>
  <TotalTime>9</TotalTime>
  <ScaleCrop>false</ScaleCrop>
  <LinksUpToDate>false</LinksUpToDate>
  <CharactersWithSpaces>1403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2025-05-28T03:58:00Z</dcterms:created>
  <dc:creator>XCX</dc:creator>
  <cp:lastModifiedBy>洪</cp:lastModifiedBy>
  <dcterms:modified xsi:type="dcterms:W3CDTF">2025-05-28T07:32:28Z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84DF2E5F4B254E2B893681D2754ABD62_13</vt:lpwstr>
  </property>
  <property fmtid="{D5CDD505-2E9C-101B-9397-08002B2CF9AE}" pid="4" name="KSOTemplateDocerSaveRecord">
    <vt:lpwstr>eyJoZGlkIjoiZWZlNzljNzBmZDdjNzdjNDY5MmViMGNiMzU0NWRlMzgiLCJ1c2VySWQiOiI0NjU4Mzg4ODcifQ==</vt:lpwstr>
  </property>
</Properties>
</file>