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7" w:beforeLines="50" w:after="157" w:afterLines="50" w:line="480" w:lineRule="auto"/>
        <w:jc w:val="center"/>
        <w:rPr>
          <w:rFonts w:hint="eastAsia" w:ascii="黑体" w:hAnsi="黑体" w:eastAsia="黑体" w:cs="宋体"/>
          <w:b/>
          <w:bCs/>
          <w:color w:val="000000"/>
          <w:sz w:val="48"/>
          <w:szCs w:val="30"/>
        </w:rPr>
      </w:pPr>
    </w:p>
    <w:p>
      <w:pPr>
        <w:tabs>
          <w:tab w:val="left" w:pos="426"/>
          <w:tab w:val="left" w:pos="3119"/>
        </w:tabs>
        <w:adjustRightInd w:val="0"/>
        <w:snapToGrid w:val="0"/>
        <w:spacing w:line="360" w:lineRule="auto"/>
        <w:jc w:val="center"/>
        <w:rPr>
          <w:rFonts w:hint="eastAsia" w:eastAsia="华文中宋" w:cs="黑体"/>
          <w:b/>
          <w:sz w:val="50"/>
          <w:szCs w:val="50"/>
        </w:rPr>
      </w:pPr>
      <w:r>
        <w:rPr>
          <w:rFonts w:hint="eastAsia" w:eastAsia="华文中宋" w:cs="黑体"/>
          <w:b/>
          <w:sz w:val="50"/>
          <w:szCs w:val="50"/>
        </w:rPr>
        <w:t>连南瑶族自治县农村物流三级网络节点体系发展规划</w:t>
      </w:r>
      <w:bookmarkStart w:id="142" w:name="_GoBack"/>
      <w:bookmarkEnd w:id="142"/>
      <w:r>
        <w:rPr>
          <w:rFonts w:hint="eastAsia" w:eastAsia="华文中宋" w:cs="黑体"/>
          <w:b/>
          <w:sz w:val="50"/>
          <w:szCs w:val="50"/>
        </w:rPr>
        <w:t>（2026-2035年）</w:t>
      </w:r>
    </w:p>
    <w:p>
      <w:pPr>
        <w:tabs>
          <w:tab w:val="left" w:pos="426"/>
          <w:tab w:val="left" w:pos="3119"/>
        </w:tabs>
        <w:adjustRightInd w:val="0"/>
        <w:snapToGrid w:val="0"/>
        <w:spacing w:line="360" w:lineRule="auto"/>
        <w:jc w:val="center"/>
        <w:rPr>
          <w:rFonts w:hint="eastAsia" w:eastAsia="华文中宋" w:cs="黑体"/>
          <w:b/>
          <w:sz w:val="50"/>
          <w:szCs w:val="50"/>
          <w:lang w:eastAsia="zh-CN"/>
        </w:rPr>
      </w:pPr>
      <w:r>
        <w:rPr>
          <w:rFonts w:hint="eastAsia" w:eastAsia="华文中宋" w:cs="黑体"/>
          <w:b/>
          <w:sz w:val="50"/>
          <w:szCs w:val="50"/>
          <w:lang w:eastAsia="zh-CN"/>
        </w:rPr>
        <w:t>（第二稿）</w:t>
      </w:r>
    </w:p>
    <w:p>
      <w:pPr>
        <w:tabs>
          <w:tab w:val="left" w:pos="426"/>
          <w:tab w:val="left" w:pos="3119"/>
        </w:tabs>
        <w:adjustRightInd w:val="0"/>
        <w:snapToGrid w:val="0"/>
        <w:spacing w:line="360" w:lineRule="auto"/>
        <w:jc w:val="center"/>
        <w:rPr>
          <w:rFonts w:hint="eastAsia" w:ascii="黑体" w:hAnsi="黑体" w:eastAsia="黑体" w:cs="宋体"/>
          <w:b/>
          <w:bCs/>
          <w:color w:val="000000"/>
          <w:sz w:val="48"/>
          <w:szCs w:val="30"/>
        </w:rPr>
      </w:pPr>
    </w:p>
    <w:p>
      <w:pPr>
        <w:tabs>
          <w:tab w:val="left" w:pos="426"/>
          <w:tab w:val="left" w:pos="3119"/>
        </w:tabs>
        <w:adjustRightInd w:val="0"/>
        <w:snapToGrid w:val="0"/>
        <w:spacing w:line="360" w:lineRule="auto"/>
        <w:jc w:val="center"/>
        <w:rPr>
          <w:rFonts w:hint="eastAsia" w:ascii="黑体" w:hAnsi="黑体" w:eastAsia="黑体" w:cs="宋体"/>
          <w:b/>
          <w:bCs/>
          <w:color w:val="000000"/>
          <w:sz w:val="48"/>
          <w:szCs w:val="30"/>
        </w:rPr>
      </w:pPr>
    </w:p>
    <w:p>
      <w:pPr>
        <w:tabs>
          <w:tab w:val="left" w:pos="426"/>
          <w:tab w:val="left" w:pos="3119"/>
        </w:tabs>
        <w:adjustRightInd w:val="0"/>
        <w:snapToGrid w:val="0"/>
        <w:spacing w:line="360" w:lineRule="auto"/>
        <w:rPr>
          <w:rFonts w:hint="eastAsia" w:ascii="黑体" w:hAnsi="黑体" w:eastAsia="黑体" w:cs="宋体"/>
          <w:b/>
          <w:bCs/>
          <w:color w:val="000000"/>
          <w:sz w:val="48"/>
          <w:szCs w:val="30"/>
        </w:rPr>
      </w:pPr>
    </w:p>
    <w:p>
      <w:pPr>
        <w:rPr>
          <w:rFonts w:ascii="仿宋_GB2312" w:eastAsia="仿宋_GB2312" w:cs="宋体"/>
          <w:b/>
          <w:bCs/>
          <w:color w:val="000000"/>
          <w:sz w:val="52"/>
          <w:szCs w:val="52"/>
        </w:rPr>
      </w:pPr>
    </w:p>
    <w:p>
      <w:pPr>
        <w:rPr>
          <w:rFonts w:ascii="仿宋_GB2312" w:eastAsia="仿宋_GB2312" w:cs="宋体"/>
          <w:b/>
          <w:bCs/>
          <w:color w:val="000000"/>
          <w:sz w:val="52"/>
          <w:szCs w:val="52"/>
        </w:rPr>
      </w:pPr>
    </w:p>
    <w:p>
      <w:pPr>
        <w:rPr>
          <w:rFonts w:ascii="仿宋_GB2312" w:eastAsia="仿宋_GB2312" w:cs="宋体"/>
          <w:b/>
          <w:bCs/>
          <w:color w:val="000000"/>
          <w:sz w:val="52"/>
          <w:szCs w:val="52"/>
        </w:rPr>
      </w:pPr>
    </w:p>
    <w:p>
      <w:pPr>
        <w:rPr>
          <w:rFonts w:ascii="仿宋_GB2312" w:eastAsia="仿宋_GB2312" w:cs="宋体"/>
          <w:b/>
          <w:bCs/>
          <w:color w:val="000000"/>
          <w:sz w:val="52"/>
          <w:szCs w:val="52"/>
        </w:rPr>
      </w:pPr>
    </w:p>
    <w:p>
      <w:pPr>
        <w:rPr>
          <w:rFonts w:hint="eastAsia" w:ascii="黑体" w:hAnsi="黑体" w:eastAsia="黑体" w:cs="宋体"/>
          <w:b/>
          <w:bCs/>
          <w:color w:val="000000"/>
          <w:sz w:val="36"/>
          <w:szCs w:val="30"/>
        </w:rPr>
      </w:pPr>
    </w:p>
    <w:p>
      <w:pPr>
        <w:tabs>
          <w:tab w:val="left" w:pos="426"/>
          <w:tab w:val="left" w:pos="3119"/>
        </w:tabs>
        <w:adjustRightInd w:val="0"/>
        <w:snapToGrid w:val="0"/>
        <w:spacing w:line="360" w:lineRule="auto"/>
        <w:jc w:val="center"/>
        <w:rPr>
          <w:rFonts w:hint="eastAsia" w:eastAsia="华文中宋" w:cs="黑体"/>
          <w:b/>
          <w:sz w:val="28"/>
          <w:szCs w:val="28"/>
        </w:rPr>
      </w:pPr>
      <w:r>
        <w:rPr>
          <w:rFonts w:hint="eastAsia" w:eastAsia="华文中宋" w:cs="黑体"/>
          <w:b/>
          <w:sz w:val="28"/>
          <w:szCs w:val="28"/>
        </w:rPr>
        <w:t>清远市公路勘察规划设计院有限公司</w:t>
      </w:r>
    </w:p>
    <w:p>
      <w:pPr>
        <w:tabs>
          <w:tab w:val="left" w:pos="426"/>
          <w:tab w:val="left" w:pos="3119"/>
        </w:tabs>
        <w:adjustRightInd w:val="0"/>
        <w:snapToGrid w:val="0"/>
        <w:spacing w:line="360" w:lineRule="auto"/>
        <w:jc w:val="center"/>
        <w:rPr>
          <w:rFonts w:hint="eastAsia" w:ascii="宋体" w:hAnsi="宋体" w:cs="宋体"/>
          <w:b/>
          <w:bCs/>
          <w:sz w:val="30"/>
          <w:szCs w:val="30"/>
        </w:rPr>
      </w:pPr>
      <w:r>
        <w:rPr>
          <w:rFonts w:hint="eastAsia" w:eastAsia="华文中宋" w:cs="黑体"/>
          <w:b/>
          <w:sz w:val="28"/>
          <w:szCs w:val="28"/>
        </w:rPr>
        <w:t xml:space="preserve">2026年 </w:t>
      </w:r>
      <w:r>
        <w:rPr>
          <w:rFonts w:hint="eastAsia" w:eastAsia="华文中宋" w:cs="黑体"/>
          <w:b/>
          <w:sz w:val="28"/>
          <w:szCs w:val="28"/>
          <w:lang w:val="en-US" w:eastAsia="zh-CN"/>
        </w:rPr>
        <w:t>8</w:t>
      </w:r>
      <w:r>
        <w:rPr>
          <w:rFonts w:hint="eastAsia" w:eastAsia="华文中宋" w:cs="黑体"/>
          <w:b/>
          <w:sz w:val="28"/>
          <w:szCs w:val="28"/>
        </w:rPr>
        <w:t xml:space="preserve"> 月</w:t>
      </w:r>
    </w:p>
    <w:p>
      <w:pPr>
        <w:tabs>
          <w:tab w:val="left" w:pos="0"/>
        </w:tabs>
        <w:spacing w:line="381" w:lineRule="auto"/>
        <w:ind w:right="10" w:hanging="11"/>
        <w:jc w:val="center"/>
        <w:rPr>
          <w:rFonts w:hint="eastAsia" w:ascii="宋体" w:hAnsi="宋体" w:cs="宋体"/>
          <w:b/>
          <w:bCs/>
          <w:sz w:val="30"/>
          <w:szCs w:val="30"/>
        </w:rPr>
        <w:sectPr>
          <w:headerReference r:id="rId3" w:type="default"/>
          <w:pgSz w:w="11906" w:h="16838"/>
          <w:pgMar w:top="1984" w:right="1587" w:bottom="1701" w:left="1587" w:header="851" w:footer="992" w:gutter="0"/>
          <w:pgNumType w:start="1"/>
          <w:cols w:space="720" w:num="1"/>
          <w:docGrid w:type="lines" w:linePitch="314" w:charSpace="0"/>
        </w:sectPr>
      </w:pPr>
    </w:p>
    <w:sdt>
      <w:sdtPr>
        <w:rPr>
          <w:rFonts w:ascii="宋体" w:hAnsi="宋体" w:eastAsia="宋体" w:cs="Times New Roman"/>
          <w:kern w:val="2"/>
          <w:sz w:val="21"/>
          <w:szCs w:val="24"/>
          <w:lang w:val="en-US" w:eastAsia="zh-CN" w:bidi="ar-SA"/>
        </w:rPr>
        <w:id w:val="147455878"/>
        <w15:color w:val="DBDBDB"/>
        <w:docPartObj>
          <w:docPartGallery w:val="Table of Contents"/>
          <w:docPartUnique/>
        </w:docPartObj>
      </w:sdtPr>
      <w:sdtEndPr>
        <w:rPr>
          <w:rFonts w:hint="eastAsia" w:ascii="Times New Roman" w:hAnsi="Times New Roman" w:eastAsia="宋体" w:cs="Times New Roman"/>
          <w:color w:val="000000"/>
          <w:kern w:val="2"/>
          <w:sz w:val="21"/>
          <w:szCs w:val="24"/>
          <w:lang w:val="en-US" w:eastAsia="zh-CN" w:bidi="ar-SA"/>
        </w:rPr>
      </w:sdtEndPr>
      <w:sdtContent>
        <w:p>
          <w:pPr>
            <w:spacing w:before="0" w:beforeLines="0" w:after="0" w:afterLines="0" w:line="240" w:lineRule="auto"/>
            <w:ind w:left="0" w:leftChars="0" w:right="0" w:rightChars="0" w:firstLine="0" w:firstLineChars="0"/>
            <w:jc w:val="center"/>
          </w:pPr>
          <w:r>
            <w:rPr>
              <w:rFonts w:hint="eastAsia" w:ascii="仿宋_GB2312" w:hAnsi="仿宋_GB2312" w:eastAsia="仿宋_GB2312" w:cs="仿宋_GB2312"/>
              <w:b/>
              <w:bCs/>
              <w:sz w:val="44"/>
              <w:szCs w:val="44"/>
            </w:rPr>
            <w:t>目录</w:t>
          </w:r>
        </w:p>
        <w:p>
          <w:pPr>
            <w:pStyle w:val="10"/>
            <w:tabs>
              <w:tab w:val="right" w:leader="dot" w:pos="8732"/>
              <w:tab w:val="clear" w:pos="8296"/>
            </w:tabs>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2"/>
              <w:sz w:val="28"/>
              <w:szCs w:val="28"/>
              <w:lang w:val="en-US" w:eastAsia="zh-CN" w:bidi="ar-SA"/>
            </w:rPr>
            <w:fldChar w:fldCharType="begin"/>
          </w:r>
          <w:r>
            <w:rPr>
              <w:rFonts w:hint="eastAsia" w:ascii="仿宋_GB2312" w:hAnsi="仿宋_GB2312" w:eastAsia="仿宋_GB2312" w:cs="仿宋_GB2312"/>
              <w:color w:val="000000"/>
              <w:kern w:val="2"/>
              <w:sz w:val="28"/>
              <w:szCs w:val="28"/>
              <w:lang w:val="en-US" w:eastAsia="zh-CN" w:bidi="ar-SA"/>
            </w:rPr>
            <w:instrText xml:space="preserve">TOC \o "1-3" \h \u </w:instrText>
          </w:r>
          <w:r>
            <w:rPr>
              <w:rFonts w:hint="eastAsia" w:ascii="仿宋_GB2312" w:hAnsi="仿宋_GB2312" w:eastAsia="仿宋_GB2312" w:cs="仿宋_GB2312"/>
              <w:color w:val="000000"/>
              <w:kern w:val="2"/>
              <w:sz w:val="28"/>
              <w:szCs w:val="28"/>
              <w:lang w:val="en-US" w:eastAsia="zh-CN" w:bidi="ar-SA"/>
            </w:rPr>
            <w:fldChar w:fldCharType="separate"/>
          </w:r>
          <w:r>
            <w:rPr>
              <w:rFonts w:hint="eastAsia" w:ascii="仿宋_GB2312" w:hAnsi="仿宋_GB2312" w:eastAsia="仿宋_GB2312" w:cs="仿宋_GB2312"/>
              <w:color w:val="000000"/>
              <w:kern w:val="2"/>
              <w:sz w:val="28"/>
              <w:szCs w:val="28"/>
              <w:lang w:val="en-US" w:eastAsia="zh-CN" w:bidi="ar-SA"/>
            </w:rPr>
            <w:fldChar w:fldCharType="begin"/>
          </w:r>
          <w:r>
            <w:rPr>
              <w:rFonts w:hint="eastAsia" w:ascii="仿宋_GB2312" w:hAnsi="仿宋_GB2312" w:eastAsia="仿宋_GB2312" w:cs="仿宋_GB2312"/>
              <w:kern w:val="2"/>
              <w:sz w:val="28"/>
              <w:szCs w:val="28"/>
              <w:lang w:val="en-US" w:eastAsia="zh-CN" w:bidi="ar-SA"/>
            </w:rPr>
            <w:instrText xml:space="preserve"> HYPERLINK \l _Toc18872 </w:instrText>
          </w:r>
          <w:r>
            <w:rPr>
              <w:rFonts w:hint="eastAsia" w:ascii="仿宋_GB2312" w:hAnsi="仿宋_GB2312" w:eastAsia="仿宋_GB2312" w:cs="仿宋_GB2312"/>
              <w:kern w:val="2"/>
              <w:sz w:val="28"/>
              <w:szCs w:val="28"/>
              <w:lang w:val="en-US" w:eastAsia="zh-CN" w:bidi="ar-SA"/>
            </w:rPr>
            <w:fldChar w:fldCharType="separate"/>
          </w:r>
          <w:r>
            <w:rPr>
              <w:rFonts w:hint="eastAsia" w:ascii="仿宋_GB2312" w:hAnsi="仿宋_GB2312" w:eastAsia="仿宋_GB2312" w:cs="仿宋_GB2312"/>
              <w:sz w:val="28"/>
              <w:szCs w:val="28"/>
            </w:rPr>
            <w:t>第一章 总论</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_Toc18872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000000"/>
              <w:kern w:val="2"/>
              <w:sz w:val="28"/>
              <w:szCs w:val="28"/>
              <w:lang w:val="en-US" w:eastAsia="zh-CN" w:bidi="ar-SA"/>
            </w:rPr>
            <w:fldChar w:fldCharType="end"/>
          </w:r>
        </w:p>
        <w:p>
          <w:pPr>
            <w:pStyle w:val="11"/>
            <w:tabs>
              <w:tab w:val="right" w:leader="dot" w:pos="8732"/>
            </w:tabs>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2"/>
              <w:sz w:val="28"/>
              <w:szCs w:val="28"/>
              <w:lang w:val="en-US" w:eastAsia="zh-CN" w:bidi="ar-SA"/>
            </w:rPr>
            <w:fldChar w:fldCharType="begin"/>
          </w:r>
          <w:r>
            <w:rPr>
              <w:rFonts w:hint="eastAsia" w:ascii="仿宋_GB2312" w:hAnsi="仿宋_GB2312" w:eastAsia="仿宋_GB2312" w:cs="仿宋_GB2312"/>
              <w:kern w:val="2"/>
              <w:sz w:val="28"/>
              <w:szCs w:val="28"/>
              <w:lang w:val="en-US" w:eastAsia="zh-CN" w:bidi="ar-SA"/>
            </w:rPr>
            <w:instrText xml:space="preserve"> HYPERLINK \l _Toc12574 </w:instrText>
          </w:r>
          <w:r>
            <w:rPr>
              <w:rFonts w:hint="eastAsia" w:ascii="仿宋_GB2312" w:hAnsi="仿宋_GB2312" w:eastAsia="仿宋_GB2312" w:cs="仿宋_GB2312"/>
              <w:kern w:val="2"/>
              <w:sz w:val="28"/>
              <w:szCs w:val="28"/>
              <w:lang w:val="en-US" w:eastAsia="zh-CN" w:bidi="ar-SA"/>
            </w:rPr>
            <w:fldChar w:fldCharType="separate"/>
          </w:r>
          <w:r>
            <w:rPr>
              <w:rFonts w:hint="eastAsia" w:ascii="仿宋_GB2312" w:hAnsi="仿宋_GB2312" w:eastAsia="仿宋_GB2312" w:cs="仿宋_GB2312"/>
              <w:sz w:val="28"/>
              <w:szCs w:val="28"/>
            </w:rPr>
            <w:t>1.1规划背景</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_Toc12574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000000"/>
              <w:kern w:val="2"/>
              <w:sz w:val="28"/>
              <w:szCs w:val="28"/>
              <w:lang w:val="en-US" w:eastAsia="zh-CN" w:bidi="ar-SA"/>
            </w:rPr>
            <w:fldChar w:fldCharType="end"/>
          </w:r>
        </w:p>
        <w:p>
          <w:pPr>
            <w:pStyle w:val="11"/>
            <w:tabs>
              <w:tab w:val="right" w:leader="dot" w:pos="8732"/>
            </w:tabs>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2"/>
              <w:sz w:val="28"/>
              <w:szCs w:val="28"/>
              <w:lang w:val="en-US" w:eastAsia="zh-CN" w:bidi="ar-SA"/>
            </w:rPr>
            <w:fldChar w:fldCharType="begin"/>
          </w:r>
          <w:r>
            <w:rPr>
              <w:rFonts w:hint="eastAsia" w:ascii="仿宋_GB2312" w:hAnsi="仿宋_GB2312" w:eastAsia="仿宋_GB2312" w:cs="仿宋_GB2312"/>
              <w:kern w:val="2"/>
              <w:sz w:val="28"/>
              <w:szCs w:val="28"/>
              <w:lang w:val="en-US" w:eastAsia="zh-CN" w:bidi="ar-SA"/>
            </w:rPr>
            <w:instrText xml:space="preserve"> HYPERLINK \l _Toc16824 </w:instrText>
          </w:r>
          <w:r>
            <w:rPr>
              <w:rFonts w:hint="eastAsia" w:ascii="仿宋_GB2312" w:hAnsi="仿宋_GB2312" w:eastAsia="仿宋_GB2312" w:cs="仿宋_GB2312"/>
              <w:kern w:val="2"/>
              <w:sz w:val="28"/>
              <w:szCs w:val="28"/>
              <w:lang w:val="en-US" w:eastAsia="zh-CN" w:bidi="ar-SA"/>
            </w:rPr>
            <w:fldChar w:fldCharType="separate"/>
          </w:r>
          <w:r>
            <w:rPr>
              <w:rFonts w:hint="eastAsia" w:ascii="仿宋_GB2312" w:hAnsi="仿宋_GB2312" w:eastAsia="仿宋_GB2312" w:cs="仿宋_GB2312"/>
              <w:sz w:val="28"/>
              <w:szCs w:val="28"/>
            </w:rPr>
            <w:t>1.2规划依据</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_Toc16824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000000"/>
              <w:kern w:val="2"/>
              <w:sz w:val="28"/>
              <w:szCs w:val="28"/>
              <w:lang w:val="en-US" w:eastAsia="zh-CN" w:bidi="ar-SA"/>
            </w:rPr>
            <w:fldChar w:fldCharType="end"/>
          </w:r>
        </w:p>
        <w:p>
          <w:pPr>
            <w:pStyle w:val="11"/>
            <w:tabs>
              <w:tab w:val="right" w:leader="dot" w:pos="8732"/>
            </w:tabs>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2"/>
              <w:sz w:val="28"/>
              <w:szCs w:val="28"/>
              <w:lang w:val="en-US" w:eastAsia="zh-CN" w:bidi="ar-SA"/>
            </w:rPr>
            <w:fldChar w:fldCharType="begin"/>
          </w:r>
          <w:r>
            <w:rPr>
              <w:rFonts w:hint="eastAsia" w:ascii="仿宋_GB2312" w:hAnsi="仿宋_GB2312" w:eastAsia="仿宋_GB2312" w:cs="仿宋_GB2312"/>
              <w:kern w:val="2"/>
              <w:sz w:val="28"/>
              <w:szCs w:val="28"/>
              <w:lang w:val="en-US" w:eastAsia="zh-CN" w:bidi="ar-SA"/>
            </w:rPr>
            <w:instrText xml:space="preserve"> HYPERLINK \l _Toc8765 </w:instrText>
          </w:r>
          <w:r>
            <w:rPr>
              <w:rFonts w:hint="eastAsia" w:ascii="仿宋_GB2312" w:hAnsi="仿宋_GB2312" w:eastAsia="仿宋_GB2312" w:cs="仿宋_GB2312"/>
              <w:kern w:val="2"/>
              <w:sz w:val="28"/>
              <w:szCs w:val="28"/>
              <w:lang w:val="en-US" w:eastAsia="zh-CN" w:bidi="ar-SA"/>
            </w:rPr>
            <w:fldChar w:fldCharType="separate"/>
          </w:r>
          <w:r>
            <w:rPr>
              <w:rFonts w:hint="eastAsia" w:ascii="仿宋_GB2312" w:hAnsi="仿宋_GB2312" w:eastAsia="仿宋_GB2312" w:cs="仿宋_GB2312"/>
              <w:sz w:val="28"/>
              <w:szCs w:val="28"/>
            </w:rPr>
            <w:t>1.3规划期限</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_Toc8765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000000"/>
              <w:kern w:val="2"/>
              <w:sz w:val="28"/>
              <w:szCs w:val="28"/>
              <w:lang w:val="en-US" w:eastAsia="zh-CN" w:bidi="ar-SA"/>
            </w:rPr>
            <w:fldChar w:fldCharType="end"/>
          </w:r>
        </w:p>
        <w:p>
          <w:pPr>
            <w:pStyle w:val="11"/>
            <w:tabs>
              <w:tab w:val="right" w:leader="dot" w:pos="8732"/>
            </w:tabs>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2"/>
              <w:sz w:val="28"/>
              <w:szCs w:val="28"/>
              <w:lang w:val="en-US" w:eastAsia="zh-CN" w:bidi="ar-SA"/>
            </w:rPr>
            <w:fldChar w:fldCharType="begin"/>
          </w:r>
          <w:r>
            <w:rPr>
              <w:rFonts w:hint="eastAsia" w:ascii="仿宋_GB2312" w:hAnsi="仿宋_GB2312" w:eastAsia="仿宋_GB2312" w:cs="仿宋_GB2312"/>
              <w:kern w:val="2"/>
              <w:sz w:val="28"/>
              <w:szCs w:val="28"/>
              <w:lang w:val="en-US" w:eastAsia="zh-CN" w:bidi="ar-SA"/>
            </w:rPr>
            <w:instrText xml:space="preserve"> HYPERLINK \l _Toc21926 </w:instrText>
          </w:r>
          <w:r>
            <w:rPr>
              <w:rFonts w:hint="eastAsia" w:ascii="仿宋_GB2312" w:hAnsi="仿宋_GB2312" w:eastAsia="仿宋_GB2312" w:cs="仿宋_GB2312"/>
              <w:kern w:val="2"/>
              <w:sz w:val="28"/>
              <w:szCs w:val="28"/>
              <w:lang w:val="en-US" w:eastAsia="zh-CN" w:bidi="ar-SA"/>
            </w:rPr>
            <w:fldChar w:fldCharType="separate"/>
          </w:r>
          <w:r>
            <w:rPr>
              <w:rFonts w:hint="eastAsia" w:ascii="仿宋_GB2312" w:hAnsi="仿宋_GB2312" w:eastAsia="仿宋_GB2312" w:cs="仿宋_GB2312"/>
              <w:sz w:val="28"/>
              <w:szCs w:val="28"/>
            </w:rPr>
            <w:t>1.4规划内容</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_Toc21926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000000"/>
              <w:kern w:val="2"/>
              <w:sz w:val="28"/>
              <w:szCs w:val="28"/>
              <w:lang w:val="en-US" w:eastAsia="zh-CN" w:bidi="ar-SA"/>
            </w:rPr>
            <w:fldChar w:fldCharType="end"/>
          </w:r>
        </w:p>
        <w:p>
          <w:pPr>
            <w:pStyle w:val="11"/>
            <w:tabs>
              <w:tab w:val="right" w:leader="dot" w:pos="8732"/>
            </w:tabs>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2"/>
              <w:sz w:val="28"/>
              <w:szCs w:val="28"/>
              <w:lang w:val="en-US" w:eastAsia="zh-CN" w:bidi="ar-SA"/>
            </w:rPr>
            <w:fldChar w:fldCharType="begin"/>
          </w:r>
          <w:r>
            <w:rPr>
              <w:rFonts w:hint="eastAsia" w:ascii="仿宋_GB2312" w:hAnsi="仿宋_GB2312" w:eastAsia="仿宋_GB2312" w:cs="仿宋_GB2312"/>
              <w:kern w:val="2"/>
              <w:sz w:val="28"/>
              <w:szCs w:val="28"/>
              <w:lang w:val="en-US" w:eastAsia="zh-CN" w:bidi="ar-SA"/>
            </w:rPr>
            <w:instrText xml:space="preserve"> HYPERLINK \l _Toc22703 </w:instrText>
          </w:r>
          <w:r>
            <w:rPr>
              <w:rFonts w:hint="eastAsia" w:ascii="仿宋_GB2312" w:hAnsi="仿宋_GB2312" w:eastAsia="仿宋_GB2312" w:cs="仿宋_GB2312"/>
              <w:kern w:val="2"/>
              <w:sz w:val="28"/>
              <w:szCs w:val="28"/>
              <w:lang w:val="en-US" w:eastAsia="zh-CN" w:bidi="ar-SA"/>
            </w:rPr>
            <w:fldChar w:fldCharType="separate"/>
          </w:r>
          <w:r>
            <w:rPr>
              <w:rFonts w:hint="eastAsia" w:ascii="仿宋_GB2312" w:hAnsi="仿宋_GB2312" w:eastAsia="仿宋_GB2312" w:cs="仿宋_GB2312"/>
              <w:sz w:val="28"/>
              <w:szCs w:val="28"/>
            </w:rPr>
            <w:t>1.5规划意义</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_Toc22703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3</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000000"/>
              <w:kern w:val="2"/>
              <w:sz w:val="28"/>
              <w:szCs w:val="28"/>
              <w:lang w:val="en-US" w:eastAsia="zh-CN" w:bidi="ar-SA"/>
            </w:rPr>
            <w:fldChar w:fldCharType="end"/>
          </w:r>
        </w:p>
        <w:p>
          <w:pPr>
            <w:pStyle w:val="10"/>
            <w:tabs>
              <w:tab w:val="right" w:leader="dot" w:pos="8732"/>
              <w:tab w:val="clear" w:pos="8296"/>
            </w:tabs>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2"/>
              <w:sz w:val="28"/>
              <w:szCs w:val="28"/>
              <w:lang w:val="en-US" w:eastAsia="zh-CN" w:bidi="ar-SA"/>
            </w:rPr>
            <w:fldChar w:fldCharType="begin"/>
          </w:r>
          <w:r>
            <w:rPr>
              <w:rFonts w:hint="eastAsia" w:ascii="仿宋_GB2312" w:hAnsi="仿宋_GB2312" w:eastAsia="仿宋_GB2312" w:cs="仿宋_GB2312"/>
              <w:kern w:val="2"/>
              <w:sz w:val="28"/>
              <w:szCs w:val="28"/>
              <w:lang w:val="en-US" w:eastAsia="zh-CN" w:bidi="ar-SA"/>
            </w:rPr>
            <w:instrText xml:space="preserve"> HYPERLINK \l _Toc25399 </w:instrText>
          </w:r>
          <w:r>
            <w:rPr>
              <w:rFonts w:hint="eastAsia" w:ascii="仿宋_GB2312" w:hAnsi="仿宋_GB2312" w:eastAsia="仿宋_GB2312" w:cs="仿宋_GB2312"/>
              <w:kern w:val="2"/>
              <w:sz w:val="28"/>
              <w:szCs w:val="28"/>
              <w:lang w:val="en-US" w:eastAsia="zh-CN" w:bidi="ar-SA"/>
            </w:rPr>
            <w:fldChar w:fldCharType="separate"/>
          </w:r>
          <w:r>
            <w:rPr>
              <w:rFonts w:hint="eastAsia" w:ascii="仿宋_GB2312" w:hAnsi="仿宋_GB2312" w:eastAsia="仿宋_GB2312" w:cs="仿宋_GB2312"/>
              <w:sz w:val="28"/>
              <w:szCs w:val="28"/>
            </w:rPr>
            <w:t>第二章 发展现状与存在问题</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_Toc25399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000000"/>
              <w:kern w:val="2"/>
              <w:sz w:val="28"/>
              <w:szCs w:val="28"/>
              <w:lang w:val="en-US" w:eastAsia="zh-CN" w:bidi="ar-SA"/>
            </w:rPr>
            <w:fldChar w:fldCharType="end"/>
          </w:r>
        </w:p>
        <w:p>
          <w:pPr>
            <w:pStyle w:val="11"/>
            <w:tabs>
              <w:tab w:val="right" w:leader="dot" w:pos="8732"/>
            </w:tabs>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2"/>
              <w:sz w:val="28"/>
              <w:szCs w:val="28"/>
              <w:lang w:val="en-US" w:eastAsia="zh-CN" w:bidi="ar-SA"/>
            </w:rPr>
            <w:fldChar w:fldCharType="begin"/>
          </w:r>
          <w:r>
            <w:rPr>
              <w:rFonts w:hint="eastAsia" w:ascii="仿宋_GB2312" w:hAnsi="仿宋_GB2312" w:eastAsia="仿宋_GB2312" w:cs="仿宋_GB2312"/>
              <w:kern w:val="2"/>
              <w:sz w:val="28"/>
              <w:szCs w:val="28"/>
              <w:lang w:val="en-US" w:eastAsia="zh-CN" w:bidi="ar-SA"/>
            </w:rPr>
            <w:instrText xml:space="preserve"> HYPERLINK \l _Toc1637 </w:instrText>
          </w:r>
          <w:r>
            <w:rPr>
              <w:rFonts w:hint="eastAsia" w:ascii="仿宋_GB2312" w:hAnsi="仿宋_GB2312" w:eastAsia="仿宋_GB2312" w:cs="仿宋_GB2312"/>
              <w:kern w:val="2"/>
              <w:sz w:val="28"/>
              <w:szCs w:val="28"/>
              <w:lang w:val="en-US" w:eastAsia="zh-CN" w:bidi="ar-SA"/>
            </w:rPr>
            <w:fldChar w:fldCharType="separate"/>
          </w:r>
          <w:r>
            <w:rPr>
              <w:rFonts w:hint="eastAsia" w:ascii="仿宋_GB2312" w:hAnsi="仿宋_GB2312" w:eastAsia="仿宋_GB2312" w:cs="仿宋_GB2312"/>
              <w:sz w:val="28"/>
              <w:szCs w:val="28"/>
            </w:rPr>
            <w:t>2.1连南瑶族自治县农村物流发展现状</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_Toc1637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000000"/>
              <w:kern w:val="2"/>
              <w:sz w:val="28"/>
              <w:szCs w:val="28"/>
              <w:lang w:val="en-US" w:eastAsia="zh-CN" w:bidi="ar-SA"/>
            </w:rPr>
            <w:fldChar w:fldCharType="end"/>
          </w:r>
        </w:p>
        <w:p>
          <w:pPr>
            <w:pStyle w:val="11"/>
            <w:tabs>
              <w:tab w:val="right" w:leader="dot" w:pos="8732"/>
            </w:tabs>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2"/>
              <w:sz w:val="28"/>
              <w:szCs w:val="28"/>
              <w:lang w:val="en-US" w:eastAsia="zh-CN" w:bidi="ar-SA"/>
            </w:rPr>
            <w:fldChar w:fldCharType="begin"/>
          </w:r>
          <w:r>
            <w:rPr>
              <w:rFonts w:hint="eastAsia" w:ascii="仿宋_GB2312" w:hAnsi="仿宋_GB2312" w:eastAsia="仿宋_GB2312" w:cs="仿宋_GB2312"/>
              <w:kern w:val="2"/>
              <w:sz w:val="28"/>
              <w:szCs w:val="28"/>
              <w:lang w:val="en-US" w:eastAsia="zh-CN" w:bidi="ar-SA"/>
            </w:rPr>
            <w:instrText xml:space="preserve"> HYPERLINK \l _Toc7035 </w:instrText>
          </w:r>
          <w:r>
            <w:rPr>
              <w:rFonts w:hint="eastAsia" w:ascii="仿宋_GB2312" w:hAnsi="仿宋_GB2312" w:eastAsia="仿宋_GB2312" w:cs="仿宋_GB2312"/>
              <w:kern w:val="2"/>
              <w:sz w:val="28"/>
              <w:szCs w:val="28"/>
              <w:lang w:val="en-US" w:eastAsia="zh-CN" w:bidi="ar-SA"/>
            </w:rPr>
            <w:fldChar w:fldCharType="separate"/>
          </w:r>
          <w:r>
            <w:rPr>
              <w:rFonts w:hint="eastAsia" w:ascii="仿宋_GB2312" w:hAnsi="仿宋_GB2312" w:eastAsia="仿宋_GB2312" w:cs="仿宋_GB2312"/>
              <w:sz w:val="28"/>
              <w:szCs w:val="28"/>
            </w:rPr>
            <w:t>2.2连南瑶族自治县农村物流存在的问题</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_Toc7035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000000"/>
              <w:kern w:val="2"/>
              <w:sz w:val="28"/>
              <w:szCs w:val="28"/>
              <w:lang w:val="en-US" w:eastAsia="zh-CN" w:bidi="ar-SA"/>
            </w:rPr>
            <w:fldChar w:fldCharType="end"/>
          </w:r>
        </w:p>
        <w:p>
          <w:pPr>
            <w:pStyle w:val="10"/>
            <w:tabs>
              <w:tab w:val="right" w:leader="dot" w:pos="8732"/>
              <w:tab w:val="clear" w:pos="8296"/>
            </w:tabs>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2"/>
              <w:sz w:val="28"/>
              <w:szCs w:val="28"/>
              <w:lang w:val="en-US" w:eastAsia="zh-CN" w:bidi="ar-SA"/>
            </w:rPr>
            <w:fldChar w:fldCharType="begin"/>
          </w:r>
          <w:r>
            <w:rPr>
              <w:rFonts w:hint="eastAsia" w:ascii="仿宋_GB2312" w:hAnsi="仿宋_GB2312" w:eastAsia="仿宋_GB2312" w:cs="仿宋_GB2312"/>
              <w:kern w:val="2"/>
              <w:sz w:val="28"/>
              <w:szCs w:val="28"/>
              <w:lang w:val="en-US" w:eastAsia="zh-CN" w:bidi="ar-SA"/>
            </w:rPr>
            <w:instrText xml:space="preserve"> HYPERLINK \l _Toc19333 </w:instrText>
          </w:r>
          <w:r>
            <w:rPr>
              <w:rFonts w:hint="eastAsia" w:ascii="仿宋_GB2312" w:hAnsi="仿宋_GB2312" w:eastAsia="仿宋_GB2312" w:cs="仿宋_GB2312"/>
              <w:kern w:val="2"/>
              <w:sz w:val="28"/>
              <w:szCs w:val="28"/>
              <w:lang w:val="en-US" w:eastAsia="zh-CN" w:bidi="ar-SA"/>
            </w:rPr>
            <w:fldChar w:fldCharType="separate"/>
          </w:r>
          <w:r>
            <w:rPr>
              <w:rFonts w:hint="eastAsia" w:ascii="仿宋_GB2312" w:hAnsi="仿宋_GB2312" w:eastAsia="仿宋_GB2312" w:cs="仿宋_GB2312"/>
              <w:sz w:val="28"/>
              <w:szCs w:val="28"/>
            </w:rPr>
            <w:t>第三章 县乡村三级农村物流网络体系发展目标</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_Toc19333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6</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000000"/>
              <w:kern w:val="2"/>
              <w:sz w:val="28"/>
              <w:szCs w:val="28"/>
              <w:lang w:val="en-US" w:eastAsia="zh-CN" w:bidi="ar-SA"/>
            </w:rPr>
            <w:fldChar w:fldCharType="end"/>
          </w:r>
        </w:p>
        <w:p>
          <w:pPr>
            <w:pStyle w:val="11"/>
            <w:tabs>
              <w:tab w:val="right" w:leader="dot" w:pos="8732"/>
            </w:tabs>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2"/>
              <w:sz w:val="28"/>
              <w:szCs w:val="28"/>
              <w:lang w:val="en-US" w:eastAsia="zh-CN" w:bidi="ar-SA"/>
            </w:rPr>
            <w:fldChar w:fldCharType="begin"/>
          </w:r>
          <w:r>
            <w:rPr>
              <w:rFonts w:hint="eastAsia" w:ascii="仿宋_GB2312" w:hAnsi="仿宋_GB2312" w:eastAsia="仿宋_GB2312" w:cs="仿宋_GB2312"/>
              <w:kern w:val="2"/>
              <w:sz w:val="28"/>
              <w:szCs w:val="28"/>
              <w:lang w:val="en-US" w:eastAsia="zh-CN" w:bidi="ar-SA"/>
            </w:rPr>
            <w:instrText xml:space="preserve"> HYPERLINK \l _Toc27633 </w:instrText>
          </w:r>
          <w:r>
            <w:rPr>
              <w:rFonts w:hint="eastAsia" w:ascii="仿宋_GB2312" w:hAnsi="仿宋_GB2312" w:eastAsia="仿宋_GB2312" w:cs="仿宋_GB2312"/>
              <w:kern w:val="2"/>
              <w:sz w:val="28"/>
              <w:szCs w:val="28"/>
              <w:lang w:val="en-US" w:eastAsia="zh-CN" w:bidi="ar-SA"/>
            </w:rPr>
            <w:fldChar w:fldCharType="separate"/>
          </w:r>
          <w:r>
            <w:rPr>
              <w:rFonts w:hint="eastAsia" w:ascii="仿宋_GB2312" w:hAnsi="仿宋_GB2312" w:eastAsia="仿宋_GB2312" w:cs="仿宋_GB2312"/>
              <w:sz w:val="28"/>
              <w:szCs w:val="28"/>
            </w:rPr>
            <w:t>3.1指导思想</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_Toc27633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6</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000000"/>
              <w:kern w:val="2"/>
              <w:sz w:val="28"/>
              <w:szCs w:val="28"/>
              <w:lang w:val="en-US" w:eastAsia="zh-CN" w:bidi="ar-SA"/>
            </w:rPr>
            <w:fldChar w:fldCharType="end"/>
          </w:r>
        </w:p>
        <w:p>
          <w:pPr>
            <w:pStyle w:val="11"/>
            <w:tabs>
              <w:tab w:val="right" w:leader="dot" w:pos="8732"/>
            </w:tabs>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2"/>
              <w:sz w:val="28"/>
              <w:szCs w:val="28"/>
              <w:lang w:val="en-US" w:eastAsia="zh-CN" w:bidi="ar-SA"/>
            </w:rPr>
            <w:fldChar w:fldCharType="begin"/>
          </w:r>
          <w:r>
            <w:rPr>
              <w:rFonts w:hint="eastAsia" w:ascii="仿宋_GB2312" w:hAnsi="仿宋_GB2312" w:eastAsia="仿宋_GB2312" w:cs="仿宋_GB2312"/>
              <w:kern w:val="2"/>
              <w:sz w:val="28"/>
              <w:szCs w:val="28"/>
              <w:lang w:val="en-US" w:eastAsia="zh-CN" w:bidi="ar-SA"/>
            </w:rPr>
            <w:instrText xml:space="preserve"> HYPERLINK \l _Toc15809 </w:instrText>
          </w:r>
          <w:r>
            <w:rPr>
              <w:rFonts w:hint="eastAsia" w:ascii="仿宋_GB2312" w:hAnsi="仿宋_GB2312" w:eastAsia="仿宋_GB2312" w:cs="仿宋_GB2312"/>
              <w:kern w:val="2"/>
              <w:sz w:val="28"/>
              <w:szCs w:val="28"/>
              <w:lang w:val="en-US" w:eastAsia="zh-CN" w:bidi="ar-SA"/>
            </w:rPr>
            <w:fldChar w:fldCharType="separate"/>
          </w:r>
          <w:r>
            <w:rPr>
              <w:rFonts w:hint="eastAsia" w:ascii="仿宋_GB2312" w:hAnsi="仿宋_GB2312" w:eastAsia="仿宋_GB2312" w:cs="仿宋_GB2312"/>
              <w:sz w:val="28"/>
              <w:szCs w:val="28"/>
            </w:rPr>
            <w:t>3.2建设要求</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_Toc15809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6</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000000"/>
              <w:kern w:val="2"/>
              <w:sz w:val="28"/>
              <w:szCs w:val="28"/>
              <w:lang w:val="en-US" w:eastAsia="zh-CN" w:bidi="ar-SA"/>
            </w:rPr>
            <w:fldChar w:fldCharType="end"/>
          </w:r>
        </w:p>
        <w:p>
          <w:pPr>
            <w:pStyle w:val="11"/>
            <w:tabs>
              <w:tab w:val="right" w:leader="dot" w:pos="8732"/>
            </w:tabs>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2"/>
              <w:sz w:val="28"/>
              <w:szCs w:val="28"/>
              <w:lang w:val="en-US" w:eastAsia="zh-CN" w:bidi="ar-SA"/>
            </w:rPr>
            <w:fldChar w:fldCharType="begin"/>
          </w:r>
          <w:r>
            <w:rPr>
              <w:rFonts w:hint="eastAsia" w:ascii="仿宋_GB2312" w:hAnsi="仿宋_GB2312" w:eastAsia="仿宋_GB2312" w:cs="仿宋_GB2312"/>
              <w:kern w:val="2"/>
              <w:sz w:val="28"/>
              <w:szCs w:val="28"/>
              <w:lang w:val="en-US" w:eastAsia="zh-CN" w:bidi="ar-SA"/>
            </w:rPr>
            <w:instrText xml:space="preserve"> HYPERLINK \l _Toc8454 </w:instrText>
          </w:r>
          <w:r>
            <w:rPr>
              <w:rFonts w:hint="eastAsia" w:ascii="仿宋_GB2312" w:hAnsi="仿宋_GB2312" w:eastAsia="仿宋_GB2312" w:cs="仿宋_GB2312"/>
              <w:kern w:val="2"/>
              <w:sz w:val="28"/>
              <w:szCs w:val="28"/>
              <w:lang w:val="en-US" w:eastAsia="zh-CN" w:bidi="ar-SA"/>
            </w:rPr>
            <w:fldChar w:fldCharType="separate"/>
          </w:r>
          <w:r>
            <w:rPr>
              <w:rFonts w:hint="eastAsia" w:ascii="仿宋_GB2312" w:hAnsi="仿宋_GB2312" w:eastAsia="仿宋_GB2312" w:cs="仿宋_GB2312"/>
              <w:sz w:val="28"/>
              <w:szCs w:val="28"/>
            </w:rPr>
            <w:t>3.3发展目标</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_Toc8454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6</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000000"/>
              <w:kern w:val="2"/>
              <w:sz w:val="28"/>
              <w:szCs w:val="28"/>
              <w:lang w:val="en-US" w:eastAsia="zh-CN" w:bidi="ar-SA"/>
            </w:rPr>
            <w:fldChar w:fldCharType="end"/>
          </w:r>
        </w:p>
        <w:p>
          <w:pPr>
            <w:pStyle w:val="10"/>
            <w:tabs>
              <w:tab w:val="right" w:leader="dot" w:pos="8732"/>
              <w:tab w:val="clear" w:pos="8296"/>
            </w:tabs>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2"/>
              <w:sz w:val="28"/>
              <w:szCs w:val="28"/>
              <w:lang w:val="en-US" w:eastAsia="zh-CN" w:bidi="ar-SA"/>
            </w:rPr>
            <w:fldChar w:fldCharType="begin"/>
          </w:r>
          <w:r>
            <w:rPr>
              <w:rFonts w:hint="eastAsia" w:ascii="仿宋_GB2312" w:hAnsi="仿宋_GB2312" w:eastAsia="仿宋_GB2312" w:cs="仿宋_GB2312"/>
              <w:kern w:val="2"/>
              <w:sz w:val="28"/>
              <w:szCs w:val="28"/>
              <w:lang w:val="en-US" w:eastAsia="zh-CN" w:bidi="ar-SA"/>
            </w:rPr>
            <w:instrText xml:space="preserve"> HYPERLINK \l _Toc22346 </w:instrText>
          </w:r>
          <w:r>
            <w:rPr>
              <w:rFonts w:hint="eastAsia" w:ascii="仿宋_GB2312" w:hAnsi="仿宋_GB2312" w:eastAsia="仿宋_GB2312" w:cs="仿宋_GB2312"/>
              <w:kern w:val="2"/>
              <w:sz w:val="28"/>
              <w:szCs w:val="28"/>
              <w:lang w:val="en-US" w:eastAsia="zh-CN" w:bidi="ar-SA"/>
            </w:rPr>
            <w:fldChar w:fldCharType="separate"/>
          </w:r>
          <w:r>
            <w:rPr>
              <w:rFonts w:hint="eastAsia" w:ascii="仿宋_GB2312" w:hAnsi="仿宋_GB2312" w:eastAsia="仿宋_GB2312" w:cs="仿宋_GB2312"/>
              <w:sz w:val="28"/>
              <w:szCs w:val="28"/>
            </w:rPr>
            <w:t>第四章 县乡村三级农村物流网络体系规划方案</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_Toc22346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000000"/>
              <w:kern w:val="2"/>
              <w:sz w:val="28"/>
              <w:szCs w:val="28"/>
              <w:lang w:val="en-US" w:eastAsia="zh-CN" w:bidi="ar-SA"/>
            </w:rPr>
            <w:fldChar w:fldCharType="end"/>
          </w:r>
        </w:p>
        <w:p>
          <w:pPr>
            <w:pStyle w:val="11"/>
            <w:tabs>
              <w:tab w:val="right" w:leader="dot" w:pos="8732"/>
            </w:tabs>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2"/>
              <w:sz w:val="28"/>
              <w:szCs w:val="28"/>
              <w:lang w:val="en-US" w:eastAsia="zh-CN" w:bidi="ar-SA"/>
            </w:rPr>
            <w:fldChar w:fldCharType="begin"/>
          </w:r>
          <w:r>
            <w:rPr>
              <w:rFonts w:hint="eastAsia" w:ascii="仿宋_GB2312" w:hAnsi="仿宋_GB2312" w:eastAsia="仿宋_GB2312" w:cs="仿宋_GB2312"/>
              <w:kern w:val="2"/>
              <w:sz w:val="28"/>
              <w:szCs w:val="28"/>
              <w:lang w:val="en-US" w:eastAsia="zh-CN" w:bidi="ar-SA"/>
            </w:rPr>
            <w:instrText xml:space="preserve"> HYPERLINK \l _Toc5559 </w:instrText>
          </w:r>
          <w:r>
            <w:rPr>
              <w:rFonts w:hint="eastAsia" w:ascii="仿宋_GB2312" w:hAnsi="仿宋_GB2312" w:eastAsia="仿宋_GB2312" w:cs="仿宋_GB2312"/>
              <w:kern w:val="2"/>
              <w:sz w:val="28"/>
              <w:szCs w:val="28"/>
              <w:lang w:val="en-US" w:eastAsia="zh-CN" w:bidi="ar-SA"/>
            </w:rPr>
            <w:fldChar w:fldCharType="separate"/>
          </w:r>
          <w:r>
            <w:rPr>
              <w:rFonts w:hint="eastAsia" w:ascii="仿宋_GB2312" w:hAnsi="仿宋_GB2312" w:eastAsia="仿宋_GB2312" w:cs="仿宋_GB2312"/>
              <w:sz w:val="28"/>
              <w:szCs w:val="28"/>
            </w:rPr>
            <w:t>4.1主要任务</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_Toc5559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000000"/>
              <w:kern w:val="2"/>
              <w:sz w:val="28"/>
              <w:szCs w:val="28"/>
              <w:lang w:val="en-US" w:eastAsia="zh-CN" w:bidi="ar-SA"/>
            </w:rPr>
            <w:fldChar w:fldCharType="end"/>
          </w:r>
        </w:p>
        <w:p>
          <w:pPr>
            <w:pStyle w:val="11"/>
            <w:tabs>
              <w:tab w:val="right" w:leader="dot" w:pos="8732"/>
            </w:tabs>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2"/>
              <w:sz w:val="28"/>
              <w:szCs w:val="28"/>
              <w:lang w:val="en-US" w:eastAsia="zh-CN" w:bidi="ar-SA"/>
            </w:rPr>
            <w:fldChar w:fldCharType="begin"/>
          </w:r>
          <w:r>
            <w:rPr>
              <w:rFonts w:hint="eastAsia" w:ascii="仿宋_GB2312" w:hAnsi="仿宋_GB2312" w:eastAsia="仿宋_GB2312" w:cs="仿宋_GB2312"/>
              <w:kern w:val="2"/>
              <w:sz w:val="28"/>
              <w:szCs w:val="28"/>
              <w:lang w:val="en-US" w:eastAsia="zh-CN" w:bidi="ar-SA"/>
            </w:rPr>
            <w:instrText xml:space="preserve"> HYPERLINK \l _Toc29296 </w:instrText>
          </w:r>
          <w:r>
            <w:rPr>
              <w:rFonts w:hint="eastAsia" w:ascii="仿宋_GB2312" w:hAnsi="仿宋_GB2312" w:eastAsia="仿宋_GB2312" w:cs="仿宋_GB2312"/>
              <w:kern w:val="2"/>
              <w:sz w:val="28"/>
              <w:szCs w:val="28"/>
              <w:lang w:val="en-US" w:eastAsia="zh-CN" w:bidi="ar-SA"/>
            </w:rPr>
            <w:fldChar w:fldCharType="separate"/>
          </w:r>
          <w:r>
            <w:rPr>
              <w:rFonts w:hint="eastAsia" w:ascii="仿宋_GB2312" w:hAnsi="仿宋_GB2312" w:eastAsia="仿宋_GB2312" w:cs="仿宋_GB2312"/>
              <w:sz w:val="28"/>
              <w:szCs w:val="28"/>
            </w:rPr>
            <w:t>4.2重点工程</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_Toc29296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000000"/>
              <w:kern w:val="2"/>
              <w:sz w:val="28"/>
              <w:szCs w:val="28"/>
              <w:lang w:val="en-US" w:eastAsia="zh-CN" w:bidi="ar-SA"/>
            </w:rPr>
            <w:fldChar w:fldCharType="end"/>
          </w:r>
        </w:p>
        <w:p>
          <w:pPr>
            <w:pStyle w:val="5"/>
            <w:tabs>
              <w:tab w:val="right" w:leader="dot" w:pos="8732"/>
            </w:tabs>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2"/>
              <w:sz w:val="28"/>
              <w:szCs w:val="28"/>
              <w:lang w:val="en-US" w:eastAsia="zh-CN" w:bidi="ar-SA"/>
            </w:rPr>
            <w:fldChar w:fldCharType="begin"/>
          </w:r>
          <w:r>
            <w:rPr>
              <w:rFonts w:hint="eastAsia" w:ascii="仿宋_GB2312" w:hAnsi="仿宋_GB2312" w:eastAsia="仿宋_GB2312" w:cs="仿宋_GB2312"/>
              <w:kern w:val="2"/>
              <w:sz w:val="28"/>
              <w:szCs w:val="28"/>
              <w:lang w:val="en-US" w:eastAsia="zh-CN" w:bidi="ar-SA"/>
            </w:rPr>
            <w:instrText xml:space="preserve"> HYPERLINK \l _Toc8506 </w:instrText>
          </w:r>
          <w:r>
            <w:rPr>
              <w:rFonts w:hint="eastAsia" w:ascii="仿宋_GB2312" w:hAnsi="仿宋_GB2312" w:eastAsia="仿宋_GB2312" w:cs="仿宋_GB2312"/>
              <w:kern w:val="2"/>
              <w:sz w:val="28"/>
              <w:szCs w:val="28"/>
              <w:lang w:val="en-US" w:eastAsia="zh-CN" w:bidi="ar-SA"/>
            </w:rPr>
            <w:fldChar w:fldCharType="separate"/>
          </w:r>
          <w:r>
            <w:rPr>
              <w:rFonts w:hint="eastAsia" w:ascii="仿宋_GB2312" w:hAnsi="仿宋_GB2312" w:eastAsia="仿宋_GB2312" w:cs="仿宋_GB2312"/>
              <w:sz w:val="28"/>
              <w:szCs w:val="28"/>
            </w:rPr>
            <w:t>4.2.1物流网络节点规划</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_Toc8506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000000"/>
              <w:kern w:val="2"/>
              <w:sz w:val="28"/>
              <w:szCs w:val="28"/>
              <w:lang w:val="en-US" w:eastAsia="zh-CN" w:bidi="ar-SA"/>
            </w:rPr>
            <w:fldChar w:fldCharType="end"/>
          </w:r>
        </w:p>
        <w:p>
          <w:pPr>
            <w:pStyle w:val="5"/>
            <w:tabs>
              <w:tab w:val="right" w:leader="dot" w:pos="8732"/>
            </w:tabs>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2"/>
              <w:sz w:val="28"/>
              <w:szCs w:val="28"/>
              <w:lang w:val="en-US" w:eastAsia="zh-CN" w:bidi="ar-SA"/>
            </w:rPr>
            <w:fldChar w:fldCharType="begin"/>
          </w:r>
          <w:r>
            <w:rPr>
              <w:rFonts w:hint="eastAsia" w:ascii="仿宋_GB2312" w:hAnsi="仿宋_GB2312" w:eastAsia="仿宋_GB2312" w:cs="仿宋_GB2312"/>
              <w:kern w:val="2"/>
              <w:sz w:val="28"/>
              <w:szCs w:val="28"/>
              <w:lang w:val="en-US" w:eastAsia="zh-CN" w:bidi="ar-SA"/>
            </w:rPr>
            <w:instrText xml:space="preserve"> HYPERLINK \l _Toc24365 </w:instrText>
          </w:r>
          <w:r>
            <w:rPr>
              <w:rFonts w:hint="eastAsia" w:ascii="仿宋_GB2312" w:hAnsi="仿宋_GB2312" w:eastAsia="仿宋_GB2312" w:cs="仿宋_GB2312"/>
              <w:kern w:val="2"/>
              <w:sz w:val="28"/>
              <w:szCs w:val="28"/>
              <w:lang w:val="en-US" w:eastAsia="zh-CN" w:bidi="ar-SA"/>
            </w:rPr>
            <w:fldChar w:fldCharType="separate"/>
          </w:r>
          <w:r>
            <w:rPr>
              <w:rFonts w:hint="eastAsia" w:ascii="仿宋_GB2312" w:hAnsi="仿宋_GB2312" w:eastAsia="仿宋_GB2312" w:cs="仿宋_GB2312"/>
              <w:sz w:val="28"/>
              <w:szCs w:val="28"/>
            </w:rPr>
            <w:t>4.2.2配送网络线路规划</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_Toc24365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17</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000000"/>
              <w:kern w:val="2"/>
              <w:sz w:val="28"/>
              <w:szCs w:val="28"/>
              <w:lang w:val="en-US" w:eastAsia="zh-CN" w:bidi="ar-SA"/>
            </w:rPr>
            <w:fldChar w:fldCharType="end"/>
          </w:r>
        </w:p>
        <w:p>
          <w:pPr>
            <w:pStyle w:val="5"/>
            <w:tabs>
              <w:tab w:val="right" w:leader="dot" w:pos="8732"/>
            </w:tabs>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2"/>
              <w:sz w:val="28"/>
              <w:szCs w:val="28"/>
              <w:lang w:val="en-US" w:eastAsia="zh-CN" w:bidi="ar-SA"/>
            </w:rPr>
            <w:fldChar w:fldCharType="begin"/>
          </w:r>
          <w:r>
            <w:rPr>
              <w:rFonts w:hint="eastAsia" w:ascii="仿宋_GB2312" w:hAnsi="仿宋_GB2312" w:eastAsia="仿宋_GB2312" w:cs="仿宋_GB2312"/>
              <w:kern w:val="2"/>
              <w:sz w:val="28"/>
              <w:szCs w:val="28"/>
              <w:lang w:val="en-US" w:eastAsia="zh-CN" w:bidi="ar-SA"/>
            </w:rPr>
            <w:instrText xml:space="preserve"> HYPERLINK \l _Toc15052 </w:instrText>
          </w:r>
          <w:r>
            <w:rPr>
              <w:rFonts w:hint="eastAsia" w:ascii="仿宋_GB2312" w:hAnsi="仿宋_GB2312" w:eastAsia="仿宋_GB2312" w:cs="仿宋_GB2312"/>
              <w:kern w:val="2"/>
              <w:sz w:val="28"/>
              <w:szCs w:val="28"/>
              <w:lang w:val="en-US" w:eastAsia="zh-CN" w:bidi="ar-SA"/>
            </w:rPr>
            <w:fldChar w:fldCharType="separate"/>
          </w:r>
          <w:r>
            <w:rPr>
              <w:rFonts w:hint="eastAsia" w:ascii="仿宋_GB2312" w:hAnsi="仿宋_GB2312" w:eastAsia="仿宋_GB2312" w:cs="仿宋_GB2312"/>
              <w:sz w:val="28"/>
              <w:szCs w:val="28"/>
            </w:rPr>
            <w:t>4.2.3农村物流信息体系规划</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_Toc15052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19</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000000"/>
              <w:kern w:val="2"/>
              <w:sz w:val="28"/>
              <w:szCs w:val="28"/>
              <w:lang w:val="en-US" w:eastAsia="zh-CN" w:bidi="ar-SA"/>
            </w:rPr>
            <w:fldChar w:fldCharType="end"/>
          </w:r>
        </w:p>
        <w:p>
          <w:pPr>
            <w:pStyle w:val="5"/>
            <w:tabs>
              <w:tab w:val="right" w:leader="dot" w:pos="8732"/>
            </w:tabs>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2"/>
              <w:sz w:val="28"/>
              <w:szCs w:val="28"/>
              <w:lang w:val="en-US" w:eastAsia="zh-CN" w:bidi="ar-SA"/>
            </w:rPr>
            <w:fldChar w:fldCharType="begin"/>
          </w:r>
          <w:r>
            <w:rPr>
              <w:rFonts w:hint="eastAsia" w:ascii="仿宋_GB2312" w:hAnsi="仿宋_GB2312" w:eastAsia="仿宋_GB2312" w:cs="仿宋_GB2312"/>
              <w:kern w:val="2"/>
              <w:sz w:val="28"/>
              <w:szCs w:val="28"/>
              <w:lang w:val="en-US" w:eastAsia="zh-CN" w:bidi="ar-SA"/>
            </w:rPr>
            <w:instrText xml:space="preserve"> HYPERLINK \l _Toc18997 </w:instrText>
          </w:r>
          <w:r>
            <w:rPr>
              <w:rFonts w:hint="eastAsia" w:ascii="仿宋_GB2312" w:hAnsi="仿宋_GB2312" w:eastAsia="仿宋_GB2312" w:cs="仿宋_GB2312"/>
              <w:kern w:val="2"/>
              <w:sz w:val="28"/>
              <w:szCs w:val="28"/>
              <w:lang w:val="en-US" w:eastAsia="zh-CN" w:bidi="ar-SA"/>
            </w:rPr>
            <w:fldChar w:fldCharType="separate"/>
          </w:r>
          <w:r>
            <w:rPr>
              <w:rFonts w:hint="eastAsia" w:ascii="仿宋_GB2312" w:hAnsi="仿宋_GB2312" w:eastAsia="仿宋_GB2312" w:cs="仿宋_GB2312"/>
              <w:sz w:val="28"/>
              <w:szCs w:val="28"/>
            </w:rPr>
            <w:t>4.2.4农村电商服务网络规划</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_Toc18997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19</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000000"/>
              <w:kern w:val="2"/>
              <w:sz w:val="28"/>
              <w:szCs w:val="28"/>
              <w:lang w:val="en-US" w:eastAsia="zh-CN" w:bidi="ar-SA"/>
            </w:rPr>
            <w:fldChar w:fldCharType="end"/>
          </w:r>
        </w:p>
        <w:p>
          <w:pPr>
            <w:pStyle w:val="11"/>
            <w:tabs>
              <w:tab w:val="right" w:leader="dot" w:pos="8732"/>
            </w:tabs>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2"/>
              <w:sz w:val="28"/>
              <w:szCs w:val="28"/>
              <w:lang w:val="en-US" w:eastAsia="zh-CN" w:bidi="ar-SA"/>
            </w:rPr>
            <w:fldChar w:fldCharType="begin"/>
          </w:r>
          <w:r>
            <w:rPr>
              <w:rFonts w:hint="eastAsia" w:ascii="仿宋_GB2312" w:hAnsi="仿宋_GB2312" w:eastAsia="仿宋_GB2312" w:cs="仿宋_GB2312"/>
              <w:kern w:val="2"/>
              <w:sz w:val="28"/>
              <w:szCs w:val="28"/>
              <w:lang w:val="en-US" w:eastAsia="zh-CN" w:bidi="ar-SA"/>
            </w:rPr>
            <w:instrText xml:space="preserve"> HYPERLINK \l _Toc19740 </w:instrText>
          </w:r>
          <w:r>
            <w:rPr>
              <w:rFonts w:hint="eastAsia" w:ascii="仿宋_GB2312" w:hAnsi="仿宋_GB2312" w:eastAsia="仿宋_GB2312" w:cs="仿宋_GB2312"/>
              <w:kern w:val="2"/>
              <w:sz w:val="28"/>
              <w:szCs w:val="28"/>
              <w:lang w:val="en-US" w:eastAsia="zh-CN" w:bidi="ar-SA"/>
            </w:rPr>
            <w:fldChar w:fldCharType="separate"/>
          </w:r>
          <w:r>
            <w:rPr>
              <w:rFonts w:hint="eastAsia" w:ascii="仿宋_GB2312" w:hAnsi="仿宋_GB2312" w:eastAsia="仿宋_GB2312" w:cs="仿宋_GB2312"/>
              <w:sz w:val="28"/>
              <w:szCs w:val="28"/>
            </w:rPr>
            <w:t>4.3县乡村三级农村物流网络方案预期目标</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_Toc19740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20</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000000"/>
              <w:kern w:val="2"/>
              <w:sz w:val="28"/>
              <w:szCs w:val="28"/>
              <w:lang w:val="en-US" w:eastAsia="zh-CN" w:bidi="ar-SA"/>
            </w:rPr>
            <w:fldChar w:fldCharType="end"/>
          </w:r>
        </w:p>
        <w:p>
          <w:pPr>
            <w:pStyle w:val="5"/>
            <w:tabs>
              <w:tab w:val="right" w:leader="dot" w:pos="8732"/>
            </w:tabs>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2"/>
              <w:sz w:val="28"/>
              <w:szCs w:val="28"/>
              <w:lang w:val="en-US" w:eastAsia="zh-CN" w:bidi="ar-SA"/>
            </w:rPr>
            <w:fldChar w:fldCharType="begin"/>
          </w:r>
          <w:r>
            <w:rPr>
              <w:rFonts w:hint="eastAsia" w:ascii="仿宋_GB2312" w:hAnsi="仿宋_GB2312" w:eastAsia="仿宋_GB2312" w:cs="仿宋_GB2312"/>
              <w:kern w:val="2"/>
              <w:sz w:val="28"/>
              <w:szCs w:val="28"/>
              <w:lang w:val="en-US" w:eastAsia="zh-CN" w:bidi="ar-SA"/>
            </w:rPr>
            <w:instrText xml:space="preserve"> HYPERLINK \l _Toc10549 </w:instrText>
          </w:r>
          <w:r>
            <w:rPr>
              <w:rFonts w:hint="eastAsia" w:ascii="仿宋_GB2312" w:hAnsi="仿宋_GB2312" w:eastAsia="仿宋_GB2312" w:cs="仿宋_GB2312"/>
              <w:kern w:val="2"/>
              <w:sz w:val="28"/>
              <w:szCs w:val="28"/>
              <w:lang w:val="en-US" w:eastAsia="zh-CN" w:bidi="ar-SA"/>
            </w:rPr>
            <w:fldChar w:fldCharType="separate"/>
          </w:r>
          <w:r>
            <w:rPr>
              <w:rFonts w:hint="eastAsia" w:ascii="仿宋_GB2312" w:hAnsi="仿宋_GB2312" w:eastAsia="仿宋_GB2312" w:cs="仿宋_GB2312"/>
              <w:sz w:val="28"/>
              <w:szCs w:val="28"/>
            </w:rPr>
            <w:t>4.3.1县乡村三级农村物流网络配送覆盖率</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_Toc10549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20</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000000"/>
              <w:kern w:val="2"/>
              <w:sz w:val="28"/>
              <w:szCs w:val="28"/>
              <w:lang w:val="en-US" w:eastAsia="zh-CN" w:bidi="ar-SA"/>
            </w:rPr>
            <w:fldChar w:fldCharType="end"/>
          </w:r>
        </w:p>
        <w:p>
          <w:pPr>
            <w:pStyle w:val="5"/>
            <w:tabs>
              <w:tab w:val="right" w:leader="dot" w:pos="8732"/>
            </w:tabs>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2"/>
              <w:sz w:val="28"/>
              <w:szCs w:val="28"/>
              <w:lang w:val="en-US" w:eastAsia="zh-CN" w:bidi="ar-SA"/>
            </w:rPr>
            <w:fldChar w:fldCharType="begin"/>
          </w:r>
          <w:r>
            <w:rPr>
              <w:rFonts w:hint="eastAsia" w:ascii="仿宋_GB2312" w:hAnsi="仿宋_GB2312" w:eastAsia="仿宋_GB2312" w:cs="仿宋_GB2312"/>
              <w:kern w:val="2"/>
              <w:sz w:val="28"/>
              <w:szCs w:val="28"/>
              <w:lang w:val="en-US" w:eastAsia="zh-CN" w:bidi="ar-SA"/>
            </w:rPr>
            <w:instrText xml:space="preserve"> HYPERLINK \l _Toc15852 </w:instrText>
          </w:r>
          <w:r>
            <w:rPr>
              <w:rFonts w:hint="eastAsia" w:ascii="仿宋_GB2312" w:hAnsi="仿宋_GB2312" w:eastAsia="仿宋_GB2312" w:cs="仿宋_GB2312"/>
              <w:kern w:val="2"/>
              <w:sz w:val="28"/>
              <w:szCs w:val="28"/>
              <w:lang w:val="en-US" w:eastAsia="zh-CN" w:bidi="ar-SA"/>
            </w:rPr>
            <w:fldChar w:fldCharType="separate"/>
          </w:r>
          <w:r>
            <w:rPr>
              <w:rFonts w:hint="eastAsia" w:ascii="仿宋_GB2312" w:hAnsi="仿宋_GB2312" w:eastAsia="仿宋_GB2312" w:cs="仿宋_GB2312"/>
              <w:sz w:val="28"/>
              <w:szCs w:val="28"/>
            </w:rPr>
            <w:t>4.3.2县乡村三级农村物流网络配送时效</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_Toc15852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20</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000000"/>
              <w:kern w:val="2"/>
              <w:sz w:val="28"/>
              <w:szCs w:val="28"/>
              <w:lang w:val="en-US" w:eastAsia="zh-CN" w:bidi="ar-SA"/>
            </w:rPr>
            <w:fldChar w:fldCharType="end"/>
          </w:r>
        </w:p>
        <w:p>
          <w:pPr>
            <w:pStyle w:val="10"/>
            <w:tabs>
              <w:tab w:val="right" w:leader="dot" w:pos="8732"/>
              <w:tab w:val="clear" w:pos="8296"/>
            </w:tabs>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2"/>
              <w:sz w:val="28"/>
              <w:szCs w:val="28"/>
              <w:lang w:val="en-US" w:eastAsia="zh-CN" w:bidi="ar-SA"/>
            </w:rPr>
            <w:fldChar w:fldCharType="begin"/>
          </w:r>
          <w:r>
            <w:rPr>
              <w:rFonts w:hint="eastAsia" w:ascii="仿宋_GB2312" w:hAnsi="仿宋_GB2312" w:eastAsia="仿宋_GB2312" w:cs="仿宋_GB2312"/>
              <w:kern w:val="2"/>
              <w:sz w:val="28"/>
              <w:szCs w:val="28"/>
              <w:lang w:val="en-US" w:eastAsia="zh-CN" w:bidi="ar-SA"/>
            </w:rPr>
            <w:instrText xml:space="preserve"> HYPERLINK \l _Toc15983 </w:instrText>
          </w:r>
          <w:r>
            <w:rPr>
              <w:rFonts w:hint="eastAsia" w:ascii="仿宋_GB2312" w:hAnsi="仿宋_GB2312" w:eastAsia="仿宋_GB2312" w:cs="仿宋_GB2312"/>
              <w:kern w:val="2"/>
              <w:sz w:val="28"/>
              <w:szCs w:val="28"/>
              <w:lang w:val="en-US" w:eastAsia="zh-CN" w:bidi="ar-SA"/>
            </w:rPr>
            <w:fldChar w:fldCharType="separate"/>
          </w:r>
          <w:r>
            <w:rPr>
              <w:rFonts w:hint="eastAsia" w:ascii="仿宋_GB2312" w:hAnsi="仿宋_GB2312" w:eastAsia="仿宋_GB2312" w:cs="仿宋_GB2312"/>
              <w:sz w:val="28"/>
              <w:szCs w:val="28"/>
            </w:rPr>
            <w:t>第五章 县乡村三级农村物流网络体系运营管理</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_Toc15983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000000"/>
              <w:kern w:val="2"/>
              <w:sz w:val="28"/>
              <w:szCs w:val="28"/>
              <w:lang w:val="en-US" w:eastAsia="zh-CN" w:bidi="ar-SA"/>
            </w:rPr>
            <w:fldChar w:fldCharType="end"/>
          </w:r>
        </w:p>
        <w:p>
          <w:pPr>
            <w:pStyle w:val="11"/>
            <w:tabs>
              <w:tab w:val="right" w:leader="dot" w:pos="8732"/>
            </w:tabs>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2"/>
              <w:sz w:val="28"/>
              <w:szCs w:val="28"/>
              <w:lang w:val="en-US" w:eastAsia="zh-CN" w:bidi="ar-SA"/>
            </w:rPr>
            <w:fldChar w:fldCharType="begin"/>
          </w:r>
          <w:r>
            <w:rPr>
              <w:rFonts w:hint="eastAsia" w:ascii="仿宋_GB2312" w:hAnsi="仿宋_GB2312" w:eastAsia="仿宋_GB2312" w:cs="仿宋_GB2312"/>
              <w:kern w:val="2"/>
              <w:sz w:val="28"/>
              <w:szCs w:val="28"/>
              <w:lang w:val="en-US" w:eastAsia="zh-CN" w:bidi="ar-SA"/>
            </w:rPr>
            <w:instrText xml:space="preserve"> HYPERLINK \l _Toc5088 </w:instrText>
          </w:r>
          <w:r>
            <w:rPr>
              <w:rFonts w:hint="eastAsia" w:ascii="仿宋_GB2312" w:hAnsi="仿宋_GB2312" w:eastAsia="仿宋_GB2312" w:cs="仿宋_GB2312"/>
              <w:kern w:val="2"/>
              <w:sz w:val="28"/>
              <w:szCs w:val="28"/>
              <w:lang w:val="en-US" w:eastAsia="zh-CN" w:bidi="ar-SA"/>
            </w:rPr>
            <w:fldChar w:fldCharType="separate"/>
          </w:r>
          <w:r>
            <w:rPr>
              <w:rFonts w:hint="eastAsia" w:ascii="仿宋_GB2312" w:hAnsi="仿宋_GB2312" w:eastAsia="仿宋_GB2312" w:cs="仿宋_GB2312"/>
              <w:sz w:val="28"/>
              <w:szCs w:val="28"/>
            </w:rPr>
            <w:t>5.1运营管理模式</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_Toc5088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000000"/>
              <w:kern w:val="2"/>
              <w:sz w:val="28"/>
              <w:szCs w:val="28"/>
              <w:lang w:val="en-US" w:eastAsia="zh-CN" w:bidi="ar-SA"/>
            </w:rPr>
            <w:fldChar w:fldCharType="end"/>
          </w:r>
        </w:p>
        <w:p>
          <w:pPr>
            <w:pStyle w:val="11"/>
            <w:tabs>
              <w:tab w:val="right" w:leader="dot" w:pos="8732"/>
            </w:tabs>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2"/>
              <w:sz w:val="28"/>
              <w:szCs w:val="28"/>
              <w:lang w:val="en-US" w:eastAsia="zh-CN" w:bidi="ar-SA"/>
            </w:rPr>
            <w:fldChar w:fldCharType="begin"/>
          </w:r>
          <w:r>
            <w:rPr>
              <w:rFonts w:hint="eastAsia" w:ascii="仿宋_GB2312" w:hAnsi="仿宋_GB2312" w:eastAsia="仿宋_GB2312" w:cs="仿宋_GB2312"/>
              <w:kern w:val="2"/>
              <w:sz w:val="28"/>
              <w:szCs w:val="28"/>
              <w:lang w:val="en-US" w:eastAsia="zh-CN" w:bidi="ar-SA"/>
            </w:rPr>
            <w:instrText xml:space="preserve"> HYPERLINK \l _Toc5589 </w:instrText>
          </w:r>
          <w:r>
            <w:rPr>
              <w:rFonts w:hint="eastAsia" w:ascii="仿宋_GB2312" w:hAnsi="仿宋_GB2312" w:eastAsia="仿宋_GB2312" w:cs="仿宋_GB2312"/>
              <w:kern w:val="2"/>
              <w:sz w:val="28"/>
              <w:szCs w:val="28"/>
              <w:lang w:val="en-US" w:eastAsia="zh-CN" w:bidi="ar-SA"/>
            </w:rPr>
            <w:fldChar w:fldCharType="separate"/>
          </w:r>
          <w:r>
            <w:rPr>
              <w:rFonts w:hint="eastAsia" w:ascii="仿宋_GB2312" w:hAnsi="仿宋_GB2312" w:eastAsia="仿宋_GB2312" w:cs="仿宋_GB2312"/>
              <w:sz w:val="28"/>
              <w:szCs w:val="28"/>
            </w:rPr>
            <w:t>5.2安全运营管理</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_Toc5589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000000"/>
              <w:kern w:val="2"/>
              <w:sz w:val="28"/>
              <w:szCs w:val="28"/>
              <w:lang w:val="en-US" w:eastAsia="zh-CN" w:bidi="ar-SA"/>
            </w:rPr>
            <w:fldChar w:fldCharType="end"/>
          </w:r>
        </w:p>
        <w:p>
          <w:pPr>
            <w:pStyle w:val="11"/>
            <w:tabs>
              <w:tab w:val="right" w:leader="dot" w:pos="8732"/>
            </w:tabs>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2"/>
              <w:sz w:val="28"/>
              <w:szCs w:val="28"/>
              <w:lang w:val="en-US" w:eastAsia="zh-CN" w:bidi="ar-SA"/>
            </w:rPr>
            <w:fldChar w:fldCharType="begin"/>
          </w:r>
          <w:r>
            <w:rPr>
              <w:rFonts w:hint="eastAsia" w:ascii="仿宋_GB2312" w:hAnsi="仿宋_GB2312" w:eastAsia="仿宋_GB2312" w:cs="仿宋_GB2312"/>
              <w:kern w:val="2"/>
              <w:sz w:val="28"/>
              <w:szCs w:val="28"/>
              <w:lang w:val="en-US" w:eastAsia="zh-CN" w:bidi="ar-SA"/>
            </w:rPr>
            <w:instrText xml:space="preserve"> HYPERLINK \l _Toc13197 </w:instrText>
          </w:r>
          <w:r>
            <w:rPr>
              <w:rFonts w:hint="eastAsia" w:ascii="仿宋_GB2312" w:hAnsi="仿宋_GB2312" w:eastAsia="仿宋_GB2312" w:cs="仿宋_GB2312"/>
              <w:kern w:val="2"/>
              <w:sz w:val="28"/>
              <w:szCs w:val="28"/>
              <w:lang w:val="en-US" w:eastAsia="zh-CN" w:bidi="ar-SA"/>
            </w:rPr>
            <w:fldChar w:fldCharType="separate"/>
          </w:r>
          <w:r>
            <w:rPr>
              <w:rFonts w:hint="eastAsia" w:ascii="仿宋_GB2312" w:hAnsi="仿宋_GB2312" w:eastAsia="仿宋_GB2312" w:cs="仿宋_GB2312"/>
              <w:sz w:val="28"/>
              <w:szCs w:val="28"/>
            </w:rPr>
            <w:t>5.3运营服务管理</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_Toc13197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23</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000000"/>
              <w:kern w:val="2"/>
              <w:sz w:val="28"/>
              <w:szCs w:val="28"/>
              <w:lang w:val="en-US" w:eastAsia="zh-CN" w:bidi="ar-SA"/>
            </w:rPr>
            <w:fldChar w:fldCharType="end"/>
          </w:r>
        </w:p>
        <w:p>
          <w:pPr>
            <w:pStyle w:val="11"/>
            <w:tabs>
              <w:tab w:val="right" w:leader="dot" w:pos="8732"/>
            </w:tabs>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2"/>
              <w:sz w:val="28"/>
              <w:szCs w:val="28"/>
              <w:lang w:val="en-US" w:eastAsia="zh-CN" w:bidi="ar-SA"/>
            </w:rPr>
            <w:fldChar w:fldCharType="begin"/>
          </w:r>
          <w:r>
            <w:rPr>
              <w:rFonts w:hint="eastAsia" w:ascii="仿宋_GB2312" w:hAnsi="仿宋_GB2312" w:eastAsia="仿宋_GB2312" w:cs="仿宋_GB2312"/>
              <w:kern w:val="2"/>
              <w:sz w:val="28"/>
              <w:szCs w:val="28"/>
              <w:lang w:val="en-US" w:eastAsia="zh-CN" w:bidi="ar-SA"/>
            </w:rPr>
            <w:instrText xml:space="preserve"> HYPERLINK \l _Toc12363 </w:instrText>
          </w:r>
          <w:r>
            <w:rPr>
              <w:rFonts w:hint="eastAsia" w:ascii="仿宋_GB2312" w:hAnsi="仿宋_GB2312" w:eastAsia="仿宋_GB2312" w:cs="仿宋_GB2312"/>
              <w:kern w:val="2"/>
              <w:sz w:val="28"/>
              <w:szCs w:val="28"/>
              <w:lang w:val="en-US" w:eastAsia="zh-CN" w:bidi="ar-SA"/>
            </w:rPr>
            <w:fldChar w:fldCharType="separate"/>
          </w:r>
          <w:r>
            <w:rPr>
              <w:rFonts w:hint="eastAsia" w:ascii="仿宋_GB2312" w:hAnsi="仿宋_GB2312" w:eastAsia="仿宋_GB2312" w:cs="仿宋_GB2312"/>
              <w:sz w:val="28"/>
              <w:szCs w:val="28"/>
            </w:rPr>
            <w:t>5.4品牌建设</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_Toc12363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23</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000000"/>
              <w:kern w:val="2"/>
              <w:sz w:val="28"/>
              <w:szCs w:val="28"/>
              <w:lang w:val="en-US" w:eastAsia="zh-CN" w:bidi="ar-SA"/>
            </w:rPr>
            <w:fldChar w:fldCharType="end"/>
          </w:r>
        </w:p>
        <w:p>
          <w:pPr>
            <w:pStyle w:val="10"/>
            <w:tabs>
              <w:tab w:val="right" w:leader="dot" w:pos="8732"/>
              <w:tab w:val="clear" w:pos="8296"/>
            </w:tabs>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2"/>
              <w:sz w:val="28"/>
              <w:szCs w:val="28"/>
              <w:lang w:val="en-US" w:eastAsia="zh-CN" w:bidi="ar-SA"/>
            </w:rPr>
            <w:fldChar w:fldCharType="begin"/>
          </w:r>
          <w:r>
            <w:rPr>
              <w:rFonts w:hint="eastAsia" w:ascii="仿宋_GB2312" w:hAnsi="仿宋_GB2312" w:eastAsia="仿宋_GB2312" w:cs="仿宋_GB2312"/>
              <w:kern w:val="2"/>
              <w:sz w:val="28"/>
              <w:szCs w:val="28"/>
              <w:lang w:val="en-US" w:eastAsia="zh-CN" w:bidi="ar-SA"/>
            </w:rPr>
            <w:instrText xml:space="preserve"> HYPERLINK \l _Toc13902 </w:instrText>
          </w:r>
          <w:r>
            <w:rPr>
              <w:rFonts w:hint="eastAsia" w:ascii="仿宋_GB2312" w:hAnsi="仿宋_GB2312" w:eastAsia="仿宋_GB2312" w:cs="仿宋_GB2312"/>
              <w:kern w:val="2"/>
              <w:sz w:val="28"/>
              <w:szCs w:val="28"/>
              <w:lang w:val="en-US" w:eastAsia="zh-CN" w:bidi="ar-SA"/>
            </w:rPr>
            <w:fldChar w:fldCharType="separate"/>
          </w:r>
          <w:r>
            <w:rPr>
              <w:rFonts w:hint="eastAsia" w:ascii="仿宋_GB2312" w:hAnsi="仿宋_GB2312" w:eastAsia="仿宋_GB2312" w:cs="仿宋_GB2312"/>
              <w:sz w:val="28"/>
              <w:szCs w:val="28"/>
            </w:rPr>
            <w:t>第六章 县乡村三级农村物流网络体系建设保障措施</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_Toc13902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25</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000000"/>
              <w:kern w:val="2"/>
              <w:sz w:val="28"/>
              <w:szCs w:val="28"/>
              <w:lang w:val="en-US" w:eastAsia="zh-CN" w:bidi="ar-SA"/>
            </w:rPr>
            <w:fldChar w:fldCharType="end"/>
          </w:r>
        </w:p>
        <w:p>
          <w:pPr>
            <w:rPr>
              <w:rFonts w:hint="eastAsia" w:ascii="Times New Roman" w:hAnsi="Times New Roman" w:eastAsia="宋体" w:cs="Times New Roman"/>
              <w:color w:val="000000"/>
              <w:kern w:val="2"/>
              <w:sz w:val="21"/>
              <w:szCs w:val="24"/>
              <w:lang w:val="en-US" w:eastAsia="zh-CN" w:bidi="ar-SA"/>
            </w:rPr>
          </w:pPr>
          <w:r>
            <w:rPr>
              <w:rFonts w:hint="eastAsia" w:ascii="仿宋_GB2312" w:hAnsi="仿宋_GB2312" w:eastAsia="仿宋_GB2312" w:cs="仿宋_GB2312"/>
              <w:color w:val="000000"/>
              <w:kern w:val="2"/>
              <w:sz w:val="28"/>
              <w:szCs w:val="28"/>
              <w:lang w:val="en-US" w:eastAsia="zh-CN" w:bidi="ar-SA"/>
            </w:rPr>
            <w:fldChar w:fldCharType="end"/>
          </w:r>
        </w:p>
      </w:sdtContent>
    </w:sdt>
    <w:p>
      <w:pPr>
        <w:rPr>
          <w:rFonts w:hint="eastAsia" w:ascii="Times New Roman" w:hAnsi="Times New Roman" w:eastAsia="宋体" w:cs="Times New Roman"/>
          <w:color w:val="000000"/>
          <w:kern w:val="2"/>
          <w:sz w:val="21"/>
          <w:szCs w:val="24"/>
          <w:lang w:val="en-US" w:eastAsia="zh-CN" w:bidi="ar-SA"/>
        </w:rPr>
      </w:pPr>
    </w:p>
    <w:p>
      <w:pPr>
        <w:rPr>
          <w:rFonts w:hint="eastAsia" w:ascii="仿宋_GB2312" w:hAnsi="宋体" w:eastAsia="仿宋_GB2312" w:cs="宋体"/>
          <w:bCs/>
          <w:smallCaps/>
          <w:sz w:val="24"/>
          <w:szCs w:val="32"/>
        </w:rPr>
      </w:pPr>
    </w:p>
    <w:p>
      <w:pPr>
        <w:rPr>
          <w:rFonts w:hint="eastAsia" w:ascii="仿宋_GB2312" w:hAnsi="宋体" w:eastAsia="仿宋_GB2312" w:cs="宋体"/>
          <w:bCs/>
          <w:smallCaps/>
          <w:sz w:val="24"/>
          <w:szCs w:val="32"/>
        </w:rPr>
        <w:sectPr>
          <w:headerReference r:id="rId4" w:type="default"/>
          <w:footerReference r:id="rId5" w:type="default"/>
          <w:pgSz w:w="11906" w:h="16838"/>
          <w:pgMar w:top="1984" w:right="1587" w:bottom="1701" w:left="1587" w:header="851" w:footer="992" w:gutter="0"/>
          <w:pgNumType w:start="1"/>
          <w:cols w:space="720" w:num="1"/>
          <w:docGrid w:type="lines" w:linePitch="314" w:charSpace="0"/>
        </w:sectPr>
      </w:pPr>
    </w:p>
    <w:p>
      <w:pPr>
        <w:pStyle w:val="2"/>
        <w:bidi w:val="0"/>
      </w:pPr>
      <w:bookmarkStart w:id="0" w:name="_Toc13212"/>
      <w:bookmarkStart w:id="1" w:name="_Toc3711123"/>
      <w:bookmarkStart w:id="2" w:name="_Toc18872"/>
      <w:r>
        <w:rPr>
          <w:rFonts w:hint="eastAsia"/>
        </w:rPr>
        <w:t>第一章 总论</w:t>
      </w:r>
      <w:bookmarkEnd w:id="0"/>
      <w:bookmarkEnd w:id="1"/>
      <w:bookmarkEnd w:id="2"/>
    </w:p>
    <w:p>
      <w:pPr>
        <w:pStyle w:val="3"/>
        <w:bidi w:val="0"/>
      </w:pPr>
      <w:bookmarkStart w:id="3" w:name="_Toc533059652"/>
      <w:bookmarkStart w:id="4" w:name="_Toc533059737"/>
      <w:bookmarkStart w:id="5" w:name="_Toc3711124"/>
      <w:bookmarkStart w:id="6" w:name="_Toc12489"/>
      <w:bookmarkStart w:id="7" w:name="_Toc12574"/>
      <w:r>
        <w:rPr>
          <w:rFonts w:hint="eastAsia"/>
        </w:rPr>
        <w:t>1.1规划背景</w:t>
      </w:r>
      <w:bookmarkEnd w:id="3"/>
      <w:bookmarkEnd w:id="4"/>
      <w:bookmarkEnd w:id="5"/>
      <w:bookmarkEnd w:id="6"/>
      <w:bookmarkEnd w:id="7"/>
    </w:p>
    <w:p>
      <w:pPr>
        <w:spacing w:line="600" w:lineRule="exact"/>
        <w:ind w:firstLine="560" w:firstLineChars="200"/>
        <w:rPr>
          <w:rFonts w:ascii="仿宋_GB2312" w:eastAsia="仿宋_GB2312" w:cs="宋体"/>
          <w:color w:val="000000"/>
          <w:sz w:val="28"/>
          <w:szCs w:val="28"/>
        </w:rPr>
      </w:pPr>
      <w:r>
        <w:rPr>
          <w:rFonts w:hint="eastAsia" w:ascii="仿宋_GB2312" w:hAnsi="宋体" w:eastAsia="仿宋_GB2312" w:cs="宋体"/>
          <w:color w:val="000000"/>
          <w:sz w:val="28"/>
          <w:szCs w:val="28"/>
        </w:rPr>
        <w:t>农村物流长期滞后于城市物流，普遍存在服务对象分散、网络节点不完善、基础设施薄弱、配送成本高等难题，成为制约农村发展和物流业转型升级的短板。为促进“工业品下乡、农产品进城”双向流通，亟须建立健全县乡村三级农村物流网络体系。</w:t>
      </w:r>
    </w:p>
    <w:p>
      <w:pPr>
        <w:spacing w:line="600" w:lineRule="exact"/>
        <w:ind w:firstLine="560" w:firstLineChars="200"/>
        <w:rPr>
          <w:rFonts w:hint="eastAsia" w:ascii="仿宋_GB2312" w:hAnsi="宋体" w:eastAsia="仿宋_GB2312" w:cs="宋体"/>
          <w:color w:val="000000"/>
          <w:sz w:val="28"/>
          <w:szCs w:val="28"/>
        </w:rPr>
      </w:pPr>
      <w:r>
        <w:rPr>
          <w:rFonts w:hint="eastAsia" w:ascii="仿宋_GB2312" w:hAnsi="宋体" w:eastAsia="仿宋_GB2312" w:cs="宋体"/>
          <w:color w:val="000000"/>
          <w:sz w:val="28"/>
          <w:szCs w:val="28"/>
        </w:rPr>
        <w:t>党的二十大报告提出全面推进乡村振兴，坚持农业农村优先发展、城乡融合发展，畅通城乡要素流动，统筹乡村基础设施和公共服务布局，为农村物流发展提供了根本遵循。</w:t>
      </w:r>
    </w:p>
    <w:p>
      <w:pPr>
        <w:spacing w:line="600" w:lineRule="exact"/>
        <w:ind w:firstLine="560" w:firstLineChars="200"/>
        <w:rPr>
          <w:rFonts w:hint="eastAsia" w:ascii="仿宋_GB2312" w:hAnsi="宋体" w:eastAsia="仿宋_GB2312" w:cs="宋体"/>
          <w:color w:val="000000"/>
          <w:sz w:val="28"/>
          <w:szCs w:val="28"/>
        </w:rPr>
      </w:pPr>
      <w:r>
        <w:rPr>
          <w:rFonts w:hint="eastAsia" w:ascii="仿宋_GB2312" w:hAnsi="宋体" w:eastAsia="仿宋_GB2312" w:cs="宋体"/>
          <w:color w:val="000000"/>
          <w:sz w:val="28"/>
          <w:szCs w:val="28"/>
        </w:rPr>
        <w:t>基于上述背景，本规划立足连南瑶族自治县农村物流现状，坚持“企业为主、政府推动、市场运作、合作共赢”原则，开展县乡村三级农村物流网络节点体系建设。</w:t>
      </w:r>
    </w:p>
    <w:p>
      <w:pPr>
        <w:pStyle w:val="3"/>
        <w:bidi w:val="0"/>
        <w:rPr>
          <w:rFonts w:ascii="仿宋_GB2312" w:eastAsia="仿宋_GB2312" w:cs="宋体"/>
          <w:b/>
          <w:bCs/>
          <w:color w:val="000000"/>
          <w:szCs w:val="32"/>
        </w:rPr>
      </w:pPr>
      <w:bookmarkStart w:id="8" w:name="_Toc533059653"/>
      <w:bookmarkStart w:id="9" w:name="_Toc533059738"/>
      <w:bookmarkStart w:id="10" w:name="_Toc20478"/>
      <w:bookmarkStart w:id="11" w:name="_Toc32067"/>
      <w:bookmarkStart w:id="12" w:name="_Toc13893"/>
      <w:bookmarkStart w:id="13" w:name="_Toc374625817"/>
      <w:bookmarkStart w:id="14" w:name="_Toc334474218"/>
      <w:bookmarkStart w:id="15" w:name="_Toc16824"/>
      <w:bookmarkStart w:id="16" w:name="_Toc16099"/>
      <w:bookmarkStart w:id="17" w:name="_Toc3711125"/>
      <w:r>
        <w:rPr>
          <w:rFonts w:hint="eastAsia"/>
        </w:rPr>
        <w:t>1.2</w:t>
      </w:r>
      <w:bookmarkEnd w:id="8"/>
      <w:bookmarkEnd w:id="9"/>
      <w:bookmarkEnd w:id="10"/>
      <w:bookmarkStart w:id="18" w:name="_Toc533059739"/>
      <w:bookmarkStart w:id="19" w:name="_Toc533059654"/>
      <w:r>
        <w:rPr>
          <w:rFonts w:hint="eastAsia"/>
        </w:rPr>
        <w:t>规划依据</w:t>
      </w:r>
      <w:bookmarkEnd w:id="11"/>
      <w:bookmarkEnd w:id="12"/>
      <w:bookmarkEnd w:id="13"/>
      <w:bookmarkEnd w:id="14"/>
      <w:bookmarkEnd w:id="15"/>
      <w:bookmarkEnd w:id="16"/>
      <w:bookmarkEnd w:id="17"/>
      <w:bookmarkEnd w:id="18"/>
      <w:bookmarkEnd w:id="19"/>
    </w:p>
    <w:p>
      <w:pPr>
        <w:spacing w:line="600" w:lineRule="exact"/>
        <w:ind w:firstLine="560" w:firstLineChars="200"/>
        <w:rPr>
          <w:rFonts w:hint="eastAsia" w:ascii="仿宋_GB2312" w:hAnsi="宋体" w:eastAsia="仿宋_GB2312" w:cs="宋体"/>
          <w:color w:val="000000"/>
          <w:sz w:val="28"/>
          <w:szCs w:val="28"/>
        </w:rPr>
      </w:pPr>
      <w:r>
        <w:rPr>
          <w:rFonts w:hint="eastAsia" w:ascii="仿宋_GB2312" w:hAnsi="宋体" w:eastAsia="仿宋_GB2312" w:cs="宋体"/>
          <w:color w:val="000000"/>
          <w:sz w:val="28"/>
          <w:szCs w:val="28"/>
        </w:rPr>
        <w:t>本规划主要依据国家及省市相关规划政策文件编制，包括《交通运输部、农业部、供销合作总社、国家邮政局关于协同推进农村物流健康发展 加快服务农业现代化的意见》《国务院办公厅关于促进农村电子商务加快发展的指导意见》《交通运输部办公厅关于进一步加强农村物流网络节点体系建设的通知》等。</w:t>
      </w:r>
    </w:p>
    <w:p>
      <w:pPr>
        <w:pStyle w:val="3"/>
        <w:bidi w:val="0"/>
        <w:rPr>
          <w:rFonts w:ascii="仿宋_GB2312" w:eastAsia="仿宋_GB2312" w:cs="宋体"/>
          <w:b/>
          <w:bCs/>
          <w:color w:val="000000"/>
          <w:szCs w:val="32"/>
        </w:rPr>
      </w:pPr>
      <w:bookmarkStart w:id="20" w:name="_Toc10036"/>
      <w:bookmarkStart w:id="21" w:name="_Toc533059655"/>
      <w:bookmarkStart w:id="22" w:name="_Toc4445"/>
      <w:bookmarkStart w:id="23" w:name="_Toc8765"/>
      <w:bookmarkStart w:id="24" w:name="_Toc3711126"/>
      <w:bookmarkStart w:id="25" w:name="_Toc533059740"/>
      <w:bookmarkStart w:id="26" w:name="_Toc10040"/>
      <w:r>
        <w:rPr>
          <w:rFonts w:hint="eastAsia"/>
        </w:rPr>
        <w:t>1.</w:t>
      </w:r>
      <w:r>
        <w:t>3</w:t>
      </w:r>
      <w:r>
        <w:rPr>
          <w:rFonts w:hint="eastAsia"/>
        </w:rPr>
        <w:t>规划期限</w:t>
      </w:r>
      <w:bookmarkEnd w:id="20"/>
      <w:bookmarkEnd w:id="21"/>
      <w:bookmarkEnd w:id="22"/>
      <w:bookmarkEnd w:id="23"/>
      <w:bookmarkEnd w:id="24"/>
      <w:bookmarkEnd w:id="25"/>
      <w:bookmarkEnd w:id="26"/>
    </w:p>
    <w:p>
      <w:pPr>
        <w:spacing w:line="600" w:lineRule="exact"/>
        <w:ind w:firstLine="560" w:firstLineChars="200"/>
        <w:rPr>
          <w:rFonts w:hint="eastAsia" w:ascii="仿宋_GB2312" w:hAnsi="宋体" w:eastAsia="仿宋_GB2312" w:cs="宋体"/>
          <w:color w:val="000000"/>
          <w:sz w:val="28"/>
          <w:szCs w:val="28"/>
        </w:rPr>
      </w:pPr>
      <w:r>
        <w:rPr>
          <w:rFonts w:hint="eastAsia" w:ascii="仿宋_GB2312" w:hAnsi="宋体" w:eastAsia="仿宋_GB2312" w:cs="宋体"/>
          <w:color w:val="000000"/>
          <w:sz w:val="28"/>
          <w:szCs w:val="28"/>
        </w:rPr>
        <w:t>本规划年限为2026-2035年。规划近期：2026-2030年；规划中远期：2030-2035年。</w:t>
      </w:r>
    </w:p>
    <w:p>
      <w:pPr>
        <w:spacing w:line="600" w:lineRule="exact"/>
        <w:ind w:firstLine="560" w:firstLineChars="200"/>
        <w:rPr>
          <w:rFonts w:hint="eastAsia" w:ascii="仿宋_GB2312" w:hAnsi="宋体" w:eastAsia="仿宋_GB2312" w:cs="宋体"/>
          <w:color w:val="000000"/>
          <w:sz w:val="28"/>
          <w:szCs w:val="28"/>
        </w:rPr>
      </w:pPr>
      <w:r>
        <w:rPr>
          <w:rFonts w:hint="eastAsia" w:ascii="仿宋_GB2312" w:hAnsi="宋体" w:eastAsia="仿宋_GB2312" w:cs="宋体"/>
          <w:color w:val="000000"/>
          <w:sz w:val="28"/>
          <w:szCs w:val="28"/>
        </w:rPr>
        <w:t>第一阶段：2026-2030年</w:t>
      </w:r>
    </w:p>
    <w:p>
      <w:pPr>
        <w:spacing w:line="600" w:lineRule="exact"/>
        <w:ind w:firstLine="560" w:firstLineChars="200"/>
        <w:rPr>
          <w:rFonts w:hint="eastAsia" w:ascii="仿宋_GB2312" w:hAnsi="宋体" w:eastAsia="仿宋_GB2312" w:cs="宋体"/>
          <w:color w:val="000000"/>
          <w:sz w:val="28"/>
          <w:szCs w:val="28"/>
        </w:rPr>
      </w:pPr>
      <w:r>
        <w:rPr>
          <w:rFonts w:hint="eastAsia" w:ascii="仿宋_GB2312" w:hAnsi="宋体" w:eastAsia="仿宋_GB2312" w:cs="宋体"/>
          <w:color w:val="000000"/>
          <w:sz w:val="28"/>
          <w:szCs w:val="28"/>
        </w:rPr>
        <w:t>全面覆盖：逐步改造农村物流三级网络节点，初步改造2个县级物流服务中心、11个镇级物流服务站、69个村级物流网点、7个农村电商服务示范点。</w:t>
      </w:r>
    </w:p>
    <w:p>
      <w:pPr>
        <w:spacing w:line="600" w:lineRule="exact"/>
        <w:ind w:firstLine="560" w:firstLineChars="200"/>
        <w:rPr>
          <w:rFonts w:hint="eastAsia" w:ascii="仿宋_GB2312" w:hAnsi="宋体" w:eastAsia="仿宋_GB2312" w:cs="宋体"/>
          <w:color w:val="000000"/>
          <w:sz w:val="28"/>
          <w:szCs w:val="28"/>
        </w:rPr>
      </w:pPr>
      <w:r>
        <w:rPr>
          <w:rFonts w:hint="eastAsia" w:ascii="仿宋_GB2312" w:hAnsi="宋体" w:eastAsia="仿宋_GB2312" w:cs="宋体"/>
          <w:color w:val="000000"/>
          <w:sz w:val="28"/>
          <w:szCs w:val="28"/>
        </w:rPr>
        <w:t>第二阶段：2030-2035年</w:t>
      </w:r>
    </w:p>
    <w:p>
      <w:pPr>
        <w:spacing w:line="600" w:lineRule="exact"/>
        <w:ind w:firstLine="560" w:firstLineChars="200"/>
        <w:rPr>
          <w:rFonts w:hint="eastAsia" w:ascii="仿宋_GB2312" w:hAnsi="宋体" w:eastAsia="仿宋_GB2312" w:cs="宋体"/>
          <w:color w:val="000000"/>
          <w:sz w:val="28"/>
          <w:szCs w:val="28"/>
        </w:rPr>
      </w:pPr>
      <w:r>
        <w:rPr>
          <w:rFonts w:hint="eastAsia" w:ascii="仿宋_GB2312" w:hAnsi="宋体" w:eastAsia="仿宋_GB2312" w:cs="宋体"/>
          <w:color w:val="000000"/>
          <w:sz w:val="28"/>
          <w:szCs w:val="28"/>
        </w:rPr>
        <w:t>提效率：全面改造完善三级网络体系，全面建成2个县级物流服务中心、11个镇级物流服务站，对69个村级物流网点全面提升完善，建成农村电商综合服务平台、7个乡镇电商服务站、69个农村电商服务点，每镇培育1个龙头电商企业，打造3条物流配送专线。</w:t>
      </w:r>
    </w:p>
    <w:p>
      <w:pPr>
        <w:pStyle w:val="3"/>
        <w:bidi w:val="0"/>
      </w:pPr>
      <w:bookmarkStart w:id="27" w:name="_Toc9947"/>
      <w:bookmarkStart w:id="28" w:name="_Toc21926"/>
      <w:bookmarkStart w:id="29" w:name="_Toc3711127"/>
      <w:r>
        <w:rPr>
          <w:rFonts w:hint="eastAsia"/>
        </w:rPr>
        <w:t>1.</w:t>
      </w:r>
      <w:r>
        <w:t>4</w:t>
      </w:r>
      <w:r>
        <w:rPr>
          <w:rFonts w:hint="eastAsia"/>
        </w:rPr>
        <w:t>规划内容</w:t>
      </w:r>
      <w:bookmarkEnd w:id="27"/>
      <w:bookmarkEnd w:id="28"/>
      <w:bookmarkEnd w:id="29"/>
    </w:p>
    <w:p>
      <w:pPr>
        <w:spacing w:line="360" w:lineRule="auto"/>
        <w:ind w:firstLine="560" w:firstLineChars="200"/>
        <w:rPr>
          <w:rFonts w:hint="eastAsia" w:ascii="仿宋_GB2312" w:hAnsi="宋体" w:eastAsia="仿宋_GB2312" w:cs="宋体"/>
          <w:color w:val="000000"/>
          <w:sz w:val="28"/>
          <w:szCs w:val="28"/>
        </w:rPr>
      </w:pPr>
      <w:r>
        <w:rPr>
          <w:rFonts w:hint="eastAsia" w:ascii="仿宋_GB2312" w:hAnsi="宋体" w:eastAsia="仿宋_GB2312" w:cs="宋体"/>
          <w:color w:val="000000"/>
          <w:sz w:val="28"/>
          <w:szCs w:val="28"/>
        </w:rPr>
        <w:t>本规划范围为清远市连南瑶族自治县所辖7个镇（三江镇、寨岗镇、大麦山镇、三排镇、涡水镇、大坪镇、香坪镇）、69个行政村、2个社区，陆地面积1306平方公里，常住人口13.59万、户籍17.55万。</w:t>
      </w:r>
    </w:p>
    <w:p>
      <w:pPr>
        <w:spacing w:line="360" w:lineRule="auto"/>
        <w:ind w:firstLine="560" w:firstLineChars="200"/>
        <w:rPr>
          <w:rFonts w:ascii="仿宋_GB2312" w:hAnsi="宋体" w:eastAsia="仿宋_GB2312" w:cs="宋体"/>
          <w:color w:val="000000"/>
          <w:sz w:val="28"/>
          <w:szCs w:val="28"/>
        </w:rPr>
      </w:pPr>
      <w:r>
        <w:rPr>
          <w:rFonts w:hint="eastAsia" w:ascii="仿宋_GB2312" w:hAnsi="宋体" w:eastAsia="仿宋_GB2312" w:cs="宋体"/>
          <w:color w:val="000000"/>
          <w:sz w:val="28"/>
          <w:szCs w:val="28"/>
        </w:rPr>
        <w:t>本规划通过整合客运、快递、零担货运等物流资源，健全县乡村各级网络节点，促进农村电商发展，加强物流信息平台建设，畅通双向流通通道，建设覆盖全县的三级农村物流体系。</w:t>
      </w:r>
    </w:p>
    <w:p>
      <w:pPr>
        <w:spacing w:line="360" w:lineRule="auto"/>
        <w:ind w:firstLine="560" w:firstLineChars="200"/>
        <w:rPr>
          <w:rFonts w:ascii="仿宋_GB2312" w:hAnsi="宋体" w:eastAsia="仿宋_GB2312" w:cs="宋体"/>
          <w:color w:val="000000"/>
          <w:sz w:val="28"/>
          <w:szCs w:val="28"/>
        </w:rPr>
      </w:pPr>
      <w:r>
        <w:rPr>
          <w:rFonts w:hint="eastAsia" w:ascii="仿宋_GB2312" w:hAnsi="宋体" w:eastAsia="仿宋_GB2312" w:cs="宋体"/>
          <w:color w:val="000000"/>
          <w:sz w:val="28"/>
          <w:szCs w:val="28"/>
        </w:rPr>
        <w:t>（1）县级物流服务中心、乡（镇）级综合运输服务站、村级物流服务点规划建设；</w:t>
      </w:r>
    </w:p>
    <w:p>
      <w:pPr>
        <w:spacing w:line="360" w:lineRule="auto"/>
        <w:ind w:firstLine="560" w:firstLineChars="200"/>
        <w:rPr>
          <w:rFonts w:ascii="仿宋_GB2312" w:hAnsi="宋体" w:eastAsia="仿宋_GB2312" w:cs="宋体"/>
          <w:color w:val="000000"/>
          <w:sz w:val="28"/>
          <w:szCs w:val="28"/>
        </w:rPr>
      </w:pPr>
      <w:r>
        <w:rPr>
          <w:rFonts w:hint="eastAsia" w:ascii="仿宋_GB2312" w:hAnsi="宋体" w:eastAsia="仿宋_GB2312" w:cs="宋体"/>
          <w:color w:val="000000"/>
          <w:sz w:val="28"/>
          <w:szCs w:val="28"/>
        </w:rPr>
        <w:t>（2）连南瑶族自治县主要镇、村物流配送路线规划；</w:t>
      </w:r>
    </w:p>
    <w:p>
      <w:pPr>
        <w:spacing w:line="360" w:lineRule="auto"/>
        <w:ind w:firstLine="560" w:firstLineChars="200"/>
        <w:rPr>
          <w:rFonts w:hint="eastAsia" w:ascii="仿宋_GB2312" w:hAnsi="宋体" w:eastAsia="仿宋_GB2312" w:cs="宋体"/>
          <w:color w:val="000000"/>
          <w:sz w:val="28"/>
          <w:szCs w:val="28"/>
        </w:rPr>
      </w:pPr>
      <w:r>
        <w:rPr>
          <w:rFonts w:hint="eastAsia" w:ascii="仿宋_GB2312" w:hAnsi="宋体" w:eastAsia="仿宋_GB2312" w:cs="宋体"/>
          <w:color w:val="000000"/>
          <w:sz w:val="28"/>
          <w:szCs w:val="28"/>
        </w:rPr>
        <w:t>（3）</w:t>
      </w:r>
      <w:bookmarkStart w:id="30" w:name="_Hlk3735480"/>
      <w:r>
        <w:rPr>
          <w:rFonts w:hint="eastAsia" w:ascii="仿宋_GB2312" w:hAnsi="宋体" w:eastAsia="仿宋_GB2312" w:cs="宋体"/>
          <w:color w:val="000000"/>
          <w:sz w:val="28"/>
          <w:szCs w:val="28"/>
        </w:rPr>
        <w:t>农村电商服务网络规划</w:t>
      </w:r>
      <w:bookmarkEnd w:id="30"/>
      <w:r>
        <w:rPr>
          <w:rFonts w:hint="eastAsia" w:ascii="仿宋_GB2312" w:hAnsi="宋体" w:eastAsia="仿宋_GB2312" w:cs="宋体"/>
          <w:color w:val="000000"/>
          <w:sz w:val="28"/>
          <w:szCs w:val="28"/>
        </w:rPr>
        <w:t>。</w:t>
      </w:r>
    </w:p>
    <w:p>
      <w:pPr>
        <w:pStyle w:val="3"/>
        <w:bidi w:val="0"/>
      </w:pPr>
      <w:bookmarkStart w:id="31" w:name="_Toc533059656"/>
      <w:bookmarkStart w:id="32" w:name="_Toc3711128"/>
      <w:bookmarkStart w:id="33" w:name="_Toc22703"/>
      <w:bookmarkStart w:id="34" w:name="_Toc533059741"/>
      <w:bookmarkStart w:id="35" w:name="_Toc27751"/>
      <w:r>
        <w:rPr>
          <w:rFonts w:hint="eastAsia"/>
        </w:rPr>
        <w:t>1.</w:t>
      </w:r>
      <w:r>
        <w:t>5</w:t>
      </w:r>
      <w:r>
        <w:rPr>
          <w:rFonts w:hint="eastAsia"/>
        </w:rPr>
        <w:t>规划意义</w:t>
      </w:r>
      <w:bookmarkEnd w:id="31"/>
      <w:bookmarkEnd w:id="32"/>
      <w:bookmarkEnd w:id="33"/>
      <w:bookmarkEnd w:id="34"/>
      <w:bookmarkEnd w:id="35"/>
    </w:p>
    <w:p>
      <w:pPr>
        <w:ind w:firstLine="560" w:firstLineChars="200"/>
        <w:rPr>
          <w:rFonts w:ascii="仿宋_GB2312" w:hAnsi="宋体" w:eastAsia="仿宋_GB2312" w:cs="宋体"/>
          <w:color w:val="000000"/>
          <w:sz w:val="28"/>
          <w:szCs w:val="28"/>
        </w:rPr>
      </w:pPr>
      <w:r>
        <w:rPr>
          <w:rFonts w:hint="eastAsia" w:ascii="仿宋_GB2312" w:hAnsi="宋体" w:eastAsia="仿宋_GB2312" w:cs="宋体"/>
          <w:color w:val="000000"/>
          <w:sz w:val="28"/>
          <w:szCs w:val="28"/>
        </w:rPr>
        <w:t>本规划通过整合县域邮政快递、商贸、供销、交通等物流设施，优化场站、车辆、人员、信息平台等要素资源，构建城乡一体、畅通高效的三级农村物流网络体系，服务农村经济发展、保障改善民生。</w:t>
      </w:r>
    </w:p>
    <w:p>
      <w:pPr>
        <w:ind w:firstLine="560" w:firstLineChars="200"/>
        <w:rPr>
          <w:rFonts w:ascii="仿宋_GB2312" w:eastAsia="仿宋_GB2312" w:cs="宋体"/>
          <w:color w:val="000000"/>
          <w:sz w:val="28"/>
          <w:szCs w:val="28"/>
        </w:rPr>
      </w:pPr>
      <w:r>
        <w:rPr>
          <w:rFonts w:hint="eastAsia" w:ascii="仿宋_GB2312" w:eastAsia="仿宋_GB2312" w:cs="宋体"/>
          <w:color w:val="000000"/>
          <w:sz w:val="28"/>
          <w:szCs w:val="28"/>
        </w:rPr>
        <w:t>（1）整合物流资源，</w:t>
      </w:r>
      <w:bookmarkStart w:id="36" w:name="_Hlk3734697"/>
      <w:r>
        <w:rPr>
          <w:rFonts w:hint="eastAsia" w:ascii="仿宋_GB2312" w:eastAsia="仿宋_GB2312" w:cs="宋体"/>
          <w:color w:val="000000"/>
          <w:sz w:val="28"/>
          <w:szCs w:val="28"/>
        </w:rPr>
        <w:t>实现资源集约化</w:t>
      </w:r>
      <w:bookmarkEnd w:id="36"/>
      <w:r>
        <w:rPr>
          <w:rFonts w:hint="eastAsia" w:ascii="仿宋_GB2312" w:eastAsia="仿宋_GB2312" w:cs="宋体"/>
          <w:color w:val="000000"/>
          <w:sz w:val="28"/>
          <w:szCs w:val="28"/>
        </w:rPr>
        <w:t>配置</w:t>
      </w:r>
    </w:p>
    <w:p>
      <w:pPr>
        <w:ind w:firstLine="560" w:firstLineChars="200"/>
        <w:rPr>
          <w:rFonts w:ascii="仿宋_GB2312" w:eastAsia="仿宋_GB2312" w:cs="宋体"/>
          <w:color w:val="000000"/>
          <w:sz w:val="28"/>
          <w:szCs w:val="28"/>
        </w:rPr>
      </w:pPr>
      <w:r>
        <w:rPr>
          <w:rFonts w:hint="eastAsia" w:ascii="仿宋_GB2312" w:eastAsia="仿宋_GB2312" w:cs="宋体"/>
          <w:color w:val="000000"/>
          <w:sz w:val="28"/>
          <w:szCs w:val="28"/>
        </w:rPr>
        <w:t>整合交通运输、邮政、农业、商务、供销等现有资源，规划县乡村三级节点，推进客运站、邮政所、农资站、村邮站等“多站合一”，实现农村物流网络节点集约化全覆盖。</w:t>
      </w:r>
    </w:p>
    <w:p>
      <w:pPr>
        <w:ind w:firstLine="560" w:firstLineChars="200"/>
        <w:rPr>
          <w:rFonts w:ascii="仿宋_GB2312" w:eastAsia="仿宋_GB2312" w:cs="宋体"/>
          <w:color w:val="000000"/>
          <w:sz w:val="28"/>
          <w:szCs w:val="28"/>
        </w:rPr>
      </w:pPr>
      <w:r>
        <w:rPr>
          <w:rFonts w:hint="eastAsia" w:ascii="仿宋_GB2312" w:eastAsia="仿宋_GB2312" w:cs="宋体"/>
          <w:color w:val="000000"/>
          <w:sz w:val="28"/>
          <w:szCs w:val="28"/>
        </w:rPr>
        <w:t>（</w:t>
      </w:r>
      <w:r>
        <w:rPr>
          <w:rFonts w:ascii="仿宋_GB2312" w:eastAsia="仿宋_GB2312" w:cs="宋体"/>
          <w:color w:val="000000"/>
          <w:sz w:val="28"/>
          <w:szCs w:val="28"/>
        </w:rPr>
        <w:t>2</w:t>
      </w:r>
      <w:r>
        <w:rPr>
          <w:rFonts w:hint="eastAsia" w:ascii="仿宋_GB2312" w:eastAsia="仿宋_GB2312" w:cs="宋体"/>
          <w:color w:val="000000"/>
          <w:sz w:val="28"/>
          <w:szCs w:val="28"/>
        </w:rPr>
        <w:t>）打通城乡物流渠道，服务农村振兴发展</w:t>
      </w:r>
    </w:p>
    <w:p>
      <w:pPr>
        <w:ind w:firstLine="560" w:firstLineChars="200"/>
        <w:rPr>
          <w:rFonts w:ascii="仿宋_GB2312" w:eastAsia="仿宋_GB2312" w:cs="宋体"/>
          <w:color w:val="000000"/>
          <w:sz w:val="28"/>
          <w:szCs w:val="28"/>
        </w:rPr>
      </w:pPr>
      <w:r>
        <w:rPr>
          <w:rFonts w:hint="eastAsia" w:ascii="仿宋_GB2312" w:eastAsia="仿宋_GB2312" w:cs="宋体"/>
          <w:color w:val="000000"/>
          <w:sz w:val="28"/>
          <w:szCs w:val="28"/>
        </w:rPr>
        <w:t>统筹节点功能，形成各乡镇、行政村点线面全覆盖，打通“工业品下乡、农产品进城”双向渠道，服务农村经济快速发展。</w:t>
      </w:r>
    </w:p>
    <w:p>
      <w:pPr>
        <w:ind w:firstLine="560" w:firstLineChars="200"/>
        <w:rPr>
          <w:rFonts w:ascii="仿宋_GB2312" w:eastAsia="仿宋_GB2312" w:cs="宋体"/>
          <w:color w:val="000000"/>
          <w:sz w:val="28"/>
          <w:szCs w:val="28"/>
        </w:rPr>
      </w:pPr>
      <w:r>
        <w:rPr>
          <w:rFonts w:hint="eastAsia" w:ascii="仿宋_GB2312" w:eastAsia="仿宋_GB2312" w:cs="宋体"/>
          <w:color w:val="000000"/>
          <w:sz w:val="28"/>
          <w:szCs w:val="28"/>
        </w:rPr>
        <w:t>（</w:t>
      </w:r>
      <w:r>
        <w:rPr>
          <w:rFonts w:ascii="仿宋_GB2312" w:eastAsia="仿宋_GB2312" w:cs="宋体"/>
          <w:color w:val="000000"/>
          <w:sz w:val="28"/>
          <w:szCs w:val="28"/>
        </w:rPr>
        <w:t>3</w:t>
      </w:r>
      <w:r>
        <w:rPr>
          <w:rFonts w:hint="eastAsia" w:ascii="仿宋_GB2312" w:eastAsia="仿宋_GB2312" w:cs="宋体"/>
          <w:color w:val="000000"/>
          <w:sz w:val="28"/>
          <w:szCs w:val="28"/>
        </w:rPr>
        <w:t>）多方融合，促进价值链、供应链、产业链协同创新</w:t>
      </w:r>
    </w:p>
    <w:p>
      <w:pPr>
        <w:ind w:firstLine="560" w:firstLineChars="200"/>
        <w:rPr>
          <w:rFonts w:ascii="仿宋_GB2312" w:eastAsia="仿宋_GB2312" w:cs="宋体"/>
          <w:color w:val="000000"/>
          <w:sz w:val="28"/>
          <w:szCs w:val="28"/>
        </w:rPr>
      </w:pPr>
      <w:r>
        <w:rPr>
          <w:rFonts w:hint="eastAsia" w:ascii="仿宋_GB2312" w:eastAsia="仿宋_GB2312" w:cs="宋体"/>
          <w:color w:val="000000"/>
          <w:sz w:val="28"/>
          <w:szCs w:val="28"/>
        </w:rPr>
        <w:t>建立农村物流站场运营服务规范，引导交通、邮政、商贸、供销、电商快递多方合作共建共管、联营合作，促进价值链、供应链、产业链协同创新。</w:t>
      </w:r>
    </w:p>
    <w:p>
      <w:pPr>
        <w:ind w:firstLine="560" w:firstLineChars="200"/>
        <w:rPr>
          <w:rFonts w:ascii="仿宋_GB2312" w:eastAsia="仿宋_GB2312" w:cs="宋体"/>
          <w:color w:val="000000"/>
          <w:sz w:val="28"/>
          <w:szCs w:val="28"/>
        </w:rPr>
      </w:pPr>
      <w:r>
        <w:rPr>
          <w:rFonts w:hint="eastAsia" w:ascii="仿宋_GB2312" w:eastAsia="仿宋_GB2312" w:cs="宋体"/>
          <w:color w:val="000000"/>
          <w:sz w:val="28"/>
          <w:szCs w:val="28"/>
        </w:rPr>
        <w:t>（</w:t>
      </w:r>
      <w:r>
        <w:rPr>
          <w:rFonts w:ascii="仿宋_GB2312" w:eastAsia="仿宋_GB2312" w:cs="宋体"/>
          <w:color w:val="000000"/>
          <w:sz w:val="28"/>
          <w:szCs w:val="28"/>
        </w:rPr>
        <w:t>4</w:t>
      </w:r>
      <w:r>
        <w:rPr>
          <w:rFonts w:hint="eastAsia" w:ascii="仿宋_GB2312" w:eastAsia="仿宋_GB2312" w:cs="宋体"/>
          <w:color w:val="000000"/>
          <w:sz w:val="28"/>
          <w:szCs w:val="28"/>
        </w:rPr>
        <w:t>）建设物流信息平台，提升农村物流信息服务水平</w:t>
      </w:r>
    </w:p>
    <w:p>
      <w:pPr>
        <w:ind w:firstLine="560" w:firstLineChars="200"/>
        <w:rPr>
          <w:rFonts w:ascii="仿宋_GB2312" w:eastAsia="仿宋_GB2312" w:cs="宋体"/>
          <w:color w:val="000000"/>
          <w:sz w:val="28"/>
          <w:szCs w:val="28"/>
        </w:rPr>
      </w:pPr>
      <w:r>
        <w:rPr>
          <w:rFonts w:hint="eastAsia" w:ascii="仿宋_GB2312" w:eastAsia="仿宋_GB2312" w:cs="宋体"/>
          <w:color w:val="000000"/>
          <w:sz w:val="28"/>
          <w:szCs w:val="28"/>
        </w:rPr>
        <w:t>多方共建农村物流公共信息平台，实现跨行业、跨部门物流信息互联共享，统一调度、合理配载，提升运输效率、节约能源，全面提升农村物流信息服务水平。</w:t>
      </w:r>
    </w:p>
    <w:p>
      <w:pPr>
        <w:rPr>
          <w:color w:val="000000"/>
        </w:rPr>
        <w:sectPr>
          <w:footerReference r:id="rId6" w:type="default"/>
          <w:pgSz w:w="11906" w:h="16838"/>
          <w:pgMar w:top="1984" w:right="1587" w:bottom="1701" w:left="1587" w:header="851" w:footer="992" w:gutter="0"/>
          <w:pgNumType w:start="1"/>
          <w:cols w:space="720" w:num="1"/>
          <w:docGrid w:type="lines" w:linePitch="314" w:charSpace="0"/>
        </w:sectPr>
      </w:pPr>
    </w:p>
    <w:p>
      <w:pPr>
        <w:pStyle w:val="2"/>
        <w:bidi w:val="0"/>
        <w:rPr>
          <w:rFonts w:ascii="黑体" w:hAnsi="黑体" w:eastAsia="黑体" w:cs="宋体"/>
          <w:bCs/>
          <w:color w:val="000000"/>
          <w:szCs w:val="36"/>
        </w:rPr>
      </w:pPr>
      <w:bookmarkStart w:id="37" w:name="_Toc533059657"/>
      <w:bookmarkStart w:id="38" w:name="_Toc3711129"/>
      <w:bookmarkStart w:id="39" w:name="_Toc23188"/>
      <w:bookmarkStart w:id="40" w:name="_Toc25399"/>
      <w:bookmarkStart w:id="41" w:name="_Toc533059742"/>
      <w:r>
        <w:rPr>
          <w:rFonts w:hint="eastAsia"/>
        </w:rPr>
        <w:t>第二章 发展现状与存在问题</w:t>
      </w:r>
      <w:bookmarkEnd w:id="37"/>
      <w:bookmarkEnd w:id="38"/>
      <w:bookmarkEnd w:id="39"/>
      <w:bookmarkEnd w:id="40"/>
      <w:bookmarkEnd w:id="41"/>
    </w:p>
    <w:p>
      <w:pPr>
        <w:pStyle w:val="3"/>
        <w:bidi w:val="0"/>
        <w:rPr>
          <w:rFonts w:ascii="仿宋_GB2312" w:eastAsia="仿宋_GB2312" w:cs="宋体"/>
          <w:b/>
          <w:bCs/>
          <w:color w:val="000000"/>
          <w:szCs w:val="32"/>
        </w:rPr>
      </w:pPr>
      <w:bookmarkStart w:id="42" w:name="_Toc28430"/>
      <w:bookmarkStart w:id="43" w:name="_Toc533059658"/>
      <w:bookmarkStart w:id="44" w:name="_Toc3711130"/>
      <w:bookmarkStart w:id="45" w:name="_Toc1637"/>
      <w:bookmarkStart w:id="46" w:name="_Toc533059743"/>
      <w:r>
        <w:rPr>
          <w:rFonts w:hint="eastAsia"/>
        </w:rPr>
        <w:t>2.1连南瑶族自治县农村物流发展现状</w:t>
      </w:r>
      <w:bookmarkEnd w:id="42"/>
      <w:bookmarkEnd w:id="43"/>
      <w:bookmarkEnd w:id="44"/>
      <w:bookmarkEnd w:id="45"/>
      <w:bookmarkEnd w:id="46"/>
    </w:p>
    <w:p>
      <w:pPr>
        <w:pStyle w:val="13"/>
        <w:widowControl/>
        <w:spacing w:line="360" w:lineRule="auto"/>
        <w:ind w:firstLine="560" w:firstLineChars="200"/>
        <w:jc w:val="both"/>
        <w:rPr>
          <w:rFonts w:hint="eastAsia" w:ascii="仿宋_GB2312" w:eastAsia="仿宋_GB2312"/>
          <w:color w:val="000000"/>
          <w:sz w:val="28"/>
          <w:szCs w:val="28"/>
        </w:rPr>
      </w:pPr>
      <w:r>
        <w:rPr>
          <w:rFonts w:hint="eastAsia" w:ascii="仿宋_GB2312" w:eastAsia="仿宋_GB2312"/>
          <w:color w:val="000000"/>
          <w:sz w:val="28"/>
          <w:szCs w:val="28"/>
        </w:rPr>
        <w:t>连南瑶族自治县隶属广东省清远市，地处南岭山脉南麓、粤湘两省结合部，总面积1306平方公里，下辖7个镇、69个行政村、2个社区，森林覆盖率81.05%。</w:t>
      </w:r>
    </w:p>
    <w:p>
      <w:pPr>
        <w:pStyle w:val="13"/>
        <w:widowControl/>
        <w:spacing w:line="360" w:lineRule="auto"/>
        <w:ind w:firstLine="560" w:firstLineChars="200"/>
        <w:jc w:val="both"/>
        <w:rPr>
          <w:rFonts w:ascii="仿宋_GB2312" w:eastAsia="仿宋_GB2312" w:cs="Times New Roman"/>
          <w:color w:val="000000"/>
          <w:sz w:val="28"/>
          <w:szCs w:val="28"/>
        </w:rPr>
      </w:pPr>
      <w:r>
        <w:rPr>
          <w:rFonts w:hint="eastAsia" w:ascii="仿宋_GB2312" w:eastAsia="仿宋_GB2312"/>
          <w:color w:val="000000"/>
          <w:sz w:val="28"/>
          <w:szCs w:val="28"/>
        </w:rPr>
        <w:t>（1）县内农业农村经济发展情况</w:t>
      </w:r>
    </w:p>
    <w:p>
      <w:pPr>
        <w:pStyle w:val="13"/>
        <w:widowControl/>
        <w:spacing w:line="360" w:lineRule="auto"/>
        <w:ind w:firstLine="560" w:firstLineChars="200"/>
        <w:rPr>
          <w:rFonts w:hint="eastAsia" w:ascii="仿宋_GB2312" w:eastAsia="仿宋_GB2312"/>
          <w:color w:val="000000"/>
          <w:sz w:val="28"/>
          <w:szCs w:val="28"/>
        </w:rPr>
      </w:pPr>
      <w:r>
        <w:rPr>
          <w:rFonts w:hint="eastAsia" w:ascii="仿宋_GB2312" w:eastAsia="仿宋_GB2312"/>
          <w:color w:val="000000"/>
          <w:sz w:val="28"/>
          <w:szCs w:val="28"/>
        </w:rPr>
        <w:t>县内特色农产品以连南大叶茶、高山稻香米、瑶山香菇、连南稻田鱼、山苍子、瑶乡金桔等为主，其中连南大叶茶为国家农产品地理标志产品，为物流发展提供了重要货源。</w:t>
      </w:r>
    </w:p>
    <w:p>
      <w:pPr>
        <w:pStyle w:val="13"/>
        <w:widowControl/>
        <w:spacing w:line="360" w:lineRule="auto"/>
        <w:ind w:firstLine="560" w:firstLineChars="200"/>
        <w:rPr>
          <w:rFonts w:hint="eastAsia" w:ascii="仿宋_GB2312" w:eastAsia="仿宋_GB2312"/>
          <w:color w:val="000000"/>
          <w:sz w:val="28"/>
          <w:szCs w:val="28"/>
        </w:rPr>
      </w:pPr>
      <w:r>
        <w:rPr>
          <w:rFonts w:hint="eastAsia" w:ascii="仿宋_GB2312" w:eastAsia="仿宋_GB2312"/>
          <w:color w:val="000000"/>
          <w:sz w:val="28"/>
          <w:szCs w:val="28"/>
        </w:rPr>
        <w:t>（2）农村交通运输、物流基础设施情况</w:t>
      </w:r>
      <w:bookmarkStart w:id="47" w:name="_Toc3711131"/>
      <w:bookmarkStart w:id="48" w:name="_Toc593"/>
      <w:bookmarkStart w:id="49" w:name="_Toc533059744"/>
      <w:bookmarkStart w:id="50" w:name="_Toc533059659"/>
    </w:p>
    <w:p>
      <w:pPr>
        <w:pStyle w:val="13"/>
        <w:widowControl/>
        <w:spacing w:line="360" w:lineRule="auto"/>
        <w:ind w:firstLine="560" w:firstLineChars="200"/>
        <w:rPr>
          <w:rFonts w:hint="eastAsia" w:ascii="仿宋_GB2312" w:eastAsia="仿宋_GB2312"/>
          <w:color w:val="000000"/>
          <w:sz w:val="28"/>
          <w:szCs w:val="28"/>
        </w:rPr>
      </w:pPr>
      <w:r>
        <w:rPr>
          <w:rFonts w:hint="eastAsia" w:ascii="仿宋_GB2312" w:eastAsia="仿宋_GB2312"/>
          <w:color w:val="000000"/>
          <w:sz w:val="28"/>
          <w:szCs w:val="28"/>
        </w:rPr>
        <w:t>自2020年启动省级电子商务进农村综合示范县项目以来，已建成1个县级电商服务中心、7个镇级电商站点、56个村级电商服务店，行政村电商服务站点覆盖率超70%；邮政服务点全区域覆盖，建成县级农村电商快递物流集散中心（共配中心），搭建“平台快递+农村客运+快递企业”配送模式。</w:t>
      </w:r>
    </w:p>
    <w:p>
      <w:pPr>
        <w:pStyle w:val="3"/>
        <w:bidi w:val="0"/>
        <w:rPr>
          <w:rFonts w:ascii="仿宋_GB2312" w:eastAsia="仿宋_GB2312" w:cs="宋体"/>
          <w:b/>
          <w:bCs/>
          <w:color w:val="000000"/>
          <w:szCs w:val="32"/>
        </w:rPr>
      </w:pPr>
      <w:bookmarkStart w:id="51" w:name="_Toc7035"/>
      <w:r>
        <w:rPr>
          <w:rFonts w:hint="eastAsia"/>
        </w:rPr>
        <w:t>2.2连南瑶族自治县农村物流存在的问题</w:t>
      </w:r>
      <w:bookmarkEnd w:id="47"/>
      <w:bookmarkEnd w:id="48"/>
      <w:bookmarkEnd w:id="49"/>
      <w:bookmarkEnd w:id="50"/>
      <w:bookmarkEnd w:id="51"/>
    </w:p>
    <w:p>
      <w:pPr>
        <w:pStyle w:val="13"/>
        <w:widowControl/>
        <w:spacing w:line="360" w:lineRule="auto"/>
        <w:ind w:firstLine="560" w:firstLineChars="200"/>
        <w:rPr>
          <w:rFonts w:ascii="仿宋_GB2312" w:eastAsia="仿宋_GB2312" w:cs="Times New Roman"/>
          <w:color w:val="000000"/>
          <w:sz w:val="28"/>
          <w:szCs w:val="28"/>
        </w:rPr>
      </w:pPr>
      <w:r>
        <w:rPr>
          <w:rFonts w:hint="eastAsia" w:ascii="仿宋_GB2312" w:eastAsia="仿宋_GB2312"/>
          <w:color w:val="000000"/>
          <w:sz w:val="28"/>
          <w:szCs w:val="28"/>
        </w:rPr>
        <w:t>目前，连南瑶族自治县农村物流已有较好的发展，但在发展进程中还存在许多问题和制约因素，有待解决。</w:t>
      </w:r>
    </w:p>
    <w:p>
      <w:pPr>
        <w:pStyle w:val="13"/>
        <w:widowControl/>
        <w:spacing w:line="360" w:lineRule="auto"/>
        <w:ind w:firstLine="560" w:firstLineChars="200"/>
        <w:rPr>
          <w:rFonts w:ascii="仿宋_GB2312" w:eastAsia="仿宋_GB2312"/>
          <w:color w:val="000000"/>
          <w:sz w:val="28"/>
          <w:szCs w:val="28"/>
        </w:rPr>
      </w:pPr>
      <w:r>
        <w:rPr>
          <w:rFonts w:hint="eastAsia" w:ascii="仿宋_GB2312" w:eastAsia="仿宋_GB2312"/>
          <w:color w:val="000000"/>
          <w:sz w:val="28"/>
          <w:szCs w:val="28"/>
        </w:rPr>
        <w:t>（1）农村物流基础设施建设尚需完善</w:t>
      </w:r>
    </w:p>
    <w:p>
      <w:pPr>
        <w:pStyle w:val="13"/>
        <w:widowControl/>
        <w:spacing w:line="360" w:lineRule="auto"/>
        <w:ind w:firstLine="560" w:firstLineChars="200"/>
        <w:rPr>
          <w:rFonts w:ascii="仿宋_GB2312" w:eastAsia="仿宋_GB2312" w:cs="Times New Roman"/>
          <w:color w:val="000000"/>
          <w:sz w:val="28"/>
          <w:szCs w:val="28"/>
        </w:rPr>
      </w:pPr>
      <w:r>
        <w:rPr>
          <w:rFonts w:hint="eastAsia" w:ascii="仿宋_GB2312" w:eastAsia="仿宋_GB2312" w:cs="Times New Roman"/>
          <w:color w:val="000000"/>
          <w:sz w:val="28"/>
          <w:szCs w:val="28"/>
        </w:rPr>
        <w:t>一是部分乡镇地处山区、路况复杂，运输道路有待完善；二是缺乏智能化场站、专业仓储及冷链设施，农产品损耗率高；三是物流装备与新技术应用不足，配送效率有待提高。</w:t>
      </w:r>
    </w:p>
    <w:p>
      <w:pPr>
        <w:pStyle w:val="13"/>
        <w:widowControl/>
        <w:spacing w:line="360" w:lineRule="auto"/>
        <w:ind w:firstLine="560" w:firstLineChars="200"/>
        <w:rPr>
          <w:rFonts w:ascii="仿宋_GB2312" w:eastAsia="仿宋_GB2312" w:cs="Times New Roman"/>
          <w:color w:val="000000"/>
          <w:sz w:val="28"/>
          <w:szCs w:val="28"/>
        </w:rPr>
      </w:pPr>
      <w:r>
        <w:rPr>
          <w:rFonts w:hint="eastAsia" w:ascii="仿宋_GB2312" w:eastAsia="仿宋_GB2312" w:cs="Times New Roman"/>
          <w:color w:val="000000"/>
          <w:sz w:val="28"/>
          <w:szCs w:val="28"/>
        </w:rPr>
        <w:t>（2）农村物流</w:t>
      </w:r>
      <w:bookmarkStart w:id="52" w:name="_Hlk3811279"/>
      <w:r>
        <w:rPr>
          <w:rFonts w:hint="eastAsia" w:ascii="仿宋_GB2312" w:eastAsia="仿宋_GB2312" w:cs="Times New Roman"/>
          <w:color w:val="000000"/>
          <w:sz w:val="28"/>
          <w:szCs w:val="28"/>
        </w:rPr>
        <w:t>资源配置</w:t>
      </w:r>
      <w:bookmarkEnd w:id="52"/>
      <w:r>
        <w:rPr>
          <w:rFonts w:hint="eastAsia" w:ascii="仿宋_GB2312" w:eastAsia="仿宋_GB2312" w:cs="Times New Roman"/>
          <w:color w:val="000000"/>
          <w:sz w:val="28"/>
          <w:szCs w:val="28"/>
        </w:rPr>
        <w:t>还不够高效</w:t>
      </w:r>
    </w:p>
    <w:p>
      <w:pPr>
        <w:pStyle w:val="13"/>
        <w:widowControl/>
        <w:spacing w:line="360" w:lineRule="auto"/>
        <w:ind w:firstLine="560" w:firstLineChars="200"/>
        <w:rPr>
          <w:rFonts w:ascii="仿宋_GB2312" w:eastAsia="仿宋_GB2312" w:cs="Times New Roman"/>
          <w:color w:val="000000"/>
          <w:sz w:val="28"/>
          <w:szCs w:val="28"/>
        </w:rPr>
      </w:pPr>
      <w:r>
        <w:rPr>
          <w:rFonts w:hint="eastAsia" w:ascii="仿宋_GB2312" w:eastAsia="仿宋_GB2312"/>
          <w:color w:val="000000"/>
          <w:sz w:val="28"/>
          <w:szCs w:val="28"/>
        </w:rPr>
        <w:t>农村物流网络节点不健全、资源不集约、功能不完善，多方主体协作不足，经营规模小、装备水平低，社会化、专业化程度低。</w:t>
      </w:r>
    </w:p>
    <w:p>
      <w:pPr>
        <w:pStyle w:val="13"/>
        <w:widowControl/>
        <w:spacing w:line="360" w:lineRule="auto"/>
        <w:ind w:firstLine="560" w:firstLineChars="200"/>
        <w:rPr>
          <w:rFonts w:ascii="仿宋_GB2312" w:eastAsia="仿宋_GB2312" w:cs="Times New Roman"/>
          <w:color w:val="000000"/>
          <w:sz w:val="28"/>
          <w:szCs w:val="28"/>
        </w:rPr>
      </w:pPr>
      <w:r>
        <w:rPr>
          <w:rFonts w:hint="eastAsia" w:ascii="仿宋_GB2312" w:eastAsia="仿宋_GB2312" w:cs="Times New Roman"/>
          <w:color w:val="000000"/>
          <w:sz w:val="28"/>
          <w:szCs w:val="28"/>
        </w:rPr>
        <w:t>（3）农村物流信息化程度较低</w:t>
      </w:r>
    </w:p>
    <w:p>
      <w:pPr>
        <w:pStyle w:val="13"/>
        <w:widowControl/>
        <w:spacing w:line="360" w:lineRule="auto"/>
        <w:ind w:firstLine="560" w:firstLineChars="200"/>
        <w:rPr>
          <w:rFonts w:ascii="仿宋_GB2312" w:eastAsia="仿宋_GB2312" w:cs="Times New Roman"/>
          <w:color w:val="000000"/>
          <w:sz w:val="28"/>
          <w:szCs w:val="28"/>
        </w:rPr>
      </w:pPr>
      <w:r>
        <w:rPr>
          <w:rFonts w:hint="eastAsia" w:ascii="仿宋_GB2312" w:eastAsia="仿宋_GB2312"/>
          <w:color w:val="000000"/>
          <w:sz w:val="28"/>
          <w:szCs w:val="28"/>
        </w:rPr>
        <w:t>物流信息化建设不完善、数据处理手段落后，农户获取市场信息渠道狭窄，电子商务普及不足，缺乏公共物流信息服务平台。</w:t>
      </w:r>
    </w:p>
    <w:p>
      <w:pPr>
        <w:pStyle w:val="13"/>
        <w:widowControl/>
        <w:spacing w:line="360" w:lineRule="auto"/>
        <w:ind w:firstLine="560" w:firstLineChars="200"/>
        <w:rPr>
          <w:rFonts w:ascii="仿宋_GB2312" w:eastAsia="仿宋_GB2312" w:cs="Times New Roman"/>
          <w:color w:val="000000"/>
          <w:sz w:val="28"/>
          <w:szCs w:val="28"/>
        </w:rPr>
      </w:pPr>
      <w:r>
        <w:rPr>
          <w:rFonts w:hint="eastAsia" w:ascii="仿宋_GB2312" w:eastAsia="仿宋_GB2312"/>
          <w:color w:val="000000"/>
          <w:sz w:val="28"/>
          <w:szCs w:val="28"/>
        </w:rPr>
        <w:t>（</w:t>
      </w:r>
      <w:r>
        <w:rPr>
          <w:rFonts w:ascii="仿宋_GB2312" w:eastAsia="仿宋_GB2312"/>
          <w:color w:val="000000"/>
          <w:sz w:val="28"/>
          <w:szCs w:val="28"/>
        </w:rPr>
        <w:t>4</w:t>
      </w:r>
      <w:r>
        <w:rPr>
          <w:rFonts w:hint="eastAsia" w:ascii="仿宋_GB2312" w:eastAsia="仿宋_GB2312"/>
          <w:color w:val="000000"/>
          <w:sz w:val="28"/>
          <w:szCs w:val="28"/>
        </w:rPr>
        <w:t>）县内农村物流服务能力和水平还不高</w:t>
      </w:r>
    </w:p>
    <w:p>
      <w:pPr>
        <w:pStyle w:val="13"/>
        <w:widowControl/>
        <w:spacing w:line="360" w:lineRule="auto"/>
        <w:ind w:firstLine="560" w:firstLineChars="200"/>
        <w:rPr>
          <w:rFonts w:ascii="仿宋_GB2312" w:eastAsia="仿宋_GB2312"/>
          <w:color w:val="000000"/>
          <w:sz w:val="28"/>
          <w:szCs w:val="28"/>
        </w:rPr>
      </w:pPr>
      <w:r>
        <w:rPr>
          <w:rFonts w:hint="eastAsia" w:ascii="仿宋_GB2312" w:eastAsia="仿宋_GB2312"/>
          <w:color w:val="000000"/>
          <w:sz w:val="28"/>
          <w:szCs w:val="28"/>
        </w:rPr>
        <w:t>县内物流企业管理手段相对落后，多从事传统运输、仓储、配送业务，“客运+物流”、仓配一体等创新模式应用不足。</w:t>
      </w:r>
    </w:p>
    <w:p>
      <w:pPr>
        <w:pStyle w:val="13"/>
        <w:widowControl/>
        <w:spacing w:line="360" w:lineRule="auto"/>
        <w:ind w:firstLine="560" w:firstLineChars="200"/>
        <w:rPr>
          <w:rFonts w:ascii="仿宋_GB2312" w:eastAsia="仿宋_GB2312"/>
          <w:color w:val="000000"/>
          <w:sz w:val="28"/>
          <w:szCs w:val="28"/>
        </w:rPr>
      </w:pPr>
      <w:r>
        <w:rPr>
          <w:rFonts w:hint="eastAsia" w:ascii="仿宋_GB2312" w:eastAsia="仿宋_GB2312"/>
          <w:color w:val="000000"/>
          <w:sz w:val="28"/>
          <w:szCs w:val="28"/>
        </w:rPr>
        <w:t>（5）专业化农产品电商服务机构缺乏</w:t>
      </w:r>
    </w:p>
    <w:p>
      <w:pPr>
        <w:pStyle w:val="13"/>
        <w:widowControl/>
        <w:spacing w:line="360" w:lineRule="auto"/>
        <w:ind w:firstLine="560" w:firstLineChars="200"/>
        <w:rPr>
          <w:rFonts w:ascii="仿宋_GB2312" w:eastAsia="仿宋_GB2312"/>
          <w:color w:val="000000"/>
          <w:sz w:val="28"/>
          <w:szCs w:val="28"/>
        </w:rPr>
      </w:pPr>
      <w:r>
        <w:rPr>
          <w:rFonts w:hint="eastAsia" w:ascii="仿宋_GB2312" w:eastAsia="仿宋_GB2312"/>
          <w:color w:val="000000"/>
          <w:sz w:val="28"/>
          <w:szCs w:val="28"/>
        </w:rPr>
        <w:t>专业化农产品电商服务机构不足，品牌运作、在线支付、信用、金融、信息、统计监测等电商服务支撑体系不完善，制约农村经济发展。</w:t>
      </w:r>
    </w:p>
    <w:p>
      <w:pPr>
        <w:pStyle w:val="13"/>
        <w:widowControl/>
        <w:spacing w:line="360" w:lineRule="auto"/>
        <w:ind w:firstLine="560" w:firstLineChars="200"/>
        <w:rPr>
          <w:rFonts w:ascii="仿宋_GB2312" w:eastAsia="仿宋_GB2312" w:cs="Times New Roman"/>
          <w:color w:val="000000"/>
          <w:sz w:val="28"/>
          <w:szCs w:val="28"/>
        </w:rPr>
      </w:pPr>
      <w:r>
        <w:rPr>
          <w:rFonts w:hint="eastAsia" w:ascii="仿宋_GB2312" w:eastAsia="仿宋_GB2312"/>
          <w:color w:val="000000"/>
          <w:sz w:val="28"/>
          <w:szCs w:val="28"/>
        </w:rPr>
        <w:t>（</w:t>
      </w:r>
      <w:r>
        <w:rPr>
          <w:rFonts w:ascii="仿宋_GB2312" w:eastAsia="仿宋_GB2312"/>
          <w:color w:val="000000"/>
          <w:sz w:val="28"/>
          <w:szCs w:val="28"/>
        </w:rPr>
        <w:t>6</w:t>
      </w:r>
      <w:r>
        <w:rPr>
          <w:rFonts w:hint="eastAsia" w:ascii="仿宋_GB2312" w:eastAsia="仿宋_GB2312"/>
          <w:color w:val="000000"/>
          <w:sz w:val="28"/>
          <w:szCs w:val="28"/>
        </w:rPr>
        <w:t>）中高端物流人才匮乏</w:t>
      </w:r>
    </w:p>
    <w:p>
      <w:pPr>
        <w:pStyle w:val="13"/>
        <w:widowControl/>
        <w:spacing w:line="360" w:lineRule="auto"/>
        <w:ind w:firstLine="560" w:firstLineChars="200"/>
        <w:rPr>
          <w:rFonts w:hint="eastAsia" w:ascii="仿宋_GB2312" w:eastAsia="仿宋_GB2312"/>
          <w:color w:val="000000"/>
          <w:sz w:val="28"/>
          <w:szCs w:val="28"/>
        </w:rPr>
      </w:pPr>
      <w:r>
        <w:rPr>
          <w:rFonts w:hint="eastAsia" w:ascii="仿宋_GB2312" w:eastAsia="仿宋_GB2312"/>
          <w:color w:val="000000"/>
          <w:sz w:val="28"/>
          <w:szCs w:val="28"/>
        </w:rPr>
        <w:t>农村物流工作环境较差，中高端物流技术和管理人才匮乏，影响物流企业转型升级与创新发展。</w:t>
      </w:r>
    </w:p>
    <w:p>
      <w:pPr>
        <w:pStyle w:val="13"/>
        <w:widowControl/>
        <w:spacing w:line="360" w:lineRule="auto"/>
        <w:ind w:firstLine="560" w:firstLineChars="200"/>
        <w:rPr>
          <w:rFonts w:hint="eastAsia" w:ascii="仿宋_GB2312" w:eastAsia="仿宋_GB2312"/>
          <w:color w:val="000000"/>
          <w:sz w:val="28"/>
          <w:szCs w:val="28"/>
        </w:rPr>
      </w:pPr>
      <w:r>
        <w:rPr>
          <w:rFonts w:hint="eastAsia" w:ascii="仿宋_GB2312" w:eastAsia="仿宋_GB2312"/>
          <w:color w:val="000000"/>
          <w:sz w:val="28"/>
          <w:szCs w:val="28"/>
        </w:rPr>
        <w:br w:type="page"/>
      </w:r>
    </w:p>
    <w:p>
      <w:pPr>
        <w:pStyle w:val="2"/>
        <w:bidi w:val="0"/>
      </w:pPr>
      <w:bookmarkStart w:id="53" w:name="_Toc19814"/>
      <w:bookmarkStart w:id="54" w:name="_Toc19333"/>
      <w:r>
        <w:rPr>
          <w:rFonts w:hint="eastAsia"/>
        </w:rPr>
        <w:t xml:space="preserve">第三章 </w:t>
      </w:r>
      <w:bookmarkStart w:id="55" w:name="_Hlk532566711"/>
      <w:r>
        <w:rPr>
          <w:rFonts w:hint="eastAsia"/>
        </w:rPr>
        <w:t>县乡村三级农村物流网络体系</w:t>
      </w:r>
      <w:bookmarkEnd w:id="55"/>
      <w:r>
        <w:rPr>
          <w:rFonts w:hint="eastAsia"/>
        </w:rPr>
        <w:t>发展目标</w:t>
      </w:r>
      <w:bookmarkEnd w:id="53"/>
      <w:bookmarkEnd w:id="54"/>
    </w:p>
    <w:p>
      <w:pPr>
        <w:pStyle w:val="3"/>
        <w:bidi w:val="0"/>
      </w:pPr>
      <w:bookmarkStart w:id="56" w:name="_Toc533059746"/>
      <w:bookmarkStart w:id="57" w:name="_Toc7916"/>
      <w:bookmarkStart w:id="58" w:name="_Toc14527"/>
      <w:bookmarkStart w:id="59" w:name="_Toc3711133"/>
      <w:bookmarkStart w:id="60" w:name="_Toc27633"/>
      <w:bookmarkStart w:id="61" w:name="_Toc533059661"/>
      <w:r>
        <w:rPr>
          <w:rFonts w:hint="eastAsia"/>
        </w:rPr>
        <w:t>3.1指导思想</w:t>
      </w:r>
      <w:bookmarkEnd w:id="56"/>
      <w:bookmarkEnd w:id="57"/>
      <w:bookmarkEnd w:id="58"/>
      <w:bookmarkEnd w:id="59"/>
      <w:bookmarkEnd w:id="60"/>
      <w:bookmarkEnd w:id="61"/>
    </w:p>
    <w:p>
      <w:pPr>
        <w:snapToGrid w:val="0"/>
        <w:spacing w:before="157" w:beforeLines="50" w:after="157" w:afterLines="50" w:line="600" w:lineRule="exact"/>
        <w:ind w:firstLine="560" w:firstLineChars="200"/>
        <w:rPr>
          <w:rFonts w:hint="eastAsia" w:ascii="仿宋_GB2312" w:hAnsi="宋体" w:eastAsia="仿宋_GB2312" w:cs="宋体"/>
          <w:color w:val="000000"/>
          <w:sz w:val="28"/>
          <w:szCs w:val="28"/>
        </w:rPr>
      </w:pPr>
      <w:r>
        <w:rPr>
          <w:rFonts w:hint="eastAsia" w:ascii="仿宋_GB2312" w:hAnsi="宋体" w:eastAsia="仿宋_GB2312" w:cs="宋体"/>
          <w:color w:val="000000"/>
          <w:sz w:val="28"/>
          <w:szCs w:val="28"/>
        </w:rPr>
        <w:t>以党的二十大精神为根本遵循，锚定交通强国、农业强国目标，以服务“三农”为根本宗旨，以农村物流与电子商务深度融合为抓手，构建覆盖县乡村三级的农村物流服务体系，畅通“工业品下乡、农产品进城”双向流通渠道，为乡村振兴提供交通运输保障。</w:t>
      </w:r>
    </w:p>
    <w:p>
      <w:pPr>
        <w:pStyle w:val="3"/>
        <w:bidi w:val="0"/>
      </w:pPr>
      <w:bookmarkStart w:id="62" w:name="_Toc15809"/>
      <w:bookmarkStart w:id="63" w:name="_Toc16217"/>
      <w:r>
        <w:rPr>
          <w:rFonts w:hint="eastAsia"/>
        </w:rPr>
        <w:t>3.2建设要求</w:t>
      </w:r>
      <w:bookmarkEnd w:id="62"/>
      <w:bookmarkEnd w:id="63"/>
    </w:p>
    <w:p>
      <w:pPr>
        <w:snapToGrid w:val="0"/>
        <w:spacing w:line="600" w:lineRule="exact"/>
        <w:ind w:firstLine="560" w:firstLineChars="200"/>
        <w:rPr>
          <w:rFonts w:ascii="仿宋_GB2312" w:hAnsi="宋体" w:eastAsia="仿宋_GB2312" w:cs="宋体"/>
          <w:color w:val="000000"/>
          <w:sz w:val="28"/>
          <w:szCs w:val="28"/>
        </w:rPr>
      </w:pPr>
      <w:r>
        <w:rPr>
          <w:rFonts w:hint="eastAsia" w:ascii="仿宋_GB2312" w:hAnsi="宋体" w:eastAsia="仿宋_GB2312" w:cs="宋体"/>
          <w:color w:val="000000"/>
          <w:sz w:val="28"/>
          <w:szCs w:val="28"/>
        </w:rPr>
        <w:t>（1）坚持农业农村优先发展。把乡村振兴作为各级党委共同意志，优先保障农村物流要素配置和资金投入，加快补齐农业农村物流发展短板。</w:t>
      </w:r>
    </w:p>
    <w:p>
      <w:pPr>
        <w:snapToGrid w:val="0"/>
        <w:spacing w:line="600" w:lineRule="exact"/>
        <w:ind w:firstLine="560" w:firstLineChars="200"/>
        <w:rPr>
          <w:rFonts w:ascii="仿宋_GB2312" w:eastAsia="仿宋_GB2312"/>
          <w:color w:val="000000"/>
          <w:sz w:val="28"/>
          <w:szCs w:val="28"/>
        </w:rPr>
      </w:pPr>
      <w:r>
        <w:rPr>
          <w:rFonts w:hint="eastAsia" w:ascii="仿宋_GB2312" w:hAnsi="宋体" w:eastAsia="仿宋_GB2312" w:cs="宋体"/>
          <w:color w:val="000000"/>
          <w:sz w:val="28"/>
          <w:szCs w:val="28"/>
        </w:rPr>
        <w:t>（2）坚持多方融合。发挥市场决定性作用，推动农村客运、邮政、商贸、物流等要素融合共享，实现共同配送，避免重复建设。</w:t>
      </w:r>
    </w:p>
    <w:p>
      <w:pPr>
        <w:snapToGrid w:val="0"/>
        <w:spacing w:line="600" w:lineRule="exact"/>
        <w:ind w:firstLine="560" w:firstLineChars="200"/>
        <w:rPr>
          <w:rFonts w:ascii="仿宋_GB2312" w:hAnsi="宋体" w:eastAsia="仿宋_GB2312" w:cs="宋体"/>
          <w:color w:val="000000"/>
          <w:sz w:val="28"/>
          <w:szCs w:val="28"/>
        </w:rPr>
      </w:pPr>
      <w:r>
        <w:rPr>
          <w:rFonts w:hint="eastAsia" w:ascii="仿宋_GB2312" w:hAnsi="宋体" w:eastAsia="仿宋_GB2312" w:cs="宋体"/>
          <w:color w:val="000000"/>
          <w:sz w:val="28"/>
          <w:szCs w:val="28"/>
        </w:rPr>
        <w:t>（3）坚持改革创新。鼓励开展智能仓储、冷链物流等新技术与供应链金融等新模式应用，促进农村物流降本增效。</w:t>
      </w:r>
    </w:p>
    <w:p>
      <w:pPr>
        <w:snapToGrid w:val="0"/>
        <w:spacing w:line="600" w:lineRule="exact"/>
        <w:ind w:firstLine="560" w:firstLineChars="200"/>
        <w:rPr>
          <w:rFonts w:ascii="仿宋_GB2312" w:hAnsi="宋体" w:eastAsia="仿宋_GB2312" w:cs="宋体"/>
          <w:color w:val="000000"/>
          <w:sz w:val="28"/>
          <w:szCs w:val="28"/>
        </w:rPr>
      </w:pPr>
      <w:r>
        <w:rPr>
          <w:rFonts w:hint="eastAsia" w:ascii="仿宋_GB2312" w:hAnsi="宋体" w:eastAsia="仿宋_GB2312" w:cs="宋体"/>
          <w:color w:val="000000"/>
          <w:sz w:val="28"/>
          <w:szCs w:val="28"/>
        </w:rPr>
        <w:t>（4）坚持因地制宜、循序渐进。科学把握乡村差异性，分类施策，扎实推进农村物流网络建设，提升投递收寄能力。</w:t>
      </w:r>
    </w:p>
    <w:p>
      <w:pPr>
        <w:pStyle w:val="3"/>
        <w:bidi w:val="0"/>
      </w:pPr>
      <w:bookmarkStart w:id="64" w:name="_Toc3711135"/>
      <w:bookmarkStart w:id="65" w:name="_Toc1611"/>
      <w:bookmarkStart w:id="66" w:name="_Toc533059748"/>
      <w:bookmarkStart w:id="67" w:name="_Toc533059663"/>
      <w:bookmarkStart w:id="68" w:name="_Toc8454"/>
      <w:r>
        <w:rPr>
          <w:rFonts w:hint="eastAsia"/>
        </w:rPr>
        <w:t>3.3发展目标</w:t>
      </w:r>
      <w:bookmarkEnd w:id="64"/>
      <w:bookmarkEnd w:id="65"/>
      <w:bookmarkEnd w:id="66"/>
      <w:bookmarkEnd w:id="67"/>
      <w:bookmarkEnd w:id="68"/>
    </w:p>
    <w:p>
      <w:pPr>
        <w:spacing w:line="600" w:lineRule="exact"/>
        <w:ind w:firstLine="560" w:firstLineChars="200"/>
        <w:rPr>
          <w:rFonts w:hint="eastAsia" w:ascii="仿宋_GB2312" w:hAnsi="宋体" w:eastAsia="仿宋_GB2312" w:cs="宋体"/>
          <w:b/>
          <w:color w:val="000000"/>
          <w:sz w:val="24"/>
        </w:rPr>
      </w:pPr>
      <w:r>
        <w:rPr>
          <w:rFonts w:hint="eastAsia" w:ascii="仿宋_GB2312" w:hAnsi="宋体" w:eastAsia="仿宋_GB2312" w:cs="宋体"/>
          <w:color w:val="000000"/>
          <w:sz w:val="28"/>
          <w:szCs w:val="28"/>
        </w:rPr>
        <w:t>本规划目标是完善连南瑶族自治县“县-乡镇-建制村”农村物流网络，到2035年全面完成三级网络架构；整合县域物流资源，对城镇化程度较高的乡镇以物流中心、快递公司为主体开展配送，对较低乡镇通过农村客运网络与邮政、商贸网络合作开展配送，并完成物流信息化平台工程建设。具体目标见表3-1。</w:t>
      </w:r>
    </w:p>
    <w:p>
      <w:pPr>
        <w:adjustRightInd w:val="0"/>
        <w:snapToGrid w:val="0"/>
        <w:spacing w:line="360" w:lineRule="auto"/>
        <w:jc w:val="center"/>
        <w:rPr>
          <w:rFonts w:ascii="仿宋_GB2312" w:eastAsia="仿宋_GB2312" w:cs="宋体"/>
          <w:b/>
          <w:color w:val="000000"/>
          <w:sz w:val="28"/>
          <w:szCs w:val="28"/>
        </w:rPr>
      </w:pPr>
      <w:r>
        <w:rPr>
          <w:rFonts w:hint="eastAsia" w:ascii="仿宋_GB2312" w:hAnsi="宋体" w:eastAsia="仿宋_GB2312" w:cs="宋体"/>
          <w:b/>
          <w:color w:val="000000"/>
          <w:sz w:val="24"/>
        </w:rPr>
        <w:t>表3-1连南瑶族自治县县乡村三级物流体系规划主要指标</w:t>
      </w:r>
    </w:p>
    <w:tbl>
      <w:tblPr>
        <w:tblStyle w:val="15"/>
        <w:tblW w:w="8199"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88"/>
        <w:gridCol w:w="6311"/>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jc w:val="center"/>
        </w:trPr>
        <w:tc>
          <w:tcPr>
            <w:tcW w:w="1888" w:type="dxa"/>
            <w:tcBorders>
              <w:tl2br w:val="nil"/>
              <w:tr2bl w:val="nil"/>
            </w:tcBorders>
            <w:tcMar>
              <w:top w:w="15" w:type="dxa"/>
              <w:left w:w="15" w:type="dxa"/>
              <w:bottom w:w="0" w:type="dxa"/>
              <w:right w:w="15" w:type="dxa"/>
            </w:tcMar>
            <w:vAlign w:val="center"/>
          </w:tcPr>
          <w:p>
            <w:pPr>
              <w:jc w:val="center"/>
              <w:rPr>
                <w:rFonts w:ascii="仿宋_GB2312" w:eastAsia="仿宋_GB2312" w:cs="宋体"/>
                <w:b/>
                <w:bCs/>
                <w:color w:val="000000"/>
                <w:sz w:val="24"/>
              </w:rPr>
            </w:pPr>
            <w:r>
              <w:rPr>
                <w:rFonts w:hint="eastAsia" w:ascii="仿宋_GB2312" w:hAnsi="宋体" w:eastAsia="仿宋_GB2312" w:cs="宋体"/>
                <w:b/>
                <w:bCs/>
                <w:color w:val="000000"/>
                <w:sz w:val="24"/>
              </w:rPr>
              <w:t>指标</w:t>
            </w:r>
          </w:p>
        </w:tc>
        <w:tc>
          <w:tcPr>
            <w:tcW w:w="6311" w:type="dxa"/>
            <w:tcBorders>
              <w:tl2br w:val="nil"/>
              <w:tr2bl w:val="nil"/>
            </w:tcBorders>
            <w:tcMar>
              <w:top w:w="15" w:type="dxa"/>
              <w:left w:w="142" w:type="dxa"/>
              <w:bottom w:w="0" w:type="dxa"/>
              <w:right w:w="142" w:type="dxa"/>
            </w:tcMar>
            <w:vAlign w:val="center"/>
          </w:tcPr>
          <w:p>
            <w:pPr>
              <w:jc w:val="center"/>
              <w:rPr>
                <w:rFonts w:ascii="仿宋_GB2312" w:eastAsia="仿宋_GB2312" w:cs="宋体"/>
                <w:b/>
                <w:bCs/>
                <w:color w:val="000000"/>
                <w:sz w:val="24"/>
              </w:rPr>
            </w:pPr>
            <w:r>
              <w:rPr>
                <w:rFonts w:hint="eastAsia" w:ascii="仿宋_GB2312" w:hAnsi="宋体" w:eastAsia="仿宋_GB2312" w:cs="宋体"/>
                <w:b/>
                <w:bCs/>
                <w:color w:val="000000"/>
                <w:sz w:val="24"/>
              </w:rPr>
              <w:t>规划目标</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94" w:hRule="atLeast"/>
          <w:jc w:val="center"/>
        </w:trPr>
        <w:tc>
          <w:tcPr>
            <w:tcW w:w="1888" w:type="dxa"/>
            <w:tcBorders>
              <w:tl2br w:val="nil"/>
              <w:tr2bl w:val="nil"/>
            </w:tcBorders>
            <w:shd w:val="clear" w:color="auto" w:fill="FFFFFF"/>
            <w:tcMar>
              <w:top w:w="15" w:type="dxa"/>
              <w:left w:w="15" w:type="dxa"/>
              <w:bottom w:w="0" w:type="dxa"/>
              <w:right w:w="15" w:type="dxa"/>
            </w:tcMar>
            <w:vAlign w:val="center"/>
          </w:tcPr>
          <w:p>
            <w:pPr>
              <w:jc w:val="center"/>
              <w:rPr>
                <w:rFonts w:ascii="仿宋_GB2312" w:eastAsia="仿宋_GB2312" w:cs="宋体"/>
                <w:color w:val="000000"/>
                <w:sz w:val="24"/>
              </w:rPr>
            </w:pPr>
            <w:r>
              <w:rPr>
                <w:rFonts w:hint="eastAsia" w:ascii="仿宋_GB2312" w:hAnsi="宋体" w:eastAsia="仿宋_GB2312" w:cs="宋体"/>
                <w:color w:val="000000"/>
                <w:sz w:val="24"/>
              </w:rPr>
              <w:t>网络节点</w:t>
            </w:r>
          </w:p>
        </w:tc>
        <w:tc>
          <w:tcPr>
            <w:tcW w:w="6311" w:type="dxa"/>
            <w:tcBorders>
              <w:tl2br w:val="nil"/>
              <w:tr2bl w:val="nil"/>
            </w:tcBorders>
            <w:shd w:val="clear" w:color="auto" w:fill="FFFFFF"/>
            <w:tcMar>
              <w:top w:w="15" w:type="dxa"/>
              <w:left w:w="142" w:type="dxa"/>
              <w:bottom w:w="0" w:type="dxa"/>
              <w:right w:w="142" w:type="dxa"/>
            </w:tcMar>
            <w:vAlign w:val="center"/>
          </w:tcPr>
          <w:p>
            <w:pPr>
              <w:spacing w:line="360" w:lineRule="auto"/>
              <w:jc w:val="left"/>
              <w:rPr>
                <w:rFonts w:ascii="仿宋_GB2312" w:eastAsia="仿宋_GB2312" w:cs="宋体"/>
                <w:color w:val="000000"/>
                <w:sz w:val="24"/>
              </w:rPr>
            </w:pPr>
            <w:r>
              <w:rPr>
                <w:rFonts w:hint="eastAsia" w:ascii="仿宋_GB2312" w:hAnsi="宋体" w:eastAsia="仿宋_GB2312" w:cs="宋体"/>
                <w:color w:val="000000"/>
                <w:sz w:val="24"/>
              </w:rPr>
              <w:t>2个县级物流服务中心+7个镇级物流服务站+69个村级物流网点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78" w:hRule="atLeast"/>
          <w:jc w:val="center"/>
        </w:trPr>
        <w:tc>
          <w:tcPr>
            <w:tcW w:w="1888" w:type="dxa"/>
            <w:tcBorders>
              <w:tl2br w:val="nil"/>
              <w:tr2bl w:val="nil"/>
            </w:tcBorders>
            <w:shd w:val="clear" w:color="auto" w:fill="FFFFFF"/>
            <w:tcMar>
              <w:top w:w="15" w:type="dxa"/>
              <w:left w:w="15" w:type="dxa"/>
              <w:bottom w:w="0" w:type="dxa"/>
              <w:right w:w="15" w:type="dxa"/>
            </w:tcMar>
            <w:vAlign w:val="center"/>
          </w:tcPr>
          <w:p>
            <w:pPr>
              <w:jc w:val="center"/>
              <w:rPr>
                <w:rFonts w:ascii="仿宋_GB2312" w:eastAsia="仿宋_GB2312" w:cs="宋体"/>
                <w:color w:val="000000"/>
                <w:sz w:val="24"/>
              </w:rPr>
            </w:pPr>
            <w:r>
              <w:rPr>
                <w:rFonts w:hint="eastAsia" w:ascii="仿宋_GB2312" w:hAnsi="宋体" w:eastAsia="仿宋_GB2312" w:cs="宋体"/>
                <w:color w:val="000000"/>
                <w:sz w:val="24"/>
              </w:rPr>
              <w:t>配送网络线路</w:t>
            </w:r>
          </w:p>
        </w:tc>
        <w:tc>
          <w:tcPr>
            <w:tcW w:w="6311" w:type="dxa"/>
            <w:tcBorders>
              <w:tl2br w:val="nil"/>
              <w:tr2bl w:val="nil"/>
            </w:tcBorders>
            <w:shd w:val="clear" w:color="auto" w:fill="FFFFFF"/>
            <w:tcMar>
              <w:top w:w="15" w:type="dxa"/>
              <w:left w:w="142" w:type="dxa"/>
              <w:bottom w:w="0" w:type="dxa"/>
              <w:right w:w="142" w:type="dxa"/>
            </w:tcMar>
            <w:vAlign w:val="center"/>
          </w:tcPr>
          <w:p>
            <w:pPr>
              <w:spacing w:line="360" w:lineRule="auto"/>
              <w:jc w:val="left"/>
              <w:rPr>
                <w:rFonts w:ascii="仿宋_GB2312" w:eastAsia="仿宋_GB2312" w:cs="宋体"/>
                <w:color w:val="000000"/>
                <w:sz w:val="24"/>
              </w:rPr>
            </w:pPr>
            <w:r>
              <w:rPr>
                <w:rFonts w:hint="eastAsia" w:ascii="仿宋_GB2312" w:hAnsi="宋体" w:eastAsia="仿宋_GB2312" w:cs="宋体"/>
                <w:color w:val="000000"/>
                <w:sz w:val="24"/>
              </w:rPr>
              <w:t>打造3条物流配送专线</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0" w:hRule="atLeast"/>
          <w:jc w:val="center"/>
        </w:trPr>
        <w:tc>
          <w:tcPr>
            <w:tcW w:w="1888" w:type="dxa"/>
            <w:tcBorders>
              <w:tl2br w:val="nil"/>
              <w:tr2bl w:val="nil"/>
            </w:tcBorders>
            <w:shd w:val="clear" w:color="auto" w:fill="FFFFFF"/>
            <w:tcMar>
              <w:top w:w="15" w:type="dxa"/>
              <w:left w:w="15" w:type="dxa"/>
              <w:bottom w:w="0" w:type="dxa"/>
              <w:right w:w="15" w:type="dxa"/>
            </w:tcMar>
            <w:vAlign w:val="center"/>
          </w:tcPr>
          <w:p>
            <w:pPr>
              <w:jc w:val="center"/>
              <w:rPr>
                <w:rFonts w:ascii="仿宋_GB2312" w:eastAsia="仿宋_GB2312" w:cs="宋体"/>
                <w:color w:val="000000"/>
                <w:sz w:val="24"/>
              </w:rPr>
            </w:pPr>
            <w:r>
              <w:rPr>
                <w:rFonts w:hint="eastAsia" w:ascii="仿宋_GB2312" w:hAnsi="宋体" w:eastAsia="仿宋_GB2312" w:cs="宋体"/>
                <w:color w:val="000000"/>
                <w:sz w:val="24"/>
              </w:rPr>
              <w:t>电商服务网络</w:t>
            </w:r>
          </w:p>
        </w:tc>
        <w:tc>
          <w:tcPr>
            <w:tcW w:w="6311" w:type="dxa"/>
            <w:tcBorders>
              <w:tl2br w:val="nil"/>
              <w:tr2bl w:val="nil"/>
            </w:tcBorders>
            <w:shd w:val="clear" w:color="auto" w:fill="FFFFFF"/>
            <w:tcMar>
              <w:top w:w="15" w:type="dxa"/>
              <w:left w:w="142" w:type="dxa"/>
              <w:bottom w:w="0" w:type="dxa"/>
              <w:right w:w="142" w:type="dxa"/>
            </w:tcMar>
            <w:vAlign w:val="center"/>
          </w:tcPr>
          <w:p>
            <w:pPr>
              <w:spacing w:line="360" w:lineRule="auto"/>
              <w:jc w:val="left"/>
              <w:rPr>
                <w:rFonts w:ascii="仿宋_GB2312" w:eastAsia="仿宋_GB2312" w:cs="宋体"/>
                <w:color w:val="000000"/>
                <w:sz w:val="24"/>
              </w:rPr>
            </w:pPr>
            <w:r>
              <w:rPr>
                <w:rFonts w:hint="eastAsia" w:ascii="仿宋_GB2312" w:hAnsi="宋体" w:eastAsia="仿宋_GB2312" w:cs="宋体"/>
                <w:color w:val="000000"/>
                <w:sz w:val="24"/>
              </w:rPr>
              <w:t>1.建设农村电商综合服务平台2.建设乡镇电商服务站7个（依托综合运输服务站）3.建设农村电商服务示范点69个（依托村级物流服务点）4.每个镇重点培育1个镇级龙头电商企业</w:t>
            </w:r>
            <w:bookmarkStart w:id="69" w:name="_Hlk3800249"/>
            <w:bookmarkEnd w:id="69"/>
          </w:p>
        </w:tc>
      </w:tr>
    </w:tbl>
    <w:p>
      <w:pPr>
        <w:pStyle w:val="2"/>
        <w:bidi w:val="0"/>
        <w:rPr>
          <w:rFonts w:ascii="仿宋_GB2312" w:hAnsi="宋体" w:eastAsia="仿宋_GB2312" w:cs="宋体"/>
          <w:bCs/>
          <w:color w:val="000000"/>
          <w:szCs w:val="36"/>
        </w:rPr>
      </w:pPr>
      <w:r>
        <w:rPr>
          <w:rFonts w:hint="eastAsia" w:ascii="仿宋_GB2312" w:eastAsia="仿宋_GB2312" w:cs="宋体"/>
          <w:b/>
          <w:color w:val="000000"/>
          <w:szCs w:val="28"/>
        </w:rPr>
        <w:br w:type="page"/>
      </w:r>
      <w:bookmarkStart w:id="70" w:name="_Toc144113531"/>
      <w:bookmarkStart w:id="71" w:name="_Toc6328"/>
      <w:bookmarkStart w:id="72" w:name="_Toc533059749"/>
      <w:bookmarkStart w:id="73" w:name="_Toc3711136"/>
      <w:bookmarkStart w:id="74" w:name="_Toc17189"/>
      <w:bookmarkStart w:id="75" w:name="_Toc533059664"/>
      <w:bookmarkStart w:id="76" w:name="_Toc22346"/>
      <w:r>
        <w:rPr>
          <w:rFonts w:hint="eastAsia"/>
        </w:rPr>
        <w:t>第四章</w:t>
      </w:r>
      <w:bookmarkEnd w:id="70"/>
      <w:bookmarkEnd w:id="71"/>
      <w:r>
        <w:rPr>
          <w:rFonts w:hint="eastAsia"/>
        </w:rPr>
        <w:t xml:space="preserve"> 县乡村三级农村物流网络体系规划方案</w:t>
      </w:r>
      <w:bookmarkEnd w:id="72"/>
      <w:bookmarkEnd w:id="73"/>
      <w:bookmarkEnd w:id="74"/>
      <w:bookmarkEnd w:id="75"/>
      <w:bookmarkEnd w:id="76"/>
    </w:p>
    <w:p>
      <w:pPr>
        <w:pStyle w:val="3"/>
        <w:bidi w:val="0"/>
      </w:pPr>
      <w:bookmarkStart w:id="77" w:name="_Toc13388"/>
      <w:bookmarkStart w:id="78" w:name="_Toc8582"/>
      <w:bookmarkStart w:id="79" w:name="_Toc533347546"/>
      <w:bookmarkStart w:id="80" w:name="_Toc5559"/>
      <w:bookmarkStart w:id="81" w:name="_Toc12725"/>
      <w:r>
        <w:rPr>
          <w:rFonts w:hint="eastAsia"/>
        </w:rPr>
        <w:t>4.1主要任务</w:t>
      </w:r>
      <w:bookmarkEnd w:id="77"/>
      <w:bookmarkEnd w:id="78"/>
      <w:bookmarkEnd w:id="79"/>
      <w:bookmarkEnd w:id="80"/>
      <w:bookmarkEnd w:id="81"/>
    </w:p>
    <w:p>
      <w:pPr>
        <w:adjustRightInd w:val="0"/>
        <w:snapToGrid w:val="0"/>
        <w:spacing w:line="360" w:lineRule="auto"/>
        <w:ind w:firstLine="560" w:firstLineChars="200"/>
        <w:rPr>
          <w:rFonts w:ascii="仿宋_GB2312" w:eastAsia="仿宋_GB2312"/>
          <w:color w:val="000000"/>
          <w:sz w:val="28"/>
          <w:szCs w:val="28"/>
        </w:rPr>
      </w:pPr>
      <w:r>
        <w:rPr>
          <w:rFonts w:hint="eastAsia" w:ascii="仿宋_GB2312" w:hAnsi="宋体" w:eastAsia="仿宋_GB2312" w:cs="宋体"/>
          <w:color w:val="000000"/>
          <w:sz w:val="28"/>
          <w:szCs w:val="28"/>
        </w:rPr>
        <w:t>（1）健全农村物流网络体系。整合邮政、供销、交通及社会物流、快递、仓储资源，推动县、镇、村三级物流节点建设，依托交通枢纽规划综合物流服务基地，推广定时、定点、定线的“货运班线”，发展城乡一体共同配送。</w:t>
      </w:r>
    </w:p>
    <w:p>
      <w:pPr>
        <w:adjustRightInd w:val="0"/>
        <w:snapToGrid w:val="0"/>
        <w:spacing w:line="360" w:lineRule="auto"/>
        <w:ind w:firstLine="560" w:firstLineChars="200"/>
        <w:rPr>
          <w:rFonts w:ascii="仿宋_GB2312" w:eastAsia="仿宋_GB2312"/>
          <w:color w:val="000000"/>
          <w:sz w:val="28"/>
          <w:szCs w:val="28"/>
        </w:rPr>
      </w:pPr>
      <w:r>
        <w:rPr>
          <w:rFonts w:hint="eastAsia" w:ascii="仿宋_GB2312" w:hAnsi="宋体" w:eastAsia="仿宋_GB2312" w:cs="宋体"/>
          <w:color w:val="000000"/>
          <w:sz w:val="28"/>
          <w:szCs w:val="28"/>
        </w:rPr>
        <w:t>（2）强化农村物流基础设施建设。在重要乡镇节点布局多功能物流枢纽，加强交通、农业、供销、邮政快递设施规划衔接，完成县级物流服务中心和村级物流服务点建设。</w:t>
      </w:r>
    </w:p>
    <w:p>
      <w:pPr>
        <w:adjustRightInd w:val="0"/>
        <w:snapToGrid w:val="0"/>
        <w:spacing w:line="360" w:lineRule="auto"/>
        <w:ind w:firstLine="560" w:firstLineChars="200"/>
        <w:rPr>
          <w:rFonts w:ascii="仿宋_GB2312" w:eastAsia="仿宋_GB2312"/>
          <w:color w:val="000000"/>
          <w:sz w:val="28"/>
          <w:szCs w:val="28"/>
        </w:rPr>
      </w:pPr>
      <w:r>
        <w:rPr>
          <w:rFonts w:hint="eastAsia" w:ascii="仿宋_GB2312" w:hAnsi="宋体" w:eastAsia="仿宋_GB2312" w:cs="宋体"/>
          <w:color w:val="000000"/>
          <w:sz w:val="28"/>
          <w:szCs w:val="28"/>
        </w:rPr>
        <w:t>（3）实现农村物流信息共建共享。以交通运输运政信息管理系统为基础，整合农业、供销、邮政等部门信息，搭建县级物流信息平台，健全农产品物流预测预警和应急机制。</w:t>
      </w:r>
    </w:p>
    <w:p>
      <w:pPr>
        <w:adjustRightInd w:val="0"/>
        <w:snapToGrid w:val="0"/>
        <w:spacing w:line="360" w:lineRule="auto"/>
        <w:ind w:firstLine="560" w:firstLineChars="200"/>
        <w:rPr>
          <w:rFonts w:ascii="仿宋_GB2312" w:eastAsia="仿宋_GB2312"/>
          <w:color w:val="000000"/>
          <w:sz w:val="28"/>
          <w:szCs w:val="28"/>
        </w:rPr>
      </w:pPr>
      <w:r>
        <w:rPr>
          <w:rFonts w:hint="eastAsia" w:ascii="仿宋_GB2312" w:hAnsi="宋体" w:eastAsia="仿宋_GB2312" w:cs="宋体"/>
          <w:color w:val="000000"/>
          <w:sz w:val="28"/>
          <w:szCs w:val="28"/>
        </w:rPr>
        <w:t>（4）注重物流服务水平提升。完善农产品冷链物流体系，探索客运班车代运邮件快件新模式，推动仓储立体化、搬运机械化、分拣自动化、配送网络化，提升配送效率。</w:t>
      </w:r>
    </w:p>
    <w:p>
      <w:pPr>
        <w:pStyle w:val="3"/>
        <w:bidi w:val="0"/>
      </w:pPr>
      <w:bookmarkStart w:id="82" w:name="_Toc29296"/>
      <w:bookmarkStart w:id="83" w:name="_Toc8535"/>
      <w:bookmarkStart w:id="84" w:name="_Toc533347547"/>
      <w:bookmarkStart w:id="85" w:name="_Toc10270"/>
      <w:bookmarkStart w:id="86" w:name="_Toc22247"/>
      <w:r>
        <w:rPr>
          <w:rFonts w:hint="eastAsia"/>
        </w:rPr>
        <w:t>4.2重点工程</w:t>
      </w:r>
      <w:bookmarkEnd w:id="82"/>
      <w:bookmarkEnd w:id="83"/>
      <w:bookmarkEnd w:id="84"/>
      <w:bookmarkEnd w:id="85"/>
      <w:bookmarkEnd w:id="86"/>
    </w:p>
    <w:p>
      <w:pPr>
        <w:pStyle w:val="4"/>
        <w:bidi w:val="0"/>
      </w:pPr>
      <w:bookmarkStart w:id="87" w:name="_Toc20285"/>
      <w:bookmarkStart w:id="88" w:name="_Toc3624"/>
      <w:bookmarkStart w:id="89" w:name="_Toc533347548"/>
      <w:bookmarkStart w:id="90" w:name="_Toc10829"/>
      <w:bookmarkStart w:id="91" w:name="_Toc8506"/>
      <w:bookmarkStart w:id="92" w:name="_Toc9017"/>
      <w:bookmarkStart w:id="93" w:name="_Toc7887"/>
      <w:bookmarkStart w:id="94" w:name="_Toc28354"/>
      <w:bookmarkStart w:id="95" w:name="_Toc17733"/>
      <w:bookmarkStart w:id="96" w:name="_Toc18488"/>
      <w:bookmarkStart w:id="97" w:name="_Toc18947"/>
      <w:r>
        <w:rPr>
          <w:rFonts w:hint="eastAsia"/>
        </w:rPr>
        <w:t>4.2.1物流网络节点规划</w:t>
      </w:r>
      <w:bookmarkEnd w:id="87"/>
      <w:bookmarkEnd w:id="88"/>
      <w:bookmarkEnd w:id="89"/>
      <w:bookmarkEnd w:id="90"/>
      <w:bookmarkEnd w:id="91"/>
    </w:p>
    <w:p>
      <w:pPr>
        <w:adjustRightInd w:val="0"/>
        <w:snapToGrid w:val="0"/>
        <w:spacing w:line="360" w:lineRule="auto"/>
        <w:ind w:firstLine="562" w:firstLineChars="200"/>
        <w:rPr>
          <w:rFonts w:ascii="仿宋_GB2312" w:eastAsia="仿宋_GB2312"/>
          <w:b/>
          <w:bCs/>
          <w:color w:val="000000"/>
          <w:sz w:val="28"/>
          <w:szCs w:val="28"/>
        </w:rPr>
      </w:pPr>
      <w:r>
        <w:rPr>
          <w:rFonts w:hint="eastAsia" w:ascii="仿宋_GB2312" w:hAnsi="宋体" w:eastAsia="仿宋_GB2312" w:cs="宋体"/>
          <w:b/>
          <w:bCs/>
          <w:color w:val="000000"/>
          <w:sz w:val="28"/>
          <w:szCs w:val="28"/>
        </w:rPr>
        <w:t>（1）节点规划建设原则</w:t>
      </w:r>
    </w:p>
    <w:p>
      <w:pPr>
        <w:adjustRightInd w:val="0"/>
        <w:snapToGrid w:val="0"/>
        <w:spacing w:line="360" w:lineRule="auto"/>
        <w:ind w:firstLine="560" w:firstLineChars="200"/>
        <w:rPr>
          <w:rFonts w:ascii="仿宋_GB2312" w:eastAsia="仿宋_GB2312"/>
          <w:color w:val="000000"/>
          <w:sz w:val="28"/>
          <w:szCs w:val="28"/>
        </w:rPr>
      </w:pPr>
      <w:r>
        <w:rPr>
          <w:rFonts w:hint="eastAsia" w:ascii="仿宋_GB2312" w:hAnsi="宋体" w:eastAsia="仿宋_GB2312" w:cs="宋体"/>
          <w:color w:val="000000"/>
          <w:sz w:val="28"/>
          <w:szCs w:val="28"/>
        </w:rPr>
        <w:t>1）城乡一体原则。统筹城乡物流规划，实现三级物流体系与全国干线物流网络全面融合。</w:t>
      </w:r>
    </w:p>
    <w:p>
      <w:pPr>
        <w:adjustRightInd w:val="0"/>
        <w:snapToGrid w:val="0"/>
        <w:spacing w:line="360" w:lineRule="auto"/>
        <w:ind w:firstLine="560" w:firstLineChars="200"/>
        <w:rPr>
          <w:rFonts w:ascii="仿宋_GB2312" w:eastAsia="仿宋_GB2312"/>
          <w:color w:val="000000"/>
          <w:sz w:val="28"/>
          <w:szCs w:val="28"/>
        </w:rPr>
      </w:pPr>
      <w:r>
        <w:rPr>
          <w:rFonts w:hint="eastAsia" w:ascii="仿宋_GB2312" w:hAnsi="宋体" w:eastAsia="仿宋_GB2312" w:cs="宋体"/>
          <w:color w:val="000000"/>
          <w:sz w:val="28"/>
          <w:szCs w:val="28"/>
        </w:rPr>
        <w:t>2）统一布局原则。综合考虑行政区划、产业布局、人口分布、对外交通、货物流向及现有节点资源等因素，统筹确定节点数量、类型、规模和功能。</w:t>
      </w:r>
    </w:p>
    <w:p>
      <w:pPr>
        <w:adjustRightInd w:val="0"/>
        <w:snapToGrid w:val="0"/>
        <w:spacing w:line="360" w:lineRule="auto"/>
        <w:ind w:firstLine="560" w:firstLineChars="200"/>
        <w:rPr>
          <w:rFonts w:ascii="仿宋_GB2312" w:eastAsia="仿宋_GB2312"/>
          <w:color w:val="000000"/>
          <w:sz w:val="28"/>
          <w:szCs w:val="28"/>
        </w:rPr>
      </w:pPr>
      <w:r>
        <w:rPr>
          <w:rFonts w:hint="eastAsia" w:ascii="仿宋_GB2312" w:hAnsi="宋体" w:eastAsia="仿宋_GB2312" w:cs="宋体"/>
          <w:color w:val="000000"/>
          <w:sz w:val="28"/>
          <w:szCs w:val="28"/>
        </w:rPr>
        <w:t>3）因地制宜原则。立足当地资源禀赋、自然条件、产业特点，规划建设各具特色、模式多样的节点体系。</w:t>
      </w:r>
    </w:p>
    <w:p>
      <w:pPr>
        <w:adjustRightInd w:val="0"/>
        <w:snapToGrid w:val="0"/>
        <w:spacing w:line="360" w:lineRule="auto"/>
        <w:ind w:firstLine="560" w:firstLineChars="200"/>
        <w:rPr>
          <w:rFonts w:ascii="仿宋_GB2312" w:eastAsia="仿宋_GB2312"/>
          <w:color w:val="000000"/>
          <w:sz w:val="28"/>
          <w:szCs w:val="28"/>
        </w:rPr>
      </w:pPr>
      <w:r>
        <w:rPr>
          <w:rFonts w:hint="eastAsia" w:ascii="仿宋_GB2312" w:hAnsi="宋体" w:eastAsia="仿宋_GB2312" w:cs="宋体"/>
          <w:color w:val="000000"/>
          <w:sz w:val="28"/>
          <w:szCs w:val="28"/>
        </w:rPr>
        <w:t>4）资源整合原则。按照“资源共享、多站合一、功能集中、节约高效”要求，促进交通、商务、农业、邮政、供销等部门节点资源衔接共享。</w:t>
      </w:r>
    </w:p>
    <w:p>
      <w:pPr>
        <w:adjustRightInd w:val="0"/>
        <w:snapToGrid w:val="0"/>
        <w:spacing w:line="360" w:lineRule="auto"/>
        <w:ind w:firstLine="560" w:firstLineChars="200"/>
        <w:rPr>
          <w:rFonts w:ascii="仿宋_GB2312" w:eastAsia="仿宋_GB2312"/>
          <w:color w:val="000000"/>
          <w:sz w:val="28"/>
          <w:szCs w:val="28"/>
        </w:rPr>
      </w:pPr>
      <w:r>
        <w:rPr>
          <w:rFonts w:hint="eastAsia" w:ascii="仿宋_GB2312" w:hAnsi="宋体" w:eastAsia="仿宋_GB2312" w:cs="宋体"/>
          <w:color w:val="000000"/>
          <w:sz w:val="28"/>
          <w:szCs w:val="28"/>
        </w:rPr>
        <w:t>5）信息化原则。建立覆盖县乡村的物流信息网络系统和一体化物流信息平台，实现各物流环节有效沟通、实时跟踪、有效控制和全程管理。</w:t>
      </w:r>
    </w:p>
    <w:p>
      <w:pPr>
        <w:adjustRightInd w:val="0"/>
        <w:snapToGrid w:val="0"/>
        <w:spacing w:line="360" w:lineRule="auto"/>
        <w:ind w:firstLine="562" w:firstLineChars="200"/>
        <w:rPr>
          <w:rFonts w:ascii="仿宋_GB2312" w:eastAsia="仿宋_GB2312"/>
          <w:b/>
          <w:bCs/>
          <w:color w:val="000000"/>
          <w:sz w:val="28"/>
          <w:szCs w:val="28"/>
        </w:rPr>
      </w:pPr>
      <w:r>
        <w:rPr>
          <w:rFonts w:hint="eastAsia" w:ascii="仿宋_GB2312" w:hAnsi="宋体" w:eastAsia="仿宋_GB2312" w:cs="宋体"/>
          <w:b/>
          <w:bCs/>
          <w:color w:val="000000"/>
          <w:sz w:val="28"/>
          <w:szCs w:val="28"/>
        </w:rPr>
        <w:t>（2）连南瑶族自治县县乡村三级农村物流网络建设</w:t>
      </w:r>
    </w:p>
    <w:p>
      <w:pPr>
        <w:adjustRightInd w:val="0"/>
        <w:snapToGrid w:val="0"/>
        <w:spacing w:line="360" w:lineRule="auto"/>
        <w:ind w:firstLine="560" w:firstLineChars="200"/>
        <w:rPr>
          <w:rFonts w:ascii="仿宋_GB2312" w:eastAsia="仿宋_GB2312"/>
          <w:color w:val="000000"/>
          <w:sz w:val="28"/>
          <w:szCs w:val="28"/>
        </w:rPr>
      </w:pPr>
      <w:r>
        <w:rPr>
          <w:rFonts w:hint="eastAsia" w:ascii="仿宋_GB2312" w:hAnsi="宋体" w:eastAsia="仿宋_GB2312" w:cs="宋体"/>
          <w:color w:val="000000"/>
          <w:sz w:val="28"/>
          <w:szCs w:val="28"/>
        </w:rPr>
        <w:t>连南瑶族自治县农村物流三级网络如图4-1。首先，建立县级农村物流服务中心，形成仓储、运输配送、物流信息及综合服务一体化系统；其次，利用各乡镇客运站、货运站、社会仓库改建或新建乡镇级农村物流服务站，起承上启下作用；最后，合理布设村级物流网点，发挥农村客运村村通优势实现班线客车小件快运，实现农村物流网络全覆盖，形成门对门、点对点的“三农”物流体系。</w:t>
      </w:r>
    </w:p>
    <w:p>
      <w:pPr>
        <w:adjustRightInd w:val="0"/>
        <w:snapToGrid w:val="0"/>
        <w:spacing w:line="360" w:lineRule="auto"/>
        <w:jc w:val="center"/>
        <w:rPr>
          <w:rFonts w:hint="eastAsia" w:ascii="仿宋_GB2312" w:eastAsia="仿宋_GB2312"/>
          <w:color w:val="000000"/>
        </w:rPr>
      </w:pPr>
      <w:r>
        <w:rPr>
          <w:rFonts w:hint="eastAsia" w:ascii="仿宋_GB2312" w:eastAsia="仿宋_GB2312"/>
          <w:color w:val="000000"/>
        </w:rPr>
        <w:drawing>
          <wp:inline distT="0" distB="0" distL="114300" distR="114300">
            <wp:extent cx="4566285" cy="359092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a:stretch>
                      <a:fillRect/>
                    </a:stretch>
                  </pic:blipFill>
                  <pic:spPr>
                    <a:xfrm>
                      <a:off x="0" y="0"/>
                      <a:ext cx="4566285" cy="3590925"/>
                    </a:xfrm>
                    <a:prstGeom prst="rect">
                      <a:avLst/>
                    </a:prstGeom>
                    <a:noFill/>
                    <a:ln>
                      <a:noFill/>
                    </a:ln>
                  </pic:spPr>
                </pic:pic>
              </a:graphicData>
            </a:graphic>
          </wp:inline>
        </w:drawing>
      </w:r>
    </w:p>
    <w:p>
      <w:pPr>
        <w:adjustRightInd w:val="0"/>
        <w:snapToGrid w:val="0"/>
        <w:spacing w:line="360" w:lineRule="auto"/>
        <w:jc w:val="center"/>
        <w:rPr>
          <w:rFonts w:ascii="仿宋_GB2312" w:eastAsia="仿宋_GB2312"/>
          <w:b/>
          <w:bCs/>
          <w:color w:val="000000"/>
          <w:sz w:val="28"/>
          <w:szCs w:val="28"/>
        </w:rPr>
      </w:pPr>
      <w:r>
        <w:rPr>
          <w:rFonts w:hint="eastAsia" w:ascii="仿宋_GB2312" w:hAnsi="宋体" w:eastAsia="仿宋_GB2312" w:cs="宋体"/>
          <w:b/>
          <w:bCs/>
          <w:color w:val="000000"/>
          <w:sz w:val="24"/>
        </w:rPr>
        <w:t>图4-1连南瑶族自治县农村物流三级网络节点示意图</w:t>
      </w:r>
    </w:p>
    <w:p>
      <w:pPr>
        <w:adjustRightInd w:val="0"/>
        <w:snapToGrid w:val="0"/>
        <w:spacing w:line="360" w:lineRule="auto"/>
        <w:ind w:firstLine="562" w:firstLineChars="200"/>
        <w:rPr>
          <w:rFonts w:ascii="仿宋_GB2312" w:eastAsia="仿宋_GB2312"/>
          <w:b/>
          <w:bCs/>
          <w:color w:val="000000"/>
          <w:sz w:val="28"/>
          <w:szCs w:val="28"/>
        </w:rPr>
      </w:pPr>
      <w:bookmarkStart w:id="98" w:name="_Toc28229"/>
      <w:r>
        <w:rPr>
          <w:rFonts w:hint="eastAsia" w:ascii="仿宋_GB2312" w:hAnsi="宋体" w:eastAsia="仿宋_GB2312" w:cs="宋体"/>
          <w:b/>
          <w:bCs/>
          <w:color w:val="000000"/>
          <w:sz w:val="28"/>
          <w:szCs w:val="28"/>
        </w:rPr>
        <w:t>（3）打造</w:t>
      </w:r>
      <w:bookmarkEnd w:id="92"/>
      <w:bookmarkEnd w:id="93"/>
      <w:bookmarkEnd w:id="94"/>
      <w:r>
        <w:rPr>
          <w:rFonts w:hint="eastAsia" w:ascii="仿宋_GB2312" w:hAnsi="宋体" w:eastAsia="仿宋_GB2312" w:cs="宋体"/>
          <w:b/>
          <w:bCs/>
          <w:color w:val="000000"/>
          <w:sz w:val="28"/>
          <w:szCs w:val="28"/>
        </w:rPr>
        <w:t>县级农村物流服务中心</w:t>
      </w:r>
      <w:bookmarkEnd w:id="95"/>
      <w:bookmarkEnd w:id="96"/>
      <w:bookmarkEnd w:id="97"/>
      <w:bookmarkEnd w:id="98"/>
    </w:p>
    <w:p>
      <w:pPr>
        <w:adjustRightInd w:val="0"/>
        <w:snapToGrid w:val="0"/>
        <w:spacing w:line="360" w:lineRule="auto"/>
        <w:ind w:firstLine="560" w:firstLineChars="200"/>
        <w:rPr>
          <w:rFonts w:ascii="仿宋_GB2312" w:eastAsia="仿宋_GB2312"/>
          <w:color w:val="000000"/>
          <w:sz w:val="28"/>
          <w:szCs w:val="28"/>
        </w:rPr>
      </w:pPr>
      <w:r>
        <w:rPr>
          <w:rFonts w:hint="eastAsia" w:ascii="仿宋_GB2312" w:hAnsi="宋体" w:eastAsia="仿宋_GB2312" w:cs="宋体"/>
          <w:color w:val="000000"/>
          <w:sz w:val="28"/>
          <w:szCs w:val="28"/>
        </w:rPr>
        <w:t>1）功能定位</w:t>
      </w:r>
    </w:p>
    <w:p>
      <w:pPr>
        <w:adjustRightInd w:val="0"/>
        <w:snapToGrid w:val="0"/>
        <w:spacing w:line="360" w:lineRule="auto"/>
        <w:ind w:firstLine="560" w:firstLineChars="200"/>
        <w:rPr>
          <w:rFonts w:ascii="仿宋_GB2312" w:eastAsia="仿宋_GB2312"/>
          <w:color w:val="000000"/>
          <w:sz w:val="28"/>
          <w:szCs w:val="28"/>
        </w:rPr>
      </w:pPr>
      <w:r>
        <w:rPr>
          <w:rFonts w:hint="eastAsia" w:ascii="仿宋_GB2312" w:hAnsi="宋体" w:eastAsia="仿宋_GB2312" w:cs="宋体"/>
          <w:color w:val="000000"/>
          <w:sz w:val="28"/>
          <w:szCs w:val="28"/>
        </w:rPr>
        <w:t>县级农村物流服务中心处于三级网络体系最高层次，是县域与外部物流交换的枢纽。通过整合交通、商务、农业、邮政、供销及快递资源，建设农村电商综合信息平台，承接大规模、大批量快消品、工业品和农产品的仓储配送及上下行运输服务。</w:t>
      </w:r>
    </w:p>
    <w:p>
      <w:pPr>
        <w:adjustRightInd w:val="0"/>
        <w:snapToGrid w:val="0"/>
        <w:spacing w:line="360" w:lineRule="auto"/>
        <w:ind w:firstLine="560" w:firstLineChars="200"/>
        <w:rPr>
          <w:rFonts w:ascii="仿宋_GB2312" w:hAnsi="宋体" w:eastAsia="仿宋_GB2312" w:cs="宋体"/>
          <w:color w:val="000000"/>
          <w:sz w:val="28"/>
          <w:szCs w:val="28"/>
        </w:rPr>
      </w:pPr>
      <w:r>
        <w:rPr>
          <w:rFonts w:hint="eastAsia" w:ascii="仿宋_GB2312" w:hAnsi="宋体" w:eastAsia="仿宋_GB2312" w:cs="宋体"/>
          <w:color w:val="000000"/>
          <w:sz w:val="28"/>
          <w:szCs w:val="28"/>
        </w:rPr>
        <w:t>2）节点选址</w:t>
      </w:r>
    </w:p>
    <w:p>
      <w:pPr>
        <w:adjustRightInd w:val="0"/>
        <w:snapToGrid w:val="0"/>
        <w:spacing w:line="360" w:lineRule="auto"/>
        <w:ind w:firstLine="560" w:firstLineChars="200"/>
        <w:rPr>
          <w:rFonts w:hint="eastAsia" w:ascii="仿宋_GB2312" w:hAnsi="宋体" w:eastAsia="仿宋_GB2312" w:cs="宋体"/>
          <w:color w:val="000000"/>
          <w:sz w:val="28"/>
          <w:szCs w:val="28"/>
        </w:rPr>
      </w:pPr>
      <w:r>
        <w:rPr>
          <w:rFonts w:hint="eastAsia" w:ascii="仿宋_GB2312" w:hAnsi="宋体" w:eastAsia="仿宋_GB2312" w:cs="宋体"/>
          <w:color w:val="000000"/>
          <w:sz w:val="28"/>
          <w:szCs w:val="28"/>
        </w:rPr>
        <w:t>三江镇地处县行政、经济、交通核心，紧邻G55二广高速出入口、G323国道及省道干线，外联珠三角、内通全县乡镇，用地条件良好，是县级物流配送中心的最优选址。</w:t>
      </w:r>
    </w:p>
    <w:p>
      <w:pPr>
        <w:adjustRightInd w:val="0"/>
        <w:snapToGrid w:val="0"/>
        <w:spacing w:line="360" w:lineRule="auto"/>
        <w:ind w:firstLine="560" w:firstLineChars="200"/>
        <w:rPr>
          <w:rFonts w:hint="eastAsia" w:ascii="仿宋_GB2312" w:hAnsi="宋体" w:eastAsia="仿宋_GB2312" w:cs="宋体"/>
          <w:color w:val="000000"/>
          <w:sz w:val="28"/>
          <w:szCs w:val="28"/>
        </w:rPr>
      </w:pPr>
      <w:r>
        <w:rPr>
          <w:rFonts w:hint="eastAsia" w:ascii="仿宋_GB2312" w:hAnsi="宋体" w:eastAsia="仿宋_GB2312" w:cs="宋体"/>
          <w:color w:val="000000"/>
          <w:sz w:val="28"/>
          <w:szCs w:val="28"/>
        </w:rPr>
        <w:t>寨岗镇位于县域东南部，是南部人口与产业大镇，省道干线联通清连高速，商贸流通便捷，是县域副中心型商贸重镇和农副产品核心集散地。</w:t>
      </w:r>
    </w:p>
    <w:p>
      <w:pPr>
        <w:adjustRightInd w:val="0"/>
        <w:snapToGrid w:val="0"/>
        <w:spacing w:line="360" w:lineRule="auto"/>
        <w:ind w:firstLine="560" w:firstLineChars="200"/>
        <w:rPr>
          <w:rFonts w:hint="eastAsia" w:ascii="仿宋_GB2312" w:hAnsi="宋体" w:eastAsia="仿宋_GB2312" w:cs="宋体"/>
          <w:color w:val="000000"/>
          <w:sz w:val="28"/>
          <w:szCs w:val="28"/>
        </w:rPr>
      </w:pPr>
      <w:r>
        <w:rPr>
          <w:rFonts w:hint="eastAsia" w:ascii="仿宋_GB2312" w:hAnsi="宋体" w:eastAsia="仿宋_GB2312" w:cs="宋体"/>
          <w:color w:val="000000"/>
          <w:sz w:val="28"/>
          <w:szCs w:val="28"/>
        </w:rPr>
        <w:t>故将县级农村物流分拨中心设于三江镇和寨岗镇，分别位于三江镇六联村（龙口附近）及262省道与753乡道交叉口东北300米，详见下表。</w:t>
      </w:r>
    </w:p>
    <w:p>
      <w:pPr>
        <w:adjustRightInd w:val="0"/>
        <w:snapToGrid w:val="0"/>
        <w:spacing w:line="360" w:lineRule="auto"/>
        <w:ind w:firstLine="482" w:firstLineChars="200"/>
        <w:jc w:val="center"/>
        <w:rPr>
          <w:rFonts w:ascii="仿宋_GB2312" w:hAnsi="宋体" w:eastAsia="仿宋_GB2312" w:cs="宋体"/>
          <w:color w:val="000000"/>
          <w:sz w:val="28"/>
          <w:szCs w:val="28"/>
        </w:rPr>
      </w:pPr>
      <w:r>
        <w:rPr>
          <w:rFonts w:hint="eastAsia" w:ascii="仿宋_GB2312" w:hAnsi="宋体" w:eastAsia="仿宋_GB2312" w:cs="宋体"/>
          <w:b/>
          <w:color w:val="000000"/>
          <w:sz w:val="24"/>
        </w:rPr>
        <w:t>表4-1县级农村物流服务站规划建设表</w:t>
      </w:r>
    </w:p>
    <w:tbl>
      <w:tblPr>
        <w:tblStyle w:val="15"/>
        <w:tblW w:w="9562" w:type="dxa"/>
        <w:jc w:val="center"/>
        <w:tblInd w:w="0"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12"/>
        <w:gridCol w:w="788"/>
        <w:gridCol w:w="2871"/>
        <w:gridCol w:w="3003"/>
        <w:gridCol w:w="2188"/>
      </w:tblGrid>
      <w:tr>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24" w:hRule="atLeast"/>
          <w:tblHeader/>
          <w:jc w:val="center"/>
        </w:trPr>
        <w:tc>
          <w:tcPr>
            <w:tcW w:w="712" w:type="dxa"/>
            <w:tcBorders>
              <w:tl2br w:val="nil"/>
              <w:tr2bl w:val="nil"/>
            </w:tcBorders>
            <w:vAlign w:val="center"/>
          </w:tcPr>
          <w:p>
            <w:pPr>
              <w:widowControl/>
              <w:jc w:val="center"/>
              <w:textAlignment w:val="center"/>
              <w:rPr>
                <w:rFonts w:ascii="Arial" w:hAnsi="Arial" w:cs="Arial"/>
                <w:b/>
                <w:bCs/>
                <w:color w:val="000000"/>
                <w:sz w:val="22"/>
                <w:szCs w:val="22"/>
              </w:rPr>
            </w:pPr>
            <w:r>
              <w:rPr>
                <w:rStyle w:val="28"/>
                <w:b/>
                <w:bCs/>
                <w:lang w:eastAsia="zh-CN" w:bidi="ar"/>
              </w:rPr>
              <w:t>序号</w:t>
            </w:r>
          </w:p>
        </w:tc>
        <w:tc>
          <w:tcPr>
            <w:tcW w:w="788" w:type="dxa"/>
            <w:tcBorders>
              <w:tl2br w:val="nil"/>
              <w:tr2bl w:val="nil"/>
            </w:tcBorders>
            <w:vAlign w:val="center"/>
          </w:tcPr>
          <w:p>
            <w:pPr>
              <w:widowControl/>
              <w:jc w:val="center"/>
              <w:textAlignment w:val="center"/>
              <w:rPr>
                <w:rFonts w:ascii="Arial" w:hAnsi="Arial" w:cs="Arial"/>
                <w:b/>
                <w:bCs/>
                <w:color w:val="000000"/>
                <w:sz w:val="22"/>
                <w:szCs w:val="22"/>
              </w:rPr>
            </w:pPr>
            <w:r>
              <w:rPr>
                <w:rFonts w:hint="eastAsia" w:ascii="宋体" w:hAnsi="宋体" w:cs="宋体"/>
                <w:b/>
                <w:bCs/>
                <w:color w:val="000000"/>
                <w:kern w:val="0"/>
                <w:sz w:val="18"/>
                <w:szCs w:val="18"/>
                <w:lang w:bidi="ar"/>
              </w:rPr>
              <w:t>镇（乡）</w:t>
            </w:r>
          </w:p>
        </w:tc>
        <w:tc>
          <w:tcPr>
            <w:tcW w:w="2871" w:type="dxa"/>
            <w:tcBorders>
              <w:tl2br w:val="nil"/>
              <w:tr2bl w:val="nil"/>
            </w:tcBorders>
            <w:vAlign w:val="center"/>
          </w:tcPr>
          <w:p>
            <w:pPr>
              <w:widowControl/>
              <w:jc w:val="center"/>
              <w:textAlignment w:val="center"/>
              <w:rPr>
                <w:rFonts w:ascii="Arial" w:hAnsi="Arial" w:cs="Arial"/>
                <w:b/>
                <w:bCs/>
                <w:color w:val="000000"/>
                <w:sz w:val="22"/>
                <w:szCs w:val="22"/>
              </w:rPr>
            </w:pPr>
            <w:r>
              <w:rPr>
                <w:rStyle w:val="28"/>
                <w:b/>
                <w:bCs/>
                <w:lang w:eastAsia="zh-CN" w:bidi="ar"/>
              </w:rPr>
              <w:t>物流快递点名称</w:t>
            </w:r>
          </w:p>
        </w:tc>
        <w:tc>
          <w:tcPr>
            <w:tcW w:w="3003" w:type="dxa"/>
            <w:tcBorders>
              <w:tl2br w:val="nil"/>
              <w:tr2bl w:val="nil"/>
            </w:tcBorders>
            <w:vAlign w:val="center"/>
          </w:tcPr>
          <w:p>
            <w:pPr>
              <w:widowControl/>
              <w:jc w:val="center"/>
              <w:textAlignment w:val="center"/>
              <w:rPr>
                <w:rFonts w:ascii="Arial" w:hAnsi="Arial" w:cs="Arial"/>
                <w:b/>
                <w:bCs/>
                <w:color w:val="000000"/>
                <w:sz w:val="22"/>
                <w:szCs w:val="22"/>
              </w:rPr>
            </w:pPr>
            <w:r>
              <w:rPr>
                <w:rStyle w:val="28"/>
                <w:rFonts w:hint="eastAsia"/>
                <w:b/>
                <w:bCs/>
                <w:lang w:eastAsia="zh-CN" w:bidi="ar"/>
              </w:rPr>
              <w:t>位置</w:t>
            </w:r>
          </w:p>
        </w:tc>
        <w:tc>
          <w:tcPr>
            <w:tcW w:w="2188" w:type="dxa"/>
            <w:tcBorders>
              <w:tl2br w:val="nil"/>
              <w:tr2bl w:val="nil"/>
            </w:tcBorders>
            <w:vAlign w:val="center"/>
          </w:tcPr>
          <w:p>
            <w:pPr>
              <w:widowControl/>
              <w:jc w:val="center"/>
              <w:textAlignment w:val="center"/>
              <w:rPr>
                <w:rFonts w:ascii="Arial" w:hAnsi="Arial" w:cs="Arial"/>
                <w:b/>
                <w:bCs/>
                <w:color w:val="000000"/>
                <w:sz w:val="22"/>
                <w:szCs w:val="22"/>
              </w:rPr>
            </w:pPr>
            <w:r>
              <w:rPr>
                <w:rStyle w:val="28"/>
                <w:rFonts w:hint="eastAsia"/>
                <w:b/>
                <w:bCs/>
                <w:lang w:eastAsia="zh-CN" w:bidi="ar"/>
              </w:rPr>
              <w:t>建设性质</w:t>
            </w:r>
            <w:r>
              <w:rPr>
                <w:rStyle w:val="28"/>
                <w:rFonts w:hint="eastAsia"/>
                <w:b/>
                <w:bCs/>
                <w:lang w:eastAsia="zh-CN" w:bidi="ar"/>
              </w:rPr>
              <w:br w:type="textWrapping"/>
            </w:r>
            <w:r>
              <w:rPr>
                <w:rStyle w:val="28"/>
                <w:rFonts w:hint="eastAsia"/>
                <w:b/>
                <w:bCs/>
                <w:lang w:eastAsia="zh-CN" w:bidi="ar"/>
              </w:rPr>
              <w:t>（改建/新建）</w:t>
            </w:r>
          </w:p>
        </w:tc>
      </w:tr>
      <w:tr>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14" w:hRule="atLeast"/>
          <w:jc w:val="center"/>
        </w:trPr>
        <w:tc>
          <w:tcPr>
            <w:tcW w:w="712" w:type="dxa"/>
            <w:tcBorders>
              <w:tl2br w:val="nil"/>
              <w:tr2bl w:val="nil"/>
            </w:tcBorders>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w:t>
            </w:r>
          </w:p>
        </w:tc>
        <w:tc>
          <w:tcPr>
            <w:tcW w:w="788" w:type="dxa"/>
            <w:tcBorders>
              <w:tl2br w:val="nil"/>
              <w:tr2bl w:val="nil"/>
            </w:tcBorders>
            <w:vAlign w:val="center"/>
          </w:tcPr>
          <w:p>
            <w:pPr>
              <w:widowControl/>
              <w:jc w:val="left"/>
              <w:textAlignment w:val="center"/>
              <w:rPr>
                <w:rFonts w:ascii="Arial" w:hAnsi="Arial" w:cs="Arial"/>
                <w:color w:val="000000"/>
                <w:sz w:val="22"/>
                <w:szCs w:val="22"/>
              </w:rPr>
            </w:pPr>
            <w:r>
              <w:rPr>
                <w:rStyle w:val="28"/>
                <w:rFonts w:hint="eastAsia"/>
                <w:lang w:eastAsia="zh-CN" w:bidi="ar"/>
              </w:rPr>
              <w:t>三江</w:t>
            </w:r>
            <w:r>
              <w:rPr>
                <w:rStyle w:val="28"/>
                <w:lang w:eastAsia="zh-CN" w:bidi="ar"/>
              </w:rPr>
              <w:t>镇</w:t>
            </w:r>
          </w:p>
        </w:tc>
        <w:tc>
          <w:tcPr>
            <w:tcW w:w="2871" w:type="dxa"/>
            <w:tcBorders>
              <w:tl2br w:val="nil"/>
              <w:tr2bl w:val="nil"/>
            </w:tcBorders>
            <w:vAlign w:val="center"/>
          </w:tcPr>
          <w:p>
            <w:pPr>
              <w:widowControl/>
              <w:jc w:val="center"/>
              <w:textAlignment w:val="center"/>
              <w:rPr>
                <w:rFonts w:ascii="Arial" w:hAnsi="Arial" w:cs="Arial"/>
                <w:color w:val="000000"/>
                <w:sz w:val="22"/>
                <w:szCs w:val="22"/>
              </w:rPr>
            </w:pPr>
            <w:r>
              <w:rPr>
                <w:rStyle w:val="28"/>
                <w:rFonts w:hint="eastAsia"/>
                <w:lang w:eastAsia="zh-CN" w:bidi="ar"/>
              </w:rPr>
              <w:t>县级物流中心</w:t>
            </w:r>
          </w:p>
        </w:tc>
        <w:tc>
          <w:tcPr>
            <w:tcW w:w="3003" w:type="dxa"/>
            <w:tcBorders>
              <w:tl2br w:val="nil"/>
              <w:tr2bl w:val="nil"/>
            </w:tcBorders>
            <w:vAlign w:val="center"/>
          </w:tcPr>
          <w:p>
            <w:pPr>
              <w:widowControl/>
              <w:jc w:val="center"/>
              <w:textAlignment w:val="center"/>
              <w:rPr>
                <w:rFonts w:ascii="Arial" w:hAnsi="Arial" w:cs="Arial"/>
                <w:color w:val="000000"/>
                <w:sz w:val="22"/>
                <w:szCs w:val="22"/>
              </w:rPr>
            </w:pPr>
            <w:r>
              <w:rPr>
                <w:rStyle w:val="28"/>
                <w:rFonts w:hint="eastAsia"/>
                <w:lang w:eastAsia="zh-CN" w:bidi="ar"/>
              </w:rPr>
              <w:t>三江镇六联村（龙口附近）</w:t>
            </w:r>
          </w:p>
        </w:tc>
        <w:tc>
          <w:tcPr>
            <w:tcW w:w="2188" w:type="dxa"/>
            <w:tcBorders>
              <w:tl2br w:val="nil"/>
              <w:tr2bl w:val="nil"/>
            </w:tcBorders>
            <w:vAlign w:val="center"/>
          </w:tcPr>
          <w:p>
            <w:pPr>
              <w:widowControl/>
              <w:jc w:val="left"/>
              <w:textAlignment w:val="center"/>
              <w:rPr>
                <w:rFonts w:ascii="Arial" w:hAnsi="Arial" w:cs="Arial"/>
                <w:color w:val="000000"/>
                <w:sz w:val="22"/>
                <w:szCs w:val="22"/>
              </w:rPr>
            </w:pPr>
            <w:r>
              <w:rPr>
                <w:rStyle w:val="28"/>
                <w:lang w:eastAsia="zh-CN" w:bidi="ar"/>
              </w:rPr>
              <w:t>县级物流快递点</w:t>
            </w:r>
            <w:r>
              <w:rPr>
                <w:rStyle w:val="28"/>
                <w:rFonts w:hint="eastAsia"/>
                <w:lang w:eastAsia="zh-CN" w:bidi="ar"/>
              </w:rPr>
              <w:t>（新建）</w:t>
            </w:r>
          </w:p>
        </w:tc>
      </w:tr>
      <w:tr>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14" w:hRule="atLeast"/>
          <w:jc w:val="center"/>
        </w:trPr>
        <w:tc>
          <w:tcPr>
            <w:tcW w:w="712" w:type="dxa"/>
            <w:tcBorders>
              <w:tl2br w:val="nil"/>
              <w:tr2bl w:val="nil"/>
            </w:tcBorders>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sz w:val="18"/>
                <w:szCs w:val="18"/>
              </w:rPr>
              <w:t>2</w:t>
            </w:r>
          </w:p>
        </w:tc>
        <w:tc>
          <w:tcPr>
            <w:tcW w:w="788" w:type="dxa"/>
            <w:tcBorders>
              <w:tl2br w:val="nil"/>
              <w:tr2bl w:val="nil"/>
            </w:tcBorders>
            <w:vAlign w:val="center"/>
          </w:tcPr>
          <w:p>
            <w:pPr>
              <w:jc w:val="left"/>
              <w:rPr>
                <w:rFonts w:ascii="Arial" w:hAnsi="Arial" w:cs="Arial"/>
                <w:color w:val="000000"/>
                <w:sz w:val="22"/>
                <w:szCs w:val="22"/>
              </w:rPr>
            </w:pPr>
            <w:r>
              <w:rPr>
                <w:rStyle w:val="28"/>
                <w:rFonts w:hint="eastAsia"/>
                <w:lang w:eastAsia="zh-CN" w:bidi="ar"/>
              </w:rPr>
              <w:t>寨岗镇</w:t>
            </w:r>
          </w:p>
        </w:tc>
        <w:tc>
          <w:tcPr>
            <w:tcW w:w="2871" w:type="dxa"/>
            <w:tcBorders>
              <w:tl2br w:val="nil"/>
              <w:tr2bl w:val="nil"/>
            </w:tcBorders>
            <w:vAlign w:val="center"/>
          </w:tcPr>
          <w:p>
            <w:pPr>
              <w:widowControl/>
              <w:jc w:val="center"/>
              <w:textAlignment w:val="center"/>
              <w:rPr>
                <w:rFonts w:ascii="Arial" w:hAnsi="Arial" w:cs="Arial"/>
                <w:color w:val="000000"/>
                <w:sz w:val="22"/>
                <w:szCs w:val="22"/>
              </w:rPr>
            </w:pPr>
            <w:r>
              <w:rPr>
                <w:rStyle w:val="28"/>
                <w:rFonts w:hint="eastAsia"/>
                <w:lang w:eastAsia="zh-CN" w:bidi="ar"/>
              </w:rPr>
              <w:t>寨岗快递物流集中点</w:t>
            </w:r>
          </w:p>
        </w:tc>
        <w:tc>
          <w:tcPr>
            <w:tcW w:w="3003" w:type="dxa"/>
            <w:tcBorders>
              <w:tl2br w:val="nil"/>
              <w:tr2bl w:val="nil"/>
            </w:tcBorders>
            <w:vAlign w:val="center"/>
          </w:tcPr>
          <w:p>
            <w:pPr>
              <w:widowControl/>
              <w:jc w:val="center"/>
              <w:textAlignment w:val="center"/>
              <w:rPr>
                <w:rFonts w:ascii="Arial" w:hAnsi="Arial" w:cs="Arial"/>
                <w:color w:val="000000"/>
                <w:sz w:val="22"/>
                <w:szCs w:val="22"/>
              </w:rPr>
            </w:pPr>
            <w:r>
              <w:rPr>
                <w:rStyle w:val="28"/>
                <w:rFonts w:hint="eastAsia"/>
                <w:lang w:eastAsia="zh-CN" w:bidi="ar"/>
              </w:rPr>
              <w:t>清远市连南瑶族自治县262省道与753乡道交叉口东北300米</w:t>
            </w:r>
          </w:p>
        </w:tc>
        <w:tc>
          <w:tcPr>
            <w:tcW w:w="2188" w:type="dxa"/>
            <w:tcBorders>
              <w:tl2br w:val="nil"/>
              <w:tr2bl w:val="nil"/>
            </w:tcBorders>
            <w:vAlign w:val="center"/>
          </w:tcPr>
          <w:p>
            <w:pPr>
              <w:widowControl/>
              <w:jc w:val="left"/>
              <w:textAlignment w:val="center"/>
              <w:rPr>
                <w:rFonts w:ascii="Arial" w:hAnsi="Arial" w:cs="Arial"/>
                <w:color w:val="000000"/>
                <w:sz w:val="22"/>
                <w:szCs w:val="22"/>
              </w:rPr>
            </w:pPr>
            <w:r>
              <w:rPr>
                <w:rStyle w:val="28"/>
                <w:lang w:eastAsia="zh-CN" w:bidi="ar"/>
              </w:rPr>
              <w:t>县级物流快递点</w:t>
            </w:r>
            <w:r>
              <w:rPr>
                <w:rStyle w:val="28"/>
                <w:rFonts w:hint="eastAsia"/>
                <w:lang w:eastAsia="zh-CN" w:bidi="ar"/>
              </w:rPr>
              <w:t>（改造）</w:t>
            </w:r>
          </w:p>
        </w:tc>
      </w:tr>
    </w:tbl>
    <w:p>
      <w:pPr>
        <w:adjustRightInd w:val="0"/>
        <w:snapToGrid w:val="0"/>
        <w:spacing w:line="360" w:lineRule="auto"/>
        <w:ind w:firstLine="420" w:firstLineChars="200"/>
      </w:pPr>
    </w:p>
    <w:p>
      <w:pPr>
        <w:adjustRightInd w:val="0"/>
        <w:snapToGrid w:val="0"/>
        <w:spacing w:line="360" w:lineRule="auto"/>
        <w:ind w:firstLine="420" w:firstLineChars="200"/>
      </w:pPr>
    </w:p>
    <w:p>
      <w:pPr>
        <w:adjustRightInd w:val="0"/>
        <w:snapToGrid w:val="0"/>
        <w:spacing w:line="360" w:lineRule="auto"/>
        <w:ind w:firstLine="420" w:firstLineChars="200"/>
      </w:pPr>
    </w:p>
    <w:p>
      <w:pPr>
        <w:adjustRightInd w:val="0"/>
        <w:snapToGrid w:val="0"/>
        <w:spacing w:line="360" w:lineRule="auto"/>
        <w:ind w:firstLine="420" w:firstLineChars="200"/>
      </w:pPr>
    </w:p>
    <w:p>
      <w:pPr>
        <w:adjustRightInd w:val="0"/>
        <w:snapToGrid w:val="0"/>
        <w:spacing w:line="360" w:lineRule="auto"/>
        <w:jc w:val="center"/>
      </w:pPr>
      <w:r>
        <w:drawing>
          <wp:inline distT="0" distB="0" distL="114300" distR="114300">
            <wp:extent cx="5267325" cy="827722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3"/>
                    <a:stretch>
                      <a:fillRect/>
                    </a:stretch>
                  </pic:blipFill>
                  <pic:spPr>
                    <a:xfrm>
                      <a:off x="0" y="0"/>
                      <a:ext cx="5267325" cy="8277225"/>
                    </a:xfrm>
                    <a:prstGeom prst="rect">
                      <a:avLst/>
                    </a:prstGeom>
                    <a:noFill/>
                    <a:ln>
                      <a:noFill/>
                    </a:ln>
                  </pic:spPr>
                </pic:pic>
              </a:graphicData>
            </a:graphic>
          </wp:inline>
        </w:drawing>
      </w:r>
    </w:p>
    <w:p>
      <w:pPr>
        <w:adjustRightInd w:val="0"/>
        <w:snapToGrid w:val="0"/>
        <w:spacing w:line="360" w:lineRule="auto"/>
        <w:ind w:firstLine="482" w:firstLineChars="200"/>
        <w:jc w:val="center"/>
        <w:rPr>
          <w:rFonts w:hint="eastAsia" w:ascii="仿宋_GB2312" w:hAnsi="宋体" w:eastAsia="仿宋_GB2312" w:cs="宋体"/>
          <w:color w:val="000000"/>
          <w:sz w:val="28"/>
          <w:szCs w:val="28"/>
        </w:rPr>
      </w:pPr>
      <w:r>
        <w:rPr>
          <w:rFonts w:hint="eastAsia" w:ascii="仿宋_GB2312" w:hAnsi="宋体" w:eastAsia="仿宋_GB2312" w:cs="宋体"/>
          <w:b/>
          <w:color w:val="000000"/>
          <w:sz w:val="24"/>
        </w:rPr>
        <w:t>图4-2</w:t>
      </w:r>
      <w:r>
        <w:rPr>
          <w:rFonts w:ascii="仿宋_GB2312" w:hAnsi="宋体" w:eastAsia="仿宋_GB2312" w:cs="宋体"/>
          <w:b/>
          <w:color w:val="000000"/>
          <w:sz w:val="24"/>
        </w:rPr>
        <w:t xml:space="preserve"> </w:t>
      </w:r>
      <w:r>
        <w:rPr>
          <w:rFonts w:hint="eastAsia" w:ascii="仿宋_GB2312" w:hAnsi="宋体" w:eastAsia="仿宋_GB2312" w:cs="宋体"/>
          <w:b/>
          <w:color w:val="000000"/>
          <w:sz w:val="24"/>
        </w:rPr>
        <w:t>连南瑶族自治县县级农村物流服务站方位图</w:t>
      </w:r>
    </w:p>
    <w:p>
      <w:pPr>
        <w:adjustRightInd w:val="0"/>
        <w:snapToGrid w:val="0"/>
        <w:spacing w:line="360" w:lineRule="auto"/>
        <w:jc w:val="center"/>
        <w:rPr>
          <w:rFonts w:hint="eastAsia"/>
        </w:rPr>
      </w:pPr>
    </w:p>
    <w:p>
      <w:pPr>
        <w:adjustRightInd w:val="0"/>
        <w:snapToGrid w:val="0"/>
        <w:spacing w:line="360" w:lineRule="auto"/>
        <w:ind w:firstLine="560" w:firstLineChars="200"/>
        <w:rPr>
          <w:rFonts w:hint="eastAsia" w:ascii="仿宋_GB2312" w:eastAsia="仿宋_GB2312"/>
          <w:color w:val="000000"/>
          <w:sz w:val="28"/>
          <w:szCs w:val="28"/>
        </w:rPr>
      </w:pPr>
      <w:r>
        <w:rPr>
          <w:rFonts w:hint="eastAsia" w:ascii="仿宋_GB2312" w:hAnsi="宋体" w:eastAsia="仿宋_GB2312" w:cs="宋体"/>
          <w:color w:val="000000"/>
          <w:sz w:val="28"/>
          <w:szCs w:val="28"/>
        </w:rPr>
        <w:t>3）功能布局</w:t>
      </w:r>
    </w:p>
    <w:p>
      <w:pPr>
        <w:adjustRightInd w:val="0"/>
        <w:snapToGrid w:val="0"/>
        <w:spacing w:line="360" w:lineRule="auto"/>
        <w:ind w:firstLine="560" w:firstLineChars="200"/>
        <w:rPr>
          <w:rFonts w:ascii="仿宋_GB2312" w:eastAsia="仿宋_GB2312"/>
          <w:color w:val="000000"/>
          <w:sz w:val="28"/>
          <w:szCs w:val="28"/>
        </w:rPr>
      </w:pPr>
      <w:r>
        <w:rPr>
          <w:rFonts w:hint="eastAsia" w:ascii="仿宋_GB2312" w:hAnsi="宋体" w:eastAsia="仿宋_GB2312" w:cs="宋体"/>
          <w:color w:val="000000"/>
          <w:sz w:val="28"/>
          <w:szCs w:val="28"/>
        </w:rPr>
        <w:t>县级农村物流服务中心集农产品采购、流通加工包装、分拣运输、储存保管、信息及农资消费品配送等功能于一体，建筑面积约4000m</w:t>
      </w:r>
      <w:r>
        <w:rPr>
          <w:rFonts w:hint="eastAsia" w:ascii="仿宋_GB2312" w:hAnsi="宋体" w:eastAsia="仿宋_GB2312" w:cs="宋体"/>
          <w:color w:val="000000"/>
          <w:sz w:val="28"/>
          <w:szCs w:val="28"/>
          <w:vertAlign w:val="superscript"/>
        </w:rPr>
        <w:t>2</w:t>
      </w:r>
      <w:r>
        <w:rPr>
          <w:rFonts w:hint="eastAsia" w:ascii="仿宋_GB2312" w:hAnsi="宋体" w:eastAsia="仿宋_GB2312" w:cs="宋体"/>
          <w:color w:val="000000"/>
          <w:sz w:val="28"/>
          <w:szCs w:val="28"/>
        </w:rPr>
        <w:t>，功能布局示意图如图4-3。</w:t>
      </w:r>
    </w:p>
    <w:p>
      <w:pPr>
        <w:adjustRightInd w:val="0"/>
        <w:snapToGrid w:val="0"/>
        <w:spacing w:line="360" w:lineRule="auto"/>
        <w:jc w:val="center"/>
        <w:rPr>
          <w:rFonts w:ascii="仿宋_GB2312" w:eastAsia="仿宋_GB2312"/>
          <w:color w:val="000000"/>
          <w:sz w:val="28"/>
          <w:szCs w:val="28"/>
        </w:rPr>
      </w:pPr>
      <w:r>
        <w:rPr>
          <w:rFonts w:ascii="仿宋_GB2312" w:eastAsia="仿宋_GB2312"/>
          <w:color w:val="000000"/>
        </w:rPr>
        <w:drawing>
          <wp:inline distT="0" distB="0" distL="114300" distR="114300">
            <wp:extent cx="3105150" cy="1866900"/>
            <wp:effectExtent l="0" t="0" r="0" b="0"/>
            <wp:docPr id="3" name="图片 3"/>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4"/>
                    <a:stretch>
                      <a:fillRect/>
                    </a:stretch>
                  </pic:blipFill>
                  <pic:spPr>
                    <a:xfrm>
                      <a:off x="0" y="0"/>
                      <a:ext cx="3105150" cy="1866900"/>
                    </a:xfrm>
                    <a:prstGeom prst="rect">
                      <a:avLst/>
                    </a:prstGeom>
                    <a:noFill/>
                    <a:ln>
                      <a:noFill/>
                    </a:ln>
                  </pic:spPr>
                </pic:pic>
              </a:graphicData>
            </a:graphic>
          </wp:inline>
        </w:drawing>
      </w:r>
    </w:p>
    <w:p>
      <w:pPr>
        <w:adjustRightInd w:val="0"/>
        <w:snapToGrid w:val="0"/>
        <w:spacing w:line="360" w:lineRule="auto"/>
        <w:jc w:val="center"/>
        <w:rPr>
          <w:rFonts w:ascii="仿宋_GB2312" w:eastAsia="仿宋_GB2312"/>
          <w:b/>
          <w:color w:val="000000"/>
          <w:sz w:val="24"/>
        </w:rPr>
      </w:pPr>
      <w:r>
        <w:rPr>
          <w:rFonts w:hint="eastAsia" w:ascii="仿宋_GB2312" w:hAnsi="宋体" w:eastAsia="仿宋_GB2312" w:cs="宋体"/>
          <w:b/>
          <w:color w:val="000000"/>
          <w:sz w:val="24"/>
        </w:rPr>
        <w:t>图4-3县级农村物流服务中心布局示意图</w:t>
      </w:r>
    </w:p>
    <w:p>
      <w:pPr>
        <w:adjustRightInd w:val="0"/>
        <w:snapToGrid w:val="0"/>
        <w:spacing w:line="360" w:lineRule="auto"/>
        <w:ind w:firstLine="560" w:firstLineChars="200"/>
        <w:jc w:val="left"/>
        <w:rPr>
          <w:rFonts w:ascii="仿宋_GB2312" w:eastAsia="仿宋_GB2312"/>
          <w:color w:val="000000"/>
          <w:sz w:val="28"/>
          <w:szCs w:val="28"/>
        </w:rPr>
      </w:pPr>
      <w:r>
        <w:rPr>
          <w:rFonts w:hint="eastAsia" w:ascii="仿宋_GB2312" w:hAnsi="宋体" w:eastAsia="仿宋_GB2312" w:cs="宋体"/>
          <w:color w:val="000000"/>
          <w:sz w:val="28"/>
          <w:szCs w:val="28"/>
        </w:rPr>
        <w:t>其中，农产品仓储物流区建有普通仓库、专用仓库及冷藏库；货物仓储/流通加工区提供常规仓储及流通加工服务；快递分拨区为快递企业提供分拨分拣服务；零担物流区满足小批量、多频次货运需求；车辆服务区提供停车、检测、修理服务；办公和电商区提供办公、电商孵化服务。</w:t>
      </w:r>
    </w:p>
    <w:p>
      <w:pPr>
        <w:adjustRightInd w:val="0"/>
        <w:snapToGrid w:val="0"/>
        <w:spacing w:line="360" w:lineRule="auto"/>
        <w:ind w:firstLine="560" w:firstLineChars="200"/>
        <w:rPr>
          <w:rFonts w:ascii="仿宋_GB2312" w:eastAsia="仿宋_GB2312"/>
          <w:color w:val="000000"/>
          <w:sz w:val="28"/>
          <w:szCs w:val="28"/>
        </w:rPr>
      </w:pPr>
      <w:r>
        <w:rPr>
          <w:rFonts w:hint="eastAsia" w:ascii="仿宋_GB2312" w:hAnsi="宋体" w:eastAsia="仿宋_GB2312" w:cs="宋体"/>
          <w:color w:val="000000"/>
          <w:sz w:val="28"/>
          <w:szCs w:val="28"/>
        </w:rPr>
        <w:t>4）设施设备配备</w:t>
      </w:r>
    </w:p>
    <w:p>
      <w:pPr>
        <w:adjustRightInd w:val="0"/>
        <w:snapToGrid w:val="0"/>
        <w:spacing w:line="360" w:lineRule="auto"/>
        <w:ind w:firstLine="560" w:firstLineChars="200"/>
        <w:rPr>
          <w:rFonts w:hint="eastAsia" w:ascii="仿宋_GB2312" w:hAnsi="宋体" w:eastAsia="仿宋_GB2312" w:cs="宋体"/>
          <w:b/>
          <w:color w:val="000000"/>
          <w:sz w:val="24"/>
        </w:rPr>
      </w:pPr>
      <w:r>
        <w:rPr>
          <w:rFonts w:hint="eastAsia" w:ascii="仿宋_GB2312" w:hAnsi="宋体" w:eastAsia="仿宋_GB2312" w:cs="宋体"/>
          <w:color w:val="000000"/>
          <w:sz w:val="28"/>
          <w:szCs w:val="28"/>
        </w:rPr>
        <w:t>县级农村物流服务中心要求引进先进技术和设备，实现智能化作业，提升仓储、配送效率，满足电商发货时效性要求。</w:t>
      </w:r>
    </w:p>
    <w:p>
      <w:pPr>
        <w:adjustRightInd w:val="0"/>
        <w:snapToGrid w:val="0"/>
        <w:spacing w:line="360" w:lineRule="auto"/>
        <w:ind w:firstLine="562" w:firstLineChars="200"/>
        <w:rPr>
          <w:rFonts w:ascii="仿宋_GB2312" w:hAnsi="宋体" w:eastAsia="仿宋_GB2312" w:cs="宋体"/>
          <w:b/>
          <w:bCs/>
          <w:color w:val="000000"/>
          <w:sz w:val="28"/>
          <w:szCs w:val="28"/>
          <w:highlight w:val="yellow"/>
        </w:rPr>
      </w:pPr>
      <w:r>
        <w:rPr>
          <w:rFonts w:hint="eastAsia" w:ascii="仿宋_GB2312" w:hAnsi="宋体" w:eastAsia="仿宋_GB2312" w:cs="宋体"/>
          <w:b/>
          <w:bCs/>
          <w:color w:val="000000"/>
          <w:sz w:val="28"/>
          <w:szCs w:val="28"/>
        </w:rPr>
        <w:t>（4）设置乡镇级农村物流服务站</w:t>
      </w:r>
    </w:p>
    <w:p>
      <w:pPr>
        <w:adjustRightInd w:val="0"/>
        <w:snapToGrid w:val="0"/>
        <w:spacing w:line="360" w:lineRule="auto"/>
        <w:ind w:firstLine="560" w:firstLineChars="200"/>
        <w:rPr>
          <w:rFonts w:ascii="仿宋_GB2312" w:eastAsia="仿宋_GB2312"/>
          <w:color w:val="000000"/>
          <w:sz w:val="28"/>
          <w:szCs w:val="28"/>
        </w:rPr>
      </w:pPr>
      <w:r>
        <w:rPr>
          <w:rFonts w:hint="eastAsia" w:ascii="仿宋_GB2312" w:hAnsi="宋体" w:eastAsia="仿宋_GB2312" w:cs="宋体"/>
          <w:color w:val="000000"/>
          <w:sz w:val="28"/>
          <w:szCs w:val="28"/>
        </w:rPr>
        <w:t>1）功能定位</w:t>
      </w:r>
    </w:p>
    <w:p>
      <w:pPr>
        <w:adjustRightInd w:val="0"/>
        <w:snapToGrid w:val="0"/>
        <w:spacing w:line="360" w:lineRule="auto"/>
        <w:ind w:firstLine="560" w:firstLineChars="200"/>
        <w:rPr>
          <w:rFonts w:ascii="仿宋_GB2312" w:eastAsia="仿宋_GB2312"/>
          <w:color w:val="000000"/>
          <w:sz w:val="28"/>
          <w:szCs w:val="28"/>
        </w:rPr>
      </w:pPr>
      <w:r>
        <w:rPr>
          <w:rFonts w:hint="eastAsia" w:ascii="仿宋_GB2312" w:hAnsi="宋体" w:eastAsia="仿宋_GB2312" w:cs="宋体"/>
          <w:color w:val="000000"/>
          <w:sz w:val="28"/>
          <w:szCs w:val="28"/>
        </w:rPr>
        <w:t>乡镇级农村物流服务站是上接县、下联村的中间层节点，可依托当地客运站设置，承担小批量快消品、工业品和农产品仓储配送、简单流通加工，承接电商共同配送快递包裹。</w:t>
      </w:r>
    </w:p>
    <w:p>
      <w:pPr>
        <w:adjustRightInd w:val="0"/>
        <w:snapToGrid w:val="0"/>
        <w:spacing w:line="360" w:lineRule="auto"/>
        <w:ind w:firstLine="560" w:firstLineChars="200"/>
        <w:rPr>
          <w:rFonts w:ascii="仿宋_GB2312" w:eastAsia="仿宋_GB2312"/>
          <w:color w:val="000000"/>
          <w:sz w:val="28"/>
          <w:szCs w:val="28"/>
        </w:rPr>
      </w:pPr>
      <w:r>
        <w:rPr>
          <w:rFonts w:hint="eastAsia" w:ascii="仿宋_GB2312" w:hAnsi="宋体" w:eastAsia="仿宋_GB2312" w:cs="宋体"/>
          <w:color w:val="000000"/>
          <w:sz w:val="28"/>
          <w:szCs w:val="28"/>
        </w:rPr>
        <w:t>2）节点选址</w:t>
      </w:r>
    </w:p>
    <w:p>
      <w:pPr>
        <w:adjustRightInd w:val="0"/>
        <w:snapToGrid w:val="0"/>
        <w:spacing w:line="360" w:lineRule="auto"/>
        <w:ind w:firstLine="560" w:firstLineChars="200"/>
        <w:rPr>
          <w:rFonts w:hint="eastAsia" w:ascii="仿宋_GB2312" w:hAnsi="宋体" w:eastAsia="仿宋_GB2312" w:cs="宋体"/>
          <w:color w:val="000000"/>
          <w:sz w:val="28"/>
          <w:szCs w:val="28"/>
        </w:rPr>
      </w:pPr>
      <w:r>
        <w:rPr>
          <w:rFonts w:hint="eastAsia" w:ascii="仿宋_GB2312" w:hAnsi="宋体" w:eastAsia="仿宋_GB2312" w:cs="宋体"/>
          <w:color w:val="000000"/>
          <w:sz w:val="28"/>
          <w:szCs w:val="28"/>
        </w:rPr>
        <w:t>①各镇/街道地理交通及经济特点</w:t>
      </w:r>
    </w:p>
    <w:p>
      <w:pPr>
        <w:adjustRightInd w:val="0"/>
        <w:snapToGrid w:val="0"/>
        <w:spacing w:line="360" w:lineRule="auto"/>
        <w:ind w:firstLine="560" w:firstLineChars="200"/>
        <w:rPr>
          <w:rFonts w:hint="eastAsia" w:ascii="仿宋_GB2312" w:hAnsi="宋体" w:eastAsia="仿宋_GB2312" w:cs="宋体"/>
          <w:color w:val="000000"/>
          <w:sz w:val="28"/>
          <w:szCs w:val="28"/>
        </w:rPr>
      </w:pPr>
      <w:r>
        <w:rPr>
          <w:rFonts w:hint="eastAsia" w:ascii="仿宋_GB2312" w:hAnsi="宋体" w:eastAsia="仿宋_GB2312" w:cs="宋体"/>
          <w:color w:val="000000"/>
          <w:sz w:val="28"/>
          <w:szCs w:val="28"/>
        </w:rPr>
        <w:t>连南瑶族自治县目前有7个镇，其地理交通及经济特点如下：</w:t>
      </w:r>
    </w:p>
    <w:p>
      <w:pPr>
        <w:adjustRightInd w:val="0"/>
        <w:snapToGrid w:val="0"/>
        <w:spacing w:line="360" w:lineRule="auto"/>
        <w:ind w:firstLine="560" w:firstLineChars="200"/>
        <w:rPr>
          <w:rFonts w:hint="eastAsia" w:ascii="仿宋_GB2312" w:hAnsi="宋体" w:eastAsia="仿宋_GB2312" w:cs="宋体"/>
          <w:color w:val="000000"/>
          <w:sz w:val="28"/>
          <w:szCs w:val="28"/>
        </w:rPr>
      </w:pPr>
      <w:r>
        <w:rPr>
          <w:rFonts w:hint="eastAsia" w:ascii="仿宋_GB2312" w:hAnsi="宋体" w:eastAsia="仿宋_GB2312" w:cs="宋体"/>
          <w:color w:val="000000"/>
          <w:sz w:val="28"/>
          <w:szCs w:val="28"/>
        </w:rPr>
        <w:t>三江镇为全县政治、经济、文化中心，寨岗镇为县域南部副中心型商贸重镇，三排镇为南部文旅与特色农业重镇，其余各镇均为生态农业或特色产业镇。</w:t>
      </w:r>
    </w:p>
    <w:p>
      <w:pPr>
        <w:adjustRightInd w:val="0"/>
        <w:snapToGrid w:val="0"/>
        <w:spacing w:line="360" w:lineRule="auto"/>
        <w:ind w:left="420" w:leftChars="200"/>
        <w:rPr>
          <w:rFonts w:hint="eastAsia" w:ascii="仿宋_GB2312" w:hAnsi="宋体" w:eastAsia="仿宋_GB2312" w:cs="宋体"/>
          <w:color w:val="000000"/>
          <w:sz w:val="28"/>
          <w:szCs w:val="28"/>
        </w:rPr>
      </w:pPr>
      <w:r>
        <w:rPr>
          <w:rFonts w:hint="eastAsia" w:ascii="仿宋_GB2312" w:hAnsi="宋体" w:eastAsia="仿宋_GB2312" w:cs="宋体"/>
          <w:color w:val="000000"/>
          <w:sz w:val="28"/>
          <w:szCs w:val="28"/>
        </w:rPr>
        <w:t>②各乡镇级农村物流服务站规划</w:t>
      </w:r>
    </w:p>
    <w:p>
      <w:pPr>
        <w:adjustRightInd w:val="0"/>
        <w:snapToGrid w:val="0"/>
        <w:spacing w:line="360" w:lineRule="auto"/>
        <w:ind w:firstLine="560" w:firstLineChars="200"/>
        <w:rPr>
          <w:rFonts w:hint="eastAsia" w:ascii="仿宋_GB2312" w:hAnsi="宋体" w:eastAsia="仿宋_GB2312" w:cs="宋体"/>
          <w:color w:val="000000"/>
          <w:sz w:val="28"/>
          <w:szCs w:val="28"/>
        </w:rPr>
      </w:pPr>
      <w:r>
        <w:rPr>
          <w:rFonts w:hint="eastAsia" w:ascii="仿宋_GB2312" w:hAnsi="宋体" w:eastAsia="仿宋_GB2312" w:cs="宋体"/>
          <w:color w:val="000000"/>
          <w:sz w:val="28"/>
          <w:szCs w:val="28"/>
        </w:rPr>
        <w:t>结合各镇经济特性，依托原有电商（物流配送）公共服务站及邮政物流点改建，规划建设7个镇级农村物流服务站，具体选址见下表。</w:t>
      </w:r>
    </w:p>
    <w:p>
      <w:pPr>
        <w:adjustRightInd w:val="0"/>
        <w:snapToGrid w:val="0"/>
        <w:spacing w:line="360" w:lineRule="auto"/>
        <w:jc w:val="center"/>
        <w:rPr>
          <w:rFonts w:ascii="仿宋_GB2312" w:hAnsi="宋体" w:eastAsia="仿宋_GB2312" w:cs="宋体"/>
          <w:color w:val="000000"/>
          <w:sz w:val="28"/>
          <w:szCs w:val="28"/>
        </w:rPr>
      </w:pPr>
      <w:r>
        <w:rPr>
          <w:rFonts w:hint="eastAsia" w:ascii="仿宋_GB2312" w:hAnsi="宋体" w:eastAsia="仿宋_GB2312" w:cs="宋体"/>
          <w:b/>
          <w:color w:val="000000"/>
          <w:sz w:val="24"/>
        </w:rPr>
        <w:t>表4-2镇级农村物流服务站规划建设表</w:t>
      </w:r>
    </w:p>
    <w:tbl>
      <w:tblPr>
        <w:tblStyle w:val="15"/>
        <w:tblW w:w="8948"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5"/>
        <w:gridCol w:w="959"/>
        <w:gridCol w:w="1875"/>
        <w:gridCol w:w="1620"/>
        <w:gridCol w:w="2873"/>
        <w:gridCol w:w="1016"/>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blHeader/>
          <w:jc w:val="center"/>
        </w:trPr>
        <w:tc>
          <w:tcPr>
            <w:tcW w:w="605" w:type="dxa"/>
            <w:tcBorders>
              <w:tl2br w:val="nil"/>
              <w:tr2bl w:val="nil"/>
            </w:tcBorders>
            <w:vAlign w:val="center"/>
          </w:tcPr>
          <w:p>
            <w:pPr>
              <w:widowControl/>
              <w:jc w:val="center"/>
              <w:textAlignment w:val="center"/>
              <w:rPr>
                <w:rStyle w:val="28"/>
                <w:b/>
                <w:bCs/>
                <w:lang w:eastAsia="zh-CN" w:bidi="ar"/>
              </w:rPr>
            </w:pPr>
            <w:r>
              <w:rPr>
                <w:rStyle w:val="28"/>
                <w:rFonts w:hint="eastAsia"/>
                <w:b/>
                <w:bCs/>
                <w:lang w:eastAsia="zh-CN" w:bidi="ar"/>
              </w:rPr>
              <w:t>序号</w:t>
            </w:r>
          </w:p>
        </w:tc>
        <w:tc>
          <w:tcPr>
            <w:tcW w:w="959" w:type="dxa"/>
            <w:tcBorders>
              <w:tl2br w:val="nil"/>
              <w:tr2bl w:val="nil"/>
            </w:tcBorders>
            <w:vAlign w:val="center"/>
          </w:tcPr>
          <w:p>
            <w:pPr>
              <w:widowControl/>
              <w:jc w:val="center"/>
              <w:textAlignment w:val="center"/>
              <w:rPr>
                <w:rStyle w:val="28"/>
                <w:b/>
                <w:bCs/>
                <w:lang w:eastAsia="zh-CN" w:bidi="ar"/>
              </w:rPr>
            </w:pPr>
            <w:r>
              <w:rPr>
                <w:rStyle w:val="28"/>
                <w:rFonts w:hint="eastAsia"/>
                <w:b/>
                <w:bCs/>
                <w:lang w:eastAsia="zh-CN" w:bidi="ar"/>
              </w:rPr>
              <w:t>乡（镇）</w:t>
            </w:r>
          </w:p>
        </w:tc>
        <w:tc>
          <w:tcPr>
            <w:tcW w:w="1875" w:type="dxa"/>
            <w:tcBorders>
              <w:tl2br w:val="nil"/>
              <w:tr2bl w:val="nil"/>
            </w:tcBorders>
            <w:vAlign w:val="center"/>
          </w:tcPr>
          <w:p>
            <w:pPr>
              <w:widowControl/>
              <w:jc w:val="center"/>
              <w:textAlignment w:val="center"/>
              <w:rPr>
                <w:rStyle w:val="28"/>
                <w:b/>
                <w:bCs/>
                <w:lang w:eastAsia="zh-CN" w:bidi="ar"/>
              </w:rPr>
            </w:pPr>
            <w:r>
              <w:rPr>
                <w:rStyle w:val="28"/>
                <w:rFonts w:hint="eastAsia"/>
                <w:b/>
                <w:bCs/>
                <w:lang w:eastAsia="zh-CN" w:bidi="ar"/>
              </w:rPr>
              <w:t>项目名称</w:t>
            </w:r>
          </w:p>
        </w:tc>
        <w:tc>
          <w:tcPr>
            <w:tcW w:w="1620" w:type="dxa"/>
            <w:tcBorders>
              <w:tl2br w:val="nil"/>
              <w:tr2bl w:val="nil"/>
            </w:tcBorders>
            <w:vAlign w:val="center"/>
          </w:tcPr>
          <w:p>
            <w:pPr>
              <w:widowControl/>
              <w:jc w:val="center"/>
              <w:textAlignment w:val="center"/>
              <w:rPr>
                <w:rStyle w:val="28"/>
                <w:b/>
                <w:bCs/>
                <w:lang w:eastAsia="zh-CN" w:bidi="ar"/>
              </w:rPr>
            </w:pPr>
            <w:r>
              <w:rPr>
                <w:rStyle w:val="28"/>
                <w:rFonts w:hint="eastAsia"/>
                <w:b/>
                <w:bCs/>
                <w:lang w:eastAsia="zh-CN" w:bidi="ar"/>
              </w:rPr>
              <w:t>品牌名称</w:t>
            </w:r>
          </w:p>
        </w:tc>
        <w:tc>
          <w:tcPr>
            <w:tcW w:w="2873" w:type="dxa"/>
            <w:tcBorders>
              <w:tl2br w:val="nil"/>
              <w:tr2bl w:val="nil"/>
            </w:tcBorders>
            <w:vAlign w:val="center"/>
          </w:tcPr>
          <w:p>
            <w:pPr>
              <w:widowControl/>
              <w:jc w:val="center"/>
              <w:textAlignment w:val="center"/>
              <w:rPr>
                <w:rStyle w:val="28"/>
                <w:b/>
                <w:bCs/>
                <w:lang w:eastAsia="zh-CN" w:bidi="ar"/>
              </w:rPr>
            </w:pPr>
            <w:r>
              <w:rPr>
                <w:rStyle w:val="28"/>
                <w:rFonts w:hint="eastAsia"/>
                <w:b/>
                <w:bCs/>
                <w:lang w:eastAsia="zh-CN" w:bidi="ar"/>
              </w:rPr>
              <w:t>位置</w:t>
            </w:r>
          </w:p>
        </w:tc>
        <w:tc>
          <w:tcPr>
            <w:tcW w:w="1016" w:type="dxa"/>
            <w:tcBorders>
              <w:tl2br w:val="nil"/>
              <w:tr2bl w:val="nil"/>
            </w:tcBorders>
            <w:vAlign w:val="center"/>
          </w:tcPr>
          <w:p>
            <w:pPr>
              <w:widowControl/>
              <w:jc w:val="center"/>
              <w:textAlignment w:val="center"/>
              <w:rPr>
                <w:rStyle w:val="28"/>
                <w:b/>
                <w:bCs/>
                <w:lang w:eastAsia="zh-CN" w:bidi="ar"/>
              </w:rPr>
            </w:pPr>
            <w:r>
              <w:rPr>
                <w:rStyle w:val="28"/>
                <w:rFonts w:hint="eastAsia"/>
                <w:b/>
                <w:bCs/>
                <w:lang w:eastAsia="zh-CN" w:bidi="ar"/>
              </w:rPr>
              <w:t>建设性质</w:t>
            </w:r>
          </w:p>
          <w:p>
            <w:pPr>
              <w:widowControl/>
              <w:jc w:val="center"/>
              <w:textAlignment w:val="center"/>
              <w:rPr>
                <w:rStyle w:val="28"/>
                <w:b/>
                <w:bCs/>
                <w:lang w:eastAsia="zh-CN" w:bidi="ar"/>
              </w:rPr>
            </w:pPr>
            <w:r>
              <w:rPr>
                <w:rStyle w:val="28"/>
                <w:rFonts w:hint="eastAsia"/>
                <w:b/>
                <w:bCs/>
                <w:lang w:eastAsia="zh-CN" w:bidi="ar"/>
              </w:rPr>
              <w:t>（改建/新建）</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605"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1</w:t>
            </w:r>
          </w:p>
        </w:tc>
        <w:tc>
          <w:tcPr>
            <w:tcW w:w="959" w:type="dxa"/>
            <w:vMerge w:val="restart"/>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三江镇</w:t>
            </w:r>
          </w:p>
        </w:tc>
        <w:tc>
          <w:tcPr>
            <w:tcW w:w="1875"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三江镇物流服务站</w:t>
            </w:r>
          </w:p>
        </w:tc>
        <w:tc>
          <w:tcPr>
            <w:tcW w:w="1620" w:type="dxa"/>
            <w:tcBorders>
              <w:tl2br w:val="nil"/>
              <w:tr2bl w:val="nil"/>
            </w:tcBorders>
            <w:vAlign w:val="center"/>
          </w:tcPr>
          <w:p>
            <w:pPr>
              <w:widowControl/>
              <w:jc w:val="center"/>
              <w:textAlignment w:val="center"/>
              <w:rPr>
                <w:rStyle w:val="28"/>
                <w:lang w:eastAsia="zh-CN" w:bidi="ar"/>
              </w:rPr>
            </w:pPr>
            <w:r>
              <w:rPr>
                <w:rStyle w:val="28"/>
                <w:rFonts w:hint="eastAsia"/>
                <w:lang w:eastAsia="zh-CN" w:bidi="ar"/>
              </w:rPr>
              <w:t>电子商务（物流配送）公共服务站</w:t>
            </w:r>
          </w:p>
        </w:tc>
        <w:tc>
          <w:tcPr>
            <w:tcW w:w="2873"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朝王中路与菜园坝二路交叉口东140米</w:t>
            </w:r>
          </w:p>
        </w:tc>
        <w:tc>
          <w:tcPr>
            <w:tcW w:w="1016" w:type="dxa"/>
            <w:tcBorders>
              <w:tl2br w:val="nil"/>
              <w:tr2bl w:val="nil"/>
            </w:tcBorders>
            <w:vAlign w:val="center"/>
          </w:tcPr>
          <w:p>
            <w:pPr>
              <w:widowControl/>
              <w:jc w:val="center"/>
              <w:textAlignment w:val="center"/>
              <w:rPr>
                <w:rStyle w:val="28"/>
                <w:lang w:eastAsia="zh-CN" w:bidi="ar"/>
              </w:rPr>
            </w:pPr>
            <w:r>
              <w:rPr>
                <w:rStyle w:val="28"/>
                <w:rFonts w:hint="eastAsia"/>
                <w:lang w:eastAsia="zh-CN" w:bidi="ar"/>
              </w:rPr>
              <w:t>改建</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605" w:type="dxa"/>
            <w:tcBorders>
              <w:tl2br w:val="nil"/>
              <w:tr2bl w:val="nil"/>
            </w:tcBorders>
            <w:vAlign w:val="center"/>
          </w:tcPr>
          <w:p>
            <w:pPr>
              <w:widowControl/>
              <w:jc w:val="center"/>
              <w:textAlignment w:val="center"/>
              <w:rPr>
                <w:rStyle w:val="28"/>
                <w:lang w:eastAsia="zh-CN" w:bidi="ar"/>
              </w:rPr>
            </w:pPr>
            <w:r>
              <w:rPr>
                <w:rStyle w:val="28"/>
                <w:rFonts w:hint="eastAsia"/>
                <w:lang w:eastAsia="zh-CN" w:bidi="ar"/>
              </w:rPr>
              <w:t>2</w:t>
            </w:r>
          </w:p>
        </w:tc>
        <w:tc>
          <w:tcPr>
            <w:tcW w:w="959" w:type="dxa"/>
            <w:vMerge w:val="continue"/>
            <w:tcBorders>
              <w:tl2br w:val="nil"/>
              <w:tr2bl w:val="nil"/>
            </w:tcBorders>
            <w:vAlign w:val="center"/>
          </w:tcPr>
          <w:p>
            <w:pPr>
              <w:widowControl/>
              <w:jc w:val="center"/>
              <w:textAlignment w:val="center"/>
              <w:rPr>
                <w:rStyle w:val="28"/>
                <w:rFonts w:hint="eastAsia"/>
                <w:lang w:eastAsia="zh-CN" w:bidi="ar"/>
              </w:rPr>
            </w:pPr>
          </w:p>
        </w:tc>
        <w:tc>
          <w:tcPr>
            <w:tcW w:w="1875"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三江镇物流服务站</w:t>
            </w:r>
          </w:p>
        </w:tc>
        <w:tc>
          <w:tcPr>
            <w:tcW w:w="1620"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邮政</w:t>
            </w:r>
          </w:p>
        </w:tc>
        <w:tc>
          <w:tcPr>
            <w:tcW w:w="2873"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三江镇朝阳路176号</w:t>
            </w:r>
          </w:p>
        </w:tc>
        <w:tc>
          <w:tcPr>
            <w:tcW w:w="1016" w:type="dxa"/>
            <w:tcBorders>
              <w:tl2br w:val="nil"/>
              <w:tr2bl w:val="nil"/>
            </w:tcBorders>
            <w:vAlign w:val="center"/>
          </w:tcPr>
          <w:p>
            <w:pPr>
              <w:widowControl/>
              <w:jc w:val="center"/>
              <w:textAlignment w:val="center"/>
              <w:rPr>
                <w:rStyle w:val="28"/>
                <w:lang w:eastAsia="zh-CN" w:bidi="ar"/>
              </w:rPr>
            </w:pPr>
            <w:r>
              <w:rPr>
                <w:rStyle w:val="28"/>
                <w:rFonts w:hint="eastAsia"/>
                <w:lang w:eastAsia="zh-CN" w:bidi="ar"/>
              </w:rPr>
              <w:t>改建</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605"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3</w:t>
            </w:r>
          </w:p>
        </w:tc>
        <w:tc>
          <w:tcPr>
            <w:tcW w:w="959" w:type="dxa"/>
            <w:vMerge w:val="restart"/>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三排镇</w:t>
            </w:r>
          </w:p>
        </w:tc>
        <w:tc>
          <w:tcPr>
            <w:tcW w:w="1875"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三排镇物流服务站</w:t>
            </w:r>
          </w:p>
        </w:tc>
        <w:tc>
          <w:tcPr>
            <w:tcW w:w="1620"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电子商务（物流配送）公共服务站</w:t>
            </w:r>
          </w:p>
        </w:tc>
        <w:tc>
          <w:tcPr>
            <w:tcW w:w="2873"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镇政府对面省道261附近</w:t>
            </w:r>
          </w:p>
        </w:tc>
        <w:tc>
          <w:tcPr>
            <w:tcW w:w="1016" w:type="dxa"/>
            <w:tcBorders>
              <w:tl2br w:val="nil"/>
              <w:tr2bl w:val="nil"/>
            </w:tcBorders>
            <w:vAlign w:val="center"/>
          </w:tcPr>
          <w:p>
            <w:pPr>
              <w:widowControl/>
              <w:jc w:val="center"/>
              <w:textAlignment w:val="center"/>
              <w:rPr>
                <w:rStyle w:val="28"/>
                <w:lang w:eastAsia="zh-CN" w:bidi="ar"/>
              </w:rPr>
            </w:pPr>
            <w:r>
              <w:rPr>
                <w:rStyle w:val="28"/>
                <w:rFonts w:hint="eastAsia"/>
                <w:lang w:eastAsia="zh-CN" w:bidi="ar"/>
              </w:rPr>
              <w:t>改建</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605" w:type="dxa"/>
            <w:tcBorders>
              <w:tl2br w:val="nil"/>
              <w:tr2bl w:val="nil"/>
            </w:tcBorders>
            <w:vAlign w:val="center"/>
          </w:tcPr>
          <w:p>
            <w:pPr>
              <w:widowControl/>
              <w:jc w:val="center"/>
              <w:textAlignment w:val="center"/>
              <w:rPr>
                <w:rStyle w:val="28"/>
                <w:lang w:eastAsia="zh-CN" w:bidi="ar"/>
              </w:rPr>
            </w:pPr>
            <w:r>
              <w:rPr>
                <w:rStyle w:val="28"/>
                <w:rFonts w:hint="eastAsia"/>
                <w:lang w:eastAsia="zh-CN" w:bidi="ar"/>
              </w:rPr>
              <w:t>4</w:t>
            </w:r>
          </w:p>
        </w:tc>
        <w:tc>
          <w:tcPr>
            <w:tcW w:w="959" w:type="dxa"/>
            <w:vMerge w:val="continue"/>
            <w:tcBorders>
              <w:tl2br w:val="nil"/>
              <w:tr2bl w:val="nil"/>
            </w:tcBorders>
            <w:vAlign w:val="center"/>
          </w:tcPr>
          <w:p>
            <w:pPr>
              <w:widowControl/>
              <w:jc w:val="center"/>
              <w:textAlignment w:val="center"/>
              <w:rPr>
                <w:rStyle w:val="28"/>
                <w:rFonts w:hint="eastAsia"/>
                <w:lang w:eastAsia="zh-CN" w:bidi="ar"/>
              </w:rPr>
            </w:pPr>
          </w:p>
        </w:tc>
        <w:tc>
          <w:tcPr>
            <w:tcW w:w="1875"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三排镇物流服务站</w:t>
            </w:r>
          </w:p>
        </w:tc>
        <w:tc>
          <w:tcPr>
            <w:tcW w:w="1620"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邮政</w:t>
            </w:r>
          </w:p>
        </w:tc>
        <w:tc>
          <w:tcPr>
            <w:tcW w:w="2873"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南岗王东坪（南岗邮政所）</w:t>
            </w:r>
          </w:p>
        </w:tc>
        <w:tc>
          <w:tcPr>
            <w:tcW w:w="1016"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改建</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605"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5</w:t>
            </w:r>
          </w:p>
        </w:tc>
        <w:tc>
          <w:tcPr>
            <w:tcW w:w="959"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大坪镇</w:t>
            </w:r>
          </w:p>
        </w:tc>
        <w:tc>
          <w:tcPr>
            <w:tcW w:w="1875"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大坪镇物流服务站</w:t>
            </w:r>
          </w:p>
        </w:tc>
        <w:tc>
          <w:tcPr>
            <w:tcW w:w="1620"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邮政</w:t>
            </w:r>
          </w:p>
        </w:tc>
        <w:tc>
          <w:tcPr>
            <w:tcW w:w="2873"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（大坪邮政所）</w:t>
            </w:r>
          </w:p>
        </w:tc>
        <w:tc>
          <w:tcPr>
            <w:tcW w:w="1016"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改建</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605"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6</w:t>
            </w:r>
          </w:p>
        </w:tc>
        <w:tc>
          <w:tcPr>
            <w:tcW w:w="959"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香坪镇</w:t>
            </w:r>
          </w:p>
        </w:tc>
        <w:tc>
          <w:tcPr>
            <w:tcW w:w="1875"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香坪镇物流服务站</w:t>
            </w:r>
          </w:p>
        </w:tc>
        <w:tc>
          <w:tcPr>
            <w:tcW w:w="1620"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邮政</w:t>
            </w:r>
          </w:p>
        </w:tc>
        <w:tc>
          <w:tcPr>
            <w:tcW w:w="2873"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香坪村石古洞村200号</w:t>
            </w:r>
          </w:p>
        </w:tc>
        <w:tc>
          <w:tcPr>
            <w:tcW w:w="1016"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改建</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605"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7</w:t>
            </w:r>
          </w:p>
        </w:tc>
        <w:tc>
          <w:tcPr>
            <w:tcW w:w="959" w:type="dxa"/>
            <w:vMerge w:val="restart"/>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涡水镇</w:t>
            </w:r>
          </w:p>
        </w:tc>
        <w:tc>
          <w:tcPr>
            <w:tcW w:w="1875"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涡水镇物流服务站</w:t>
            </w:r>
          </w:p>
        </w:tc>
        <w:tc>
          <w:tcPr>
            <w:tcW w:w="1620"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电子商务（物流配送）公共服务站</w:t>
            </w:r>
          </w:p>
        </w:tc>
        <w:tc>
          <w:tcPr>
            <w:tcW w:w="2873"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镇政府县道396附近</w:t>
            </w:r>
          </w:p>
        </w:tc>
        <w:tc>
          <w:tcPr>
            <w:tcW w:w="1016" w:type="dxa"/>
            <w:tcBorders>
              <w:tl2br w:val="nil"/>
              <w:tr2bl w:val="nil"/>
            </w:tcBorders>
            <w:vAlign w:val="center"/>
          </w:tcPr>
          <w:p>
            <w:pPr>
              <w:widowControl/>
              <w:jc w:val="center"/>
              <w:textAlignment w:val="center"/>
              <w:rPr>
                <w:rStyle w:val="28"/>
                <w:lang w:eastAsia="zh-CN" w:bidi="ar"/>
              </w:rPr>
            </w:pPr>
            <w:r>
              <w:rPr>
                <w:rStyle w:val="28"/>
                <w:rFonts w:hint="eastAsia"/>
                <w:lang w:eastAsia="zh-CN" w:bidi="ar"/>
              </w:rPr>
              <w:t>改建</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605" w:type="dxa"/>
            <w:tcBorders>
              <w:tl2br w:val="nil"/>
              <w:tr2bl w:val="nil"/>
            </w:tcBorders>
            <w:vAlign w:val="center"/>
          </w:tcPr>
          <w:p>
            <w:pPr>
              <w:widowControl/>
              <w:jc w:val="center"/>
              <w:textAlignment w:val="center"/>
              <w:rPr>
                <w:rStyle w:val="28"/>
                <w:lang w:eastAsia="zh-CN" w:bidi="ar"/>
              </w:rPr>
            </w:pPr>
            <w:r>
              <w:rPr>
                <w:rStyle w:val="28"/>
                <w:rFonts w:hint="eastAsia"/>
                <w:lang w:eastAsia="zh-CN" w:bidi="ar"/>
              </w:rPr>
              <w:t>8</w:t>
            </w:r>
          </w:p>
        </w:tc>
        <w:tc>
          <w:tcPr>
            <w:tcW w:w="959" w:type="dxa"/>
            <w:vMerge w:val="continue"/>
            <w:tcBorders>
              <w:tl2br w:val="nil"/>
              <w:tr2bl w:val="nil"/>
            </w:tcBorders>
            <w:vAlign w:val="center"/>
          </w:tcPr>
          <w:p>
            <w:pPr>
              <w:widowControl/>
              <w:jc w:val="center"/>
              <w:textAlignment w:val="center"/>
              <w:rPr>
                <w:rStyle w:val="28"/>
                <w:rFonts w:hint="eastAsia"/>
                <w:lang w:eastAsia="zh-CN" w:bidi="ar"/>
              </w:rPr>
            </w:pPr>
          </w:p>
        </w:tc>
        <w:tc>
          <w:tcPr>
            <w:tcW w:w="1875"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涡水镇物流服务站</w:t>
            </w:r>
          </w:p>
        </w:tc>
        <w:tc>
          <w:tcPr>
            <w:tcW w:w="1620"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邮政</w:t>
            </w:r>
          </w:p>
        </w:tc>
        <w:tc>
          <w:tcPr>
            <w:tcW w:w="2873"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涡水镇公路边</w:t>
            </w:r>
          </w:p>
        </w:tc>
        <w:tc>
          <w:tcPr>
            <w:tcW w:w="1016"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改建</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605" w:type="dxa"/>
            <w:tcBorders>
              <w:tl2br w:val="nil"/>
              <w:tr2bl w:val="nil"/>
            </w:tcBorders>
            <w:vAlign w:val="center"/>
          </w:tcPr>
          <w:p>
            <w:pPr>
              <w:widowControl/>
              <w:jc w:val="center"/>
              <w:textAlignment w:val="center"/>
              <w:rPr>
                <w:rStyle w:val="28"/>
                <w:lang w:eastAsia="zh-CN" w:bidi="ar"/>
              </w:rPr>
            </w:pPr>
            <w:r>
              <w:rPr>
                <w:rStyle w:val="28"/>
                <w:rFonts w:hint="eastAsia"/>
                <w:lang w:eastAsia="zh-CN" w:bidi="ar"/>
              </w:rPr>
              <w:t>9</w:t>
            </w:r>
          </w:p>
        </w:tc>
        <w:tc>
          <w:tcPr>
            <w:tcW w:w="959"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大麦山镇</w:t>
            </w:r>
          </w:p>
        </w:tc>
        <w:tc>
          <w:tcPr>
            <w:tcW w:w="1875"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大麦山镇物流服务站</w:t>
            </w:r>
          </w:p>
        </w:tc>
        <w:tc>
          <w:tcPr>
            <w:tcW w:w="1620"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邮政</w:t>
            </w:r>
          </w:p>
        </w:tc>
        <w:tc>
          <w:tcPr>
            <w:tcW w:w="2873"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铜矿路口附近</w:t>
            </w:r>
          </w:p>
        </w:tc>
        <w:tc>
          <w:tcPr>
            <w:tcW w:w="1016" w:type="dxa"/>
            <w:tcBorders>
              <w:tl2br w:val="nil"/>
              <w:tr2bl w:val="nil"/>
            </w:tcBorders>
            <w:vAlign w:val="center"/>
          </w:tcPr>
          <w:p>
            <w:pPr>
              <w:widowControl/>
              <w:jc w:val="center"/>
              <w:textAlignment w:val="center"/>
              <w:rPr>
                <w:rStyle w:val="28"/>
                <w:lang w:eastAsia="zh-CN" w:bidi="ar"/>
              </w:rPr>
            </w:pPr>
            <w:r>
              <w:rPr>
                <w:rStyle w:val="28"/>
                <w:rFonts w:hint="eastAsia"/>
                <w:lang w:eastAsia="zh-CN" w:bidi="ar"/>
              </w:rPr>
              <w:t>改建</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05" w:hRule="atLeast"/>
          <w:jc w:val="center"/>
        </w:trPr>
        <w:tc>
          <w:tcPr>
            <w:tcW w:w="605" w:type="dxa"/>
            <w:tcBorders>
              <w:tl2br w:val="nil"/>
              <w:tr2bl w:val="nil"/>
            </w:tcBorders>
            <w:vAlign w:val="center"/>
          </w:tcPr>
          <w:p>
            <w:pPr>
              <w:widowControl/>
              <w:jc w:val="center"/>
              <w:textAlignment w:val="center"/>
              <w:rPr>
                <w:rStyle w:val="28"/>
                <w:lang w:eastAsia="zh-CN" w:bidi="ar"/>
              </w:rPr>
            </w:pPr>
            <w:r>
              <w:rPr>
                <w:rStyle w:val="28"/>
                <w:rFonts w:hint="eastAsia"/>
                <w:lang w:eastAsia="zh-CN" w:bidi="ar"/>
              </w:rPr>
              <w:t>10</w:t>
            </w:r>
          </w:p>
        </w:tc>
        <w:tc>
          <w:tcPr>
            <w:tcW w:w="959"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寨岗镇</w:t>
            </w:r>
          </w:p>
        </w:tc>
        <w:tc>
          <w:tcPr>
            <w:tcW w:w="1875"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寨岗镇物流服务站</w:t>
            </w:r>
          </w:p>
        </w:tc>
        <w:tc>
          <w:tcPr>
            <w:tcW w:w="1620" w:type="dxa"/>
            <w:tcBorders>
              <w:tl2br w:val="nil"/>
              <w:tr2bl w:val="nil"/>
            </w:tcBorders>
            <w:vAlign w:val="center"/>
          </w:tcPr>
          <w:p>
            <w:pPr>
              <w:widowControl/>
              <w:jc w:val="center"/>
              <w:textAlignment w:val="center"/>
              <w:rPr>
                <w:rStyle w:val="28"/>
                <w:lang w:eastAsia="zh-CN" w:bidi="ar"/>
              </w:rPr>
            </w:pPr>
            <w:r>
              <w:rPr>
                <w:rStyle w:val="28"/>
                <w:rFonts w:hint="eastAsia"/>
                <w:lang w:eastAsia="zh-CN" w:bidi="ar"/>
              </w:rPr>
              <w:t>邮政</w:t>
            </w:r>
          </w:p>
        </w:tc>
        <w:tc>
          <w:tcPr>
            <w:tcW w:w="2873" w:type="dxa"/>
            <w:tcBorders>
              <w:tl2br w:val="nil"/>
              <w:tr2bl w:val="nil"/>
            </w:tcBorders>
            <w:vAlign w:val="center"/>
          </w:tcPr>
          <w:p>
            <w:pPr>
              <w:widowControl/>
              <w:jc w:val="center"/>
              <w:textAlignment w:val="center"/>
              <w:rPr>
                <w:rStyle w:val="28"/>
                <w:rFonts w:hint="eastAsia"/>
                <w:lang w:eastAsia="zh-CN" w:bidi="ar"/>
              </w:rPr>
            </w:pPr>
            <w:r>
              <w:rPr>
                <w:rStyle w:val="28"/>
                <w:rFonts w:hint="eastAsia"/>
                <w:lang w:eastAsia="zh-CN" w:bidi="ar"/>
              </w:rPr>
              <w:t>池山嘴</w:t>
            </w:r>
          </w:p>
        </w:tc>
        <w:tc>
          <w:tcPr>
            <w:tcW w:w="1016" w:type="dxa"/>
            <w:tcBorders>
              <w:tl2br w:val="nil"/>
              <w:tr2bl w:val="nil"/>
            </w:tcBorders>
            <w:vAlign w:val="center"/>
          </w:tcPr>
          <w:p>
            <w:pPr>
              <w:widowControl/>
              <w:jc w:val="center"/>
              <w:textAlignment w:val="center"/>
              <w:rPr>
                <w:rStyle w:val="28"/>
                <w:lang w:eastAsia="zh-CN" w:bidi="ar"/>
              </w:rPr>
            </w:pPr>
            <w:r>
              <w:rPr>
                <w:rStyle w:val="28"/>
                <w:rFonts w:hint="eastAsia"/>
                <w:lang w:eastAsia="zh-CN" w:bidi="ar"/>
              </w:rPr>
              <w:t>改建</w:t>
            </w:r>
          </w:p>
        </w:tc>
      </w:tr>
    </w:tbl>
    <w:p>
      <w:pPr>
        <w:rPr>
          <w:rFonts w:hint="eastAsia"/>
          <w:color w:val="000000"/>
        </w:rPr>
      </w:pPr>
    </w:p>
    <w:p>
      <w:pPr>
        <w:rPr>
          <w:rFonts w:hint="eastAsia"/>
          <w:color w:val="000000"/>
        </w:rPr>
      </w:pPr>
    </w:p>
    <w:p>
      <w:pPr>
        <w:rPr>
          <w:rFonts w:hint="eastAsia"/>
          <w:color w:val="000000"/>
        </w:rPr>
      </w:pPr>
    </w:p>
    <w:p>
      <w:pPr>
        <w:rPr>
          <w:rFonts w:hint="eastAsia"/>
          <w:color w:val="000000"/>
        </w:rPr>
      </w:pPr>
    </w:p>
    <w:p>
      <w:pPr>
        <w:rPr>
          <w:rFonts w:hint="eastAsia"/>
          <w:color w:val="000000"/>
        </w:rPr>
      </w:pPr>
    </w:p>
    <w:p>
      <w:pPr>
        <w:jc w:val="center"/>
      </w:pPr>
      <w:r>
        <w:drawing>
          <wp:inline distT="0" distB="0" distL="114300" distR="114300">
            <wp:extent cx="5452110" cy="7896860"/>
            <wp:effectExtent l="0" t="0" r="15240" b="889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5"/>
                    <a:stretch>
                      <a:fillRect/>
                    </a:stretch>
                  </pic:blipFill>
                  <pic:spPr>
                    <a:xfrm>
                      <a:off x="0" y="0"/>
                      <a:ext cx="5452110" cy="7896860"/>
                    </a:xfrm>
                    <a:prstGeom prst="rect">
                      <a:avLst/>
                    </a:prstGeom>
                    <a:noFill/>
                    <a:ln>
                      <a:noFill/>
                    </a:ln>
                  </pic:spPr>
                </pic:pic>
              </a:graphicData>
            </a:graphic>
          </wp:inline>
        </w:drawing>
      </w:r>
    </w:p>
    <w:p>
      <w:pPr>
        <w:adjustRightInd w:val="0"/>
        <w:snapToGrid w:val="0"/>
        <w:spacing w:line="360" w:lineRule="auto"/>
        <w:ind w:firstLine="482" w:firstLineChars="200"/>
        <w:jc w:val="center"/>
        <w:rPr>
          <w:rFonts w:hint="eastAsia" w:ascii="仿宋_GB2312" w:hAnsi="宋体" w:eastAsia="仿宋_GB2312" w:cs="宋体"/>
          <w:color w:val="000000"/>
          <w:sz w:val="28"/>
          <w:szCs w:val="28"/>
        </w:rPr>
      </w:pPr>
      <w:r>
        <w:rPr>
          <w:rFonts w:hint="eastAsia" w:ascii="仿宋_GB2312" w:hAnsi="宋体" w:eastAsia="仿宋_GB2312" w:cs="宋体"/>
          <w:b/>
          <w:color w:val="000000"/>
          <w:sz w:val="24"/>
        </w:rPr>
        <w:t>图4-4</w:t>
      </w:r>
      <w:r>
        <w:rPr>
          <w:rFonts w:ascii="仿宋_GB2312" w:hAnsi="宋体" w:eastAsia="仿宋_GB2312" w:cs="宋体"/>
          <w:b/>
          <w:color w:val="000000"/>
          <w:sz w:val="24"/>
        </w:rPr>
        <w:t xml:space="preserve"> </w:t>
      </w:r>
      <w:r>
        <w:rPr>
          <w:rFonts w:hint="eastAsia" w:ascii="仿宋_GB2312" w:hAnsi="宋体" w:eastAsia="仿宋_GB2312" w:cs="宋体"/>
          <w:b/>
          <w:color w:val="000000"/>
          <w:sz w:val="24"/>
        </w:rPr>
        <w:t>连南瑶族自治县镇级农村物流服务站方位图</w:t>
      </w:r>
    </w:p>
    <w:p>
      <w:pPr>
        <w:adjustRightInd w:val="0"/>
        <w:snapToGrid w:val="0"/>
        <w:spacing w:line="360" w:lineRule="auto"/>
        <w:ind w:firstLine="560" w:firstLineChars="200"/>
        <w:rPr>
          <w:rFonts w:hint="eastAsia" w:ascii="仿宋_GB2312" w:hAnsi="宋体" w:eastAsia="仿宋_GB2312" w:cs="宋体"/>
          <w:color w:val="000000"/>
          <w:sz w:val="28"/>
          <w:szCs w:val="28"/>
        </w:rPr>
      </w:pPr>
      <w:r>
        <w:rPr>
          <w:rFonts w:hint="eastAsia" w:ascii="仿宋_GB2312" w:hAnsi="宋体" w:eastAsia="仿宋_GB2312" w:cs="宋体"/>
          <w:color w:val="000000"/>
          <w:sz w:val="28"/>
          <w:szCs w:val="28"/>
        </w:rPr>
        <w:t>3）功能布局优化</w:t>
      </w:r>
    </w:p>
    <w:p>
      <w:pPr>
        <w:adjustRightInd w:val="0"/>
        <w:snapToGrid w:val="0"/>
        <w:spacing w:line="360" w:lineRule="auto"/>
        <w:ind w:firstLine="560" w:firstLineChars="200"/>
        <w:rPr>
          <w:rFonts w:ascii="仿宋_GB2312" w:eastAsia="仿宋_GB2312"/>
          <w:color w:val="000000"/>
          <w:sz w:val="28"/>
          <w:szCs w:val="28"/>
        </w:rPr>
      </w:pPr>
      <w:r>
        <w:rPr>
          <w:rFonts w:hint="eastAsia" w:ascii="仿宋_GB2312" w:hAnsi="宋体" w:eastAsia="仿宋_GB2312" w:cs="宋体"/>
          <w:color w:val="000000"/>
          <w:sz w:val="28"/>
          <w:szCs w:val="28"/>
        </w:rPr>
        <w:t>镇级综合运输服务站整合客运、物流、邮政快递、电商等资源，实现“功能叠加、多站合一”，将县级分拨商品配送至村级服务点，将农副产品集中转运至县级物流服务中心，兼具客运候车、物流仓储、快递收发、电子商务、便民服务等功能，建筑面积约300m</w:t>
      </w:r>
      <w:r>
        <w:rPr>
          <w:rFonts w:hint="eastAsia" w:ascii="仿宋_GB2312" w:hAnsi="宋体" w:eastAsia="仿宋_GB2312" w:cs="宋体"/>
          <w:color w:val="000000"/>
          <w:sz w:val="28"/>
          <w:szCs w:val="28"/>
          <w:vertAlign w:val="superscript"/>
        </w:rPr>
        <w:t>2</w:t>
      </w:r>
      <w:r>
        <w:rPr>
          <w:rFonts w:hint="eastAsia" w:ascii="仿宋_GB2312" w:hAnsi="宋体" w:eastAsia="仿宋_GB2312" w:cs="宋体"/>
          <w:color w:val="000000"/>
          <w:sz w:val="28"/>
          <w:szCs w:val="28"/>
        </w:rPr>
        <w:t>，功能布局如图4-5。</w:t>
      </w:r>
    </w:p>
    <w:p>
      <w:pPr>
        <w:adjustRightInd w:val="0"/>
        <w:snapToGrid w:val="0"/>
        <w:spacing w:line="360" w:lineRule="auto"/>
        <w:jc w:val="center"/>
        <w:rPr>
          <w:rFonts w:ascii="仿宋_GB2312" w:eastAsia="仿宋_GB2312"/>
          <w:color w:val="000000"/>
          <w:sz w:val="28"/>
          <w:szCs w:val="28"/>
        </w:rPr>
      </w:pPr>
      <w:r>
        <w:rPr>
          <w:rFonts w:ascii="仿宋_GB2312" w:eastAsia="仿宋_GB2312"/>
          <w:color w:val="000000"/>
        </w:rPr>
        <w:drawing>
          <wp:inline distT="0" distB="0" distL="114300" distR="114300">
            <wp:extent cx="3524250" cy="2124075"/>
            <wp:effectExtent l="0" t="0" r="0" b="9525"/>
            <wp:docPr id="5" name="图片 5"/>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16"/>
                    <a:stretch>
                      <a:fillRect/>
                    </a:stretch>
                  </pic:blipFill>
                  <pic:spPr>
                    <a:xfrm>
                      <a:off x="0" y="0"/>
                      <a:ext cx="3524250" cy="2124075"/>
                    </a:xfrm>
                    <a:prstGeom prst="rect">
                      <a:avLst/>
                    </a:prstGeom>
                    <a:noFill/>
                    <a:ln>
                      <a:noFill/>
                    </a:ln>
                  </pic:spPr>
                </pic:pic>
              </a:graphicData>
            </a:graphic>
          </wp:inline>
        </w:drawing>
      </w:r>
    </w:p>
    <w:p>
      <w:pPr>
        <w:adjustRightInd w:val="0"/>
        <w:snapToGrid w:val="0"/>
        <w:spacing w:line="360" w:lineRule="auto"/>
        <w:jc w:val="center"/>
        <w:rPr>
          <w:rFonts w:ascii="仿宋_GB2312" w:hAnsi="宋体" w:eastAsia="仿宋_GB2312" w:cs="宋体"/>
          <w:b/>
          <w:color w:val="000000"/>
          <w:sz w:val="24"/>
        </w:rPr>
      </w:pPr>
      <w:r>
        <w:rPr>
          <w:rFonts w:hint="eastAsia" w:ascii="仿宋_GB2312" w:hAnsi="宋体" w:eastAsia="仿宋_GB2312" w:cs="宋体"/>
          <w:b/>
          <w:color w:val="000000"/>
          <w:sz w:val="24"/>
        </w:rPr>
        <w:t>图4-5镇级农村物流服务站布局示意图</w:t>
      </w:r>
    </w:p>
    <w:p>
      <w:pPr>
        <w:adjustRightInd w:val="0"/>
        <w:snapToGrid w:val="0"/>
        <w:spacing w:line="360" w:lineRule="auto"/>
        <w:ind w:firstLine="560" w:firstLineChars="200"/>
        <w:rPr>
          <w:rFonts w:ascii="仿宋_GB2312" w:eastAsia="仿宋_GB2312"/>
          <w:color w:val="000000"/>
          <w:sz w:val="28"/>
          <w:szCs w:val="28"/>
        </w:rPr>
      </w:pPr>
      <w:r>
        <w:rPr>
          <w:rFonts w:hint="eastAsia" w:ascii="仿宋_GB2312" w:hAnsi="宋体" w:eastAsia="仿宋_GB2312" w:cs="宋体"/>
          <w:color w:val="000000"/>
          <w:sz w:val="28"/>
          <w:szCs w:val="28"/>
        </w:rPr>
        <w:t>站内设农产品存储区、货物安检区、货物仓储中转区、快递包裹作业区、信息中心/电商服务区及后台办公区。</w:t>
      </w:r>
    </w:p>
    <w:p>
      <w:pPr>
        <w:adjustRightInd w:val="0"/>
        <w:snapToGrid w:val="0"/>
        <w:spacing w:line="360" w:lineRule="auto"/>
        <w:ind w:firstLine="560" w:firstLineChars="200"/>
        <w:rPr>
          <w:rFonts w:ascii="仿宋_GB2312" w:eastAsia="仿宋_GB2312"/>
          <w:color w:val="000000"/>
          <w:sz w:val="28"/>
          <w:szCs w:val="28"/>
        </w:rPr>
      </w:pPr>
      <w:r>
        <w:rPr>
          <w:rFonts w:hint="eastAsia" w:ascii="仿宋_GB2312" w:hAnsi="宋体" w:eastAsia="仿宋_GB2312" w:cs="宋体"/>
          <w:color w:val="000000"/>
          <w:sz w:val="28"/>
          <w:szCs w:val="28"/>
        </w:rPr>
        <w:t>4）设施设备配备</w:t>
      </w:r>
    </w:p>
    <w:p>
      <w:pPr>
        <w:tabs>
          <w:tab w:val="left" w:pos="1418"/>
        </w:tabs>
        <w:adjustRightInd w:val="0"/>
        <w:snapToGrid w:val="0"/>
        <w:spacing w:line="360" w:lineRule="auto"/>
        <w:ind w:firstLine="560" w:firstLineChars="200"/>
        <w:rPr>
          <w:rFonts w:ascii="仿宋_GB2312" w:eastAsia="仿宋_GB2312"/>
          <w:color w:val="000000"/>
          <w:sz w:val="28"/>
          <w:szCs w:val="28"/>
        </w:rPr>
      </w:pPr>
      <w:r>
        <w:rPr>
          <w:rFonts w:hint="eastAsia" w:ascii="仿宋_GB2312" w:hAnsi="宋体" w:eastAsia="仿宋_GB2312" w:cs="宋体"/>
          <w:color w:val="000000"/>
          <w:sz w:val="28"/>
          <w:szCs w:val="28"/>
        </w:rPr>
        <w:t>镇级农村物流服务站应标准配置小冷库、运输计量存储设备、信息采集监控设备、办公及配送设备等硬件设施。</w:t>
      </w:r>
    </w:p>
    <w:p>
      <w:pPr>
        <w:adjustRightInd w:val="0"/>
        <w:snapToGrid w:val="0"/>
        <w:spacing w:line="360" w:lineRule="auto"/>
        <w:rPr>
          <w:rFonts w:ascii="仿宋_GB2312" w:eastAsia="仿宋_GB2312"/>
          <w:b/>
          <w:bCs/>
          <w:color w:val="000000"/>
          <w:sz w:val="28"/>
          <w:szCs w:val="28"/>
        </w:rPr>
      </w:pPr>
      <w:r>
        <w:rPr>
          <w:rFonts w:hint="eastAsia" w:ascii="仿宋_GB2312" w:hAnsi="宋体" w:eastAsia="仿宋_GB2312" w:cs="宋体"/>
          <w:b/>
          <w:bCs/>
          <w:color w:val="000000"/>
          <w:sz w:val="28"/>
          <w:szCs w:val="28"/>
        </w:rPr>
        <w:t>（5）布设村级物流服务点</w:t>
      </w:r>
    </w:p>
    <w:p>
      <w:pPr>
        <w:adjustRightInd w:val="0"/>
        <w:snapToGrid w:val="0"/>
        <w:spacing w:line="360" w:lineRule="auto"/>
        <w:ind w:firstLine="560" w:firstLineChars="200"/>
        <w:rPr>
          <w:rFonts w:ascii="仿宋_GB2312" w:eastAsia="仿宋_GB2312"/>
          <w:color w:val="000000"/>
          <w:sz w:val="28"/>
          <w:szCs w:val="28"/>
        </w:rPr>
      </w:pPr>
      <w:r>
        <w:rPr>
          <w:rFonts w:hint="eastAsia" w:ascii="仿宋_GB2312" w:hAnsi="宋体" w:eastAsia="仿宋_GB2312" w:cs="宋体"/>
          <w:color w:val="000000"/>
          <w:sz w:val="28"/>
          <w:szCs w:val="28"/>
        </w:rPr>
        <w:t>（1）功能定位</w:t>
      </w:r>
    </w:p>
    <w:p>
      <w:pPr>
        <w:adjustRightInd w:val="0"/>
        <w:snapToGrid w:val="0"/>
        <w:spacing w:line="360" w:lineRule="auto"/>
        <w:ind w:firstLine="560" w:firstLineChars="200"/>
        <w:rPr>
          <w:rFonts w:ascii="仿宋_GB2312" w:eastAsia="仿宋_GB2312"/>
          <w:color w:val="000000"/>
          <w:sz w:val="28"/>
          <w:szCs w:val="28"/>
        </w:rPr>
      </w:pPr>
      <w:r>
        <w:rPr>
          <w:rFonts w:hint="eastAsia" w:ascii="仿宋_GB2312" w:hAnsi="宋体" w:eastAsia="仿宋_GB2312" w:cs="宋体"/>
          <w:color w:val="000000"/>
          <w:sz w:val="28"/>
          <w:szCs w:val="28"/>
        </w:rPr>
        <w:t>村级物流服务点是三级网络体系的基层末端节点，集客运、电商、快递、便民、邮政等功能于一体，实现农村物资“最初一公里”和“最后一公里”的有序集散、高效配送。</w:t>
      </w:r>
    </w:p>
    <w:p>
      <w:pPr>
        <w:adjustRightInd w:val="0"/>
        <w:snapToGrid w:val="0"/>
        <w:spacing w:line="360" w:lineRule="auto"/>
        <w:ind w:firstLine="560" w:firstLineChars="200"/>
        <w:rPr>
          <w:rFonts w:ascii="仿宋_GB2312" w:eastAsia="仿宋_GB2312"/>
          <w:color w:val="000000"/>
          <w:sz w:val="28"/>
          <w:szCs w:val="28"/>
        </w:rPr>
      </w:pPr>
      <w:r>
        <w:rPr>
          <w:rFonts w:hint="eastAsia" w:ascii="仿宋_GB2312" w:hAnsi="宋体" w:eastAsia="仿宋_GB2312" w:cs="宋体"/>
          <w:color w:val="000000"/>
          <w:sz w:val="28"/>
          <w:szCs w:val="28"/>
        </w:rPr>
        <w:t>（2）节点选址</w:t>
      </w:r>
    </w:p>
    <w:p>
      <w:pPr>
        <w:adjustRightInd w:val="0"/>
        <w:snapToGrid w:val="0"/>
        <w:spacing w:line="360" w:lineRule="auto"/>
        <w:ind w:firstLine="560" w:firstLineChars="200"/>
        <w:rPr>
          <w:rFonts w:ascii="仿宋_GB2312" w:hAnsi="宋体" w:eastAsia="仿宋_GB2312" w:cs="宋体"/>
          <w:color w:val="000000"/>
          <w:sz w:val="28"/>
          <w:szCs w:val="28"/>
        </w:rPr>
      </w:pPr>
      <w:r>
        <w:rPr>
          <w:rFonts w:hint="eastAsia" w:ascii="仿宋_GB2312" w:hAnsi="宋体" w:eastAsia="仿宋_GB2312" w:cs="宋体"/>
          <w:color w:val="000000"/>
          <w:sz w:val="28"/>
          <w:szCs w:val="28"/>
        </w:rPr>
        <w:t>在69个行政村依托农村便利店、农村合作社、村邮站、农产品购销代办站等设置村级物流服务点，并依托现有69个村级邮政服务点改造，到2035年实现69个行政村全覆盖。</w:t>
      </w:r>
    </w:p>
    <w:p>
      <w:pPr>
        <w:adjustRightInd w:val="0"/>
        <w:snapToGrid w:val="0"/>
        <w:spacing w:line="360" w:lineRule="auto"/>
        <w:ind w:firstLine="560" w:firstLineChars="200"/>
        <w:rPr>
          <w:rFonts w:ascii="仿宋_GB2312" w:eastAsia="仿宋_GB2312"/>
          <w:color w:val="000000"/>
          <w:sz w:val="28"/>
          <w:szCs w:val="28"/>
        </w:rPr>
      </w:pPr>
      <w:r>
        <w:rPr>
          <w:rFonts w:hint="eastAsia" w:ascii="仿宋_GB2312" w:hAnsi="宋体" w:eastAsia="仿宋_GB2312" w:cs="宋体"/>
          <w:color w:val="000000"/>
          <w:sz w:val="28"/>
          <w:szCs w:val="28"/>
        </w:rPr>
        <w:t>（3）服务功能</w:t>
      </w:r>
    </w:p>
    <w:p>
      <w:pPr>
        <w:adjustRightInd w:val="0"/>
        <w:snapToGrid w:val="0"/>
        <w:spacing w:line="360" w:lineRule="auto"/>
        <w:ind w:firstLine="560" w:firstLineChars="200"/>
        <w:rPr>
          <w:rFonts w:ascii="仿宋_GB2312" w:eastAsia="仿宋_GB2312"/>
          <w:color w:val="000000"/>
          <w:sz w:val="28"/>
          <w:szCs w:val="28"/>
        </w:rPr>
      </w:pPr>
      <w:r>
        <w:rPr>
          <w:rFonts w:hint="eastAsia" w:ascii="仿宋_GB2312" w:hAnsi="宋体" w:eastAsia="仿宋_GB2312" w:cs="宋体"/>
          <w:color w:val="000000"/>
          <w:sz w:val="28"/>
          <w:szCs w:val="28"/>
        </w:rPr>
        <w:t>村级物流服务点受所属乡镇服务站监督和管理，负责汇总本村生活资料需求、联系购进农副产品及集中上行农产品，主要包括快递包裹收寄、信息收集发布、农资农产品电商产品代销代购及助农取款、缴费、票务、社保等便民服务。</w:t>
      </w:r>
    </w:p>
    <w:p>
      <w:pPr>
        <w:adjustRightInd w:val="0"/>
        <w:snapToGrid w:val="0"/>
        <w:spacing w:line="360" w:lineRule="auto"/>
        <w:ind w:firstLine="560" w:firstLineChars="200"/>
        <w:jc w:val="left"/>
        <w:rPr>
          <w:rFonts w:ascii="仿宋_GB2312" w:eastAsia="仿宋_GB2312"/>
          <w:color w:val="000000"/>
          <w:sz w:val="28"/>
          <w:szCs w:val="28"/>
        </w:rPr>
      </w:pPr>
      <w:r>
        <w:rPr>
          <w:rFonts w:hint="eastAsia" w:ascii="仿宋_GB2312" w:hAnsi="宋体" w:eastAsia="仿宋_GB2312" w:cs="宋体"/>
          <w:color w:val="000000"/>
          <w:sz w:val="28"/>
          <w:szCs w:val="28"/>
        </w:rPr>
        <w:t>各功能区布局示意图见图4-6、图4-7，每个服务点面积不小于10m2，主要建设快递作业区、农产品暂存区、农资存储区、农村电商服务区和便民服务区。</w:t>
      </w:r>
    </w:p>
    <w:p>
      <w:pPr>
        <w:adjustRightInd w:val="0"/>
        <w:snapToGrid w:val="0"/>
        <w:spacing w:line="360" w:lineRule="auto"/>
        <w:jc w:val="center"/>
        <w:rPr>
          <w:rFonts w:ascii="仿宋_GB2312" w:eastAsia="仿宋_GB2312"/>
          <w:color w:val="000000"/>
          <w:sz w:val="28"/>
          <w:szCs w:val="28"/>
        </w:rPr>
      </w:pPr>
      <w:r>
        <w:rPr>
          <w:color w:val="000000"/>
        </w:rPr>
        <w:drawing>
          <wp:inline distT="0" distB="0" distL="114300" distR="114300">
            <wp:extent cx="3524250" cy="2124075"/>
            <wp:effectExtent l="0" t="0" r="0"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7"/>
                    <a:stretch>
                      <a:fillRect/>
                    </a:stretch>
                  </pic:blipFill>
                  <pic:spPr>
                    <a:xfrm>
                      <a:off x="0" y="0"/>
                      <a:ext cx="3524250" cy="2124075"/>
                    </a:xfrm>
                    <a:prstGeom prst="rect">
                      <a:avLst/>
                    </a:prstGeom>
                    <a:noFill/>
                    <a:ln>
                      <a:noFill/>
                    </a:ln>
                  </pic:spPr>
                </pic:pic>
              </a:graphicData>
            </a:graphic>
          </wp:inline>
        </w:drawing>
      </w:r>
    </w:p>
    <w:p>
      <w:pPr>
        <w:adjustRightInd w:val="0"/>
        <w:snapToGrid w:val="0"/>
        <w:spacing w:line="360" w:lineRule="auto"/>
        <w:jc w:val="center"/>
        <w:rPr>
          <w:rFonts w:ascii="仿宋_GB2312" w:eastAsia="仿宋_GB2312"/>
          <w:b/>
          <w:color w:val="000000"/>
          <w:sz w:val="24"/>
        </w:rPr>
      </w:pPr>
      <w:r>
        <w:rPr>
          <w:rFonts w:hint="eastAsia" w:ascii="仿宋_GB2312" w:hAnsi="宋体" w:eastAsia="仿宋_GB2312" w:cs="宋体"/>
          <w:b/>
          <w:color w:val="000000"/>
          <w:sz w:val="24"/>
        </w:rPr>
        <w:t>图4-6村级物流服务点布局示意图（有</w:t>
      </w:r>
      <w:r>
        <w:rPr>
          <w:rFonts w:ascii="仿宋_GB2312" w:hAnsi="宋体" w:eastAsia="仿宋_GB2312" w:cs="宋体"/>
          <w:b/>
          <w:color w:val="000000"/>
          <w:sz w:val="24"/>
        </w:rPr>
        <w:t>农产品、农资需求</w:t>
      </w:r>
      <w:r>
        <w:rPr>
          <w:rFonts w:hint="eastAsia" w:ascii="仿宋_GB2312" w:hAnsi="宋体" w:eastAsia="仿宋_GB2312" w:cs="宋体"/>
          <w:b/>
          <w:color w:val="000000"/>
          <w:sz w:val="24"/>
        </w:rPr>
        <w:t>，不低于10m</w:t>
      </w:r>
      <w:r>
        <w:rPr>
          <w:rFonts w:hint="eastAsia" w:ascii="仿宋_GB2312" w:hAnsi="宋体" w:eastAsia="仿宋_GB2312" w:cs="宋体"/>
          <w:b/>
          <w:color w:val="000000"/>
          <w:sz w:val="24"/>
          <w:vertAlign w:val="superscript"/>
        </w:rPr>
        <w:t>2</w:t>
      </w:r>
      <w:r>
        <w:rPr>
          <w:rFonts w:hint="eastAsia" w:ascii="仿宋_GB2312" w:hAnsi="宋体" w:eastAsia="仿宋_GB2312" w:cs="宋体"/>
          <w:b/>
          <w:color w:val="000000"/>
          <w:sz w:val="24"/>
        </w:rPr>
        <w:t>）</w:t>
      </w:r>
    </w:p>
    <w:p>
      <w:pPr>
        <w:adjustRightInd w:val="0"/>
        <w:snapToGrid w:val="0"/>
        <w:spacing w:line="360" w:lineRule="auto"/>
        <w:ind w:firstLine="560" w:firstLineChars="200"/>
        <w:rPr>
          <w:rFonts w:ascii="仿宋_GB2312" w:eastAsia="仿宋_GB2312"/>
          <w:color w:val="000000"/>
          <w:sz w:val="28"/>
          <w:szCs w:val="28"/>
        </w:rPr>
      </w:pPr>
      <w:r>
        <w:rPr>
          <w:rFonts w:hint="eastAsia" w:ascii="仿宋_GB2312" w:hAnsi="宋体" w:eastAsia="仿宋_GB2312" w:cs="宋体"/>
          <w:color w:val="000000"/>
          <w:sz w:val="28"/>
          <w:szCs w:val="28"/>
        </w:rPr>
        <w:t>快递作业区推行“送货上门”“网点自提”两种模式；农产品暂存区为农特产品提供临时储存并发布价格信息；农资存储区保障农资供应；农村电商服务区提供代销代购；便民服务区提供助农取款、缴费、票务、社保等服务。</w:t>
      </w:r>
    </w:p>
    <w:p>
      <w:pPr>
        <w:adjustRightInd w:val="0"/>
        <w:snapToGrid w:val="0"/>
        <w:spacing w:line="360" w:lineRule="auto"/>
        <w:ind w:firstLine="560" w:firstLineChars="200"/>
        <w:rPr>
          <w:rFonts w:ascii="仿宋_GB2312" w:hAnsi="宋体" w:eastAsia="仿宋_GB2312" w:cs="宋体"/>
          <w:color w:val="000000"/>
          <w:sz w:val="28"/>
          <w:szCs w:val="28"/>
        </w:rPr>
      </w:pPr>
      <w:r>
        <w:rPr>
          <w:rFonts w:hint="eastAsia" w:ascii="仿宋_GB2312" w:hAnsi="宋体" w:eastAsia="仿宋_GB2312" w:cs="宋体"/>
          <w:color w:val="000000"/>
          <w:sz w:val="28"/>
          <w:szCs w:val="28"/>
        </w:rPr>
        <w:t>无农产品及农资需求的村级服务点，将农资存储区和农产品暂存区改为普通货物暂存区，如图4-7所示。</w:t>
      </w:r>
    </w:p>
    <w:p>
      <w:pPr>
        <w:adjustRightInd w:val="0"/>
        <w:snapToGrid w:val="0"/>
        <w:spacing w:line="360" w:lineRule="auto"/>
        <w:jc w:val="center"/>
        <w:rPr>
          <w:rFonts w:ascii="仿宋_GB2312" w:eastAsia="仿宋_GB2312"/>
          <w:color w:val="000000"/>
          <w:sz w:val="28"/>
          <w:szCs w:val="28"/>
        </w:rPr>
      </w:pPr>
      <w:r>
        <w:rPr>
          <w:color w:val="000000"/>
        </w:rPr>
        <w:drawing>
          <wp:inline distT="0" distB="0" distL="114300" distR="114300">
            <wp:extent cx="3524250" cy="2124075"/>
            <wp:effectExtent l="0" t="0" r="0"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8"/>
                    <a:stretch>
                      <a:fillRect/>
                    </a:stretch>
                  </pic:blipFill>
                  <pic:spPr>
                    <a:xfrm>
                      <a:off x="0" y="0"/>
                      <a:ext cx="3524250" cy="2124075"/>
                    </a:xfrm>
                    <a:prstGeom prst="rect">
                      <a:avLst/>
                    </a:prstGeom>
                    <a:noFill/>
                    <a:ln>
                      <a:noFill/>
                    </a:ln>
                  </pic:spPr>
                </pic:pic>
              </a:graphicData>
            </a:graphic>
          </wp:inline>
        </w:drawing>
      </w:r>
    </w:p>
    <w:p>
      <w:pPr>
        <w:adjustRightInd w:val="0"/>
        <w:snapToGrid w:val="0"/>
        <w:spacing w:line="360" w:lineRule="auto"/>
        <w:jc w:val="center"/>
        <w:rPr>
          <w:rFonts w:ascii="仿宋_GB2312" w:eastAsia="仿宋_GB2312"/>
          <w:b/>
          <w:color w:val="000000"/>
          <w:sz w:val="24"/>
        </w:rPr>
      </w:pPr>
      <w:r>
        <w:rPr>
          <w:rFonts w:hint="eastAsia" w:ascii="仿宋_GB2312" w:hAnsi="宋体" w:eastAsia="仿宋_GB2312" w:cs="宋体"/>
          <w:b/>
          <w:color w:val="000000"/>
          <w:sz w:val="24"/>
        </w:rPr>
        <w:t>图4-7村级物流服务点布局示意图（无农产品</w:t>
      </w:r>
      <w:r>
        <w:rPr>
          <w:rFonts w:ascii="仿宋_GB2312" w:hAnsi="宋体" w:eastAsia="仿宋_GB2312" w:cs="宋体"/>
          <w:b/>
          <w:color w:val="000000"/>
          <w:sz w:val="24"/>
        </w:rPr>
        <w:t>、农资</w:t>
      </w:r>
      <w:r>
        <w:rPr>
          <w:rFonts w:hint="eastAsia" w:ascii="仿宋_GB2312" w:hAnsi="宋体" w:eastAsia="仿宋_GB2312" w:cs="宋体"/>
          <w:b/>
          <w:color w:val="000000"/>
          <w:sz w:val="24"/>
        </w:rPr>
        <w:t>需求</w:t>
      </w:r>
      <w:r>
        <w:rPr>
          <w:rFonts w:ascii="仿宋_GB2312" w:hAnsi="宋体" w:eastAsia="仿宋_GB2312" w:cs="宋体"/>
          <w:b/>
          <w:color w:val="000000"/>
          <w:sz w:val="24"/>
        </w:rPr>
        <w:t>，</w:t>
      </w:r>
      <w:r>
        <w:rPr>
          <w:rFonts w:hint="eastAsia" w:ascii="仿宋_GB2312" w:hAnsi="宋体" w:eastAsia="仿宋_GB2312" w:cs="宋体"/>
          <w:b/>
          <w:color w:val="000000"/>
          <w:sz w:val="24"/>
        </w:rPr>
        <w:t>不低于10m</w:t>
      </w:r>
      <w:r>
        <w:rPr>
          <w:rFonts w:hint="eastAsia" w:ascii="仿宋_GB2312" w:hAnsi="宋体" w:eastAsia="仿宋_GB2312" w:cs="宋体"/>
          <w:b/>
          <w:color w:val="000000"/>
          <w:sz w:val="24"/>
          <w:vertAlign w:val="superscript"/>
        </w:rPr>
        <w:t>2</w:t>
      </w:r>
      <w:r>
        <w:rPr>
          <w:rFonts w:hint="eastAsia" w:ascii="仿宋_GB2312" w:hAnsi="宋体" w:eastAsia="仿宋_GB2312" w:cs="宋体"/>
          <w:b/>
          <w:color w:val="000000"/>
          <w:sz w:val="24"/>
        </w:rPr>
        <w:t>）</w:t>
      </w:r>
    </w:p>
    <w:p>
      <w:pPr>
        <w:widowControl/>
        <w:ind w:firstLine="560" w:firstLineChars="200"/>
        <w:jc w:val="left"/>
        <w:textAlignment w:val="center"/>
        <w:rPr>
          <w:rFonts w:ascii="仿宋_GB2312" w:eastAsia="仿宋_GB2312"/>
          <w:color w:val="000000"/>
          <w:sz w:val="28"/>
          <w:szCs w:val="28"/>
        </w:rPr>
      </w:pPr>
      <w:r>
        <w:rPr>
          <w:rFonts w:hint="eastAsia" w:ascii="仿宋_GB2312" w:hAnsi="宋体" w:eastAsia="仿宋_GB2312" w:cs="宋体"/>
          <w:color w:val="000000"/>
          <w:sz w:val="28"/>
          <w:szCs w:val="28"/>
        </w:rPr>
        <w:t>（4）设施设备配备</w:t>
      </w:r>
    </w:p>
    <w:p>
      <w:pPr>
        <w:widowControl/>
        <w:ind w:left="420" w:leftChars="200"/>
        <w:jc w:val="left"/>
        <w:textAlignment w:val="center"/>
        <w:rPr>
          <w:rFonts w:hint="eastAsia" w:ascii="仿宋_GB2312" w:hAnsi="宋体" w:eastAsia="仿宋_GB2312" w:cs="宋体"/>
          <w:color w:val="000000"/>
          <w:sz w:val="28"/>
          <w:szCs w:val="28"/>
        </w:rPr>
      </w:pPr>
      <w:r>
        <w:rPr>
          <w:rFonts w:hint="eastAsia" w:ascii="仿宋_GB2312" w:hAnsi="宋体" w:eastAsia="仿宋_GB2312" w:cs="宋体"/>
          <w:color w:val="000000"/>
          <w:sz w:val="28"/>
          <w:szCs w:val="28"/>
        </w:rPr>
        <w:t>村级物流服务点应配置办公、物流及信息等基本设施设备。</w:t>
      </w:r>
    </w:p>
    <w:p>
      <w:pPr>
        <w:adjustRightInd w:val="0"/>
        <w:snapToGrid w:val="0"/>
        <w:spacing w:line="360" w:lineRule="auto"/>
        <w:ind w:firstLine="562" w:firstLineChars="200"/>
        <w:rPr>
          <w:rFonts w:ascii="仿宋_GB2312" w:eastAsia="仿宋_GB2312"/>
          <w:b/>
          <w:bCs/>
          <w:color w:val="000000"/>
          <w:sz w:val="28"/>
          <w:szCs w:val="28"/>
        </w:rPr>
      </w:pPr>
      <w:bookmarkStart w:id="99" w:name="_Toc11962"/>
      <w:bookmarkStart w:id="100" w:name="_Toc533347549"/>
      <w:bookmarkStart w:id="101" w:name="_Toc12399"/>
      <w:r>
        <w:rPr>
          <w:rFonts w:hint="eastAsia" w:ascii="仿宋_GB2312" w:hAnsi="宋体" w:eastAsia="仿宋_GB2312" w:cs="宋体"/>
          <w:b/>
          <w:bCs/>
          <w:color w:val="000000"/>
          <w:sz w:val="28"/>
          <w:szCs w:val="28"/>
        </w:rPr>
        <w:t>（6）县乡村三级农村物流网络运营流程</w:t>
      </w:r>
    </w:p>
    <w:p>
      <w:pPr>
        <w:adjustRightInd w:val="0"/>
        <w:snapToGrid w:val="0"/>
        <w:spacing w:line="360" w:lineRule="auto"/>
        <w:jc w:val="center"/>
        <w:rPr>
          <w:rFonts w:hint="eastAsia"/>
          <w:color w:val="000000"/>
        </w:rPr>
      </w:pPr>
      <w:bookmarkStart w:id="102" w:name="_Toc533297815"/>
      <w:r>
        <w:rPr>
          <w:rFonts w:hint="eastAsia"/>
          <w:color w:val="000000"/>
        </w:rPr>
        <w:drawing>
          <wp:inline distT="0" distB="0" distL="114300" distR="114300">
            <wp:extent cx="5543550" cy="1800225"/>
            <wp:effectExtent l="0" t="0" r="0" b="9525"/>
            <wp:docPr id="8" name="图片 8"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1"/>
                    <pic:cNvPicPr>
                      <a:picLocks noChangeAspect="1"/>
                    </pic:cNvPicPr>
                  </pic:nvPicPr>
                  <pic:blipFill>
                    <a:blip r:embed="rId19"/>
                    <a:stretch>
                      <a:fillRect/>
                    </a:stretch>
                  </pic:blipFill>
                  <pic:spPr>
                    <a:xfrm>
                      <a:off x="0" y="0"/>
                      <a:ext cx="5543550" cy="1800225"/>
                    </a:xfrm>
                    <a:prstGeom prst="rect">
                      <a:avLst/>
                    </a:prstGeom>
                    <a:noFill/>
                    <a:ln>
                      <a:noFill/>
                    </a:ln>
                  </pic:spPr>
                </pic:pic>
              </a:graphicData>
            </a:graphic>
          </wp:inline>
        </w:drawing>
      </w:r>
    </w:p>
    <w:p>
      <w:pPr>
        <w:adjustRightInd w:val="0"/>
        <w:snapToGrid w:val="0"/>
        <w:spacing w:line="360" w:lineRule="auto"/>
        <w:jc w:val="center"/>
        <w:rPr>
          <w:rFonts w:hint="eastAsia" w:ascii="仿宋_GB2312" w:hAnsi="宋体" w:eastAsia="仿宋_GB2312" w:cs="宋体"/>
          <w:b/>
          <w:color w:val="000000"/>
          <w:sz w:val="24"/>
        </w:rPr>
      </w:pPr>
      <w:r>
        <w:rPr>
          <w:rFonts w:hint="eastAsia" w:ascii="仿宋_GB2312" w:hAnsi="宋体" w:eastAsia="仿宋_GB2312" w:cs="宋体"/>
          <w:b/>
          <w:color w:val="000000"/>
          <w:sz w:val="24"/>
        </w:rPr>
        <w:t>图4-8县乡村三级农村物流网络运营流程</w:t>
      </w:r>
      <w:bookmarkEnd w:id="102"/>
    </w:p>
    <w:p>
      <w:pPr>
        <w:adjustRightInd w:val="0"/>
        <w:snapToGrid w:val="0"/>
        <w:spacing w:line="360" w:lineRule="auto"/>
        <w:ind w:firstLine="560" w:firstLineChars="200"/>
        <w:rPr>
          <w:rFonts w:ascii="仿宋_GB2312" w:hAnsi="宋体" w:eastAsia="仿宋_GB2312" w:cs="宋体"/>
          <w:color w:val="000000"/>
          <w:sz w:val="28"/>
          <w:szCs w:val="28"/>
        </w:rPr>
      </w:pPr>
      <w:r>
        <w:rPr>
          <w:rFonts w:hint="eastAsia" w:ascii="仿宋_GB2312" w:hAnsi="宋体" w:eastAsia="仿宋_GB2312" w:cs="宋体"/>
          <w:color w:val="000000"/>
          <w:sz w:val="28"/>
          <w:szCs w:val="28"/>
        </w:rPr>
        <w:t>通过县乡村三级网络，结合社区配送、城乡共同配送和上门自提，形成完整物流快递配送服务链：县级物流中心承担大规模仓储配送及上下行运输；镇级服务站承担小批量仓储配送、衔接县村调度；村级服务站为物流终端网点，实现村民家门口便捷寄递取件，解决“最后一公里”和农产品“第一公里”问题。</w:t>
      </w:r>
    </w:p>
    <w:p>
      <w:pPr>
        <w:pStyle w:val="4"/>
        <w:bidi w:val="0"/>
      </w:pPr>
      <w:bookmarkStart w:id="103" w:name="_Toc24365"/>
      <w:r>
        <w:rPr>
          <w:rFonts w:hint="eastAsia"/>
        </w:rPr>
        <w:t>4.2.2配送网络线路规划</w:t>
      </w:r>
      <w:bookmarkEnd w:id="99"/>
      <w:bookmarkEnd w:id="100"/>
      <w:bookmarkEnd w:id="101"/>
      <w:bookmarkEnd w:id="103"/>
    </w:p>
    <w:p>
      <w:pPr>
        <w:adjustRightInd w:val="0"/>
        <w:snapToGrid w:val="0"/>
        <w:spacing w:line="360" w:lineRule="auto"/>
        <w:ind w:firstLine="560" w:firstLineChars="200"/>
        <w:rPr>
          <w:rFonts w:ascii="仿宋_GB2312" w:hAnsi="宋体" w:eastAsia="仿宋_GB2312" w:cs="宋体"/>
          <w:color w:val="000000"/>
          <w:sz w:val="28"/>
          <w:szCs w:val="28"/>
        </w:rPr>
      </w:pPr>
      <w:r>
        <w:rPr>
          <w:rFonts w:hint="eastAsia" w:ascii="仿宋_GB2312" w:hAnsi="宋体" w:eastAsia="仿宋_GB2312" w:cs="宋体"/>
          <w:color w:val="000000"/>
          <w:sz w:val="28"/>
          <w:szCs w:val="28"/>
        </w:rPr>
        <w:t>配送网络线路规划通过开通物流配送线路，整合县、镇、村三级物流资源，实现各节点互联互通，将网购商品及时配送到乡村，将农产品及时运回县级物流中心发往县外。</w:t>
      </w:r>
    </w:p>
    <w:p>
      <w:pPr>
        <w:adjustRightInd w:val="0"/>
        <w:snapToGrid w:val="0"/>
        <w:spacing w:line="360" w:lineRule="auto"/>
        <w:ind w:firstLine="562" w:firstLineChars="200"/>
        <w:rPr>
          <w:rFonts w:ascii="仿宋_GB2312" w:eastAsia="仿宋_GB2312"/>
          <w:b/>
          <w:bCs/>
          <w:color w:val="000000"/>
          <w:sz w:val="28"/>
          <w:szCs w:val="28"/>
        </w:rPr>
      </w:pPr>
      <w:r>
        <w:rPr>
          <w:rFonts w:hint="eastAsia" w:ascii="仿宋_GB2312" w:hAnsi="宋体" w:eastAsia="仿宋_GB2312" w:cs="宋体"/>
          <w:b/>
          <w:bCs/>
          <w:color w:val="000000"/>
          <w:sz w:val="28"/>
          <w:szCs w:val="28"/>
        </w:rPr>
        <w:t>（1）客运班线与</w:t>
      </w:r>
      <w:r>
        <w:rPr>
          <w:rFonts w:ascii="仿宋_GB2312" w:hAnsi="宋体" w:eastAsia="仿宋_GB2312" w:cs="宋体"/>
          <w:b/>
          <w:bCs/>
          <w:color w:val="000000"/>
          <w:sz w:val="28"/>
          <w:szCs w:val="28"/>
        </w:rPr>
        <w:t>货车</w:t>
      </w:r>
      <w:r>
        <w:rPr>
          <w:rFonts w:hint="eastAsia" w:ascii="仿宋_GB2312" w:hAnsi="宋体" w:eastAsia="仿宋_GB2312" w:cs="宋体"/>
          <w:b/>
          <w:bCs/>
          <w:color w:val="000000"/>
          <w:sz w:val="28"/>
          <w:szCs w:val="28"/>
        </w:rPr>
        <w:t>结合</w:t>
      </w:r>
      <w:r>
        <w:rPr>
          <w:rFonts w:ascii="仿宋_GB2312" w:hAnsi="宋体" w:eastAsia="仿宋_GB2312" w:cs="宋体"/>
          <w:b/>
          <w:bCs/>
          <w:color w:val="000000"/>
          <w:sz w:val="28"/>
          <w:szCs w:val="28"/>
        </w:rPr>
        <w:t>的</w:t>
      </w:r>
      <w:r>
        <w:rPr>
          <w:rFonts w:hint="eastAsia" w:ascii="仿宋_GB2312" w:hAnsi="宋体" w:eastAsia="仿宋_GB2312" w:cs="宋体"/>
          <w:b/>
          <w:bCs/>
          <w:color w:val="000000"/>
          <w:sz w:val="28"/>
          <w:szCs w:val="28"/>
        </w:rPr>
        <w:t>承载物流服务</w:t>
      </w:r>
    </w:p>
    <w:p>
      <w:pPr>
        <w:adjustRightInd w:val="0"/>
        <w:snapToGrid w:val="0"/>
        <w:spacing w:line="360" w:lineRule="auto"/>
        <w:ind w:firstLine="560" w:firstLineChars="200"/>
        <w:rPr>
          <w:rFonts w:ascii="仿宋_GB2312" w:eastAsia="仿宋_GB2312"/>
          <w:color w:val="000000"/>
          <w:sz w:val="28"/>
          <w:szCs w:val="28"/>
        </w:rPr>
      </w:pPr>
      <w:r>
        <w:rPr>
          <w:rFonts w:hint="eastAsia" w:ascii="仿宋_GB2312" w:hAnsi="宋体" w:eastAsia="仿宋_GB2312" w:cs="宋体"/>
          <w:color w:val="000000"/>
          <w:sz w:val="28"/>
          <w:szCs w:val="28"/>
        </w:rPr>
        <w:t>货物从县级物流服务中心经客车+小货车运至镇级服务站，村部沿线经客运车配送，客运车不能到达处由便利店、合作社等节点负责人统一到乡镇取货，配送方式见表4-6。</w:t>
      </w:r>
    </w:p>
    <w:p>
      <w:pPr>
        <w:adjustRightInd w:val="0"/>
        <w:snapToGrid w:val="0"/>
        <w:spacing w:line="360" w:lineRule="auto"/>
        <w:jc w:val="center"/>
        <w:rPr>
          <w:rFonts w:ascii="仿宋_GB2312" w:eastAsia="仿宋_GB2312"/>
          <w:b/>
          <w:color w:val="000000"/>
          <w:sz w:val="24"/>
        </w:rPr>
      </w:pPr>
      <w:r>
        <w:rPr>
          <w:rFonts w:hint="eastAsia" w:ascii="仿宋_GB2312" w:hAnsi="宋体" w:eastAsia="仿宋_GB2312" w:cs="宋体"/>
          <w:b/>
          <w:color w:val="000000"/>
          <w:sz w:val="24"/>
        </w:rPr>
        <w:t>表4-6客运班线物流配送网络及</w:t>
      </w:r>
      <w:r>
        <w:rPr>
          <w:rFonts w:ascii="仿宋_GB2312" w:hAnsi="宋体" w:eastAsia="仿宋_GB2312" w:cs="宋体"/>
          <w:b/>
          <w:color w:val="000000"/>
          <w:sz w:val="24"/>
        </w:rPr>
        <w:t>配送方式</w:t>
      </w:r>
    </w:p>
    <w:tbl>
      <w:tblPr>
        <w:tblStyle w:val="15"/>
        <w:tblW w:w="8463"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48"/>
        <w:gridCol w:w="3615"/>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4848" w:type="dxa"/>
            <w:tcBorders>
              <w:tl2br w:val="nil"/>
              <w:tr2bl w:val="nil"/>
            </w:tcBorders>
            <w:vAlign w:val="center"/>
          </w:tcPr>
          <w:p>
            <w:pPr>
              <w:adjustRightInd w:val="0"/>
              <w:snapToGrid w:val="0"/>
              <w:jc w:val="center"/>
              <w:rPr>
                <w:rFonts w:ascii="仿宋_GB2312" w:eastAsia="仿宋_GB2312"/>
                <w:b/>
                <w:bCs/>
                <w:color w:val="000000"/>
                <w:sz w:val="24"/>
              </w:rPr>
            </w:pPr>
            <w:r>
              <w:rPr>
                <w:rFonts w:hint="eastAsia" w:ascii="仿宋_GB2312" w:hAnsi="宋体" w:eastAsia="仿宋_GB2312" w:cs="宋体"/>
                <w:b/>
                <w:bCs/>
                <w:color w:val="000000"/>
                <w:sz w:val="24"/>
              </w:rPr>
              <w:t>配送网络</w:t>
            </w:r>
          </w:p>
        </w:tc>
        <w:tc>
          <w:tcPr>
            <w:tcW w:w="3615" w:type="dxa"/>
            <w:tcBorders>
              <w:tl2br w:val="nil"/>
              <w:tr2bl w:val="nil"/>
            </w:tcBorders>
            <w:vAlign w:val="center"/>
          </w:tcPr>
          <w:p>
            <w:pPr>
              <w:adjustRightInd w:val="0"/>
              <w:snapToGrid w:val="0"/>
              <w:jc w:val="center"/>
              <w:rPr>
                <w:rFonts w:ascii="仿宋_GB2312" w:eastAsia="仿宋_GB2312"/>
                <w:b/>
                <w:bCs/>
                <w:color w:val="000000"/>
                <w:sz w:val="24"/>
              </w:rPr>
            </w:pPr>
            <w:r>
              <w:rPr>
                <w:rFonts w:hint="eastAsia" w:ascii="仿宋_GB2312" w:hAnsi="宋体" w:eastAsia="仿宋_GB2312" w:cs="宋体"/>
                <w:b/>
                <w:bCs/>
                <w:color w:val="000000"/>
                <w:sz w:val="24"/>
              </w:rPr>
              <w:t>配送方式</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jc w:val="center"/>
        </w:trPr>
        <w:tc>
          <w:tcPr>
            <w:tcW w:w="4848" w:type="dxa"/>
            <w:tcBorders>
              <w:tl2br w:val="nil"/>
              <w:tr2bl w:val="nil"/>
            </w:tcBorders>
            <w:vAlign w:val="center"/>
          </w:tcPr>
          <w:p>
            <w:pPr>
              <w:adjustRightInd w:val="0"/>
              <w:snapToGrid w:val="0"/>
              <w:jc w:val="center"/>
              <w:rPr>
                <w:rFonts w:ascii="仿宋_GB2312" w:eastAsia="仿宋_GB2312"/>
                <w:color w:val="000000"/>
                <w:sz w:val="24"/>
              </w:rPr>
            </w:pPr>
            <w:r>
              <w:rPr>
                <w:rFonts w:hint="eastAsia" w:ascii="仿宋_GB2312" w:hAnsi="宋体" w:eastAsia="仿宋_GB2312" w:cs="宋体"/>
                <w:color w:val="000000"/>
                <w:sz w:val="24"/>
              </w:rPr>
              <w:t>县级农村物流服务中心→综合运输服务站</w:t>
            </w:r>
          </w:p>
        </w:tc>
        <w:tc>
          <w:tcPr>
            <w:tcW w:w="3615" w:type="dxa"/>
            <w:tcBorders>
              <w:tl2br w:val="nil"/>
              <w:tr2bl w:val="nil"/>
            </w:tcBorders>
            <w:vAlign w:val="center"/>
          </w:tcPr>
          <w:p>
            <w:pPr>
              <w:adjustRightInd w:val="0"/>
              <w:snapToGrid w:val="0"/>
              <w:jc w:val="center"/>
              <w:rPr>
                <w:rFonts w:ascii="仿宋_GB2312" w:eastAsia="仿宋_GB2312"/>
                <w:color w:val="000000"/>
                <w:sz w:val="24"/>
              </w:rPr>
            </w:pPr>
            <w:r>
              <w:rPr>
                <w:rFonts w:hint="eastAsia" w:ascii="仿宋_GB2312" w:hAnsi="宋体" w:eastAsia="仿宋_GB2312" w:cs="宋体"/>
                <w:color w:val="000000"/>
                <w:sz w:val="24"/>
              </w:rPr>
              <w:t>客车+小货车</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4848" w:type="dxa"/>
            <w:tcBorders>
              <w:tl2br w:val="nil"/>
              <w:tr2bl w:val="nil"/>
            </w:tcBorders>
            <w:vAlign w:val="center"/>
          </w:tcPr>
          <w:p>
            <w:pPr>
              <w:adjustRightInd w:val="0"/>
              <w:snapToGrid w:val="0"/>
              <w:spacing w:line="360" w:lineRule="auto"/>
              <w:jc w:val="center"/>
              <w:rPr>
                <w:rFonts w:ascii="仿宋_GB2312" w:eastAsia="仿宋_GB2312"/>
                <w:color w:val="000000"/>
                <w:sz w:val="24"/>
              </w:rPr>
            </w:pPr>
            <w:r>
              <w:rPr>
                <w:rFonts w:hint="eastAsia" w:ascii="仿宋_GB2312" w:hAnsi="宋体" w:eastAsia="仿宋_GB2312" w:cs="宋体"/>
                <w:color w:val="000000"/>
                <w:sz w:val="24"/>
              </w:rPr>
              <w:t>综合运输服务站→村级物流服务点</w:t>
            </w:r>
          </w:p>
        </w:tc>
        <w:tc>
          <w:tcPr>
            <w:tcW w:w="3615" w:type="dxa"/>
            <w:tcBorders>
              <w:tl2br w:val="nil"/>
              <w:tr2bl w:val="nil"/>
            </w:tcBorders>
            <w:vAlign w:val="center"/>
          </w:tcPr>
          <w:p>
            <w:pPr>
              <w:numPr>
                <w:ilvl w:val="0"/>
                <w:numId w:val="1"/>
              </w:numPr>
              <w:adjustRightInd w:val="0"/>
              <w:snapToGrid w:val="0"/>
              <w:spacing w:line="360" w:lineRule="auto"/>
              <w:jc w:val="center"/>
              <w:rPr>
                <w:rFonts w:ascii="仿宋_GB2312" w:eastAsia="仿宋_GB2312"/>
                <w:color w:val="000000"/>
                <w:sz w:val="24"/>
              </w:rPr>
            </w:pPr>
            <w:r>
              <w:rPr>
                <w:rFonts w:hint="eastAsia" w:ascii="仿宋_GB2312" w:hAnsi="宋体" w:eastAsia="仿宋_GB2312" w:cs="宋体"/>
                <w:color w:val="000000"/>
                <w:sz w:val="24"/>
              </w:rPr>
              <w:t>小客运车</w:t>
            </w:r>
          </w:p>
          <w:p>
            <w:pPr>
              <w:numPr>
                <w:ilvl w:val="0"/>
                <w:numId w:val="1"/>
              </w:numPr>
              <w:adjustRightInd w:val="0"/>
              <w:snapToGrid w:val="0"/>
              <w:spacing w:line="360" w:lineRule="auto"/>
              <w:jc w:val="center"/>
              <w:rPr>
                <w:rFonts w:ascii="仿宋_GB2312" w:eastAsia="仿宋_GB2312"/>
                <w:color w:val="000000"/>
                <w:sz w:val="24"/>
              </w:rPr>
            </w:pPr>
            <w:r>
              <w:rPr>
                <w:rFonts w:hint="eastAsia" w:ascii="仿宋_GB2312" w:hAnsi="宋体" w:eastAsia="仿宋_GB2312" w:cs="宋体"/>
                <w:color w:val="000000"/>
                <w:sz w:val="24"/>
              </w:rPr>
              <w:t>承包责任制</w:t>
            </w:r>
          </w:p>
          <w:p>
            <w:pPr>
              <w:numPr>
                <w:ilvl w:val="0"/>
                <w:numId w:val="1"/>
              </w:numPr>
              <w:adjustRightInd w:val="0"/>
              <w:snapToGrid w:val="0"/>
              <w:spacing w:line="360" w:lineRule="auto"/>
              <w:jc w:val="center"/>
              <w:rPr>
                <w:rFonts w:ascii="仿宋_GB2312" w:eastAsia="仿宋_GB2312"/>
                <w:color w:val="000000"/>
                <w:sz w:val="24"/>
              </w:rPr>
            </w:pPr>
            <w:r>
              <w:rPr>
                <w:rFonts w:hint="eastAsia" w:ascii="仿宋_GB2312" w:hAnsi="宋体" w:eastAsia="仿宋_GB2312" w:cs="宋体"/>
                <w:color w:val="000000"/>
                <w:sz w:val="24"/>
              </w:rPr>
              <w:t>村民自取</w:t>
            </w:r>
          </w:p>
        </w:tc>
      </w:tr>
    </w:tbl>
    <w:p>
      <w:pPr>
        <w:adjustRightInd w:val="0"/>
        <w:snapToGrid w:val="0"/>
        <w:spacing w:line="360" w:lineRule="auto"/>
        <w:ind w:firstLine="560" w:firstLineChars="200"/>
        <w:rPr>
          <w:rFonts w:ascii="仿宋_GB2312" w:hAnsi="宋体" w:eastAsia="仿宋_GB2312" w:cs="宋体"/>
          <w:b/>
          <w:bCs/>
          <w:color w:val="000000"/>
          <w:sz w:val="28"/>
          <w:szCs w:val="28"/>
        </w:rPr>
      </w:pPr>
      <w:r>
        <w:rPr>
          <w:rFonts w:hint="eastAsia" w:ascii="仿宋_GB2312" w:hAnsi="宋体" w:eastAsia="仿宋_GB2312" w:cs="宋体"/>
          <w:color w:val="000000"/>
          <w:sz w:val="28"/>
          <w:szCs w:val="28"/>
        </w:rPr>
        <w:t>规划前期物流体系未完善、货量少，以客运班线为县乡运输主体，利用客运闲置资源降低物流成本；待体系成熟后，引导专业物流企业开展县乡配送。</w:t>
      </w:r>
    </w:p>
    <w:p>
      <w:pPr>
        <w:adjustRightInd w:val="0"/>
        <w:snapToGrid w:val="0"/>
        <w:spacing w:line="360" w:lineRule="auto"/>
        <w:ind w:firstLine="562" w:firstLineChars="200"/>
        <w:rPr>
          <w:rFonts w:ascii="仿宋_GB2312" w:eastAsia="仿宋_GB2312"/>
          <w:b/>
          <w:bCs/>
          <w:color w:val="000000"/>
          <w:sz w:val="28"/>
          <w:szCs w:val="28"/>
        </w:rPr>
      </w:pPr>
      <w:r>
        <w:rPr>
          <w:rFonts w:hint="eastAsia" w:ascii="仿宋_GB2312" w:hAnsi="宋体" w:eastAsia="仿宋_GB2312" w:cs="宋体"/>
          <w:b/>
          <w:bCs/>
          <w:color w:val="000000"/>
          <w:sz w:val="28"/>
          <w:szCs w:val="28"/>
        </w:rPr>
        <w:t>（2）优化城乡物流配送线路</w:t>
      </w:r>
    </w:p>
    <w:p>
      <w:pPr>
        <w:adjustRightInd w:val="0"/>
        <w:snapToGrid w:val="0"/>
        <w:spacing w:line="360" w:lineRule="auto"/>
        <w:ind w:firstLine="560" w:firstLineChars="200"/>
        <w:rPr>
          <w:rFonts w:ascii="仿宋_GB2312" w:eastAsia="仿宋_GB2312"/>
          <w:color w:val="000000"/>
          <w:sz w:val="28"/>
          <w:szCs w:val="28"/>
        </w:rPr>
      </w:pPr>
      <w:r>
        <w:rPr>
          <w:rFonts w:hint="eastAsia" w:ascii="仿宋_GB2312" w:hAnsi="宋体" w:eastAsia="仿宋_GB2312" w:cs="宋体"/>
          <w:color w:val="000000"/>
          <w:sz w:val="28"/>
          <w:szCs w:val="28"/>
        </w:rPr>
        <w:t>1）规划原则</w:t>
      </w:r>
    </w:p>
    <w:p>
      <w:pPr>
        <w:adjustRightInd w:val="0"/>
        <w:snapToGrid w:val="0"/>
        <w:spacing w:line="360" w:lineRule="auto"/>
        <w:ind w:firstLine="560" w:firstLineChars="200"/>
        <w:rPr>
          <w:rFonts w:ascii="仿宋_GB2312" w:eastAsia="仿宋_GB2312"/>
          <w:color w:val="000000"/>
          <w:sz w:val="28"/>
          <w:szCs w:val="28"/>
        </w:rPr>
      </w:pPr>
      <w:r>
        <w:rPr>
          <w:rFonts w:hint="eastAsia" w:ascii="仿宋_GB2312" w:hAnsi="宋体" w:eastAsia="仿宋_GB2312" w:cs="宋体"/>
          <w:bCs/>
          <w:color w:val="000000"/>
          <w:sz w:val="28"/>
          <w:szCs w:val="28"/>
        </w:rPr>
        <w:t>“三定”即定时、定点、定线：每日上午统一从县级物流中心发车、按时到达镇村服务点并定时往返；县村站点互联互通、镇级站点作为快件投递收件点；配送专线固定运营、固定车辆每日往返。“四统一”即统一运价、统一服务、统一配送、统一补贴：区域内上下行每件费用相对固定；对快递企业统一收货、存货、包装、贴单、发货；按专线统一配送并由回程专线配回上行产品；按线路里程、往返车次或快递单量给予补贴。</w:t>
      </w:r>
    </w:p>
    <w:p>
      <w:pPr>
        <w:adjustRightInd w:val="0"/>
        <w:snapToGrid w:val="0"/>
        <w:spacing w:line="360" w:lineRule="auto"/>
        <w:ind w:firstLine="560" w:firstLineChars="200"/>
        <w:rPr>
          <w:rFonts w:ascii="仿宋_GB2312" w:eastAsia="仿宋_GB2312"/>
          <w:color w:val="000000"/>
          <w:sz w:val="28"/>
          <w:szCs w:val="28"/>
        </w:rPr>
      </w:pPr>
      <w:r>
        <w:rPr>
          <w:rFonts w:hint="eastAsia" w:ascii="仿宋_GB2312" w:hAnsi="宋体" w:eastAsia="仿宋_GB2312" w:cs="宋体"/>
          <w:color w:val="000000"/>
          <w:sz w:val="28"/>
          <w:szCs w:val="28"/>
        </w:rPr>
        <w:t>2）线路规划</w:t>
      </w:r>
    </w:p>
    <w:p>
      <w:pPr>
        <w:adjustRightInd w:val="0"/>
        <w:snapToGrid w:val="0"/>
        <w:spacing w:line="360" w:lineRule="auto"/>
        <w:ind w:firstLine="560" w:firstLineChars="200"/>
        <w:rPr>
          <w:rFonts w:hint="eastAsia" w:ascii="仿宋_GB2312" w:hAnsi="宋体" w:eastAsia="仿宋_GB2312" w:cs="宋体"/>
          <w:color w:val="000000"/>
          <w:sz w:val="28"/>
          <w:szCs w:val="28"/>
        </w:rPr>
      </w:pPr>
      <w:r>
        <w:rPr>
          <w:rFonts w:hint="eastAsia" w:ascii="仿宋_GB2312" w:hAnsi="宋体" w:eastAsia="仿宋_GB2312" w:cs="宋体"/>
          <w:color w:val="000000"/>
          <w:sz w:val="28"/>
          <w:szCs w:val="28"/>
        </w:rPr>
        <w:t>待三级物流体系成熟后，整合升级运输网络，引导主要快递企业组建联盟、成立物流企业承担县乡村配送，购置新能源货运车辆，打造3条物流配送专线，定时、定班、定点发送共同配送“班车”。</w:t>
      </w:r>
    </w:p>
    <w:p>
      <w:pPr>
        <w:adjustRightInd w:val="0"/>
        <w:snapToGrid w:val="0"/>
        <w:jc w:val="center"/>
        <w:rPr>
          <w:rFonts w:hint="eastAsia" w:ascii="仿宋_GB2312" w:hAnsi="宋体" w:eastAsia="仿宋_GB2312" w:cs="宋体"/>
          <w:b/>
          <w:color w:val="000000"/>
          <w:sz w:val="24"/>
        </w:rPr>
      </w:pPr>
      <w:r>
        <w:rPr>
          <w:rFonts w:hint="eastAsia" w:ascii="仿宋_GB2312" w:hAnsi="宋体" w:eastAsia="仿宋_GB2312" w:cs="宋体"/>
          <w:b/>
          <w:color w:val="000000"/>
          <w:sz w:val="24"/>
        </w:rPr>
        <w:t>表4-7连南瑶族自治县物流配送专线线路表</w:t>
      </w:r>
      <w:bookmarkStart w:id="104" w:name="_Toc295"/>
    </w:p>
    <w:tbl>
      <w:tblPr>
        <w:tblStyle w:val="15"/>
        <w:tblW w:w="8504"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7"/>
        <w:gridCol w:w="7267"/>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1" w:hRule="atLeast"/>
        </w:trPr>
        <w:tc>
          <w:tcPr>
            <w:tcW w:w="1237" w:type="dxa"/>
            <w:tcBorders>
              <w:tl2br w:val="nil"/>
              <w:tr2bl w:val="nil"/>
            </w:tcBorders>
            <w:vAlign w:val="center"/>
          </w:tcPr>
          <w:p>
            <w:pPr>
              <w:adjustRightInd w:val="0"/>
              <w:snapToGrid w:val="0"/>
              <w:jc w:val="center"/>
              <w:rPr>
                <w:rFonts w:hint="eastAsia" w:ascii="仿宋_GB2312" w:hAnsi="宋体" w:eastAsia="仿宋_GB2312" w:cs="宋体"/>
                <w:b/>
                <w:bCs/>
                <w:color w:val="000000"/>
                <w:sz w:val="24"/>
              </w:rPr>
            </w:pPr>
            <w:r>
              <w:rPr>
                <w:rFonts w:hint="eastAsia" w:ascii="仿宋_GB2312" w:hAnsi="宋体" w:eastAsia="仿宋_GB2312" w:cs="宋体"/>
                <w:b/>
                <w:bCs/>
                <w:color w:val="000000"/>
                <w:sz w:val="24"/>
              </w:rPr>
              <w:t>序号</w:t>
            </w:r>
          </w:p>
        </w:tc>
        <w:tc>
          <w:tcPr>
            <w:tcW w:w="7267" w:type="dxa"/>
            <w:tcBorders>
              <w:tl2br w:val="nil"/>
              <w:tr2bl w:val="nil"/>
            </w:tcBorders>
            <w:vAlign w:val="center"/>
          </w:tcPr>
          <w:p>
            <w:pPr>
              <w:adjustRightInd w:val="0"/>
              <w:snapToGrid w:val="0"/>
              <w:jc w:val="center"/>
              <w:rPr>
                <w:rFonts w:hint="eastAsia" w:ascii="仿宋_GB2312" w:hAnsi="宋体" w:eastAsia="仿宋_GB2312" w:cs="宋体"/>
                <w:b/>
                <w:bCs/>
                <w:color w:val="000000"/>
                <w:sz w:val="24"/>
              </w:rPr>
            </w:pPr>
            <w:r>
              <w:rPr>
                <w:rFonts w:hint="eastAsia" w:ascii="仿宋_GB2312" w:hAnsi="宋体" w:eastAsia="仿宋_GB2312" w:cs="宋体"/>
                <w:b/>
                <w:bCs/>
                <w:color w:val="000000"/>
                <w:sz w:val="24"/>
              </w:rPr>
              <w:t>线路</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237" w:type="dxa"/>
            <w:tcBorders>
              <w:tl2br w:val="nil"/>
              <w:tr2bl w:val="nil"/>
            </w:tcBorders>
            <w:vAlign w:val="center"/>
          </w:tcPr>
          <w:p>
            <w:pPr>
              <w:adjustRightInd w:val="0"/>
              <w:snapToGrid w:val="0"/>
              <w:jc w:val="center"/>
              <w:rPr>
                <w:rFonts w:ascii="仿宋_GB2312" w:eastAsia="仿宋_GB2312"/>
                <w:color w:val="000000"/>
                <w:sz w:val="24"/>
              </w:rPr>
            </w:pPr>
            <w:r>
              <w:rPr>
                <w:rFonts w:hint="eastAsia" w:ascii="仿宋_GB2312" w:hAnsi="宋体" w:eastAsia="仿宋_GB2312" w:cs="宋体"/>
                <w:color w:val="000000"/>
                <w:sz w:val="24"/>
              </w:rPr>
              <w:t>1</w:t>
            </w:r>
          </w:p>
        </w:tc>
        <w:tc>
          <w:tcPr>
            <w:tcW w:w="7267" w:type="dxa"/>
            <w:tcBorders>
              <w:tl2br w:val="nil"/>
              <w:tr2bl w:val="nil"/>
            </w:tcBorders>
            <w:vAlign w:val="center"/>
          </w:tcPr>
          <w:p>
            <w:pPr>
              <w:adjustRightInd w:val="0"/>
              <w:snapToGrid w:val="0"/>
              <w:jc w:val="center"/>
              <w:rPr>
                <w:rFonts w:ascii="仿宋_GB2312" w:eastAsia="仿宋_GB2312"/>
                <w:color w:val="000000"/>
                <w:sz w:val="24"/>
              </w:rPr>
            </w:pPr>
            <w:r>
              <w:rPr>
                <w:rFonts w:hint="eastAsia" w:ascii="仿宋_GB2312" w:hAnsi="宋体" w:eastAsia="仿宋_GB2312" w:cs="宋体"/>
                <w:color w:val="000000"/>
                <w:sz w:val="24"/>
              </w:rPr>
              <w:t>三江镇—三排镇—寨岗镇-大麦山镇</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237" w:type="dxa"/>
            <w:tcBorders>
              <w:tl2br w:val="nil"/>
              <w:tr2bl w:val="nil"/>
            </w:tcBorders>
            <w:vAlign w:val="center"/>
          </w:tcPr>
          <w:p>
            <w:pPr>
              <w:adjustRightInd w:val="0"/>
              <w:snapToGrid w:val="0"/>
              <w:jc w:val="center"/>
              <w:rPr>
                <w:rFonts w:ascii="仿宋_GB2312" w:eastAsia="仿宋_GB2312"/>
                <w:color w:val="000000"/>
                <w:sz w:val="24"/>
              </w:rPr>
            </w:pPr>
            <w:r>
              <w:rPr>
                <w:rFonts w:ascii="仿宋_GB2312" w:hAnsi="宋体" w:eastAsia="仿宋_GB2312" w:cs="宋体"/>
                <w:color w:val="000000"/>
                <w:sz w:val="24"/>
              </w:rPr>
              <w:t>2</w:t>
            </w:r>
          </w:p>
        </w:tc>
        <w:tc>
          <w:tcPr>
            <w:tcW w:w="7267" w:type="dxa"/>
            <w:tcBorders>
              <w:tl2br w:val="nil"/>
              <w:tr2bl w:val="nil"/>
            </w:tcBorders>
            <w:vAlign w:val="center"/>
          </w:tcPr>
          <w:p>
            <w:pPr>
              <w:adjustRightInd w:val="0"/>
              <w:snapToGrid w:val="0"/>
              <w:jc w:val="center"/>
              <w:rPr>
                <w:rFonts w:ascii="仿宋_GB2312" w:eastAsia="仿宋_GB2312"/>
                <w:color w:val="000000"/>
                <w:sz w:val="24"/>
              </w:rPr>
            </w:pPr>
            <w:r>
              <w:rPr>
                <w:rFonts w:hint="eastAsia" w:ascii="仿宋_GB2312" w:hAnsi="宋体" w:eastAsia="仿宋_GB2312" w:cs="宋体"/>
                <w:color w:val="000000"/>
                <w:sz w:val="24"/>
              </w:rPr>
              <w:t>三江镇—大坪镇—香坪</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237" w:type="dxa"/>
            <w:tcBorders>
              <w:tl2br w:val="nil"/>
              <w:tr2bl w:val="nil"/>
            </w:tcBorders>
            <w:vAlign w:val="center"/>
          </w:tcPr>
          <w:p>
            <w:pPr>
              <w:adjustRightInd w:val="0"/>
              <w:snapToGrid w:val="0"/>
              <w:jc w:val="center"/>
              <w:rPr>
                <w:rFonts w:hint="eastAsia" w:ascii="仿宋_GB2312" w:hAnsi="宋体" w:eastAsia="仿宋_GB2312" w:cs="宋体"/>
                <w:color w:val="000000"/>
                <w:sz w:val="24"/>
              </w:rPr>
            </w:pPr>
            <w:r>
              <w:rPr>
                <w:rFonts w:hint="eastAsia" w:ascii="仿宋_GB2312" w:hAnsi="宋体" w:eastAsia="仿宋_GB2312" w:cs="宋体"/>
                <w:color w:val="000000"/>
                <w:sz w:val="24"/>
              </w:rPr>
              <w:t>3</w:t>
            </w:r>
          </w:p>
        </w:tc>
        <w:tc>
          <w:tcPr>
            <w:tcW w:w="7267" w:type="dxa"/>
            <w:tcBorders>
              <w:tl2br w:val="nil"/>
              <w:tr2bl w:val="nil"/>
            </w:tcBorders>
            <w:vAlign w:val="center"/>
          </w:tcPr>
          <w:p>
            <w:pPr>
              <w:adjustRightInd w:val="0"/>
              <w:snapToGrid w:val="0"/>
              <w:jc w:val="center"/>
              <w:rPr>
                <w:rFonts w:hint="eastAsia" w:ascii="仿宋_GB2312" w:hAnsi="宋体" w:eastAsia="仿宋_GB2312" w:cs="宋体"/>
                <w:color w:val="000000"/>
                <w:sz w:val="24"/>
              </w:rPr>
            </w:pPr>
            <w:r>
              <w:rPr>
                <w:rFonts w:hint="eastAsia" w:ascii="仿宋_GB2312" w:hAnsi="宋体" w:eastAsia="仿宋_GB2312" w:cs="宋体"/>
                <w:color w:val="000000"/>
                <w:sz w:val="24"/>
              </w:rPr>
              <w:t>三江镇—涡水镇</w:t>
            </w:r>
          </w:p>
        </w:tc>
      </w:tr>
    </w:tbl>
    <w:p>
      <w:pPr>
        <w:pStyle w:val="4"/>
        <w:bidi w:val="0"/>
      </w:pPr>
      <w:bookmarkStart w:id="105" w:name="_Toc15052"/>
      <w:r>
        <w:rPr>
          <w:rFonts w:hint="eastAsia"/>
        </w:rPr>
        <w:t>4.</w:t>
      </w:r>
      <w:r>
        <w:t>2</w:t>
      </w:r>
      <w:r>
        <w:rPr>
          <w:rFonts w:hint="eastAsia"/>
        </w:rPr>
        <w:t>.3农村物流信息体系规划</w:t>
      </w:r>
      <w:bookmarkEnd w:id="104"/>
      <w:bookmarkEnd w:id="105"/>
    </w:p>
    <w:p>
      <w:pPr>
        <w:adjustRightInd w:val="0"/>
        <w:snapToGrid w:val="0"/>
        <w:spacing w:line="360" w:lineRule="auto"/>
        <w:ind w:firstLine="560" w:firstLineChars="200"/>
        <w:rPr>
          <w:rFonts w:ascii="仿宋_GB2312" w:eastAsia="仿宋_GB2312"/>
          <w:color w:val="000000"/>
          <w:sz w:val="28"/>
          <w:szCs w:val="28"/>
        </w:rPr>
      </w:pPr>
      <w:r>
        <w:rPr>
          <w:rFonts w:hint="eastAsia" w:ascii="仿宋_GB2312" w:hAnsi="宋体" w:eastAsia="仿宋_GB2312" w:cs="宋体"/>
          <w:color w:val="000000"/>
          <w:sz w:val="28"/>
          <w:szCs w:val="28"/>
        </w:rPr>
        <w:t>规划期内加强农村物流信息化建设，建立完善连南瑶族自治县农村物流公共服务平台，形成便民惠民的综合物流信息服务体系。</w:t>
      </w:r>
    </w:p>
    <w:p>
      <w:pPr>
        <w:adjustRightInd w:val="0"/>
        <w:snapToGrid w:val="0"/>
        <w:spacing w:line="360" w:lineRule="auto"/>
        <w:ind w:firstLine="560" w:firstLineChars="200"/>
        <w:rPr>
          <w:rFonts w:ascii="仿宋_GB2312" w:hAnsi="宋体" w:eastAsia="仿宋_GB2312" w:cs="宋体"/>
          <w:color w:val="000000"/>
          <w:sz w:val="28"/>
          <w:szCs w:val="28"/>
        </w:rPr>
      </w:pPr>
      <w:r>
        <w:rPr>
          <w:rFonts w:hint="eastAsia" w:ascii="仿宋_GB2312" w:hAnsi="宋体" w:eastAsia="仿宋_GB2312" w:cs="宋体"/>
          <w:color w:val="000000"/>
          <w:sz w:val="28"/>
          <w:szCs w:val="28"/>
        </w:rPr>
        <w:t>（1）完善农村物流安全监管平台。将三级物流配送车辆纳入道路运输车辆卫星定位系统，利用北斗导航实现货物跟踪，接受县交通运输局监控。</w:t>
      </w:r>
    </w:p>
    <w:p>
      <w:pPr>
        <w:adjustRightInd w:val="0"/>
        <w:snapToGrid w:val="0"/>
        <w:spacing w:line="360" w:lineRule="auto"/>
        <w:ind w:firstLine="560" w:firstLineChars="200"/>
        <w:rPr>
          <w:rFonts w:ascii="仿宋_GB2312" w:hAnsi="宋体" w:eastAsia="仿宋_GB2312" w:cs="宋体"/>
          <w:color w:val="000000"/>
          <w:sz w:val="28"/>
          <w:szCs w:val="28"/>
        </w:rPr>
      </w:pPr>
      <w:r>
        <w:rPr>
          <w:rFonts w:hint="eastAsia" w:ascii="仿宋_GB2312" w:hAnsi="宋体" w:eastAsia="仿宋_GB2312" w:cs="宋体"/>
          <w:color w:val="000000"/>
          <w:sz w:val="28"/>
          <w:szCs w:val="28"/>
        </w:rPr>
        <w:t>（2）加强城乡快递综合服务平台建设。融合农村货运与客运、邮政、商务、供销信息，推动物流企业数据联网共享和共同配送信息服务。</w:t>
      </w:r>
    </w:p>
    <w:p>
      <w:pPr>
        <w:adjustRightInd w:val="0"/>
        <w:snapToGrid w:val="0"/>
        <w:spacing w:line="360" w:lineRule="auto"/>
        <w:ind w:firstLine="560" w:firstLineChars="200"/>
        <w:rPr>
          <w:rFonts w:ascii="仿宋_GB2312" w:hAnsi="宋体" w:eastAsia="仿宋_GB2312" w:cs="宋体"/>
          <w:color w:val="000000"/>
          <w:sz w:val="28"/>
          <w:szCs w:val="28"/>
        </w:rPr>
      </w:pPr>
      <w:r>
        <w:rPr>
          <w:rFonts w:hint="eastAsia" w:ascii="仿宋_GB2312" w:hAnsi="宋体" w:eastAsia="仿宋_GB2312" w:cs="宋体"/>
          <w:color w:val="000000"/>
          <w:sz w:val="28"/>
          <w:szCs w:val="28"/>
        </w:rPr>
        <w:t>（3）搭建农村物流业务信息交换平台。鼓励电商平台与快递物流企业建设业务信息交换平台，在保障信息安全前提下实现运力、仓储、订单数据互联互通，避免信息孤岛。</w:t>
      </w:r>
    </w:p>
    <w:p>
      <w:pPr>
        <w:adjustRightInd w:val="0"/>
        <w:snapToGrid w:val="0"/>
        <w:spacing w:line="360" w:lineRule="auto"/>
        <w:ind w:firstLine="560" w:firstLineChars="200"/>
        <w:rPr>
          <w:rFonts w:ascii="仿宋_GB2312" w:eastAsia="仿宋_GB2312"/>
          <w:color w:val="000000"/>
          <w:sz w:val="28"/>
          <w:szCs w:val="28"/>
        </w:rPr>
      </w:pPr>
      <w:r>
        <w:rPr>
          <w:rFonts w:hint="eastAsia" w:ascii="仿宋_GB2312" w:hAnsi="宋体" w:eastAsia="仿宋_GB2312" w:cs="宋体"/>
          <w:color w:val="000000"/>
          <w:sz w:val="28"/>
          <w:szCs w:val="28"/>
        </w:rPr>
        <w:t>（4）发展农村物流企业信息平台。鼓励物流企业调度系统智能化改造，实现车货匹配、车线匹配、车路匹配和配送路径智能化。</w:t>
      </w:r>
    </w:p>
    <w:p>
      <w:pPr>
        <w:pStyle w:val="4"/>
        <w:bidi w:val="0"/>
      </w:pPr>
      <w:bookmarkStart w:id="106" w:name="_Toc2580"/>
      <w:bookmarkStart w:id="107" w:name="_Toc533059671"/>
      <w:bookmarkStart w:id="108" w:name="_Toc3711143"/>
      <w:bookmarkStart w:id="109" w:name="_Toc533059756"/>
      <w:bookmarkStart w:id="110" w:name="_Toc18997"/>
      <w:r>
        <w:rPr>
          <w:rFonts w:hint="eastAsia"/>
        </w:rPr>
        <w:t>4.2.4农村电商服务网络规划</w:t>
      </w:r>
      <w:bookmarkEnd w:id="106"/>
      <w:bookmarkEnd w:id="107"/>
      <w:bookmarkEnd w:id="108"/>
      <w:bookmarkEnd w:id="109"/>
      <w:bookmarkEnd w:id="110"/>
    </w:p>
    <w:p>
      <w:pPr>
        <w:adjustRightInd w:val="0"/>
        <w:snapToGrid w:val="0"/>
        <w:spacing w:line="360" w:lineRule="auto"/>
        <w:ind w:firstLine="560" w:firstLineChars="200"/>
        <w:rPr>
          <w:rFonts w:ascii="仿宋_GB2312" w:hAnsi="宋体" w:eastAsia="仿宋_GB2312" w:cs="宋体"/>
          <w:color w:val="000000"/>
          <w:sz w:val="28"/>
          <w:szCs w:val="28"/>
        </w:rPr>
      </w:pPr>
      <w:r>
        <w:rPr>
          <w:rFonts w:hint="eastAsia" w:ascii="仿宋_GB2312" w:hAnsi="宋体" w:eastAsia="仿宋_GB2312" w:cs="宋体"/>
          <w:color w:val="000000"/>
          <w:sz w:val="28"/>
          <w:szCs w:val="28"/>
        </w:rPr>
        <w:t>（1）完善农村电商服务节点网络。优化“县级物流服务中心—镇级服务站—村级服务点”三级网络布局，形成覆盖城乡、配套衔接的快递骨干网和末端投递网，促进农产品标准化建设。</w:t>
      </w:r>
    </w:p>
    <w:p>
      <w:pPr>
        <w:adjustRightInd w:val="0"/>
        <w:snapToGrid w:val="0"/>
        <w:spacing w:line="360" w:lineRule="auto"/>
        <w:ind w:firstLine="560" w:firstLineChars="200"/>
        <w:rPr>
          <w:rFonts w:hint="eastAsia" w:ascii="仿宋_GB2312" w:hAnsi="宋体" w:eastAsia="仿宋_GB2312" w:cs="宋体"/>
          <w:color w:val="000000"/>
          <w:sz w:val="28"/>
          <w:szCs w:val="28"/>
        </w:rPr>
      </w:pPr>
      <w:r>
        <w:rPr>
          <w:rFonts w:hint="eastAsia" w:ascii="仿宋_GB2312" w:hAnsi="宋体" w:eastAsia="仿宋_GB2312" w:cs="宋体"/>
          <w:color w:val="000000"/>
          <w:sz w:val="28"/>
          <w:szCs w:val="28"/>
        </w:rPr>
        <w:t>到2035年，建设乡镇电商服务站7个（依托综合运输服务站）、农村电商服务示范点69个（依托村级物流服务点），每镇重点培育1个镇级龙头电商企业，组建农村电商企业联盟。</w:t>
      </w:r>
    </w:p>
    <w:p>
      <w:pPr>
        <w:adjustRightInd w:val="0"/>
        <w:snapToGrid w:val="0"/>
        <w:spacing w:line="360" w:lineRule="auto"/>
        <w:ind w:firstLine="560" w:firstLineChars="200"/>
        <w:rPr>
          <w:rFonts w:ascii="仿宋_GB2312" w:hAnsi="宋体" w:eastAsia="仿宋_GB2312" w:cs="宋体"/>
          <w:color w:val="000000"/>
          <w:sz w:val="28"/>
          <w:szCs w:val="28"/>
        </w:rPr>
      </w:pPr>
      <w:r>
        <w:rPr>
          <w:rFonts w:hint="eastAsia" w:ascii="仿宋_GB2312" w:hAnsi="宋体" w:eastAsia="仿宋_GB2312" w:cs="宋体"/>
          <w:color w:val="000000"/>
          <w:sz w:val="28"/>
          <w:szCs w:val="28"/>
        </w:rPr>
        <w:t>（2）推动连南瑶族自治县农村电子商务信息网络发展</w:t>
      </w:r>
    </w:p>
    <w:p>
      <w:pPr>
        <w:adjustRightInd w:val="0"/>
        <w:snapToGrid w:val="0"/>
        <w:spacing w:line="360" w:lineRule="auto"/>
        <w:ind w:firstLine="560" w:firstLineChars="200"/>
        <w:rPr>
          <w:rFonts w:ascii="仿宋_GB2312" w:hAnsi="宋体" w:eastAsia="仿宋_GB2312" w:cs="宋体"/>
          <w:color w:val="000000"/>
          <w:sz w:val="28"/>
          <w:szCs w:val="28"/>
        </w:rPr>
      </w:pPr>
      <w:r>
        <w:rPr>
          <w:rFonts w:hint="eastAsia" w:ascii="仿宋_GB2312" w:hAnsi="宋体" w:eastAsia="仿宋_GB2312" w:cs="宋体"/>
          <w:color w:val="000000"/>
          <w:sz w:val="28"/>
          <w:szCs w:val="28"/>
        </w:rPr>
        <w:t>（2）推动农村电子商务信息网络发展。以政府引导、市场化手段为主，推动农村电商交易平台、综合服务平台建设发展。</w:t>
      </w:r>
    </w:p>
    <w:p>
      <w:pPr>
        <w:adjustRightInd w:val="0"/>
        <w:snapToGrid w:val="0"/>
        <w:spacing w:line="360" w:lineRule="auto"/>
        <w:ind w:firstLine="560" w:firstLineChars="200"/>
        <w:rPr>
          <w:rFonts w:ascii="仿宋_GB2312" w:hAnsi="宋体" w:eastAsia="仿宋_GB2312" w:cs="宋体"/>
          <w:color w:val="000000"/>
          <w:sz w:val="28"/>
          <w:szCs w:val="28"/>
        </w:rPr>
      </w:pPr>
      <w:r>
        <w:rPr>
          <w:rFonts w:hint="eastAsia" w:ascii="仿宋_GB2312" w:hAnsi="宋体" w:eastAsia="仿宋_GB2312" w:cs="宋体"/>
          <w:color w:val="000000"/>
          <w:sz w:val="28"/>
          <w:szCs w:val="28"/>
        </w:rPr>
        <w:t>1）继续发展电商交易服务平台。利用农村邮政、供销网点网络优势，构筑“线上线下一体”的开放电商平台，通过电子商务推进农产品产销衔接。</w:t>
      </w:r>
    </w:p>
    <w:p>
      <w:pPr>
        <w:adjustRightInd w:val="0"/>
        <w:snapToGrid w:val="0"/>
        <w:spacing w:line="360" w:lineRule="auto"/>
        <w:ind w:firstLine="560" w:firstLineChars="200"/>
        <w:rPr>
          <w:rFonts w:ascii="仿宋_GB2312" w:hAnsi="宋体" w:eastAsia="仿宋_GB2312" w:cs="宋体"/>
          <w:color w:val="000000"/>
          <w:sz w:val="28"/>
          <w:szCs w:val="28"/>
        </w:rPr>
      </w:pPr>
      <w:r>
        <w:rPr>
          <w:rFonts w:hint="eastAsia" w:ascii="仿宋_GB2312" w:hAnsi="宋体" w:eastAsia="仿宋_GB2312" w:cs="宋体"/>
          <w:color w:val="000000"/>
          <w:sz w:val="28"/>
          <w:szCs w:val="28"/>
        </w:rPr>
        <w:t>2）建设发展电商综合服务平台。培育农村流通龙头企业，融合邮政、供销、交通运输功能与网络优势，提供农特产品信息发布、订单需求、品牌化、食品安全监督等一站式服务。</w:t>
      </w:r>
    </w:p>
    <w:p>
      <w:pPr>
        <w:pStyle w:val="3"/>
        <w:bidi w:val="0"/>
      </w:pPr>
      <w:bookmarkStart w:id="111" w:name="_Toc20671"/>
      <w:bookmarkStart w:id="112" w:name="_Toc19740"/>
      <w:r>
        <w:rPr>
          <w:rFonts w:hint="eastAsia"/>
        </w:rPr>
        <w:t>4.3县乡村三级农村物流网络方案预期目标</w:t>
      </w:r>
      <w:bookmarkEnd w:id="111"/>
      <w:bookmarkEnd w:id="112"/>
    </w:p>
    <w:p>
      <w:pPr>
        <w:pStyle w:val="4"/>
        <w:bidi w:val="0"/>
      </w:pPr>
      <w:bookmarkStart w:id="113" w:name="_Toc8283"/>
      <w:bookmarkStart w:id="114" w:name="_Toc10549"/>
      <w:r>
        <w:rPr>
          <w:rFonts w:hint="eastAsia"/>
        </w:rPr>
        <w:t>4.</w:t>
      </w:r>
      <w:r>
        <w:t>3.</w:t>
      </w:r>
      <w:r>
        <w:rPr>
          <w:rFonts w:hint="eastAsia"/>
        </w:rPr>
        <w:t>1</w:t>
      </w:r>
      <w:bookmarkEnd w:id="113"/>
      <w:r>
        <w:rPr>
          <w:rFonts w:hint="eastAsia"/>
        </w:rPr>
        <w:t>县乡村三级农村物流网络配送覆盖率</w:t>
      </w:r>
      <w:bookmarkEnd w:id="114"/>
    </w:p>
    <w:p>
      <w:pPr>
        <w:adjustRightInd w:val="0"/>
        <w:snapToGrid w:val="0"/>
        <w:spacing w:line="360" w:lineRule="auto"/>
        <w:ind w:firstLine="560" w:firstLineChars="200"/>
        <w:rPr>
          <w:rFonts w:ascii="仿宋_GB2312" w:hAnsi="宋体" w:eastAsia="仿宋_GB2312" w:cs="宋体"/>
          <w:color w:val="000000"/>
          <w:sz w:val="28"/>
          <w:szCs w:val="28"/>
        </w:rPr>
      </w:pPr>
      <w:r>
        <w:rPr>
          <w:rFonts w:hint="eastAsia" w:ascii="仿宋_GB2312" w:hAnsi="宋体" w:eastAsia="仿宋_GB2312" w:cs="宋体"/>
          <w:color w:val="000000"/>
          <w:sz w:val="28"/>
          <w:szCs w:val="28"/>
        </w:rPr>
        <w:t>本规划建设县乡村三级物流体系，实现村民“购物不出村、销售不出村、金融不出村、创业不出村”，快递网点乡镇、行政村覆盖率100%，降低末端配送成本，打通农产品进城渠道。</w:t>
      </w:r>
    </w:p>
    <w:p>
      <w:pPr>
        <w:pStyle w:val="4"/>
        <w:bidi w:val="0"/>
      </w:pPr>
      <w:bookmarkStart w:id="115" w:name="_Toc12002"/>
      <w:bookmarkStart w:id="116" w:name="_Toc15852"/>
      <w:r>
        <w:rPr>
          <w:rFonts w:hint="eastAsia"/>
        </w:rPr>
        <w:t>4.</w:t>
      </w:r>
      <w:r>
        <w:t>3.</w:t>
      </w:r>
      <w:r>
        <w:rPr>
          <w:rFonts w:hint="eastAsia"/>
        </w:rPr>
        <w:t>2县乡村三级农村物流网络配送时效</w:t>
      </w:r>
      <w:bookmarkEnd w:id="115"/>
      <w:bookmarkEnd w:id="116"/>
    </w:p>
    <w:p>
      <w:pPr>
        <w:spacing w:line="360" w:lineRule="auto"/>
        <w:ind w:firstLine="560" w:firstLineChars="200"/>
        <w:rPr>
          <w:rFonts w:ascii="仿宋_GB2312" w:eastAsia="仿宋_GB2312" w:cs="宋体"/>
          <w:color w:val="000000"/>
          <w:sz w:val="28"/>
          <w:szCs w:val="28"/>
        </w:rPr>
      </w:pPr>
      <w:r>
        <w:rPr>
          <w:rFonts w:hint="eastAsia" w:ascii="仿宋_GB2312" w:hAnsi="宋体" w:eastAsia="仿宋_GB2312" w:cs="宋体"/>
          <w:color w:val="000000"/>
          <w:sz w:val="28"/>
          <w:szCs w:val="28"/>
        </w:rPr>
        <w:t>物流时效性指及时、高效、保质保量实现货物送达。随着电子商务发展和农村网络普及，农村居民对运输时效性要求越来越高。</w:t>
      </w:r>
    </w:p>
    <w:p>
      <w:pPr>
        <w:ind w:firstLine="560" w:firstLineChars="200"/>
        <w:rPr>
          <w:rFonts w:ascii="仿宋_GB2312" w:eastAsia="仿宋_GB2312" w:cs="宋体"/>
          <w:color w:val="000000"/>
          <w:sz w:val="28"/>
          <w:szCs w:val="28"/>
        </w:rPr>
      </w:pPr>
      <w:r>
        <w:rPr>
          <w:rFonts w:hint="eastAsia" w:ascii="仿宋_GB2312" w:hAnsi="宋体" w:eastAsia="仿宋_GB2312" w:cs="宋体"/>
          <w:color w:val="000000"/>
          <w:sz w:val="28"/>
          <w:szCs w:val="28"/>
        </w:rPr>
        <w:t>邮政普遍服务标准对印刷品、包裹全程时限要求：直辖市、省会城市间5～10天，省际地级以上城市间8～15天，省际其他地区间10～20天，送达比例不低于95%；投递频次城市每天不少于1次、乡镇每周不少于5次、农村每周不少于3次。</w:t>
      </w:r>
    </w:p>
    <w:p>
      <w:pPr>
        <w:ind w:firstLine="560" w:firstLineChars="200"/>
        <w:rPr>
          <w:rFonts w:hint="eastAsia" w:ascii="仿宋_GB2312" w:hAnsi="宋体" w:eastAsia="仿宋_GB2312" w:cs="宋体"/>
          <w:color w:val="000000"/>
          <w:sz w:val="28"/>
          <w:szCs w:val="28"/>
        </w:rPr>
      </w:pPr>
      <w:r>
        <w:rPr>
          <w:rFonts w:hint="eastAsia" w:ascii="仿宋_GB2312" w:hAnsi="宋体" w:eastAsia="仿宋_GB2312" w:cs="宋体"/>
          <w:color w:val="000000"/>
          <w:sz w:val="28"/>
          <w:szCs w:val="28"/>
        </w:rPr>
        <w:t>通过本规划，农村物流服务时效性将显著改善，可提供多种形式的物流服务满足时效要求，见表4-8。</w:t>
      </w:r>
    </w:p>
    <w:p>
      <w:pPr>
        <w:jc w:val="center"/>
        <w:rPr>
          <w:rFonts w:ascii="仿宋_GB2312" w:eastAsia="仿宋_GB2312" w:cs="宋体"/>
          <w:b/>
          <w:color w:val="000000"/>
          <w:sz w:val="24"/>
        </w:rPr>
      </w:pPr>
      <w:r>
        <w:rPr>
          <w:rFonts w:hint="eastAsia" w:ascii="仿宋_GB2312" w:hAnsi="宋体" w:eastAsia="仿宋_GB2312" w:cs="宋体"/>
          <w:b/>
          <w:color w:val="000000"/>
          <w:sz w:val="24"/>
        </w:rPr>
        <w:t>表</w:t>
      </w:r>
      <w:r>
        <w:rPr>
          <w:rFonts w:ascii="仿宋_GB2312" w:hAnsi="宋体" w:eastAsia="仿宋_GB2312" w:cs="宋体"/>
          <w:b/>
          <w:color w:val="000000"/>
          <w:sz w:val="24"/>
        </w:rPr>
        <w:t>4</w:t>
      </w:r>
      <w:r>
        <w:rPr>
          <w:rFonts w:hint="eastAsia" w:ascii="仿宋_GB2312" w:hAnsi="宋体" w:eastAsia="仿宋_GB2312" w:cs="宋体"/>
          <w:b/>
          <w:color w:val="000000"/>
          <w:sz w:val="24"/>
        </w:rPr>
        <w:t>-8连南瑶族自治县农村物流服务产品列表</w:t>
      </w:r>
    </w:p>
    <w:tbl>
      <w:tblPr>
        <w:tblStyle w:val="15"/>
        <w:tblW w:w="8859" w:type="dxa"/>
        <w:tblInd w:w="-106" w:type="dxa"/>
        <w:tblBorders>
          <w:top w:val="double" w:color="000000" w:sz="4" w:space="0"/>
          <w:left w:val="none" w:color="auto" w:sz="0" w:space="0"/>
          <w:bottom w:val="double" w:color="000000" w:sz="4" w:space="0"/>
          <w:right w:val="none" w:color="auto" w:sz="0" w:space="0"/>
          <w:insideH w:val="single" w:color="000000" w:sz="8" w:space="0"/>
          <w:insideV w:val="single" w:color="000000" w:sz="8" w:space="0"/>
        </w:tblBorders>
        <w:tblLayout w:type="fixed"/>
        <w:tblCellMar>
          <w:top w:w="0" w:type="dxa"/>
          <w:left w:w="108" w:type="dxa"/>
          <w:bottom w:w="0" w:type="dxa"/>
          <w:right w:w="108" w:type="dxa"/>
        </w:tblCellMar>
      </w:tblPr>
      <w:tblGrid>
        <w:gridCol w:w="2953"/>
        <w:gridCol w:w="2953"/>
        <w:gridCol w:w="2953"/>
      </w:tblGrid>
      <w:tr>
        <w:tblPrEx>
          <w:tblBorders>
            <w:top w:val="double" w:color="000000" w:sz="4" w:space="0"/>
            <w:left w:val="none" w:color="auto" w:sz="0" w:space="0"/>
            <w:bottom w:val="double" w:color="000000" w:sz="4" w:space="0"/>
            <w:right w:val="none" w:color="auto" w:sz="0" w:space="0"/>
            <w:insideH w:val="single" w:color="000000" w:sz="8" w:space="0"/>
            <w:insideV w:val="single" w:color="000000" w:sz="8" w:space="0"/>
          </w:tblBorders>
          <w:tblLayout w:type="fixed"/>
          <w:tblCellMar>
            <w:top w:w="0" w:type="dxa"/>
            <w:left w:w="108" w:type="dxa"/>
            <w:bottom w:w="0" w:type="dxa"/>
            <w:right w:w="108" w:type="dxa"/>
          </w:tblCellMar>
        </w:tblPrEx>
        <w:trPr>
          <w:trHeight w:val="612" w:hRule="atLeast"/>
        </w:trPr>
        <w:tc>
          <w:tcPr>
            <w:tcW w:w="2953" w:type="dxa"/>
            <w:tcBorders>
              <w:top w:val="double" w:color="000000" w:sz="4" w:space="0"/>
              <w:left w:val="double" w:color="000000" w:sz="4" w:space="0"/>
            </w:tcBorders>
            <w:vAlign w:val="center"/>
          </w:tcPr>
          <w:p>
            <w:pPr>
              <w:jc w:val="center"/>
              <w:rPr>
                <w:rFonts w:ascii="仿宋_GB2312" w:eastAsia="仿宋_GB2312"/>
                <w:b/>
                <w:bCs/>
                <w:color w:val="000000"/>
                <w:sz w:val="24"/>
              </w:rPr>
            </w:pPr>
            <w:r>
              <w:rPr>
                <w:rFonts w:hint="eastAsia" w:ascii="仿宋_GB2312" w:eastAsia="仿宋_GB2312" w:cs="宋体"/>
                <w:b/>
                <w:bCs/>
                <w:color w:val="000000"/>
                <w:sz w:val="24"/>
              </w:rPr>
              <w:t>服务产品名称</w:t>
            </w:r>
          </w:p>
        </w:tc>
        <w:tc>
          <w:tcPr>
            <w:tcW w:w="2953" w:type="dxa"/>
            <w:tcBorders>
              <w:top w:val="double" w:color="000000" w:sz="4" w:space="0"/>
            </w:tcBorders>
            <w:vAlign w:val="center"/>
          </w:tcPr>
          <w:p>
            <w:pPr>
              <w:jc w:val="center"/>
              <w:rPr>
                <w:rFonts w:ascii="仿宋_GB2312" w:eastAsia="仿宋_GB2312"/>
                <w:b/>
                <w:bCs/>
                <w:color w:val="000000"/>
                <w:sz w:val="24"/>
              </w:rPr>
            </w:pPr>
            <w:r>
              <w:rPr>
                <w:rFonts w:hint="eastAsia" w:ascii="仿宋_GB2312" w:eastAsia="仿宋_GB2312" w:cs="宋体"/>
                <w:b/>
                <w:bCs/>
                <w:color w:val="000000"/>
                <w:sz w:val="24"/>
              </w:rPr>
              <w:t>服务内容</w:t>
            </w:r>
          </w:p>
        </w:tc>
        <w:tc>
          <w:tcPr>
            <w:tcW w:w="2953" w:type="dxa"/>
            <w:tcBorders>
              <w:top w:val="double" w:color="000000" w:sz="4" w:space="0"/>
              <w:right w:val="double" w:color="000000" w:sz="4" w:space="0"/>
            </w:tcBorders>
            <w:vAlign w:val="center"/>
          </w:tcPr>
          <w:p>
            <w:pPr>
              <w:jc w:val="center"/>
              <w:rPr>
                <w:rFonts w:ascii="仿宋_GB2312" w:eastAsia="仿宋_GB2312"/>
                <w:b/>
                <w:bCs/>
                <w:color w:val="000000"/>
                <w:sz w:val="24"/>
              </w:rPr>
            </w:pPr>
            <w:r>
              <w:rPr>
                <w:rFonts w:hint="eastAsia" w:ascii="仿宋_GB2312" w:eastAsia="仿宋_GB2312" w:cs="宋体"/>
                <w:b/>
                <w:bCs/>
                <w:color w:val="000000"/>
                <w:sz w:val="24"/>
              </w:rPr>
              <w:t>运作模式</w:t>
            </w:r>
          </w:p>
        </w:tc>
      </w:tr>
      <w:tr>
        <w:tblPrEx>
          <w:tblBorders>
            <w:top w:val="double" w:color="000000" w:sz="4" w:space="0"/>
            <w:left w:val="none" w:color="auto" w:sz="0" w:space="0"/>
            <w:bottom w:val="double" w:color="000000" w:sz="4" w:space="0"/>
            <w:right w:val="none" w:color="auto" w:sz="0" w:space="0"/>
            <w:insideH w:val="single" w:color="000000" w:sz="8" w:space="0"/>
            <w:insideV w:val="single" w:color="000000" w:sz="8" w:space="0"/>
          </w:tblBorders>
          <w:tblLayout w:type="fixed"/>
          <w:tblCellMar>
            <w:top w:w="0" w:type="dxa"/>
            <w:left w:w="108" w:type="dxa"/>
            <w:bottom w:w="0" w:type="dxa"/>
            <w:right w:w="108" w:type="dxa"/>
          </w:tblCellMar>
        </w:tblPrEx>
        <w:trPr>
          <w:trHeight w:val="1448" w:hRule="atLeast"/>
        </w:trPr>
        <w:tc>
          <w:tcPr>
            <w:tcW w:w="2953" w:type="dxa"/>
            <w:tcBorders>
              <w:left w:val="double" w:color="000000" w:sz="4" w:space="0"/>
            </w:tcBorders>
            <w:vAlign w:val="center"/>
          </w:tcPr>
          <w:p>
            <w:pPr>
              <w:jc w:val="center"/>
              <w:rPr>
                <w:rFonts w:ascii="仿宋_GB2312" w:eastAsia="仿宋_GB2312"/>
                <w:color w:val="000000"/>
                <w:sz w:val="24"/>
              </w:rPr>
            </w:pPr>
            <w:r>
              <w:rPr>
                <w:rFonts w:hint="eastAsia" w:ascii="仿宋_GB2312" w:eastAsia="仿宋_GB2312" w:cs="宋体"/>
                <w:color w:val="000000"/>
                <w:sz w:val="24"/>
              </w:rPr>
              <w:t>同城当日达</w:t>
            </w:r>
          </w:p>
        </w:tc>
        <w:tc>
          <w:tcPr>
            <w:tcW w:w="2953" w:type="dxa"/>
            <w:vAlign w:val="center"/>
          </w:tcPr>
          <w:p>
            <w:pPr>
              <w:rPr>
                <w:rFonts w:ascii="仿宋_GB2312" w:eastAsia="仿宋_GB2312"/>
                <w:color w:val="000000"/>
                <w:sz w:val="24"/>
              </w:rPr>
            </w:pPr>
            <w:r>
              <w:rPr>
                <w:rFonts w:hint="eastAsia" w:ascii="仿宋_GB2312" w:eastAsia="仿宋_GB2312" w:cs="宋体"/>
                <w:color w:val="000000"/>
                <w:sz w:val="24"/>
              </w:rPr>
              <w:t>区域内，货物从接单</w:t>
            </w:r>
            <w:r>
              <w:rPr>
                <w:rFonts w:hint="eastAsia" w:ascii="仿宋_GB2312" w:eastAsia="仿宋_GB2312"/>
                <w:color w:val="000000"/>
                <w:sz w:val="24"/>
              </w:rPr>
              <w:t>12</w:t>
            </w:r>
            <w:r>
              <w:rPr>
                <w:rFonts w:hint="eastAsia" w:ascii="仿宋_GB2312" w:eastAsia="仿宋_GB2312" w:cs="宋体"/>
                <w:color w:val="000000"/>
                <w:sz w:val="24"/>
              </w:rPr>
              <w:t>个小时内送达</w:t>
            </w:r>
          </w:p>
        </w:tc>
        <w:tc>
          <w:tcPr>
            <w:tcW w:w="2953" w:type="dxa"/>
            <w:tcBorders>
              <w:right w:val="double" w:color="000000" w:sz="4" w:space="0"/>
            </w:tcBorders>
            <w:vAlign w:val="center"/>
          </w:tcPr>
          <w:p>
            <w:pPr>
              <w:rPr>
                <w:rFonts w:ascii="仿宋_GB2312" w:eastAsia="仿宋_GB2312"/>
                <w:color w:val="000000"/>
                <w:sz w:val="24"/>
              </w:rPr>
            </w:pPr>
            <w:r>
              <w:rPr>
                <w:rFonts w:hint="eastAsia" w:ascii="仿宋_GB2312" w:eastAsia="仿宋_GB2312" w:cs="宋体"/>
                <w:color w:val="000000"/>
                <w:sz w:val="24"/>
              </w:rPr>
              <w:t>客（货）运班线经乡镇服务站中转或直接送抵村级服务点</w:t>
            </w:r>
          </w:p>
        </w:tc>
      </w:tr>
      <w:tr>
        <w:tblPrEx>
          <w:tblBorders>
            <w:top w:val="double" w:color="000000" w:sz="4" w:space="0"/>
            <w:left w:val="none" w:color="auto" w:sz="0" w:space="0"/>
            <w:bottom w:val="double" w:color="000000" w:sz="4" w:space="0"/>
            <w:right w:val="none" w:color="auto" w:sz="0" w:space="0"/>
            <w:insideH w:val="single" w:color="000000" w:sz="8" w:space="0"/>
            <w:insideV w:val="single" w:color="000000" w:sz="8" w:space="0"/>
          </w:tblBorders>
          <w:tblLayout w:type="fixed"/>
          <w:tblCellMar>
            <w:top w:w="0" w:type="dxa"/>
            <w:left w:w="108" w:type="dxa"/>
            <w:bottom w:w="0" w:type="dxa"/>
            <w:right w:w="108" w:type="dxa"/>
          </w:tblCellMar>
        </w:tblPrEx>
        <w:trPr>
          <w:trHeight w:val="1448" w:hRule="atLeast"/>
        </w:trPr>
        <w:tc>
          <w:tcPr>
            <w:tcW w:w="2953" w:type="dxa"/>
            <w:tcBorders>
              <w:left w:val="double" w:color="000000" w:sz="4" w:space="0"/>
            </w:tcBorders>
            <w:vAlign w:val="center"/>
          </w:tcPr>
          <w:p>
            <w:pPr>
              <w:jc w:val="center"/>
              <w:rPr>
                <w:rFonts w:ascii="仿宋_GB2312" w:eastAsia="仿宋_GB2312"/>
                <w:color w:val="000000"/>
                <w:sz w:val="24"/>
              </w:rPr>
            </w:pPr>
            <w:r>
              <w:rPr>
                <w:rFonts w:hint="eastAsia" w:ascii="仿宋_GB2312" w:eastAsia="仿宋_GB2312" w:cs="宋体"/>
                <w:color w:val="000000"/>
                <w:sz w:val="24"/>
              </w:rPr>
              <w:t>乡村快捷配送</w:t>
            </w:r>
          </w:p>
        </w:tc>
        <w:tc>
          <w:tcPr>
            <w:tcW w:w="2953" w:type="dxa"/>
            <w:vAlign w:val="center"/>
          </w:tcPr>
          <w:p>
            <w:pPr>
              <w:rPr>
                <w:rFonts w:ascii="仿宋_GB2312" w:eastAsia="仿宋_GB2312"/>
                <w:color w:val="000000"/>
                <w:sz w:val="24"/>
              </w:rPr>
            </w:pPr>
            <w:r>
              <w:rPr>
                <w:rFonts w:hint="eastAsia" w:ascii="仿宋_GB2312" w:eastAsia="仿宋_GB2312" w:cs="宋体"/>
                <w:color w:val="000000"/>
                <w:sz w:val="24"/>
              </w:rPr>
              <w:t>货物到达镇级农村物流服务站，</w:t>
            </w:r>
            <w:r>
              <w:rPr>
                <w:rFonts w:hint="eastAsia" w:ascii="仿宋_GB2312" w:eastAsia="仿宋_GB2312"/>
                <w:color w:val="000000"/>
                <w:sz w:val="24"/>
              </w:rPr>
              <w:t>6</w:t>
            </w:r>
            <w:r>
              <w:rPr>
                <w:rFonts w:hint="eastAsia" w:ascii="仿宋_GB2312" w:eastAsia="仿宋_GB2312" w:cs="宋体"/>
                <w:color w:val="000000"/>
                <w:sz w:val="24"/>
              </w:rPr>
              <w:t>小时完成配送</w:t>
            </w:r>
          </w:p>
        </w:tc>
        <w:tc>
          <w:tcPr>
            <w:tcW w:w="2953" w:type="dxa"/>
            <w:tcBorders>
              <w:right w:val="double" w:color="000000" w:sz="4" w:space="0"/>
            </w:tcBorders>
            <w:vAlign w:val="center"/>
          </w:tcPr>
          <w:p>
            <w:pPr>
              <w:rPr>
                <w:rFonts w:ascii="仿宋_GB2312" w:eastAsia="仿宋_GB2312"/>
                <w:color w:val="000000"/>
                <w:sz w:val="24"/>
              </w:rPr>
            </w:pPr>
            <w:r>
              <w:rPr>
                <w:rFonts w:hint="eastAsia" w:ascii="仿宋_GB2312" w:eastAsia="仿宋_GB2312" w:cs="宋体"/>
                <w:color w:val="000000"/>
                <w:sz w:val="24"/>
              </w:rPr>
              <w:t>客（货）运班线运至乡镇服务站，专人配送至村级服务网点</w:t>
            </w:r>
          </w:p>
        </w:tc>
      </w:tr>
      <w:tr>
        <w:tblPrEx>
          <w:tblBorders>
            <w:top w:val="double" w:color="000000" w:sz="4" w:space="0"/>
            <w:left w:val="none" w:color="auto" w:sz="0" w:space="0"/>
            <w:bottom w:val="double" w:color="000000" w:sz="4" w:space="0"/>
            <w:right w:val="none" w:color="auto" w:sz="0" w:space="0"/>
            <w:insideH w:val="single" w:color="000000" w:sz="8" w:space="0"/>
            <w:insideV w:val="single" w:color="000000" w:sz="8" w:space="0"/>
          </w:tblBorders>
          <w:tblLayout w:type="fixed"/>
          <w:tblCellMar>
            <w:top w:w="0" w:type="dxa"/>
            <w:left w:w="108" w:type="dxa"/>
            <w:bottom w:w="0" w:type="dxa"/>
            <w:right w:w="108" w:type="dxa"/>
          </w:tblCellMar>
        </w:tblPrEx>
        <w:trPr>
          <w:trHeight w:val="1617" w:hRule="atLeast"/>
        </w:trPr>
        <w:tc>
          <w:tcPr>
            <w:tcW w:w="2953" w:type="dxa"/>
            <w:tcBorders>
              <w:left w:val="double" w:color="000000" w:sz="4" w:space="0"/>
              <w:bottom w:val="double" w:color="000000" w:sz="4" w:space="0"/>
            </w:tcBorders>
            <w:vAlign w:val="center"/>
          </w:tcPr>
          <w:p>
            <w:pPr>
              <w:jc w:val="center"/>
              <w:rPr>
                <w:rFonts w:ascii="仿宋_GB2312" w:eastAsia="仿宋_GB2312"/>
                <w:color w:val="000000"/>
                <w:sz w:val="24"/>
              </w:rPr>
            </w:pPr>
            <w:r>
              <w:rPr>
                <w:rFonts w:hint="eastAsia" w:ascii="仿宋_GB2312" w:eastAsia="仿宋_GB2312" w:cs="宋体"/>
                <w:color w:val="000000"/>
                <w:sz w:val="24"/>
              </w:rPr>
              <w:t>绿色通道</w:t>
            </w:r>
          </w:p>
        </w:tc>
        <w:tc>
          <w:tcPr>
            <w:tcW w:w="2953" w:type="dxa"/>
            <w:tcBorders>
              <w:bottom w:val="double" w:color="000000" w:sz="4" w:space="0"/>
            </w:tcBorders>
            <w:vAlign w:val="center"/>
          </w:tcPr>
          <w:p>
            <w:pPr>
              <w:rPr>
                <w:rFonts w:ascii="仿宋_GB2312" w:eastAsia="仿宋_GB2312"/>
                <w:color w:val="000000"/>
                <w:sz w:val="24"/>
              </w:rPr>
            </w:pPr>
            <w:r>
              <w:rPr>
                <w:rFonts w:hint="eastAsia" w:ascii="仿宋_GB2312" w:eastAsia="仿宋_GB2312" w:cs="宋体"/>
                <w:color w:val="000000"/>
                <w:sz w:val="24"/>
              </w:rPr>
              <w:t>农作物、肉类、水产品等生鲜农副产品，</w:t>
            </w:r>
            <w:r>
              <w:rPr>
                <w:rFonts w:hint="eastAsia" w:ascii="仿宋_GB2312" w:eastAsia="仿宋_GB2312"/>
                <w:color w:val="000000"/>
                <w:sz w:val="24"/>
              </w:rPr>
              <w:t>8</w:t>
            </w:r>
            <w:r>
              <w:rPr>
                <w:rFonts w:hint="eastAsia" w:ascii="仿宋_GB2312" w:eastAsia="仿宋_GB2312" w:cs="宋体"/>
                <w:color w:val="000000"/>
                <w:sz w:val="24"/>
              </w:rPr>
              <w:t>小时内送抵县级农村物流服务中心</w:t>
            </w:r>
          </w:p>
        </w:tc>
        <w:tc>
          <w:tcPr>
            <w:tcW w:w="2953" w:type="dxa"/>
            <w:tcBorders>
              <w:bottom w:val="double" w:color="000000" w:sz="4" w:space="0"/>
              <w:right w:val="double" w:color="000000" w:sz="4" w:space="0"/>
            </w:tcBorders>
            <w:vAlign w:val="center"/>
          </w:tcPr>
          <w:p>
            <w:pPr>
              <w:rPr>
                <w:rFonts w:ascii="仿宋_GB2312" w:eastAsia="仿宋_GB2312"/>
                <w:color w:val="000000"/>
                <w:sz w:val="24"/>
              </w:rPr>
            </w:pPr>
            <w:r>
              <w:rPr>
                <w:rFonts w:hint="eastAsia" w:ascii="仿宋_GB2312" w:eastAsia="仿宋_GB2312" w:cs="宋体"/>
                <w:color w:val="000000"/>
                <w:sz w:val="24"/>
              </w:rPr>
              <w:t>客（货）运班线到农户或集散地拉货，运抵县级物流服务中心，当天发运</w:t>
            </w:r>
          </w:p>
        </w:tc>
      </w:tr>
    </w:tbl>
    <w:p>
      <w:pPr>
        <w:ind w:firstLine="560"/>
        <w:rPr>
          <w:rFonts w:ascii="仿宋_GB2312" w:hAnsi="宋体" w:eastAsia="仿宋_GB2312" w:cs="宋体"/>
          <w:color w:val="000000"/>
          <w:sz w:val="28"/>
          <w:szCs w:val="28"/>
        </w:rPr>
      </w:pPr>
      <w:r>
        <w:rPr>
          <w:rFonts w:hint="eastAsia" w:ascii="仿宋_GB2312" w:hAnsi="宋体" w:eastAsia="仿宋_GB2312" w:cs="宋体"/>
          <w:color w:val="000000"/>
          <w:sz w:val="28"/>
          <w:szCs w:val="28"/>
        </w:rPr>
        <w:t>综合上述服务产品，从县级物流服务中心到村级网点的双向物流配送可在12小时内完成，特别是“绿色通道”将有效推进连南农产品市场开拓。</w:t>
      </w:r>
    </w:p>
    <w:p>
      <w:pPr>
        <w:pStyle w:val="2"/>
        <w:bidi w:val="0"/>
        <w:rPr>
          <w:rFonts w:ascii="仿宋_GB2312" w:hAnsi="宋体" w:eastAsia="仿宋_GB2312" w:cs="宋体"/>
          <w:bCs/>
          <w:color w:val="000000"/>
          <w:szCs w:val="36"/>
        </w:rPr>
      </w:pPr>
      <w:r>
        <w:rPr>
          <w:rFonts w:ascii="黑体" w:hAnsi="黑体" w:eastAsia="黑体" w:cs="宋体"/>
          <w:b/>
          <w:color w:val="000000"/>
          <w:szCs w:val="36"/>
        </w:rPr>
        <w:br w:type="page"/>
      </w:r>
      <w:bookmarkStart w:id="117" w:name="_Toc4779"/>
      <w:bookmarkStart w:id="118" w:name="_Toc15983"/>
      <w:r>
        <w:rPr>
          <w:rFonts w:hint="eastAsia"/>
        </w:rPr>
        <w:t>第五章 县乡村三级农村物流网络体系运营管理</w:t>
      </w:r>
      <w:bookmarkEnd w:id="117"/>
      <w:bookmarkEnd w:id="118"/>
    </w:p>
    <w:p>
      <w:pPr>
        <w:pStyle w:val="3"/>
        <w:bidi w:val="0"/>
      </w:pPr>
      <w:bookmarkStart w:id="119" w:name="_Toc25315"/>
      <w:bookmarkStart w:id="120" w:name="_Toc5088"/>
      <w:bookmarkStart w:id="121" w:name="_Toc533347554"/>
      <w:bookmarkStart w:id="122" w:name="_Toc15431"/>
      <w:r>
        <w:rPr>
          <w:rFonts w:hint="eastAsia"/>
        </w:rPr>
        <w:t>5.1运营管理模式</w:t>
      </w:r>
      <w:bookmarkEnd w:id="119"/>
      <w:bookmarkEnd w:id="120"/>
      <w:bookmarkEnd w:id="121"/>
      <w:bookmarkEnd w:id="122"/>
    </w:p>
    <w:p>
      <w:pPr>
        <w:ind w:firstLine="560" w:firstLineChars="200"/>
        <w:rPr>
          <w:rFonts w:ascii="仿宋_GB2312" w:eastAsia="仿宋_GB2312" w:cs="宋体"/>
          <w:color w:val="000000"/>
          <w:sz w:val="28"/>
          <w:szCs w:val="28"/>
        </w:rPr>
      </w:pPr>
      <w:r>
        <w:rPr>
          <w:rFonts w:hint="eastAsia" w:ascii="仿宋_GB2312" w:hAnsi="宋体" w:eastAsia="仿宋_GB2312" w:cs="宋体"/>
          <w:color w:val="000000"/>
          <w:sz w:val="28"/>
          <w:szCs w:val="28"/>
        </w:rPr>
        <w:t>（1）坚持政府引导与市场运作相结合。发挥市场主导作用、强调物流企业市场主体地位，同时发挥政府政策引导作用，鼓励创新运营管理模式，开展共建共管、联营合作，保障体系可持续运营。</w:t>
      </w:r>
    </w:p>
    <w:p>
      <w:pPr>
        <w:ind w:firstLine="560" w:firstLineChars="200"/>
        <w:rPr>
          <w:rFonts w:ascii="仿宋_GB2312" w:eastAsia="仿宋_GB2312" w:cs="宋体"/>
          <w:color w:val="000000"/>
          <w:sz w:val="28"/>
          <w:szCs w:val="28"/>
        </w:rPr>
      </w:pPr>
      <w:r>
        <w:rPr>
          <w:rFonts w:hint="eastAsia" w:ascii="仿宋_GB2312" w:hAnsi="宋体" w:eastAsia="仿宋_GB2312" w:cs="宋体"/>
          <w:color w:val="000000"/>
          <w:sz w:val="28"/>
          <w:szCs w:val="28"/>
        </w:rPr>
        <w:t>（2）注重各方利益，实现多方共赢。将农户、农资经营者、运输企业、农产品加工者、场站经营者及信息中介组织起来，结成利益共享的物流共同体，实现“车辆有货源、企业有效益、群众得实惠”。</w:t>
      </w:r>
    </w:p>
    <w:p>
      <w:pPr>
        <w:pStyle w:val="3"/>
        <w:bidi w:val="0"/>
      </w:pPr>
      <w:bookmarkStart w:id="123" w:name="_Toc21559"/>
      <w:bookmarkStart w:id="124" w:name="_Toc5589"/>
      <w:bookmarkStart w:id="125" w:name="_Toc13078"/>
      <w:bookmarkStart w:id="126" w:name="_Toc17008"/>
      <w:bookmarkStart w:id="127" w:name="_Toc533347555"/>
      <w:r>
        <w:rPr>
          <w:rFonts w:hint="eastAsia"/>
        </w:rPr>
        <w:t>5.2安全运营管理</w:t>
      </w:r>
      <w:bookmarkEnd w:id="123"/>
      <w:bookmarkEnd w:id="124"/>
      <w:bookmarkEnd w:id="125"/>
      <w:bookmarkEnd w:id="126"/>
      <w:bookmarkEnd w:id="127"/>
    </w:p>
    <w:p>
      <w:pPr>
        <w:spacing w:line="580" w:lineRule="exact"/>
        <w:ind w:firstLine="560" w:firstLineChars="200"/>
        <w:rPr>
          <w:rFonts w:ascii="仿宋_GB2312" w:eastAsia="仿宋_GB2312" w:cs="宋体"/>
          <w:color w:val="000000"/>
          <w:sz w:val="28"/>
          <w:szCs w:val="28"/>
        </w:rPr>
      </w:pPr>
      <w:r>
        <w:rPr>
          <w:rFonts w:hint="eastAsia" w:ascii="仿宋_GB2312" w:hAnsi="宋体" w:eastAsia="仿宋_GB2312" w:cs="宋体"/>
          <w:color w:val="000000"/>
          <w:sz w:val="28"/>
          <w:szCs w:val="28"/>
        </w:rPr>
        <w:t>（1）建立完善规章制度。三级网络节点应建立健全安全生产管理制度，配备安全管理人员和设施设备，不得存放危险及违禁货物。</w:t>
      </w:r>
    </w:p>
    <w:p>
      <w:pPr>
        <w:spacing w:line="580" w:lineRule="exact"/>
        <w:ind w:firstLine="560" w:firstLineChars="200"/>
        <w:rPr>
          <w:rFonts w:ascii="仿宋_GB2312" w:eastAsia="仿宋_GB2312" w:cs="宋体"/>
          <w:color w:val="000000"/>
          <w:sz w:val="28"/>
          <w:szCs w:val="28"/>
        </w:rPr>
      </w:pPr>
      <w:r>
        <w:rPr>
          <w:rFonts w:hint="eastAsia" w:ascii="仿宋_GB2312" w:hAnsi="宋体" w:eastAsia="仿宋_GB2312" w:cs="宋体"/>
          <w:color w:val="000000"/>
          <w:sz w:val="28"/>
          <w:szCs w:val="28"/>
        </w:rPr>
        <w:t>（2）定期、不定期检查机制。运营单位应实行安全检查制度，对运输寄递物品进行查验，对存在重大安全隐患或拒绝查验的物品不予运输寄递。</w:t>
      </w:r>
    </w:p>
    <w:p>
      <w:pPr>
        <w:spacing w:line="580" w:lineRule="exact"/>
        <w:ind w:firstLine="560" w:firstLineChars="200"/>
        <w:rPr>
          <w:rFonts w:ascii="仿宋_GB2312" w:eastAsia="仿宋_GB2312" w:cs="宋体"/>
          <w:color w:val="000000"/>
          <w:sz w:val="28"/>
          <w:szCs w:val="28"/>
        </w:rPr>
      </w:pPr>
      <w:r>
        <w:rPr>
          <w:rFonts w:hint="eastAsia" w:ascii="仿宋_GB2312" w:hAnsi="宋体" w:eastAsia="仿宋_GB2312" w:cs="宋体"/>
          <w:color w:val="000000"/>
          <w:sz w:val="28"/>
          <w:szCs w:val="28"/>
        </w:rPr>
        <w:t>（3）重视员工培训。对网络节点人员进行专业化培训，加强寄递货物安全检查，并向村民宣传安全寄递流程。</w:t>
      </w:r>
    </w:p>
    <w:p>
      <w:pPr>
        <w:spacing w:line="580" w:lineRule="exact"/>
        <w:ind w:firstLine="560" w:firstLineChars="200"/>
        <w:rPr>
          <w:rFonts w:ascii="仿宋_GB2312" w:eastAsia="仿宋_GB2312" w:cs="宋体"/>
          <w:color w:val="000000"/>
          <w:sz w:val="28"/>
          <w:szCs w:val="28"/>
        </w:rPr>
      </w:pPr>
      <w:r>
        <w:rPr>
          <w:rFonts w:hint="eastAsia" w:ascii="仿宋_GB2312" w:hAnsi="宋体" w:eastAsia="仿宋_GB2312" w:cs="宋体"/>
          <w:color w:val="000000"/>
          <w:sz w:val="28"/>
          <w:szCs w:val="28"/>
        </w:rPr>
        <w:t>（4）注重车辆安全驾驶管理。建立完善物流配送车辆管理制度，对车辆交通安全和驾驶员进行严格规范监督管理。</w:t>
      </w:r>
    </w:p>
    <w:p>
      <w:pPr>
        <w:spacing w:line="580" w:lineRule="exact"/>
        <w:ind w:firstLine="560" w:firstLineChars="200"/>
        <w:rPr>
          <w:rFonts w:ascii="仿宋_GB2312" w:hAnsi="宋体" w:eastAsia="仿宋_GB2312" w:cs="宋体"/>
          <w:color w:val="000000"/>
          <w:sz w:val="28"/>
          <w:szCs w:val="28"/>
        </w:rPr>
      </w:pPr>
      <w:r>
        <w:rPr>
          <w:rFonts w:hint="eastAsia" w:ascii="仿宋_GB2312" w:hAnsi="宋体" w:eastAsia="仿宋_GB2312" w:cs="宋体"/>
          <w:color w:val="000000"/>
          <w:sz w:val="28"/>
          <w:szCs w:val="28"/>
        </w:rPr>
        <w:t>（5）加强农副产品质量监管。通过合同、协议规范农户农药化肥用量，加强上行农产品质量检测，搭建产品溯源系统增强可追溯性。</w:t>
      </w:r>
    </w:p>
    <w:p>
      <w:pPr>
        <w:pStyle w:val="3"/>
        <w:bidi w:val="0"/>
      </w:pPr>
      <w:bookmarkStart w:id="128" w:name="_Toc26735"/>
      <w:bookmarkStart w:id="129" w:name="_Toc13197"/>
      <w:bookmarkStart w:id="130" w:name="_Toc10844"/>
      <w:bookmarkStart w:id="131" w:name="_Toc7383"/>
      <w:bookmarkStart w:id="132" w:name="_Toc533347556"/>
      <w:r>
        <w:rPr>
          <w:rFonts w:hint="eastAsia"/>
        </w:rPr>
        <w:t>5.3运营服务管理</w:t>
      </w:r>
      <w:bookmarkEnd w:id="128"/>
      <w:bookmarkEnd w:id="129"/>
      <w:bookmarkEnd w:id="130"/>
      <w:bookmarkEnd w:id="131"/>
      <w:bookmarkEnd w:id="132"/>
    </w:p>
    <w:p>
      <w:pPr>
        <w:ind w:firstLine="560" w:firstLineChars="200"/>
        <w:rPr>
          <w:rFonts w:ascii="仿宋_GB2312" w:eastAsia="仿宋_GB2312" w:cs="宋体"/>
          <w:color w:val="000000"/>
          <w:sz w:val="28"/>
          <w:szCs w:val="28"/>
        </w:rPr>
      </w:pPr>
      <w:r>
        <w:rPr>
          <w:rFonts w:hint="eastAsia" w:ascii="仿宋_GB2312" w:hAnsi="宋体" w:eastAsia="仿宋_GB2312" w:cs="宋体"/>
          <w:color w:val="000000"/>
          <w:sz w:val="28"/>
          <w:szCs w:val="28"/>
        </w:rPr>
        <w:t>（1）货物检验。各节点货物受理时应核验，不得受理运输法律法规禁运货物，发现违禁货物及时举报。</w:t>
      </w:r>
    </w:p>
    <w:p>
      <w:pPr>
        <w:ind w:firstLine="560" w:firstLineChars="200"/>
        <w:rPr>
          <w:rFonts w:ascii="仿宋_GB2312" w:eastAsia="仿宋_GB2312" w:cs="宋体"/>
          <w:color w:val="000000"/>
          <w:sz w:val="28"/>
          <w:szCs w:val="28"/>
        </w:rPr>
      </w:pPr>
      <w:r>
        <w:rPr>
          <w:rFonts w:hint="eastAsia" w:ascii="仿宋_GB2312" w:hAnsi="宋体" w:eastAsia="仿宋_GB2312" w:cs="宋体"/>
          <w:color w:val="000000"/>
          <w:sz w:val="28"/>
          <w:szCs w:val="28"/>
        </w:rPr>
        <w:t>（2）货物管理记录完整规范。对进出站点物品按规定程序检查，各环节交接职责明确、记录完整准确。</w:t>
      </w:r>
    </w:p>
    <w:p>
      <w:pPr>
        <w:ind w:firstLine="560" w:firstLineChars="200"/>
        <w:rPr>
          <w:rFonts w:ascii="仿宋_GB2312" w:eastAsia="仿宋_GB2312" w:cs="宋体"/>
          <w:color w:val="000000"/>
          <w:sz w:val="28"/>
          <w:szCs w:val="28"/>
        </w:rPr>
      </w:pPr>
      <w:r>
        <w:rPr>
          <w:rFonts w:hint="eastAsia" w:ascii="仿宋_GB2312" w:hAnsi="宋体" w:eastAsia="仿宋_GB2312" w:cs="宋体"/>
          <w:color w:val="000000"/>
          <w:sz w:val="28"/>
          <w:szCs w:val="28"/>
        </w:rPr>
        <w:t>（3）信息公开。各服务节点公示服务范围、收费标准、作业流程、投诉电话。</w:t>
      </w:r>
    </w:p>
    <w:p>
      <w:pPr>
        <w:ind w:firstLine="560" w:firstLineChars="200"/>
        <w:rPr>
          <w:rFonts w:ascii="仿宋_GB2312" w:eastAsia="仿宋_GB2312" w:cs="宋体"/>
          <w:color w:val="000000"/>
          <w:sz w:val="28"/>
          <w:szCs w:val="28"/>
        </w:rPr>
      </w:pPr>
      <w:r>
        <w:rPr>
          <w:rFonts w:hint="eastAsia" w:ascii="仿宋_GB2312" w:hAnsi="宋体" w:eastAsia="仿宋_GB2312" w:cs="宋体"/>
          <w:color w:val="000000"/>
          <w:sz w:val="28"/>
          <w:szCs w:val="28"/>
        </w:rPr>
        <w:t>（4）调度合理。配送线路避免过长迂回往复运输，沿途节点停顿及装卸时间安排合理。</w:t>
      </w:r>
    </w:p>
    <w:p>
      <w:pPr>
        <w:ind w:firstLine="560" w:firstLineChars="200"/>
        <w:rPr>
          <w:rFonts w:ascii="仿宋_GB2312" w:eastAsia="仿宋_GB2312" w:cs="宋体"/>
          <w:color w:val="000000"/>
          <w:sz w:val="28"/>
          <w:szCs w:val="28"/>
        </w:rPr>
      </w:pPr>
      <w:r>
        <w:rPr>
          <w:rFonts w:hint="eastAsia" w:ascii="仿宋_GB2312" w:hAnsi="宋体" w:eastAsia="仿宋_GB2312" w:cs="宋体"/>
          <w:color w:val="000000"/>
          <w:sz w:val="28"/>
          <w:szCs w:val="28"/>
        </w:rPr>
        <w:t>（6）信息化管理。物流信息体系对接各大快递物流端口，实时更新货物动态，提供运输追踪服务。</w:t>
      </w:r>
    </w:p>
    <w:p>
      <w:pPr>
        <w:ind w:firstLine="560" w:firstLineChars="200"/>
        <w:rPr>
          <w:rFonts w:ascii="仿宋_GB2312" w:eastAsia="仿宋_GB2312" w:cs="宋体"/>
          <w:color w:val="000000"/>
          <w:sz w:val="28"/>
          <w:szCs w:val="28"/>
        </w:rPr>
      </w:pPr>
      <w:r>
        <w:rPr>
          <w:rFonts w:hint="eastAsia" w:ascii="仿宋_GB2312" w:hAnsi="宋体" w:eastAsia="仿宋_GB2312" w:cs="宋体"/>
          <w:color w:val="000000"/>
          <w:sz w:val="28"/>
          <w:szCs w:val="28"/>
        </w:rPr>
        <w:t>（7）提供电商服务。向村民宣传网络安全、电商资讯，培育网上购物习惯，提供商品代购、农副产品代销等服务。</w:t>
      </w:r>
    </w:p>
    <w:p>
      <w:pPr>
        <w:ind w:firstLine="560" w:firstLineChars="200"/>
        <w:rPr>
          <w:rFonts w:ascii="仿宋_GB2312" w:eastAsia="仿宋_GB2312" w:cs="宋体"/>
          <w:color w:val="000000"/>
          <w:sz w:val="28"/>
          <w:szCs w:val="28"/>
        </w:rPr>
      </w:pPr>
      <w:r>
        <w:rPr>
          <w:rFonts w:hint="eastAsia" w:ascii="仿宋_GB2312" w:hAnsi="宋体" w:eastAsia="仿宋_GB2312" w:cs="宋体"/>
          <w:color w:val="000000"/>
          <w:sz w:val="28"/>
          <w:szCs w:val="28"/>
        </w:rPr>
        <w:t>（8）妥善处理客户投诉。及时受理农村物流运营投诉，确保投诉得到合理解决。</w:t>
      </w:r>
    </w:p>
    <w:p>
      <w:pPr>
        <w:pStyle w:val="3"/>
        <w:bidi w:val="0"/>
      </w:pPr>
      <w:bookmarkStart w:id="133" w:name="_Toc25592"/>
      <w:bookmarkStart w:id="134" w:name="_Toc12363"/>
      <w:bookmarkStart w:id="135" w:name="_Toc9611"/>
      <w:bookmarkStart w:id="136" w:name="_Toc14670"/>
      <w:bookmarkStart w:id="137" w:name="_Toc533347557"/>
      <w:r>
        <w:rPr>
          <w:rFonts w:hint="eastAsia"/>
        </w:rPr>
        <w:t>5.4品牌建设</w:t>
      </w:r>
      <w:bookmarkEnd w:id="133"/>
      <w:bookmarkEnd w:id="134"/>
      <w:bookmarkEnd w:id="135"/>
      <w:bookmarkEnd w:id="136"/>
      <w:bookmarkEnd w:id="137"/>
    </w:p>
    <w:p>
      <w:pPr>
        <w:ind w:firstLine="560" w:firstLineChars="200"/>
        <w:rPr>
          <w:rFonts w:ascii="仿宋_GB2312" w:eastAsia="仿宋_GB2312" w:cs="宋体"/>
          <w:color w:val="000000"/>
          <w:sz w:val="28"/>
          <w:szCs w:val="28"/>
        </w:rPr>
      </w:pPr>
      <w:r>
        <w:rPr>
          <w:rFonts w:hint="eastAsia" w:ascii="仿宋_GB2312" w:hAnsi="宋体" w:eastAsia="仿宋_GB2312" w:cs="宋体"/>
          <w:color w:val="000000"/>
          <w:sz w:val="28"/>
          <w:szCs w:val="28"/>
        </w:rPr>
        <w:t>（1）诚信体系建设。建立健全三级物流体系运营信用管理制度，建立失信行为惩戒机制。</w:t>
      </w:r>
    </w:p>
    <w:p>
      <w:pPr>
        <w:spacing w:line="560" w:lineRule="exact"/>
        <w:ind w:firstLine="560" w:firstLineChars="200"/>
        <w:rPr>
          <w:rFonts w:ascii="仿宋_GB2312" w:eastAsia="仿宋_GB2312" w:cs="宋体"/>
          <w:color w:val="000000"/>
          <w:sz w:val="28"/>
          <w:szCs w:val="28"/>
        </w:rPr>
      </w:pPr>
      <w:r>
        <w:rPr>
          <w:rFonts w:hint="eastAsia" w:ascii="仿宋_GB2312" w:hAnsi="宋体" w:eastAsia="仿宋_GB2312" w:cs="宋体"/>
          <w:color w:val="000000"/>
          <w:sz w:val="28"/>
          <w:szCs w:val="28"/>
        </w:rPr>
        <w:t>（2）品牌形象识别。完善网络节点品牌形象，标识标牌在统一式样、统一编号、统一颜色基础上兼顾站点经营企业个性化标识。</w:t>
      </w:r>
    </w:p>
    <w:p>
      <w:pPr>
        <w:spacing w:line="560" w:lineRule="exact"/>
        <w:ind w:firstLine="560" w:firstLineChars="200"/>
        <w:rPr>
          <w:rFonts w:ascii="仿宋_GB2312" w:eastAsia="仿宋_GB2312" w:cs="宋体"/>
          <w:color w:val="000000"/>
          <w:sz w:val="28"/>
          <w:szCs w:val="28"/>
        </w:rPr>
      </w:pPr>
      <w:r>
        <w:rPr>
          <w:rFonts w:hint="eastAsia" w:ascii="仿宋_GB2312" w:hAnsi="宋体" w:eastAsia="仿宋_GB2312" w:cs="宋体"/>
          <w:color w:val="000000"/>
          <w:sz w:val="28"/>
          <w:szCs w:val="28"/>
        </w:rPr>
        <w:t>（3）优质服务塑造。不断提高服务标准化、规范化、信息化水平，建立客户反馈机制，塑造优质品牌服务。</w:t>
      </w:r>
    </w:p>
    <w:p>
      <w:pPr>
        <w:spacing w:line="560" w:lineRule="exact"/>
        <w:ind w:firstLine="560" w:firstLineChars="200"/>
        <w:rPr>
          <w:rFonts w:ascii="仿宋_GB2312" w:eastAsia="仿宋_GB2312" w:cs="宋体"/>
          <w:color w:val="000000"/>
          <w:sz w:val="28"/>
          <w:szCs w:val="28"/>
        </w:rPr>
      </w:pPr>
      <w:r>
        <w:rPr>
          <w:rFonts w:hint="eastAsia" w:ascii="仿宋_GB2312" w:hAnsi="宋体" w:eastAsia="仿宋_GB2312" w:cs="宋体"/>
          <w:color w:val="000000"/>
          <w:sz w:val="28"/>
          <w:szCs w:val="28"/>
        </w:rPr>
        <w:t>（4）特色产业升级。推动特色农副产品经营向合作化、规模化、产业化转变，延长产业链条、提高产品附加值，细分客户群体满足不同消费需求。</w:t>
      </w:r>
    </w:p>
    <w:p>
      <w:pPr>
        <w:spacing w:line="560" w:lineRule="exact"/>
        <w:ind w:firstLine="560" w:firstLineChars="200"/>
        <w:rPr>
          <w:rFonts w:ascii="仿宋_GB2312" w:hAnsi="宋体" w:eastAsia="仿宋_GB2312" w:cs="宋体"/>
          <w:color w:val="000000"/>
          <w:sz w:val="28"/>
          <w:szCs w:val="28"/>
        </w:rPr>
      </w:pPr>
      <w:r>
        <w:rPr>
          <w:rFonts w:hint="eastAsia" w:ascii="仿宋_GB2312" w:hAnsi="宋体" w:eastAsia="仿宋_GB2312" w:cs="宋体"/>
          <w:color w:val="000000"/>
          <w:sz w:val="28"/>
          <w:szCs w:val="28"/>
        </w:rPr>
        <w:t>（5）优质品牌培育。鼓励企业树立地方特色品牌、统一包装并加贴防伪标识，政府给予包装材料补助；协助获取权威质量认证；组建品牌联盟，统一推广、降低企业成本。</w:t>
      </w:r>
    </w:p>
    <w:p>
      <w:pPr>
        <w:spacing w:line="560" w:lineRule="exact"/>
        <w:ind w:firstLine="723" w:firstLineChars="200"/>
        <w:rPr>
          <w:rFonts w:ascii="仿宋_GB2312" w:eastAsia="仿宋_GB2312" w:cs="宋体"/>
          <w:b/>
          <w:bCs/>
          <w:color w:val="000000"/>
          <w:kern w:val="44"/>
          <w:sz w:val="36"/>
          <w:szCs w:val="36"/>
        </w:rPr>
        <w:sectPr>
          <w:headerReference r:id="rId7" w:type="default"/>
          <w:footerReference r:id="rId8" w:type="default"/>
          <w:pgSz w:w="11906" w:h="16838"/>
          <w:pgMar w:top="1364" w:right="1587" w:bottom="1701" w:left="1587" w:header="851" w:footer="992" w:gutter="0"/>
          <w:cols w:space="720" w:num="1"/>
          <w:docGrid w:type="lines" w:linePitch="314" w:charSpace="0"/>
        </w:sectPr>
      </w:pPr>
    </w:p>
    <w:p>
      <w:pPr>
        <w:pStyle w:val="2"/>
        <w:bidi w:val="0"/>
      </w:pPr>
      <w:bookmarkStart w:id="138" w:name="_Toc533347561"/>
      <w:bookmarkStart w:id="139" w:name="_Toc29046"/>
      <w:bookmarkStart w:id="140" w:name="_Toc13902"/>
      <w:bookmarkStart w:id="141" w:name="_Toc26890"/>
      <w:r>
        <w:rPr>
          <w:rFonts w:hint="eastAsia"/>
        </w:rPr>
        <w:t>第六章 县乡村三级农村物流网络体系建设保障措施</w:t>
      </w:r>
      <w:bookmarkEnd w:id="138"/>
      <w:bookmarkEnd w:id="139"/>
      <w:bookmarkEnd w:id="140"/>
      <w:bookmarkEnd w:id="141"/>
    </w:p>
    <w:p>
      <w:pPr>
        <w:adjustRightInd w:val="0"/>
        <w:snapToGrid w:val="0"/>
        <w:spacing w:line="360" w:lineRule="auto"/>
        <w:ind w:firstLine="560" w:firstLineChars="200"/>
        <w:rPr>
          <w:rFonts w:ascii="仿宋_GB2312" w:hAnsi="宋体" w:eastAsia="仿宋_GB2312" w:cs="宋体"/>
          <w:color w:val="000000"/>
          <w:sz w:val="28"/>
          <w:szCs w:val="28"/>
        </w:rPr>
      </w:pPr>
      <w:r>
        <w:rPr>
          <w:rFonts w:hint="eastAsia" w:ascii="仿宋_GB2312" w:hAnsi="宋体" w:eastAsia="仿宋_GB2312" w:cs="宋体"/>
          <w:color w:val="000000"/>
          <w:sz w:val="28"/>
          <w:szCs w:val="28"/>
        </w:rPr>
        <w:t>本规划以“市场运作、政府引导、梯次推进”为原则，以提高配送效率、降低物流成本为目标，加快形成电商产品下乡、农产品进城的双向流通格局。</w:t>
      </w:r>
    </w:p>
    <w:p>
      <w:pPr>
        <w:adjustRightInd w:val="0"/>
        <w:snapToGrid w:val="0"/>
        <w:spacing w:line="360" w:lineRule="auto"/>
        <w:ind w:firstLine="560" w:firstLineChars="200"/>
        <w:rPr>
          <w:rFonts w:ascii="仿宋_GB2312" w:hAnsi="宋体" w:eastAsia="仿宋_GB2312" w:cs="宋体"/>
          <w:color w:val="000000"/>
          <w:sz w:val="28"/>
          <w:szCs w:val="28"/>
        </w:rPr>
      </w:pPr>
      <w:r>
        <w:rPr>
          <w:rFonts w:hint="eastAsia" w:ascii="仿宋_GB2312" w:hAnsi="宋体" w:eastAsia="仿宋_GB2312" w:cs="宋体"/>
          <w:color w:val="000000"/>
          <w:sz w:val="28"/>
          <w:szCs w:val="28"/>
        </w:rPr>
        <w:t>（1）加强领导，协调联动。在县政府领导下，由交通运输、财政、商务、供销、自然资源、农业农村等部门组建领导小组，统筹解决规划、土地、投资、运营等问题。</w:t>
      </w:r>
    </w:p>
    <w:p>
      <w:pPr>
        <w:adjustRightInd w:val="0"/>
        <w:snapToGrid w:val="0"/>
        <w:spacing w:line="360" w:lineRule="auto"/>
        <w:ind w:firstLine="560" w:firstLineChars="200"/>
        <w:rPr>
          <w:rFonts w:ascii="仿宋_GB2312" w:hAnsi="宋体" w:eastAsia="仿宋_GB2312" w:cs="宋体"/>
          <w:color w:val="000000"/>
          <w:sz w:val="28"/>
          <w:szCs w:val="28"/>
        </w:rPr>
      </w:pPr>
      <w:r>
        <w:rPr>
          <w:rFonts w:hint="eastAsia" w:ascii="仿宋_GB2312" w:hAnsi="宋体" w:eastAsia="仿宋_GB2312" w:cs="宋体"/>
          <w:color w:val="000000"/>
          <w:sz w:val="28"/>
          <w:szCs w:val="28"/>
        </w:rPr>
        <w:t>（2）形成合力，寻求扶持。积极争取农村物流发展专项资金，对公益性项目和末端网点运营前期实行资金、设备补贴；加大对农村电商财政投入和政策倾斜，落实减税、补贴、用地及税收优惠。</w:t>
      </w:r>
    </w:p>
    <w:p>
      <w:pPr>
        <w:adjustRightInd w:val="0"/>
        <w:snapToGrid w:val="0"/>
        <w:spacing w:line="360" w:lineRule="auto"/>
        <w:ind w:firstLine="560" w:firstLineChars="200"/>
        <w:rPr>
          <w:rFonts w:hint="eastAsia" w:ascii="仿宋_GB2312" w:hAnsi="宋体" w:eastAsia="仿宋_GB2312" w:cs="宋体"/>
          <w:color w:val="000000"/>
          <w:sz w:val="28"/>
          <w:szCs w:val="28"/>
        </w:rPr>
      </w:pPr>
      <w:r>
        <w:rPr>
          <w:rFonts w:hint="eastAsia" w:ascii="仿宋_GB2312" w:hAnsi="宋体" w:eastAsia="仿宋_GB2312" w:cs="宋体"/>
          <w:color w:val="000000"/>
          <w:sz w:val="28"/>
          <w:szCs w:val="28"/>
        </w:rPr>
        <w:t>（3）加强监管，净化市场。加强对农村物流运输市场的动态监测和考核监督，打击非法运营，引导快递、零担企业入驻物流中心，建立规范有序的物流体系。</w:t>
      </w:r>
    </w:p>
    <w:p>
      <w:pPr>
        <w:adjustRightInd w:val="0"/>
        <w:snapToGrid w:val="0"/>
        <w:spacing w:line="360" w:lineRule="auto"/>
        <w:ind w:firstLine="560" w:firstLineChars="200"/>
        <w:rPr>
          <w:rFonts w:ascii="仿宋_GB2312" w:hAnsi="宋体" w:eastAsia="仿宋_GB2312" w:cs="宋体"/>
          <w:color w:val="000000"/>
          <w:sz w:val="28"/>
          <w:szCs w:val="28"/>
        </w:rPr>
      </w:pPr>
      <w:r>
        <w:rPr>
          <w:rFonts w:hint="eastAsia" w:ascii="仿宋_GB2312" w:hAnsi="宋体" w:eastAsia="仿宋_GB2312" w:cs="宋体"/>
          <w:color w:val="000000"/>
          <w:sz w:val="28"/>
          <w:szCs w:val="28"/>
        </w:rPr>
        <w:t>（4）信息共享，良性运营。实现物流货物及快递包裹“统进、统配、统送”，形成覆盖全县县乡村的现代物流配送体系。</w:t>
      </w:r>
    </w:p>
    <w:p>
      <w:pPr>
        <w:adjustRightInd w:val="0"/>
        <w:snapToGrid w:val="0"/>
        <w:spacing w:line="360" w:lineRule="auto"/>
        <w:ind w:firstLine="560" w:firstLineChars="200"/>
        <w:rPr>
          <w:rFonts w:ascii="仿宋_GB2312" w:eastAsia="仿宋_GB2312"/>
          <w:color w:val="000000"/>
          <w:sz w:val="28"/>
          <w:szCs w:val="28"/>
        </w:rPr>
      </w:pPr>
      <w:r>
        <w:rPr>
          <w:rFonts w:hint="eastAsia" w:ascii="仿宋_GB2312" w:hAnsi="宋体" w:eastAsia="仿宋_GB2312" w:cs="宋体"/>
          <w:color w:val="000000"/>
          <w:sz w:val="28"/>
          <w:szCs w:val="28"/>
        </w:rPr>
        <w:t>（5）加强培训，引进人才。为物流从业人员提供专业知识和技能培训，加大中高层次物流技术和管理人才引进力度。</w:t>
      </w:r>
    </w:p>
    <w:p>
      <w:pPr>
        <w:adjustRightInd w:val="0"/>
        <w:snapToGrid w:val="0"/>
        <w:spacing w:line="360" w:lineRule="auto"/>
        <w:ind w:firstLine="560" w:firstLineChars="200"/>
        <w:rPr>
          <w:rFonts w:ascii="仿宋_GB2312" w:hAnsi="宋体" w:eastAsia="仿宋_GB2312" w:cs="宋体"/>
          <w:color w:val="000000"/>
          <w:sz w:val="28"/>
          <w:szCs w:val="28"/>
        </w:rPr>
      </w:pPr>
    </w:p>
    <w:p>
      <w:pPr>
        <w:spacing w:line="500" w:lineRule="exact"/>
        <w:rPr>
          <w:rFonts w:hint="eastAsia" w:ascii="仿宋_GB2312" w:hAnsi="宋体"/>
          <w:szCs w:val="32"/>
        </w:rPr>
      </w:pPr>
    </w:p>
    <w:p>
      <w:pPr>
        <w:spacing w:line="500" w:lineRule="exact"/>
        <w:rPr>
          <w:rFonts w:hint="eastAsia" w:ascii="仿宋_GB2312" w:hAnsi="宋体"/>
          <w:szCs w:val="32"/>
        </w:rPr>
      </w:pPr>
    </w:p>
    <w:p>
      <w:pPr>
        <w:spacing w:line="500" w:lineRule="exact"/>
        <w:rPr>
          <w:rFonts w:hint="eastAsia" w:ascii="仿宋_GB2312" w:hAnsi="宋体"/>
          <w:szCs w:val="32"/>
        </w:rPr>
      </w:pPr>
    </w:p>
    <w:p>
      <w:pPr>
        <w:spacing w:line="500" w:lineRule="exact"/>
        <w:rPr>
          <w:rFonts w:hint="eastAsia" w:ascii="仿宋_GB2312" w:hAnsi="宋体"/>
          <w:szCs w:val="32"/>
        </w:rPr>
      </w:pPr>
    </w:p>
    <w:p>
      <w:pPr>
        <w:spacing w:line="500" w:lineRule="exact"/>
        <w:rPr>
          <w:rFonts w:hint="eastAsia" w:ascii="仿宋_GB2312" w:hAnsi="宋体"/>
          <w:szCs w:val="32"/>
        </w:rPr>
      </w:pPr>
    </w:p>
    <w:sectPr>
      <w:headerReference r:id="rId9" w:type="default"/>
      <w:footerReference r:id="rId10" w:type="default"/>
      <w:pgSz w:w="11906" w:h="16838"/>
      <w:pgMar w:top="1984" w:right="1587" w:bottom="1701" w:left="1587" w:header="851" w:footer="992" w:gutter="0"/>
      <w:cols w:space="720" w:num="1"/>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rPr>
        <w:rFonts w:ascii="宋体"/>
        <w:sz w:val="22"/>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rPr>
        <w:rFonts w:ascii="宋体"/>
        <w:sz w:val="22"/>
        <w:szCs w:val="28"/>
      </w:rPr>
    </w:pPr>
    <w:r>
      <w:rPr>
        <w:sz w:val="22"/>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-37465</wp:posOffset>
              </wp:positionV>
              <wp:extent cx="793115" cy="241935"/>
              <wp:effectExtent l="0" t="0" r="0" b="0"/>
              <wp:wrapNone/>
              <wp:docPr id="10" name="文本框 2055"/>
              <wp:cNvGraphicFramePr/>
              <a:graphic xmlns:a="http://schemas.openxmlformats.org/drawingml/2006/main">
                <a:graphicData uri="http://schemas.microsoft.com/office/word/2010/wordprocessingShape">
                  <wps:wsp>
                    <wps:cNvSpPr txBox="1"/>
                    <wps:spPr>
                      <a:xfrm>
                        <a:off x="0" y="0"/>
                        <a:ext cx="793115" cy="241935"/>
                      </a:xfrm>
                      <a:prstGeom prst="rect">
                        <a:avLst/>
                      </a:prstGeom>
                      <a:noFill/>
                      <a:ln w="15875">
                        <a:noFill/>
                      </a:ln>
                    </wps:spPr>
                    <wps:txbx>
                      <w:txbxContent>
                        <w:p>
                          <w:pPr>
                            <w:pStyle w:val="8"/>
                            <w:jc w:val="center"/>
                            <w:rPr>
                              <w:rFonts w:hint="eastAsia"/>
                              <w:sz w:val="28"/>
                              <w:szCs w:val="28"/>
                            </w:rPr>
                          </w:pPr>
                          <w:r>
                            <w:rPr>
                              <w:rFonts w:hint="eastAsia"/>
                              <w:sz w:val="28"/>
                              <w:szCs w:val="28"/>
                            </w:rPr>
                            <w:t xml:space="preserve">— </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7</w:t>
                          </w:r>
                          <w:r>
                            <w:rPr>
                              <w:sz w:val="28"/>
                              <w:szCs w:val="28"/>
                            </w:rPr>
                            <w:fldChar w:fldCharType="end"/>
                          </w:r>
                          <w:r>
                            <w:rPr>
                              <w:rFonts w:hint="eastAsia"/>
                              <w:sz w:val="28"/>
                              <w:szCs w:val="28"/>
                            </w:rPr>
                            <w:t xml:space="preserve"> —</w:t>
                          </w:r>
                        </w:p>
                      </w:txbxContent>
                    </wps:txbx>
                    <wps:bodyPr lIns="0" tIns="0" rIns="0" bIns="0" upright="1"/>
                  </wps:wsp>
                </a:graphicData>
              </a:graphic>
            </wp:anchor>
          </w:drawing>
        </mc:Choice>
        <mc:Fallback>
          <w:pict>
            <v:shape id="文本框 2055" o:spid="_x0000_s1026" o:spt="202" type="#_x0000_t202" style="position:absolute;left:0pt;margin-top:-2.95pt;height:19.05pt;width:62.45pt;mso-position-horizontal:right;mso-position-horizontal-relative:margin;z-index:251660288;mso-width-relative:page;mso-height-relative:page;" filled="f" stroked="f" coordsize="21600,21600" o:gfxdata="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NnJWAPWAAAABgEA&#10;AA8AAAAAAAAAAQAgAAAAIgAAAGRycy9kb3ducmV2LnhtbFBLAQIUABQAAAAIAIdO4kB50g3DqgEA&#10;ADEDAAAOAAAAAAAAAAEAIAAAACUBAABkcnMvZTJvRG9jLnhtbFBLBQYAAAAABgAGAFkBAABBBQAA&#10;AAA=&#10;">
              <v:fill on="f" focussize="0,0"/>
              <v:stroke on="f" weight="1.25pt"/>
              <v:imagedata o:title=""/>
              <o:lock v:ext="edit" aspectratio="f"/>
              <v:textbox inset="0mm,0mm,0mm,0mm">
                <w:txbxContent>
                  <w:p>
                    <w:pPr>
                      <w:pStyle w:val="8"/>
                      <w:jc w:val="center"/>
                      <w:rPr>
                        <w:rFonts w:hint="eastAsia"/>
                        <w:sz w:val="28"/>
                        <w:szCs w:val="28"/>
                      </w:rPr>
                    </w:pPr>
                    <w:r>
                      <w:rPr>
                        <w:rFonts w:hint="eastAsia"/>
                        <w:sz w:val="28"/>
                        <w:szCs w:val="28"/>
                      </w:rPr>
                      <w:t xml:space="preserve">— </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7</w:t>
                    </w:r>
                    <w:r>
                      <w:rPr>
                        <w:sz w:val="28"/>
                        <w:szCs w:val="28"/>
                      </w:rPr>
                      <w:fldChar w:fldCharType="end"/>
                    </w:r>
                    <w:r>
                      <w:rPr>
                        <w:rFonts w:hint="eastAsia"/>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rPr>
        <w:rFonts w:asci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-37465</wp:posOffset>
              </wp:positionV>
              <wp:extent cx="872490" cy="233045"/>
              <wp:effectExtent l="0" t="0" r="0" b="0"/>
              <wp:wrapNone/>
              <wp:docPr id="9" name="文本框 2052"/>
              <wp:cNvGraphicFramePr/>
              <a:graphic xmlns:a="http://schemas.openxmlformats.org/drawingml/2006/main">
                <a:graphicData uri="http://schemas.microsoft.com/office/word/2010/wordprocessingShape">
                  <wps:wsp>
                    <wps:cNvSpPr txBox="1"/>
                    <wps:spPr>
                      <a:xfrm>
                        <a:off x="0" y="0"/>
                        <a:ext cx="872490" cy="233045"/>
                      </a:xfrm>
                      <a:prstGeom prst="rect">
                        <a:avLst/>
                      </a:prstGeom>
                      <a:noFill/>
                      <a:ln w="15875">
                        <a:noFill/>
                      </a:ln>
                    </wps:spPr>
                    <wps:txbx>
                      <w:txbxContent>
                        <w:p>
                          <w:pPr>
                            <w:pStyle w:val="8"/>
                            <w:jc w:val="center"/>
                            <w:rPr>
                              <w:rFonts w:eastAsia="仿宋_GB2312"/>
                              <w:sz w:val="28"/>
                              <w:szCs w:val="28"/>
                            </w:rPr>
                          </w:pPr>
                          <w:r>
                            <w:rPr>
                              <w:rFonts w:eastAsia="仿宋_GB2312"/>
                              <w:sz w:val="28"/>
                              <w:szCs w:val="28"/>
                            </w:rPr>
                            <w:t xml:space="preserve">— </w:t>
                          </w:r>
                          <w:r>
                            <w:rPr>
                              <w:rFonts w:eastAsia="仿宋_GB2312"/>
                              <w:sz w:val="28"/>
                              <w:szCs w:val="28"/>
                            </w:rPr>
                            <w:fldChar w:fldCharType="begin"/>
                          </w:r>
                          <w:r>
                            <w:rPr>
                              <w:rFonts w:eastAsia="仿宋_GB2312"/>
                              <w:sz w:val="28"/>
                              <w:szCs w:val="28"/>
                            </w:rPr>
                            <w:instrText xml:space="preserve">PAGE   \* MERGEFORMAT</w:instrText>
                          </w:r>
                          <w:r>
                            <w:rPr>
                              <w:rFonts w:eastAsia="仿宋_GB2312"/>
                              <w:sz w:val="28"/>
                              <w:szCs w:val="28"/>
                            </w:rPr>
                            <w:fldChar w:fldCharType="separate"/>
                          </w:r>
                          <w:r>
                            <w:rPr>
                              <w:rFonts w:eastAsia="仿宋_GB2312"/>
                              <w:sz w:val="28"/>
                              <w:szCs w:val="28"/>
                              <w:lang w:val="zh-CN"/>
                            </w:rPr>
                            <w:t>13</w:t>
                          </w:r>
                          <w:r>
                            <w:rPr>
                              <w:rFonts w:eastAsia="仿宋_GB2312"/>
                              <w:sz w:val="28"/>
                              <w:szCs w:val="28"/>
                            </w:rPr>
                            <w:fldChar w:fldCharType="end"/>
                          </w:r>
                          <w:r>
                            <w:rPr>
                              <w:rFonts w:eastAsia="仿宋_GB2312"/>
                              <w:sz w:val="28"/>
                              <w:szCs w:val="28"/>
                            </w:rPr>
                            <w:t xml:space="preserve"> —</w:t>
                          </w:r>
                        </w:p>
                      </w:txbxContent>
                    </wps:txbx>
                    <wps:bodyPr lIns="0" tIns="0" rIns="0" bIns="0" upright="1"/>
                  </wps:wsp>
                </a:graphicData>
              </a:graphic>
            </wp:anchor>
          </w:drawing>
        </mc:Choice>
        <mc:Fallback>
          <w:pict>
            <v:shape id="文本框 2052" o:spid="_x0000_s1026" o:spt="202" type="#_x0000_t202" style="position:absolute;left:0pt;margin-top:-2.95pt;height:18.35pt;width:68.7pt;mso-position-horizontal:right;mso-position-horizontal-relative:margin;z-index:251659264;mso-width-relative:page;mso-height-relative:page;" filled="f" stroked="f" coordsize="21600,21600" o:gfxdata="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rNwVGNUAAAAGAQAA&#10;DwAAAAAAAAABACAAAAAiAAAAZHJzL2Rvd25yZXYueG1sUEsBAhQAFAAAAAgAh07iQFetpb2qAQAA&#10;MAMAAA4AAAAAAAAAAQAgAAAAJAEAAGRycy9lMm9Eb2MueG1sUEsFBgAAAAAGAAYAWQEAAEAFAAAA&#10;AA==&#10;">
              <v:fill on="f" focussize="0,0"/>
              <v:stroke on="f" weight="1.25pt"/>
              <v:imagedata o:title=""/>
              <o:lock v:ext="edit" aspectratio="f"/>
              <v:textbox inset="0mm,0mm,0mm,0mm">
                <w:txbxContent>
                  <w:p>
                    <w:pPr>
                      <w:pStyle w:val="8"/>
                      <w:jc w:val="center"/>
                      <w:rPr>
                        <w:rFonts w:eastAsia="仿宋_GB2312"/>
                        <w:sz w:val="28"/>
                        <w:szCs w:val="28"/>
                      </w:rPr>
                    </w:pPr>
                    <w:r>
                      <w:rPr>
                        <w:rFonts w:eastAsia="仿宋_GB2312"/>
                        <w:sz w:val="28"/>
                        <w:szCs w:val="28"/>
                      </w:rPr>
                      <w:t xml:space="preserve">— </w:t>
                    </w:r>
                    <w:r>
                      <w:rPr>
                        <w:rFonts w:eastAsia="仿宋_GB2312"/>
                        <w:sz w:val="28"/>
                        <w:szCs w:val="28"/>
                      </w:rPr>
                      <w:fldChar w:fldCharType="begin"/>
                    </w:r>
                    <w:r>
                      <w:rPr>
                        <w:rFonts w:eastAsia="仿宋_GB2312"/>
                        <w:sz w:val="28"/>
                        <w:szCs w:val="28"/>
                      </w:rPr>
                      <w:instrText xml:space="preserve">PAGE   \* MERGEFORMAT</w:instrText>
                    </w:r>
                    <w:r>
                      <w:rPr>
                        <w:rFonts w:eastAsia="仿宋_GB2312"/>
                        <w:sz w:val="28"/>
                        <w:szCs w:val="28"/>
                      </w:rPr>
                      <w:fldChar w:fldCharType="separate"/>
                    </w:r>
                    <w:r>
                      <w:rPr>
                        <w:rFonts w:eastAsia="仿宋_GB2312"/>
                        <w:sz w:val="28"/>
                        <w:szCs w:val="28"/>
                        <w:lang w:val="zh-CN"/>
                      </w:rPr>
                      <w:t>13</w:t>
                    </w:r>
                    <w:r>
                      <w:rPr>
                        <w:rFonts w:eastAsia="仿宋_GB2312"/>
                        <w:sz w:val="28"/>
                        <w:szCs w:val="28"/>
                      </w:rPr>
                      <w:fldChar w:fldCharType="end"/>
                    </w:r>
                    <w:r>
                      <w:rPr>
                        <w:rFonts w:eastAsia="仿宋_GB2312"/>
                        <w:sz w:val="28"/>
                        <w:szCs w:val="28"/>
                      </w:rPr>
                      <w:t xml:space="preserve"> —</w:t>
                    </w:r>
                  </w:p>
                </w:txbxContent>
              </v:textbox>
            </v:shape>
          </w:pict>
        </mc:Fallback>
      </mc:AlternateContent>
    </w:r>
  </w:p>
  <w:p>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right="360" w:firstLine="360"/>
    </w:pPr>
    <w: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-37465</wp:posOffset>
              </wp:positionV>
              <wp:extent cx="748665" cy="221615"/>
              <wp:effectExtent l="0" t="0" r="0" b="0"/>
              <wp:wrapNone/>
              <wp:docPr id="11" name="文本框 2056"/>
              <wp:cNvGraphicFramePr/>
              <a:graphic xmlns:a="http://schemas.openxmlformats.org/drawingml/2006/main">
                <a:graphicData uri="http://schemas.microsoft.com/office/word/2010/wordprocessingShape">
                  <wps:wsp>
                    <wps:cNvSpPr txBox="1"/>
                    <wps:spPr>
                      <a:xfrm>
                        <a:off x="0" y="0"/>
                        <a:ext cx="748665" cy="221615"/>
                      </a:xfrm>
                      <a:prstGeom prst="rect">
                        <a:avLst/>
                      </a:prstGeom>
                      <a:noFill/>
                      <a:ln w="15875">
                        <a:noFill/>
                      </a:ln>
                    </wps:spPr>
                    <wps:txbx>
                      <w:txbxContent>
                        <w:p>
                          <w:pPr>
                            <w:pStyle w:val="8"/>
                            <w:rPr>
                              <w:rStyle w:val="17"/>
                              <w:rFonts w:hint="eastAsia" w:ascii="Times New Roman" w:hAnsi="Times New Roman" w:eastAsia="宋体"/>
                              <w:sz w:val="28"/>
                              <w:szCs w:val="28"/>
                              <w:lang w:eastAsia="zh-CN"/>
                            </w:rPr>
                          </w:pPr>
                          <w:r>
                            <w:rPr>
                              <w:rFonts w:hint="eastAsia"/>
                              <w:sz w:val="28"/>
                              <w:szCs w:val="28"/>
                            </w:rPr>
                            <w:t xml:space="preserve">— </w:t>
                          </w:r>
                          <w:r>
                            <w:rPr>
                              <w:sz w:val="28"/>
                              <w:szCs w:val="28"/>
                            </w:rPr>
                            <w:fldChar w:fldCharType="begin"/>
                          </w:r>
                          <w:r>
                            <w:rPr>
                              <w:rStyle w:val="17"/>
                              <w:rFonts w:ascii="Times New Roman" w:hAnsi="Times New Roman" w:eastAsia="宋体"/>
                              <w:sz w:val="28"/>
                              <w:szCs w:val="28"/>
                            </w:rPr>
                            <w:instrText xml:space="preserve">PAGE  </w:instrText>
                          </w:r>
                          <w:r>
                            <w:rPr>
                              <w:sz w:val="28"/>
                              <w:szCs w:val="28"/>
                            </w:rPr>
                            <w:fldChar w:fldCharType="separate"/>
                          </w:r>
                          <w:r>
                            <w:rPr>
                              <w:rStyle w:val="17"/>
                              <w:rFonts w:ascii="Times New Roman" w:hAnsi="Times New Roman" w:eastAsia="宋体"/>
                              <w:sz w:val="28"/>
                              <w:szCs w:val="28"/>
                            </w:rPr>
                            <w:t>- 2 -</w:t>
                          </w:r>
                          <w:r>
                            <w:rPr>
                              <w:sz w:val="28"/>
                              <w:szCs w:val="28"/>
                            </w:rPr>
                            <w:fldChar w:fldCharType="end"/>
                          </w:r>
                          <w:r>
                            <w:rPr>
                              <w:rFonts w:hint="eastAsia"/>
                              <w:sz w:val="28"/>
                              <w:szCs w:val="28"/>
                            </w:rPr>
                            <w:t xml:space="preserve"> —</w:t>
                          </w:r>
                        </w:p>
                      </w:txbxContent>
                    </wps:txbx>
                    <wps:bodyPr lIns="0" tIns="0" rIns="0" bIns="0" upright="1"/>
                  </wps:wsp>
                </a:graphicData>
              </a:graphic>
            </wp:anchor>
          </w:drawing>
        </mc:Choice>
        <mc:Fallback>
          <w:pict>
            <v:shape id="文本框 2056" o:spid="_x0000_s1026" o:spt="202" type="#_x0000_t202" style="position:absolute;left:0pt;margin-top:-2.95pt;height:17.45pt;width:58.95pt;mso-position-horizontal:right;mso-position-horizontal-relative:margin;z-index:251661312;mso-width-relative:page;mso-height-relative:page;" filled="f" stroked="f" coordsize="21600,21600" o:gfxdata="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hbuSfdYAAAAGAQAA&#10;DwAAAAAAAAABACAAAAAiAAAAZHJzL2Rvd25yZXYueG1sUEsBAhQAFAAAAAgAh07iQELdlR+pAQAA&#10;MQMAAA4AAAAAAAAAAQAgAAAAJQEAAGRycy9lMm9Eb2MueG1sUEsFBgAAAAAGAAYAWQEAAEAFAAAA&#10;AA==&#10;">
              <v:fill on="f" focussize="0,0"/>
              <v:stroke on="f" weight="1.25pt"/>
              <v:imagedata o:title=""/>
              <o:lock v:ext="edit" aspectratio="f"/>
              <v:textbox inset="0mm,0mm,0mm,0mm">
                <w:txbxContent>
                  <w:p>
                    <w:pPr>
                      <w:pStyle w:val="8"/>
                      <w:rPr>
                        <w:rStyle w:val="17"/>
                        <w:rFonts w:hint="eastAsia" w:ascii="Times New Roman" w:hAnsi="Times New Roman" w:eastAsia="宋体"/>
                        <w:sz w:val="28"/>
                        <w:szCs w:val="28"/>
                        <w:lang w:eastAsia="zh-CN"/>
                      </w:rPr>
                    </w:pPr>
                    <w:r>
                      <w:rPr>
                        <w:rFonts w:hint="eastAsia"/>
                        <w:sz w:val="28"/>
                        <w:szCs w:val="28"/>
                      </w:rPr>
                      <w:t xml:space="preserve">— </w:t>
                    </w:r>
                    <w:r>
                      <w:rPr>
                        <w:sz w:val="28"/>
                        <w:szCs w:val="28"/>
                      </w:rPr>
                      <w:fldChar w:fldCharType="begin"/>
                    </w:r>
                    <w:r>
                      <w:rPr>
                        <w:rStyle w:val="17"/>
                        <w:rFonts w:ascii="Times New Roman" w:hAnsi="Times New Roman" w:eastAsia="宋体"/>
                        <w:sz w:val="28"/>
                        <w:szCs w:val="28"/>
                      </w:rPr>
                      <w:instrText xml:space="preserve">PAGE  </w:instrText>
                    </w:r>
                    <w:r>
                      <w:rPr>
                        <w:sz w:val="28"/>
                        <w:szCs w:val="28"/>
                      </w:rPr>
                      <w:fldChar w:fldCharType="separate"/>
                    </w:r>
                    <w:r>
                      <w:rPr>
                        <w:rStyle w:val="17"/>
                        <w:rFonts w:ascii="Times New Roman" w:hAnsi="Times New Roman" w:eastAsia="宋体"/>
                        <w:sz w:val="28"/>
                        <w:szCs w:val="28"/>
                      </w:rPr>
                      <w:t>- 2 -</w:t>
                    </w:r>
                    <w:r>
                      <w:rPr>
                        <w:sz w:val="28"/>
                        <w:szCs w:val="28"/>
                      </w:rPr>
                      <w:fldChar w:fldCharType="end"/>
                    </w:r>
                    <w:r>
                      <w:rPr>
                        <w:rFonts w:hint="eastAsia"/>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Fonts w:hint="eastAsia" w:cs="宋体"/>
      </w:rPr>
    </w:pPr>
    <w:r>
      <w:rPr>
        <w:rFonts w:hint="eastAsia" w:cs="宋体"/>
      </w:rPr>
      <w:t>连南瑶族自治县农村物流三级网络节点体系发展规划</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Fonts w:hint="eastAsia" w:cs="宋体"/>
      </w:rPr>
    </w:pPr>
    <w:r>
      <w:rPr>
        <w:rFonts w:hint="eastAsia" w:cs="宋体"/>
      </w:rPr>
      <w:t>连南瑶族自治县农村物流三级网络节点体系发展规划</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single" w:color="auto" w:sz="4" w:space="1"/>
      </w:pBdr>
    </w:pPr>
    <w:r>
      <w:rPr>
        <w:rFonts w:hint="eastAsia" w:cs="宋体"/>
      </w:rPr>
      <w:t>连南瑶族自治县农村物流三级网络节点体系发展规划</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8"/>
    <w:multiLevelType w:val="singleLevel"/>
    <w:tmpl w:val="00000008"/>
    <w:lvl w:ilvl="0" w:tentative="0">
      <w:start w:val="1"/>
      <w:numFmt w:val="lowerLetter"/>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VerticalSpacing w:val="157"/>
  <w:noPunctuationKerning w:val="1"/>
  <w:characterSpacingControl w:val="compressPunctuation"/>
  <w:doNotValidateAgainstSchema/>
  <w:doNotDemarcateInvalidXml/>
  <w:hdrShapeDefaults>
    <o:shapelayout v:ext="edit">
      <o:idmap v:ext="edit" data="1,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JlM2U4NGI1ODIwNmUyY2FiOTJjMzIyNDJjZmE4NTEifQ=="/>
  </w:docVars>
  <w:rsids>
    <w:rsidRoot w:val="00172A27"/>
    <w:rsid w:val="00023D4E"/>
    <w:rsid w:val="00052016"/>
    <w:rsid w:val="00057114"/>
    <w:rsid w:val="000772B0"/>
    <w:rsid w:val="000C122E"/>
    <w:rsid w:val="000D5171"/>
    <w:rsid w:val="000F5A3E"/>
    <w:rsid w:val="001221A9"/>
    <w:rsid w:val="00137295"/>
    <w:rsid w:val="001440FC"/>
    <w:rsid w:val="001510E0"/>
    <w:rsid w:val="001937D2"/>
    <w:rsid w:val="001C4843"/>
    <w:rsid w:val="001F19DC"/>
    <w:rsid w:val="00207E3D"/>
    <w:rsid w:val="00225A72"/>
    <w:rsid w:val="00235AB9"/>
    <w:rsid w:val="00290BF8"/>
    <w:rsid w:val="00291887"/>
    <w:rsid w:val="00294959"/>
    <w:rsid w:val="002B5CC8"/>
    <w:rsid w:val="002C5530"/>
    <w:rsid w:val="003076C1"/>
    <w:rsid w:val="00311787"/>
    <w:rsid w:val="003161E2"/>
    <w:rsid w:val="003E2342"/>
    <w:rsid w:val="003E6E70"/>
    <w:rsid w:val="00402F19"/>
    <w:rsid w:val="005B3A9E"/>
    <w:rsid w:val="00613D06"/>
    <w:rsid w:val="00615906"/>
    <w:rsid w:val="00627936"/>
    <w:rsid w:val="006754FA"/>
    <w:rsid w:val="00675E85"/>
    <w:rsid w:val="00753E7B"/>
    <w:rsid w:val="007B2E03"/>
    <w:rsid w:val="007D66E8"/>
    <w:rsid w:val="007E795C"/>
    <w:rsid w:val="007F2CA4"/>
    <w:rsid w:val="00854AD4"/>
    <w:rsid w:val="008D58C8"/>
    <w:rsid w:val="008F0B14"/>
    <w:rsid w:val="00912A73"/>
    <w:rsid w:val="00926136"/>
    <w:rsid w:val="009742E1"/>
    <w:rsid w:val="009A107A"/>
    <w:rsid w:val="009A5387"/>
    <w:rsid w:val="009D5064"/>
    <w:rsid w:val="00A175CE"/>
    <w:rsid w:val="00A21B7B"/>
    <w:rsid w:val="00A360FD"/>
    <w:rsid w:val="00A63BDC"/>
    <w:rsid w:val="00AE1C6F"/>
    <w:rsid w:val="00AE4293"/>
    <w:rsid w:val="00B23491"/>
    <w:rsid w:val="00B23FC3"/>
    <w:rsid w:val="00B25530"/>
    <w:rsid w:val="00B3207A"/>
    <w:rsid w:val="00BC6421"/>
    <w:rsid w:val="00BD5FDF"/>
    <w:rsid w:val="00C80266"/>
    <w:rsid w:val="00CC10C0"/>
    <w:rsid w:val="00CF732C"/>
    <w:rsid w:val="00E357A5"/>
    <w:rsid w:val="00E53F7C"/>
    <w:rsid w:val="00E604D2"/>
    <w:rsid w:val="00E607F5"/>
    <w:rsid w:val="00E76C20"/>
    <w:rsid w:val="00E828A5"/>
    <w:rsid w:val="00E9340F"/>
    <w:rsid w:val="00EA1E4E"/>
    <w:rsid w:val="00F240EA"/>
    <w:rsid w:val="00F31D2F"/>
    <w:rsid w:val="00F51ED2"/>
    <w:rsid w:val="00F93F23"/>
    <w:rsid w:val="00FE14B9"/>
    <w:rsid w:val="00FE14E7"/>
    <w:rsid w:val="01CE78F9"/>
    <w:rsid w:val="01E274B5"/>
    <w:rsid w:val="0301396B"/>
    <w:rsid w:val="03283F09"/>
    <w:rsid w:val="03366612"/>
    <w:rsid w:val="04760B67"/>
    <w:rsid w:val="04A32010"/>
    <w:rsid w:val="059A2379"/>
    <w:rsid w:val="05E82BC0"/>
    <w:rsid w:val="05F73C3B"/>
    <w:rsid w:val="062310E7"/>
    <w:rsid w:val="0676641E"/>
    <w:rsid w:val="07F12200"/>
    <w:rsid w:val="080041F1"/>
    <w:rsid w:val="089D7C92"/>
    <w:rsid w:val="08B33959"/>
    <w:rsid w:val="08C16076"/>
    <w:rsid w:val="08D47156"/>
    <w:rsid w:val="08EF6D3E"/>
    <w:rsid w:val="09102B5A"/>
    <w:rsid w:val="099E43B8"/>
    <w:rsid w:val="09B55EFA"/>
    <w:rsid w:val="09F35DE8"/>
    <w:rsid w:val="0A886720"/>
    <w:rsid w:val="0AED62C2"/>
    <w:rsid w:val="0AF071E7"/>
    <w:rsid w:val="0B09447B"/>
    <w:rsid w:val="0B4642C7"/>
    <w:rsid w:val="0C724AC3"/>
    <w:rsid w:val="0CD12600"/>
    <w:rsid w:val="0D112137"/>
    <w:rsid w:val="0D483549"/>
    <w:rsid w:val="0E8D44A6"/>
    <w:rsid w:val="0EA4103E"/>
    <w:rsid w:val="0EC23C44"/>
    <w:rsid w:val="0F5F3EF3"/>
    <w:rsid w:val="10404042"/>
    <w:rsid w:val="106D2640"/>
    <w:rsid w:val="114A472F"/>
    <w:rsid w:val="11755C50"/>
    <w:rsid w:val="123E4294"/>
    <w:rsid w:val="12E76437"/>
    <w:rsid w:val="12F3209A"/>
    <w:rsid w:val="13DA18E4"/>
    <w:rsid w:val="14241929"/>
    <w:rsid w:val="14BA1BCC"/>
    <w:rsid w:val="15892CDA"/>
    <w:rsid w:val="169A7F07"/>
    <w:rsid w:val="16C62AAA"/>
    <w:rsid w:val="17111ECB"/>
    <w:rsid w:val="18AB7A0D"/>
    <w:rsid w:val="19265889"/>
    <w:rsid w:val="196F6347"/>
    <w:rsid w:val="199D01E2"/>
    <w:rsid w:val="1A031D66"/>
    <w:rsid w:val="1A042607"/>
    <w:rsid w:val="1B03607B"/>
    <w:rsid w:val="1BB1760E"/>
    <w:rsid w:val="1BD67410"/>
    <w:rsid w:val="1C465D3C"/>
    <w:rsid w:val="1C870E10"/>
    <w:rsid w:val="1CA36361"/>
    <w:rsid w:val="1D9C4564"/>
    <w:rsid w:val="1DF1286F"/>
    <w:rsid w:val="1DFB128B"/>
    <w:rsid w:val="1E220F0E"/>
    <w:rsid w:val="1E2A7DC2"/>
    <w:rsid w:val="1E2E4B01"/>
    <w:rsid w:val="1F2567A7"/>
    <w:rsid w:val="1FD0430C"/>
    <w:rsid w:val="21375B84"/>
    <w:rsid w:val="21711C44"/>
    <w:rsid w:val="21FF50C2"/>
    <w:rsid w:val="22266AF2"/>
    <w:rsid w:val="22356D36"/>
    <w:rsid w:val="22376657"/>
    <w:rsid w:val="227407CC"/>
    <w:rsid w:val="22BC15AD"/>
    <w:rsid w:val="22E35F4A"/>
    <w:rsid w:val="24523BCF"/>
    <w:rsid w:val="24A96A82"/>
    <w:rsid w:val="24F45153"/>
    <w:rsid w:val="251F0F68"/>
    <w:rsid w:val="25CB3C39"/>
    <w:rsid w:val="25F22B20"/>
    <w:rsid w:val="264F0ED6"/>
    <w:rsid w:val="26EF0897"/>
    <w:rsid w:val="27103A7F"/>
    <w:rsid w:val="27B51A11"/>
    <w:rsid w:val="27CE64E0"/>
    <w:rsid w:val="27E92A9C"/>
    <w:rsid w:val="28D62A44"/>
    <w:rsid w:val="29641C74"/>
    <w:rsid w:val="2A3A138D"/>
    <w:rsid w:val="2A4163FA"/>
    <w:rsid w:val="2A53244F"/>
    <w:rsid w:val="2A6C305F"/>
    <w:rsid w:val="2AA76C01"/>
    <w:rsid w:val="2AB6132A"/>
    <w:rsid w:val="2BC55F5B"/>
    <w:rsid w:val="2BCC4267"/>
    <w:rsid w:val="2CD07D87"/>
    <w:rsid w:val="2D462BD9"/>
    <w:rsid w:val="2DBA631F"/>
    <w:rsid w:val="2F4B20B0"/>
    <w:rsid w:val="2F6B0481"/>
    <w:rsid w:val="2FB7404C"/>
    <w:rsid w:val="30006BD5"/>
    <w:rsid w:val="304732AA"/>
    <w:rsid w:val="305730F2"/>
    <w:rsid w:val="3073564C"/>
    <w:rsid w:val="30E816F2"/>
    <w:rsid w:val="31DF736C"/>
    <w:rsid w:val="325A62DE"/>
    <w:rsid w:val="32F46856"/>
    <w:rsid w:val="33387149"/>
    <w:rsid w:val="340657FB"/>
    <w:rsid w:val="347E08FD"/>
    <w:rsid w:val="361A333C"/>
    <w:rsid w:val="36965B9D"/>
    <w:rsid w:val="37023232"/>
    <w:rsid w:val="371B2546"/>
    <w:rsid w:val="373E4B30"/>
    <w:rsid w:val="37E62B54"/>
    <w:rsid w:val="38367C2B"/>
    <w:rsid w:val="39461AFC"/>
    <w:rsid w:val="3A8A17F7"/>
    <w:rsid w:val="3AF90B84"/>
    <w:rsid w:val="3B15096F"/>
    <w:rsid w:val="3C3E4D0D"/>
    <w:rsid w:val="3C460564"/>
    <w:rsid w:val="3D5E35A9"/>
    <w:rsid w:val="3D8A4685"/>
    <w:rsid w:val="3DBD7EB3"/>
    <w:rsid w:val="3E174D03"/>
    <w:rsid w:val="3E416D36"/>
    <w:rsid w:val="3F1E4982"/>
    <w:rsid w:val="3FC842A0"/>
    <w:rsid w:val="40136264"/>
    <w:rsid w:val="407D34C8"/>
    <w:rsid w:val="407F6989"/>
    <w:rsid w:val="413C37E5"/>
    <w:rsid w:val="42E90DD6"/>
    <w:rsid w:val="42EB7271"/>
    <w:rsid w:val="42F56341"/>
    <w:rsid w:val="430F11B1"/>
    <w:rsid w:val="433E3844"/>
    <w:rsid w:val="439F77F0"/>
    <w:rsid w:val="44475071"/>
    <w:rsid w:val="44625EBC"/>
    <w:rsid w:val="45106C70"/>
    <w:rsid w:val="457629EC"/>
    <w:rsid w:val="45962958"/>
    <w:rsid w:val="45BE4E0F"/>
    <w:rsid w:val="46222FA9"/>
    <w:rsid w:val="47A90ACE"/>
    <w:rsid w:val="47E5540C"/>
    <w:rsid w:val="493B66A1"/>
    <w:rsid w:val="49777AB0"/>
    <w:rsid w:val="4B0350F8"/>
    <w:rsid w:val="4B275ACF"/>
    <w:rsid w:val="4B796544"/>
    <w:rsid w:val="4BC64910"/>
    <w:rsid w:val="4BD30A99"/>
    <w:rsid w:val="4BEC52E2"/>
    <w:rsid w:val="4C3820C1"/>
    <w:rsid w:val="4C7B78B7"/>
    <w:rsid w:val="4CDE2F04"/>
    <w:rsid w:val="4D292E6F"/>
    <w:rsid w:val="4D305820"/>
    <w:rsid w:val="4D71406E"/>
    <w:rsid w:val="4D9D1B7A"/>
    <w:rsid w:val="4DB96892"/>
    <w:rsid w:val="4DE211D3"/>
    <w:rsid w:val="4DFF7DAC"/>
    <w:rsid w:val="4E0538DC"/>
    <w:rsid w:val="4EC57132"/>
    <w:rsid w:val="4EEA2AD2"/>
    <w:rsid w:val="4F495A4B"/>
    <w:rsid w:val="4FB1029F"/>
    <w:rsid w:val="4FF77255"/>
    <w:rsid w:val="4FFF5C56"/>
    <w:rsid w:val="50212524"/>
    <w:rsid w:val="50E83041"/>
    <w:rsid w:val="51A76C82"/>
    <w:rsid w:val="51B22A95"/>
    <w:rsid w:val="52387E70"/>
    <w:rsid w:val="52410C5B"/>
    <w:rsid w:val="525D23D9"/>
    <w:rsid w:val="53135A5B"/>
    <w:rsid w:val="54FC6C56"/>
    <w:rsid w:val="550F6EF0"/>
    <w:rsid w:val="551511A1"/>
    <w:rsid w:val="567C073D"/>
    <w:rsid w:val="56815E24"/>
    <w:rsid w:val="56A06168"/>
    <w:rsid w:val="56F10308"/>
    <w:rsid w:val="570475AF"/>
    <w:rsid w:val="582A166F"/>
    <w:rsid w:val="58337298"/>
    <w:rsid w:val="587A01C4"/>
    <w:rsid w:val="58A837E2"/>
    <w:rsid w:val="58B7255A"/>
    <w:rsid w:val="59043965"/>
    <w:rsid w:val="597636F5"/>
    <w:rsid w:val="59E720E8"/>
    <w:rsid w:val="59F70283"/>
    <w:rsid w:val="5A690D4F"/>
    <w:rsid w:val="5A733A5E"/>
    <w:rsid w:val="5AD53FA0"/>
    <w:rsid w:val="5BB26726"/>
    <w:rsid w:val="5C2924B2"/>
    <w:rsid w:val="5D82090B"/>
    <w:rsid w:val="5E310B53"/>
    <w:rsid w:val="5EDB17A8"/>
    <w:rsid w:val="5F776A62"/>
    <w:rsid w:val="6072562D"/>
    <w:rsid w:val="60781824"/>
    <w:rsid w:val="622757DD"/>
    <w:rsid w:val="62347E94"/>
    <w:rsid w:val="62740BD9"/>
    <w:rsid w:val="62D46C6F"/>
    <w:rsid w:val="62DC55C0"/>
    <w:rsid w:val="62E47B0C"/>
    <w:rsid w:val="62EC4DB6"/>
    <w:rsid w:val="62F35FA1"/>
    <w:rsid w:val="62F66A1D"/>
    <w:rsid w:val="62F94A10"/>
    <w:rsid w:val="63035818"/>
    <w:rsid w:val="63860BC4"/>
    <w:rsid w:val="63FF7D39"/>
    <w:rsid w:val="646F31ED"/>
    <w:rsid w:val="647629E6"/>
    <w:rsid w:val="64BF68A4"/>
    <w:rsid w:val="64CD637E"/>
    <w:rsid w:val="65A57A84"/>
    <w:rsid w:val="65CB42D3"/>
    <w:rsid w:val="662D12BF"/>
    <w:rsid w:val="672C7A00"/>
    <w:rsid w:val="679A4C3E"/>
    <w:rsid w:val="67C9107F"/>
    <w:rsid w:val="684611AD"/>
    <w:rsid w:val="68D832D0"/>
    <w:rsid w:val="69101470"/>
    <w:rsid w:val="692C4C0E"/>
    <w:rsid w:val="6A457569"/>
    <w:rsid w:val="6A5C4328"/>
    <w:rsid w:val="6AD71D05"/>
    <w:rsid w:val="6D0B213A"/>
    <w:rsid w:val="6D903F6C"/>
    <w:rsid w:val="6E166FE8"/>
    <w:rsid w:val="6E430ED5"/>
    <w:rsid w:val="6E9A19C7"/>
    <w:rsid w:val="6EC64674"/>
    <w:rsid w:val="6F8C5C2B"/>
    <w:rsid w:val="6F9044C3"/>
    <w:rsid w:val="70171704"/>
    <w:rsid w:val="70690033"/>
    <w:rsid w:val="71FF054C"/>
    <w:rsid w:val="7214588A"/>
    <w:rsid w:val="729F135A"/>
    <w:rsid w:val="75147228"/>
    <w:rsid w:val="754B6F4F"/>
    <w:rsid w:val="756D208F"/>
    <w:rsid w:val="7671125F"/>
    <w:rsid w:val="768A2321"/>
    <w:rsid w:val="77013B80"/>
    <w:rsid w:val="77764653"/>
    <w:rsid w:val="77BB78B4"/>
    <w:rsid w:val="78177BE5"/>
    <w:rsid w:val="78911745"/>
    <w:rsid w:val="78E3478B"/>
    <w:rsid w:val="78EB6AF6"/>
    <w:rsid w:val="79160747"/>
    <w:rsid w:val="79971C87"/>
    <w:rsid w:val="7A761BE6"/>
    <w:rsid w:val="7A867391"/>
    <w:rsid w:val="7AF502DB"/>
    <w:rsid w:val="7B0C77A9"/>
    <w:rsid w:val="7C6F4ABE"/>
    <w:rsid w:val="7C9A13EB"/>
    <w:rsid w:val="7D4C20DE"/>
    <w:rsid w:val="7D7F0C4E"/>
    <w:rsid w:val="7D904644"/>
    <w:rsid w:val="7D9D1940"/>
    <w:rsid w:val="7DA05E9C"/>
    <w:rsid w:val="7E8E4A25"/>
    <w:rsid w:val="7EA80716"/>
    <w:rsid w:val="7EC47386"/>
    <w:rsid w:val="7F0563C5"/>
    <w:rsid w:val="7F196B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9"/>
    <w:pPr>
      <w:keepNext/>
      <w:keepLines/>
      <w:spacing w:before="100" w:after="300"/>
      <w:jc w:val="center"/>
      <w:outlineLvl w:val="0"/>
    </w:pPr>
    <w:rPr>
      <w:rFonts w:eastAsia="仿宋_GB2312"/>
      <w:b/>
      <w:bCs/>
      <w:kern w:val="44"/>
      <w:sz w:val="36"/>
      <w:szCs w:val="44"/>
    </w:rPr>
  </w:style>
  <w:style w:type="paragraph" w:styleId="3">
    <w:name w:val="heading 2"/>
    <w:basedOn w:val="1"/>
    <w:next w:val="1"/>
    <w:unhideWhenUsed/>
    <w:qFormat/>
    <w:uiPriority w:val="0"/>
    <w:pPr>
      <w:keepNext/>
      <w:keepLines/>
      <w:spacing w:before="100" w:beforeLines="0" w:after="40" w:afterLines="0"/>
      <w:jc w:val="left"/>
      <w:outlineLvl w:val="1"/>
    </w:pPr>
    <w:rPr>
      <w:rFonts w:ascii="Arial" w:hAnsi="Arial" w:eastAsia="仿宋_GB2312"/>
      <w:b/>
      <w:sz w:val="32"/>
    </w:rPr>
  </w:style>
  <w:style w:type="paragraph" w:styleId="4">
    <w:name w:val="heading 3"/>
    <w:basedOn w:val="1"/>
    <w:next w:val="1"/>
    <w:unhideWhenUsed/>
    <w:qFormat/>
    <w:uiPriority w:val="0"/>
    <w:pPr>
      <w:keepNext/>
      <w:keepLines/>
      <w:spacing w:before="40" w:beforeLines="0" w:after="100" w:afterLines="0" w:line="413" w:lineRule="auto"/>
      <w:outlineLvl w:val="2"/>
    </w:pPr>
    <w:rPr>
      <w:rFonts w:eastAsia="仿宋_GB2312"/>
      <w:b/>
      <w:sz w:val="28"/>
    </w:rPr>
  </w:style>
  <w:style w:type="character" w:default="1" w:styleId="16">
    <w:name w:val="Default Paragraph Font"/>
    <w:semiHidden/>
    <w:qFormat/>
    <w:uiPriority w:val="0"/>
    <w:rPr>
      <w:rFonts w:ascii="Verdana" w:hAnsi="Verdana" w:eastAsia="仿宋_GB2312"/>
      <w:kern w:val="0"/>
      <w:sz w:val="24"/>
      <w:szCs w:val="20"/>
      <w:lang w:eastAsia="en-US"/>
    </w:rPr>
  </w:style>
  <w:style w:type="table" w:default="1" w:styleId="15">
    <w:name w:val="Normal Table"/>
    <w:semiHidden/>
    <w:qFormat/>
    <w:uiPriority w:val="0"/>
    <w:tblPr>
      <w:tblLayout w:type="fixed"/>
      <w:tblCellMar>
        <w:top w:w="0" w:type="dxa"/>
        <w:left w:w="108" w:type="dxa"/>
        <w:bottom w:w="0" w:type="dxa"/>
        <w:right w:w="108" w:type="dxa"/>
      </w:tblCellMar>
    </w:tblPr>
  </w:style>
  <w:style w:type="paragraph" w:styleId="5">
    <w:name w:val="toc 3"/>
    <w:basedOn w:val="1"/>
    <w:next w:val="1"/>
    <w:qFormat/>
    <w:uiPriority w:val="39"/>
    <w:pPr>
      <w:ind w:left="420"/>
      <w:jc w:val="left"/>
    </w:pPr>
    <w:rPr>
      <w:rFonts w:ascii="Calibri" w:hAnsi="Calibri" w:cs="Calibri"/>
      <w:sz w:val="20"/>
      <w:szCs w:val="20"/>
    </w:rPr>
  </w:style>
  <w:style w:type="paragraph" w:styleId="6">
    <w:name w:val="Date"/>
    <w:basedOn w:val="1"/>
    <w:next w:val="1"/>
    <w:qFormat/>
    <w:uiPriority w:val="0"/>
    <w:pPr>
      <w:ind w:left="100" w:leftChars="2500"/>
    </w:pPr>
  </w:style>
  <w:style w:type="paragraph" w:styleId="7">
    <w:name w:val="Balloon Text"/>
    <w:basedOn w:val="1"/>
    <w:semiHidden/>
    <w:qFormat/>
    <w:uiPriority w:val="0"/>
    <w:rPr>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qFormat/>
    <w:uiPriority w:val="39"/>
    <w:pPr>
      <w:tabs>
        <w:tab w:val="right" w:leader="dot" w:pos="8296"/>
      </w:tabs>
      <w:spacing w:line="360" w:lineRule="auto"/>
      <w:jc w:val="left"/>
    </w:pPr>
    <w:rPr>
      <w:rFonts w:ascii="仿宋_GB2312" w:hAnsi="宋体" w:eastAsia="仿宋_GB2312" w:cs="宋体"/>
      <w:b/>
      <w:bCs/>
      <w:caps/>
      <w:sz w:val="28"/>
      <w:szCs w:val="28"/>
    </w:rPr>
  </w:style>
  <w:style w:type="paragraph" w:styleId="11">
    <w:name w:val="toc 2"/>
    <w:basedOn w:val="1"/>
    <w:next w:val="1"/>
    <w:qFormat/>
    <w:uiPriority w:val="39"/>
    <w:pPr>
      <w:spacing w:before="120" w:after="120"/>
      <w:ind w:left="210"/>
      <w:jc w:val="left"/>
    </w:pPr>
    <w:rPr>
      <w:rFonts w:ascii="Calibri" w:hAnsi="Calibri" w:cs="Calibri"/>
      <w:smallCaps/>
      <w:sz w:val="24"/>
    </w:rPr>
  </w:style>
  <w:style w:type="paragraph" w:styleId="12">
    <w:name w:val="Body Text 2"/>
    <w:basedOn w:val="1"/>
    <w:link w:val="21"/>
    <w:qFormat/>
    <w:uiPriority w:val="0"/>
    <w:rPr>
      <w:rFonts w:ascii="黑体" w:eastAsia="黑体"/>
      <w:sz w:val="44"/>
      <w:szCs w:val="20"/>
    </w:rPr>
  </w:style>
  <w:style w:type="paragraph" w:styleId="13">
    <w:name w:val="HTML Preformatted"/>
    <w:basedOn w:val="1"/>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4">
    <w:name w:val="Normal (Web)"/>
    <w:basedOn w:val="1"/>
    <w:uiPriority w:val="0"/>
    <w:pPr>
      <w:widowControl/>
      <w:spacing w:before="100" w:beforeAutospacing="1" w:after="100" w:afterAutospacing="1"/>
      <w:jc w:val="left"/>
    </w:pPr>
    <w:rPr>
      <w:rFonts w:ascii="宋体" w:hAnsi="宋体" w:cs="宋体"/>
      <w:kern w:val="0"/>
      <w:sz w:val="24"/>
    </w:rPr>
  </w:style>
  <w:style w:type="character" w:styleId="17">
    <w:name w:val="page number"/>
    <w:basedOn w:val="16"/>
    <w:qFormat/>
    <w:uiPriority w:val="0"/>
    <w:rPr>
      <w:rFonts w:ascii="Verdana" w:hAnsi="Verdana" w:eastAsia="仿宋_GB2312"/>
      <w:kern w:val="0"/>
      <w:sz w:val="24"/>
      <w:szCs w:val="20"/>
      <w:lang w:eastAsia="en-US"/>
    </w:rPr>
  </w:style>
  <w:style w:type="character" w:styleId="18">
    <w:name w:val="FollowedHyperlink"/>
    <w:uiPriority w:val="0"/>
    <w:rPr>
      <w:rFonts w:ascii="Verdana" w:hAnsi="Verdana" w:eastAsia="仿宋_GB2312"/>
      <w:color w:val="333333"/>
      <w:kern w:val="0"/>
      <w:sz w:val="24"/>
      <w:szCs w:val="20"/>
      <w:u w:val="none"/>
      <w:lang w:eastAsia="en-US"/>
    </w:rPr>
  </w:style>
  <w:style w:type="character" w:styleId="19">
    <w:name w:val="Emphasis"/>
    <w:qFormat/>
    <w:uiPriority w:val="0"/>
    <w:rPr>
      <w:rFonts w:ascii="Verdana" w:hAnsi="Verdana" w:eastAsia="仿宋_GB2312"/>
      <w:kern w:val="0"/>
      <w:sz w:val="24"/>
      <w:szCs w:val="20"/>
      <w:lang w:eastAsia="en-US"/>
    </w:rPr>
  </w:style>
  <w:style w:type="character" w:styleId="20">
    <w:name w:val="Hyperlink"/>
    <w:qFormat/>
    <w:uiPriority w:val="0"/>
    <w:rPr>
      <w:rFonts w:ascii="Verdana" w:hAnsi="Verdana" w:eastAsia="仿宋_GB2312"/>
      <w:color w:val="333333"/>
      <w:kern w:val="0"/>
      <w:sz w:val="24"/>
      <w:szCs w:val="20"/>
      <w:u w:val="none"/>
      <w:lang w:eastAsia="en-US"/>
    </w:rPr>
  </w:style>
  <w:style w:type="character" w:customStyle="1" w:styleId="21">
    <w:name w:val="正文文本 2 字符"/>
    <w:link w:val="12"/>
    <w:uiPriority w:val="0"/>
    <w:rPr>
      <w:rFonts w:ascii="黑体" w:eastAsia="黑体"/>
      <w:sz w:val="44"/>
      <w:szCs w:val="20"/>
    </w:rPr>
  </w:style>
  <w:style w:type="character" w:customStyle="1" w:styleId="22">
    <w:name w:val="font51"/>
    <w:qFormat/>
    <w:uiPriority w:val="99"/>
    <w:rPr>
      <w:rFonts w:ascii="宋体" w:hAnsi="宋体" w:eastAsia="宋体" w:cs="宋体"/>
      <w:color w:val="333333"/>
      <w:sz w:val="26"/>
      <w:szCs w:val="26"/>
      <w:u w:val="none"/>
    </w:rPr>
  </w:style>
  <w:style w:type="character" w:customStyle="1" w:styleId="23">
    <w:name w:val="font01"/>
    <w:qFormat/>
    <w:uiPriority w:val="99"/>
    <w:rPr>
      <w:rFonts w:ascii="宋体" w:hAnsi="宋体" w:eastAsia="宋体" w:cs="宋体"/>
      <w:color w:val="000000"/>
      <w:sz w:val="24"/>
      <w:szCs w:val="24"/>
      <w:u w:val="none"/>
    </w:rPr>
  </w:style>
  <w:style w:type="character" w:customStyle="1" w:styleId="24">
    <w:name w:val="font61"/>
    <w:qFormat/>
    <w:uiPriority w:val="99"/>
    <w:rPr>
      <w:rFonts w:ascii="宋体" w:hAnsi="宋体" w:eastAsia="宋体" w:cs="宋体"/>
      <w:color w:val="333333"/>
      <w:sz w:val="26"/>
      <w:szCs w:val="26"/>
      <w:u w:val="none"/>
    </w:rPr>
  </w:style>
  <w:style w:type="character" w:customStyle="1" w:styleId="25">
    <w:name w:val="font31"/>
    <w:qFormat/>
    <w:uiPriority w:val="99"/>
    <w:rPr>
      <w:rFonts w:ascii="Arial" w:hAnsi="Arial" w:cs="Arial"/>
      <w:color w:val="333333"/>
      <w:sz w:val="26"/>
      <w:szCs w:val="26"/>
      <w:u w:val="none"/>
    </w:rPr>
  </w:style>
  <w:style w:type="character" w:customStyle="1" w:styleId="26">
    <w:name w:val="font41"/>
    <w:qFormat/>
    <w:uiPriority w:val="99"/>
    <w:rPr>
      <w:rFonts w:ascii="Arial" w:hAnsi="Arial" w:cs="Arial"/>
      <w:color w:val="333333"/>
      <w:sz w:val="26"/>
      <w:szCs w:val="26"/>
      <w:u w:val="none"/>
    </w:rPr>
  </w:style>
  <w:style w:type="character" w:customStyle="1" w:styleId="27">
    <w:name w:val="red14"/>
    <w:qFormat/>
    <w:uiPriority w:val="0"/>
    <w:rPr>
      <w:rFonts w:ascii="Verdana" w:hAnsi="Verdana" w:eastAsia="仿宋_GB2312"/>
      <w:kern w:val="0"/>
      <w:sz w:val="18"/>
      <w:szCs w:val="18"/>
      <w:lang w:eastAsia="en-US"/>
    </w:rPr>
  </w:style>
  <w:style w:type="character" w:customStyle="1" w:styleId="28">
    <w:name w:val="font21"/>
    <w:basedOn w:val="16"/>
    <w:qFormat/>
    <w:uiPriority w:val="0"/>
    <w:rPr>
      <w:rFonts w:ascii="宋体" w:hAnsi="宋体" w:eastAsia="宋体" w:cs="宋体"/>
      <w:color w:val="000000"/>
      <w:kern w:val="0"/>
      <w:sz w:val="18"/>
      <w:szCs w:val="18"/>
      <w:u w:val="none"/>
      <w:lang w:eastAsia="en-US"/>
    </w:rPr>
  </w:style>
  <w:style w:type="paragraph" w:styleId="29">
    <w:name w:val="List Paragraph"/>
    <w:basedOn w:val="1"/>
    <w:qFormat/>
    <w:uiPriority w:val="99"/>
    <w:pPr>
      <w:ind w:firstLine="420" w:firstLineChars="200"/>
    </w:pPr>
  </w:style>
  <w:style w:type="paragraph" w:customStyle="1" w:styleId="30">
    <w:name w:val="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emf"/><Relationship Id="rId17" Type="http://schemas.openxmlformats.org/officeDocument/2006/relationships/image" Target="media/image6.emf"/><Relationship Id="rId16" Type="http://schemas.openxmlformats.org/officeDocument/2006/relationships/image" Target="media/image5.emf"/><Relationship Id="rId15" Type="http://schemas.openxmlformats.org/officeDocument/2006/relationships/image" Target="media/image4.png"/><Relationship Id="rId14" Type="http://schemas.openxmlformats.org/officeDocument/2006/relationships/image" Target="media/image3.emf"/><Relationship Id="rId13" Type="http://schemas.openxmlformats.org/officeDocument/2006/relationships/image" Target="media/image2.png"/><Relationship Id="rId12" Type="http://schemas.openxmlformats.org/officeDocument/2006/relationships/image" Target="media/image1.emf"/><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28</Pages>
  <Words>9973</Words>
  <Characters>10308</Characters>
  <Lines>1492</Lines>
  <Paragraphs>752</Paragraphs>
  <TotalTime>38</TotalTime>
  <ScaleCrop>false</ScaleCrop>
  <LinksUpToDate>false</LinksUpToDate>
  <CharactersWithSpaces>10412</CharactersWithSpaces>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2026-08-12T12:57:00Z</dcterms:created>
  <dc:creator>猪猪猫.CN</dc:creator>
  <cp:lastModifiedBy>Administrator</cp:lastModifiedBy>
  <cp:lastPrinted>2026-08-31T08:58:23Z</cp:lastPrinted>
  <dcterms:modified xsi:type="dcterms:W3CDTF">2026-08-31T09:01:14Z</dcterms:modified>
  <dc:title>关于加强病危桥安全防范的通知</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y fmtid="{D5CDD505-2E9C-101B-9397-08002B2CF9AE}" pid="3" name="ICV">
    <vt:lpwstr>2D016A6B676D46E2AD3F01E7E69554E1_13</vt:lpwstr>
  </property>
  <property fmtid="{D5CDD505-2E9C-101B-9397-08002B2CF9AE}" pid="4" name="KSOTemplateDocerSaveRecord">
    <vt:lpwstr>eyJoZGlkIjoiZmFkMTI1YTQyNDMyMThlNTg4Mzk4NmE0NTBlMGE2ZWQiLCJ1c2VySWQiOiIzMDkzMTQ3MTMifQ==</vt:lpwstr>
  </property>
</Properties>
</file>