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2DCCC">
      <w:pPr>
        <w:jc w:val="center"/>
        <w:rPr>
          <w:rFonts w:ascii="仿宋_GB2312" w:hAnsi="黑体" w:eastAsia="仿宋_GB2312" w:cs="Times New Roman"/>
          <w:sz w:val="40"/>
        </w:rPr>
      </w:pPr>
      <w:r>
        <w:rPr>
          <w:rFonts w:hint="eastAsia" w:ascii="仿宋_GB2312" w:hAnsi="黑体" w:eastAsia="仿宋_GB2312" w:cs="Times New Roman"/>
          <w:sz w:val="40"/>
        </w:rPr>
        <w:t>《连南瑶族自治县中心城区控制性详细规划》局部调整（2026年</w:t>
      </w:r>
      <w:r>
        <w:rPr>
          <w:rFonts w:hint="eastAsia" w:ascii="仿宋_GB2312" w:hAnsi="黑体" w:eastAsia="仿宋_GB2312" w:cs="Times New Roman"/>
          <w:sz w:val="40"/>
          <w:lang w:val="en-US" w:eastAsia="zh-CN"/>
        </w:rPr>
        <w:t>第二批次</w:t>
      </w:r>
      <w:bookmarkStart w:id="2" w:name="_GoBack"/>
      <w:bookmarkEnd w:id="2"/>
      <w:r>
        <w:rPr>
          <w:rFonts w:hint="eastAsia" w:ascii="仿宋_GB2312" w:hAnsi="黑体" w:eastAsia="仿宋_GB2312" w:cs="Times New Roman"/>
          <w:sz w:val="40"/>
        </w:rPr>
        <w:t>）草案</w:t>
      </w:r>
    </w:p>
    <w:p w14:paraId="1368D275">
      <w:pPr>
        <w:jc w:val="center"/>
        <w:rPr>
          <w:rFonts w:ascii="仿宋_GB2312" w:hAnsi="黑体" w:eastAsia="仿宋_GB2312" w:cs="Times New Roman"/>
          <w:sz w:val="40"/>
        </w:rPr>
      </w:pPr>
    </w:p>
    <w:p w14:paraId="069D7CB2">
      <w:pPr>
        <w:outlineLvl w:val="0"/>
        <w:rPr>
          <w:rFonts w:ascii="仿宋_GB2312" w:hAnsi="黑体" w:eastAsia="仿宋_GB2312" w:cs="Times New Roman"/>
          <w:b/>
          <w:sz w:val="32"/>
        </w:rPr>
      </w:pPr>
      <w:r>
        <w:rPr>
          <w:rFonts w:hint="eastAsia" w:ascii="仿宋_GB2312" w:hAnsi="黑体" w:eastAsia="仿宋_GB2312" w:cs="Times New Roman"/>
          <w:b/>
          <w:sz w:val="32"/>
        </w:rPr>
        <w:t>一、调整范围</w:t>
      </w:r>
    </w:p>
    <w:p w14:paraId="56400FD9">
      <w:pPr>
        <w:ind w:firstLine="640" w:firstLineChars="200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对《连南瑶族自治县中心城区控制性详细规划》（以下简称“原控规”）部分地块进行用地性质及用地边界的调整。调整涉及地块面积约</w:t>
      </w:r>
      <w:r>
        <w:rPr>
          <w:rFonts w:ascii="仿宋_GB2312" w:hAnsi="等线" w:eastAsia="仿宋_GB2312" w:cs="Times New Roman"/>
          <w:sz w:val="32"/>
          <w:szCs w:val="28"/>
        </w:rPr>
        <w:t>4.21</w:t>
      </w:r>
      <w:r>
        <w:rPr>
          <w:rFonts w:hint="eastAsia" w:ascii="仿宋_GB2312" w:hAnsi="等线" w:eastAsia="仿宋_GB2312" w:cs="Times New Roman"/>
          <w:sz w:val="32"/>
          <w:szCs w:val="28"/>
        </w:rPr>
        <w:t>公顷，涉及LN-A、</w:t>
      </w:r>
      <w:r>
        <w:rPr>
          <w:rFonts w:ascii="仿宋_GB2312" w:hAnsi="等线" w:eastAsia="仿宋_GB2312" w:cs="Times New Roman"/>
          <w:sz w:val="32"/>
          <w:szCs w:val="28"/>
        </w:rPr>
        <w:t>LN-B</w:t>
      </w:r>
      <w:r>
        <w:rPr>
          <w:rFonts w:hint="eastAsia" w:ascii="仿宋_GB2312" w:hAnsi="等线" w:eastAsia="仿宋_GB2312" w:cs="Times New Roman"/>
          <w:sz w:val="32"/>
          <w:szCs w:val="28"/>
        </w:rPr>
        <w:t>单元，分别为LN-A-066、LN-A-068、LN-B-0</w:t>
      </w:r>
      <w:r>
        <w:rPr>
          <w:rFonts w:ascii="仿宋_GB2312" w:hAnsi="等线" w:eastAsia="仿宋_GB2312" w:cs="Times New Roman"/>
          <w:sz w:val="32"/>
          <w:szCs w:val="28"/>
        </w:rPr>
        <w:t>95、LN-B-096</w:t>
      </w:r>
      <w:r>
        <w:rPr>
          <w:rFonts w:hint="eastAsia" w:ascii="仿宋_GB2312" w:hAnsi="等线" w:eastAsia="仿宋_GB2312" w:cs="Times New Roman"/>
          <w:sz w:val="32"/>
          <w:szCs w:val="28"/>
        </w:rPr>
        <w:t>地块。</w:t>
      </w:r>
    </w:p>
    <w:p w14:paraId="36980336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drawing>
          <wp:inline distT="0" distB="0" distL="0" distR="0">
            <wp:extent cx="5006340" cy="5379085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3593" cy="5397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ABE447">
      <w:pPr>
        <w:rPr>
          <w:rFonts w:ascii="仿宋_GB2312" w:hAnsi="等线" w:eastAsia="仿宋_GB2312" w:cs="Times New Roman"/>
          <w:b/>
          <w:sz w:val="32"/>
          <w:szCs w:val="28"/>
        </w:rPr>
      </w:pPr>
      <w:r>
        <w:rPr>
          <w:rFonts w:hint="eastAsia" w:ascii="仿宋_GB2312" w:hAnsi="等线" w:eastAsia="仿宋_GB2312" w:cs="Times New Roman"/>
          <w:b/>
          <w:sz w:val="32"/>
          <w:szCs w:val="28"/>
        </w:rPr>
        <w:t>二、调整内容</w:t>
      </w:r>
    </w:p>
    <w:p w14:paraId="2CEE9E39">
      <w:pPr>
        <w:ind w:firstLine="640" w:firstLineChars="200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（1）落实项目建设需求，调整用地性质及优化地块边界。调整LN-A-068地块用地性质和用地面积，将原控规20891.8</w:t>
      </w:r>
      <w:r>
        <w:rPr>
          <w:rFonts w:ascii="仿宋_GB2312" w:hAnsi="等线" w:eastAsia="仿宋_GB2312" w:cs="Times New Roman"/>
          <w:sz w:val="32"/>
          <w:szCs w:val="28"/>
        </w:rPr>
        <w:t>8</w:t>
      </w:r>
      <w:r>
        <w:rPr>
          <w:rFonts w:hint="eastAsia" w:ascii="仿宋_GB2312" w:hAnsi="等线" w:eastAsia="仿宋_GB2312" w:cs="Times New Roman"/>
          <w:sz w:val="32"/>
          <w:szCs w:val="28"/>
        </w:rPr>
        <w:t>㎡</w:t>
      </w:r>
      <w:r>
        <w:rPr>
          <w:rFonts w:ascii="仿宋_GB2312" w:hAnsi="等线" w:eastAsia="仿宋_GB2312" w:cs="Times New Roman"/>
          <w:sz w:val="32"/>
          <w:szCs w:val="28"/>
        </w:rPr>
        <w:t>二类城镇住宅用地(兼容商业用地</w:t>
      </w:r>
      <w:r>
        <w:rPr>
          <w:rFonts w:hint="eastAsia" w:ascii="仿宋_GB2312" w:hAnsi="等线" w:eastAsia="仿宋_GB2312" w:cs="Times New Roman"/>
          <w:sz w:val="32"/>
          <w:szCs w:val="28"/>
        </w:rPr>
        <w:t>)</w:t>
      </w:r>
      <w:r>
        <w:rPr>
          <w:rFonts w:ascii="仿宋_GB2312" w:hAnsi="等线" w:eastAsia="仿宋_GB2312" w:cs="Times New Roman"/>
          <w:sz w:val="32"/>
          <w:szCs w:val="28"/>
        </w:rPr>
        <w:t>调整为</w:t>
      </w:r>
      <w:r>
        <w:rPr>
          <w:rFonts w:hint="eastAsia" w:ascii="仿宋_GB2312" w:hAnsi="等线" w:eastAsia="仿宋_GB2312" w:cs="Times New Roman"/>
          <w:sz w:val="32"/>
          <w:szCs w:val="28"/>
        </w:rPr>
        <w:t>高等</w:t>
      </w:r>
      <w:r>
        <w:rPr>
          <w:rFonts w:ascii="仿宋_GB2312" w:hAnsi="等线" w:eastAsia="仿宋_GB2312" w:cs="Times New Roman"/>
          <w:sz w:val="32"/>
          <w:szCs w:val="28"/>
        </w:rPr>
        <w:t>教育用地，</w:t>
      </w:r>
      <w:r>
        <w:rPr>
          <w:rFonts w:hint="eastAsia" w:ascii="仿宋_GB2312" w:hAnsi="等线" w:eastAsia="仿宋_GB2312" w:cs="Times New Roman"/>
          <w:sz w:val="32"/>
          <w:szCs w:val="28"/>
        </w:rPr>
        <w:t>容积率≤2.5、建筑密度≤3</w:t>
      </w:r>
      <w:r>
        <w:rPr>
          <w:rFonts w:ascii="仿宋_GB2312" w:hAnsi="等线" w:eastAsia="仿宋_GB2312" w:cs="Times New Roman"/>
          <w:sz w:val="32"/>
          <w:szCs w:val="28"/>
        </w:rPr>
        <w:t>5%、绿地率≥30%、建筑限高</w:t>
      </w:r>
      <w:r>
        <w:rPr>
          <w:rFonts w:hint="eastAsia" w:ascii="仿宋_GB2312" w:hAnsi="等线" w:eastAsia="仿宋_GB2312" w:cs="Times New Roman"/>
          <w:sz w:val="32"/>
          <w:szCs w:val="28"/>
        </w:rPr>
        <w:t>3</w:t>
      </w:r>
      <w:r>
        <w:rPr>
          <w:rFonts w:ascii="仿宋_GB2312" w:hAnsi="等线" w:eastAsia="仿宋_GB2312" w:cs="Times New Roman"/>
          <w:sz w:val="32"/>
          <w:szCs w:val="28"/>
        </w:rPr>
        <w:t>6米；</w:t>
      </w:r>
    </w:p>
    <w:p w14:paraId="44C851B1">
      <w:pPr>
        <w:ind w:firstLine="640" w:firstLineChars="200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（2）增加LN-A-068</w:t>
      </w:r>
      <w:r>
        <w:rPr>
          <w:rFonts w:ascii="仿宋_GB2312" w:hAnsi="等线" w:eastAsia="仿宋_GB2312" w:cs="Times New Roman"/>
          <w:sz w:val="32"/>
          <w:szCs w:val="28"/>
        </w:rPr>
        <w:t>-01</w:t>
      </w:r>
      <w:r>
        <w:rPr>
          <w:rFonts w:hint="eastAsia" w:ascii="仿宋_GB2312" w:hAnsi="等线" w:eastAsia="仿宋_GB2312" w:cs="Times New Roman"/>
          <w:sz w:val="32"/>
          <w:szCs w:val="28"/>
        </w:rPr>
        <w:t>地块编码，根据现状土地使用性质规划为商业用地，用地面积</w:t>
      </w:r>
      <w:r>
        <w:rPr>
          <w:rFonts w:ascii="仿宋_GB2312" w:hAnsi="等线" w:eastAsia="仿宋_GB2312" w:cs="Times New Roman"/>
          <w:sz w:val="32"/>
          <w:szCs w:val="28"/>
        </w:rPr>
        <w:t>1728.55</w:t>
      </w:r>
      <w:r>
        <w:rPr>
          <w:rFonts w:hint="eastAsia" w:ascii="仿宋_GB2312" w:hAnsi="等线" w:eastAsia="仿宋_GB2312" w:cs="Times New Roman"/>
          <w:sz w:val="32"/>
          <w:szCs w:val="28"/>
        </w:rPr>
        <w:t>㎡，容积率≤2.</w:t>
      </w:r>
      <w:r>
        <w:rPr>
          <w:rFonts w:ascii="仿宋_GB2312" w:hAnsi="等线" w:eastAsia="仿宋_GB2312" w:cs="Times New Roman"/>
          <w:sz w:val="32"/>
          <w:szCs w:val="28"/>
        </w:rPr>
        <w:t>0</w:t>
      </w:r>
      <w:r>
        <w:rPr>
          <w:rFonts w:hint="eastAsia" w:ascii="仿宋_GB2312" w:hAnsi="等线" w:eastAsia="仿宋_GB2312" w:cs="Times New Roman"/>
          <w:sz w:val="32"/>
          <w:szCs w:val="28"/>
        </w:rPr>
        <w:t>、建筑密度≤</w:t>
      </w:r>
      <w:r>
        <w:rPr>
          <w:rFonts w:ascii="仿宋_GB2312" w:hAnsi="等线" w:eastAsia="仿宋_GB2312" w:cs="Times New Roman"/>
          <w:sz w:val="32"/>
          <w:szCs w:val="28"/>
        </w:rPr>
        <w:t>50</w:t>
      </w:r>
      <w:r>
        <w:rPr>
          <w:rFonts w:hint="eastAsia" w:ascii="仿宋_GB2312" w:hAnsi="等线" w:eastAsia="仿宋_GB2312" w:cs="Times New Roman"/>
          <w:sz w:val="32"/>
          <w:szCs w:val="28"/>
        </w:rPr>
        <w:t>%、绿地率≥</w:t>
      </w:r>
      <w:r>
        <w:rPr>
          <w:rFonts w:ascii="仿宋_GB2312" w:hAnsi="等线" w:eastAsia="仿宋_GB2312" w:cs="Times New Roman"/>
          <w:sz w:val="32"/>
          <w:szCs w:val="28"/>
        </w:rPr>
        <w:t>15</w:t>
      </w:r>
      <w:r>
        <w:rPr>
          <w:rFonts w:hint="eastAsia" w:ascii="仿宋_GB2312" w:hAnsi="等线" w:eastAsia="仿宋_GB2312" w:cs="Times New Roman"/>
          <w:sz w:val="32"/>
          <w:szCs w:val="28"/>
        </w:rPr>
        <w:t>%、建筑限高24米；</w:t>
      </w:r>
    </w:p>
    <w:p w14:paraId="7C7D1CB7">
      <w:pPr>
        <w:ind w:firstLine="640" w:firstLineChars="200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（3）同步优化LN-A-06</w:t>
      </w:r>
      <w:r>
        <w:rPr>
          <w:rFonts w:ascii="仿宋_GB2312" w:hAnsi="等线" w:eastAsia="仿宋_GB2312" w:cs="Times New Roman"/>
          <w:sz w:val="32"/>
          <w:szCs w:val="28"/>
        </w:rPr>
        <w:t>6</w:t>
      </w:r>
      <w:r>
        <w:rPr>
          <w:rFonts w:hint="eastAsia" w:ascii="仿宋_GB2312" w:hAnsi="等线" w:eastAsia="仿宋_GB2312" w:cs="Times New Roman"/>
          <w:sz w:val="32"/>
          <w:szCs w:val="28"/>
        </w:rPr>
        <w:t>地块，用地性质为二类城镇住宅用地(兼容商业用地)，用地面积</w:t>
      </w:r>
      <w:r>
        <w:rPr>
          <w:rFonts w:ascii="仿宋_GB2312" w:hAnsi="等线" w:eastAsia="仿宋_GB2312" w:cs="Times New Roman"/>
          <w:sz w:val="32"/>
          <w:szCs w:val="28"/>
        </w:rPr>
        <w:t>14537.93</w:t>
      </w:r>
      <w:r>
        <w:rPr>
          <w:rFonts w:hint="eastAsia" w:ascii="仿宋_GB2312" w:hAnsi="等线" w:eastAsia="仿宋_GB2312" w:cs="Times New Roman"/>
          <w:sz w:val="32"/>
          <w:szCs w:val="28"/>
        </w:rPr>
        <w:t>㎡，1.0≤容积率≤2.5、建筑密度≤38%、绿地率≥30%、建筑限高54米。</w:t>
      </w:r>
    </w:p>
    <w:p w14:paraId="1DF4C6F0">
      <w:pPr>
        <w:ind w:firstLine="640" w:firstLineChars="200"/>
        <w:rPr>
          <w:rFonts w:ascii="仿宋_GB2312" w:hAnsi="等线" w:eastAsia="仿宋_GB2312" w:cs="Times New Roman"/>
          <w:sz w:val="32"/>
          <w:szCs w:val="28"/>
        </w:rPr>
      </w:pPr>
      <w:bookmarkStart w:id="0" w:name="OLE_LINK2"/>
      <w:bookmarkStart w:id="1" w:name="OLE_LINK3"/>
      <w:r>
        <w:rPr>
          <w:rFonts w:hint="eastAsia" w:ascii="仿宋_GB2312" w:hAnsi="等线" w:eastAsia="仿宋_GB2312" w:cs="Times New Roman"/>
          <w:sz w:val="32"/>
          <w:szCs w:val="28"/>
        </w:rPr>
        <w:t>（4）</w:t>
      </w:r>
      <w:bookmarkEnd w:id="0"/>
      <w:bookmarkEnd w:id="1"/>
      <w:r>
        <w:rPr>
          <w:rFonts w:hint="eastAsia" w:ascii="仿宋_GB2312" w:hAnsi="等线" w:eastAsia="仿宋_GB2312" w:cs="Times New Roman"/>
          <w:sz w:val="32"/>
          <w:szCs w:val="28"/>
        </w:rPr>
        <w:t>目前加油站已满足现有区域交通服务需求，原加油加气站用地功能与实际需求不匹配，防护绿地亦难以单独发挥生态效益。为推进存量建设用地提质增效，优化片区空间功能布局与资源配置，完善产业配套服务体系，提升土地利用综合效益，将原控规LN-B-095、LN-B-096地块由防护绿地、加油加气站用地调整为物流仓储用地，调整后用地面积</w:t>
      </w:r>
      <w:r>
        <w:rPr>
          <w:rFonts w:ascii="仿宋_GB2312" w:hAnsi="等线" w:eastAsia="仿宋_GB2312" w:cs="Times New Roman"/>
          <w:sz w:val="32"/>
          <w:szCs w:val="28"/>
        </w:rPr>
        <w:t>4963.83</w:t>
      </w:r>
      <w:r>
        <w:rPr>
          <w:rFonts w:hint="eastAsia" w:ascii="仿宋_GB2312" w:hAnsi="等线" w:eastAsia="仿宋_GB2312" w:cs="Times New Roman"/>
          <w:sz w:val="32"/>
          <w:szCs w:val="28"/>
        </w:rPr>
        <w:t>㎡，1.0≤容积率≤2.5、3</w:t>
      </w:r>
      <w:r>
        <w:rPr>
          <w:rFonts w:ascii="仿宋_GB2312" w:hAnsi="等线" w:eastAsia="仿宋_GB2312" w:cs="Times New Roman"/>
          <w:sz w:val="32"/>
          <w:szCs w:val="28"/>
        </w:rPr>
        <w:t>0%</w:t>
      </w:r>
      <w:r>
        <w:rPr>
          <w:rFonts w:hint="eastAsia" w:ascii="仿宋_GB2312" w:hAnsi="等线" w:eastAsia="仿宋_GB2312" w:cs="Times New Roman"/>
          <w:sz w:val="32"/>
          <w:szCs w:val="28"/>
        </w:rPr>
        <w:t>≤建筑密度≤</w:t>
      </w:r>
      <w:r>
        <w:rPr>
          <w:rFonts w:ascii="仿宋_GB2312" w:hAnsi="等线" w:eastAsia="仿宋_GB2312" w:cs="Times New Roman"/>
          <w:sz w:val="32"/>
          <w:szCs w:val="28"/>
        </w:rPr>
        <w:t>55</w:t>
      </w:r>
      <w:r>
        <w:rPr>
          <w:rFonts w:hint="eastAsia" w:ascii="仿宋_GB2312" w:hAnsi="等线" w:eastAsia="仿宋_GB2312" w:cs="Times New Roman"/>
          <w:sz w:val="32"/>
          <w:szCs w:val="28"/>
        </w:rPr>
        <w:t>%、绿地率≥</w:t>
      </w:r>
      <w:r>
        <w:rPr>
          <w:rFonts w:ascii="仿宋_GB2312" w:hAnsi="等线" w:eastAsia="仿宋_GB2312" w:cs="Times New Roman"/>
          <w:sz w:val="32"/>
          <w:szCs w:val="28"/>
        </w:rPr>
        <w:t>2</w:t>
      </w:r>
      <w:r>
        <w:rPr>
          <w:rFonts w:hint="eastAsia" w:ascii="仿宋_GB2312" w:hAnsi="等线" w:eastAsia="仿宋_GB2312" w:cs="Times New Roman"/>
          <w:sz w:val="32"/>
          <w:szCs w:val="28"/>
        </w:rPr>
        <w:t>0%、建筑限高</w:t>
      </w:r>
      <w:r>
        <w:rPr>
          <w:rFonts w:ascii="仿宋_GB2312" w:hAnsi="等线" w:eastAsia="仿宋_GB2312" w:cs="Times New Roman"/>
          <w:sz w:val="32"/>
          <w:szCs w:val="28"/>
        </w:rPr>
        <w:t>40</w:t>
      </w:r>
      <w:r>
        <w:rPr>
          <w:rFonts w:hint="eastAsia" w:ascii="仿宋_GB2312" w:hAnsi="等线" w:eastAsia="仿宋_GB2312" w:cs="Times New Roman"/>
          <w:sz w:val="32"/>
          <w:szCs w:val="28"/>
        </w:rPr>
        <w:t>米。</w:t>
      </w:r>
    </w:p>
    <w:p w14:paraId="3225CE7B">
      <w:pPr>
        <w:ind w:firstLine="640" w:firstLineChars="200"/>
        <w:rPr>
          <w:rFonts w:ascii="仿宋_GB2312" w:hAnsi="等线" w:eastAsia="仿宋_GB2312" w:cs="Times New Roman"/>
          <w:sz w:val="32"/>
          <w:szCs w:val="28"/>
        </w:rPr>
      </w:pPr>
    </w:p>
    <w:p w14:paraId="6986B66B">
      <w:pPr>
        <w:rPr>
          <w:rFonts w:ascii="仿宋_GB2312" w:hAnsi="等线" w:eastAsia="仿宋_GB2312" w:cs="Times New Roman"/>
          <w:b/>
          <w:sz w:val="32"/>
          <w:szCs w:val="28"/>
        </w:rPr>
      </w:pPr>
      <w:r>
        <w:rPr>
          <w:rFonts w:ascii="仿宋_GB2312" w:hAnsi="等线" w:eastAsia="仿宋_GB2312" w:cs="Times New Roman"/>
          <w:b/>
          <w:sz w:val="32"/>
          <w:szCs w:val="28"/>
        </w:rPr>
        <w:t>三、调整对比</w:t>
      </w:r>
    </w:p>
    <w:p w14:paraId="0CC51257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《连南瑶族自治县中心城区控制性详细规划》局部调整</w:t>
      </w:r>
    </w:p>
    <w:p w14:paraId="4D419932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LN-A-066等地块</w:t>
      </w:r>
    </w:p>
    <w:p w14:paraId="7E721334">
      <w:pPr>
        <w:rPr>
          <w:rFonts w:ascii="仿宋_GB2312" w:hAnsi="等线"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drawing>
          <wp:inline distT="0" distB="0" distL="0" distR="0">
            <wp:extent cx="5274310" cy="3625850"/>
            <wp:effectExtent l="0" t="0" r="2540" b="0"/>
            <wp:docPr id="1" name="图片 1" descr="E:\-----2026年项目\3-----连南中心城区控规调整\公示文件（两块地）\tu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-----2026年项目\3-----连南中心城区控规调整\公示文件（两块地）\tu\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7AE4B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调整前</w:t>
      </w:r>
    </w:p>
    <w:p w14:paraId="5E2ABBF2">
      <w:pPr>
        <w:rPr>
          <w:rFonts w:ascii="仿宋_GB2312" w:hAnsi="等线"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drawing>
          <wp:inline distT="0" distB="0" distL="0" distR="0">
            <wp:extent cx="5274310" cy="3811270"/>
            <wp:effectExtent l="0" t="0" r="2540" b="0"/>
            <wp:docPr id="2" name="图片 2" descr="E:\-----2026年项目\3-----连南中心城区控规调整\公示文件（两块地）\tu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-----2026年项目\3-----连南中心城区控规调整\公示文件（两块地）\tu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596BA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t>调整后</w:t>
      </w:r>
    </w:p>
    <w:p w14:paraId="58506690">
      <w:pPr>
        <w:jc w:val="center"/>
        <w:rPr>
          <w:rFonts w:ascii="仿宋_GB2312" w:hAnsi="等线" w:eastAsia="仿宋_GB2312" w:cs="Times New Roman"/>
          <w:sz w:val="32"/>
          <w:szCs w:val="28"/>
        </w:rPr>
      </w:pPr>
    </w:p>
    <w:p w14:paraId="3773024D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调整后分地块规划控制指标表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734"/>
        <w:gridCol w:w="709"/>
        <w:gridCol w:w="708"/>
        <w:gridCol w:w="851"/>
        <w:gridCol w:w="850"/>
        <w:gridCol w:w="993"/>
        <w:gridCol w:w="708"/>
        <w:gridCol w:w="709"/>
        <w:gridCol w:w="709"/>
        <w:gridCol w:w="646"/>
      </w:tblGrid>
      <w:tr w14:paraId="67538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D15082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地块编码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B297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土地使用性质代码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BDE7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土地使用性质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B87C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土地使用兼容性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A459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用地面积(平方米)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3B81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容积率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C6FB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地面以上总计容建筑面积（平方米）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A15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建筑密度(%)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718B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绿地率(%)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1DBF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建筑限高(m)</w:t>
            </w: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1A88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2D9AB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C693F5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LN-A-066</w:t>
            </w:r>
          </w:p>
        </w:tc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B1B7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070102/0901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8DF5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二类城镇住宅用地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8F74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商业用地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2C90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14537.93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49F6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1.0≤FAR≤2.5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0A6C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14537.93，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36344.83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5769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CAFE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≥30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6F24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8CFF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—</w:t>
            </w:r>
          </w:p>
        </w:tc>
      </w:tr>
      <w:tr w14:paraId="03AC0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22F399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LN-A-068</w:t>
            </w:r>
          </w:p>
        </w:tc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2E3B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080401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37A1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高等教育用地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40E2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EAAA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20891.88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D3E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2.5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41E1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52229.7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2790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E4C2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≥30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B090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EB92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—</w:t>
            </w:r>
          </w:p>
        </w:tc>
      </w:tr>
      <w:tr w14:paraId="687CD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7DC907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LN-A-068-01</w:t>
            </w:r>
          </w:p>
        </w:tc>
        <w:tc>
          <w:tcPr>
            <w:tcW w:w="7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D799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8EFA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商业用地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4493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8BE5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1728.55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95D9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≤2.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1B0D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457.1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D051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5BE8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77F6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6AD9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—</w:t>
            </w:r>
          </w:p>
        </w:tc>
      </w:tr>
    </w:tbl>
    <w:p w14:paraId="509E4945">
      <w:pPr>
        <w:rPr>
          <w:rFonts w:ascii="仿宋_GB2312" w:hAnsi="等线" w:eastAsia="仿宋_GB2312" w:cs="Times New Roman"/>
          <w:sz w:val="32"/>
          <w:szCs w:val="28"/>
        </w:rPr>
      </w:pPr>
    </w:p>
    <w:p w14:paraId="08077148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《连南瑶族自治县中心城区控制性详细规划》局部调整</w:t>
      </w:r>
    </w:p>
    <w:p w14:paraId="5A88E725">
      <w:pPr>
        <w:jc w:val="center"/>
        <w:rPr>
          <w:rFonts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t>LN-B-095</w:t>
      </w:r>
      <w:r>
        <w:rPr>
          <w:rFonts w:hint="eastAsia" w:ascii="仿宋_GB2312" w:hAnsi="等线" w:eastAsia="仿宋_GB2312" w:cs="Times New Roman"/>
          <w:sz w:val="32"/>
          <w:szCs w:val="28"/>
        </w:rPr>
        <w:t>等地块</w:t>
      </w:r>
    </w:p>
    <w:p w14:paraId="214F6CAC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drawing>
          <wp:inline distT="0" distB="0" distL="0" distR="0">
            <wp:extent cx="4535805" cy="2872740"/>
            <wp:effectExtent l="0" t="0" r="0" b="3810"/>
            <wp:docPr id="3" name="图片 3" descr="E:\-----2026年项目\3-----连南中心城区控规调整\公示文件（两块地）\tu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-----2026年项目\3-----连南中心城区控规调整\公示文件（两块地）\tu\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5680" r="8528" b="21947"/>
                    <a:stretch>
                      <a:fillRect/>
                    </a:stretch>
                  </pic:blipFill>
                  <pic:spPr>
                    <a:xfrm>
                      <a:off x="0" y="0"/>
                      <a:ext cx="4539451" cy="287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B0AF9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t>调整前</w:t>
      </w:r>
    </w:p>
    <w:p w14:paraId="53672116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ascii="仿宋_GB2312" w:hAnsi="等线" w:eastAsia="仿宋_GB2312" w:cs="Times New Roman"/>
          <w:sz w:val="32"/>
          <w:szCs w:val="28"/>
        </w:rPr>
        <w:drawing>
          <wp:inline distT="0" distB="0" distL="0" distR="0">
            <wp:extent cx="4440555" cy="3300730"/>
            <wp:effectExtent l="0" t="0" r="0" b="0"/>
            <wp:docPr id="4" name="图片 4" descr="E:\-----2026年项目\3-----连南中心城区控规调整\公示文件（两块地）\tu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-----2026年项目\3-----连南中心城区控规调整\公示文件（两块地）\tu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5" r="8135" b="16953"/>
                    <a:stretch>
                      <a:fillRect/>
                    </a:stretch>
                  </pic:blipFill>
                  <pic:spPr>
                    <a:xfrm>
                      <a:off x="0" y="0"/>
                      <a:ext cx="4441440" cy="330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B918E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调整后</w:t>
      </w:r>
    </w:p>
    <w:p w14:paraId="4A25D694">
      <w:pPr>
        <w:jc w:val="center"/>
        <w:rPr>
          <w:rFonts w:ascii="仿宋_GB2312" w:hAnsi="等线" w:eastAsia="仿宋_GB2312" w:cs="Times New Roman"/>
          <w:sz w:val="32"/>
          <w:szCs w:val="28"/>
        </w:rPr>
      </w:pPr>
      <w:r>
        <w:rPr>
          <w:rFonts w:hint="eastAsia" w:ascii="仿宋_GB2312" w:hAnsi="等线" w:eastAsia="仿宋_GB2312" w:cs="Times New Roman"/>
          <w:sz w:val="32"/>
          <w:szCs w:val="28"/>
        </w:rPr>
        <w:t>调整后分地块规划控制指标表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664"/>
        <w:gridCol w:w="735"/>
        <w:gridCol w:w="683"/>
        <w:gridCol w:w="1017"/>
        <w:gridCol w:w="606"/>
        <w:gridCol w:w="1335"/>
        <w:gridCol w:w="594"/>
        <w:gridCol w:w="579"/>
        <w:gridCol w:w="594"/>
        <w:gridCol w:w="443"/>
      </w:tblGrid>
      <w:tr w14:paraId="5F6FB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B8F9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地块编码</w:t>
            </w:r>
          </w:p>
        </w:tc>
        <w:tc>
          <w:tcPr>
            <w:tcW w:w="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BE0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土地使用性质代码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0D6B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土地使用性质</w:t>
            </w:r>
          </w:p>
        </w:tc>
        <w:tc>
          <w:tcPr>
            <w:tcW w:w="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328D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土地使用兼容性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3D57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用地面积(平方米)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B96B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容积率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31A34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地面以上总计容建筑面积（平方米）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2CCDE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建筑密度(%)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B469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绿地率(%)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D458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建筑限高(m)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FE37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6EDF2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16F5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LN-B-095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A124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6D27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物流仓储用地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5ADB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1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B54E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4963.83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996A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FAR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FB06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4963.83，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12409.58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B9A9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3F9C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BC38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5E93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—</w:t>
            </w:r>
          </w:p>
        </w:tc>
      </w:tr>
    </w:tbl>
    <w:p w14:paraId="436D561F">
      <w:pPr>
        <w:jc w:val="center"/>
        <w:rPr>
          <w:rFonts w:ascii="仿宋_GB2312" w:hAnsi="等线" w:eastAsia="仿宋_GB2312" w:cs="Times New Roman"/>
          <w:sz w:val="3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504"/>
    <w:rsid w:val="00027FDF"/>
    <w:rsid w:val="00056AB9"/>
    <w:rsid w:val="002E1D5F"/>
    <w:rsid w:val="0039395A"/>
    <w:rsid w:val="003F7921"/>
    <w:rsid w:val="00484235"/>
    <w:rsid w:val="004A5818"/>
    <w:rsid w:val="00540252"/>
    <w:rsid w:val="00591E34"/>
    <w:rsid w:val="006E244B"/>
    <w:rsid w:val="007B7901"/>
    <w:rsid w:val="00941504"/>
    <w:rsid w:val="009904BD"/>
    <w:rsid w:val="009A7D64"/>
    <w:rsid w:val="009D4E31"/>
    <w:rsid w:val="009E5D5D"/>
    <w:rsid w:val="00A36A2C"/>
    <w:rsid w:val="00A450CA"/>
    <w:rsid w:val="00AB5360"/>
    <w:rsid w:val="00B0046C"/>
    <w:rsid w:val="00CB0F6D"/>
    <w:rsid w:val="00CB6A6D"/>
    <w:rsid w:val="00CF78B3"/>
    <w:rsid w:val="00D665BA"/>
    <w:rsid w:val="00DB7786"/>
    <w:rsid w:val="00E375C6"/>
    <w:rsid w:val="00EC0399"/>
    <w:rsid w:val="00FD1714"/>
    <w:rsid w:val="00FD4703"/>
    <w:rsid w:val="26EC42D4"/>
    <w:rsid w:val="5EC057CC"/>
    <w:rsid w:val="7DFD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226</Words>
  <Characters>287</Characters>
  <Lines>9</Lines>
  <Paragraphs>2</Paragraphs>
  <TotalTime>15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2026-09-20T07:03:00Z</dcterms:created>
  <dc:creator>罗海玲</dc:creator>
  <cp:lastModifiedBy>Linmo</cp:lastModifiedBy>
  <dcterms:modified xsi:type="dcterms:W3CDTF">2026-09-23T00:49:27Z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eyJoZGlkIjoiYWNkYjM4MWMxMDZkZGQwOTRmN2NkZmM5ODg4OGJkNGYiLCJ1c2VySWQiOiI1MjcwMDcwOTcifQ==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16CA0381FDE3492F9D145A5E626A76CC_13</vt:lpwstr>
  </property>
</Properties>
</file>