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right="0" w:rightChars="0" w:firstLine="0" w:firstLineChars="0"/>
        <w:jc w:val="both"/>
        <w:rPr>
          <w:rFonts w:hint="default" w:ascii="仿宋_GB2312"/>
          <w:b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县城民族路粮仓等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5个智慧停车场机动车停放服务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收费标准</w:t>
      </w:r>
    </w:p>
    <w:bookmarkEnd w:id="0"/>
    <w:tbl>
      <w:tblPr>
        <w:tblStyle w:val="4"/>
        <w:tblpPr w:leftFromText="180" w:rightFromText="180" w:vertAnchor="text" w:horzAnchor="page" w:tblpX="1674" w:tblpY="76"/>
        <w:tblOverlap w:val="never"/>
        <w:tblW w:w="8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777"/>
        <w:gridCol w:w="3409"/>
        <w:gridCol w:w="1650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车型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类别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时   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计费单位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小型汽车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临停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1小时以内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辆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2小时内（含60分钟免费时段）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元/辆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超过2小时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元/辆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加收1元/小时/辆</w:t>
            </w:r>
            <w:r>
              <w:rPr>
                <w:rFonts w:hint="eastAsia" w:ascii="仿宋" w:hAnsi="仿宋" w:eastAsia="仿宋"/>
                <w:color w:val="000000"/>
                <w:sz w:val="18"/>
              </w:rPr>
              <w:t>（不足1小时按1小时计）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24小时限价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元/辆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8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widowControl/>
              <w:ind w:left="240" w:hanging="240" w:hangingChars="100"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备注：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firstLine="240" w:firstLineChars="100"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小车进入停车场不超过1小时免费。 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2.小车24小时收费最高不超过15元，停放超过24小时的，按上述标准循环计收。   3.实施救护的医疗救护车辆、执行公务的军警车辆、市政工程抢修车辆免收费。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5个智慧停车场为：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五星村委鱼塘（原县屠宰场）、民族路粮仓、丽景城背面、民族一路二巷、大新街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停车场。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suff w:val="nothing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7">
    <w:name w:val="正文 New New New New New New New New New New New New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customStyle="1" w:styleId="8">
    <w:name w:val="正文 New New New New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2022-06-10T03:09:01Z</dcterms:created>
  <dc:creator>Administrator</dc:creator>
  <cp:lastModifiedBy>Administrator</cp:lastModifiedBy>
  <dcterms:modified xsi:type="dcterms:W3CDTF">2022-06-10T03:10:30Z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