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F4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  <w:t>连南瑶族自治县教育发展“十五五”规划</w:t>
      </w:r>
    </w:p>
    <w:p w14:paraId="5CDC9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  <w:t>（2026—2030年）</w:t>
      </w:r>
    </w:p>
    <w:p w14:paraId="511DA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  <w:t>（征求意见稿）</w:t>
      </w:r>
    </w:p>
    <w:p w14:paraId="39C31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BD2E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为深入贯彻教育优先发展战略，落实教育强国建设要求，统筹教育高质量发展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高水平安全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根据《教育强国建设规划纲要（2024—2035年）》《广东省教育发展“十五五”规划》《清远市教育发展“十五五”规划》等文件精神，结合我县实际，制定本规划。</w:t>
      </w:r>
    </w:p>
    <w:p w14:paraId="1BDE6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bookmarkStart w:id="0" w:name="heading_1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一、发展基础和面临形势</w:t>
      </w:r>
      <w:bookmarkEnd w:id="0"/>
    </w:p>
    <w:p w14:paraId="1B558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</w:pPr>
      <w:bookmarkStart w:id="1" w:name="heading_2"/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  <w:t>（一）发展基础</w:t>
      </w:r>
      <w:bookmarkEnd w:id="1"/>
    </w:p>
    <w:p w14:paraId="3054D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“十四五”期间，我县坚定不移实施教育优先发展战略，累计投入约7.4亿元，新改扩建学校14所、新增学位4083个，完成信息化改造和校车服务覆盖，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有序推进中小学、幼儿园布局调整，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组建9个教共体，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教育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资源系统性优化。学前教育普及普惠领先，入选2025年全国学前教育普及普惠县；义务教育向优质均衡稳步迈进，普通高中特色多样发展并获多项省级以上荣誉，特殊教育实现从无到有，职业教育服务能力持续增强。严格落实“双减”政策，文明校园实现全覆盖，学生体质健康和视力水平达标。教师培训逾5200人次，各学段专任教师本科率显著提升。累计发放各类助学金约4328万元、生源地贷款约2703万元，动员社会捐资近364万元，有力保障教育公平，为县域高质量发展筑牢人才根基。</w:t>
      </w:r>
    </w:p>
    <w:p w14:paraId="0DE01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2" w:name="heading_3"/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  <w:t>（二）面临的形势</w:t>
      </w:r>
      <w:bookmarkEnd w:id="2"/>
    </w:p>
    <w:p w14:paraId="1DBDF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3" w:name="heading_4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十四五”期间，我县教育取得积极进展，但对标高质量发展要求，仍存在一些有待改善的方面，与南部地区相比尚有提升空间，服务县域发展能力仍需增强。主要表现为：基础教育优质学位仍较紧张，受城镇化等因素影响，县城学位压力较大；乡村学校办学条件及“三所学校”软硬件需继续改善；教学常规管理及教师对新课标的适应能力有待加强。职业教育办学条件未完全达标，专业设置与产业需求衔接不够紧密。教师编制和结构需优化，专业发展支持体系有待健全。育人方面，德育实效和家校社协同机制需强化，体育、美育、劳动教育仍较薄弱，学生成长环境需持续优化。</w:t>
      </w:r>
    </w:p>
    <w:p w14:paraId="1A506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二、指导思想和发展目标</w:t>
      </w:r>
      <w:bookmarkEnd w:id="3"/>
    </w:p>
    <w:p w14:paraId="30764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</w:pPr>
      <w:bookmarkStart w:id="4" w:name="heading_5"/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  <w:t>（一）指导思想</w:t>
      </w:r>
      <w:bookmarkEnd w:id="4"/>
    </w:p>
    <w:p w14:paraId="757E6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坚持以习近平新时代中国特色社会主义思想为指导，深入贯彻党的二十大和二十届历次全会精神，全面贯彻习近平总书记对广东系列重要讲话和重要指示精神，深入学习领会全国、全省、全市教育大会部署要求，坚持党对教育的全面领导，贯彻党的教育方针，落实立德树人根本任务，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坚持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人民为中心发展教育，深化优质资源均衡配置，推动教育质量、治理能力、创新水平多维度提升，实现县域教育全面高质量发展。</w:t>
      </w:r>
    </w:p>
    <w:p w14:paraId="3C4AD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</w:pPr>
      <w:bookmarkStart w:id="5" w:name="heading_6"/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  <w:t>（二）发展目标</w:t>
      </w:r>
      <w:bookmarkEnd w:id="5"/>
    </w:p>
    <w:p w14:paraId="118C86A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基础教</w:t>
      </w:r>
      <w:bookmarkStart w:id="15" w:name="_GoBack"/>
      <w:bookmarkEnd w:id="15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育：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学前教育三年毛入园率保持100%以上，公办园和普惠性民办园在园幼儿占比100%，公办园在园幼儿占比70%以上；全力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县域义务教育优质均衡发展县，提升寄宿制学校办学水平；实施县域普通高中振兴计划，扩大办学资源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到2030年，全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普通高中入学率达到70%；健全特殊教育体系，适龄残疾儿童义务教育入学率保持97%以上。</w:t>
      </w:r>
    </w:p>
    <w:p w14:paraId="64E802A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职业教育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改善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中职学校办学条件，办学规模与质量稳步提升；完善产教融合机制，人才供给与产业需求匹配度显著提高；到2030年，毕业生升学比例大幅提升，“双师型”教师占专业课教师总数不低于60%。</w:t>
      </w:r>
    </w:p>
    <w:p w14:paraId="170BC4AC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page"/>
      </w:r>
    </w:p>
    <w:p w14:paraId="458FF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楷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24"/>
          <w:highlight w:val="none"/>
          <w:lang w:val="en-US" w:eastAsia="zh-CN"/>
        </w:rPr>
        <w:t>“十五五”教育发展主要指标</w:t>
      </w:r>
    </w:p>
    <w:tbl>
      <w:tblPr>
        <w:tblStyle w:val="5"/>
        <w:tblW w:w="94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5108"/>
        <w:gridCol w:w="1113"/>
        <w:gridCol w:w="955"/>
        <w:gridCol w:w="1028"/>
      </w:tblGrid>
      <w:tr w14:paraId="53E7C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tblHeader/>
          <w:jc w:val="center"/>
        </w:trPr>
        <w:tc>
          <w:tcPr>
            <w:tcW w:w="1294" w:type="dxa"/>
            <w:tcBorders>
              <w:tl2br w:val="nil"/>
              <w:tr2bl w:val="nil"/>
            </w:tcBorders>
            <w:noWrap w:val="0"/>
            <w:vAlign w:val="center"/>
          </w:tcPr>
          <w:p w14:paraId="0CF93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41830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主要指标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29FE9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2025年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0F47C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2030年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670A6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指标属性</w:t>
            </w:r>
          </w:p>
        </w:tc>
      </w:tr>
      <w:tr w14:paraId="42691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0499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  <w:t>学前教育</w:t>
            </w: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1E59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学前教育毛入园率（%）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5C590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102.39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4EA12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≥100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31CF9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7C6B1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240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545DB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学前教育普及普惠通过国家认定进度情况（%）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22805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7FB50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59D00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6BD7F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E5A8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  <w:t>.义务教育</w:t>
            </w: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698DD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义务教育优质均衡发展通过国家认定进度情况（%）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1FBF4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—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0FD2B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48AF8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2261B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41E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3925F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九年义务教育巩固率（%）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2FE84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4747B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27D8E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约束性</w:t>
            </w:r>
          </w:p>
        </w:tc>
      </w:tr>
      <w:tr w14:paraId="5A124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A1D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5A95A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初中毕业生年级阅读/教学达标学生比例（%）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5621E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—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0C0C4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80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6CCF2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30DF4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E9B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0BBC2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中小学生体质健康标准达标优良率（%）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04D91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66.81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68787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≥7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6AFDA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661FF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CE4F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  <w:t>.高中教育</w:t>
            </w: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28B95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高中阶段教育毛入学率（%）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0A37B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96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7759E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≥96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1387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1F381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A5D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287A4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累计新增高中教育学位（万个）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2B81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1A866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0.2094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0CC72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04C39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A32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0E860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普通高中录取占高中阶段录取比例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696ED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47%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4268F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70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3ADE2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5AA94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CC7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68F38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高中专任教师硕士研究生以上学历比例（%）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15015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Han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7.96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0A6FC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68164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295B1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434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53566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高中阶段教育完成率（%）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36E2A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—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66A9E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90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4AC82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25FA2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noWrap w:val="0"/>
            <w:vAlign w:val="center"/>
          </w:tcPr>
          <w:p w14:paraId="679E1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特殊教育</w:t>
            </w:r>
          </w:p>
        </w:tc>
        <w:tc>
          <w:tcPr>
            <w:tcW w:w="5108" w:type="dxa"/>
            <w:tcBorders>
              <w:tl2br w:val="nil"/>
              <w:tr2bl w:val="nil"/>
            </w:tcBorders>
            <w:noWrap w:val="0"/>
            <w:vAlign w:val="center"/>
          </w:tcPr>
          <w:p w14:paraId="46C37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适龄残疾儿童接受义务教育比例（%）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6426E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4414B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100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07D35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1B79C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4" w:type="dxa"/>
            <w:vMerge w:val="restart"/>
            <w:noWrap w:val="0"/>
            <w:vAlign w:val="center"/>
          </w:tcPr>
          <w:p w14:paraId="29E19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Hans" w:bidi="ar"/>
              </w:rPr>
              <w:t>.职业教育</w:t>
            </w:r>
          </w:p>
        </w:tc>
        <w:tc>
          <w:tcPr>
            <w:tcW w:w="5108" w:type="dxa"/>
            <w:noWrap w:val="0"/>
            <w:vAlign w:val="center"/>
          </w:tcPr>
          <w:p w14:paraId="32A09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“双师型”教师占专任教师比例（%）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38287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26.7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2C077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＞50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5317C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  <w:tr w14:paraId="491F6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294" w:type="dxa"/>
            <w:vMerge w:val="continue"/>
            <w:noWrap w:val="0"/>
            <w:vAlign w:val="center"/>
          </w:tcPr>
          <w:p w14:paraId="28343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5108" w:type="dxa"/>
            <w:noWrap w:val="0"/>
            <w:vAlign w:val="center"/>
          </w:tcPr>
          <w:p w14:paraId="23DF4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高技能人才占技能人才比例（%）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377CD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—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center"/>
          </w:tcPr>
          <w:p w14:paraId="7C2AB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 w14:paraId="14072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预期性</w:t>
            </w:r>
          </w:p>
        </w:tc>
      </w:tr>
    </w:tbl>
    <w:p w14:paraId="30E60D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outlineLvl w:val="9"/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lang w:bidi="ar"/>
        </w:rPr>
      </w:pPr>
    </w:p>
    <w:p w14:paraId="37451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bookmarkStart w:id="6" w:name="heading_7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三、“十五五”期间重点任务</w:t>
      </w:r>
      <w:bookmarkEnd w:id="6"/>
    </w:p>
    <w:p w14:paraId="7D1A2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</w:pPr>
      <w:bookmarkStart w:id="7" w:name="heading_8"/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  <w:t>（一）深化立德树人工程，构建“大思政”育人新格局</w:t>
      </w:r>
      <w:bookmarkEnd w:id="7"/>
    </w:p>
    <w:p w14:paraId="056C29B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推进大中小学思政教育一体化。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加强党对思政课建设的全面领导，以社会主义核心价值观为统领，分层递进设置教学目标，整合本土红色文化、瑶族传统文化融入教学，实现课程思政全覆盖；加强校园思政环境建设，通过广播、文化长廊、数字媒体等营造育人氛围；建强思政教师队伍，完善培训机制，开展跨学段交流与社会实践，邀请专家、道德模范进校园；健全“过程+结果”双重评价机制。到2030年，85%以上学校形成科学合理的思政工作体系，思政课教师专职率小学力争达20%、初中达80%、高中达100%。</w:t>
      </w:r>
    </w:p>
    <w:p w14:paraId="7A09D32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强化养成教育与法治素养培育。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印发《连南瑶族自治县学生行为习惯养成教育实施方案》，通过主题活动、榜样示范等推动养成教育常态化；完善未成年人保护综合监护机制，深化家校社政司协同，织密保护网；坚持依法治校，开展法治讲座、模拟法庭等活动，依托新时代文明实践中心、法治教育基地开展多元化普法；建立重点未成年人“一生一档”，加强关爱引导与严重不良行为矫治。</w:t>
      </w:r>
    </w:p>
    <w:p w14:paraId="5231CA2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加强心理健康教育。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建“预防为主、干预及时、家校社联动”的心理健康教育体系，开足开齐心理健康课程，每所学校设立标准化心理辅导室，配备专（兼）职教师；健全县校两级心理危机干预机制，每学期开展心理健康普查，建立重点学生档案；组建县域心理健康教育专家团队，提供专业指导与突发危机处置支持。</w:t>
      </w:r>
    </w:p>
    <w:p w14:paraId="11EB110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推进“五育”并举。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构建社会主义核心价值观统领的一体化德育体系，通过主题班会、志愿服务、研学实践等强化学生家国情怀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完善美育教学模式，立足瑶族文化特色，升级瑶族歌舞、刺绣等特色课程，开展非遗传承人进校园活动；健全劳动教育体系，加强实践基地（营地）建设，因地制宜开展多元劳动实践，将劳动教育纳入综合素质评价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落实“健康第一”理念，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大力推进健康学校建设。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落实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中小学每天综合体育活动时间不低于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2小时，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义务教育阶段每天1节体育课、高中阶段每周3—5节体育课，开展学生全员参与的体育赛事活动，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强化校园足球育人功能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加强近视、肥胖等常见病防控。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2030年，全县中小学生体质健康标准达标优良率达到60%以上。</w:t>
      </w:r>
    </w:p>
    <w:p w14:paraId="27987AB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构建家校社协同育人机制。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立“学校主导、家庭主体、社会参与、政府统筹、司法保障”的协同机制，学校通过家长会、家长学校等加强家校沟通；依托新时代文明实践中心等阵地，联合妇联、民政等部门开展家庭教育培训与指导；联合公安、市场监管等部门整顿校园周边环境；整合青少年宫、企业、乡村等资源，提供社会实践与职业体验平台。</w:t>
      </w:r>
    </w:p>
    <w:p w14:paraId="4B76D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</w:pPr>
      <w:bookmarkStart w:id="8" w:name="heading_9"/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  <w:t>（二）优化资源配置，构建与人口变化相适应的供给体系</w:t>
      </w:r>
      <w:bookmarkEnd w:id="8"/>
    </w:p>
    <w:p w14:paraId="73F5BE66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科学规划校点布局。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结合城镇化进程与学龄人口流动趋势，优化城乡校点布局，统筹乡镇学校资源，整合农村小规模教学点，强化乡镇“三所学校”标准化建设；扩容中心镇优质学校，缓解学位紧张，确保学校布局与人口分布、民族聚居特点适配。</w:t>
      </w:r>
    </w:p>
    <w:p w14:paraId="6458493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推进重点项目建设。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确保花都石泉中学新建项目按期竣工投用；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改善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县职业技术学校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办学条件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，储备优质学位；推进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民族高级中学等现有学校改扩建，完善功能场室配置，夯实广东省基础教育高质量发展实验区硬件基础。</w:t>
      </w:r>
    </w:p>
    <w:p w14:paraId="6B0CAF4F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促进办学条件均衡。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实施办学条件标准化提升工程，聚焦农村学校与薄弱学校，推进信息化设备升级、运动场改造、消防设施优化；全面接入国家中小学智慧教育平台，推动优质数字资源城乡共享；建立城乡办学条件差距动态监测机制，补齐乡镇学校功能场室与设施设备短板。</w:t>
      </w:r>
    </w:p>
    <w:p w14:paraId="4F6DA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</w:pPr>
      <w:bookmarkStart w:id="9" w:name="heading_10"/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  <w:t>（三）推动扩优提质，实现基础教育全域优质均衡</w:t>
      </w:r>
      <w:bookmarkEnd w:id="9"/>
    </w:p>
    <w:p w14:paraId="2E079453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学前教育优质普惠发展。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巩固国家学前教育普及普惠县创建成果，提升公办园覆盖率与普惠性幼儿园服务质量；深化“一园一特色”建设，将瑶绣、民间体育游戏等民族文化元素融入保教课程；加强师资专业化建设，健全保教质量评估体系，规范民办园发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探索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  <w:t>幼儿园增设托班，面向2-3岁幼儿提供托育服务。</w:t>
      </w:r>
    </w:p>
    <w:p w14:paraId="06076FD3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义务教育优质均衡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建设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标义务教育优质均衡县评估标准，攻坚未达标指标，推动办学条件、师资配置、教育质量全域均衡；深化课程教学改革，落实“一校一案”课程实施方案；通过“县管校聘”改革优化师资配置，加强城乡师资双向交流。</w:t>
      </w:r>
    </w:p>
    <w:p w14:paraId="1262C47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深化教共体建设。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健全县域城乡教育共同体运行机制，推动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个教共体从“全覆盖”向“高质量”转型；深化与花都区对口帮扶，落实秀全中学等名校托管机制，通过资源共享、师资互派、教研联动、课程共建提升成员校办学品质；借力“双百行动”高校资源，强化教研支撑。</w:t>
      </w:r>
    </w:p>
    <w:p w14:paraId="693BA91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实施县中振兴行动。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由花都区秀全中学托管帮扶新建的花都石泉中学，借鉴名校办学理念与管理模式，打造优质特色学校；扩大县民族高级中学办学资源，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改善县中办学条件，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提升办学水平；加强县中师资队伍建设，选派骨干教师赴帮扶名校跟岗学习；深化高中课程改革，提升高考竞争力。到2028年，县中优质生源保留率达100%；到2030年，县中生源保留率达100%。</w:t>
      </w:r>
    </w:p>
    <w:p w14:paraId="13F4C6B5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完善特殊教育体系。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扩大特殊教育覆盖面，提升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适龄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残疾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儿童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入学率；强化特殊教育资源中心建设，健全随班就读支持保障机制，推进送教上门规范化、专业化；落实残疾学生经费保障政策，加强师资培训，推动特殊教育与普通教育、职业教育融合发展。</w:t>
      </w:r>
    </w:p>
    <w:p w14:paraId="7B248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</w:pPr>
      <w:bookmarkStart w:id="10" w:name="heading_11"/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  <w:t>（四）强化师资建设，提升教师队伍能力素质</w:t>
      </w:r>
      <w:bookmarkEnd w:id="10"/>
    </w:p>
    <w:p w14:paraId="0A48EBC1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加强师德师风建设。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严把教师选拔聘用入口关，落实新时代教师职业行为十项准则，将师德表现作为教师资格认定、选聘录用、考核评价的首要内容，加大师德失范问题查处力度。</w:t>
      </w:r>
    </w:p>
    <w:p w14:paraId="68268619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健全师资补充与配置机制。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精准招聘紧缺学科教师与新建学校师资；深化“县管校聘”改革，推进教师交流轮岗，优化师资配置。</w:t>
      </w:r>
    </w:p>
    <w:p w14:paraId="18E9E984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提升队伍专业能力。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优化校长队伍结构，选拔德才兼备人才，加强依法治校与教育创新能力培养，落实校长每周听课评课不少于2课时制度；按标准配齐各学段、各学科专职教研员，建立全员轮训与定期研修制度，健全县、教共体、学校三级教研网络，要求教研员每年深入学校教学指导不少于80天、听评课不少于80节、开展主题教研活动不少于5次；构建分层分类递进式教师培训体系，出台学历提升激励机制，加大“三名”工作室建设力度（建成县级工作室10个），培养骨干教师占专任教师总数不低于10%。</w:t>
      </w:r>
    </w:p>
    <w:p w14:paraId="5F42249B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保障教师工资待遇。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依法落实教师工资待遇政策，确保县域内中小学教师平均工资收入水平“不低于当地公务员平均工资收入水平、不低于周边地区同层次教师平均工资收入水平”，改善教师工作、学习、生活条件，吸引优秀人才投身我县教育。</w:t>
      </w:r>
    </w:p>
    <w:p w14:paraId="673F0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</w:pPr>
      <w:bookmarkStart w:id="11" w:name="heading_12"/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  <w:t>（五）深化数字赋能，打造智慧教育新样态</w:t>
      </w:r>
      <w:bookmarkEnd w:id="11"/>
    </w:p>
    <w:p w14:paraId="51523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bookmarkStart w:id="12" w:name="heading_13"/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深度对接国家中小学智慧教育平台，统筹花都区结对帮扶及“双百行动”高校优质数字资源，推动平台精品课的本地化配套与延伸开发，形成涵盖民族文化艺术、乡土课程等元素的县域特色课程资源体系。依托县域城乡教育共同体，建立“骨干教师线上送教、薄弱学校云端同步”常态化机制，实现优质资源精准触达乡村小规模学校。</w:t>
      </w:r>
    </w:p>
    <w:p w14:paraId="5444F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全面升级县域教育数字化基座。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针对连南山区地理特点和农村薄弱学校需求，加快教育专网扩容提质，推进校园无线网全覆盖和IPv6部署，补齐乡村教学点智慧课室、互动终端等硬件短板。推动教育装备从“物理配备”向“数字赋能”转型，2026年完成2个“AI赋能智慧课堂”示范点建设，以点带面探索民族地区智慧校园建设路径。</w:t>
      </w:r>
    </w:p>
    <w:p w14:paraId="5444A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深化人工智能与教育教学融合创新。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推广人工智能通识教育，推动在线课堂、虚拟实验室等新型教学空间建设，鼓励教师开展“AI+学科教学”“数字+民族文化传承”等应用场景实践。强化智能教学助手、教育机器人等工具在课堂教学、考试评价、教师研修中的深度应用，探索具有连南特色的“智慧教研+精准教学”模式。</w:t>
      </w:r>
    </w:p>
    <w:p w14:paraId="15EDD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  <w:t>（六）深化职业教育改革，构建产教融合服务体系</w:t>
      </w:r>
      <w:bookmarkEnd w:id="12"/>
    </w:p>
    <w:p w14:paraId="00E4690E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改善学校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办学条件。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立足改善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县职业技术学校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办学条件，分步有序实施校舍修缮，建设特色化中职学校。</w:t>
      </w:r>
    </w:p>
    <w:p w14:paraId="6D337D85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提升专业建设质量。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深化校企合作，构建“对接产业、动态调整、特色鲜明”的专业群，重点建设省级重点专业，提高“三二分段”中高职衔接专业覆盖率。</w:t>
      </w:r>
    </w:p>
    <w:p w14:paraId="4B7272E1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增强社会服务能力。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结合县域产业发展需求，开展针对性技能培训，建立乡村振兴人才培训基地，与龙头企业共建产业学院，开发本土化特色培训课程，输送定制化人才。</w:t>
      </w:r>
    </w:p>
    <w:p w14:paraId="5CEFCC0A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拓展终身教育服务。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稳固开放大学办学规模，深化内涵建设；打造县域终身学习公共服务平台，完善终身学习制度，提升公共服务水平。</w:t>
      </w:r>
    </w:p>
    <w:p w14:paraId="125B4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</w:pPr>
      <w:bookmarkStart w:id="13" w:name="heading_14"/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</w:rPr>
        <w:t>（七）深化教学综合改革，提升教育教学质量</w:t>
      </w:r>
      <w:bookmarkEnd w:id="13"/>
    </w:p>
    <w:p w14:paraId="264FA4A4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构建高质量育人模式。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落实国家课程方案，鼓励开发校本课程，2026年启动7所试点校建设，2028年全面完成“一校一案”课程体系构建；创新课堂教学模式，建立学生学习共同体，推广自主、合作、探究式学习，2026年启动4所试点校探索新质课堂，2028年形成可推广经验；强化数智赋能，推动“三个课堂”常态化应用。</w:t>
      </w:r>
    </w:p>
    <w:p w14:paraId="3274F2DD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建立科学评价体系。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健全各学段办学质量评价体系，探索县域与学校自评机制；2028年完成学业质量监测平台和数据库建设并有效运行，健全反馈改进机制；依托监测平台开展学生综合素养评价与学业增值评价，2028年全面实施义务教育学生综合素养数字评价。</w:t>
      </w:r>
    </w:p>
    <w:p w14:paraId="55AB469F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强化教研支撑保障。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建“以教研员队伍为主体、名师工作室和学科教研中心组为两翼”的教研支撑体系；建设教研云平台，开展“连南教研”大讲堂，打造线上线下融合教研项目；2026年出台校本教研指导意见和科组建设方案，培育5所示范校，强化薄弱学校精准帮扶；优化学校教研组建设，开展专题培训与评优活动，推动主题式、项目式教研常态化。</w:t>
      </w:r>
    </w:p>
    <w:p w14:paraId="00192516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bookmarkStart w:id="14" w:name="heading_15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实施规划的保障措施</w:t>
      </w:r>
      <w:bookmarkEnd w:id="14"/>
    </w:p>
    <w:p w14:paraId="66C19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各相关部门要高度重视、全力支持教育发展，从组织、资金、督导和宣传四个方面协同发力，确保本规划各项目标任务落地见效。一是强化党对教育工作的全面领导，健全县、镇、村、校四级责任联动机制，确保任务分解到人、责任落实到位；二是优先保障教育经费投入，落实“两个只增不减”，重点向学前教育、义务教育及农村、薄弱和民族地区倾斜，并积极争取上级支持和社会捐助，提高资金使用效益；三是建立健全动态督导评估体系，畅通反馈渠道，广泛接受监督，及时调整优化；四是坚持正确舆论导向，加强政策解读和典型推广，营造尊师重教浓厚氛围。通过以上措施，凝聚各方合力，为全县教育高质量发展提供坚实保障。</w:t>
      </w:r>
    </w:p>
    <w:sectPr>
      <w:footerReference r:id="rId3" w:type="default"/>
      <w:pgSz w:w="11905" w:h="1684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DAE9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4A9389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3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4A9389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3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4"/>
      <w:numFmt w:val="decimal"/>
      <w:lvlText w:val="%1."/>
      <w:lvlJc w:val="left"/>
      <w:rPr>
        <w:rFonts w:hint="default"/>
        <w:b/>
        <w:bCs/>
        <w:color w:val="auto"/>
      </w:rPr>
    </w:lvl>
  </w:abstractNum>
  <w:abstractNum w:abstractNumId="1">
    <w:nsid w:val="8461FADE"/>
    <w:multiLevelType w:val="singleLevel"/>
    <w:tmpl w:val="8461FADE"/>
    <w:lvl w:ilvl="0" w:tentative="0">
      <w:start w:val="1"/>
      <w:numFmt w:val="decimal"/>
      <w:lvlText w:val="%1."/>
      <w:lvlJc w:val="left"/>
      <w:rPr>
        <w:rFonts w:hint="default"/>
        <w:b/>
        <w:bCs/>
        <w:color w:val="auto"/>
      </w:rPr>
    </w:lvl>
  </w:abstractNum>
  <w:abstractNum w:abstractNumId="2">
    <w:nsid w:val="9288B902"/>
    <w:multiLevelType w:val="singleLevel"/>
    <w:tmpl w:val="9288B902"/>
    <w:lvl w:ilvl="0" w:tentative="0">
      <w:start w:val="1"/>
      <w:numFmt w:val="decimal"/>
      <w:lvlText w:val="%1."/>
      <w:lvlJc w:val="left"/>
      <w:rPr>
        <w:rFonts w:hint="default"/>
        <w:b/>
        <w:bCs/>
        <w:color w:val="auto"/>
      </w:rPr>
    </w:lvl>
  </w:abstractNum>
  <w:abstractNum w:abstractNumId="3">
    <w:nsid w:val="D7D140E4"/>
    <w:multiLevelType w:val="singleLevel"/>
    <w:tmpl w:val="D7D140E4"/>
    <w:lvl w:ilvl="0" w:tentative="0">
      <w:start w:val="4"/>
      <w:numFmt w:val="decimal"/>
      <w:lvlText w:val="%1."/>
      <w:lvlJc w:val="left"/>
      <w:rPr>
        <w:rFonts w:hint="default"/>
        <w:color w:val="auto"/>
      </w:rPr>
    </w:lvl>
  </w:abstractNum>
  <w:abstractNum w:abstractNumId="4">
    <w:nsid w:val="E093A4B0"/>
    <w:multiLevelType w:val="singleLevel"/>
    <w:tmpl w:val="E093A4B0"/>
    <w:lvl w:ilvl="0" w:tentative="0">
      <w:start w:val="3"/>
      <w:numFmt w:val="decimal"/>
      <w:lvlText w:val="%1."/>
      <w:lvlJc w:val="left"/>
      <w:rPr>
        <w:rFonts w:hint="default"/>
        <w:color w:val="auto"/>
      </w:rPr>
    </w:lvl>
  </w:abstractNum>
  <w:abstractNum w:abstractNumId="5">
    <w:nsid w:val="F7735DC9"/>
    <w:multiLevelType w:val="singleLevel"/>
    <w:tmpl w:val="F7735DC9"/>
    <w:lvl w:ilvl="0" w:tentative="0">
      <w:start w:val="2"/>
      <w:numFmt w:val="decimal"/>
      <w:lvlText w:val="%1."/>
      <w:lvlJc w:val="left"/>
      <w:rPr>
        <w:rFonts w:hint="default"/>
        <w:color w:val="auto"/>
      </w:rPr>
    </w:lvl>
  </w:abstractNum>
  <w:abstractNum w:abstractNumId="6">
    <w:nsid w:val="0709FD3E"/>
    <w:multiLevelType w:val="singleLevel"/>
    <w:tmpl w:val="0709FD3E"/>
    <w:lvl w:ilvl="0" w:tentative="0">
      <w:start w:val="2"/>
      <w:numFmt w:val="decimal"/>
      <w:lvlText w:val="%1."/>
      <w:lvlJc w:val="left"/>
      <w:rPr>
        <w:rFonts w:hint="default"/>
        <w:color w:val="auto"/>
      </w:rPr>
    </w:lvl>
  </w:abstractNum>
  <w:abstractNum w:abstractNumId="7">
    <w:nsid w:val="0CEF100B"/>
    <w:multiLevelType w:val="singleLevel"/>
    <w:tmpl w:val="0CEF100B"/>
    <w:lvl w:ilvl="0" w:tentative="0">
      <w:start w:val="3"/>
      <w:numFmt w:val="decimal"/>
      <w:lvlText w:val="%1."/>
      <w:lvlJc w:val="left"/>
      <w:rPr>
        <w:rFonts w:hint="default"/>
        <w:color w:val="auto"/>
      </w:rPr>
    </w:lvl>
  </w:abstractNum>
  <w:abstractNum w:abstractNumId="8">
    <w:nsid w:val="243FCF68"/>
    <w:multiLevelType w:val="singleLevel"/>
    <w:tmpl w:val="243FCF68"/>
    <w:lvl w:ilvl="0" w:tentative="0">
      <w:start w:val="5"/>
      <w:numFmt w:val="decimal"/>
      <w:lvlText w:val="%1."/>
      <w:lvlJc w:val="left"/>
      <w:rPr>
        <w:rFonts w:hint="default"/>
        <w:b/>
        <w:bCs/>
        <w:color w:val="auto"/>
      </w:rPr>
    </w:lvl>
  </w:abstractNum>
  <w:abstractNum w:abstractNumId="9">
    <w:nsid w:val="27D39084"/>
    <w:multiLevelType w:val="singleLevel"/>
    <w:tmpl w:val="27D3908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30FC5B15"/>
    <w:multiLevelType w:val="singleLevel"/>
    <w:tmpl w:val="30FC5B15"/>
    <w:lvl w:ilvl="0" w:tentative="0">
      <w:start w:val="1"/>
      <w:numFmt w:val="decimal"/>
      <w:lvlText w:val="%1."/>
      <w:lvlJc w:val="left"/>
      <w:rPr>
        <w:rFonts w:hint="default"/>
        <w:color w:val="auto"/>
      </w:rPr>
    </w:lvl>
  </w:abstractNum>
  <w:abstractNum w:abstractNumId="11">
    <w:nsid w:val="32A7AF2D"/>
    <w:multiLevelType w:val="singleLevel"/>
    <w:tmpl w:val="32A7AF2D"/>
    <w:lvl w:ilvl="0" w:tentative="0">
      <w:start w:val="1"/>
      <w:numFmt w:val="decimal"/>
      <w:lvlText w:val="%1."/>
      <w:lvlJc w:val="left"/>
      <w:rPr>
        <w:rFonts w:hint="default"/>
        <w:color w:val="auto"/>
      </w:rPr>
    </w:lvl>
  </w:abstractNum>
  <w:abstractNum w:abstractNumId="12">
    <w:nsid w:val="39A0D9AC"/>
    <w:multiLevelType w:val="singleLevel"/>
    <w:tmpl w:val="39A0D9AC"/>
    <w:lvl w:ilvl="0" w:tentative="0">
      <w:start w:val="2"/>
      <w:numFmt w:val="decimal"/>
      <w:lvlText w:val="%1."/>
      <w:lvlJc w:val="left"/>
      <w:rPr>
        <w:rFonts w:hint="default"/>
        <w:b/>
        <w:bCs/>
        <w:color w:val="auto"/>
      </w:rPr>
    </w:lvl>
  </w:abstractNum>
  <w:abstractNum w:abstractNumId="13">
    <w:nsid w:val="4D94DA66"/>
    <w:multiLevelType w:val="singleLevel"/>
    <w:tmpl w:val="4D94DA66"/>
    <w:lvl w:ilvl="0" w:tentative="0">
      <w:start w:val="1"/>
      <w:numFmt w:val="decimal"/>
      <w:lvlText w:val="%1."/>
      <w:lvlJc w:val="left"/>
      <w:rPr>
        <w:rFonts w:hint="default"/>
        <w:color w:val="auto"/>
      </w:rPr>
    </w:lvl>
  </w:abstractNum>
  <w:abstractNum w:abstractNumId="14">
    <w:nsid w:val="5E29AB5A"/>
    <w:multiLevelType w:val="singleLevel"/>
    <w:tmpl w:val="5E29AB5A"/>
    <w:lvl w:ilvl="0" w:tentative="0">
      <w:start w:val="1"/>
      <w:numFmt w:val="decimal"/>
      <w:lvlText w:val="%1."/>
      <w:lvlJc w:val="left"/>
      <w:rPr>
        <w:rFonts w:hint="default"/>
        <w:color w:val="auto"/>
      </w:rPr>
    </w:lvl>
  </w:abstractNum>
  <w:abstractNum w:abstractNumId="15">
    <w:nsid w:val="65CD0074"/>
    <w:multiLevelType w:val="singleLevel"/>
    <w:tmpl w:val="65CD0074"/>
    <w:lvl w:ilvl="0" w:tentative="0">
      <w:start w:val="1"/>
      <w:numFmt w:val="decimal"/>
      <w:lvlText w:val="%1."/>
      <w:lvlJc w:val="left"/>
      <w:rPr>
        <w:rFonts w:hint="default"/>
        <w:color w:val="auto"/>
      </w:r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0"/>
  </w:num>
  <w:num w:numId="5">
    <w:abstractNumId w:val="8"/>
  </w:num>
  <w:num w:numId="6">
    <w:abstractNumId w:val="13"/>
  </w:num>
  <w:num w:numId="7">
    <w:abstractNumId w:val="5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7"/>
  </w:num>
  <w:num w:numId="14">
    <w:abstractNumId w:val="3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F657B"/>
    <w:rsid w:val="1BBC5FB8"/>
    <w:rsid w:val="1FF522D5"/>
    <w:rsid w:val="26522396"/>
    <w:rsid w:val="289157C1"/>
    <w:rsid w:val="34741A3C"/>
    <w:rsid w:val="381149C1"/>
    <w:rsid w:val="39210D94"/>
    <w:rsid w:val="3E020F22"/>
    <w:rsid w:val="3F1D0405"/>
    <w:rsid w:val="45DE0291"/>
    <w:rsid w:val="48C02425"/>
    <w:rsid w:val="4C3F76DE"/>
    <w:rsid w:val="509947B0"/>
    <w:rsid w:val="510D25A4"/>
    <w:rsid w:val="61F75949"/>
    <w:rsid w:val="65387C9C"/>
    <w:rsid w:val="66FE68AE"/>
    <w:rsid w:val="69390FCD"/>
    <w:rsid w:val="6B4C616B"/>
    <w:rsid w:val="7266444C"/>
    <w:rsid w:val="739E6970"/>
    <w:rsid w:val="7A5365A4"/>
    <w:rsid w:val="7BC414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PMingLiU" w:hAnsi="Times New Roman" w:eastAsia="宋体" w:cs="PMingLiU"/>
      <w:color w:val="000000"/>
      <w:sz w:val="24"/>
      <w:szCs w:val="24"/>
      <w:lang w:val="en-US" w:eastAsia="zh-TW" w:bidi="ar-SA"/>
    </w:rPr>
  </w:style>
  <w:style w:type="paragraph" w:customStyle="1" w:styleId="8">
    <w:name w:val="正文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customStyle="1" w:styleId="9">
    <w:name w:val="NormalCharacter"/>
    <w:link w:val="10"/>
    <w:qFormat/>
    <w:uiPriority w:val="0"/>
  </w:style>
  <w:style w:type="paragraph" w:customStyle="1" w:styleId="10">
    <w:name w:val="UserStyle_4"/>
    <w:basedOn w:val="11"/>
    <w:link w:val="9"/>
    <w:qFormat/>
    <w:uiPriority w:val="0"/>
    <w:pPr>
      <w:spacing w:after="160" w:afterLines="0" w:line="240" w:lineRule="exact"/>
      <w:jc w:val="left"/>
    </w:pPr>
  </w:style>
  <w:style w:type="paragraph" w:customStyle="1" w:styleId="11">
    <w:name w:val="UserStyle_5"/>
    <w:qFormat/>
    <w:uiPriority w:val="0"/>
    <w:pPr>
      <w:jc w:val="both"/>
      <w:textAlignment w:val="baseline"/>
    </w:pPr>
    <w:rPr>
      <w:rFonts w:ascii="Times New Roman" w:hAnsi="Times New Roman" w:eastAsia="宋体" w:cs="黑体"/>
      <w:kern w:val="2"/>
      <w:sz w:val="21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5504</Words>
  <Characters>5683</Characters>
  <TotalTime>11</TotalTime>
  <ScaleCrop>false</ScaleCrop>
  <LinksUpToDate>false</LinksUpToDate>
  <CharactersWithSpaces>5683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2026-01-06T09:57:00Z</dcterms:created>
  <dc:creator>Apache POI</dc:creator>
  <cp:lastModifiedBy>俊宏dad</cp:lastModifiedBy>
  <dcterms:modified xsi:type="dcterms:W3CDTF">2026-09-20T02:58:04Z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eyJoZGlkIjoiMDVmNzYyYWUyODI1ZWUxYzlmZjhlNjI4NWI1YWU5NDkiLCJ1c2VySWQiOiI0OTIxMjU5MjkifQ==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030BEB1C98AF47D4B4245BCEB866D772_13</vt:lpwstr>
  </property>
</Properties>
</file>